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8E8523" w14:textId="2896021F" w:rsidR="00DD505D" w:rsidRPr="00A55335" w:rsidRDefault="00E60E9B" w:rsidP="00DD505D">
      <w:r w:rsidRPr="00A55335">
        <w:rPr>
          <w:noProof/>
        </w:rPr>
        <mc:AlternateContent>
          <mc:Choice Requires="wps">
            <w:drawing>
              <wp:anchor distT="0" distB="0" distL="114300" distR="114300" simplePos="0" relativeHeight="251658242" behindDoc="1" locked="0" layoutInCell="1" allowOverlap="1" wp14:anchorId="5BDBC8B5" wp14:editId="500D7693">
                <wp:simplePos x="0" y="0"/>
                <wp:positionH relativeFrom="margin">
                  <wp:posOffset>4500245</wp:posOffset>
                </wp:positionH>
                <wp:positionV relativeFrom="paragraph">
                  <wp:posOffset>-38100</wp:posOffset>
                </wp:positionV>
                <wp:extent cx="1624965" cy="1715135"/>
                <wp:effectExtent l="0" t="6985" r="6350" b="6350"/>
                <wp:wrapSquare wrapText="bothSides"/>
                <wp:docPr id="102783145" name="Freeform: Shape 102783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624965" cy="1715135"/>
                        </a:xfrm>
                        <a:custGeom>
                          <a:avLst/>
                          <a:gdLst>
                            <a:gd name="connsiteX0" fmla="*/ 2112335 w 3646964"/>
                            <a:gd name="connsiteY0" fmla="*/ 3318953 h 4017353"/>
                            <a:gd name="connsiteX1" fmla="*/ 1926131 w 3646964"/>
                            <a:gd name="connsiteY1" fmla="*/ 3318953 h 4017353"/>
                            <a:gd name="connsiteX2" fmla="*/ 1926131 w 3646964"/>
                            <a:gd name="connsiteY2" fmla="*/ 3118887 h 4017353"/>
                            <a:gd name="connsiteX3" fmla="*/ 1720836 w 3646964"/>
                            <a:gd name="connsiteY3" fmla="*/ 3118887 h 4017353"/>
                            <a:gd name="connsiteX4" fmla="*/ 1720836 w 3646964"/>
                            <a:gd name="connsiteY4" fmla="*/ 3318953 h 4017353"/>
                            <a:gd name="connsiteX5" fmla="*/ 1534632 w 3646964"/>
                            <a:gd name="connsiteY5" fmla="*/ 3318953 h 4017353"/>
                            <a:gd name="connsiteX6" fmla="*/ 1534632 w 3646964"/>
                            <a:gd name="connsiteY6" fmla="*/ 3509510 h 4017353"/>
                            <a:gd name="connsiteX7" fmla="*/ 1720836 w 3646964"/>
                            <a:gd name="connsiteY7" fmla="*/ 3509510 h 4017353"/>
                            <a:gd name="connsiteX8" fmla="*/ 1720836 w 3646964"/>
                            <a:gd name="connsiteY8" fmla="*/ 3709577 h 4017353"/>
                            <a:gd name="connsiteX9" fmla="*/ 1926131 w 3646964"/>
                            <a:gd name="connsiteY9" fmla="*/ 3709577 h 4017353"/>
                            <a:gd name="connsiteX10" fmla="*/ 1926131 w 3646964"/>
                            <a:gd name="connsiteY10" fmla="*/ 3509510 h 4017353"/>
                            <a:gd name="connsiteX11" fmla="*/ 2112335 w 3646964"/>
                            <a:gd name="connsiteY11" fmla="*/ 3509510 h 4017353"/>
                            <a:gd name="connsiteX12" fmla="*/ 3646964 w 3646964"/>
                            <a:gd name="connsiteY12" fmla="*/ 1360676 h 4017353"/>
                            <a:gd name="connsiteX13" fmla="*/ 3646964 w 3646964"/>
                            <a:gd name="connsiteY13" fmla="*/ 2656676 h 4017353"/>
                            <a:gd name="connsiteX14" fmla="*/ 2471483 w 3646964"/>
                            <a:gd name="connsiteY14" fmla="*/ 2656676 h 4017353"/>
                            <a:gd name="connsiteX15" fmla="*/ 2471483 w 3646964"/>
                            <a:gd name="connsiteY15" fmla="*/ 4017353 h 4017353"/>
                            <a:gd name="connsiteX16" fmla="*/ 1175483 w 3646964"/>
                            <a:gd name="connsiteY16" fmla="*/ 4017353 h 4017353"/>
                            <a:gd name="connsiteX17" fmla="*/ 1175483 w 3646964"/>
                            <a:gd name="connsiteY17" fmla="*/ 2656676 h 4017353"/>
                            <a:gd name="connsiteX18" fmla="*/ 0 w 3646964"/>
                            <a:gd name="connsiteY18" fmla="*/ 2656676 h 4017353"/>
                            <a:gd name="connsiteX19" fmla="*/ 0 w 3646964"/>
                            <a:gd name="connsiteY19" fmla="*/ 1360676 h 4017353"/>
                            <a:gd name="connsiteX20" fmla="*/ 1175483 w 3646964"/>
                            <a:gd name="connsiteY20" fmla="*/ 1360676 h 4017353"/>
                            <a:gd name="connsiteX21" fmla="*/ 1175483 w 3646964"/>
                            <a:gd name="connsiteY21" fmla="*/ 0 h 4017353"/>
                            <a:gd name="connsiteX22" fmla="*/ 2471483 w 3646964"/>
                            <a:gd name="connsiteY22" fmla="*/ 0 h 4017353"/>
                            <a:gd name="connsiteX23" fmla="*/ 2471483 w 3646964"/>
                            <a:gd name="connsiteY23" fmla="*/ 1360676 h 40173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646964" h="4017353">
                              <a:moveTo>
                                <a:pt x="2112335" y="3318953"/>
                              </a:moveTo>
                              <a:lnTo>
                                <a:pt x="1926131" y="3318953"/>
                              </a:lnTo>
                              <a:lnTo>
                                <a:pt x="1926131" y="3118887"/>
                              </a:lnTo>
                              <a:lnTo>
                                <a:pt x="1720836" y="3118887"/>
                              </a:lnTo>
                              <a:lnTo>
                                <a:pt x="1720836" y="3318953"/>
                              </a:lnTo>
                              <a:lnTo>
                                <a:pt x="1534632" y="3318953"/>
                              </a:lnTo>
                              <a:lnTo>
                                <a:pt x="1534632" y="3509510"/>
                              </a:lnTo>
                              <a:lnTo>
                                <a:pt x="1720836" y="3509510"/>
                              </a:lnTo>
                              <a:lnTo>
                                <a:pt x="1720836" y="3709577"/>
                              </a:lnTo>
                              <a:lnTo>
                                <a:pt x="1926131" y="3709577"/>
                              </a:lnTo>
                              <a:lnTo>
                                <a:pt x="1926131" y="3509510"/>
                              </a:lnTo>
                              <a:lnTo>
                                <a:pt x="2112335" y="3509510"/>
                              </a:lnTo>
                              <a:close/>
                              <a:moveTo>
                                <a:pt x="3646964" y="1360676"/>
                              </a:moveTo>
                              <a:lnTo>
                                <a:pt x="3646964" y="2656676"/>
                              </a:lnTo>
                              <a:lnTo>
                                <a:pt x="2471483" y="2656676"/>
                              </a:lnTo>
                              <a:lnTo>
                                <a:pt x="2471483" y="4017353"/>
                              </a:lnTo>
                              <a:lnTo>
                                <a:pt x="1175483" y="4017353"/>
                              </a:lnTo>
                              <a:lnTo>
                                <a:pt x="1175483" y="2656676"/>
                              </a:lnTo>
                              <a:lnTo>
                                <a:pt x="0" y="2656676"/>
                              </a:lnTo>
                              <a:lnTo>
                                <a:pt x="0" y="1360676"/>
                              </a:lnTo>
                              <a:lnTo>
                                <a:pt x="1175483" y="1360676"/>
                              </a:lnTo>
                              <a:lnTo>
                                <a:pt x="1175483" y="0"/>
                              </a:lnTo>
                              <a:lnTo>
                                <a:pt x="2471483" y="0"/>
                              </a:lnTo>
                              <a:lnTo>
                                <a:pt x="2471483" y="1360676"/>
                              </a:lnTo>
                              <a:close/>
                            </a:path>
                          </a:pathLst>
                        </a:custGeom>
                        <a:solidFill>
                          <a:srgbClr val="00968F">
                            <a:alpha val="42745"/>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xmlns:arto="http://schemas.microsoft.com/office/word/2006/arto">
            <w:pict>
              <v:shape w14:anchorId="10904874" id="Freeform: Shape 102783145" o:spid="_x0000_s1026" style="position:absolute;margin-left:354.35pt;margin-top:-3pt;width:127.95pt;height:135.05pt;rotation:-90;z-index:-251658238;visibility:visible;mso-wrap-style:square;mso-wrap-distance-left:9pt;mso-wrap-distance-top:0;mso-wrap-distance-right:9pt;mso-wrap-distance-bottom:0;mso-position-horizontal:absolute;mso-position-horizontal-relative:margin;mso-position-vertical:absolute;mso-position-vertical-relative:text;v-text-anchor:middle" coordsize="3646964,4017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" path="m2112335,3318953r-186204,l1926131,3118887r-205295,l1720836,3318953r-186204,l1534632,3509510r186204,l1720836,3709577r205295,l1926131,3509510r186204,l2112335,3318953xm3646964,1360676r,1296000l2471483,2656676r,1360677l1175483,4017353r,-1360677l,2656676,,1360676r1175483,l1175483,,2471483,r,1360676l3646964,1360676xe" fillcolor="#00968f" stroked="f" strokeweight="2pt">
                <v:fill opacity="28013f"/>
                <v:path arrowok="t" o:connecttype="custom" o:connectlocs="941186,1416966;858219,1416966;858219,1331551;766747,1331551;766747,1416966;683781,1416966;683781,1498321;766747,1498321;766747,1583736;858219,1583736;858219,1498321;941186,1498321;1624965,580916;1624965,1134219;1101210,1134219;1101210,1715135;523756,1715135;523756,1134219;0,1134219;0,580916;523756,580916;523756,0;1101210,0;1101210,580916" o:connectangles="0,0,0,0,0,0,0,0,0,0,0,0,0,0,0,0,0,0,0,0,0,0,0,0"/>
                <o:lock v:ext="edit" aspectratio="t"/>
                <w10:wrap type="square" anchorx="margin"/>
              </v:shape>
            </w:pict>
          </mc:Fallback>
        </mc:AlternateContent>
      </w:r>
      <w:bookmarkStart w:id="0" w:name="_Ref151388231"/>
      <w:bookmarkEnd w:id="0"/>
      <w:r w:rsidR="00091494" w:rsidRPr="00A55335">
        <w:rPr>
          <w:noProof/>
        </w:rPr>
        <mc:AlternateContent>
          <mc:Choice Requires="wps">
            <w:drawing>
              <wp:anchor distT="0" distB="0" distL="114300" distR="114300" simplePos="0" relativeHeight="251658240" behindDoc="0" locked="0" layoutInCell="1" allowOverlap="1" wp14:anchorId="2FCAD169" wp14:editId="21F8099B">
                <wp:simplePos x="0" y="0"/>
                <wp:positionH relativeFrom="page">
                  <wp:posOffset>-123825</wp:posOffset>
                </wp:positionH>
                <wp:positionV relativeFrom="paragraph">
                  <wp:posOffset>-946591</wp:posOffset>
                </wp:positionV>
                <wp:extent cx="7703820" cy="10955655"/>
                <wp:effectExtent l="0" t="0" r="0" b="0"/>
                <wp:wrapNone/>
                <wp:docPr id="4" name="Rectangle 4"/>
                <wp:cNvGraphicFramePr/>
                <a:graphic xmlns:a="http://schemas.openxmlformats.org/drawingml/2006/main">
                  <a:graphicData uri="http://schemas.microsoft.com/office/word/2010/wordprocessingShape">
                    <wps:wsp>
                      <wps:cNvSpPr/>
                      <wps:spPr>
                        <a:xfrm>
                          <a:off x="0" y="0"/>
                          <a:ext cx="7703820" cy="10955655"/>
                        </a:xfrm>
                        <a:prstGeom prst="rect">
                          <a:avLst/>
                        </a:prstGeom>
                        <a:gradFill flip="none" rotWithShape="1">
                          <a:gsLst>
                            <a:gs pos="0">
                              <a:srgbClr val="006579"/>
                            </a:gs>
                            <a:gs pos="37000">
                              <a:srgbClr val="20A39D"/>
                            </a:gs>
                            <a:gs pos="79000">
                              <a:schemeClr val="bg1"/>
                            </a:gs>
                            <a:gs pos="100000">
                              <a:schemeClr val="bg1"/>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083811D7" id="Rectangle 4" o:spid="_x0000_s1026" style="position:absolute;margin-left:-9.75pt;margin-top:-74.55pt;width:606.6pt;height:862.65pt;z-index:25165824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" fillcolor="#006579" stroked="f" strokeweight="2pt">
                <v:fill color2="#f9f9f9 [3212]" rotate="t" angle="90" colors="0 #006579;24248f #20a39d;51773f #f9f9f9;1 #f9f9f9" focus="100%" type="gradient"/>
                <w10:wrap anchorx="page"/>
              </v:rect>
            </w:pict>
          </mc:Fallback>
        </mc:AlternateContent>
      </w:r>
    </w:p>
    <w:p w14:paraId="1D967219" w14:textId="7D684388" w:rsidR="00DD505D" w:rsidRPr="00A55335" w:rsidRDefault="00091494" w:rsidP="00DD505D">
      <w:pPr>
        <w:pStyle w:val="BodyText"/>
      </w:pPr>
      <w:r w:rsidRPr="00A55335">
        <w:rPr>
          <w:noProof/>
        </w:rPr>
        <mc:AlternateContent>
          <mc:Choice Requires="wps">
            <w:drawing>
              <wp:anchor distT="0" distB="0" distL="114300" distR="114300" simplePos="0" relativeHeight="251658241" behindDoc="0" locked="0" layoutInCell="1" allowOverlap="1" wp14:anchorId="61948DDE" wp14:editId="1B44CF9D">
                <wp:simplePos x="0" y="0"/>
                <wp:positionH relativeFrom="rightMargin">
                  <wp:posOffset>-2809545</wp:posOffset>
                </wp:positionH>
                <wp:positionV relativeFrom="paragraph">
                  <wp:posOffset>2091344</wp:posOffset>
                </wp:positionV>
                <wp:extent cx="3333164" cy="5349923"/>
                <wp:effectExtent l="0" t="0" r="0" b="3175"/>
                <wp:wrapNone/>
                <wp:docPr id="2016059676" name="Rectangle 2016059676"/>
                <wp:cNvGraphicFramePr/>
                <a:graphic xmlns:a="http://schemas.openxmlformats.org/drawingml/2006/main">
                  <a:graphicData uri="http://schemas.microsoft.com/office/word/2010/wordprocessingShape">
                    <wps:wsp>
                      <wps:cNvSpPr/>
                      <wps:spPr>
                        <a:xfrm>
                          <a:off x="0" y="0"/>
                          <a:ext cx="3333164" cy="5349923"/>
                        </a:xfrm>
                        <a:prstGeom prst="rect">
                          <a:avLst/>
                        </a:prstGeom>
                        <a:noFill/>
                        <a:ln>
                          <a:noFill/>
                        </a:ln>
                      </wps:spPr>
                      <wps:txbx>
                        <w:txbxContent>
                          <w:p w14:paraId="27031CFC" w14:textId="77777777" w:rsidR="00091494" w:rsidRPr="00A55335" w:rsidRDefault="00091494" w:rsidP="00091494">
                            <w:pPr>
                              <w:pStyle w:val="Title"/>
                              <w:rPr>
                                <w:lang w:val="en-AU"/>
                              </w:rPr>
                            </w:pPr>
                            <w:r w:rsidRPr="00A55335">
                              <w:rPr>
                                <w:lang w:val="en-AU"/>
                              </w:rPr>
                              <w:t>HOMEOPATHY for preventing and treating health conditions</w:t>
                            </w:r>
                          </w:p>
                          <w:p w14:paraId="3D7BA499" w14:textId="77777777" w:rsidR="00091494" w:rsidRPr="00A55335" w:rsidRDefault="00091494" w:rsidP="00091494">
                            <w:pPr>
                              <w:pStyle w:val="Subtitle"/>
                              <w:rPr>
                                <w:lang w:val="en-AU"/>
                              </w:rPr>
                            </w:pPr>
                          </w:p>
                          <w:p w14:paraId="4B664C23" w14:textId="6C45CB20" w:rsidR="00091494" w:rsidRPr="00A55335" w:rsidRDefault="00091494" w:rsidP="00091494">
                            <w:pPr>
                              <w:pStyle w:val="Subtitle"/>
                              <w:rPr>
                                <w:lang w:val="en-AU"/>
                              </w:rPr>
                            </w:pPr>
                            <w:r w:rsidRPr="00A55335">
                              <w:rPr>
                                <w:lang w:val="en-AU"/>
                              </w:rPr>
                              <w:t>Evidence Evaluation Report</w:t>
                            </w:r>
                          </w:p>
                          <w:p w14:paraId="2E83AA4A" w14:textId="77777777" w:rsidR="00091494" w:rsidRPr="00A55335" w:rsidRDefault="00091494" w:rsidP="00E66381">
                            <w:pPr>
                              <w:pStyle w:val="BodyText"/>
                            </w:pPr>
                          </w:p>
                          <w:p w14:paraId="0C28AEFB" w14:textId="77777777" w:rsidR="00091494" w:rsidRPr="00A55335" w:rsidRDefault="00091494" w:rsidP="00091494">
                            <w:pPr>
                              <w:pStyle w:val="CompanyAddress"/>
                              <w:rPr>
                                <w:color w:val="000000" w:themeColor="text1"/>
                              </w:rPr>
                            </w:pPr>
                            <w:r w:rsidRPr="00A55335">
                              <w:rPr>
                                <w:color w:val="000000" w:themeColor="text1"/>
                              </w:rPr>
                              <w:t>prepared by</w:t>
                            </w:r>
                          </w:p>
                          <w:p w14:paraId="0FCD7B59" w14:textId="77777777" w:rsidR="00091494" w:rsidRPr="00A55335" w:rsidRDefault="00091494" w:rsidP="00E66381">
                            <w:pPr>
                              <w:pStyle w:val="Company"/>
                              <w:numPr>
                                <w:ilvl w:val="0"/>
                                <w:numId w:val="0"/>
                              </w:numPr>
                              <w:ind w:left="162"/>
                              <w:rPr>
                                <w:rFonts w:eastAsia="Tahoma"/>
                                <w:color w:val="000000" w:themeColor="text1"/>
                              </w:rPr>
                            </w:pPr>
                            <w:r w:rsidRPr="00A55335">
                              <w:rPr>
                                <w:rStyle w:val="Strong"/>
                                <w:color w:val="000000" w:themeColor="text1"/>
                              </w:rPr>
                              <w:t>HT</w:t>
                            </w:r>
                            <w:r w:rsidRPr="00A55335">
                              <w:rPr>
                                <w:rFonts w:eastAsia="Tahoma"/>
                                <w:color w:val="000000" w:themeColor="text1"/>
                              </w:rPr>
                              <w:t>ANALYSTS</w:t>
                            </w:r>
                          </w:p>
                          <w:p w14:paraId="5901C698" w14:textId="77777777" w:rsidR="00091494" w:rsidRPr="00A55335" w:rsidRDefault="00091494" w:rsidP="00091494">
                            <w:pPr>
                              <w:pStyle w:val="CompanyAddress"/>
                              <w:rPr>
                                <w:color w:val="000000" w:themeColor="text1"/>
                              </w:rPr>
                            </w:pPr>
                            <w:r w:rsidRPr="00A55335">
                              <w:rPr>
                                <w:color w:val="000000" w:themeColor="text1"/>
                              </w:rPr>
                              <w:t>for</w:t>
                            </w:r>
                          </w:p>
                          <w:p w14:paraId="342C9713" w14:textId="77777777" w:rsidR="00091494" w:rsidRPr="00A55335" w:rsidRDefault="00091494" w:rsidP="00E66381">
                            <w:pPr>
                              <w:pStyle w:val="Company"/>
                              <w:numPr>
                                <w:ilvl w:val="0"/>
                                <w:numId w:val="0"/>
                              </w:numPr>
                              <w:ind w:left="162"/>
                              <w:rPr>
                                <w:color w:val="000000" w:themeColor="text1"/>
                              </w:rPr>
                            </w:pPr>
                            <w:r w:rsidRPr="00A55335">
                              <w:rPr>
                                <w:color w:val="000000" w:themeColor="text1"/>
                              </w:rPr>
                              <w:t>National Health and Medical Research Council</w:t>
                            </w:r>
                          </w:p>
                          <w:p w14:paraId="2DAC9649" w14:textId="77777777" w:rsidR="00091494" w:rsidRPr="00A55335" w:rsidRDefault="00091494" w:rsidP="00091494">
                            <w:pPr>
                              <w:pStyle w:val="CompanyAddress"/>
                              <w:rPr>
                                <w:color w:val="000000" w:themeColor="text1"/>
                              </w:rPr>
                            </w:pPr>
                            <w:r w:rsidRPr="00A55335">
                              <w:rPr>
                                <w:color w:val="000000" w:themeColor="text1"/>
                              </w:rPr>
                              <w:t>NHMRC | Natural Therapies Working Committee</w:t>
                            </w:r>
                          </w:p>
                          <w:p w14:paraId="510E34F4" w14:textId="77777777" w:rsidR="00091494" w:rsidRPr="00A55335" w:rsidRDefault="00091494" w:rsidP="00091494">
                            <w:pPr>
                              <w:pStyle w:val="CompanyAddress"/>
                              <w:rPr>
                                <w:color w:val="000000" w:themeColor="text1"/>
                              </w:rPr>
                            </w:pPr>
                            <w:r w:rsidRPr="00A55335">
                              <w:rPr>
                                <w:color w:val="000000" w:themeColor="text1"/>
                              </w:rPr>
                              <w:t>Canberra ACT 2601</w:t>
                            </w:r>
                          </w:p>
                          <w:p w14:paraId="729AEA09" w14:textId="77777777" w:rsidR="00D558D9" w:rsidRPr="00A55335" w:rsidRDefault="00D558D9" w:rsidP="00091494">
                            <w:pPr>
                              <w:pStyle w:val="CompanyAddress"/>
                              <w:rPr>
                                <w:color w:val="000000" w:themeColor="text1"/>
                              </w:rPr>
                            </w:pPr>
                          </w:p>
                          <w:p w14:paraId="29124497" w14:textId="77777777" w:rsidR="00091494" w:rsidRPr="00A55335" w:rsidRDefault="00091494" w:rsidP="00091494">
                            <w:pPr>
                              <w:pStyle w:val="CompanyAddress"/>
                              <w:rPr>
                                <w:color w:val="000000" w:themeColor="text1"/>
                              </w:rPr>
                            </w:pPr>
                          </w:p>
                          <w:p w14:paraId="3CDE276D" w14:textId="729886DC" w:rsidR="00091494" w:rsidRPr="00A55335" w:rsidRDefault="000D7279" w:rsidP="00E66381">
                            <w:pPr>
                              <w:pStyle w:val="Date"/>
                              <w:numPr>
                                <w:ilvl w:val="0"/>
                                <w:numId w:val="0"/>
                              </w:numPr>
                              <w:ind w:left="360"/>
                              <w:rPr>
                                <w:color w:val="000000" w:themeColor="text1"/>
                              </w:rPr>
                            </w:pPr>
                            <w:r w:rsidRPr="00A55335">
                              <w:rPr>
                                <w:color w:val="000000" w:themeColor="text1"/>
                              </w:rPr>
                              <w:t xml:space="preserve"> </w:t>
                            </w:r>
                            <w:r w:rsidR="00866D30">
                              <w:rPr>
                                <w:color w:val="000000" w:themeColor="text1"/>
                              </w:rPr>
                              <w:t xml:space="preserve">AUGUST </w:t>
                            </w:r>
                            <w:r w:rsidRPr="00A55335">
                              <w:rPr>
                                <w:color w:val="000000" w:themeColor="text1"/>
                              </w:rPr>
                              <w:t>2024</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1948DDE" id="Rectangle 2016059676" o:spid="_x0000_s1026" style="position:absolute;margin-left:-221.2pt;margin-top:164.65pt;width:262.45pt;height:421.25pt;z-index:25165824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" filled="f" stroked="f">
                <v:textbox inset="2.53958mm,1.2694mm,2.53958mm,1.2694mm">
                  <w:txbxContent>
                    <w:p w14:paraId="27031CFC" w14:textId="77777777" w:rsidR="00091494" w:rsidRPr="00A55335" w:rsidRDefault="00091494" w:rsidP="00091494">
                      <w:pPr>
                        <w:pStyle w:val="Title"/>
                        <w:rPr>
                          <w:lang w:val="en-AU"/>
                        </w:rPr>
                      </w:pPr>
                      <w:r w:rsidRPr="00A55335">
                        <w:rPr>
                          <w:lang w:val="en-AU"/>
                        </w:rPr>
                        <w:t>HOMEOPATHY for preventing and treating health conditions</w:t>
                      </w:r>
                    </w:p>
                    <w:p w14:paraId="3D7BA499" w14:textId="77777777" w:rsidR="00091494" w:rsidRPr="00A55335" w:rsidRDefault="00091494" w:rsidP="00091494">
                      <w:pPr>
                        <w:pStyle w:val="Subtitle"/>
                        <w:rPr>
                          <w:lang w:val="en-AU"/>
                        </w:rPr>
                      </w:pPr>
                    </w:p>
                    <w:p w14:paraId="4B664C23" w14:textId="6C45CB20" w:rsidR="00091494" w:rsidRPr="00A55335" w:rsidRDefault="00091494" w:rsidP="00091494">
                      <w:pPr>
                        <w:pStyle w:val="Subtitle"/>
                        <w:rPr>
                          <w:lang w:val="en-AU"/>
                        </w:rPr>
                      </w:pPr>
                      <w:r w:rsidRPr="00A55335">
                        <w:rPr>
                          <w:lang w:val="en-AU"/>
                        </w:rPr>
                        <w:t>Evidence Evaluation Report</w:t>
                      </w:r>
                    </w:p>
                    <w:p w14:paraId="2E83AA4A" w14:textId="77777777" w:rsidR="00091494" w:rsidRPr="00A55335" w:rsidRDefault="00091494" w:rsidP="00E66381">
                      <w:pPr>
                        <w:pStyle w:val="BodyText"/>
                      </w:pPr>
                    </w:p>
                    <w:p w14:paraId="0C28AEFB" w14:textId="77777777" w:rsidR="00091494" w:rsidRPr="00A55335" w:rsidRDefault="00091494" w:rsidP="00091494">
                      <w:pPr>
                        <w:pStyle w:val="CompanyAddress"/>
                        <w:rPr>
                          <w:color w:val="000000" w:themeColor="text1"/>
                        </w:rPr>
                      </w:pPr>
                      <w:r w:rsidRPr="00A55335">
                        <w:rPr>
                          <w:color w:val="000000" w:themeColor="text1"/>
                        </w:rPr>
                        <w:t>prepared by</w:t>
                      </w:r>
                    </w:p>
                    <w:p w14:paraId="0FCD7B59" w14:textId="77777777" w:rsidR="00091494" w:rsidRPr="00A55335" w:rsidRDefault="00091494" w:rsidP="00E66381">
                      <w:pPr>
                        <w:pStyle w:val="Company"/>
                        <w:numPr>
                          <w:ilvl w:val="0"/>
                          <w:numId w:val="0"/>
                        </w:numPr>
                        <w:ind w:left="162"/>
                        <w:rPr>
                          <w:rFonts w:eastAsia="Tahoma"/>
                          <w:color w:val="000000" w:themeColor="text1"/>
                        </w:rPr>
                      </w:pPr>
                      <w:r w:rsidRPr="00A55335">
                        <w:rPr>
                          <w:rStyle w:val="Strong"/>
                          <w:color w:val="000000" w:themeColor="text1"/>
                        </w:rPr>
                        <w:t>HT</w:t>
                      </w:r>
                      <w:r w:rsidRPr="00A55335">
                        <w:rPr>
                          <w:rFonts w:eastAsia="Tahoma"/>
                          <w:color w:val="000000" w:themeColor="text1"/>
                        </w:rPr>
                        <w:t>ANALYSTS</w:t>
                      </w:r>
                    </w:p>
                    <w:p w14:paraId="5901C698" w14:textId="77777777" w:rsidR="00091494" w:rsidRPr="00A55335" w:rsidRDefault="00091494" w:rsidP="00091494">
                      <w:pPr>
                        <w:pStyle w:val="CompanyAddress"/>
                        <w:rPr>
                          <w:color w:val="000000" w:themeColor="text1"/>
                        </w:rPr>
                      </w:pPr>
                      <w:r w:rsidRPr="00A55335">
                        <w:rPr>
                          <w:color w:val="000000" w:themeColor="text1"/>
                        </w:rPr>
                        <w:t>for</w:t>
                      </w:r>
                    </w:p>
                    <w:p w14:paraId="342C9713" w14:textId="77777777" w:rsidR="00091494" w:rsidRPr="00A55335" w:rsidRDefault="00091494" w:rsidP="00E66381">
                      <w:pPr>
                        <w:pStyle w:val="Company"/>
                        <w:numPr>
                          <w:ilvl w:val="0"/>
                          <w:numId w:val="0"/>
                        </w:numPr>
                        <w:ind w:left="162"/>
                        <w:rPr>
                          <w:color w:val="000000" w:themeColor="text1"/>
                        </w:rPr>
                      </w:pPr>
                      <w:r w:rsidRPr="00A55335">
                        <w:rPr>
                          <w:color w:val="000000" w:themeColor="text1"/>
                        </w:rPr>
                        <w:t>National Health and Medical Research Council</w:t>
                      </w:r>
                    </w:p>
                    <w:p w14:paraId="2DAC9649" w14:textId="77777777" w:rsidR="00091494" w:rsidRPr="00A55335" w:rsidRDefault="00091494" w:rsidP="00091494">
                      <w:pPr>
                        <w:pStyle w:val="CompanyAddress"/>
                        <w:rPr>
                          <w:color w:val="000000" w:themeColor="text1"/>
                        </w:rPr>
                      </w:pPr>
                      <w:r w:rsidRPr="00A55335">
                        <w:rPr>
                          <w:color w:val="000000" w:themeColor="text1"/>
                        </w:rPr>
                        <w:t>NHMRC | Natural Therapies Working Committee</w:t>
                      </w:r>
                    </w:p>
                    <w:p w14:paraId="510E34F4" w14:textId="77777777" w:rsidR="00091494" w:rsidRPr="00A55335" w:rsidRDefault="00091494" w:rsidP="00091494">
                      <w:pPr>
                        <w:pStyle w:val="CompanyAddress"/>
                        <w:rPr>
                          <w:color w:val="000000" w:themeColor="text1"/>
                        </w:rPr>
                      </w:pPr>
                      <w:r w:rsidRPr="00A55335">
                        <w:rPr>
                          <w:color w:val="000000" w:themeColor="text1"/>
                        </w:rPr>
                        <w:t>Canberra ACT 2601</w:t>
                      </w:r>
                    </w:p>
                    <w:p w14:paraId="729AEA09" w14:textId="77777777" w:rsidR="00D558D9" w:rsidRPr="00A55335" w:rsidRDefault="00D558D9" w:rsidP="00091494">
                      <w:pPr>
                        <w:pStyle w:val="CompanyAddress"/>
                        <w:rPr>
                          <w:color w:val="000000" w:themeColor="text1"/>
                        </w:rPr>
                      </w:pPr>
                    </w:p>
                    <w:p w14:paraId="29124497" w14:textId="77777777" w:rsidR="00091494" w:rsidRPr="00A55335" w:rsidRDefault="00091494" w:rsidP="00091494">
                      <w:pPr>
                        <w:pStyle w:val="CompanyAddress"/>
                        <w:rPr>
                          <w:color w:val="000000" w:themeColor="text1"/>
                        </w:rPr>
                      </w:pPr>
                    </w:p>
                    <w:p w14:paraId="3CDE276D" w14:textId="729886DC" w:rsidR="00091494" w:rsidRPr="00A55335" w:rsidRDefault="000D7279" w:rsidP="00E66381">
                      <w:pPr>
                        <w:pStyle w:val="Date"/>
                        <w:numPr>
                          <w:ilvl w:val="0"/>
                          <w:numId w:val="0"/>
                        </w:numPr>
                        <w:ind w:left="360"/>
                        <w:rPr>
                          <w:color w:val="000000" w:themeColor="text1"/>
                        </w:rPr>
                      </w:pPr>
                      <w:r w:rsidRPr="00A55335">
                        <w:rPr>
                          <w:color w:val="000000" w:themeColor="text1"/>
                        </w:rPr>
                        <w:t xml:space="preserve"> </w:t>
                      </w:r>
                      <w:r w:rsidR="00866D30">
                        <w:rPr>
                          <w:color w:val="000000" w:themeColor="text1"/>
                        </w:rPr>
                        <w:t xml:space="preserve">AUGUST </w:t>
                      </w:r>
                      <w:r w:rsidRPr="00A55335">
                        <w:rPr>
                          <w:color w:val="000000" w:themeColor="text1"/>
                        </w:rPr>
                        <w:t>2024</w:t>
                      </w:r>
                    </w:p>
                  </w:txbxContent>
                </v:textbox>
                <w10:wrap anchorx="margin"/>
              </v:rect>
            </w:pict>
          </mc:Fallback>
        </mc:AlternateContent>
      </w:r>
    </w:p>
    <w:p w14:paraId="2FA3EF84" w14:textId="0AB5C089" w:rsidR="00DD505D" w:rsidRPr="00A55335" w:rsidRDefault="00A93C9C" w:rsidP="00DD505D">
      <w:pPr>
        <w:pStyle w:val="BodyText"/>
        <w:sectPr w:rsidR="00DD505D" w:rsidRPr="00A55335" w:rsidSect="00F928F8">
          <w:headerReference w:type="default" r:id="rId12"/>
          <w:footerReference w:type="default" r:id="rId13"/>
          <w:pgSz w:w="11905" w:h="16837" w:code="9"/>
          <w:pgMar w:top="1440" w:right="1440" w:bottom="1440" w:left="1440" w:header="720" w:footer="720" w:gutter="0"/>
          <w:paperSrc w:first="261" w:other="261"/>
          <w:cols w:space="708"/>
          <w:docGrid w:linePitch="299"/>
        </w:sectPr>
      </w:pPr>
      <w:r w:rsidRPr="00A55335">
        <w:t xml:space="preserve"> </w:t>
      </w:r>
    </w:p>
    <w:p w14:paraId="3F286AE7" w14:textId="77777777" w:rsidR="00DD505D" w:rsidRPr="00A55335" w:rsidRDefault="00DD505D" w:rsidP="00DD505D">
      <w:pPr>
        <w:pStyle w:val="BodyText"/>
      </w:pPr>
    </w:p>
    <w:p w14:paraId="0C99F27E" w14:textId="77777777" w:rsidR="00DD505D" w:rsidRPr="00A55335" w:rsidRDefault="00DD505D" w:rsidP="00DD505D">
      <w:pPr>
        <w:pStyle w:val="BodyText"/>
        <w:rPr>
          <w:rStyle w:val="Strong"/>
        </w:rPr>
      </w:pPr>
      <w:r w:rsidRPr="00A55335">
        <w:rPr>
          <w:rStyle w:val="Strong"/>
        </w:rPr>
        <w:t>Copyright</w:t>
      </w:r>
    </w:p>
    <w:p w14:paraId="08F885B2" w14:textId="69538322" w:rsidR="00DD505D" w:rsidRPr="00A55335" w:rsidRDefault="00DD505D" w:rsidP="00DD505D">
      <w:pPr>
        <w:pStyle w:val="BodyText"/>
      </w:pPr>
      <w:r w:rsidRPr="00A55335">
        <w:t xml:space="preserve">© Commonwealth of Australia </w:t>
      </w:r>
      <w:r w:rsidR="008821CB" w:rsidRPr="00A55335">
        <w:t>202</w:t>
      </w:r>
      <w:r w:rsidR="008821CB">
        <w:t>4</w:t>
      </w:r>
    </w:p>
    <w:p w14:paraId="412DC0CD" w14:textId="77777777" w:rsidR="00DD505D" w:rsidRPr="00A55335" w:rsidRDefault="00DD505D" w:rsidP="00DD505D">
      <w:pPr>
        <w:pStyle w:val="BodyText"/>
      </w:pPr>
      <w:r w:rsidRPr="00A55335">
        <w:t xml:space="preserve">All material presented in this publication is provided under a Creative Commons Attribution 4.0 International licence (www.creativecommons.org.au), </w:t>
      </w:r>
      <w:proofErr w:type="gramStart"/>
      <w:r w:rsidRPr="00A55335">
        <w:t>with the exception of</w:t>
      </w:r>
      <w:proofErr w:type="gramEnd"/>
      <w:r w:rsidRPr="00A55335">
        <w:t xml:space="preserve"> the Commonwealth Coat of Arms, NHMRC logo and content identified as being owned by third parties. The details of the relevant licence conditions are available on the Creative Commons website (www.creativecommons.org.au), as is the full legal code for the CC BY 4.0 International licence.</w:t>
      </w:r>
    </w:p>
    <w:p w14:paraId="134A48B9" w14:textId="77777777" w:rsidR="00DD505D" w:rsidRPr="00A55335" w:rsidRDefault="00DD505D" w:rsidP="00DD505D">
      <w:pPr>
        <w:pStyle w:val="BodyText"/>
      </w:pPr>
    </w:p>
    <w:p w14:paraId="23D4A94A" w14:textId="77777777" w:rsidR="00DD505D" w:rsidRPr="00A55335" w:rsidRDefault="00DD505D" w:rsidP="00DD505D">
      <w:pPr>
        <w:pStyle w:val="BodyText"/>
        <w:rPr>
          <w:rStyle w:val="Strong"/>
        </w:rPr>
      </w:pPr>
      <w:r w:rsidRPr="00A55335">
        <w:rPr>
          <w:rStyle w:val="Strong"/>
        </w:rPr>
        <w:t>Attribution</w:t>
      </w:r>
    </w:p>
    <w:p w14:paraId="306F4BAF" w14:textId="626683E6" w:rsidR="00DD505D" w:rsidRPr="00A55335" w:rsidRDefault="00DD505D" w:rsidP="00DD505D">
      <w:pPr>
        <w:pStyle w:val="BodyText"/>
      </w:pPr>
      <w:r w:rsidRPr="00A55335">
        <w:t xml:space="preserve">Creative Commons Attribution 4.0 International Licence is a standard form licence agreement that allows you to copy, distribute, transmit and adapt this publication </w:t>
      </w:r>
      <w:proofErr w:type="gramStart"/>
      <w:r w:rsidRPr="00A55335">
        <w:t>provided that</w:t>
      </w:r>
      <w:proofErr w:type="gramEnd"/>
      <w:r w:rsidRPr="00A55335">
        <w:t xml:space="preserve"> you attribute the work. NHMRC’s preference is that you attribute this publication (and any material sourced from it) using the following wording: </w:t>
      </w:r>
    </w:p>
    <w:p w14:paraId="38B73D36" w14:textId="77777777" w:rsidR="00DD505D" w:rsidRPr="00A55335" w:rsidRDefault="00DD505D" w:rsidP="00DD505D">
      <w:pPr>
        <w:pStyle w:val="BodyText"/>
      </w:pPr>
      <w:r w:rsidRPr="00A55335">
        <w:t>Source: National Health and Medical Research Council.</w:t>
      </w:r>
    </w:p>
    <w:p w14:paraId="68B402C7" w14:textId="77777777" w:rsidR="00DD505D" w:rsidRPr="00A55335" w:rsidRDefault="00DD505D" w:rsidP="00DD505D">
      <w:pPr>
        <w:pStyle w:val="BodyText"/>
      </w:pPr>
    </w:p>
    <w:p w14:paraId="5CDB750B" w14:textId="77777777" w:rsidR="00DD505D" w:rsidRPr="00A55335" w:rsidRDefault="00DD505D" w:rsidP="00DD505D">
      <w:pPr>
        <w:pStyle w:val="BodyText"/>
        <w:rPr>
          <w:rStyle w:val="Strong"/>
        </w:rPr>
      </w:pPr>
      <w:r w:rsidRPr="00A55335">
        <w:rPr>
          <w:rStyle w:val="Strong"/>
        </w:rPr>
        <w:t xml:space="preserve">Use of images </w:t>
      </w:r>
    </w:p>
    <w:p w14:paraId="6A25FE49" w14:textId="77777777" w:rsidR="00DD505D" w:rsidRPr="00A55335" w:rsidRDefault="00DD505D" w:rsidP="00DD505D">
      <w:pPr>
        <w:pStyle w:val="BodyText"/>
      </w:pPr>
      <w:r w:rsidRPr="00A55335">
        <w:t>Unless otherwise stated, all images (including background images, icons and illustrations) are copyrighted by their original owners.</w:t>
      </w:r>
    </w:p>
    <w:p w14:paraId="4E9927CF" w14:textId="77777777" w:rsidR="00DD505D" w:rsidRPr="00A55335" w:rsidRDefault="00DD505D" w:rsidP="00DD505D">
      <w:pPr>
        <w:pStyle w:val="BodyText"/>
      </w:pPr>
    </w:p>
    <w:p w14:paraId="6499229D" w14:textId="77777777" w:rsidR="00DD505D" w:rsidRPr="00A55335" w:rsidRDefault="00DD505D" w:rsidP="00DD505D">
      <w:pPr>
        <w:pStyle w:val="BodyText"/>
        <w:rPr>
          <w:rStyle w:val="Strong"/>
        </w:rPr>
      </w:pPr>
      <w:r w:rsidRPr="00A55335">
        <w:rPr>
          <w:rStyle w:val="Strong"/>
        </w:rPr>
        <w:t>Contact</w:t>
      </w:r>
    </w:p>
    <w:p w14:paraId="61D1C8E2" w14:textId="77777777" w:rsidR="00DD505D" w:rsidRPr="00A55335" w:rsidRDefault="00DD505D" w:rsidP="00DD505D">
      <w:pPr>
        <w:pStyle w:val="BodyText"/>
      </w:pPr>
      <w:r w:rsidRPr="00A55335">
        <w:t>To obtain information regarding NHMRC publications or submit a copyright request, contact:</w:t>
      </w:r>
    </w:p>
    <w:p w14:paraId="48147CDD" w14:textId="77777777" w:rsidR="00DD505D" w:rsidRPr="00A55335" w:rsidRDefault="00DD505D" w:rsidP="00DD505D">
      <w:pPr>
        <w:pStyle w:val="BodyText"/>
      </w:pPr>
      <w:r w:rsidRPr="00A55335">
        <w:t>communications@nhmrc.gov.au</w:t>
      </w:r>
    </w:p>
    <w:p w14:paraId="5507004D" w14:textId="77777777" w:rsidR="00DD505D" w:rsidRPr="00A55335" w:rsidRDefault="00DD505D" w:rsidP="00DD505D">
      <w:pPr>
        <w:pStyle w:val="H1-NoNumColour"/>
      </w:pPr>
      <w:bookmarkStart w:id="1" w:name="_Toc183441283"/>
      <w:r w:rsidRPr="00A55335">
        <w:lastRenderedPageBreak/>
        <w:t>Report</w:t>
      </w:r>
      <w:r w:rsidRPr="00A55335">
        <w:rPr>
          <w:rStyle w:val="Strong"/>
        </w:rPr>
        <w:t xml:space="preserve"> </w:t>
      </w:r>
      <w:r w:rsidRPr="00A55335">
        <w:t>information</w:t>
      </w:r>
      <w:bookmarkEnd w:id="1"/>
    </w:p>
    <w:p w14:paraId="08A377E5" w14:textId="77777777" w:rsidR="00DD505D" w:rsidRPr="00A55335" w:rsidRDefault="00DD505D" w:rsidP="00C373A2">
      <w:pPr>
        <w:pStyle w:val="H2-notoccolour"/>
      </w:pPr>
      <w:r w:rsidRPr="00A55335">
        <w:t>Authors</w:t>
      </w:r>
    </w:p>
    <w:p w14:paraId="023B5194" w14:textId="45B9090D" w:rsidR="00DD505D" w:rsidRPr="00A55335" w:rsidRDefault="00DD505D" w:rsidP="00DD505D">
      <w:pPr>
        <w:pStyle w:val="BodyText"/>
      </w:pPr>
      <w:r w:rsidRPr="00A55335">
        <w:t>Maurin R</w:t>
      </w:r>
      <w:r w:rsidRPr="00A55335">
        <w:rPr>
          <w:rStyle w:val="FootnoteReference"/>
        </w:rPr>
        <w:t>1</w:t>
      </w:r>
      <w:r w:rsidRPr="00A55335">
        <w:t>, Rogers E</w:t>
      </w:r>
      <w:r w:rsidRPr="00A55335">
        <w:rPr>
          <w:rStyle w:val="FootnoteReference"/>
        </w:rPr>
        <w:t>1</w:t>
      </w:r>
      <w:r w:rsidRPr="00A55335">
        <w:t xml:space="preserve">, </w:t>
      </w:r>
      <w:r w:rsidR="00653566" w:rsidRPr="00A55335">
        <w:t>Sullivan E</w:t>
      </w:r>
      <w:r w:rsidR="00653566" w:rsidRPr="00A55335">
        <w:rPr>
          <w:rStyle w:val="FootnoteReference"/>
        </w:rPr>
        <w:t>1</w:t>
      </w:r>
      <w:r w:rsidR="00653566" w:rsidRPr="00A55335">
        <w:t xml:space="preserve">, </w:t>
      </w:r>
      <w:r w:rsidRPr="00A55335">
        <w:t>Nolan K</w:t>
      </w:r>
      <w:r w:rsidRPr="00A55335">
        <w:rPr>
          <w:rStyle w:val="FootnoteReference"/>
        </w:rPr>
        <w:t>1</w:t>
      </w:r>
      <w:r w:rsidRPr="00A55335">
        <w:t>, Denham I</w:t>
      </w:r>
      <w:r w:rsidRPr="00A55335">
        <w:rPr>
          <w:rStyle w:val="FootnoteReference"/>
        </w:rPr>
        <w:t>1</w:t>
      </w:r>
      <w:r w:rsidRPr="00A55335">
        <w:t>, Jorgensen MA</w:t>
      </w:r>
      <w:r w:rsidRPr="00A55335">
        <w:rPr>
          <w:rStyle w:val="FootnoteReference"/>
        </w:rPr>
        <w:t>1</w:t>
      </w:r>
    </w:p>
    <w:p w14:paraId="38B555E3" w14:textId="77777777" w:rsidR="00DD505D" w:rsidRPr="00A55335" w:rsidRDefault="00DD505D" w:rsidP="00DD505D">
      <w:pPr>
        <w:pStyle w:val="BodyText"/>
      </w:pPr>
      <w:r w:rsidRPr="00A55335">
        <w:rPr>
          <w:rStyle w:val="FootnoteReference"/>
        </w:rPr>
        <w:t>1</w:t>
      </w:r>
      <w:r w:rsidRPr="00A55335">
        <w:t xml:space="preserve"> </w:t>
      </w:r>
      <w:r w:rsidRPr="00A55335">
        <w:rPr>
          <w:rStyle w:val="Strong"/>
        </w:rPr>
        <w:t>HT</w:t>
      </w:r>
      <w:r w:rsidRPr="00A55335">
        <w:t>ANALYSTS, Level 8, 46 Kippax Street, Surry Hills NSW 2010 Australia</w:t>
      </w:r>
    </w:p>
    <w:p w14:paraId="1FACA502" w14:textId="77777777" w:rsidR="00DD505D" w:rsidRPr="00A55335" w:rsidRDefault="00DD505D" w:rsidP="00C373A2">
      <w:pPr>
        <w:pStyle w:val="H2-notoccolour"/>
      </w:pPr>
      <w:bookmarkStart w:id="2" w:name="_Hlk515019696"/>
      <w:r w:rsidRPr="00A55335">
        <w:t>Dates</w:t>
      </w:r>
    </w:p>
    <w:p w14:paraId="3D430968" w14:textId="64D0E5E4" w:rsidR="00DD505D" w:rsidRPr="00A55335" w:rsidRDefault="00DD505D" w:rsidP="00DD505D">
      <w:pPr>
        <w:pStyle w:val="BodyText"/>
      </w:pPr>
      <w:r w:rsidRPr="00A55335">
        <w:t>This evidence evaluation report and accompanying technical reports received approval from the NHMRC Natural Therapies Working Committee (NTWC</w:t>
      </w:r>
      <w:r w:rsidRPr="00734EA2">
        <w:t xml:space="preserve">) on </w:t>
      </w:r>
      <w:r w:rsidR="009008FB" w:rsidRPr="00734EA2">
        <w:t>16 AUG</w:t>
      </w:r>
      <w:r w:rsidR="009008FB" w:rsidRPr="00A55335">
        <w:t xml:space="preserve"> </w:t>
      </w:r>
      <w:r w:rsidRPr="00A55335">
        <w:t xml:space="preserve">2024. </w:t>
      </w:r>
    </w:p>
    <w:p w14:paraId="4FCC9FCA" w14:textId="77777777" w:rsidR="00DD505D" w:rsidRPr="00A55335" w:rsidRDefault="00DD505D" w:rsidP="00DD505D">
      <w:r w:rsidRPr="00A55335">
        <w:t>The protocol for the evidence evaluation received approval from the NHMRC NTWC on 13 July 2022 (PROSPERO: CRD42022346433).</w:t>
      </w:r>
    </w:p>
    <w:bookmarkEnd w:id="2"/>
    <w:p w14:paraId="781AED62" w14:textId="77777777" w:rsidR="00DD505D" w:rsidRPr="00A55335" w:rsidRDefault="00DD505D" w:rsidP="00C373A2">
      <w:pPr>
        <w:pStyle w:val="H2-notoccolour"/>
      </w:pPr>
      <w:r w:rsidRPr="00A55335">
        <w:t>History</w:t>
      </w:r>
    </w:p>
    <w:p w14:paraId="3C11C31C" w14:textId="65E4F76B" w:rsidR="00DD505D" w:rsidRPr="00A55335" w:rsidRDefault="00DD505D" w:rsidP="00DD505D">
      <w:pPr>
        <w:pStyle w:val="BodyText"/>
      </w:pPr>
      <w:r w:rsidRPr="00A55335">
        <w:t>NHMRC has been engaged by the Department of Health and Aged Care (</w:t>
      </w:r>
      <w:r w:rsidR="00157014" w:rsidRPr="00A55335">
        <w:t>form</w:t>
      </w:r>
      <w:r w:rsidR="00157014">
        <w:t>er</w:t>
      </w:r>
      <w:r w:rsidR="00157014" w:rsidRPr="00A55335">
        <w:t xml:space="preserve">ly </w:t>
      </w:r>
      <w:r w:rsidRPr="00A55335">
        <w:t xml:space="preserve">Department of Health; Department) to update the evidence underpinning the </w:t>
      </w:r>
      <w:r w:rsidRPr="00A55335">
        <w:rPr>
          <w:rStyle w:val="Emphasis"/>
        </w:rPr>
        <w:t>2015 Review of the Australian Government Rebate on Natural Therapies for Private Health Insurance</w:t>
      </w:r>
      <w:r w:rsidRPr="00A55335">
        <w:t xml:space="preserve"> (2015 Review) </w:t>
      </w:r>
      <w:r w:rsidRPr="00A55335">
        <w:fldChar w:fldCharType="begin"/>
      </w:r>
      <w:r w:rsidR="006952AD">
        <w:instrText xml:space="preserve"> ADDIN EN.CITE &lt;EndNote&gt;&lt;Cite&gt;&lt;Author&gt;Australian Government Department of Health&lt;/Author&gt;&lt;Year&gt;2019&lt;/Year&gt;&lt;RecNum&gt;1&lt;/RecNum&gt;&lt;DisplayText&gt;(1)&lt;/DisplayText&gt;&lt;record&gt;&lt;rec-number&gt;1&lt;/rec-number&gt;&lt;foreign-keys&gt;&lt;key app="EN" db-id="t5prptatr9sp0we5exbxt9zz20fwp55tdza9" timestamp="1643145583"&gt;1&lt;/key&gt;&lt;/foreign-keys&gt;&lt;ref-type name="Web Page"&gt;12&lt;/ref-type&gt;&lt;contributors&gt;&lt;authors&gt;&lt;author&gt;Australian Government Department of Health,&lt;/author&gt;&lt;/authors&gt;&lt;/contributors&gt;&lt;titles&gt;&lt;title&gt;The 2015 Review of the Australian Government Rebate on Private Health Insurance for Natural Therapies &lt;/title&gt;&lt;/titles&gt;&lt;dates&gt;&lt;year&gt;2019&lt;/year&gt;&lt;/dates&gt;&lt;urls&gt;&lt;related-urls&gt;&lt;url&gt;https://www.health.gov.au/internet/main/publishing.nsf/Content/phi-natural-therapies&lt;/url&gt;&lt;/related-urls&gt;&lt;/urls&gt;&lt;research-notes&gt;ALL&lt;/research-notes&gt;&lt;access-date&gt;December 2019&lt;/access-date&gt;&lt;/record&gt;&lt;/Cite&gt;&lt;/EndNote&gt;</w:instrText>
      </w:r>
      <w:r w:rsidRPr="00A55335">
        <w:fldChar w:fldCharType="separate"/>
      </w:r>
      <w:r w:rsidR="00FA37A6" w:rsidRPr="00A55335">
        <w:rPr>
          <w:noProof/>
        </w:rPr>
        <w:t>(</w:t>
      </w:r>
      <w:hyperlink w:anchor="_ENREF_1" w:tooltip="Australian Government Department of Health, 2019 #1" w:history="1">
        <w:r w:rsidR="00EC2769" w:rsidRPr="00A55335">
          <w:rPr>
            <w:noProof/>
          </w:rPr>
          <w:t>1</w:t>
        </w:r>
      </w:hyperlink>
      <w:r w:rsidR="00FA37A6" w:rsidRPr="00A55335">
        <w:rPr>
          <w:noProof/>
        </w:rPr>
        <w:t>)</w:t>
      </w:r>
      <w:r w:rsidRPr="00A55335">
        <w:fldChar w:fldCharType="end"/>
      </w:r>
      <w:r w:rsidRPr="00A55335">
        <w:t xml:space="preserve">. </w:t>
      </w:r>
      <w:r w:rsidR="00DA32EB" w:rsidRPr="00A55335">
        <w:t>The natural therapies to be reviewed are Alexander technique, aromatherapy, Bowen therapy, Buteyko, Feldenkrais, homeopathy, iridology, kinesiology,</w:t>
      </w:r>
      <w:r w:rsidRPr="00A55335">
        <w:t xml:space="preserve"> naturopathy, Pilates, </w:t>
      </w:r>
      <w:r w:rsidR="00540F14" w:rsidRPr="00A55335">
        <w:t xml:space="preserve">reflexology, </w:t>
      </w:r>
      <w:r w:rsidRPr="00A55335">
        <w:t xml:space="preserve">Rolfing, shiatsu, Tai Chi, Western herbalism and yoga. These therapies are among those excluded from the private health insurance rebate as of 1 April 2019. </w:t>
      </w:r>
    </w:p>
    <w:p w14:paraId="1076E26A" w14:textId="514FD421" w:rsidR="00DD505D" w:rsidRPr="00A55335" w:rsidRDefault="00DD505D" w:rsidP="00DD505D">
      <w:pPr>
        <w:pStyle w:val="BodyText"/>
      </w:pPr>
      <w:r w:rsidRPr="00A55335">
        <w:t>To support NHMRC in their evidence review, Health Technology Analysts (</w:t>
      </w:r>
      <w:r w:rsidRPr="00A55335">
        <w:rPr>
          <w:rStyle w:val="Strong"/>
        </w:rPr>
        <w:t>HT</w:t>
      </w:r>
      <w:r w:rsidRPr="00A55335">
        <w:t>ANALYSTS) was engaged to conduct a systematic review of the evidence of clinical effectiveness of homeopathy. Eligible studies received from the Department’s public call for evidence, the Natural Therapies Review Expert Advisory Panel (NTREAP) and the NTWC were also included in the evidence evaluation.</w:t>
      </w:r>
    </w:p>
    <w:p w14:paraId="3BD8BCCC" w14:textId="6C1A3469" w:rsidR="00DD505D" w:rsidRPr="00A55335" w:rsidRDefault="00DD505D" w:rsidP="00DD505D">
      <w:pPr>
        <w:pStyle w:val="BodyText"/>
      </w:pPr>
      <w:r w:rsidRPr="00A55335">
        <w:t xml:space="preserve">This evidence evaluation report has been developed by </w:t>
      </w:r>
      <w:r w:rsidRPr="00A55335">
        <w:rPr>
          <w:rStyle w:val="Strong"/>
        </w:rPr>
        <w:t>HT</w:t>
      </w:r>
      <w:r w:rsidRPr="00A55335">
        <w:t xml:space="preserve">ANALYSTS in conjunction with NHMRC, the NTWC, and the NTREAP. It describes the main body of evidence </w:t>
      </w:r>
      <w:bookmarkStart w:id="3" w:name="_Hlk42189004"/>
      <w:r w:rsidRPr="00A55335">
        <w:t xml:space="preserve">related to </w:t>
      </w:r>
      <w:bookmarkStart w:id="4" w:name="_Hlk42188846"/>
      <w:r w:rsidRPr="00A55335">
        <w:t xml:space="preserve">the effect of </w:t>
      </w:r>
      <w:r w:rsidR="002C2C7E" w:rsidRPr="00A55335">
        <w:t>homeopathy</w:t>
      </w:r>
      <w:r w:rsidR="00D54436" w:rsidRPr="00A55335">
        <w:t xml:space="preserve"> </w:t>
      </w:r>
      <w:r w:rsidRPr="00A55335">
        <w:t>for preventing and treating health conditions</w:t>
      </w:r>
      <w:bookmarkEnd w:id="4"/>
      <w:r w:rsidRPr="00A55335">
        <w:t xml:space="preserve">. </w:t>
      </w:r>
      <w:bookmarkEnd w:id="3"/>
      <w:r w:rsidRPr="00A55335">
        <w:t xml:space="preserve">Supplementary data are provided in Appendices A to H. </w:t>
      </w:r>
      <w:bookmarkStart w:id="5" w:name="_Hlk42189291"/>
      <w:r w:rsidRPr="00A55335">
        <w:t xml:space="preserve">All associated materials have been developed in a robust and transparent manner in accordance with relevant best practice standards </w:t>
      </w:r>
      <w:bookmarkEnd w:id="5"/>
      <w:r w:rsidRPr="00A55335">
        <w:fldChar w:fldCharType="begin">
          <w:fldData xml:space="preserve">PEVuZE5vdGU+PENpdGU+PEF1dGhvcj5IaWdnaW5zIEpQVDwvQXV0aG9yPjxZZWFyPjIwMTk8L1ll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</w:fldData>
        </w:fldChar>
      </w:r>
      <w:r w:rsidR="006952AD">
        <w:instrText xml:space="preserve"> ADDIN EN.CITE </w:instrText>
      </w:r>
      <w:r w:rsidR="006952AD">
        <w:fldChar w:fldCharType="begin">
          <w:fldData xml:space="preserve">PEVuZE5vdGU+PENpdGU+PEF1dGhvcj5IaWdnaW5zIEpQVDwvQXV0aG9yPjxZZWFyPjIwMTk8L1ll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2" w:tooltip="Higgins JPT, 2019 #89" w:history="1">
        <w:r w:rsidR="00EC2769" w:rsidRPr="00A55335">
          <w:rPr>
            <w:noProof/>
          </w:rPr>
          <w:t>2-5</w:t>
        </w:r>
      </w:hyperlink>
      <w:r w:rsidR="00FA37A6" w:rsidRPr="00A55335">
        <w:rPr>
          <w:noProof/>
        </w:rPr>
        <w:t>)</w:t>
      </w:r>
      <w:r w:rsidRPr="00A55335">
        <w:fldChar w:fldCharType="end"/>
      </w:r>
      <w:r w:rsidRPr="00A55335">
        <w:t>.</w:t>
      </w:r>
    </w:p>
    <w:p w14:paraId="04CFB21C" w14:textId="77777777" w:rsidR="00DD505D" w:rsidRPr="00A55335" w:rsidRDefault="00DD505D" w:rsidP="00C373A2">
      <w:pPr>
        <w:pStyle w:val="H2-notoccolour"/>
      </w:pPr>
      <w:r w:rsidRPr="00A55335">
        <w:t>Funding</w:t>
      </w:r>
    </w:p>
    <w:p w14:paraId="2EF0810A" w14:textId="25F6BD19" w:rsidR="00DD505D" w:rsidRPr="00A55335" w:rsidRDefault="00DD505D" w:rsidP="00DD505D">
      <w:pPr>
        <w:pStyle w:val="BodyText"/>
      </w:pPr>
      <w:r w:rsidRPr="00A55335">
        <w:t xml:space="preserve">This review is funded by the Australian Government Department of Health via NHMRC, under </w:t>
      </w:r>
      <w:r w:rsidR="00A86C64" w:rsidRPr="00A55335">
        <w:t>Contract</w:t>
      </w:r>
      <w:r w:rsidRPr="00A55335">
        <w:t xml:space="preserve"> </w:t>
      </w:r>
      <w:r w:rsidR="00565F78" w:rsidRPr="00A55335">
        <w:t>2020-2021C009</w:t>
      </w:r>
      <w:r w:rsidRPr="00A55335">
        <w:t>.</w:t>
      </w:r>
    </w:p>
    <w:p w14:paraId="5B931E32" w14:textId="77777777" w:rsidR="00DD505D" w:rsidRPr="00A55335" w:rsidRDefault="00DD505D" w:rsidP="00C373A2">
      <w:pPr>
        <w:pStyle w:val="H2-notoccolour"/>
      </w:pPr>
      <w:r w:rsidRPr="00A55335">
        <w:t>Acknowledgments</w:t>
      </w:r>
    </w:p>
    <w:p w14:paraId="35FA3B88" w14:textId="73E56AFC" w:rsidR="00DD505D" w:rsidRPr="00A55335" w:rsidRDefault="00DD505D" w:rsidP="00DD505D">
      <w:pPr>
        <w:pStyle w:val="BodyText"/>
      </w:pPr>
      <w:r w:rsidRPr="00A55335">
        <w:t xml:space="preserve">Thanks to the members of the Department of Health’s NTREAP and the National Health and Medical Research Council’s NTWC for their advice and comments throughout the creation of this document. </w:t>
      </w:r>
      <w:r w:rsidR="00932C24" w:rsidRPr="00A55335">
        <w:t>PRACI data was provided by Dr Amie Steel at UTS.</w:t>
      </w:r>
    </w:p>
    <w:p w14:paraId="5BCAA24D" w14:textId="77777777" w:rsidR="00DD505D" w:rsidRPr="00A55335" w:rsidRDefault="00DD505D" w:rsidP="00DD505D">
      <w:pPr>
        <w:pStyle w:val="BodyText"/>
      </w:pPr>
      <w:r w:rsidRPr="00A55335">
        <w:t>Membership and other details of the Panel and Committee can be found at:</w:t>
      </w:r>
    </w:p>
    <w:p w14:paraId="07C15245" w14:textId="39391865" w:rsidR="00DD505D" w:rsidRPr="00A55335" w:rsidRDefault="00DD505D" w:rsidP="00DD505D">
      <w:pPr>
        <w:pStyle w:val="BodyText"/>
        <w:rPr>
          <w:rStyle w:val="Hyperlink"/>
        </w:rPr>
      </w:pPr>
      <w:hyperlink r:id="rId14" w:history="1">
        <w:r w:rsidRPr="00A55335">
          <w:rPr>
            <w:rStyle w:val="Hyperlink"/>
          </w:rPr>
          <w:t>https://www.health.gov.au/committees-and-groups/natural-therapies-review-expert-advisory-panel</w:t>
        </w:r>
      </w:hyperlink>
    </w:p>
    <w:p w14:paraId="1E7DE2EE" w14:textId="14E9DD7E" w:rsidR="00DD505D" w:rsidRPr="00A55335" w:rsidRDefault="00DD505D" w:rsidP="00DD505D">
      <w:pPr>
        <w:pStyle w:val="BodyText"/>
      </w:pPr>
      <w:hyperlink r:id="rId15" w:history="1">
        <w:r w:rsidRPr="00A55335">
          <w:rPr>
            <w:rStyle w:val="Hyperlink"/>
          </w:rPr>
          <w:t>https://www.nhmrc.gov.au/about-us/leadership-and-governance/committees/natural-therapies-working-committee</w:t>
        </w:r>
      </w:hyperlink>
    </w:p>
    <w:sdt>
      <w:sdtPr>
        <w:rPr>
          <w:rFonts w:eastAsia="Calibri" w:cs="Calibri"/>
          <w:bCs w:val="0"/>
          <w:color w:val="auto"/>
          <w:sz w:val="18"/>
          <w:szCs w:val="20"/>
          <w:lang w:val="en-AU"/>
        </w:rPr>
        <w:id w:val="2102515928"/>
        <w:docPartObj>
          <w:docPartGallery w:val="Table of Contents"/>
          <w:docPartUnique/>
        </w:docPartObj>
      </w:sdtPr>
      <w:sdtEndPr>
        <w:rPr>
          <w:szCs w:val="18"/>
        </w:rPr>
      </w:sdtEndPr>
      <w:sdtContent>
        <w:p w14:paraId="5E779156" w14:textId="77777777" w:rsidR="00DD505D" w:rsidRPr="00A55335" w:rsidRDefault="00DD505D" w:rsidP="00DD505D">
          <w:pPr>
            <w:pStyle w:val="TOCHeading"/>
            <w:rPr>
              <w:lang w:val="en-AU"/>
            </w:rPr>
          </w:pPr>
          <w:r w:rsidRPr="00A55335">
            <w:rPr>
              <w:lang w:val="en-AU"/>
            </w:rPr>
            <w:t>Contents</w:t>
          </w:r>
        </w:p>
        <w:p w14:paraId="3A6A8F30" w14:textId="2C469ACD" w:rsidR="00814B04" w:rsidRDefault="00DD505D">
          <w:pPr>
            <w:pStyle w:val="TOC1"/>
            <w:rPr>
              <w:rFonts w:asciiTheme="minorHAnsi" w:eastAsiaTheme="minorEastAsia" w:hAnsiTheme="minorHAnsi" w:cstheme="minorBidi"/>
              <w:b w:val="0"/>
              <w:color w:val="auto"/>
              <w:kern w:val="2"/>
              <w:sz w:val="24"/>
              <w:szCs w:val="24"/>
              <w:lang w:eastAsia="en-AU"/>
              <w14:ligatures w14:val="standardContextual"/>
            </w:rPr>
          </w:pPr>
          <w:r w:rsidRPr="00A55335">
            <w:rPr>
              <w:rFonts w:ascii="Calibri" w:hAnsi="Calibri"/>
              <w:noProof w:val="0"/>
              <w:color w:val="000000"/>
              <w:sz w:val="24"/>
            </w:rPr>
            <w:fldChar w:fldCharType="begin"/>
          </w:r>
          <w:r w:rsidRPr="00A55335">
            <w:rPr>
              <w:noProof w:val="0"/>
            </w:rPr>
            <w:instrText xml:space="preserve"> TOC \o "1-3" \h \z \u </w:instrText>
          </w:r>
          <w:r w:rsidRPr="00A55335">
            <w:rPr>
              <w:rFonts w:ascii="Calibri" w:hAnsi="Calibri"/>
              <w:noProof w:val="0"/>
              <w:color w:val="000000"/>
              <w:sz w:val="24"/>
            </w:rPr>
            <w:fldChar w:fldCharType="separate"/>
          </w:r>
          <w:hyperlink w:anchor="_Toc183441283" w:history="1">
            <w:r w:rsidR="00814B04" w:rsidRPr="006E7CF9">
              <w:rPr>
                <w:rStyle w:val="Hyperlink"/>
              </w:rPr>
              <w:t>Report information</w:t>
            </w:r>
            <w:r w:rsidR="00814B04">
              <w:rPr>
                <w:webHidden/>
              </w:rPr>
              <w:tab/>
            </w:r>
            <w:r w:rsidR="00814B04">
              <w:rPr>
                <w:webHidden/>
              </w:rPr>
              <w:fldChar w:fldCharType="begin"/>
            </w:r>
            <w:r w:rsidR="00814B04">
              <w:rPr>
                <w:webHidden/>
              </w:rPr>
              <w:instrText xml:space="preserve"> PAGEREF _Toc183441283 \h </w:instrText>
            </w:r>
            <w:r w:rsidR="00814B04">
              <w:rPr>
                <w:webHidden/>
              </w:rPr>
            </w:r>
            <w:r w:rsidR="00814B04">
              <w:rPr>
                <w:webHidden/>
              </w:rPr>
              <w:fldChar w:fldCharType="separate"/>
            </w:r>
            <w:r w:rsidR="00A92B41">
              <w:rPr>
                <w:webHidden/>
              </w:rPr>
              <w:t>iii</w:t>
            </w:r>
            <w:r w:rsidR="00814B04">
              <w:rPr>
                <w:webHidden/>
              </w:rPr>
              <w:fldChar w:fldCharType="end"/>
            </w:r>
          </w:hyperlink>
        </w:p>
        <w:p w14:paraId="2503ED6B" w14:textId="0FEB318E"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284" w:history="1">
            <w:r w:rsidRPr="006E7CF9">
              <w:rPr>
                <w:rStyle w:val="Hyperlink"/>
              </w:rPr>
              <w:t>List of tables</w:t>
            </w:r>
            <w:r>
              <w:rPr>
                <w:webHidden/>
              </w:rPr>
              <w:tab/>
            </w:r>
            <w:r>
              <w:rPr>
                <w:webHidden/>
              </w:rPr>
              <w:fldChar w:fldCharType="begin"/>
            </w:r>
            <w:r>
              <w:rPr>
                <w:webHidden/>
              </w:rPr>
              <w:instrText xml:space="preserve"> PAGEREF _Toc183441284 \h </w:instrText>
            </w:r>
            <w:r>
              <w:rPr>
                <w:webHidden/>
              </w:rPr>
            </w:r>
            <w:r>
              <w:rPr>
                <w:webHidden/>
              </w:rPr>
              <w:fldChar w:fldCharType="separate"/>
            </w:r>
            <w:r w:rsidR="00A92B41">
              <w:rPr>
                <w:webHidden/>
              </w:rPr>
              <w:t>ix</w:t>
            </w:r>
            <w:r>
              <w:rPr>
                <w:webHidden/>
              </w:rPr>
              <w:fldChar w:fldCharType="end"/>
            </w:r>
          </w:hyperlink>
        </w:p>
        <w:p w14:paraId="22B7F891" w14:textId="5F49B4E3"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285" w:history="1">
            <w:r w:rsidRPr="006E7CF9">
              <w:rPr>
                <w:rStyle w:val="Hyperlink"/>
              </w:rPr>
              <w:t>List of figures</w:t>
            </w:r>
            <w:r>
              <w:rPr>
                <w:webHidden/>
              </w:rPr>
              <w:tab/>
            </w:r>
            <w:r>
              <w:rPr>
                <w:webHidden/>
              </w:rPr>
              <w:fldChar w:fldCharType="begin"/>
            </w:r>
            <w:r>
              <w:rPr>
                <w:webHidden/>
              </w:rPr>
              <w:instrText xml:space="preserve"> PAGEREF _Toc183441285 \h </w:instrText>
            </w:r>
            <w:r>
              <w:rPr>
                <w:webHidden/>
              </w:rPr>
            </w:r>
            <w:r>
              <w:rPr>
                <w:webHidden/>
              </w:rPr>
              <w:fldChar w:fldCharType="separate"/>
            </w:r>
            <w:r w:rsidR="00A92B41">
              <w:rPr>
                <w:webHidden/>
              </w:rPr>
              <w:t>x</w:t>
            </w:r>
            <w:r>
              <w:rPr>
                <w:webHidden/>
              </w:rPr>
              <w:fldChar w:fldCharType="end"/>
            </w:r>
          </w:hyperlink>
        </w:p>
        <w:p w14:paraId="06C78C39" w14:textId="49172D7C"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286" w:history="1">
            <w:r w:rsidRPr="006E7CF9">
              <w:rPr>
                <w:rStyle w:val="Hyperlink"/>
              </w:rPr>
              <w:t>List of abbreviations</w:t>
            </w:r>
            <w:r>
              <w:rPr>
                <w:webHidden/>
              </w:rPr>
              <w:tab/>
            </w:r>
            <w:r>
              <w:rPr>
                <w:webHidden/>
              </w:rPr>
              <w:fldChar w:fldCharType="begin"/>
            </w:r>
            <w:r>
              <w:rPr>
                <w:webHidden/>
              </w:rPr>
              <w:instrText xml:space="preserve"> PAGEREF _Toc183441286 \h </w:instrText>
            </w:r>
            <w:r>
              <w:rPr>
                <w:webHidden/>
              </w:rPr>
            </w:r>
            <w:r>
              <w:rPr>
                <w:webHidden/>
              </w:rPr>
              <w:fldChar w:fldCharType="separate"/>
            </w:r>
            <w:r w:rsidR="00A92B41">
              <w:rPr>
                <w:webHidden/>
              </w:rPr>
              <w:t>xv</w:t>
            </w:r>
            <w:r>
              <w:rPr>
                <w:webHidden/>
              </w:rPr>
              <w:fldChar w:fldCharType="end"/>
            </w:r>
          </w:hyperlink>
        </w:p>
        <w:p w14:paraId="305B2D5E" w14:textId="23286453"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287" w:history="1">
            <w:r w:rsidRPr="006E7CF9">
              <w:rPr>
                <w:rStyle w:val="Hyperlink"/>
              </w:rPr>
              <w:t>Plain language summary</w:t>
            </w:r>
            <w:r>
              <w:rPr>
                <w:webHidden/>
              </w:rPr>
              <w:tab/>
            </w:r>
            <w:r>
              <w:rPr>
                <w:webHidden/>
              </w:rPr>
              <w:fldChar w:fldCharType="begin"/>
            </w:r>
            <w:r>
              <w:rPr>
                <w:webHidden/>
              </w:rPr>
              <w:instrText xml:space="preserve"> PAGEREF _Toc183441287 \h </w:instrText>
            </w:r>
            <w:r>
              <w:rPr>
                <w:webHidden/>
              </w:rPr>
            </w:r>
            <w:r>
              <w:rPr>
                <w:webHidden/>
              </w:rPr>
              <w:fldChar w:fldCharType="separate"/>
            </w:r>
            <w:r w:rsidR="00A92B41">
              <w:rPr>
                <w:webHidden/>
              </w:rPr>
              <w:t>xvi</w:t>
            </w:r>
            <w:r>
              <w:rPr>
                <w:webHidden/>
              </w:rPr>
              <w:fldChar w:fldCharType="end"/>
            </w:r>
          </w:hyperlink>
        </w:p>
        <w:p w14:paraId="34E82DA4" w14:textId="66EBF8A3"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288" w:history="1">
            <w:r w:rsidRPr="006E7CF9">
              <w:rPr>
                <w:rStyle w:val="Hyperlink"/>
              </w:rPr>
              <w:t>Executive summary</w:t>
            </w:r>
            <w:r>
              <w:rPr>
                <w:webHidden/>
              </w:rPr>
              <w:tab/>
            </w:r>
            <w:r>
              <w:rPr>
                <w:webHidden/>
              </w:rPr>
              <w:fldChar w:fldCharType="begin"/>
            </w:r>
            <w:r>
              <w:rPr>
                <w:webHidden/>
              </w:rPr>
              <w:instrText xml:space="preserve"> PAGEREF _Toc183441288 \h </w:instrText>
            </w:r>
            <w:r>
              <w:rPr>
                <w:webHidden/>
              </w:rPr>
            </w:r>
            <w:r>
              <w:rPr>
                <w:webHidden/>
              </w:rPr>
              <w:fldChar w:fldCharType="separate"/>
            </w:r>
            <w:r w:rsidR="00A92B41">
              <w:rPr>
                <w:webHidden/>
              </w:rPr>
              <w:t>xxi</w:t>
            </w:r>
            <w:r>
              <w:rPr>
                <w:webHidden/>
              </w:rPr>
              <w:fldChar w:fldCharType="end"/>
            </w:r>
          </w:hyperlink>
        </w:p>
        <w:p w14:paraId="4A2BB2C9" w14:textId="1BEDCCA1"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289" w:history="1">
            <w:r w:rsidRPr="006E7CF9">
              <w:rPr>
                <w:rStyle w:val="Hyperlink"/>
              </w:rPr>
              <w:t>1</w:t>
            </w:r>
            <w:r>
              <w:rPr>
                <w:rFonts w:asciiTheme="minorHAnsi" w:eastAsiaTheme="minorEastAsia" w:hAnsiTheme="minorHAnsi" w:cstheme="minorBidi"/>
                <w:b w:val="0"/>
                <w:color w:val="auto"/>
                <w:kern w:val="2"/>
                <w:sz w:val="24"/>
                <w:szCs w:val="24"/>
                <w:lang w:eastAsia="en-AU"/>
                <w14:ligatures w14:val="standardContextual"/>
              </w:rPr>
              <w:tab/>
            </w:r>
            <w:r w:rsidRPr="006E7CF9">
              <w:rPr>
                <w:rStyle w:val="Hyperlink"/>
              </w:rPr>
              <w:t>Background</w:t>
            </w:r>
            <w:r>
              <w:rPr>
                <w:webHidden/>
              </w:rPr>
              <w:tab/>
            </w:r>
            <w:r>
              <w:rPr>
                <w:webHidden/>
              </w:rPr>
              <w:fldChar w:fldCharType="begin"/>
            </w:r>
            <w:r>
              <w:rPr>
                <w:webHidden/>
              </w:rPr>
              <w:instrText xml:space="preserve"> PAGEREF _Toc183441289 \h </w:instrText>
            </w:r>
            <w:r>
              <w:rPr>
                <w:webHidden/>
              </w:rPr>
            </w:r>
            <w:r>
              <w:rPr>
                <w:webHidden/>
              </w:rPr>
              <w:fldChar w:fldCharType="separate"/>
            </w:r>
            <w:r w:rsidR="00A92B41">
              <w:rPr>
                <w:webHidden/>
              </w:rPr>
              <w:t>1</w:t>
            </w:r>
            <w:r>
              <w:rPr>
                <w:webHidden/>
              </w:rPr>
              <w:fldChar w:fldCharType="end"/>
            </w:r>
          </w:hyperlink>
        </w:p>
        <w:p w14:paraId="0976AA6E" w14:textId="42A3A91A"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290" w:history="1">
            <w:r w:rsidRPr="006E7CF9">
              <w:rPr>
                <w:rStyle w:val="Hyperlink"/>
                <w:noProof/>
              </w:rPr>
              <w:t>1.1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 and setting</w:t>
            </w:r>
            <w:r>
              <w:rPr>
                <w:noProof/>
                <w:webHidden/>
              </w:rPr>
              <w:tab/>
            </w:r>
            <w:r>
              <w:rPr>
                <w:noProof/>
                <w:webHidden/>
              </w:rPr>
              <w:fldChar w:fldCharType="begin"/>
            </w:r>
            <w:r>
              <w:rPr>
                <w:noProof/>
                <w:webHidden/>
              </w:rPr>
              <w:instrText xml:space="preserve"> PAGEREF _Toc183441290 \h </w:instrText>
            </w:r>
            <w:r>
              <w:rPr>
                <w:noProof/>
                <w:webHidden/>
              </w:rPr>
            </w:r>
            <w:r>
              <w:rPr>
                <w:noProof/>
                <w:webHidden/>
              </w:rPr>
              <w:fldChar w:fldCharType="separate"/>
            </w:r>
            <w:r w:rsidR="00A92B41">
              <w:rPr>
                <w:noProof/>
                <w:webHidden/>
              </w:rPr>
              <w:t>1</w:t>
            </w:r>
            <w:r>
              <w:rPr>
                <w:noProof/>
                <w:webHidden/>
              </w:rPr>
              <w:fldChar w:fldCharType="end"/>
            </w:r>
          </w:hyperlink>
        </w:p>
        <w:p w14:paraId="2874F689" w14:textId="5242FF83"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291" w:history="1">
            <w:r w:rsidRPr="006E7CF9">
              <w:rPr>
                <w:rStyle w:val="Hyperlink"/>
                <w:noProof/>
              </w:rPr>
              <w:t>1.2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intervention</w:t>
            </w:r>
            <w:r>
              <w:rPr>
                <w:noProof/>
                <w:webHidden/>
              </w:rPr>
              <w:tab/>
            </w:r>
            <w:r>
              <w:rPr>
                <w:noProof/>
                <w:webHidden/>
              </w:rPr>
              <w:fldChar w:fldCharType="begin"/>
            </w:r>
            <w:r>
              <w:rPr>
                <w:noProof/>
                <w:webHidden/>
              </w:rPr>
              <w:instrText xml:space="preserve"> PAGEREF _Toc183441291 \h </w:instrText>
            </w:r>
            <w:r>
              <w:rPr>
                <w:noProof/>
                <w:webHidden/>
              </w:rPr>
            </w:r>
            <w:r>
              <w:rPr>
                <w:noProof/>
                <w:webHidden/>
              </w:rPr>
              <w:fldChar w:fldCharType="separate"/>
            </w:r>
            <w:r w:rsidR="00A92B41">
              <w:rPr>
                <w:noProof/>
                <w:webHidden/>
              </w:rPr>
              <w:t>2</w:t>
            </w:r>
            <w:r>
              <w:rPr>
                <w:noProof/>
                <w:webHidden/>
              </w:rPr>
              <w:fldChar w:fldCharType="end"/>
            </w:r>
          </w:hyperlink>
        </w:p>
        <w:p w14:paraId="2A229E91" w14:textId="35580BAD"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292" w:history="1">
            <w:r w:rsidRPr="006E7CF9">
              <w:rPr>
                <w:rStyle w:val="Hyperlink"/>
                <w:noProof/>
              </w:rPr>
              <w:t>1.3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How the intervention might work</w:t>
            </w:r>
            <w:r>
              <w:rPr>
                <w:noProof/>
                <w:webHidden/>
              </w:rPr>
              <w:tab/>
            </w:r>
            <w:r>
              <w:rPr>
                <w:noProof/>
                <w:webHidden/>
              </w:rPr>
              <w:fldChar w:fldCharType="begin"/>
            </w:r>
            <w:r>
              <w:rPr>
                <w:noProof/>
                <w:webHidden/>
              </w:rPr>
              <w:instrText xml:space="preserve"> PAGEREF _Toc183441292 \h </w:instrText>
            </w:r>
            <w:r>
              <w:rPr>
                <w:noProof/>
                <w:webHidden/>
              </w:rPr>
            </w:r>
            <w:r>
              <w:rPr>
                <w:noProof/>
                <w:webHidden/>
              </w:rPr>
              <w:fldChar w:fldCharType="separate"/>
            </w:r>
            <w:r w:rsidR="00A92B41">
              <w:rPr>
                <w:noProof/>
                <w:webHidden/>
              </w:rPr>
              <w:t>4</w:t>
            </w:r>
            <w:r>
              <w:rPr>
                <w:noProof/>
                <w:webHidden/>
              </w:rPr>
              <w:fldChar w:fldCharType="end"/>
            </w:r>
          </w:hyperlink>
        </w:p>
        <w:p w14:paraId="0D29EE61" w14:textId="4B949CDE"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293" w:history="1">
            <w:r w:rsidRPr="006E7CF9">
              <w:rPr>
                <w:rStyle w:val="Hyperlink"/>
                <w:noProof/>
              </w:rPr>
              <w:t>1.4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Why it is important to do this review</w:t>
            </w:r>
            <w:r>
              <w:rPr>
                <w:noProof/>
                <w:webHidden/>
              </w:rPr>
              <w:tab/>
            </w:r>
            <w:r>
              <w:rPr>
                <w:noProof/>
                <w:webHidden/>
              </w:rPr>
              <w:fldChar w:fldCharType="begin"/>
            </w:r>
            <w:r>
              <w:rPr>
                <w:noProof/>
                <w:webHidden/>
              </w:rPr>
              <w:instrText xml:space="preserve"> PAGEREF _Toc183441293 \h </w:instrText>
            </w:r>
            <w:r>
              <w:rPr>
                <w:noProof/>
                <w:webHidden/>
              </w:rPr>
            </w:r>
            <w:r>
              <w:rPr>
                <w:noProof/>
                <w:webHidden/>
              </w:rPr>
              <w:fldChar w:fldCharType="separate"/>
            </w:r>
            <w:r w:rsidR="00A92B41">
              <w:rPr>
                <w:noProof/>
                <w:webHidden/>
              </w:rPr>
              <w:t>4</w:t>
            </w:r>
            <w:r>
              <w:rPr>
                <w:noProof/>
                <w:webHidden/>
              </w:rPr>
              <w:fldChar w:fldCharType="end"/>
            </w:r>
          </w:hyperlink>
        </w:p>
        <w:p w14:paraId="1CAAC094" w14:textId="71E13125"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294" w:history="1">
            <w:r w:rsidRPr="006E7CF9">
              <w:rPr>
                <w:rStyle w:val="Hyperlink"/>
              </w:rPr>
              <w:t>2</w:t>
            </w:r>
            <w:r>
              <w:rPr>
                <w:rFonts w:asciiTheme="minorHAnsi" w:eastAsiaTheme="minorEastAsia" w:hAnsiTheme="minorHAnsi" w:cstheme="minorBidi"/>
                <w:b w:val="0"/>
                <w:color w:val="auto"/>
                <w:kern w:val="2"/>
                <w:sz w:val="24"/>
                <w:szCs w:val="24"/>
                <w:lang w:eastAsia="en-AU"/>
                <w14:ligatures w14:val="standardContextual"/>
              </w:rPr>
              <w:tab/>
            </w:r>
            <w:r w:rsidRPr="006E7CF9">
              <w:rPr>
                <w:rStyle w:val="Hyperlink"/>
              </w:rPr>
              <w:t>Objectives</w:t>
            </w:r>
            <w:r>
              <w:rPr>
                <w:webHidden/>
              </w:rPr>
              <w:tab/>
            </w:r>
            <w:r>
              <w:rPr>
                <w:webHidden/>
              </w:rPr>
              <w:fldChar w:fldCharType="begin"/>
            </w:r>
            <w:r>
              <w:rPr>
                <w:webHidden/>
              </w:rPr>
              <w:instrText xml:space="preserve"> PAGEREF _Toc183441294 \h </w:instrText>
            </w:r>
            <w:r>
              <w:rPr>
                <w:webHidden/>
              </w:rPr>
            </w:r>
            <w:r>
              <w:rPr>
                <w:webHidden/>
              </w:rPr>
              <w:fldChar w:fldCharType="separate"/>
            </w:r>
            <w:r w:rsidR="00A92B41">
              <w:rPr>
                <w:webHidden/>
              </w:rPr>
              <w:t>6</w:t>
            </w:r>
            <w:r>
              <w:rPr>
                <w:webHidden/>
              </w:rPr>
              <w:fldChar w:fldCharType="end"/>
            </w:r>
          </w:hyperlink>
        </w:p>
        <w:p w14:paraId="5DAAB03A" w14:textId="38816F92"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295" w:history="1">
            <w:r w:rsidRPr="006E7CF9">
              <w:rPr>
                <w:rStyle w:val="Hyperlink"/>
              </w:rPr>
              <w:t>3</w:t>
            </w:r>
            <w:r>
              <w:rPr>
                <w:rFonts w:asciiTheme="minorHAnsi" w:eastAsiaTheme="minorEastAsia" w:hAnsiTheme="minorHAnsi" w:cstheme="minorBidi"/>
                <w:b w:val="0"/>
                <w:color w:val="auto"/>
                <w:kern w:val="2"/>
                <w:sz w:val="24"/>
                <w:szCs w:val="24"/>
                <w:lang w:eastAsia="en-AU"/>
                <w14:ligatures w14:val="standardContextual"/>
              </w:rPr>
              <w:tab/>
            </w:r>
            <w:r w:rsidRPr="006E7CF9">
              <w:rPr>
                <w:rStyle w:val="Hyperlink"/>
              </w:rPr>
              <w:t>Methods</w:t>
            </w:r>
            <w:r>
              <w:rPr>
                <w:webHidden/>
              </w:rPr>
              <w:tab/>
            </w:r>
            <w:r>
              <w:rPr>
                <w:webHidden/>
              </w:rPr>
              <w:fldChar w:fldCharType="begin"/>
            </w:r>
            <w:r>
              <w:rPr>
                <w:webHidden/>
              </w:rPr>
              <w:instrText xml:space="preserve"> PAGEREF _Toc183441295 \h </w:instrText>
            </w:r>
            <w:r>
              <w:rPr>
                <w:webHidden/>
              </w:rPr>
            </w:r>
            <w:r>
              <w:rPr>
                <w:webHidden/>
              </w:rPr>
              <w:fldChar w:fldCharType="separate"/>
            </w:r>
            <w:r w:rsidR="00A92B41">
              <w:rPr>
                <w:webHidden/>
              </w:rPr>
              <w:t>7</w:t>
            </w:r>
            <w:r>
              <w:rPr>
                <w:webHidden/>
              </w:rPr>
              <w:fldChar w:fldCharType="end"/>
            </w:r>
          </w:hyperlink>
        </w:p>
        <w:p w14:paraId="78377F54" w14:textId="53825BA1"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296" w:history="1">
            <w:r w:rsidRPr="006E7CF9">
              <w:rPr>
                <w:rStyle w:val="Hyperlink"/>
              </w:rPr>
              <w:t>4</w:t>
            </w:r>
            <w:r>
              <w:rPr>
                <w:rFonts w:asciiTheme="minorHAnsi" w:eastAsiaTheme="minorEastAsia" w:hAnsiTheme="minorHAnsi" w:cstheme="minorBidi"/>
                <w:b w:val="0"/>
                <w:color w:val="auto"/>
                <w:kern w:val="2"/>
                <w:sz w:val="24"/>
                <w:szCs w:val="24"/>
                <w:lang w:eastAsia="en-AU"/>
                <w14:ligatures w14:val="standardContextual"/>
              </w:rPr>
              <w:tab/>
            </w:r>
            <w:r w:rsidRPr="006E7CF9">
              <w:rPr>
                <w:rStyle w:val="Hyperlink"/>
              </w:rPr>
              <w:t>Results</w:t>
            </w:r>
            <w:r>
              <w:rPr>
                <w:webHidden/>
              </w:rPr>
              <w:tab/>
            </w:r>
            <w:r>
              <w:rPr>
                <w:webHidden/>
              </w:rPr>
              <w:fldChar w:fldCharType="begin"/>
            </w:r>
            <w:r>
              <w:rPr>
                <w:webHidden/>
              </w:rPr>
              <w:instrText xml:space="preserve"> PAGEREF _Toc183441296 \h </w:instrText>
            </w:r>
            <w:r>
              <w:rPr>
                <w:webHidden/>
              </w:rPr>
            </w:r>
            <w:r>
              <w:rPr>
                <w:webHidden/>
              </w:rPr>
              <w:fldChar w:fldCharType="separate"/>
            </w:r>
            <w:r w:rsidR="00A92B41">
              <w:rPr>
                <w:webHidden/>
              </w:rPr>
              <w:t>8</w:t>
            </w:r>
            <w:r>
              <w:rPr>
                <w:webHidden/>
              </w:rPr>
              <w:fldChar w:fldCharType="end"/>
            </w:r>
          </w:hyperlink>
        </w:p>
        <w:p w14:paraId="041CA6B1" w14:textId="6ACF87DC"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297" w:history="1">
            <w:r w:rsidRPr="006E7CF9">
              <w:rPr>
                <w:rStyle w:val="Hyperlink"/>
                <w:noProof/>
              </w:rPr>
              <w:t>4.1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_Toc183441297 \h </w:instrText>
            </w:r>
            <w:r>
              <w:rPr>
                <w:noProof/>
                <w:webHidden/>
              </w:rPr>
            </w:r>
            <w:r>
              <w:rPr>
                <w:noProof/>
                <w:webHidden/>
              </w:rPr>
              <w:fldChar w:fldCharType="separate"/>
            </w:r>
            <w:r w:rsidR="00A92B41">
              <w:rPr>
                <w:noProof/>
                <w:webHidden/>
              </w:rPr>
              <w:t>8</w:t>
            </w:r>
            <w:r>
              <w:rPr>
                <w:noProof/>
                <w:webHidden/>
              </w:rPr>
              <w:fldChar w:fldCharType="end"/>
            </w:r>
          </w:hyperlink>
        </w:p>
        <w:p w14:paraId="5A337A70" w14:textId="38C2D8FF"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298" w:history="1">
            <w:r w:rsidRPr="006E7CF9">
              <w:rPr>
                <w:rStyle w:val="Hyperlink"/>
                <w:noProof/>
              </w:rPr>
              <w:t>4.1.1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Flow of studies</w:t>
            </w:r>
            <w:r>
              <w:rPr>
                <w:noProof/>
                <w:webHidden/>
              </w:rPr>
              <w:tab/>
            </w:r>
            <w:r>
              <w:rPr>
                <w:noProof/>
                <w:webHidden/>
              </w:rPr>
              <w:fldChar w:fldCharType="begin"/>
            </w:r>
            <w:r>
              <w:rPr>
                <w:noProof/>
                <w:webHidden/>
              </w:rPr>
              <w:instrText xml:space="preserve"> PAGEREF _Toc183441298 \h </w:instrText>
            </w:r>
            <w:r>
              <w:rPr>
                <w:noProof/>
                <w:webHidden/>
              </w:rPr>
            </w:r>
            <w:r>
              <w:rPr>
                <w:noProof/>
                <w:webHidden/>
              </w:rPr>
              <w:fldChar w:fldCharType="separate"/>
            </w:r>
            <w:r w:rsidR="00A92B41">
              <w:rPr>
                <w:noProof/>
                <w:webHidden/>
              </w:rPr>
              <w:t>8</w:t>
            </w:r>
            <w:r>
              <w:rPr>
                <w:noProof/>
                <w:webHidden/>
              </w:rPr>
              <w:fldChar w:fldCharType="end"/>
            </w:r>
          </w:hyperlink>
        </w:p>
        <w:p w14:paraId="03ED05FD" w14:textId="7006E0E0"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299" w:history="1">
            <w:r w:rsidRPr="006E7CF9">
              <w:rPr>
                <w:rStyle w:val="Hyperlink"/>
                <w:noProof/>
              </w:rPr>
              <w:t>4.1.2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Excluded studies</w:t>
            </w:r>
            <w:r>
              <w:rPr>
                <w:noProof/>
                <w:webHidden/>
              </w:rPr>
              <w:tab/>
            </w:r>
            <w:r>
              <w:rPr>
                <w:noProof/>
                <w:webHidden/>
              </w:rPr>
              <w:fldChar w:fldCharType="begin"/>
            </w:r>
            <w:r>
              <w:rPr>
                <w:noProof/>
                <w:webHidden/>
              </w:rPr>
              <w:instrText xml:space="preserve"> PAGEREF _Toc183441299 \h </w:instrText>
            </w:r>
            <w:r>
              <w:rPr>
                <w:noProof/>
                <w:webHidden/>
              </w:rPr>
            </w:r>
            <w:r>
              <w:rPr>
                <w:noProof/>
                <w:webHidden/>
              </w:rPr>
              <w:fldChar w:fldCharType="separate"/>
            </w:r>
            <w:r w:rsidR="00A92B41">
              <w:rPr>
                <w:noProof/>
                <w:webHidden/>
              </w:rPr>
              <w:t>8</w:t>
            </w:r>
            <w:r>
              <w:rPr>
                <w:noProof/>
                <w:webHidden/>
              </w:rPr>
              <w:fldChar w:fldCharType="end"/>
            </w:r>
          </w:hyperlink>
        </w:p>
        <w:p w14:paraId="370B7295" w14:textId="26CB687D"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00" w:history="1">
            <w:r w:rsidRPr="006E7CF9">
              <w:rPr>
                <w:rStyle w:val="Hyperlink"/>
                <w:noProof/>
              </w:rPr>
              <w:t>4.1.3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Studies awaiting classification</w:t>
            </w:r>
            <w:r>
              <w:rPr>
                <w:noProof/>
                <w:webHidden/>
              </w:rPr>
              <w:tab/>
            </w:r>
            <w:r>
              <w:rPr>
                <w:noProof/>
                <w:webHidden/>
              </w:rPr>
              <w:fldChar w:fldCharType="begin"/>
            </w:r>
            <w:r>
              <w:rPr>
                <w:noProof/>
                <w:webHidden/>
              </w:rPr>
              <w:instrText xml:space="preserve"> PAGEREF _Toc183441300 \h </w:instrText>
            </w:r>
            <w:r>
              <w:rPr>
                <w:noProof/>
                <w:webHidden/>
              </w:rPr>
            </w:r>
            <w:r>
              <w:rPr>
                <w:noProof/>
                <w:webHidden/>
              </w:rPr>
              <w:fldChar w:fldCharType="separate"/>
            </w:r>
            <w:r w:rsidR="00A92B41">
              <w:rPr>
                <w:noProof/>
                <w:webHidden/>
              </w:rPr>
              <w:t>8</w:t>
            </w:r>
            <w:r>
              <w:rPr>
                <w:noProof/>
                <w:webHidden/>
              </w:rPr>
              <w:fldChar w:fldCharType="end"/>
            </w:r>
          </w:hyperlink>
        </w:p>
        <w:p w14:paraId="4D379665" w14:textId="403019EC"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01" w:history="1">
            <w:r w:rsidRPr="006E7CF9">
              <w:rPr>
                <w:rStyle w:val="Hyperlink"/>
                <w:noProof/>
              </w:rPr>
              <w:t>4.1.4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Ongoing studies</w:t>
            </w:r>
            <w:r>
              <w:rPr>
                <w:noProof/>
                <w:webHidden/>
              </w:rPr>
              <w:tab/>
            </w:r>
            <w:r>
              <w:rPr>
                <w:noProof/>
                <w:webHidden/>
              </w:rPr>
              <w:fldChar w:fldCharType="begin"/>
            </w:r>
            <w:r>
              <w:rPr>
                <w:noProof/>
                <w:webHidden/>
              </w:rPr>
              <w:instrText xml:space="preserve"> PAGEREF _Toc183441301 \h </w:instrText>
            </w:r>
            <w:r>
              <w:rPr>
                <w:noProof/>
                <w:webHidden/>
              </w:rPr>
            </w:r>
            <w:r>
              <w:rPr>
                <w:noProof/>
                <w:webHidden/>
              </w:rPr>
              <w:fldChar w:fldCharType="separate"/>
            </w:r>
            <w:r w:rsidR="00A92B41">
              <w:rPr>
                <w:noProof/>
                <w:webHidden/>
              </w:rPr>
              <w:t>9</w:t>
            </w:r>
            <w:r>
              <w:rPr>
                <w:noProof/>
                <w:webHidden/>
              </w:rPr>
              <w:fldChar w:fldCharType="end"/>
            </w:r>
          </w:hyperlink>
        </w:p>
        <w:p w14:paraId="6891797B" w14:textId="26BF4A6B"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02" w:history="1">
            <w:r w:rsidRPr="006E7CF9">
              <w:rPr>
                <w:rStyle w:val="Hyperlink"/>
                <w:noProof/>
              </w:rPr>
              <w:t>4.1.5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Included studies</w:t>
            </w:r>
            <w:r>
              <w:rPr>
                <w:noProof/>
                <w:webHidden/>
              </w:rPr>
              <w:tab/>
            </w:r>
            <w:r>
              <w:rPr>
                <w:noProof/>
                <w:webHidden/>
              </w:rPr>
              <w:fldChar w:fldCharType="begin"/>
            </w:r>
            <w:r>
              <w:rPr>
                <w:noProof/>
                <w:webHidden/>
              </w:rPr>
              <w:instrText xml:space="preserve"> PAGEREF _Toc183441302 \h </w:instrText>
            </w:r>
            <w:r>
              <w:rPr>
                <w:noProof/>
                <w:webHidden/>
              </w:rPr>
            </w:r>
            <w:r>
              <w:rPr>
                <w:noProof/>
                <w:webHidden/>
              </w:rPr>
              <w:fldChar w:fldCharType="separate"/>
            </w:r>
            <w:r w:rsidR="00A92B41">
              <w:rPr>
                <w:noProof/>
                <w:webHidden/>
              </w:rPr>
              <w:t>9</w:t>
            </w:r>
            <w:r>
              <w:rPr>
                <w:noProof/>
                <w:webHidden/>
              </w:rPr>
              <w:fldChar w:fldCharType="end"/>
            </w:r>
          </w:hyperlink>
        </w:p>
        <w:p w14:paraId="2FEE46E4" w14:textId="31F2E451"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03" w:history="1">
            <w:r w:rsidRPr="006E7CF9">
              <w:rPr>
                <w:rStyle w:val="Hyperlink"/>
                <w:noProof/>
              </w:rPr>
              <w:t>4.2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Atopic conditions</w:t>
            </w:r>
            <w:r>
              <w:rPr>
                <w:noProof/>
                <w:webHidden/>
              </w:rPr>
              <w:tab/>
            </w:r>
            <w:r>
              <w:rPr>
                <w:noProof/>
                <w:webHidden/>
              </w:rPr>
              <w:fldChar w:fldCharType="begin"/>
            </w:r>
            <w:r>
              <w:rPr>
                <w:noProof/>
                <w:webHidden/>
              </w:rPr>
              <w:instrText xml:space="preserve"> PAGEREF _Toc183441303 \h </w:instrText>
            </w:r>
            <w:r>
              <w:rPr>
                <w:noProof/>
                <w:webHidden/>
              </w:rPr>
            </w:r>
            <w:r>
              <w:rPr>
                <w:noProof/>
                <w:webHidden/>
              </w:rPr>
              <w:fldChar w:fldCharType="separate"/>
            </w:r>
            <w:r w:rsidR="00A92B41">
              <w:rPr>
                <w:noProof/>
                <w:webHidden/>
              </w:rPr>
              <w:t>16</w:t>
            </w:r>
            <w:r>
              <w:rPr>
                <w:noProof/>
                <w:webHidden/>
              </w:rPr>
              <w:fldChar w:fldCharType="end"/>
            </w:r>
          </w:hyperlink>
        </w:p>
        <w:p w14:paraId="63225F2F" w14:textId="41DD711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04" w:history="1">
            <w:r w:rsidRPr="006E7CF9">
              <w:rPr>
                <w:rStyle w:val="Hyperlink"/>
                <w:noProof/>
              </w:rPr>
              <w:t>4.2.1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_Toc183441304 \h </w:instrText>
            </w:r>
            <w:r>
              <w:rPr>
                <w:noProof/>
                <w:webHidden/>
              </w:rPr>
            </w:r>
            <w:r>
              <w:rPr>
                <w:noProof/>
                <w:webHidden/>
              </w:rPr>
              <w:fldChar w:fldCharType="separate"/>
            </w:r>
            <w:r w:rsidR="00A92B41">
              <w:rPr>
                <w:noProof/>
                <w:webHidden/>
              </w:rPr>
              <w:t>16</w:t>
            </w:r>
            <w:r>
              <w:rPr>
                <w:noProof/>
                <w:webHidden/>
              </w:rPr>
              <w:fldChar w:fldCharType="end"/>
            </w:r>
          </w:hyperlink>
        </w:p>
        <w:p w14:paraId="38AA7D6B" w14:textId="1731435F"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05" w:history="1">
            <w:r w:rsidRPr="006E7CF9">
              <w:rPr>
                <w:rStyle w:val="Hyperlink"/>
                <w:noProof/>
              </w:rPr>
              <w:t>4.2.2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studies</w:t>
            </w:r>
            <w:r>
              <w:rPr>
                <w:noProof/>
                <w:webHidden/>
              </w:rPr>
              <w:tab/>
            </w:r>
            <w:r>
              <w:rPr>
                <w:noProof/>
                <w:webHidden/>
              </w:rPr>
              <w:fldChar w:fldCharType="begin"/>
            </w:r>
            <w:r>
              <w:rPr>
                <w:noProof/>
                <w:webHidden/>
              </w:rPr>
              <w:instrText xml:space="preserve"> PAGEREF _Toc183441305 \h </w:instrText>
            </w:r>
            <w:r>
              <w:rPr>
                <w:noProof/>
                <w:webHidden/>
              </w:rPr>
            </w:r>
            <w:r>
              <w:rPr>
                <w:noProof/>
                <w:webHidden/>
              </w:rPr>
              <w:fldChar w:fldCharType="separate"/>
            </w:r>
            <w:r w:rsidR="00A92B41">
              <w:rPr>
                <w:noProof/>
                <w:webHidden/>
              </w:rPr>
              <w:t>16</w:t>
            </w:r>
            <w:r>
              <w:rPr>
                <w:noProof/>
                <w:webHidden/>
              </w:rPr>
              <w:fldChar w:fldCharType="end"/>
            </w:r>
          </w:hyperlink>
        </w:p>
        <w:p w14:paraId="7F9A488F" w14:textId="52FFC0D8"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06" w:history="1">
            <w:r w:rsidRPr="006E7CF9">
              <w:rPr>
                <w:rStyle w:val="Hyperlink"/>
                <w:noProof/>
              </w:rPr>
              <w:t>4.2.3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_Toc183441306 \h </w:instrText>
            </w:r>
            <w:r>
              <w:rPr>
                <w:noProof/>
                <w:webHidden/>
              </w:rPr>
            </w:r>
            <w:r>
              <w:rPr>
                <w:noProof/>
                <w:webHidden/>
              </w:rPr>
              <w:fldChar w:fldCharType="separate"/>
            </w:r>
            <w:r w:rsidR="00A92B41">
              <w:rPr>
                <w:noProof/>
                <w:webHidden/>
              </w:rPr>
              <w:t>17</w:t>
            </w:r>
            <w:r>
              <w:rPr>
                <w:noProof/>
                <w:webHidden/>
              </w:rPr>
              <w:fldChar w:fldCharType="end"/>
            </w:r>
          </w:hyperlink>
        </w:p>
        <w:p w14:paraId="5CDE9C38" w14:textId="78AACC8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07" w:history="1">
            <w:r w:rsidRPr="006E7CF9">
              <w:rPr>
                <w:rStyle w:val="Hyperlink"/>
                <w:noProof/>
              </w:rPr>
              <w:t>4.2.4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_Toc183441307 \h </w:instrText>
            </w:r>
            <w:r>
              <w:rPr>
                <w:noProof/>
                <w:webHidden/>
              </w:rPr>
            </w:r>
            <w:r>
              <w:rPr>
                <w:noProof/>
                <w:webHidden/>
              </w:rPr>
              <w:fldChar w:fldCharType="separate"/>
            </w:r>
            <w:r w:rsidR="00A92B41">
              <w:rPr>
                <w:noProof/>
                <w:webHidden/>
              </w:rPr>
              <w:t>18</w:t>
            </w:r>
            <w:r>
              <w:rPr>
                <w:noProof/>
                <w:webHidden/>
              </w:rPr>
              <w:fldChar w:fldCharType="end"/>
            </w:r>
          </w:hyperlink>
        </w:p>
        <w:p w14:paraId="631BFD5D" w14:textId="4F70D2A3"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08" w:history="1">
            <w:r w:rsidRPr="006E7CF9">
              <w:rPr>
                <w:rStyle w:val="Hyperlink"/>
                <w:noProof/>
              </w:rPr>
              <w:t>4.2.5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_Toc183441308 \h </w:instrText>
            </w:r>
            <w:r>
              <w:rPr>
                <w:noProof/>
                <w:webHidden/>
              </w:rPr>
            </w:r>
            <w:r>
              <w:rPr>
                <w:noProof/>
                <w:webHidden/>
              </w:rPr>
              <w:fldChar w:fldCharType="separate"/>
            </w:r>
            <w:r w:rsidR="00A92B41">
              <w:rPr>
                <w:noProof/>
                <w:webHidden/>
              </w:rPr>
              <w:t>22</w:t>
            </w:r>
            <w:r>
              <w:rPr>
                <w:noProof/>
                <w:webHidden/>
              </w:rPr>
              <w:fldChar w:fldCharType="end"/>
            </w:r>
          </w:hyperlink>
        </w:p>
        <w:p w14:paraId="43D3BDA4" w14:textId="49CCE156"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09" w:history="1">
            <w:r w:rsidRPr="006E7CF9">
              <w:rPr>
                <w:rStyle w:val="Hyperlink"/>
                <w:noProof/>
              </w:rPr>
              <w:t>4.3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Recurrent infections (childhood otitis media)</w:t>
            </w:r>
            <w:r>
              <w:rPr>
                <w:noProof/>
                <w:webHidden/>
              </w:rPr>
              <w:tab/>
            </w:r>
            <w:r>
              <w:rPr>
                <w:noProof/>
                <w:webHidden/>
              </w:rPr>
              <w:fldChar w:fldCharType="begin"/>
            </w:r>
            <w:r>
              <w:rPr>
                <w:noProof/>
                <w:webHidden/>
              </w:rPr>
              <w:instrText xml:space="preserve"> PAGEREF _Toc183441309 \h </w:instrText>
            </w:r>
            <w:r>
              <w:rPr>
                <w:noProof/>
                <w:webHidden/>
              </w:rPr>
            </w:r>
            <w:r>
              <w:rPr>
                <w:noProof/>
                <w:webHidden/>
              </w:rPr>
              <w:fldChar w:fldCharType="separate"/>
            </w:r>
            <w:r w:rsidR="00A92B41">
              <w:rPr>
                <w:noProof/>
                <w:webHidden/>
              </w:rPr>
              <w:t>27</w:t>
            </w:r>
            <w:r>
              <w:rPr>
                <w:noProof/>
                <w:webHidden/>
              </w:rPr>
              <w:fldChar w:fldCharType="end"/>
            </w:r>
          </w:hyperlink>
        </w:p>
        <w:p w14:paraId="2D1F02CA" w14:textId="16B2D62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10" w:history="1">
            <w:r w:rsidRPr="006E7CF9">
              <w:rPr>
                <w:rStyle w:val="Hyperlink"/>
                <w:noProof/>
              </w:rPr>
              <w:t>4.3.1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_Toc183441310 \h </w:instrText>
            </w:r>
            <w:r>
              <w:rPr>
                <w:noProof/>
                <w:webHidden/>
              </w:rPr>
            </w:r>
            <w:r>
              <w:rPr>
                <w:noProof/>
                <w:webHidden/>
              </w:rPr>
              <w:fldChar w:fldCharType="separate"/>
            </w:r>
            <w:r w:rsidR="00A92B41">
              <w:rPr>
                <w:noProof/>
                <w:webHidden/>
              </w:rPr>
              <w:t>27</w:t>
            </w:r>
            <w:r>
              <w:rPr>
                <w:noProof/>
                <w:webHidden/>
              </w:rPr>
              <w:fldChar w:fldCharType="end"/>
            </w:r>
          </w:hyperlink>
        </w:p>
        <w:p w14:paraId="19BABA6E" w14:textId="6746EF67"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11" w:history="1">
            <w:r w:rsidRPr="006E7CF9">
              <w:rPr>
                <w:rStyle w:val="Hyperlink"/>
                <w:noProof/>
              </w:rPr>
              <w:t>4.3.2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_Toc183441311 \h </w:instrText>
            </w:r>
            <w:r>
              <w:rPr>
                <w:noProof/>
                <w:webHidden/>
              </w:rPr>
            </w:r>
            <w:r>
              <w:rPr>
                <w:noProof/>
                <w:webHidden/>
              </w:rPr>
              <w:fldChar w:fldCharType="separate"/>
            </w:r>
            <w:r w:rsidR="00A92B41">
              <w:rPr>
                <w:noProof/>
                <w:webHidden/>
              </w:rPr>
              <w:t>27</w:t>
            </w:r>
            <w:r>
              <w:rPr>
                <w:noProof/>
                <w:webHidden/>
              </w:rPr>
              <w:fldChar w:fldCharType="end"/>
            </w:r>
          </w:hyperlink>
        </w:p>
        <w:p w14:paraId="2B8EC689" w14:textId="01034594"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12" w:history="1">
            <w:r w:rsidRPr="006E7CF9">
              <w:rPr>
                <w:rStyle w:val="Hyperlink"/>
                <w:noProof/>
              </w:rPr>
              <w:t>4.3.3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_Toc183441312 \h </w:instrText>
            </w:r>
            <w:r>
              <w:rPr>
                <w:noProof/>
                <w:webHidden/>
              </w:rPr>
            </w:r>
            <w:r>
              <w:rPr>
                <w:noProof/>
                <w:webHidden/>
              </w:rPr>
              <w:fldChar w:fldCharType="separate"/>
            </w:r>
            <w:r w:rsidR="00A92B41">
              <w:rPr>
                <w:noProof/>
                <w:webHidden/>
              </w:rPr>
              <w:t>28</w:t>
            </w:r>
            <w:r>
              <w:rPr>
                <w:noProof/>
                <w:webHidden/>
              </w:rPr>
              <w:fldChar w:fldCharType="end"/>
            </w:r>
          </w:hyperlink>
        </w:p>
        <w:p w14:paraId="1F632E91" w14:textId="6EF8DB3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13" w:history="1">
            <w:r w:rsidRPr="006E7CF9">
              <w:rPr>
                <w:rStyle w:val="Hyperlink"/>
                <w:noProof/>
              </w:rPr>
              <w:t>4.3.4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_Toc183441313 \h </w:instrText>
            </w:r>
            <w:r>
              <w:rPr>
                <w:noProof/>
                <w:webHidden/>
              </w:rPr>
            </w:r>
            <w:r>
              <w:rPr>
                <w:noProof/>
                <w:webHidden/>
              </w:rPr>
              <w:fldChar w:fldCharType="separate"/>
            </w:r>
            <w:r w:rsidR="00A92B41">
              <w:rPr>
                <w:noProof/>
                <w:webHidden/>
              </w:rPr>
              <w:t>29</w:t>
            </w:r>
            <w:r>
              <w:rPr>
                <w:noProof/>
                <w:webHidden/>
              </w:rPr>
              <w:fldChar w:fldCharType="end"/>
            </w:r>
          </w:hyperlink>
        </w:p>
        <w:p w14:paraId="3AFE3E61" w14:textId="5DD562E0"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14" w:history="1">
            <w:r w:rsidRPr="006E7CF9">
              <w:rPr>
                <w:rStyle w:val="Hyperlink"/>
                <w:noProof/>
              </w:rPr>
              <w:t>4.3.5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_Toc183441314 \h </w:instrText>
            </w:r>
            <w:r>
              <w:rPr>
                <w:noProof/>
                <w:webHidden/>
              </w:rPr>
            </w:r>
            <w:r>
              <w:rPr>
                <w:noProof/>
                <w:webHidden/>
              </w:rPr>
              <w:fldChar w:fldCharType="separate"/>
            </w:r>
            <w:r w:rsidR="00A92B41">
              <w:rPr>
                <w:noProof/>
                <w:webHidden/>
              </w:rPr>
              <w:t>32</w:t>
            </w:r>
            <w:r>
              <w:rPr>
                <w:noProof/>
                <w:webHidden/>
              </w:rPr>
              <w:fldChar w:fldCharType="end"/>
            </w:r>
          </w:hyperlink>
        </w:p>
        <w:p w14:paraId="46ABD093" w14:textId="4B10BD7D"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15" w:history="1">
            <w:r w:rsidRPr="006E7CF9">
              <w:rPr>
                <w:rStyle w:val="Hyperlink"/>
                <w:noProof/>
              </w:rPr>
              <w:t>4.4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Recurrent infections (upper respiratory tract infection)</w:t>
            </w:r>
            <w:r>
              <w:rPr>
                <w:noProof/>
                <w:webHidden/>
              </w:rPr>
              <w:tab/>
            </w:r>
            <w:r>
              <w:rPr>
                <w:noProof/>
                <w:webHidden/>
              </w:rPr>
              <w:fldChar w:fldCharType="begin"/>
            </w:r>
            <w:r>
              <w:rPr>
                <w:noProof/>
                <w:webHidden/>
              </w:rPr>
              <w:instrText xml:space="preserve"> PAGEREF _Toc183441315 \h </w:instrText>
            </w:r>
            <w:r>
              <w:rPr>
                <w:noProof/>
                <w:webHidden/>
              </w:rPr>
            </w:r>
            <w:r>
              <w:rPr>
                <w:noProof/>
                <w:webHidden/>
              </w:rPr>
              <w:fldChar w:fldCharType="separate"/>
            </w:r>
            <w:r w:rsidR="00A92B41">
              <w:rPr>
                <w:noProof/>
                <w:webHidden/>
              </w:rPr>
              <w:t>34</w:t>
            </w:r>
            <w:r>
              <w:rPr>
                <w:noProof/>
                <w:webHidden/>
              </w:rPr>
              <w:fldChar w:fldCharType="end"/>
            </w:r>
          </w:hyperlink>
        </w:p>
        <w:p w14:paraId="486D803A" w14:textId="5796E466"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16" w:history="1">
            <w:r w:rsidRPr="006E7CF9">
              <w:rPr>
                <w:rStyle w:val="Hyperlink"/>
                <w:noProof/>
              </w:rPr>
              <w:t>4.4.1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_Toc183441316 \h </w:instrText>
            </w:r>
            <w:r>
              <w:rPr>
                <w:noProof/>
                <w:webHidden/>
              </w:rPr>
            </w:r>
            <w:r>
              <w:rPr>
                <w:noProof/>
                <w:webHidden/>
              </w:rPr>
              <w:fldChar w:fldCharType="separate"/>
            </w:r>
            <w:r w:rsidR="00A92B41">
              <w:rPr>
                <w:noProof/>
                <w:webHidden/>
              </w:rPr>
              <w:t>34</w:t>
            </w:r>
            <w:r>
              <w:rPr>
                <w:noProof/>
                <w:webHidden/>
              </w:rPr>
              <w:fldChar w:fldCharType="end"/>
            </w:r>
          </w:hyperlink>
        </w:p>
        <w:p w14:paraId="2BDD0F55" w14:textId="5173018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17" w:history="1">
            <w:r w:rsidRPr="006E7CF9">
              <w:rPr>
                <w:rStyle w:val="Hyperlink"/>
                <w:noProof/>
              </w:rPr>
              <w:t>4.4.2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_Toc183441317 \h </w:instrText>
            </w:r>
            <w:r>
              <w:rPr>
                <w:noProof/>
                <w:webHidden/>
              </w:rPr>
            </w:r>
            <w:r>
              <w:rPr>
                <w:noProof/>
                <w:webHidden/>
              </w:rPr>
              <w:fldChar w:fldCharType="separate"/>
            </w:r>
            <w:r w:rsidR="00A92B41">
              <w:rPr>
                <w:noProof/>
                <w:webHidden/>
              </w:rPr>
              <w:t>34</w:t>
            </w:r>
            <w:r>
              <w:rPr>
                <w:noProof/>
                <w:webHidden/>
              </w:rPr>
              <w:fldChar w:fldCharType="end"/>
            </w:r>
          </w:hyperlink>
        </w:p>
        <w:p w14:paraId="5AA1F6AF" w14:textId="51847E1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18" w:history="1">
            <w:r w:rsidRPr="006E7CF9">
              <w:rPr>
                <w:rStyle w:val="Hyperlink"/>
                <w:noProof/>
              </w:rPr>
              <w:t>4.4.3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_Toc183441318 \h </w:instrText>
            </w:r>
            <w:r>
              <w:rPr>
                <w:noProof/>
                <w:webHidden/>
              </w:rPr>
            </w:r>
            <w:r>
              <w:rPr>
                <w:noProof/>
                <w:webHidden/>
              </w:rPr>
              <w:fldChar w:fldCharType="separate"/>
            </w:r>
            <w:r w:rsidR="00A92B41">
              <w:rPr>
                <w:noProof/>
                <w:webHidden/>
              </w:rPr>
              <w:t>35</w:t>
            </w:r>
            <w:r>
              <w:rPr>
                <w:noProof/>
                <w:webHidden/>
              </w:rPr>
              <w:fldChar w:fldCharType="end"/>
            </w:r>
          </w:hyperlink>
        </w:p>
        <w:p w14:paraId="12818A5E" w14:textId="6AF1E158"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19" w:history="1">
            <w:r w:rsidRPr="006E7CF9">
              <w:rPr>
                <w:rStyle w:val="Hyperlink"/>
                <w:noProof/>
              </w:rPr>
              <w:t>4.4.4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_Toc183441319 \h </w:instrText>
            </w:r>
            <w:r>
              <w:rPr>
                <w:noProof/>
                <w:webHidden/>
              </w:rPr>
            </w:r>
            <w:r>
              <w:rPr>
                <w:noProof/>
                <w:webHidden/>
              </w:rPr>
              <w:fldChar w:fldCharType="separate"/>
            </w:r>
            <w:r w:rsidR="00A92B41">
              <w:rPr>
                <w:noProof/>
                <w:webHidden/>
              </w:rPr>
              <w:t>36</w:t>
            </w:r>
            <w:r>
              <w:rPr>
                <w:noProof/>
                <w:webHidden/>
              </w:rPr>
              <w:fldChar w:fldCharType="end"/>
            </w:r>
          </w:hyperlink>
        </w:p>
        <w:p w14:paraId="0EA5F61E" w14:textId="36154FC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20" w:history="1">
            <w:r w:rsidRPr="006E7CF9">
              <w:rPr>
                <w:rStyle w:val="Hyperlink"/>
                <w:noProof/>
              </w:rPr>
              <w:t>4.4.5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_Toc183441320 \h </w:instrText>
            </w:r>
            <w:r>
              <w:rPr>
                <w:noProof/>
                <w:webHidden/>
              </w:rPr>
            </w:r>
            <w:r>
              <w:rPr>
                <w:noProof/>
                <w:webHidden/>
              </w:rPr>
              <w:fldChar w:fldCharType="separate"/>
            </w:r>
            <w:r w:rsidR="00A92B41">
              <w:rPr>
                <w:noProof/>
                <w:webHidden/>
              </w:rPr>
              <w:t>40</w:t>
            </w:r>
            <w:r>
              <w:rPr>
                <w:noProof/>
                <w:webHidden/>
              </w:rPr>
              <w:fldChar w:fldCharType="end"/>
            </w:r>
          </w:hyperlink>
        </w:p>
        <w:p w14:paraId="0FDF98B2" w14:textId="2B8B2764"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21" w:history="1">
            <w:r w:rsidRPr="006E7CF9">
              <w:rPr>
                <w:rStyle w:val="Hyperlink"/>
                <w:noProof/>
              </w:rPr>
              <w:t>4.5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Recurrent infections (genitourinary)</w:t>
            </w:r>
            <w:r>
              <w:rPr>
                <w:noProof/>
                <w:webHidden/>
              </w:rPr>
              <w:tab/>
            </w:r>
            <w:r>
              <w:rPr>
                <w:noProof/>
                <w:webHidden/>
              </w:rPr>
              <w:fldChar w:fldCharType="begin"/>
            </w:r>
            <w:r>
              <w:rPr>
                <w:noProof/>
                <w:webHidden/>
              </w:rPr>
              <w:instrText xml:space="preserve"> PAGEREF _Toc183441321 \h </w:instrText>
            </w:r>
            <w:r>
              <w:rPr>
                <w:noProof/>
                <w:webHidden/>
              </w:rPr>
            </w:r>
            <w:r>
              <w:rPr>
                <w:noProof/>
                <w:webHidden/>
              </w:rPr>
              <w:fldChar w:fldCharType="separate"/>
            </w:r>
            <w:r w:rsidR="00A92B41">
              <w:rPr>
                <w:noProof/>
                <w:webHidden/>
              </w:rPr>
              <w:t>44</w:t>
            </w:r>
            <w:r>
              <w:rPr>
                <w:noProof/>
                <w:webHidden/>
              </w:rPr>
              <w:fldChar w:fldCharType="end"/>
            </w:r>
          </w:hyperlink>
        </w:p>
        <w:p w14:paraId="0FF19632" w14:textId="57E0BEA8"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22" w:history="1">
            <w:r w:rsidRPr="006E7CF9">
              <w:rPr>
                <w:rStyle w:val="Hyperlink"/>
                <w:noProof/>
              </w:rPr>
              <w:t>4.5.1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_Toc183441322 \h </w:instrText>
            </w:r>
            <w:r>
              <w:rPr>
                <w:noProof/>
                <w:webHidden/>
              </w:rPr>
            </w:r>
            <w:r>
              <w:rPr>
                <w:noProof/>
                <w:webHidden/>
              </w:rPr>
              <w:fldChar w:fldCharType="separate"/>
            </w:r>
            <w:r w:rsidR="00A92B41">
              <w:rPr>
                <w:noProof/>
                <w:webHidden/>
              </w:rPr>
              <w:t>44</w:t>
            </w:r>
            <w:r>
              <w:rPr>
                <w:noProof/>
                <w:webHidden/>
              </w:rPr>
              <w:fldChar w:fldCharType="end"/>
            </w:r>
          </w:hyperlink>
        </w:p>
        <w:p w14:paraId="421BB21D" w14:textId="1F50042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23" w:history="1">
            <w:r w:rsidRPr="006E7CF9">
              <w:rPr>
                <w:rStyle w:val="Hyperlink"/>
                <w:noProof/>
              </w:rPr>
              <w:t>4.5.2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_Toc183441323 \h </w:instrText>
            </w:r>
            <w:r>
              <w:rPr>
                <w:noProof/>
                <w:webHidden/>
              </w:rPr>
            </w:r>
            <w:r>
              <w:rPr>
                <w:noProof/>
                <w:webHidden/>
              </w:rPr>
              <w:fldChar w:fldCharType="separate"/>
            </w:r>
            <w:r w:rsidR="00A92B41">
              <w:rPr>
                <w:noProof/>
                <w:webHidden/>
              </w:rPr>
              <w:t>44</w:t>
            </w:r>
            <w:r>
              <w:rPr>
                <w:noProof/>
                <w:webHidden/>
              </w:rPr>
              <w:fldChar w:fldCharType="end"/>
            </w:r>
          </w:hyperlink>
        </w:p>
        <w:p w14:paraId="3B8CD3FC" w14:textId="3464B99F"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24" w:history="1">
            <w:r w:rsidRPr="006E7CF9">
              <w:rPr>
                <w:rStyle w:val="Hyperlink"/>
                <w:noProof/>
              </w:rPr>
              <w:t>4.5.3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_Toc183441324 \h </w:instrText>
            </w:r>
            <w:r>
              <w:rPr>
                <w:noProof/>
                <w:webHidden/>
              </w:rPr>
            </w:r>
            <w:r>
              <w:rPr>
                <w:noProof/>
                <w:webHidden/>
              </w:rPr>
              <w:fldChar w:fldCharType="separate"/>
            </w:r>
            <w:r w:rsidR="00A92B41">
              <w:rPr>
                <w:noProof/>
                <w:webHidden/>
              </w:rPr>
              <w:t>45</w:t>
            </w:r>
            <w:r>
              <w:rPr>
                <w:noProof/>
                <w:webHidden/>
              </w:rPr>
              <w:fldChar w:fldCharType="end"/>
            </w:r>
          </w:hyperlink>
        </w:p>
        <w:p w14:paraId="24AD2F09" w14:textId="1A69DE0D"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25" w:history="1">
            <w:r w:rsidRPr="006E7CF9">
              <w:rPr>
                <w:rStyle w:val="Hyperlink"/>
                <w:noProof/>
              </w:rPr>
              <w:t>4.5.4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_Toc183441325 \h </w:instrText>
            </w:r>
            <w:r>
              <w:rPr>
                <w:noProof/>
                <w:webHidden/>
              </w:rPr>
            </w:r>
            <w:r>
              <w:rPr>
                <w:noProof/>
                <w:webHidden/>
              </w:rPr>
              <w:fldChar w:fldCharType="separate"/>
            </w:r>
            <w:r w:rsidR="00A92B41">
              <w:rPr>
                <w:noProof/>
                <w:webHidden/>
              </w:rPr>
              <w:t>45</w:t>
            </w:r>
            <w:r>
              <w:rPr>
                <w:noProof/>
                <w:webHidden/>
              </w:rPr>
              <w:fldChar w:fldCharType="end"/>
            </w:r>
          </w:hyperlink>
        </w:p>
        <w:p w14:paraId="22F2207F" w14:textId="73A4E5B3"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26" w:history="1">
            <w:r w:rsidRPr="006E7CF9">
              <w:rPr>
                <w:rStyle w:val="Hyperlink"/>
                <w:noProof/>
              </w:rPr>
              <w:t>4.5.5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_Toc183441326 \h </w:instrText>
            </w:r>
            <w:r>
              <w:rPr>
                <w:noProof/>
                <w:webHidden/>
              </w:rPr>
            </w:r>
            <w:r>
              <w:rPr>
                <w:noProof/>
                <w:webHidden/>
              </w:rPr>
              <w:fldChar w:fldCharType="separate"/>
            </w:r>
            <w:r w:rsidR="00A92B41">
              <w:rPr>
                <w:noProof/>
                <w:webHidden/>
              </w:rPr>
              <w:t>47</w:t>
            </w:r>
            <w:r>
              <w:rPr>
                <w:noProof/>
                <w:webHidden/>
              </w:rPr>
              <w:fldChar w:fldCharType="end"/>
            </w:r>
          </w:hyperlink>
        </w:p>
        <w:p w14:paraId="3DD572C4" w14:textId="1399819D"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27" w:history="1">
            <w:r w:rsidRPr="006E7CF9">
              <w:rPr>
                <w:rStyle w:val="Hyperlink"/>
                <w:noProof/>
              </w:rPr>
              <w:t>4.6</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Anxiety</w:t>
            </w:r>
            <w:r>
              <w:rPr>
                <w:noProof/>
                <w:webHidden/>
              </w:rPr>
              <w:tab/>
            </w:r>
            <w:r>
              <w:rPr>
                <w:noProof/>
                <w:webHidden/>
              </w:rPr>
              <w:fldChar w:fldCharType="begin"/>
            </w:r>
            <w:r>
              <w:rPr>
                <w:noProof/>
                <w:webHidden/>
              </w:rPr>
              <w:instrText xml:space="preserve"> PAGEREF _Toc183441327 \h </w:instrText>
            </w:r>
            <w:r>
              <w:rPr>
                <w:noProof/>
                <w:webHidden/>
              </w:rPr>
            </w:r>
            <w:r>
              <w:rPr>
                <w:noProof/>
                <w:webHidden/>
              </w:rPr>
              <w:fldChar w:fldCharType="separate"/>
            </w:r>
            <w:r w:rsidR="00A92B41">
              <w:rPr>
                <w:noProof/>
                <w:webHidden/>
              </w:rPr>
              <w:t>48</w:t>
            </w:r>
            <w:r>
              <w:rPr>
                <w:noProof/>
                <w:webHidden/>
              </w:rPr>
              <w:fldChar w:fldCharType="end"/>
            </w:r>
          </w:hyperlink>
        </w:p>
        <w:p w14:paraId="40A09FBF" w14:textId="450C2511"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28" w:history="1">
            <w:r w:rsidRPr="006E7CF9">
              <w:rPr>
                <w:rStyle w:val="Hyperlink"/>
                <w:noProof/>
              </w:rPr>
              <w:t>4.6.1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_Toc183441328 \h </w:instrText>
            </w:r>
            <w:r>
              <w:rPr>
                <w:noProof/>
                <w:webHidden/>
              </w:rPr>
            </w:r>
            <w:r>
              <w:rPr>
                <w:noProof/>
                <w:webHidden/>
              </w:rPr>
              <w:fldChar w:fldCharType="separate"/>
            </w:r>
            <w:r w:rsidR="00A92B41">
              <w:rPr>
                <w:noProof/>
                <w:webHidden/>
              </w:rPr>
              <w:t>48</w:t>
            </w:r>
            <w:r>
              <w:rPr>
                <w:noProof/>
                <w:webHidden/>
              </w:rPr>
              <w:fldChar w:fldCharType="end"/>
            </w:r>
          </w:hyperlink>
        </w:p>
        <w:p w14:paraId="6D1D345B" w14:textId="7FE39E61"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29" w:history="1">
            <w:r w:rsidRPr="006E7CF9">
              <w:rPr>
                <w:rStyle w:val="Hyperlink"/>
                <w:noProof/>
              </w:rPr>
              <w:t>4.6.2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_Toc183441329 \h </w:instrText>
            </w:r>
            <w:r>
              <w:rPr>
                <w:noProof/>
                <w:webHidden/>
              </w:rPr>
            </w:r>
            <w:r>
              <w:rPr>
                <w:noProof/>
                <w:webHidden/>
              </w:rPr>
              <w:fldChar w:fldCharType="separate"/>
            </w:r>
            <w:r w:rsidR="00A92B41">
              <w:rPr>
                <w:noProof/>
                <w:webHidden/>
              </w:rPr>
              <w:t>48</w:t>
            </w:r>
            <w:r>
              <w:rPr>
                <w:noProof/>
                <w:webHidden/>
              </w:rPr>
              <w:fldChar w:fldCharType="end"/>
            </w:r>
          </w:hyperlink>
        </w:p>
        <w:p w14:paraId="146E7C53" w14:textId="23677A5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30" w:history="1">
            <w:r w:rsidRPr="006E7CF9">
              <w:rPr>
                <w:rStyle w:val="Hyperlink"/>
                <w:noProof/>
              </w:rPr>
              <w:t>4.6.3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_Toc183441330 \h </w:instrText>
            </w:r>
            <w:r>
              <w:rPr>
                <w:noProof/>
                <w:webHidden/>
              </w:rPr>
            </w:r>
            <w:r>
              <w:rPr>
                <w:noProof/>
                <w:webHidden/>
              </w:rPr>
              <w:fldChar w:fldCharType="separate"/>
            </w:r>
            <w:r w:rsidR="00A92B41">
              <w:rPr>
                <w:noProof/>
                <w:webHidden/>
              </w:rPr>
              <w:t>49</w:t>
            </w:r>
            <w:r>
              <w:rPr>
                <w:noProof/>
                <w:webHidden/>
              </w:rPr>
              <w:fldChar w:fldCharType="end"/>
            </w:r>
          </w:hyperlink>
        </w:p>
        <w:p w14:paraId="6DA439F7" w14:textId="0981211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31" w:history="1">
            <w:r w:rsidRPr="006E7CF9">
              <w:rPr>
                <w:rStyle w:val="Hyperlink"/>
                <w:noProof/>
              </w:rPr>
              <w:t>4.6.4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_Toc183441331 \h </w:instrText>
            </w:r>
            <w:r>
              <w:rPr>
                <w:noProof/>
                <w:webHidden/>
              </w:rPr>
            </w:r>
            <w:r>
              <w:rPr>
                <w:noProof/>
                <w:webHidden/>
              </w:rPr>
              <w:fldChar w:fldCharType="separate"/>
            </w:r>
            <w:r w:rsidR="00A92B41">
              <w:rPr>
                <w:noProof/>
                <w:webHidden/>
              </w:rPr>
              <w:t>50</w:t>
            </w:r>
            <w:r>
              <w:rPr>
                <w:noProof/>
                <w:webHidden/>
              </w:rPr>
              <w:fldChar w:fldCharType="end"/>
            </w:r>
          </w:hyperlink>
        </w:p>
        <w:p w14:paraId="5050B350" w14:textId="5D012C7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32" w:history="1">
            <w:r w:rsidRPr="006E7CF9">
              <w:rPr>
                <w:rStyle w:val="Hyperlink"/>
                <w:noProof/>
              </w:rPr>
              <w:t>4.6.5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_Toc183441332 \h </w:instrText>
            </w:r>
            <w:r>
              <w:rPr>
                <w:noProof/>
                <w:webHidden/>
              </w:rPr>
            </w:r>
            <w:r>
              <w:rPr>
                <w:noProof/>
                <w:webHidden/>
              </w:rPr>
              <w:fldChar w:fldCharType="separate"/>
            </w:r>
            <w:r w:rsidR="00A92B41">
              <w:rPr>
                <w:noProof/>
                <w:webHidden/>
              </w:rPr>
              <w:t>51</w:t>
            </w:r>
            <w:r>
              <w:rPr>
                <w:noProof/>
                <w:webHidden/>
              </w:rPr>
              <w:fldChar w:fldCharType="end"/>
            </w:r>
          </w:hyperlink>
        </w:p>
        <w:p w14:paraId="42FBE432" w14:textId="37A91BF8"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33" w:history="1">
            <w:r w:rsidRPr="006E7CF9">
              <w:rPr>
                <w:rStyle w:val="Hyperlink"/>
                <w:noProof/>
              </w:rPr>
              <w:t>4.7</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Depression</w:t>
            </w:r>
            <w:r>
              <w:rPr>
                <w:noProof/>
                <w:webHidden/>
              </w:rPr>
              <w:tab/>
            </w:r>
            <w:r>
              <w:rPr>
                <w:noProof/>
                <w:webHidden/>
              </w:rPr>
              <w:fldChar w:fldCharType="begin"/>
            </w:r>
            <w:r>
              <w:rPr>
                <w:noProof/>
                <w:webHidden/>
              </w:rPr>
              <w:instrText xml:space="preserve"> PAGEREF _Toc183441333 \h </w:instrText>
            </w:r>
            <w:r>
              <w:rPr>
                <w:noProof/>
                <w:webHidden/>
              </w:rPr>
            </w:r>
            <w:r>
              <w:rPr>
                <w:noProof/>
                <w:webHidden/>
              </w:rPr>
              <w:fldChar w:fldCharType="separate"/>
            </w:r>
            <w:r w:rsidR="00A92B41">
              <w:rPr>
                <w:noProof/>
                <w:webHidden/>
              </w:rPr>
              <w:t>54</w:t>
            </w:r>
            <w:r>
              <w:rPr>
                <w:noProof/>
                <w:webHidden/>
              </w:rPr>
              <w:fldChar w:fldCharType="end"/>
            </w:r>
          </w:hyperlink>
        </w:p>
        <w:p w14:paraId="546E2DBA" w14:textId="76627E3F"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34" w:history="1">
            <w:r w:rsidRPr="006E7CF9">
              <w:rPr>
                <w:rStyle w:val="Hyperlink"/>
                <w:noProof/>
              </w:rPr>
              <w:t>4.7.1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_Toc183441334 \h </w:instrText>
            </w:r>
            <w:r>
              <w:rPr>
                <w:noProof/>
                <w:webHidden/>
              </w:rPr>
            </w:r>
            <w:r>
              <w:rPr>
                <w:noProof/>
                <w:webHidden/>
              </w:rPr>
              <w:fldChar w:fldCharType="separate"/>
            </w:r>
            <w:r w:rsidR="00A92B41">
              <w:rPr>
                <w:noProof/>
                <w:webHidden/>
              </w:rPr>
              <w:t>54</w:t>
            </w:r>
            <w:r>
              <w:rPr>
                <w:noProof/>
                <w:webHidden/>
              </w:rPr>
              <w:fldChar w:fldCharType="end"/>
            </w:r>
          </w:hyperlink>
        </w:p>
        <w:p w14:paraId="21DD1110" w14:textId="26B9599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35" w:history="1">
            <w:r w:rsidRPr="006E7CF9">
              <w:rPr>
                <w:rStyle w:val="Hyperlink"/>
                <w:noProof/>
              </w:rPr>
              <w:t>4.7.2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_Toc183441335 \h </w:instrText>
            </w:r>
            <w:r>
              <w:rPr>
                <w:noProof/>
                <w:webHidden/>
              </w:rPr>
            </w:r>
            <w:r>
              <w:rPr>
                <w:noProof/>
                <w:webHidden/>
              </w:rPr>
              <w:fldChar w:fldCharType="separate"/>
            </w:r>
            <w:r w:rsidR="00A92B41">
              <w:rPr>
                <w:noProof/>
                <w:webHidden/>
              </w:rPr>
              <w:t>54</w:t>
            </w:r>
            <w:r>
              <w:rPr>
                <w:noProof/>
                <w:webHidden/>
              </w:rPr>
              <w:fldChar w:fldCharType="end"/>
            </w:r>
          </w:hyperlink>
        </w:p>
        <w:p w14:paraId="38E45A25" w14:textId="1BAADF1C"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36" w:history="1">
            <w:r w:rsidRPr="006E7CF9">
              <w:rPr>
                <w:rStyle w:val="Hyperlink"/>
                <w:noProof/>
              </w:rPr>
              <w:t>4.7.3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_Toc183441336 \h </w:instrText>
            </w:r>
            <w:r>
              <w:rPr>
                <w:noProof/>
                <w:webHidden/>
              </w:rPr>
            </w:r>
            <w:r>
              <w:rPr>
                <w:noProof/>
                <w:webHidden/>
              </w:rPr>
              <w:fldChar w:fldCharType="separate"/>
            </w:r>
            <w:r w:rsidR="00A92B41">
              <w:rPr>
                <w:noProof/>
                <w:webHidden/>
              </w:rPr>
              <w:t>55</w:t>
            </w:r>
            <w:r>
              <w:rPr>
                <w:noProof/>
                <w:webHidden/>
              </w:rPr>
              <w:fldChar w:fldCharType="end"/>
            </w:r>
          </w:hyperlink>
        </w:p>
        <w:p w14:paraId="2B631449" w14:textId="0DC75A7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37" w:history="1">
            <w:r w:rsidRPr="006E7CF9">
              <w:rPr>
                <w:rStyle w:val="Hyperlink"/>
                <w:noProof/>
              </w:rPr>
              <w:t>4.7.4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_Toc183441337 \h </w:instrText>
            </w:r>
            <w:r>
              <w:rPr>
                <w:noProof/>
                <w:webHidden/>
              </w:rPr>
            </w:r>
            <w:r>
              <w:rPr>
                <w:noProof/>
                <w:webHidden/>
              </w:rPr>
              <w:fldChar w:fldCharType="separate"/>
            </w:r>
            <w:r w:rsidR="00A92B41">
              <w:rPr>
                <w:noProof/>
                <w:webHidden/>
              </w:rPr>
              <w:t>56</w:t>
            </w:r>
            <w:r>
              <w:rPr>
                <w:noProof/>
                <w:webHidden/>
              </w:rPr>
              <w:fldChar w:fldCharType="end"/>
            </w:r>
          </w:hyperlink>
        </w:p>
        <w:p w14:paraId="130DFC01" w14:textId="691348B6"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38" w:history="1">
            <w:r w:rsidRPr="006E7CF9">
              <w:rPr>
                <w:rStyle w:val="Hyperlink"/>
                <w:noProof/>
              </w:rPr>
              <w:t>4.7.5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_Toc183441338 \h </w:instrText>
            </w:r>
            <w:r>
              <w:rPr>
                <w:noProof/>
                <w:webHidden/>
              </w:rPr>
            </w:r>
            <w:r>
              <w:rPr>
                <w:noProof/>
                <w:webHidden/>
              </w:rPr>
              <w:fldChar w:fldCharType="separate"/>
            </w:r>
            <w:r w:rsidR="00A92B41">
              <w:rPr>
                <w:noProof/>
                <w:webHidden/>
              </w:rPr>
              <w:t>59</w:t>
            </w:r>
            <w:r>
              <w:rPr>
                <w:noProof/>
                <w:webHidden/>
              </w:rPr>
              <w:fldChar w:fldCharType="end"/>
            </w:r>
          </w:hyperlink>
        </w:p>
        <w:p w14:paraId="1A8970C8" w14:textId="41C7C4FD"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39" w:history="1">
            <w:r w:rsidRPr="006E7CF9">
              <w:rPr>
                <w:rStyle w:val="Hyperlink"/>
                <w:noProof/>
              </w:rPr>
              <w:t>4.8</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Neurodevelopmental disorders</w:t>
            </w:r>
            <w:r>
              <w:rPr>
                <w:noProof/>
                <w:webHidden/>
              </w:rPr>
              <w:tab/>
            </w:r>
            <w:r>
              <w:rPr>
                <w:noProof/>
                <w:webHidden/>
              </w:rPr>
              <w:fldChar w:fldCharType="begin"/>
            </w:r>
            <w:r>
              <w:rPr>
                <w:noProof/>
                <w:webHidden/>
              </w:rPr>
              <w:instrText xml:space="preserve"> PAGEREF _Toc183441339 \h </w:instrText>
            </w:r>
            <w:r>
              <w:rPr>
                <w:noProof/>
                <w:webHidden/>
              </w:rPr>
            </w:r>
            <w:r>
              <w:rPr>
                <w:noProof/>
                <w:webHidden/>
              </w:rPr>
              <w:fldChar w:fldCharType="separate"/>
            </w:r>
            <w:r w:rsidR="00A92B41">
              <w:rPr>
                <w:noProof/>
                <w:webHidden/>
              </w:rPr>
              <w:t>62</w:t>
            </w:r>
            <w:r>
              <w:rPr>
                <w:noProof/>
                <w:webHidden/>
              </w:rPr>
              <w:fldChar w:fldCharType="end"/>
            </w:r>
          </w:hyperlink>
        </w:p>
        <w:p w14:paraId="25B867E6" w14:textId="7EB1E296"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40" w:history="1">
            <w:r w:rsidRPr="006E7CF9">
              <w:rPr>
                <w:rStyle w:val="Hyperlink"/>
                <w:noProof/>
              </w:rPr>
              <w:t>4.8.1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_Toc183441340 \h </w:instrText>
            </w:r>
            <w:r>
              <w:rPr>
                <w:noProof/>
                <w:webHidden/>
              </w:rPr>
            </w:r>
            <w:r>
              <w:rPr>
                <w:noProof/>
                <w:webHidden/>
              </w:rPr>
              <w:fldChar w:fldCharType="separate"/>
            </w:r>
            <w:r w:rsidR="00A92B41">
              <w:rPr>
                <w:noProof/>
                <w:webHidden/>
              </w:rPr>
              <w:t>62</w:t>
            </w:r>
            <w:r>
              <w:rPr>
                <w:noProof/>
                <w:webHidden/>
              </w:rPr>
              <w:fldChar w:fldCharType="end"/>
            </w:r>
          </w:hyperlink>
        </w:p>
        <w:p w14:paraId="2E76A1B8" w14:textId="6ACDFAB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41" w:history="1">
            <w:r w:rsidRPr="006E7CF9">
              <w:rPr>
                <w:rStyle w:val="Hyperlink"/>
                <w:noProof/>
              </w:rPr>
              <w:t>4.8.2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_Toc183441341 \h </w:instrText>
            </w:r>
            <w:r>
              <w:rPr>
                <w:noProof/>
                <w:webHidden/>
              </w:rPr>
            </w:r>
            <w:r>
              <w:rPr>
                <w:noProof/>
                <w:webHidden/>
              </w:rPr>
              <w:fldChar w:fldCharType="separate"/>
            </w:r>
            <w:r w:rsidR="00A92B41">
              <w:rPr>
                <w:noProof/>
                <w:webHidden/>
              </w:rPr>
              <w:t>62</w:t>
            </w:r>
            <w:r>
              <w:rPr>
                <w:noProof/>
                <w:webHidden/>
              </w:rPr>
              <w:fldChar w:fldCharType="end"/>
            </w:r>
          </w:hyperlink>
        </w:p>
        <w:p w14:paraId="1826EE68" w14:textId="409B83B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42" w:history="1">
            <w:r w:rsidRPr="006E7CF9">
              <w:rPr>
                <w:rStyle w:val="Hyperlink"/>
                <w:noProof/>
              </w:rPr>
              <w:t>4.8.3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_Toc183441342 \h </w:instrText>
            </w:r>
            <w:r>
              <w:rPr>
                <w:noProof/>
                <w:webHidden/>
              </w:rPr>
            </w:r>
            <w:r>
              <w:rPr>
                <w:noProof/>
                <w:webHidden/>
              </w:rPr>
              <w:fldChar w:fldCharType="separate"/>
            </w:r>
            <w:r w:rsidR="00A92B41">
              <w:rPr>
                <w:noProof/>
                <w:webHidden/>
              </w:rPr>
              <w:t>63</w:t>
            </w:r>
            <w:r>
              <w:rPr>
                <w:noProof/>
                <w:webHidden/>
              </w:rPr>
              <w:fldChar w:fldCharType="end"/>
            </w:r>
          </w:hyperlink>
        </w:p>
        <w:p w14:paraId="2894C81A" w14:textId="0E972507"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43" w:history="1">
            <w:r w:rsidRPr="006E7CF9">
              <w:rPr>
                <w:rStyle w:val="Hyperlink"/>
                <w:noProof/>
              </w:rPr>
              <w:t>4.8.4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_Toc183441343 \h </w:instrText>
            </w:r>
            <w:r>
              <w:rPr>
                <w:noProof/>
                <w:webHidden/>
              </w:rPr>
            </w:r>
            <w:r>
              <w:rPr>
                <w:noProof/>
                <w:webHidden/>
              </w:rPr>
              <w:fldChar w:fldCharType="separate"/>
            </w:r>
            <w:r w:rsidR="00A92B41">
              <w:rPr>
                <w:noProof/>
                <w:webHidden/>
              </w:rPr>
              <w:t>64</w:t>
            </w:r>
            <w:r>
              <w:rPr>
                <w:noProof/>
                <w:webHidden/>
              </w:rPr>
              <w:fldChar w:fldCharType="end"/>
            </w:r>
          </w:hyperlink>
        </w:p>
        <w:p w14:paraId="6ECD4963" w14:textId="034EC954"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44" w:history="1">
            <w:r w:rsidRPr="006E7CF9">
              <w:rPr>
                <w:rStyle w:val="Hyperlink"/>
                <w:noProof/>
              </w:rPr>
              <w:t>4.8.5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_Toc183441344 \h </w:instrText>
            </w:r>
            <w:r>
              <w:rPr>
                <w:noProof/>
                <w:webHidden/>
              </w:rPr>
            </w:r>
            <w:r>
              <w:rPr>
                <w:noProof/>
                <w:webHidden/>
              </w:rPr>
              <w:fldChar w:fldCharType="separate"/>
            </w:r>
            <w:r w:rsidR="00A92B41">
              <w:rPr>
                <w:noProof/>
                <w:webHidden/>
              </w:rPr>
              <w:t>68</w:t>
            </w:r>
            <w:r>
              <w:rPr>
                <w:noProof/>
                <w:webHidden/>
              </w:rPr>
              <w:fldChar w:fldCharType="end"/>
            </w:r>
          </w:hyperlink>
        </w:p>
        <w:p w14:paraId="548540CB" w14:textId="3F90606A"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45" w:history="1">
            <w:r w:rsidRPr="006E7CF9">
              <w:rPr>
                <w:rStyle w:val="Hyperlink"/>
                <w:noProof/>
              </w:rPr>
              <w:t>4.9</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Insomnia and sleep problems</w:t>
            </w:r>
            <w:r>
              <w:rPr>
                <w:noProof/>
                <w:webHidden/>
              </w:rPr>
              <w:tab/>
            </w:r>
            <w:r>
              <w:rPr>
                <w:noProof/>
                <w:webHidden/>
              </w:rPr>
              <w:fldChar w:fldCharType="begin"/>
            </w:r>
            <w:r>
              <w:rPr>
                <w:noProof/>
                <w:webHidden/>
              </w:rPr>
              <w:instrText xml:space="preserve"> PAGEREF _Toc183441345 \h </w:instrText>
            </w:r>
            <w:r>
              <w:rPr>
                <w:noProof/>
                <w:webHidden/>
              </w:rPr>
            </w:r>
            <w:r>
              <w:rPr>
                <w:noProof/>
                <w:webHidden/>
              </w:rPr>
              <w:fldChar w:fldCharType="separate"/>
            </w:r>
            <w:r w:rsidR="00A92B41">
              <w:rPr>
                <w:noProof/>
                <w:webHidden/>
              </w:rPr>
              <w:t>72</w:t>
            </w:r>
            <w:r>
              <w:rPr>
                <w:noProof/>
                <w:webHidden/>
              </w:rPr>
              <w:fldChar w:fldCharType="end"/>
            </w:r>
          </w:hyperlink>
        </w:p>
        <w:p w14:paraId="17137FE5" w14:textId="52F5A3EB"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46" w:history="1">
            <w:r w:rsidRPr="006E7CF9">
              <w:rPr>
                <w:rStyle w:val="Hyperlink"/>
                <w:noProof/>
              </w:rPr>
              <w:t>4.9.1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_Toc183441346 \h </w:instrText>
            </w:r>
            <w:r>
              <w:rPr>
                <w:noProof/>
                <w:webHidden/>
              </w:rPr>
            </w:r>
            <w:r>
              <w:rPr>
                <w:noProof/>
                <w:webHidden/>
              </w:rPr>
              <w:fldChar w:fldCharType="separate"/>
            </w:r>
            <w:r w:rsidR="00A92B41">
              <w:rPr>
                <w:noProof/>
                <w:webHidden/>
              </w:rPr>
              <w:t>72</w:t>
            </w:r>
            <w:r>
              <w:rPr>
                <w:noProof/>
                <w:webHidden/>
              </w:rPr>
              <w:fldChar w:fldCharType="end"/>
            </w:r>
          </w:hyperlink>
        </w:p>
        <w:p w14:paraId="621E26FE" w14:textId="5C0028E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47" w:history="1">
            <w:r w:rsidRPr="006E7CF9">
              <w:rPr>
                <w:rStyle w:val="Hyperlink"/>
                <w:noProof/>
              </w:rPr>
              <w:t>4.9.2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_Toc183441347 \h </w:instrText>
            </w:r>
            <w:r>
              <w:rPr>
                <w:noProof/>
                <w:webHidden/>
              </w:rPr>
            </w:r>
            <w:r>
              <w:rPr>
                <w:noProof/>
                <w:webHidden/>
              </w:rPr>
              <w:fldChar w:fldCharType="separate"/>
            </w:r>
            <w:r w:rsidR="00A92B41">
              <w:rPr>
                <w:noProof/>
                <w:webHidden/>
              </w:rPr>
              <w:t>72</w:t>
            </w:r>
            <w:r>
              <w:rPr>
                <w:noProof/>
                <w:webHidden/>
              </w:rPr>
              <w:fldChar w:fldCharType="end"/>
            </w:r>
          </w:hyperlink>
        </w:p>
        <w:p w14:paraId="39CABDF5" w14:textId="54C54C94"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48" w:history="1">
            <w:r w:rsidRPr="006E7CF9">
              <w:rPr>
                <w:rStyle w:val="Hyperlink"/>
                <w:noProof/>
              </w:rPr>
              <w:t>4.9.3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_Toc183441348 \h </w:instrText>
            </w:r>
            <w:r>
              <w:rPr>
                <w:noProof/>
                <w:webHidden/>
              </w:rPr>
            </w:r>
            <w:r>
              <w:rPr>
                <w:noProof/>
                <w:webHidden/>
              </w:rPr>
              <w:fldChar w:fldCharType="separate"/>
            </w:r>
            <w:r w:rsidR="00A92B41">
              <w:rPr>
                <w:noProof/>
                <w:webHidden/>
              </w:rPr>
              <w:t>73</w:t>
            </w:r>
            <w:r>
              <w:rPr>
                <w:noProof/>
                <w:webHidden/>
              </w:rPr>
              <w:fldChar w:fldCharType="end"/>
            </w:r>
          </w:hyperlink>
        </w:p>
        <w:p w14:paraId="31E6381F" w14:textId="0F2F184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49" w:history="1">
            <w:r w:rsidRPr="006E7CF9">
              <w:rPr>
                <w:rStyle w:val="Hyperlink"/>
                <w:noProof/>
              </w:rPr>
              <w:t>4.9.4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_Toc183441349 \h </w:instrText>
            </w:r>
            <w:r>
              <w:rPr>
                <w:noProof/>
                <w:webHidden/>
              </w:rPr>
            </w:r>
            <w:r>
              <w:rPr>
                <w:noProof/>
                <w:webHidden/>
              </w:rPr>
              <w:fldChar w:fldCharType="separate"/>
            </w:r>
            <w:r w:rsidR="00A92B41">
              <w:rPr>
                <w:noProof/>
                <w:webHidden/>
              </w:rPr>
              <w:t>74</w:t>
            </w:r>
            <w:r>
              <w:rPr>
                <w:noProof/>
                <w:webHidden/>
              </w:rPr>
              <w:fldChar w:fldCharType="end"/>
            </w:r>
          </w:hyperlink>
        </w:p>
        <w:p w14:paraId="6803C81D" w14:textId="5B55EFF8"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50" w:history="1">
            <w:r w:rsidRPr="006E7CF9">
              <w:rPr>
                <w:rStyle w:val="Hyperlink"/>
                <w:noProof/>
              </w:rPr>
              <w:t>4.9.5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_Toc183441350 \h </w:instrText>
            </w:r>
            <w:r>
              <w:rPr>
                <w:noProof/>
                <w:webHidden/>
              </w:rPr>
            </w:r>
            <w:r>
              <w:rPr>
                <w:noProof/>
                <w:webHidden/>
              </w:rPr>
              <w:fldChar w:fldCharType="separate"/>
            </w:r>
            <w:r w:rsidR="00A92B41">
              <w:rPr>
                <w:noProof/>
                <w:webHidden/>
              </w:rPr>
              <w:t>75</w:t>
            </w:r>
            <w:r>
              <w:rPr>
                <w:noProof/>
                <w:webHidden/>
              </w:rPr>
              <w:fldChar w:fldCharType="end"/>
            </w:r>
          </w:hyperlink>
        </w:p>
        <w:p w14:paraId="7420EBFB" w14:textId="45965B02"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51" w:history="1">
            <w:r w:rsidRPr="006E7CF9">
              <w:rPr>
                <w:rStyle w:val="Hyperlink"/>
                <w:noProof/>
              </w:rPr>
              <w:t>4.10</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Headache disorders</w:t>
            </w:r>
            <w:r>
              <w:rPr>
                <w:noProof/>
                <w:webHidden/>
              </w:rPr>
              <w:tab/>
            </w:r>
            <w:r>
              <w:rPr>
                <w:noProof/>
                <w:webHidden/>
              </w:rPr>
              <w:fldChar w:fldCharType="begin"/>
            </w:r>
            <w:r>
              <w:rPr>
                <w:noProof/>
                <w:webHidden/>
              </w:rPr>
              <w:instrText xml:space="preserve"> PAGEREF _Toc183441351 \h </w:instrText>
            </w:r>
            <w:r>
              <w:rPr>
                <w:noProof/>
                <w:webHidden/>
              </w:rPr>
            </w:r>
            <w:r>
              <w:rPr>
                <w:noProof/>
                <w:webHidden/>
              </w:rPr>
              <w:fldChar w:fldCharType="separate"/>
            </w:r>
            <w:r w:rsidR="00A92B41">
              <w:rPr>
                <w:noProof/>
                <w:webHidden/>
              </w:rPr>
              <w:t>78</w:t>
            </w:r>
            <w:r>
              <w:rPr>
                <w:noProof/>
                <w:webHidden/>
              </w:rPr>
              <w:fldChar w:fldCharType="end"/>
            </w:r>
          </w:hyperlink>
        </w:p>
        <w:p w14:paraId="2E09E828" w14:textId="32368CF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52" w:history="1">
            <w:r w:rsidRPr="006E7CF9">
              <w:rPr>
                <w:rStyle w:val="Hyperlink"/>
                <w:noProof/>
              </w:rPr>
              <w:t>4.10.1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_Toc183441352 \h </w:instrText>
            </w:r>
            <w:r>
              <w:rPr>
                <w:noProof/>
                <w:webHidden/>
              </w:rPr>
            </w:r>
            <w:r>
              <w:rPr>
                <w:noProof/>
                <w:webHidden/>
              </w:rPr>
              <w:fldChar w:fldCharType="separate"/>
            </w:r>
            <w:r w:rsidR="00A92B41">
              <w:rPr>
                <w:noProof/>
                <w:webHidden/>
              </w:rPr>
              <w:t>78</w:t>
            </w:r>
            <w:r>
              <w:rPr>
                <w:noProof/>
                <w:webHidden/>
              </w:rPr>
              <w:fldChar w:fldCharType="end"/>
            </w:r>
          </w:hyperlink>
        </w:p>
        <w:p w14:paraId="4D1C16A1" w14:textId="66D52F64"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53" w:history="1">
            <w:r w:rsidRPr="006E7CF9">
              <w:rPr>
                <w:rStyle w:val="Hyperlink"/>
                <w:noProof/>
              </w:rPr>
              <w:t>4.10.2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_Toc183441353 \h </w:instrText>
            </w:r>
            <w:r>
              <w:rPr>
                <w:noProof/>
                <w:webHidden/>
              </w:rPr>
            </w:r>
            <w:r>
              <w:rPr>
                <w:noProof/>
                <w:webHidden/>
              </w:rPr>
              <w:fldChar w:fldCharType="separate"/>
            </w:r>
            <w:r w:rsidR="00A92B41">
              <w:rPr>
                <w:noProof/>
                <w:webHidden/>
              </w:rPr>
              <w:t>78</w:t>
            </w:r>
            <w:r>
              <w:rPr>
                <w:noProof/>
                <w:webHidden/>
              </w:rPr>
              <w:fldChar w:fldCharType="end"/>
            </w:r>
          </w:hyperlink>
        </w:p>
        <w:p w14:paraId="499CFEFF" w14:textId="21F51F0C"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54" w:history="1">
            <w:r w:rsidRPr="006E7CF9">
              <w:rPr>
                <w:rStyle w:val="Hyperlink"/>
                <w:noProof/>
              </w:rPr>
              <w:t>4.10.3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_Toc183441354 \h </w:instrText>
            </w:r>
            <w:r>
              <w:rPr>
                <w:noProof/>
                <w:webHidden/>
              </w:rPr>
            </w:r>
            <w:r>
              <w:rPr>
                <w:noProof/>
                <w:webHidden/>
              </w:rPr>
              <w:fldChar w:fldCharType="separate"/>
            </w:r>
            <w:r w:rsidR="00A92B41">
              <w:rPr>
                <w:noProof/>
                <w:webHidden/>
              </w:rPr>
              <w:t>79</w:t>
            </w:r>
            <w:r>
              <w:rPr>
                <w:noProof/>
                <w:webHidden/>
              </w:rPr>
              <w:fldChar w:fldCharType="end"/>
            </w:r>
          </w:hyperlink>
        </w:p>
        <w:p w14:paraId="26EF54AE" w14:textId="5B13D21C"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55" w:history="1">
            <w:r w:rsidRPr="006E7CF9">
              <w:rPr>
                <w:rStyle w:val="Hyperlink"/>
                <w:noProof/>
              </w:rPr>
              <w:t>4.10.4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_Toc183441355 \h </w:instrText>
            </w:r>
            <w:r>
              <w:rPr>
                <w:noProof/>
                <w:webHidden/>
              </w:rPr>
            </w:r>
            <w:r>
              <w:rPr>
                <w:noProof/>
                <w:webHidden/>
              </w:rPr>
              <w:fldChar w:fldCharType="separate"/>
            </w:r>
            <w:r w:rsidR="00A92B41">
              <w:rPr>
                <w:noProof/>
                <w:webHidden/>
              </w:rPr>
              <w:t>79</w:t>
            </w:r>
            <w:r>
              <w:rPr>
                <w:noProof/>
                <w:webHidden/>
              </w:rPr>
              <w:fldChar w:fldCharType="end"/>
            </w:r>
          </w:hyperlink>
        </w:p>
        <w:p w14:paraId="46905B19" w14:textId="603D41BB"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56" w:history="1">
            <w:r w:rsidRPr="006E7CF9">
              <w:rPr>
                <w:rStyle w:val="Hyperlink"/>
                <w:noProof/>
              </w:rPr>
              <w:t>4.10.5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_Toc183441356 \h </w:instrText>
            </w:r>
            <w:r>
              <w:rPr>
                <w:noProof/>
                <w:webHidden/>
              </w:rPr>
            </w:r>
            <w:r>
              <w:rPr>
                <w:noProof/>
                <w:webHidden/>
              </w:rPr>
              <w:fldChar w:fldCharType="separate"/>
            </w:r>
            <w:r w:rsidR="00A92B41">
              <w:rPr>
                <w:noProof/>
                <w:webHidden/>
              </w:rPr>
              <w:t>81</w:t>
            </w:r>
            <w:r>
              <w:rPr>
                <w:noProof/>
                <w:webHidden/>
              </w:rPr>
              <w:fldChar w:fldCharType="end"/>
            </w:r>
          </w:hyperlink>
        </w:p>
        <w:p w14:paraId="2B03974A" w14:textId="7B8B9C59"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57" w:history="1">
            <w:r w:rsidRPr="006E7CF9">
              <w:rPr>
                <w:rStyle w:val="Hyperlink"/>
                <w:noProof/>
              </w:rPr>
              <w:t>4.11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Asthma</w:t>
            </w:r>
            <w:r>
              <w:rPr>
                <w:noProof/>
                <w:webHidden/>
              </w:rPr>
              <w:tab/>
            </w:r>
            <w:r>
              <w:rPr>
                <w:noProof/>
                <w:webHidden/>
              </w:rPr>
              <w:fldChar w:fldCharType="begin"/>
            </w:r>
            <w:r>
              <w:rPr>
                <w:noProof/>
                <w:webHidden/>
              </w:rPr>
              <w:instrText xml:space="preserve"> PAGEREF _Toc183441357 \h </w:instrText>
            </w:r>
            <w:r>
              <w:rPr>
                <w:noProof/>
                <w:webHidden/>
              </w:rPr>
            </w:r>
            <w:r>
              <w:rPr>
                <w:noProof/>
                <w:webHidden/>
              </w:rPr>
              <w:fldChar w:fldCharType="separate"/>
            </w:r>
            <w:r w:rsidR="00A92B41">
              <w:rPr>
                <w:noProof/>
                <w:webHidden/>
              </w:rPr>
              <w:t>85</w:t>
            </w:r>
            <w:r>
              <w:rPr>
                <w:noProof/>
                <w:webHidden/>
              </w:rPr>
              <w:fldChar w:fldCharType="end"/>
            </w:r>
          </w:hyperlink>
        </w:p>
        <w:p w14:paraId="43CFB71E" w14:textId="5A9514E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58" w:history="1">
            <w:r w:rsidRPr="006E7CF9">
              <w:rPr>
                <w:rStyle w:val="Hyperlink"/>
                <w:noProof/>
              </w:rPr>
              <w:t>4.11.1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_Toc183441358 \h </w:instrText>
            </w:r>
            <w:r>
              <w:rPr>
                <w:noProof/>
                <w:webHidden/>
              </w:rPr>
            </w:r>
            <w:r>
              <w:rPr>
                <w:noProof/>
                <w:webHidden/>
              </w:rPr>
              <w:fldChar w:fldCharType="separate"/>
            </w:r>
            <w:r w:rsidR="00A92B41">
              <w:rPr>
                <w:noProof/>
                <w:webHidden/>
              </w:rPr>
              <w:t>85</w:t>
            </w:r>
            <w:r>
              <w:rPr>
                <w:noProof/>
                <w:webHidden/>
              </w:rPr>
              <w:fldChar w:fldCharType="end"/>
            </w:r>
          </w:hyperlink>
        </w:p>
        <w:p w14:paraId="12B0CD72" w14:textId="52E493A6"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59" w:history="1">
            <w:r w:rsidRPr="006E7CF9">
              <w:rPr>
                <w:rStyle w:val="Hyperlink"/>
                <w:noProof/>
              </w:rPr>
              <w:t>4.11.2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_Toc183441359 \h </w:instrText>
            </w:r>
            <w:r>
              <w:rPr>
                <w:noProof/>
                <w:webHidden/>
              </w:rPr>
            </w:r>
            <w:r>
              <w:rPr>
                <w:noProof/>
                <w:webHidden/>
              </w:rPr>
              <w:fldChar w:fldCharType="separate"/>
            </w:r>
            <w:r w:rsidR="00A92B41">
              <w:rPr>
                <w:noProof/>
                <w:webHidden/>
              </w:rPr>
              <w:t>85</w:t>
            </w:r>
            <w:r>
              <w:rPr>
                <w:noProof/>
                <w:webHidden/>
              </w:rPr>
              <w:fldChar w:fldCharType="end"/>
            </w:r>
          </w:hyperlink>
        </w:p>
        <w:p w14:paraId="23C65633" w14:textId="1D59130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60" w:history="1">
            <w:r w:rsidRPr="006E7CF9">
              <w:rPr>
                <w:rStyle w:val="Hyperlink"/>
                <w:noProof/>
              </w:rPr>
              <w:t>4.11.3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_Toc183441360 \h </w:instrText>
            </w:r>
            <w:r>
              <w:rPr>
                <w:noProof/>
                <w:webHidden/>
              </w:rPr>
            </w:r>
            <w:r>
              <w:rPr>
                <w:noProof/>
                <w:webHidden/>
              </w:rPr>
              <w:fldChar w:fldCharType="separate"/>
            </w:r>
            <w:r w:rsidR="00A92B41">
              <w:rPr>
                <w:noProof/>
                <w:webHidden/>
              </w:rPr>
              <w:t>86</w:t>
            </w:r>
            <w:r>
              <w:rPr>
                <w:noProof/>
                <w:webHidden/>
              </w:rPr>
              <w:fldChar w:fldCharType="end"/>
            </w:r>
          </w:hyperlink>
        </w:p>
        <w:p w14:paraId="0AE59675" w14:textId="39DF3FB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61" w:history="1">
            <w:r w:rsidRPr="006E7CF9">
              <w:rPr>
                <w:rStyle w:val="Hyperlink"/>
                <w:noProof/>
              </w:rPr>
              <w:t>4.11.4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_Toc183441361 \h </w:instrText>
            </w:r>
            <w:r>
              <w:rPr>
                <w:noProof/>
                <w:webHidden/>
              </w:rPr>
            </w:r>
            <w:r>
              <w:rPr>
                <w:noProof/>
                <w:webHidden/>
              </w:rPr>
              <w:fldChar w:fldCharType="separate"/>
            </w:r>
            <w:r w:rsidR="00A92B41">
              <w:rPr>
                <w:noProof/>
                <w:webHidden/>
              </w:rPr>
              <w:t>86</w:t>
            </w:r>
            <w:r>
              <w:rPr>
                <w:noProof/>
                <w:webHidden/>
              </w:rPr>
              <w:fldChar w:fldCharType="end"/>
            </w:r>
          </w:hyperlink>
        </w:p>
        <w:p w14:paraId="24C9B543" w14:textId="5453B6C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62" w:history="1">
            <w:r w:rsidRPr="006E7CF9">
              <w:rPr>
                <w:rStyle w:val="Hyperlink"/>
                <w:noProof/>
              </w:rPr>
              <w:t>4.11.5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_Toc183441362 \h </w:instrText>
            </w:r>
            <w:r>
              <w:rPr>
                <w:noProof/>
                <w:webHidden/>
              </w:rPr>
            </w:r>
            <w:r>
              <w:rPr>
                <w:noProof/>
                <w:webHidden/>
              </w:rPr>
              <w:fldChar w:fldCharType="separate"/>
            </w:r>
            <w:r w:rsidR="00A92B41">
              <w:rPr>
                <w:noProof/>
                <w:webHidden/>
              </w:rPr>
              <w:t>91</w:t>
            </w:r>
            <w:r>
              <w:rPr>
                <w:noProof/>
                <w:webHidden/>
              </w:rPr>
              <w:fldChar w:fldCharType="end"/>
            </w:r>
          </w:hyperlink>
        </w:p>
        <w:p w14:paraId="693B8C00" w14:textId="27716D03"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63" w:history="1">
            <w:r w:rsidRPr="006E7CF9">
              <w:rPr>
                <w:rStyle w:val="Hyperlink"/>
                <w:noProof/>
              </w:rPr>
              <w:t>4.12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Diarrhoea</w:t>
            </w:r>
            <w:r>
              <w:rPr>
                <w:noProof/>
                <w:webHidden/>
              </w:rPr>
              <w:tab/>
            </w:r>
            <w:r>
              <w:rPr>
                <w:noProof/>
                <w:webHidden/>
              </w:rPr>
              <w:fldChar w:fldCharType="begin"/>
            </w:r>
            <w:r>
              <w:rPr>
                <w:noProof/>
                <w:webHidden/>
              </w:rPr>
              <w:instrText xml:space="preserve"> PAGEREF _Toc183441363 \h </w:instrText>
            </w:r>
            <w:r>
              <w:rPr>
                <w:noProof/>
                <w:webHidden/>
              </w:rPr>
            </w:r>
            <w:r>
              <w:rPr>
                <w:noProof/>
                <w:webHidden/>
              </w:rPr>
              <w:fldChar w:fldCharType="separate"/>
            </w:r>
            <w:r w:rsidR="00A92B41">
              <w:rPr>
                <w:noProof/>
                <w:webHidden/>
              </w:rPr>
              <w:t>97</w:t>
            </w:r>
            <w:r>
              <w:rPr>
                <w:noProof/>
                <w:webHidden/>
              </w:rPr>
              <w:fldChar w:fldCharType="end"/>
            </w:r>
          </w:hyperlink>
        </w:p>
        <w:p w14:paraId="2C76D2D6" w14:textId="1B9327A1"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64" w:history="1">
            <w:r w:rsidRPr="006E7CF9">
              <w:rPr>
                <w:rStyle w:val="Hyperlink"/>
                <w:noProof/>
              </w:rPr>
              <w:t>4.12.1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_Toc183441364 \h </w:instrText>
            </w:r>
            <w:r>
              <w:rPr>
                <w:noProof/>
                <w:webHidden/>
              </w:rPr>
            </w:r>
            <w:r>
              <w:rPr>
                <w:noProof/>
                <w:webHidden/>
              </w:rPr>
              <w:fldChar w:fldCharType="separate"/>
            </w:r>
            <w:r w:rsidR="00A92B41">
              <w:rPr>
                <w:noProof/>
                <w:webHidden/>
              </w:rPr>
              <w:t>97</w:t>
            </w:r>
            <w:r>
              <w:rPr>
                <w:noProof/>
                <w:webHidden/>
              </w:rPr>
              <w:fldChar w:fldCharType="end"/>
            </w:r>
          </w:hyperlink>
        </w:p>
        <w:p w14:paraId="658338BA" w14:textId="2FDF5816"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65" w:history="1">
            <w:r w:rsidRPr="006E7CF9">
              <w:rPr>
                <w:rStyle w:val="Hyperlink"/>
                <w:noProof/>
              </w:rPr>
              <w:t>4.12.2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_Toc183441365 \h </w:instrText>
            </w:r>
            <w:r>
              <w:rPr>
                <w:noProof/>
                <w:webHidden/>
              </w:rPr>
            </w:r>
            <w:r>
              <w:rPr>
                <w:noProof/>
                <w:webHidden/>
              </w:rPr>
              <w:fldChar w:fldCharType="separate"/>
            </w:r>
            <w:r w:rsidR="00A92B41">
              <w:rPr>
                <w:noProof/>
                <w:webHidden/>
              </w:rPr>
              <w:t>97</w:t>
            </w:r>
            <w:r>
              <w:rPr>
                <w:noProof/>
                <w:webHidden/>
              </w:rPr>
              <w:fldChar w:fldCharType="end"/>
            </w:r>
          </w:hyperlink>
        </w:p>
        <w:p w14:paraId="7624215E" w14:textId="642C16BB"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66" w:history="1">
            <w:r w:rsidRPr="006E7CF9">
              <w:rPr>
                <w:rStyle w:val="Hyperlink"/>
                <w:noProof/>
              </w:rPr>
              <w:t>4.12.3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_Toc183441366 \h </w:instrText>
            </w:r>
            <w:r>
              <w:rPr>
                <w:noProof/>
                <w:webHidden/>
              </w:rPr>
            </w:r>
            <w:r>
              <w:rPr>
                <w:noProof/>
                <w:webHidden/>
              </w:rPr>
              <w:fldChar w:fldCharType="separate"/>
            </w:r>
            <w:r w:rsidR="00A92B41">
              <w:rPr>
                <w:noProof/>
                <w:webHidden/>
              </w:rPr>
              <w:t>98</w:t>
            </w:r>
            <w:r>
              <w:rPr>
                <w:noProof/>
                <w:webHidden/>
              </w:rPr>
              <w:fldChar w:fldCharType="end"/>
            </w:r>
          </w:hyperlink>
        </w:p>
        <w:p w14:paraId="6320FF45" w14:textId="2F1D4D8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67" w:history="1">
            <w:r w:rsidRPr="006E7CF9">
              <w:rPr>
                <w:rStyle w:val="Hyperlink"/>
                <w:noProof/>
              </w:rPr>
              <w:t>4.12.4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_Toc183441367 \h </w:instrText>
            </w:r>
            <w:r>
              <w:rPr>
                <w:noProof/>
                <w:webHidden/>
              </w:rPr>
            </w:r>
            <w:r>
              <w:rPr>
                <w:noProof/>
                <w:webHidden/>
              </w:rPr>
              <w:fldChar w:fldCharType="separate"/>
            </w:r>
            <w:r w:rsidR="00A92B41">
              <w:rPr>
                <w:noProof/>
                <w:webHidden/>
              </w:rPr>
              <w:t>98</w:t>
            </w:r>
            <w:r>
              <w:rPr>
                <w:noProof/>
                <w:webHidden/>
              </w:rPr>
              <w:fldChar w:fldCharType="end"/>
            </w:r>
          </w:hyperlink>
        </w:p>
        <w:p w14:paraId="03EDD81B" w14:textId="0DE7276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68" w:history="1">
            <w:r w:rsidRPr="006E7CF9">
              <w:rPr>
                <w:rStyle w:val="Hyperlink"/>
                <w:noProof/>
              </w:rPr>
              <w:t>4.12.5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_Toc183441368 \h </w:instrText>
            </w:r>
            <w:r>
              <w:rPr>
                <w:noProof/>
                <w:webHidden/>
              </w:rPr>
            </w:r>
            <w:r>
              <w:rPr>
                <w:noProof/>
                <w:webHidden/>
              </w:rPr>
              <w:fldChar w:fldCharType="separate"/>
            </w:r>
            <w:r w:rsidR="00A92B41">
              <w:rPr>
                <w:noProof/>
                <w:webHidden/>
              </w:rPr>
              <w:t>100</w:t>
            </w:r>
            <w:r>
              <w:rPr>
                <w:noProof/>
                <w:webHidden/>
              </w:rPr>
              <w:fldChar w:fldCharType="end"/>
            </w:r>
          </w:hyperlink>
        </w:p>
        <w:p w14:paraId="568835B6" w14:textId="44F9A759"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69" w:history="1">
            <w:r w:rsidRPr="006E7CF9">
              <w:rPr>
                <w:rStyle w:val="Hyperlink"/>
                <w:noProof/>
              </w:rPr>
              <w:t>4.13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Infantile colic and other digestive disorders</w:t>
            </w:r>
            <w:r>
              <w:rPr>
                <w:noProof/>
                <w:webHidden/>
              </w:rPr>
              <w:tab/>
            </w:r>
            <w:r>
              <w:rPr>
                <w:noProof/>
                <w:webHidden/>
              </w:rPr>
              <w:fldChar w:fldCharType="begin"/>
            </w:r>
            <w:r>
              <w:rPr>
                <w:noProof/>
                <w:webHidden/>
              </w:rPr>
              <w:instrText xml:space="preserve"> PAGEREF _Toc183441369 \h </w:instrText>
            </w:r>
            <w:r>
              <w:rPr>
                <w:noProof/>
                <w:webHidden/>
              </w:rPr>
            </w:r>
            <w:r>
              <w:rPr>
                <w:noProof/>
                <w:webHidden/>
              </w:rPr>
              <w:fldChar w:fldCharType="separate"/>
            </w:r>
            <w:r w:rsidR="00A92B41">
              <w:rPr>
                <w:noProof/>
                <w:webHidden/>
              </w:rPr>
              <w:t>102</w:t>
            </w:r>
            <w:r>
              <w:rPr>
                <w:noProof/>
                <w:webHidden/>
              </w:rPr>
              <w:fldChar w:fldCharType="end"/>
            </w:r>
          </w:hyperlink>
        </w:p>
        <w:p w14:paraId="42815FE8" w14:textId="22ADEAB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70" w:history="1">
            <w:r w:rsidRPr="006E7CF9">
              <w:rPr>
                <w:rStyle w:val="Hyperlink"/>
                <w:noProof/>
              </w:rPr>
              <w:t>4.13.1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conditions</w:t>
            </w:r>
            <w:r>
              <w:rPr>
                <w:noProof/>
                <w:webHidden/>
              </w:rPr>
              <w:tab/>
            </w:r>
            <w:r>
              <w:rPr>
                <w:noProof/>
                <w:webHidden/>
              </w:rPr>
              <w:fldChar w:fldCharType="begin"/>
            </w:r>
            <w:r>
              <w:rPr>
                <w:noProof/>
                <w:webHidden/>
              </w:rPr>
              <w:instrText xml:space="preserve"> PAGEREF _Toc183441370 \h </w:instrText>
            </w:r>
            <w:r>
              <w:rPr>
                <w:noProof/>
                <w:webHidden/>
              </w:rPr>
            </w:r>
            <w:r>
              <w:rPr>
                <w:noProof/>
                <w:webHidden/>
              </w:rPr>
              <w:fldChar w:fldCharType="separate"/>
            </w:r>
            <w:r w:rsidR="00A92B41">
              <w:rPr>
                <w:noProof/>
                <w:webHidden/>
              </w:rPr>
              <w:t>102</w:t>
            </w:r>
            <w:r>
              <w:rPr>
                <w:noProof/>
                <w:webHidden/>
              </w:rPr>
              <w:fldChar w:fldCharType="end"/>
            </w:r>
          </w:hyperlink>
        </w:p>
        <w:p w14:paraId="78492A7C" w14:textId="6F8EF678"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71" w:history="1">
            <w:r w:rsidRPr="006E7CF9">
              <w:rPr>
                <w:rStyle w:val="Hyperlink"/>
                <w:noProof/>
              </w:rPr>
              <w:t>4.13.2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_Toc183441371 \h </w:instrText>
            </w:r>
            <w:r>
              <w:rPr>
                <w:noProof/>
                <w:webHidden/>
              </w:rPr>
            </w:r>
            <w:r>
              <w:rPr>
                <w:noProof/>
                <w:webHidden/>
              </w:rPr>
              <w:fldChar w:fldCharType="separate"/>
            </w:r>
            <w:r w:rsidR="00A92B41">
              <w:rPr>
                <w:noProof/>
                <w:webHidden/>
              </w:rPr>
              <w:t>102</w:t>
            </w:r>
            <w:r>
              <w:rPr>
                <w:noProof/>
                <w:webHidden/>
              </w:rPr>
              <w:fldChar w:fldCharType="end"/>
            </w:r>
          </w:hyperlink>
        </w:p>
        <w:p w14:paraId="29EFC3C5" w14:textId="4DE2BFB8"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72" w:history="1">
            <w:r w:rsidRPr="006E7CF9">
              <w:rPr>
                <w:rStyle w:val="Hyperlink"/>
                <w:noProof/>
              </w:rPr>
              <w:t>4.13.3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_Toc183441372 \h </w:instrText>
            </w:r>
            <w:r>
              <w:rPr>
                <w:noProof/>
                <w:webHidden/>
              </w:rPr>
            </w:r>
            <w:r>
              <w:rPr>
                <w:noProof/>
                <w:webHidden/>
              </w:rPr>
              <w:fldChar w:fldCharType="separate"/>
            </w:r>
            <w:r w:rsidR="00A92B41">
              <w:rPr>
                <w:noProof/>
                <w:webHidden/>
              </w:rPr>
              <w:t>103</w:t>
            </w:r>
            <w:r>
              <w:rPr>
                <w:noProof/>
                <w:webHidden/>
              </w:rPr>
              <w:fldChar w:fldCharType="end"/>
            </w:r>
          </w:hyperlink>
        </w:p>
        <w:p w14:paraId="6E36259E" w14:textId="44F53ED4"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73" w:history="1">
            <w:r w:rsidRPr="006E7CF9">
              <w:rPr>
                <w:rStyle w:val="Hyperlink"/>
                <w:noProof/>
              </w:rPr>
              <w:t>4.13.4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_Toc183441373 \h </w:instrText>
            </w:r>
            <w:r>
              <w:rPr>
                <w:noProof/>
                <w:webHidden/>
              </w:rPr>
            </w:r>
            <w:r>
              <w:rPr>
                <w:noProof/>
                <w:webHidden/>
              </w:rPr>
              <w:fldChar w:fldCharType="separate"/>
            </w:r>
            <w:r w:rsidR="00A92B41">
              <w:rPr>
                <w:noProof/>
                <w:webHidden/>
              </w:rPr>
              <w:t>103</w:t>
            </w:r>
            <w:r>
              <w:rPr>
                <w:noProof/>
                <w:webHidden/>
              </w:rPr>
              <w:fldChar w:fldCharType="end"/>
            </w:r>
          </w:hyperlink>
        </w:p>
        <w:p w14:paraId="2E4E226C" w14:textId="6C957FC4"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74" w:history="1">
            <w:r w:rsidRPr="006E7CF9">
              <w:rPr>
                <w:rStyle w:val="Hyperlink"/>
                <w:noProof/>
              </w:rPr>
              <w:t>4.13.5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_Toc183441374 \h </w:instrText>
            </w:r>
            <w:r>
              <w:rPr>
                <w:noProof/>
                <w:webHidden/>
              </w:rPr>
            </w:r>
            <w:r>
              <w:rPr>
                <w:noProof/>
                <w:webHidden/>
              </w:rPr>
              <w:fldChar w:fldCharType="separate"/>
            </w:r>
            <w:r w:rsidR="00A92B41">
              <w:rPr>
                <w:noProof/>
                <w:webHidden/>
              </w:rPr>
              <w:t>106</w:t>
            </w:r>
            <w:r>
              <w:rPr>
                <w:noProof/>
                <w:webHidden/>
              </w:rPr>
              <w:fldChar w:fldCharType="end"/>
            </w:r>
          </w:hyperlink>
        </w:p>
        <w:p w14:paraId="068B652D" w14:textId="188157C3"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75" w:history="1">
            <w:r w:rsidRPr="006E7CF9">
              <w:rPr>
                <w:rStyle w:val="Hyperlink"/>
                <w:noProof/>
              </w:rPr>
              <w:t>4.14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Irritable bowel syndrome</w:t>
            </w:r>
            <w:r>
              <w:rPr>
                <w:noProof/>
                <w:webHidden/>
              </w:rPr>
              <w:tab/>
            </w:r>
            <w:r>
              <w:rPr>
                <w:noProof/>
                <w:webHidden/>
              </w:rPr>
              <w:fldChar w:fldCharType="begin"/>
            </w:r>
            <w:r>
              <w:rPr>
                <w:noProof/>
                <w:webHidden/>
              </w:rPr>
              <w:instrText xml:space="preserve"> PAGEREF _Toc183441375 \h </w:instrText>
            </w:r>
            <w:r>
              <w:rPr>
                <w:noProof/>
                <w:webHidden/>
              </w:rPr>
            </w:r>
            <w:r>
              <w:rPr>
                <w:noProof/>
                <w:webHidden/>
              </w:rPr>
              <w:fldChar w:fldCharType="separate"/>
            </w:r>
            <w:r w:rsidR="00A92B41">
              <w:rPr>
                <w:noProof/>
                <w:webHidden/>
              </w:rPr>
              <w:t>108</w:t>
            </w:r>
            <w:r>
              <w:rPr>
                <w:noProof/>
                <w:webHidden/>
              </w:rPr>
              <w:fldChar w:fldCharType="end"/>
            </w:r>
          </w:hyperlink>
        </w:p>
        <w:p w14:paraId="2CB51DF4" w14:textId="3BBE312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76" w:history="1">
            <w:r w:rsidRPr="006E7CF9">
              <w:rPr>
                <w:rStyle w:val="Hyperlink"/>
                <w:noProof/>
              </w:rPr>
              <w:t>4.14.1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_Toc183441376 \h </w:instrText>
            </w:r>
            <w:r>
              <w:rPr>
                <w:noProof/>
                <w:webHidden/>
              </w:rPr>
            </w:r>
            <w:r>
              <w:rPr>
                <w:noProof/>
                <w:webHidden/>
              </w:rPr>
              <w:fldChar w:fldCharType="separate"/>
            </w:r>
            <w:r w:rsidR="00A92B41">
              <w:rPr>
                <w:noProof/>
                <w:webHidden/>
              </w:rPr>
              <w:t>108</w:t>
            </w:r>
            <w:r>
              <w:rPr>
                <w:noProof/>
                <w:webHidden/>
              </w:rPr>
              <w:fldChar w:fldCharType="end"/>
            </w:r>
          </w:hyperlink>
        </w:p>
        <w:p w14:paraId="3B4AF2BB" w14:textId="53C21571"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77" w:history="1">
            <w:r w:rsidRPr="006E7CF9">
              <w:rPr>
                <w:rStyle w:val="Hyperlink"/>
                <w:noProof/>
              </w:rPr>
              <w:t>4.14.2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_Toc183441377 \h </w:instrText>
            </w:r>
            <w:r>
              <w:rPr>
                <w:noProof/>
                <w:webHidden/>
              </w:rPr>
            </w:r>
            <w:r>
              <w:rPr>
                <w:noProof/>
                <w:webHidden/>
              </w:rPr>
              <w:fldChar w:fldCharType="separate"/>
            </w:r>
            <w:r w:rsidR="00A92B41">
              <w:rPr>
                <w:noProof/>
                <w:webHidden/>
              </w:rPr>
              <w:t>108</w:t>
            </w:r>
            <w:r>
              <w:rPr>
                <w:noProof/>
                <w:webHidden/>
              </w:rPr>
              <w:fldChar w:fldCharType="end"/>
            </w:r>
          </w:hyperlink>
        </w:p>
        <w:p w14:paraId="454EC8A6" w14:textId="27FAD736"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78" w:history="1">
            <w:r w:rsidRPr="006E7CF9">
              <w:rPr>
                <w:rStyle w:val="Hyperlink"/>
                <w:noProof/>
              </w:rPr>
              <w:t>4.14.3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_Toc183441378 \h </w:instrText>
            </w:r>
            <w:r>
              <w:rPr>
                <w:noProof/>
                <w:webHidden/>
              </w:rPr>
            </w:r>
            <w:r>
              <w:rPr>
                <w:noProof/>
                <w:webHidden/>
              </w:rPr>
              <w:fldChar w:fldCharType="separate"/>
            </w:r>
            <w:r w:rsidR="00A92B41">
              <w:rPr>
                <w:noProof/>
                <w:webHidden/>
              </w:rPr>
              <w:t>108</w:t>
            </w:r>
            <w:r>
              <w:rPr>
                <w:noProof/>
                <w:webHidden/>
              </w:rPr>
              <w:fldChar w:fldCharType="end"/>
            </w:r>
          </w:hyperlink>
        </w:p>
        <w:p w14:paraId="7A74648A" w14:textId="490D5C30"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79" w:history="1">
            <w:r w:rsidRPr="006E7CF9">
              <w:rPr>
                <w:rStyle w:val="Hyperlink"/>
                <w:noProof/>
              </w:rPr>
              <w:t>4.14.4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_Toc183441379 \h </w:instrText>
            </w:r>
            <w:r>
              <w:rPr>
                <w:noProof/>
                <w:webHidden/>
              </w:rPr>
            </w:r>
            <w:r>
              <w:rPr>
                <w:noProof/>
                <w:webHidden/>
              </w:rPr>
              <w:fldChar w:fldCharType="separate"/>
            </w:r>
            <w:r w:rsidR="00A92B41">
              <w:rPr>
                <w:noProof/>
                <w:webHidden/>
              </w:rPr>
              <w:t>109</w:t>
            </w:r>
            <w:r>
              <w:rPr>
                <w:noProof/>
                <w:webHidden/>
              </w:rPr>
              <w:fldChar w:fldCharType="end"/>
            </w:r>
          </w:hyperlink>
        </w:p>
        <w:p w14:paraId="5E41F2F9" w14:textId="2A47073C"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80" w:history="1">
            <w:r w:rsidRPr="006E7CF9">
              <w:rPr>
                <w:rStyle w:val="Hyperlink"/>
                <w:noProof/>
              </w:rPr>
              <w:t>4.14.5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_Toc183441380 \h </w:instrText>
            </w:r>
            <w:r>
              <w:rPr>
                <w:noProof/>
                <w:webHidden/>
              </w:rPr>
            </w:r>
            <w:r>
              <w:rPr>
                <w:noProof/>
                <w:webHidden/>
              </w:rPr>
              <w:fldChar w:fldCharType="separate"/>
            </w:r>
            <w:r w:rsidR="00A92B41">
              <w:rPr>
                <w:noProof/>
                <w:webHidden/>
              </w:rPr>
              <w:t>110</w:t>
            </w:r>
            <w:r>
              <w:rPr>
                <w:noProof/>
                <w:webHidden/>
              </w:rPr>
              <w:fldChar w:fldCharType="end"/>
            </w:r>
          </w:hyperlink>
        </w:p>
        <w:p w14:paraId="23132994" w14:textId="48DB594E"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81" w:history="1">
            <w:r w:rsidRPr="006E7CF9">
              <w:rPr>
                <w:rStyle w:val="Hyperlink"/>
                <w:noProof/>
              </w:rPr>
              <w:t>4.15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Psoriasis</w:t>
            </w:r>
            <w:r>
              <w:rPr>
                <w:noProof/>
                <w:webHidden/>
              </w:rPr>
              <w:tab/>
            </w:r>
            <w:r>
              <w:rPr>
                <w:noProof/>
                <w:webHidden/>
              </w:rPr>
              <w:fldChar w:fldCharType="begin"/>
            </w:r>
            <w:r>
              <w:rPr>
                <w:noProof/>
                <w:webHidden/>
              </w:rPr>
              <w:instrText xml:space="preserve"> PAGEREF _Toc183441381 \h </w:instrText>
            </w:r>
            <w:r>
              <w:rPr>
                <w:noProof/>
                <w:webHidden/>
              </w:rPr>
            </w:r>
            <w:r>
              <w:rPr>
                <w:noProof/>
                <w:webHidden/>
              </w:rPr>
              <w:fldChar w:fldCharType="separate"/>
            </w:r>
            <w:r w:rsidR="00A92B41">
              <w:rPr>
                <w:noProof/>
                <w:webHidden/>
              </w:rPr>
              <w:t>112</w:t>
            </w:r>
            <w:r>
              <w:rPr>
                <w:noProof/>
                <w:webHidden/>
              </w:rPr>
              <w:fldChar w:fldCharType="end"/>
            </w:r>
          </w:hyperlink>
        </w:p>
        <w:p w14:paraId="312ED48E" w14:textId="62FBA8F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82" w:history="1">
            <w:r w:rsidRPr="006E7CF9">
              <w:rPr>
                <w:rStyle w:val="Hyperlink"/>
                <w:noProof/>
              </w:rPr>
              <w:t>4.15.1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_Toc183441382 \h </w:instrText>
            </w:r>
            <w:r>
              <w:rPr>
                <w:noProof/>
                <w:webHidden/>
              </w:rPr>
            </w:r>
            <w:r>
              <w:rPr>
                <w:noProof/>
                <w:webHidden/>
              </w:rPr>
              <w:fldChar w:fldCharType="separate"/>
            </w:r>
            <w:r w:rsidR="00A92B41">
              <w:rPr>
                <w:noProof/>
                <w:webHidden/>
              </w:rPr>
              <w:t>112</w:t>
            </w:r>
            <w:r>
              <w:rPr>
                <w:noProof/>
                <w:webHidden/>
              </w:rPr>
              <w:fldChar w:fldCharType="end"/>
            </w:r>
          </w:hyperlink>
        </w:p>
        <w:p w14:paraId="6C9D117E" w14:textId="385847E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83" w:history="1">
            <w:r w:rsidRPr="006E7CF9">
              <w:rPr>
                <w:rStyle w:val="Hyperlink"/>
                <w:noProof/>
              </w:rPr>
              <w:t>4.15.2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_Toc183441383 \h </w:instrText>
            </w:r>
            <w:r>
              <w:rPr>
                <w:noProof/>
                <w:webHidden/>
              </w:rPr>
            </w:r>
            <w:r>
              <w:rPr>
                <w:noProof/>
                <w:webHidden/>
              </w:rPr>
              <w:fldChar w:fldCharType="separate"/>
            </w:r>
            <w:r w:rsidR="00A92B41">
              <w:rPr>
                <w:noProof/>
                <w:webHidden/>
              </w:rPr>
              <w:t>112</w:t>
            </w:r>
            <w:r>
              <w:rPr>
                <w:noProof/>
                <w:webHidden/>
              </w:rPr>
              <w:fldChar w:fldCharType="end"/>
            </w:r>
          </w:hyperlink>
        </w:p>
        <w:p w14:paraId="60B4FAAB" w14:textId="606CF6B1"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84" w:history="1">
            <w:r w:rsidRPr="006E7CF9">
              <w:rPr>
                <w:rStyle w:val="Hyperlink"/>
                <w:noProof/>
              </w:rPr>
              <w:t>4.15.3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_Toc183441384 \h </w:instrText>
            </w:r>
            <w:r>
              <w:rPr>
                <w:noProof/>
                <w:webHidden/>
              </w:rPr>
            </w:r>
            <w:r>
              <w:rPr>
                <w:noProof/>
                <w:webHidden/>
              </w:rPr>
              <w:fldChar w:fldCharType="separate"/>
            </w:r>
            <w:r w:rsidR="00A92B41">
              <w:rPr>
                <w:noProof/>
                <w:webHidden/>
              </w:rPr>
              <w:t>112</w:t>
            </w:r>
            <w:r>
              <w:rPr>
                <w:noProof/>
                <w:webHidden/>
              </w:rPr>
              <w:fldChar w:fldCharType="end"/>
            </w:r>
          </w:hyperlink>
        </w:p>
        <w:p w14:paraId="1A01618B" w14:textId="7774B2C8"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85" w:history="1">
            <w:r w:rsidRPr="006E7CF9">
              <w:rPr>
                <w:rStyle w:val="Hyperlink"/>
                <w:noProof/>
              </w:rPr>
              <w:t>4.15.4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_Toc183441385 \h </w:instrText>
            </w:r>
            <w:r>
              <w:rPr>
                <w:noProof/>
                <w:webHidden/>
              </w:rPr>
            </w:r>
            <w:r>
              <w:rPr>
                <w:noProof/>
                <w:webHidden/>
              </w:rPr>
              <w:fldChar w:fldCharType="separate"/>
            </w:r>
            <w:r w:rsidR="00A92B41">
              <w:rPr>
                <w:noProof/>
                <w:webHidden/>
              </w:rPr>
              <w:t>113</w:t>
            </w:r>
            <w:r>
              <w:rPr>
                <w:noProof/>
                <w:webHidden/>
              </w:rPr>
              <w:fldChar w:fldCharType="end"/>
            </w:r>
          </w:hyperlink>
        </w:p>
        <w:p w14:paraId="4207C8CB" w14:textId="56AC19CC"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86" w:history="1">
            <w:r w:rsidRPr="006E7CF9">
              <w:rPr>
                <w:rStyle w:val="Hyperlink"/>
                <w:noProof/>
              </w:rPr>
              <w:t>4.15.5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_Toc183441386 \h </w:instrText>
            </w:r>
            <w:r>
              <w:rPr>
                <w:noProof/>
                <w:webHidden/>
              </w:rPr>
            </w:r>
            <w:r>
              <w:rPr>
                <w:noProof/>
                <w:webHidden/>
              </w:rPr>
              <w:fldChar w:fldCharType="separate"/>
            </w:r>
            <w:r w:rsidR="00A92B41">
              <w:rPr>
                <w:noProof/>
                <w:webHidden/>
              </w:rPr>
              <w:t>115</w:t>
            </w:r>
            <w:r>
              <w:rPr>
                <w:noProof/>
                <w:webHidden/>
              </w:rPr>
              <w:fldChar w:fldCharType="end"/>
            </w:r>
          </w:hyperlink>
        </w:p>
        <w:p w14:paraId="3FAEEF89" w14:textId="1967FD9A"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87" w:history="1">
            <w:r w:rsidRPr="006E7CF9">
              <w:rPr>
                <w:rStyle w:val="Hyperlink"/>
                <w:noProof/>
              </w:rPr>
              <w:t>4.16</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Arthropathies</w:t>
            </w:r>
            <w:r>
              <w:rPr>
                <w:noProof/>
                <w:webHidden/>
              </w:rPr>
              <w:tab/>
            </w:r>
            <w:r>
              <w:rPr>
                <w:noProof/>
                <w:webHidden/>
              </w:rPr>
              <w:fldChar w:fldCharType="begin"/>
            </w:r>
            <w:r>
              <w:rPr>
                <w:noProof/>
                <w:webHidden/>
              </w:rPr>
              <w:instrText xml:space="preserve"> PAGEREF _Toc183441387 \h </w:instrText>
            </w:r>
            <w:r>
              <w:rPr>
                <w:noProof/>
                <w:webHidden/>
              </w:rPr>
            </w:r>
            <w:r>
              <w:rPr>
                <w:noProof/>
                <w:webHidden/>
              </w:rPr>
              <w:fldChar w:fldCharType="separate"/>
            </w:r>
            <w:r w:rsidR="00A92B41">
              <w:rPr>
                <w:noProof/>
                <w:webHidden/>
              </w:rPr>
              <w:t>117</w:t>
            </w:r>
            <w:r>
              <w:rPr>
                <w:noProof/>
                <w:webHidden/>
              </w:rPr>
              <w:fldChar w:fldCharType="end"/>
            </w:r>
          </w:hyperlink>
        </w:p>
        <w:p w14:paraId="352821CD" w14:textId="40B1419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88" w:history="1">
            <w:r w:rsidRPr="006E7CF9">
              <w:rPr>
                <w:rStyle w:val="Hyperlink"/>
                <w:noProof/>
              </w:rPr>
              <w:t>4.16.1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_Toc183441388 \h </w:instrText>
            </w:r>
            <w:r>
              <w:rPr>
                <w:noProof/>
                <w:webHidden/>
              </w:rPr>
            </w:r>
            <w:r>
              <w:rPr>
                <w:noProof/>
                <w:webHidden/>
              </w:rPr>
              <w:fldChar w:fldCharType="separate"/>
            </w:r>
            <w:r w:rsidR="00A92B41">
              <w:rPr>
                <w:noProof/>
                <w:webHidden/>
              </w:rPr>
              <w:t>117</w:t>
            </w:r>
            <w:r>
              <w:rPr>
                <w:noProof/>
                <w:webHidden/>
              </w:rPr>
              <w:fldChar w:fldCharType="end"/>
            </w:r>
          </w:hyperlink>
        </w:p>
        <w:p w14:paraId="5FA596CE" w14:textId="5CFAA65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89" w:history="1">
            <w:r w:rsidRPr="006E7CF9">
              <w:rPr>
                <w:rStyle w:val="Hyperlink"/>
                <w:noProof/>
              </w:rPr>
              <w:t>4.16.2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_Toc183441389 \h </w:instrText>
            </w:r>
            <w:r>
              <w:rPr>
                <w:noProof/>
                <w:webHidden/>
              </w:rPr>
            </w:r>
            <w:r>
              <w:rPr>
                <w:noProof/>
                <w:webHidden/>
              </w:rPr>
              <w:fldChar w:fldCharType="separate"/>
            </w:r>
            <w:r w:rsidR="00A92B41">
              <w:rPr>
                <w:noProof/>
                <w:webHidden/>
              </w:rPr>
              <w:t>117</w:t>
            </w:r>
            <w:r>
              <w:rPr>
                <w:noProof/>
                <w:webHidden/>
              </w:rPr>
              <w:fldChar w:fldCharType="end"/>
            </w:r>
          </w:hyperlink>
        </w:p>
        <w:p w14:paraId="6E9734CD" w14:textId="15736DFF"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90" w:history="1">
            <w:r w:rsidRPr="006E7CF9">
              <w:rPr>
                <w:rStyle w:val="Hyperlink"/>
                <w:noProof/>
              </w:rPr>
              <w:t>4.16.3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_Toc183441390 \h </w:instrText>
            </w:r>
            <w:r>
              <w:rPr>
                <w:noProof/>
                <w:webHidden/>
              </w:rPr>
            </w:r>
            <w:r>
              <w:rPr>
                <w:noProof/>
                <w:webHidden/>
              </w:rPr>
              <w:fldChar w:fldCharType="separate"/>
            </w:r>
            <w:r w:rsidR="00A92B41">
              <w:rPr>
                <w:noProof/>
                <w:webHidden/>
              </w:rPr>
              <w:t>118</w:t>
            </w:r>
            <w:r>
              <w:rPr>
                <w:noProof/>
                <w:webHidden/>
              </w:rPr>
              <w:fldChar w:fldCharType="end"/>
            </w:r>
          </w:hyperlink>
        </w:p>
        <w:p w14:paraId="39D17FC1" w14:textId="7DB3F9C3"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91" w:history="1">
            <w:r w:rsidRPr="006E7CF9">
              <w:rPr>
                <w:rStyle w:val="Hyperlink"/>
                <w:noProof/>
              </w:rPr>
              <w:t>4.16.4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_Toc183441391 \h </w:instrText>
            </w:r>
            <w:r>
              <w:rPr>
                <w:noProof/>
                <w:webHidden/>
              </w:rPr>
            </w:r>
            <w:r>
              <w:rPr>
                <w:noProof/>
                <w:webHidden/>
              </w:rPr>
              <w:fldChar w:fldCharType="separate"/>
            </w:r>
            <w:r w:rsidR="00A92B41">
              <w:rPr>
                <w:noProof/>
                <w:webHidden/>
              </w:rPr>
              <w:t>119</w:t>
            </w:r>
            <w:r>
              <w:rPr>
                <w:noProof/>
                <w:webHidden/>
              </w:rPr>
              <w:fldChar w:fldCharType="end"/>
            </w:r>
          </w:hyperlink>
        </w:p>
        <w:p w14:paraId="351EDC84" w14:textId="5E3EC43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92" w:history="1">
            <w:r w:rsidRPr="006E7CF9">
              <w:rPr>
                <w:rStyle w:val="Hyperlink"/>
                <w:noProof/>
              </w:rPr>
              <w:t>4.16.5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_Toc183441392 \h </w:instrText>
            </w:r>
            <w:r>
              <w:rPr>
                <w:noProof/>
                <w:webHidden/>
              </w:rPr>
            </w:r>
            <w:r>
              <w:rPr>
                <w:noProof/>
                <w:webHidden/>
              </w:rPr>
              <w:fldChar w:fldCharType="separate"/>
            </w:r>
            <w:r w:rsidR="00A92B41">
              <w:rPr>
                <w:noProof/>
                <w:webHidden/>
              </w:rPr>
              <w:t>121</w:t>
            </w:r>
            <w:r>
              <w:rPr>
                <w:noProof/>
                <w:webHidden/>
              </w:rPr>
              <w:fldChar w:fldCharType="end"/>
            </w:r>
          </w:hyperlink>
        </w:p>
        <w:p w14:paraId="7BFE7FC7" w14:textId="1D0AA0D7"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93" w:history="1">
            <w:r w:rsidRPr="006E7CF9">
              <w:rPr>
                <w:rStyle w:val="Hyperlink"/>
                <w:noProof/>
              </w:rPr>
              <w:t>4.17</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Back or neck pain</w:t>
            </w:r>
            <w:r>
              <w:rPr>
                <w:noProof/>
                <w:webHidden/>
              </w:rPr>
              <w:tab/>
            </w:r>
            <w:r>
              <w:rPr>
                <w:noProof/>
                <w:webHidden/>
              </w:rPr>
              <w:fldChar w:fldCharType="begin"/>
            </w:r>
            <w:r>
              <w:rPr>
                <w:noProof/>
                <w:webHidden/>
              </w:rPr>
              <w:instrText xml:space="preserve"> PAGEREF _Toc183441393 \h </w:instrText>
            </w:r>
            <w:r>
              <w:rPr>
                <w:noProof/>
                <w:webHidden/>
              </w:rPr>
            </w:r>
            <w:r>
              <w:rPr>
                <w:noProof/>
                <w:webHidden/>
              </w:rPr>
              <w:fldChar w:fldCharType="separate"/>
            </w:r>
            <w:r w:rsidR="00A92B41">
              <w:rPr>
                <w:noProof/>
                <w:webHidden/>
              </w:rPr>
              <w:t>123</w:t>
            </w:r>
            <w:r>
              <w:rPr>
                <w:noProof/>
                <w:webHidden/>
              </w:rPr>
              <w:fldChar w:fldCharType="end"/>
            </w:r>
          </w:hyperlink>
        </w:p>
        <w:p w14:paraId="6D78EE99" w14:textId="247B0607"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94" w:history="1">
            <w:r w:rsidRPr="006E7CF9">
              <w:rPr>
                <w:rStyle w:val="Hyperlink"/>
                <w:noProof/>
              </w:rPr>
              <w:t>4.17.1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_Toc183441394 \h </w:instrText>
            </w:r>
            <w:r>
              <w:rPr>
                <w:noProof/>
                <w:webHidden/>
              </w:rPr>
            </w:r>
            <w:r>
              <w:rPr>
                <w:noProof/>
                <w:webHidden/>
              </w:rPr>
              <w:fldChar w:fldCharType="separate"/>
            </w:r>
            <w:r w:rsidR="00A92B41">
              <w:rPr>
                <w:noProof/>
                <w:webHidden/>
              </w:rPr>
              <w:t>123</w:t>
            </w:r>
            <w:r>
              <w:rPr>
                <w:noProof/>
                <w:webHidden/>
              </w:rPr>
              <w:fldChar w:fldCharType="end"/>
            </w:r>
          </w:hyperlink>
        </w:p>
        <w:p w14:paraId="536666C8" w14:textId="44137A7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95" w:history="1">
            <w:r w:rsidRPr="006E7CF9">
              <w:rPr>
                <w:rStyle w:val="Hyperlink"/>
                <w:noProof/>
              </w:rPr>
              <w:t>4.17.2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_Toc183441395 \h </w:instrText>
            </w:r>
            <w:r>
              <w:rPr>
                <w:noProof/>
                <w:webHidden/>
              </w:rPr>
            </w:r>
            <w:r>
              <w:rPr>
                <w:noProof/>
                <w:webHidden/>
              </w:rPr>
              <w:fldChar w:fldCharType="separate"/>
            </w:r>
            <w:r w:rsidR="00A92B41">
              <w:rPr>
                <w:noProof/>
                <w:webHidden/>
              </w:rPr>
              <w:t>124</w:t>
            </w:r>
            <w:r>
              <w:rPr>
                <w:noProof/>
                <w:webHidden/>
              </w:rPr>
              <w:fldChar w:fldCharType="end"/>
            </w:r>
          </w:hyperlink>
        </w:p>
        <w:p w14:paraId="1A81E299" w14:textId="2D40ED9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96" w:history="1">
            <w:r w:rsidRPr="006E7CF9">
              <w:rPr>
                <w:rStyle w:val="Hyperlink"/>
                <w:noProof/>
              </w:rPr>
              <w:t>4.17.3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_Toc183441396 \h </w:instrText>
            </w:r>
            <w:r>
              <w:rPr>
                <w:noProof/>
                <w:webHidden/>
              </w:rPr>
            </w:r>
            <w:r>
              <w:rPr>
                <w:noProof/>
                <w:webHidden/>
              </w:rPr>
              <w:fldChar w:fldCharType="separate"/>
            </w:r>
            <w:r w:rsidR="00A92B41">
              <w:rPr>
                <w:noProof/>
                <w:webHidden/>
              </w:rPr>
              <w:t>124</w:t>
            </w:r>
            <w:r>
              <w:rPr>
                <w:noProof/>
                <w:webHidden/>
              </w:rPr>
              <w:fldChar w:fldCharType="end"/>
            </w:r>
          </w:hyperlink>
        </w:p>
        <w:p w14:paraId="03DEB631" w14:textId="4C201B2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97" w:history="1">
            <w:r w:rsidRPr="006E7CF9">
              <w:rPr>
                <w:rStyle w:val="Hyperlink"/>
                <w:noProof/>
              </w:rPr>
              <w:t>4.17.4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_Toc183441397 \h </w:instrText>
            </w:r>
            <w:r>
              <w:rPr>
                <w:noProof/>
                <w:webHidden/>
              </w:rPr>
            </w:r>
            <w:r>
              <w:rPr>
                <w:noProof/>
                <w:webHidden/>
              </w:rPr>
              <w:fldChar w:fldCharType="separate"/>
            </w:r>
            <w:r w:rsidR="00A92B41">
              <w:rPr>
                <w:noProof/>
                <w:webHidden/>
              </w:rPr>
              <w:t>125</w:t>
            </w:r>
            <w:r>
              <w:rPr>
                <w:noProof/>
                <w:webHidden/>
              </w:rPr>
              <w:fldChar w:fldCharType="end"/>
            </w:r>
          </w:hyperlink>
        </w:p>
        <w:p w14:paraId="12002888" w14:textId="1751A23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398" w:history="1">
            <w:r w:rsidRPr="006E7CF9">
              <w:rPr>
                <w:rStyle w:val="Hyperlink"/>
                <w:noProof/>
              </w:rPr>
              <w:t>4.17.5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_Toc183441398 \h </w:instrText>
            </w:r>
            <w:r>
              <w:rPr>
                <w:noProof/>
                <w:webHidden/>
              </w:rPr>
            </w:r>
            <w:r>
              <w:rPr>
                <w:noProof/>
                <w:webHidden/>
              </w:rPr>
              <w:fldChar w:fldCharType="separate"/>
            </w:r>
            <w:r w:rsidR="00A92B41">
              <w:rPr>
                <w:noProof/>
                <w:webHidden/>
              </w:rPr>
              <w:t>127</w:t>
            </w:r>
            <w:r>
              <w:rPr>
                <w:noProof/>
                <w:webHidden/>
              </w:rPr>
              <w:fldChar w:fldCharType="end"/>
            </w:r>
          </w:hyperlink>
        </w:p>
        <w:p w14:paraId="2B1F9BC2" w14:textId="5E345FED"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399" w:history="1">
            <w:r w:rsidRPr="006E7CF9">
              <w:rPr>
                <w:rStyle w:val="Hyperlink"/>
                <w:noProof/>
              </w:rPr>
              <w:t>4.18</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Menopausal symptoms or complaints</w:t>
            </w:r>
            <w:r>
              <w:rPr>
                <w:noProof/>
                <w:webHidden/>
              </w:rPr>
              <w:tab/>
            </w:r>
            <w:r>
              <w:rPr>
                <w:noProof/>
                <w:webHidden/>
              </w:rPr>
              <w:fldChar w:fldCharType="begin"/>
            </w:r>
            <w:r>
              <w:rPr>
                <w:noProof/>
                <w:webHidden/>
              </w:rPr>
              <w:instrText xml:space="preserve"> PAGEREF _Toc183441399 \h </w:instrText>
            </w:r>
            <w:r>
              <w:rPr>
                <w:noProof/>
                <w:webHidden/>
              </w:rPr>
            </w:r>
            <w:r>
              <w:rPr>
                <w:noProof/>
                <w:webHidden/>
              </w:rPr>
              <w:fldChar w:fldCharType="separate"/>
            </w:r>
            <w:r w:rsidR="00A92B41">
              <w:rPr>
                <w:noProof/>
                <w:webHidden/>
              </w:rPr>
              <w:t>129</w:t>
            </w:r>
            <w:r>
              <w:rPr>
                <w:noProof/>
                <w:webHidden/>
              </w:rPr>
              <w:fldChar w:fldCharType="end"/>
            </w:r>
          </w:hyperlink>
        </w:p>
        <w:p w14:paraId="76A73DB6" w14:textId="4276C99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00" w:history="1">
            <w:r w:rsidRPr="006E7CF9">
              <w:rPr>
                <w:rStyle w:val="Hyperlink"/>
                <w:noProof/>
              </w:rPr>
              <w:t>4.18.1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_Toc183441400 \h </w:instrText>
            </w:r>
            <w:r>
              <w:rPr>
                <w:noProof/>
                <w:webHidden/>
              </w:rPr>
            </w:r>
            <w:r>
              <w:rPr>
                <w:noProof/>
                <w:webHidden/>
              </w:rPr>
              <w:fldChar w:fldCharType="separate"/>
            </w:r>
            <w:r w:rsidR="00A92B41">
              <w:rPr>
                <w:noProof/>
                <w:webHidden/>
              </w:rPr>
              <w:t>129</w:t>
            </w:r>
            <w:r>
              <w:rPr>
                <w:noProof/>
                <w:webHidden/>
              </w:rPr>
              <w:fldChar w:fldCharType="end"/>
            </w:r>
          </w:hyperlink>
        </w:p>
        <w:p w14:paraId="08F75FF7" w14:textId="1B0CAFE8"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01" w:history="1">
            <w:r w:rsidRPr="006E7CF9">
              <w:rPr>
                <w:rStyle w:val="Hyperlink"/>
                <w:noProof/>
              </w:rPr>
              <w:t>4.18.2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_Toc183441401 \h </w:instrText>
            </w:r>
            <w:r>
              <w:rPr>
                <w:noProof/>
                <w:webHidden/>
              </w:rPr>
            </w:r>
            <w:r>
              <w:rPr>
                <w:noProof/>
                <w:webHidden/>
              </w:rPr>
              <w:fldChar w:fldCharType="separate"/>
            </w:r>
            <w:r w:rsidR="00A92B41">
              <w:rPr>
                <w:noProof/>
                <w:webHidden/>
              </w:rPr>
              <w:t>129</w:t>
            </w:r>
            <w:r>
              <w:rPr>
                <w:noProof/>
                <w:webHidden/>
              </w:rPr>
              <w:fldChar w:fldCharType="end"/>
            </w:r>
          </w:hyperlink>
        </w:p>
        <w:p w14:paraId="15292920" w14:textId="5D854233"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02" w:history="1">
            <w:r w:rsidRPr="006E7CF9">
              <w:rPr>
                <w:rStyle w:val="Hyperlink"/>
                <w:noProof/>
              </w:rPr>
              <w:t>4.18.3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_Toc183441402 \h </w:instrText>
            </w:r>
            <w:r>
              <w:rPr>
                <w:noProof/>
                <w:webHidden/>
              </w:rPr>
            </w:r>
            <w:r>
              <w:rPr>
                <w:noProof/>
                <w:webHidden/>
              </w:rPr>
              <w:fldChar w:fldCharType="separate"/>
            </w:r>
            <w:r w:rsidR="00A92B41">
              <w:rPr>
                <w:noProof/>
                <w:webHidden/>
              </w:rPr>
              <w:t>130</w:t>
            </w:r>
            <w:r>
              <w:rPr>
                <w:noProof/>
                <w:webHidden/>
              </w:rPr>
              <w:fldChar w:fldCharType="end"/>
            </w:r>
          </w:hyperlink>
        </w:p>
        <w:p w14:paraId="671B7269" w14:textId="67AAA103"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03" w:history="1">
            <w:r w:rsidRPr="006E7CF9">
              <w:rPr>
                <w:rStyle w:val="Hyperlink"/>
                <w:noProof/>
              </w:rPr>
              <w:t>4.18.4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_Toc183441403 \h </w:instrText>
            </w:r>
            <w:r>
              <w:rPr>
                <w:noProof/>
                <w:webHidden/>
              </w:rPr>
            </w:r>
            <w:r>
              <w:rPr>
                <w:noProof/>
                <w:webHidden/>
              </w:rPr>
              <w:fldChar w:fldCharType="separate"/>
            </w:r>
            <w:r w:rsidR="00A92B41">
              <w:rPr>
                <w:noProof/>
                <w:webHidden/>
              </w:rPr>
              <w:t>131</w:t>
            </w:r>
            <w:r>
              <w:rPr>
                <w:noProof/>
                <w:webHidden/>
              </w:rPr>
              <w:fldChar w:fldCharType="end"/>
            </w:r>
          </w:hyperlink>
        </w:p>
        <w:p w14:paraId="2301126B" w14:textId="356FECA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04" w:history="1">
            <w:r w:rsidRPr="006E7CF9">
              <w:rPr>
                <w:rStyle w:val="Hyperlink"/>
                <w:noProof/>
              </w:rPr>
              <w:t>4.18.5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_Toc183441404 \h </w:instrText>
            </w:r>
            <w:r>
              <w:rPr>
                <w:noProof/>
                <w:webHidden/>
              </w:rPr>
            </w:r>
            <w:r>
              <w:rPr>
                <w:noProof/>
                <w:webHidden/>
              </w:rPr>
              <w:fldChar w:fldCharType="separate"/>
            </w:r>
            <w:r w:rsidR="00A92B41">
              <w:rPr>
                <w:noProof/>
                <w:webHidden/>
              </w:rPr>
              <w:t>134</w:t>
            </w:r>
            <w:r>
              <w:rPr>
                <w:noProof/>
                <w:webHidden/>
              </w:rPr>
              <w:fldChar w:fldCharType="end"/>
            </w:r>
          </w:hyperlink>
        </w:p>
        <w:p w14:paraId="7B2C5867" w14:textId="2D938616"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05" w:history="1">
            <w:r w:rsidRPr="006E7CF9">
              <w:rPr>
                <w:rStyle w:val="Hyperlink"/>
                <w:noProof/>
              </w:rPr>
              <w:t>4.19</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Menstrual disorders</w:t>
            </w:r>
            <w:r>
              <w:rPr>
                <w:noProof/>
                <w:webHidden/>
              </w:rPr>
              <w:tab/>
            </w:r>
            <w:r>
              <w:rPr>
                <w:noProof/>
                <w:webHidden/>
              </w:rPr>
              <w:fldChar w:fldCharType="begin"/>
            </w:r>
            <w:r>
              <w:rPr>
                <w:noProof/>
                <w:webHidden/>
              </w:rPr>
              <w:instrText xml:space="preserve"> PAGEREF _Toc183441405 \h </w:instrText>
            </w:r>
            <w:r>
              <w:rPr>
                <w:noProof/>
                <w:webHidden/>
              </w:rPr>
            </w:r>
            <w:r>
              <w:rPr>
                <w:noProof/>
                <w:webHidden/>
              </w:rPr>
              <w:fldChar w:fldCharType="separate"/>
            </w:r>
            <w:r w:rsidR="00A92B41">
              <w:rPr>
                <w:noProof/>
                <w:webHidden/>
              </w:rPr>
              <w:t>139</w:t>
            </w:r>
            <w:r>
              <w:rPr>
                <w:noProof/>
                <w:webHidden/>
              </w:rPr>
              <w:fldChar w:fldCharType="end"/>
            </w:r>
          </w:hyperlink>
        </w:p>
        <w:p w14:paraId="6F4856D5" w14:textId="11C3F0D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06" w:history="1">
            <w:r w:rsidRPr="006E7CF9">
              <w:rPr>
                <w:rStyle w:val="Hyperlink"/>
                <w:noProof/>
              </w:rPr>
              <w:t>4.19.1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_Toc183441406 \h </w:instrText>
            </w:r>
            <w:r>
              <w:rPr>
                <w:noProof/>
                <w:webHidden/>
              </w:rPr>
            </w:r>
            <w:r>
              <w:rPr>
                <w:noProof/>
                <w:webHidden/>
              </w:rPr>
              <w:fldChar w:fldCharType="separate"/>
            </w:r>
            <w:r w:rsidR="00A92B41">
              <w:rPr>
                <w:noProof/>
                <w:webHidden/>
              </w:rPr>
              <w:t>139</w:t>
            </w:r>
            <w:r>
              <w:rPr>
                <w:noProof/>
                <w:webHidden/>
              </w:rPr>
              <w:fldChar w:fldCharType="end"/>
            </w:r>
          </w:hyperlink>
        </w:p>
        <w:p w14:paraId="45382D7A" w14:textId="1F92947D"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07" w:history="1">
            <w:r w:rsidRPr="006E7CF9">
              <w:rPr>
                <w:rStyle w:val="Hyperlink"/>
                <w:noProof/>
              </w:rPr>
              <w:t>4.19.2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_Toc183441407 \h </w:instrText>
            </w:r>
            <w:r>
              <w:rPr>
                <w:noProof/>
                <w:webHidden/>
              </w:rPr>
            </w:r>
            <w:r>
              <w:rPr>
                <w:noProof/>
                <w:webHidden/>
              </w:rPr>
              <w:fldChar w:fldCharType="separate"/>
            </w:r>
            <w:r w:rsidR="00A92B41">
              <w:rPr>
                <w:noProof/>
                <w:webHidden/>
              </w:rPr>
              <w:t>139</w:t>
            </w:r>
            <w:r>
              <w:rPr>
                <w:noProof/>
                <w:webHidden/>
              </w:rPr>
              <w:fldChar w:fldCharType="end"/>
            </w:r>
          </w:hyperlink>
        </w:p>
        <w:p w14:paraId="17358427" w14:textId="0E27CF9B"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08" w:history="1">
            <w:r w:rsidRPr="006E7CF9">
              <w:rPr>
                <w:rStyle w:val="Hyperlink"/>
                <w:noProof/>
              </w:rPr>
              <w:t>4.19.3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_Toc183441408 \h </w:instrText>
            </w:r>
            <w:r>
              <w:rPr>
                <w:noProof/>
                <w:webHidden/>
              </w:rPr>
            </w:r>
            <w:r>
              <w:rPr>
                <w:noProof/>
                <w:webHidden/>
              </w:rPr>
              <w:fldChar w:fldCharType="separate"/>
            </w:r>
            <w:r w:rsidR="00A92B41">
              <w:rPr>
                <w:noProof/>
                <w:webHidden/>
              </w:rPr>
              <w:t>140</w:t>
            </w:r>
            <w:r>
              <w:rPr>
                <w:noProof/>
                <w:webHidden/>
              </w:rPr>
              <w:fldChar w:fldCharType="end"/>
            </w:r>
          </w:hyperlink>
        </w:p>
        <w:p w14:paraId="7B1B960B" w14:textId="0A8F4BF4"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09" w:history="1">
            <w:r w:rsidRPr="006E7CF9">
              <w:rPr>
                <w:rStyle w:val="Hyperlink"/>
                <w:noProof/>
              </w:rPr>
              <w:t>4.19.4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_Toc183441409 \h </w:instrText>
            </w:r>
            <w:r>
              <w:rPr>
                <w:noProof/>
                <w:webHidden/>
              </w:rPr>
            </w:r>
            <w:r>
              <w:rPr>
                <w:noProof/>
                <w:webHidden/>
              </w:rPr>
              <w:fldChar w:fldCharType="separate"/>
            </w:r>
            <w:r w:rsidR="00A92B41">
              <w:rPr>
                <w:noProof/>
                <w:webHidden/>
              </w:rPr>
              <w:t>141</w:t>
            </w:r>
            <w:r>
              <w:rPr>
                <w:noProof/>
                <w:webHidden/>
              </w:rPr>
              <w:fldChar w:fldCharType="end"/>
            </w:r>
          </w:hyperlink>
        </w:p>
        <w:p w14:paraId="6C5827F1" w14:textId="5421075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10" w:history="1">
            <w:r w:rsidRPr="006E7CF9">
              <w:rPr>
                <w:rStyle w:val="Hyperlink"/>
                <w:noProof/>
              </w:rPr>
              <w:t>4.19.5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_Toc183441410 \h </w:instrText>
            </w:r>
            <w:r>
              <w:rPr>
                <w:noProof/>
                <w:webHidden/>
              </w:rPr>
            </w:r>
            <w:r>
              <w:rPr>
                <w:noProof/>
                <w:webHidden/>
              </w:rPr>
              <w:fldChar w:fldCharType="separate"/>
            </w:r>
            <w:r w:rsidR="00A92B41">
              <w:rPr>
                <w:noProof/>
                <w:webHidden/>
              </w:rPr>
              <w:t>144</w:t>
            </w:r>
            <w:r>
              <w:rPr>
                <w:noProof/>
                <w:webHidden/>
              </w:rPr>
              <w:fldChar w:fldCharType="end"/>
            </w:r>
          </w:hyperlink>
        </w:p>
        <w:p w14:paraId="0D0143D0" w14:textId="5C12B840"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11" w:history="1">
            <w:r w:rsidRPr="006E7CF9">
              <w:rPr>
                <w:rStyle w:val="Hyperlink"/>
                <w:noProof/>
              </w:rPr>
              <w:t>4.20</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Fatigue conditions</w:t>
            </w:r>
            <w:r>
              <w:rPr>
                <w:noProof/>
                <w:webHidden/>
              </w:rPr>
              <w:tab/>
            </w:r>
            <w:r>
              <w:rPr>
                <w:noProof/>
                <w:webHidden/>
              </w:rPr>
              <w:fldChar w:fldCharType="begin"/>
            </w:r>
            <w:r>
              <w:rPr>
                <w:noProof/>
                <w:webHidden/>
              </w:rPr>
              <w:instrText xml:space="preserve"> PAGEREF _Toc183441411 \h </w:instrText>
            </w:r>
            <w:r>
              <w:rPr>
                <w:noProof/>
                <w:webHidden/>
              </w:rPr>
            </w:r>
            <w:r>
              <w:rPr>
                <w:noProof/>
                <w:webHidden/>
              </w:rPr>
              <w:fldChar w:fldCharType="separate"/>
            </w:r>
            <w:r w:rsidR="00A92B41">
              <w:rPr>
                <w:noProof/>
                <w:webHidden/>
              </w:rPr>
              <w:t>149</w:t>
            </w:r>
            <w:r>
              <w:rPr>
                <w:noProof/>
                <w:webHidden/>
              </w:rPr>
              <w:fldChar w:fldCharType="end"/>
            </w:r>
          </w:hyperlink>
        </w:p>
        <w:p w14:paraId="04932E66" w14:textId="62E62FB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12" w:history="1">
            <w:r w:rsidRPr="006E7CF9">
              <w:rPr>
                <w:rStyle w:val="Hyperlink"/>
                <w:noProof/>
              </w:rPr>
              <w:t>4.20.1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_Toc183441412 \h </w:instrText>
            </w:r>
            <w:r>
              <w:rPr>
                <w:noProof/>
                <w:webHidden/>
              </w:rPr>
            </w:r>
            <w:r>
              <w:rPr>
                <w:noProof/>
                <w:webHidden/>
              </w:rPr>
              <w:fldChar w:fldCharType="separate"/>
            </w:r>
            <w:r w:rsidR="00A92B41">
              <w:rPr>
                <w:noProof/>
                <w:webHidden/>
              </w:rPr>
              <w:t>149</w:t>
            </w:r>
            <w:r>
              <w:rPr>
                <w:noProof/>
                <w:webHidden/>
              </w:rPr>
              <w:fldChar w:fldCharType="end"/>
            </w:r>
          </w:hyperlink>
        </w:p>
        <w:p w14:paraId="1D67BC80" w14:textId="28F55B7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13" w:history="1">
            <w:r w:rsidRPr="006E7CF9">
              <w:rPr>
                <w:rStyle w:val="Hyperlink"/>
                <w:noProof/>
              </w:rPr>
              <w:t>4.20.2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_Toc183441413 \h </w:instrText>
            </w:r>
            <w:r>
              <w:rPr>
                <w:noProof/>
                <w:webHidden/>
              </w:rPr>
            </w:r>
            <w:r>
              <w:rPr>
                <w:noProof/>
                <w:webHidden/>
              </w:rPr>
              <w:fldChar w:fldCharType="separate"/>
            </w:r>
            <w:r w:rsidR="00A92B41">
              <w:rPr>
                <w:noProof/>
                <w:webHidden/>
              </w:rPr>
              <w:t>149</w:t>
            </w:r>
            <w:r>
              <w:rPr>
                <w:noProof/>
                <w:webHidden/>
              </w:rPr>
              <w:fldChar w:fldCharType="end"/>
            </w:r>
          </w:hyperlink>
        </w:p>
        <w:p w14:paraId="2FB72BE1" w14:textId="44C4F60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14" w:history="1">
            <w:r w:rsidRPr="006E7CF9">
              <w:rPr>
                <w:rStyle w:val="Hyperlink"/>
                <w:noProof/>
              </w:rPr>
              <w:t>4.20.3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_Toc183441414 \h </w:instrText>
            </w:r>
            <w:r>
              <w:rPr>
                <w:noProof/>
                <w:webHidden/>
              </w:rPr>
            </w:r>
            <w:r>
              <w:rPr>
                <w:noProof/>
                <w:webHidden/>
              </w:rPr>
              <w:fldChar w:fldCharType="separate"/>
            </w:r>
            <w:r w:rsidR="00A92B41">
              <w:rPr>
                <w:noProof/>
                <w:webHidden/>
              </w:rPr>
              <w:t>149</w:t>
            </w:r>
            <w:r>
              <w:rPr>
                <w:noProof/>
                <w:webHidden/>
              </w:rPr>
              <w:fldChar w:fldCharType="end"/>
            </w:r>
          </w:hyperlink>
        </w:p>
        <w:p w14:paraId="211B251E" w14:textId="0B6C97E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15" w:history="1">
            <w:r w:rsidRPr="006E7CF9">
              <w:rPr>
                <w:rStyle w:val="Hyperlink"/>
                <w:noProof/>
              </w:rPr>
              <w:t>4.20.4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_Toc183441415 \h </w:instrText>
            </w:r>
            <w:r>
              <w:rPr>
                <w:noProof/>
                <w:webHidden/>
              </w:rPr>
            </w:r>
            <w:r>
              <w:rPr>
                <w:noProof/>
                <w:webHidden/>
              </w:rPr>
              <w:fldChar w:fldCharType="separate"/>
            </w:r>
            <w:r w:rsidR="00A92B41">
              <w:rPr>
                <w:noProof/>
                <w:webHidden/>
              </w:rPr>
              <w:t>150</w:t>
            </w:r>
            <w:r>
              <w:rPr>
                <w:noProof/>
                <w:webHidden/>
              </w:rPr>
              <w:fldChar w:fldCharType="end"/>
            </w:r>
          </w:hyperlink>
        </w:p>
        <w:p w14:paraId="296BA33A" w14:textId="7773B0C6"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16" w:history="1">
            <w:r w:rsidRPr="006E7CF9">
              <w:rPr>
                <w:rStyle w:val="Hyperlink"/>
                <w:noProof/>
              </w:rPr>
              <w:t>4.20.5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_Toc183441416 \h </w:instrText>
            </w:r>
            <w:r>
              <w:rPr>
                <w:noProof/>
                <w:webHidden/>
              </w:rPr>
            </w:r>
            <w:r>
              <w:rPr>
                <w:noProof/>
                <w:webHidden/>
              </w:rPr>
              <w:fldChar w:fldCharType="separate"/>
            </w:r>
            <w:r w:rsidR="00A92B41">
              <w:rPr>
                <w:noProof/>
                <w:webHidden/>
              </w:rPr>
              <w:t>151</w:t>
            </w:r>
            <w:r>
              <w:rPr>
                <w:noProof/>
                <w:webHidden/>
              </w:rPr>
              <w:fldChar w:fldCharType="end"/>
            </w:r>
          </w:hyperlink>
        </w:p>
        <w:p w14:paraId="2161ABCF" w14:textId="47DA6C42"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17" w:history="1">
            <w:r w:rsidRPr="006E7CF9">
              <w:rPr>
                <w:rStyle w:val="Hyperlink"/>
                <w:noProof/>
              </w:rPr>
              <w:t>4.21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Fibromyalgia</w:t>
            </w:r>
            <w:r>
              <w:rPr>
                <w:noProof/>
                <w:webHidden/>
              </w:rPr>
              <w:tab/>
            </w:r>
            <w:r>
              <w:rPr>
                <w:noProof/>
                <w:webHidden/>
              </w:rPr>
              <w:fldChar w:fldCharType="begin"/>
            </w:r>
            <w:r>
              <w:rPr>
                <w:noProof/>
                <w:webHidden/>
              </w:rPr>
              <w:instrText xml:space="preserve"> PAGEREF _Toc183441417 \h </w:instrText>
            </w:r>
            <w:r>
              <w:rPr>
                <w:noProof/>
                <w:webHidden/>
              </w:rPr>
            </w:r>
            <w:r>
              <w:rPr>
                <w:noProof/>
                <w:webHidden/>
              </w:rPr>
              <w:fldChar w:fldCharType="separate"/>
            </w:r>
            <w:r w:rsidR="00A92B41">
              <w:rPr>
                <w:noProof/>
                <w:webHidden/>
              </w:rPr>
              <w:t>154</w:t>
            </w:r>
            <w:r>
              <w:rPr>
                <w:noProof/>
                <w:webHidden/>
              </w:rPr>
              <w:fldChar w:fldCharType="end"/>
            </w:r>
          </w:hyperlink>
        </w:p>
        <w:p w14:paraId="3B08DF78" w14:textId="7F4846A7"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18" w:history="1">
            <w:r w:rsidRPr="006E7CF9">
              <w:rPr>
                <w:rStyle w:val="Hyperlink"/>
                <w:noProof/>
              </w:rPr>
              <w:t>4.21.1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the condition</w:t>
            </w:r>
            <w:r>
              <w:rPr>
                <w:noProof/>
                <w:webHidden/>
              </w:rPr>
              <w:tab/>
            </w:r>
            <w:r>
              <w:rPr>
                <w:noProof/>
                <w:webHidden/>
              </w:rPr>
              <w:fldChar w:fldCharType="begin"/>
            </w:r>
            <w:r>
              <w:rPr>
                <w:noProof/>
                <w:webHidden/>
              </w:rPr>
              <w:instrText xml:space="preserve"> PAGEREF _Toc183441418 \h </w:instrText>
            </w:r>
            <w:r>
              <w:rPr>
                <w:noProof/>
                <w:webHidden/>
              </w:rPr>
            </w:r>
            <w:r>
              <w:rPr>
                <w:noProof/>
                <w:webHidden/>
              </w:rPr>
              <w:fldChar w:fldCharType="separate"/>
            </w:r>
            <w:r w:rsidR="00A92B41">
              <w:rPr>
                <w:noProof/>
                <w:webHidden/>
              </w:rPr>
              <w:t>154</w:t>
            </w:r>
            <w:r>
              <w:rPr>
                <w:noProof/>
                <w:webHidden/>
              </w:rPr>
              <w:fldChar w:fldCharType="end"/>
            </w:r>
          </w:hyperlink>
        </w:p>
        <w:p w14:paraId="5E71CC11" w14:textId="7178D501"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19" w:history="1">
            <w:r w:rsidRPr="006E7CF9">
              <w:rPr>
                <w:rStyle w:val="Hyperlink"/>
                <w:noProof/>
              </w:rPr>
              <w:t>4.21.2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Description of studies</w:t>
            </w:r>
            <w:r>
              <w:rPr>
                <w:noProof/>
                <w:webHidden/>
              </w:rPr>
              <w:tab/>
            </w:r>
            <w:r>
              <w:rPr>
                <w:noProof/>
                <w:webHidden/>
              </w:rPr>
              <w:fldChar w:fldCharType="begin"/>
            </w:r>
            <w:r>
              <w:rPr>
                <w:noProof/>
                <w:webHidden/>
              </w:rPr>
              <w:instrText xml:space="preserve"> PAGEREF _Toc183441419 \h </w:instrText>
            </w:r>
            <w:r>
              <w:rPr>
                <w:noProof/>
                <w:webHidden/>
              </w:rPr>
            </w:r>
            <w:r>
              <w:rPr>
                <w:noProof/>
                <w:webHidden/>
              </w:rPr>
              <w:fldChar w:fldCharType="separate"/>
            </w:r>
            <w:r w:rsidR="00A92B41">
              <w:rPr>
                <w:noProof/>
                <w:webHidden/>
              </w:rPr>
              <w:t>154</w:t>
            </w:r>
            <w:r>
              <w:rPr>
                <w:noProof/>
                <w:webHidden/>
              </w:rPr>
              <w:fldChar w:fldCharType="end"/>
            </w:r>
          </w:hyperlink>
        </w:p>
        <w:p w14:paraId="4EAEA156" w14:textId="5E99868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20" w:history="1">
            <w:r w:rsidRPr="006E7CF9">
              <w:rPr>
                <w:rStyle w:val="Hyperlink"/>
                <w:noProof/>
              </w:rPr>
              <w:t>4.21.3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Risk of bias – summary assessment across studies</w:t>
            </w:r>
            <w:r>
              <w:rPr>
                <w:noProof/>
                <w:webHidden/>
              </w:rPr>
              <w:tab/>
            </w:r>
            <w:r>
              <w:rPr>
                <w:noProof/>
                <w:webHidden/>
              </w:rPr>
              <w:fldChar w:fldCharType="begin"/>
            </w:r>
            <w:r>
              <w:rPr>
                <w:noProof/>
                <w:webHidden/>
              </w:rPr>
              <w:instrText xml:space="preserve"> PAGEREF _Toc183441420 \h </w:instrText>
            </w:r>
            <w:r>
              <w:rPr>
                <w:noProof/>
                <w:webHidden/>
              </w:rPr>
            </w:r>
            <w:r>
              <w:rPr>
                <w:noProof/>
                <w:webHidden/>
              </w:rPr>
              <w:fldChar w:fldCharType="separate"/>
            </w:r>
            <w:r w:rsidR="00A92B41">
              <w:rPr>
                <w:noProof/>
                <w:webHidden/>
              </w:rPr>
              <w:t>155</w:t>
            </w:r>
            <w:r>
              <w:rPr>
                <w:noProof/>
                <w:webHidden/>
              </w:rPr>
              <w:fldChar w:fldCharType="end"/>
            </w:r>
          </w:hyperlink>
        </w:p>
        <w:p w14:paraId="1C702F12" w14:textId="6B0ECFCD"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21" w:history="1">
            <w:r w:rsidRPr="006E7CF9">
              <w:rPr>
                <w:rStyle w:val="Hyperlink"/>
                <w:noProof/>
              </w:rPr>
              <w:t>4.21.4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findings and evidence statements</w:t>
            </w:r>
            <w:r>
              <w:rPr>
                <w:noProof/>
                <w:webHidden/>
              </w:rPr>
              <w:tab/>
            </w:r>
            <w:r>
              <w:rPr>
                <w:noProof/>
                <w:webHidden/>
              </w:rPr>
              <w:fldChar w:fldCharType="begin"/>
            </w:r>
            <w:r>
              <w:rPr>
                <w:noProof/>
                <w:webHidden/>
              </w:rPr>
              <w:instrText xml:space="preserve"> PAGEREF _Toc183441421 \h </w:instrText>
            </w:r>
            <w:r>
              <w:rPr>
                <w:noProof/>
                <w:webHidden/>
              </w:rPr>
            </w:r>
            <w:r>
              <w:rPr>
                <w:noProof/>
                <w:webHidden/>
              </w:rPr>
              <w:fldChar w:fldCharType="separate"/>
            </w:r>
            <w:r w:rsidR="00A92B41">
              <w:rPr>
                <w:noProof/>
                <w:webHidden/>
              </w:rPr>
              <w:t>155</w:t>
            </w:r>
            <w:r>
              <w:rPr>
                <w:noProof/>
                <w:webHidden/>
              </w:rPr>
              <w:fldChar w:fldCharType="end"/>
            </w:r>
          </w:hyperlink>
        </w:p>
        <w:p w14:paraId="16CA7C51" w14:textId="30785AE5"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22" w:history="1">
            <w:r w:rsidRPr="006E7CF9">
              <w:rPr>
                <w:rStyle w:val="Hyperlink"/>
                <w:noProof/>
              </w:rPr>
              <w:t>4.21.5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Forest plots</w:t>
            </w:r>
            <w:r>
              <w:rPr>
                <w:noProof/>
                <w:webHidden/>
              </w:rPr>
              <w:tab/>
            </w:r>
            <w:r>
              <w:rPr>
                <w:noProof/>
                <w:webHidden/>
              </w:rPr>
              <w:fldChar w:fldCharType="begin"/>
            </w:r>
            <w:r>
              <w:rPr>
                <w:noProof/>
                <w:webHidden/>
              </w:rPr>
              <w:instrText xml:space="preserve"> PAGEREF _Toc183441422 \h </w:instrText>
            </w:r>
            <w:r>
              <w:rPr>
                <w:noProof/>
                <w:webHidden/>
              </w:rPr>
            </w:r>
            <w:r>
              <w:rPr>
                <w:noProof/>
                <w:webHidden/>
              </w:rPr>
              <w:fldChar w:fldCharType="separate"/>
            </w:r>
            <w:r w:rsidR="00A92B41">
              <w:rPr>
                <w:noProof/>
                <w:webHidden/>
              </w:rPr>
              <w:t>158</w:t>
            </w:r>
            <w:r>
              <w:rPr>
                <w:noProof/>
                <w:webHidden/>
              </w:rPr>
              <w:fldChar w:fldCharType="end"/>
            </w:r>
          </w:hyperlink>
        </w:p>
        <w:p w14:paraId="710FDA6F" w14:textId="1F256AAD"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423" w:history="1">
            <w:r w:rsidRPr="006E7CF9">
              <w:rPr>
                <w:rStyle w:val="Hyperlink"/>
              </w:rPr>
              <w:t>5</w:t>
            </w:r>
            <w:r>
              <w:rPr>
                <w:rFonts w:asciiTheme="minorHAnsi" w:eastAsiaTheme="minorEastAsia" w:hAnsiTheme="minorHAnsi" w:cstheme="minorBidi"/>
                <w:b w:val="0"/>
                <w:color w:val="auto"/>
                <w:kern w:val="2"/>
                <w:sz w:val="24"/>
                <w:szCs w:val="24"/>
                <w:lang w:eastAsia="en-AU"/>
                <w14:ligatures w14:val="standardContextual"/>
              </w:rPr>
              <w:tab/>
            </w:r>
            <w:r w:rsidRPr="006E7CF9">
              <w:rPr>
                <w:rStyle w:val="Hyperlink"/>
              </w:rPr>
              <w:t>Discussion</w:t>
            </w:r>
            <w:r>
              <w:rPr>
                <w:webHidden/>
              </w:rPr>
              <w:tab/>
            </w:r>
            <w:r>
              <w:rPr>
                <w:webHidden/>
              </w:rPr>
              <w:fldChar w:fldCharType="begin"/>
            </w:r>
            <w:r>
              <w:rPr>
                <w:webHidden/>
              </w:rPr>
              <w:instrText xml:space="preserve"> PAGEREF _Toc183441423 \h </w:instrText>
            </w:r>
            <w:r>
              <w:rPr>
                <w:webHidden/>
              </w:rPr>
            </w:r>
            <w:r>
              <w:rPr>
                <w:webHidden/>
              </w:rPr>
              <w:fldChar w:fldCharType="separate"/>
            </w:r>
            <w:r w:rsidR="00A92B41">
              <w:rPr>
                <w:webHidden/>
              </w:rPr>
              <w:t>163</w:t>
            </w:r>
            <w:r>
              <w:rPr>
                <w:webHidden/>
              </w:rPr>
              <w:fldChar w:fldCharType="end"/>
            </w:r>
          </w:hyperlink>
        </w:p>
        <w:p w14:paraId="083BB835" w14:textId="5499CEED"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24" w:history="1">
            <w:r w:rsidRPr="006E7CF9">
              <w:rPr>
                <w:rStyle w:val="Hyperlink"/>
                <w:noProof/>
              </w:rPr>
              <w:t>5.1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Summary of main results</w:t>
            </w:r>
            <w:r>
              <w:rPr>
                <w:noProof/>
                <w:webHidden/>
              </w:rPr>
              <w:tab/>
            </w:r>
            <w:r>
              <w:rPr>
                <w:noProof/>
                <w:webHidden/>
              </w:rPr>
              <w:fldChar w:fldCharType="begin"/>
            </w:r>
            <w:r>
              <w:rPr>
                <w:noProof/>
                <w:webHidden/>
              </w:rPr>
              <w:instrText xml:space="preserve"> PAGEREF _Toc183441424 \h </w:instrText>
            </w:r>
            <w:r>
              <w:rPr>
                <w:noProof/>
                <w:webHidden/>
              </w:rPr>
            </w:r>
            <w:r>
              <w:rPr>
                <w:noProof/>
                <w:webHidden/>
              </w:rPr>
              <w:fldChar w:fldCharType="separate"/>
            </w:r>
            <w:r w:rsidR="00A92B41">
              <w:rPr>
                <w:noProof/>
                <w:webHidden/>
              </w:rPr>
              <w:t>163</w:t>
            </w:r>
            <w:r>
              <w:rPr>
                <w:noProof/>
                <w:webHidden/>
              </w:rPr>
              <w:fldChar w:fldCharType="end"/>
            </w:r>
          </w:hyperlink>
        </w:p>
        <w:p w14:paraId="761681AC" w14:textId="470FEB0C"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25" w:history="1">
            <w:r w:rsidRPr="006E7CF9">
              <w:rPr>
                <w:rStyle w:val="Hyperlink"/>
                <w:noProof/>
              </w:rPr>
              <w:t>5.2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Overall completeness and applicability of evidence</w:t>
            </w:r>
            <w:r>
              <w:rPr>
                <w:noProof/>
                <w:webHidden/>
              </w:rPr>
              <w:tab/>
            </w:r>
            <w:r>
              <w:rPr>
                <w:noProof/>
                <w:webHidden/>
              </w:rPr>
              <w:fldChar w:fldCharType="begin"/>
            </w:r>
            <w:r>
              <w:rPr>
                <w:noProof/>
                <w:webHidden/>
              </w:rPr>
              <w:instrText xml:space="preserve"> PAGEREF _Toc183441425 \h </w:instrText>
            </w:r>
            <w:r>
              <w:rPr>
                <w:noProof/>
                <w:webHidden/>
              </w:rPr>
            </w:r>
            <w:r>
              <w:rPr>
                <w:noProof/>
                <w:webHidden/>
              </w:rPr>
              <w:fldChar w:fldCharType="separate"/>
            </w:r>
            <w:r w:rsidR="00A92B41">
              <w:rPr>
                <w:noProof/>
                <w:webHidden/>
              </w:rPr>
              <w:t>165</w:t>
            </w:r>
            <w:r>
              <w:rPr>
                <w:noProof/>
                <w:webHidden/>
              </w:rPr>
              <w:fldChar w:fldCharType="end"/>
            </w:r>
          </w:hyperlink>
        </w:p>
        <w:p w14:paraId="58799B12" w14:textId="03FCADB6"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26" w:history="1">
            <w:r w:rsidRPr="006E7CF9">
              <w:rPr>
                <w:rStyle w:val="Hyperlink"/>
                <w:noProof/>
              </w:rPr>
              <w:t>5.3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Certainty of the evidence</w:t>
            </w:r>
            <w:r>
              <w:rPr>
                <w:noProof/>
                <w:webHidden/>
              </w:rPr>
              <w:tab/>
            </w:r>
            <w:r>
              <w:rPr>
                <w:noProof/>
                <w:webHidden/>
              </w:rPr>
              <w:fldChar w:fldCharType="begin"/>
            </w:r>
            <w:r>
              <w:rPr>
                <w:noProof/>
                <w:webHidden/>
              </w:rPr>
              <w:instrText xml:space="preserve"> PAGEREF _Toc183441426 \h </w:instrText>
            </w:r>
            <w:r>
              <w:rPr>
                <w:noProof/>
                <w:webHidden/>
              </w:rPr>
            </w:r>
            <w:r>
              <w:rPr>
                <w:noProof/>
                <w:webHidden/>
              </w:rPr>
              <w:fldChar w:fldCharType="separate"/>
            </w:r>
            <w:r w:rsidR="00A92B41">
              <w:rPr>
                <w:noProof/>
                <w:webHidden/>
              </w:rPr>
              <w:t>166</w:t>
            </w:r>
            <w:r>
              <w:rPr>
                <w:noProof/>
                <w:webHidden/>
              </w:rPr>
              <w:fldChar w:fldCharType="end"/>
            </w:r>
          </w:hyperlink>
        </w:p>
        <w:p w14:paraId="4C3ED77B" w14:textId="0BD23904"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27" w:history="1">
            <w:r w:rsidRPr="006E7CF9">
              <w:rPr>
                <w:rStyle w:val="Hyperlink"/>
                <w:noProof/>
              </w:rPr>
              <w:t>5.4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Potential biases in the review process</w:t>
            </w:r>
            <w:r>
              <w:rPr>
                <w:noProof/>
                <w:webHidden/>
              </w:rPr>
              <w:tab/>
            </w:r>
            <w:r>
              <w:rPr>
                <w:noProof/>
                <w:webHidden/>
              </w:rPr>
              <w:fldChar w:fldCharType="begin"/>
            </w:r>
            <w:r>
              <w:rPr>
                <w:noProof/>
                <w:webHidden/>
              </w:rPr>
              <w:instrText xml:space="preserve"> PAGEREF _Toc183441427 \h </w:instrText>
            </w:r>
            <w:r>
              <w:rPr>
                <w:noProof/>
                <w:webHidden/>
              </w:rPr>
            </w:r>
            <w:r>
              <w:rPr>
                <w:noProof/>
                <w:webHidden/>
              </w:rPr>
              <w:fldChar w:fldCharType="separate"/>
            </w:r>
            <w:r w:rsidR="00A92B41">
              <w:rPr>
                <w:noProof/>
                <w:webHidden/>
              </w:rPr>
              <w:t>167</w:t>
            </w:r>
            <w:r>
              <w:rPr>
                <w:noProof/>
                <w:webHidden/>
              </w:rPr>
              <w:fldChar w:fldCharType="end"/>
            </w:r>
          </w:hyperlink>
        </w:p>
        <w:p w14:paraId="21DD70A3" w14:textId="50EA6FA5"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28" w:history="1">
            <w:r w:rsidRPr="006E7CF9">
              <w:rPr>
                <w:rStyle w:val="Hyperlink"/>
                <w:noProof/>
              </w:rPr>
              <w:t>5.5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Agreements and disagreements with other studies or reviews</w:t>
            </w:r>
            <w:r>
              <w:rPr>
                <w:noProof/>
                <w:webHidden/>
              </w:rPr>
              <w:tab/>
            </w:r>
            <w:r>
              <w:rPr>
                <w:noProof/>
                <w:webHidden/>
              </w:rPr>
              <w:fldChar w:fldCharType="begin"/>
            </w:r>
            <w:r>
              <w:rPr>
                <w:noProof/>
                <w:webHidden/>
              </w:rPr>
              <w:instrText xml:space="preserve"> PAGEREF _Toc183441428 \h </w:instrText>
            </w:r>
            <w:r>
              <w:rPr>
                <w:noProof/>
                <w:webHidden/>
              </w:rPr>
            </w:r>
            <w:r>
              <w:rPr>
                <w:noProof/>
                <w:webHidden/>
              </w:rPr>
              <w:fldChar w:fldCharType="separate"/>
            </w:r>
            <w:r w:rsidR="00A92B41">
              <w:rPr>
                <w:noProof/>
                <w:webHidden/>
              </w:rPr>
              <w:t>167</w:t>
            </w:r>
            <w:r>
              <w:rPr>
                <w:noProof/>
                <w:webHidden/>
              </w:rPr>
              <w:fldChar w:fldCharType="end"/>
            </w:r>
          </w:hyperlink>
        </w:p>
        <w:p w14:paraId="4736E6B8" w14:textId="32FCB59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29" w:history="1">
            <w:r w:rsidRPr="006E7CF9">
              <w:rPr>
                <w:rStyle w:val="Hyperlink"/>
                <w:noProof/>
              </w:rPr>
              <w:t>5.5.1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Atopic conditions</w:t>
            </w:r>
            <w:r>
              <w:rPr>
                <w:noProof/>
                <w:webHidden/>
              </w:rPr>
              <w:tab/>
            </w:r>
            <w:r>
              <w:rPr>
                <w:noProof/>
                <w:webHidden/>
              </w:rPr>
              <w:fldChar w:fldCharType="begin"/>
            </w:r>
            <w:r>
              <w:rPr>
                <w:noProof/>
                <w:webHidden/>
              </w:rPr>
              <w:instrText xml:space="preserve"> PAGEREF _Toc183441429 \h </w:instrText>
            </w:r>
            <w:r>
              <w:rPr>
                <w:noProof/>
                <w:webHidden/>
              </w:rPr>
            </w:r>
            <w:r>
              <w:rPr>
                <w:noProof/>
                <w:webHidden/>
              </w:rPr>
              <w:fldChar w:fldCharType="separate"/>
            </w:r>
            <w:r w:rsidR="00A92B41">
              <w:rPr>
                <w:noProof/>
                <w:webHidden/>
              </w:rPr>
              <w:t>167</w:t>
            </w:r>
            <w:r>
              <w:rPr>
                <w:noProof/>
                <w:webHidden/>
              </w:rPr>
              <w:fldChar w:fldCharType="end"/>
            </w:r>
          </w:hyperlink>
        </w:p>
        <w:p w14:paraId="203E01F4" w14:textId="31099467"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0" w:history="1">
            <w:r w:rsidRPr="006E7CF9">
              <w:rPr>
                <w:rStyle w:val="Hyperlink"/>
                <w:noProof/>
              </w:rPr>
              <w:t>5.5.2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Recurrent infections (otitis media)</w:t>
            </w:r>
            <w:r>
              <w:rPr>
                <w:noProof/>
                <w:webHidden/>
              </w:rPr>
              <w:tab/>
            </w:r>
            <w:r>
              <w:rPr>
                <w:noProof/>
                <w:webHidden/>
              </w:rPr>
              <w:fldChar w:fldCharType="begin"/>
            </w:r>
            <w:r>
              <w:rPr>
                <w:noProof/>
                <w:webHidden/>
              </w:rPr>
              <w:instrText xml:space="preserve"> PAGEREF _Toc183441430 \h </w:instrText>
            </w:r>
            <w:r>
              <w:rPr>
                <w:noProof/>
                <w:webHidden/>
              </w:rPr>
            </w:r>
            <w:r>
              <w:rPr>
                <w:noProof/>
                <w:webHidden/>
              </w:rPr>
              <w:fldChar w:fldCharType="separate"/>
            </w:r>
            <w:r w:rsidR="00A92B41">
              <w:rPr>
                <w:noProof/>
                <w:webHidden/>
              </w:rPr>
              <w:t>167</w:t>
            </w:r>
            <w:r>
              <w:rPr>
                <w:noProof/>
                <w:webHidden/>
              </w:rPr>
              <w:fldChar w:fldCharType="end"/>
            </w:r>
          </w:hyperlink>
        </w:p>
        <w:p w14:paraId="05DDB0B5" w14:textId="44A8255B"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1" w:history="1">
            <w:r w:rsidRPr="006E7CF9">
              <w:rPr>
                <w:rStyle w:val="Hyperlink"/>
                <w:noProof/>
              </w:rPr>
              <w:t>5.5.3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Recurrent infections (upper respiratory tract)</w:t>
            </w:r>
            <w:r>
              <w:rPr>
                <w:noProof/>
                <w:webHidden/>
              </w:rPr>
              <w:tab/>
            </w:r>
            <w:r>
              <w:rPr>
                <w:noProof/>
                <w:webHidden/>
              </w:rPr>
              <w:fldChar w:fldCharType="begin"/>
            </w:r>
            <w:r>
              <w:rPr>
                <w:noProof/>
                <w:webHidden/>
              </w:rPr>
              <w:instrText xml:space="preserve"> PAGEREF _Toc183441431 \h </w:instrText>
            </w:r>
            <w:r>
              <w:rPr>
                <w:noProof/>
                <w:webHidden/>
              </w:rPr>
            </w:r>
            <w:r>
              <w:rPr>
                <w:noProof/>
                <w:webHidden/>
              </w:rPr>
              <w:fldChar w:fldCharType="separate"/>
            </w:r>
            <w:r w:rsidR="00A92B41">
              <w:rPr>
                <w:noProof/>
                <w:webHidden/>
              </w:rPr>
              <w:t>168</w:t>
            </w:r>
            <w:r>
              <w:rPr>
                <w:noProof/>
                <w:webHidden/>
              </w:rPr>
              <w:fldChar w:fldCharType="end"/>
            </w:r>
          </w:hyperlink>
        </w:p>
        <w:p w14:paraId="24D0B2AC" w14:textId="665AFD1E"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2" w:history="1">
            <w:r w:rsidRPr="006E7CF9">
              <w:rPr>
                <w:rStyle w:val="Hyperlink"/>
                <w:noProof/>
              </w:rPr>
              <w:t>5.5.4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Recurrent infections (genitourinary)</w:t>
            </w:r>
            <w:r>
              <w:rPr>
                <w:noProof/>
                <w:webHidden/>
              </w:rPr>
              <w:tab/>
            </w:r>
            <w:r>
              <w:rPr>
                <w:noProof/>
                <w:webHidden/>
              </w:rPr>
              <w:fldChar w:fldCharType="begin"/>
            </w:r>
            <w:r>
              <w:rPr>
                <w:noProof/>
                <w:webHidden/>
              </w:rPr>
              <w:instrText xml:space="preserve"> PAGEREF _Toc183441432 \h </w:instrText>
            </w:r>
            <w:r>
              <w:rPr>
                <w:noProof/>
                <w:webHidden/>
              </w:rPr>
            </w:r>
            <w:r>
              <w:rPr>
                <w:noProof/>
                <w:webHidden/>
              </w:rPr>
              <w:fldChar w:fldCharType="separate"/>
            </w:r>
            <w:r w:rsidR="00A92B41">
              <w:rPr>
                <w:noProof/>
                <w:webHidden/>
              </w:rPr>
              <w:t>168</w:t>
            </w:r>
            <w:r>
              <w:rPr>
                <w:noProof/>
                <w:webHidden/>
              </w:rPr>
              <w:fldChar w:fldCharType="end"/>
            </w:r>
          </w:hyperlink>
        </w:p>
        <w:p w14:paraId="75633CAF" w14:textId="144B61C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3" w:history="1">
            <w:r w:rsidRPr="006E7CF9">
              <w:rPr>
                <w:rStyle w:val="Hyperlink"/>
                <w:noProof/>
              </w:rPr>
              <w:t>5.5.5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Anxiety</w:t>
            </w:r>
            <w:r>
              <w:rPr>
                <w:noProof/>
                <w:webHidden/>
              </w:rPr>
              <w:tab/>
            </w:r>
            <w:r>
              <w:rPr>
                <w:noProof/>
                <w:webHidden/>
              </w:rPr>
              <w:fldChar w:fldCharType="begin"/>
            </w:r>
            <w:r>
              <w:rPr>
                <w:noProof/>
                <w:webHidden/>
              </w:rPr>
              <w:instrText xml:space="preserve"> PAGEREF _Toc183441433 \h </w:instrText>
            </w:r>
            <w:r>
              <w:rPr>
                <w:noProof/>
                <w:webHidden/>
              </w:rPr>
            </w:r>
            <w:r>
              <w:rPr>
                <w:noProof/>
                <w:webHidden/>
              </w:rPr>
              <w:fldChar w:fldCharType="separate"/>
            </w:r>
            <w:r w:rsidR="00A92B41">
              <w:rPr>
                <w:noProof/>
                <w:webHidden/>
              </w:rPr>
              <w:t>168</w:t>
            </w:r>
            <w:r>
              <w:rPr>
                <w:noProof/>
                <w:webHidden/>
              </w:rPr>
              <w:fldChar w:fldCharType="end"/>
            </w:r>
          </w:hyperlink>
        </w:p>
        <w:p w14:paraId="7B1BFB5C" w14:textId="3E6D7EC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4" w:history="1">
            <w:r w:rsidRPr="006E7CF9">
              <w:rPr>
                <w:rStyle w:val="Hyperlink"/>
                <w:noProof/>
              </w:rPr>
              <w:t>5.5.6</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Depression</w:t>
            </w:r>
            <w:r>
              <w:rPr>
                <w:noProof/>
                <w:webHidden/>
              </w:rPr>
              <w:tab/>
            </w:r>
            <w:r>
              <w:rPr>
                <w:noProof/>
                <w:webHidden/>
              </w:rPr>
              <w:fldChar w:fldCharType="begin"/>
            </w:r>
            <w:r>
              <w:rPr>
                <w:noProof/>
                <w:webHidden/>
              </w:rPr>
              <w:instrText xml:space="preserve"> PAGEREF _Toc183441434 \h </w:instrText>
            </w:r>
            <w:r>
              <w:rPr>
                <w:noProof/>
                <w:webHidden/>
              </w:rPr>
            </w:r>
            <w:r>
              <w:rPr>
                <w:noProof/>
                <w:webHidden/>
              </w:rPr>
              <w:fldChar w:fldCharType="separate"/>
            </w:r>
            <w:r w:rsidR="00A92B41">
              <w:rPr>
                <w:noProof/>
                <w:webHidden/>
              </w:rPr>
              <w:t>168</w:t>
            </w:r>
            <w:r>
              <w:rPr>
                <w:noProof/>
                <w:webHidden/>
              </w:rPr>
              <w:fldChar w:fldCharType="end"/>
            </w:r>
          </w:hyperlink>
        </w:p>
        <w:p w14:paraId="7B86E6F0" w14:textId="6E72B64C"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5" w:history="1">
            <w:r w:rsidRPr="006E7CF9">
              <w:rPr>
                <w:rStyle w:val="Hyperlink"/>
                <w:noProof/>
              </w:rPr>
              <w:t>5.5.7</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Neurodevelopmental disorders (ADHD)</w:t>
            </w:r>
            <w:r>
              <w:rPr>
                <w:noProof/>
                <w:webHidden/>
              </w:rPr>
              <w:tab/>
            </w:r>
            <w:r>
              <w:rPr>
                <w:noProof/>
                <w:webHidden/>
              </w:rPr>
              <w:fldChar w:fldCharType="begin"/>
            </w:r>
            <w:r>
              <w:rPr>
                <w:noProof/>
                <w:webHidden/>
              </w:rPr>
              <w:instrText xml:space="preserve"> PAGEREF _Toc183441435 \h </w:instrText>
            </w:r>
            <w:r>
              <w:rPr>
                <w:noProof/>
                <w:webHidden/>
              </w:rPr>
            </w:r>
            <w:r>
              <w:rPr>
                <w:noProof/>
                <w:webHidden/>
              </w:rPr>
              <w:fldChar w:fldCharType="separate"/>
            </w:r>
            <w:r w:rsidR="00A92B41">
              <w:rPr>
                <w:noProof/>
                <w:webHidden/>
              </w:rPr>
              <w:t>169</w:t>
            </w:r>
            <w:r>
              <w:rPr>
                <w:noProof/>
                <w:webHidden/>
              </w:rPr>
              <w:fldChar w:fldCharType="end"/>
            </w:r>
          </w:hyperlink>
        </w:p>
        <w:p w14:paraId="01568266" w14:textId="743B382C"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6" w:history="1">
            <w:r w:rsidRPr="006E7CF9">
              <w:rPr>
                <w:rStyle w:val="Hyperlink"/>
                <w:noProof/>
              </w:rPr>
              <w:t>5.5.8</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Insomnia and sleep problems</w:t>
            </w:r>
            <w:r>
              <w:rPr>
                <w:noProof/>
                <w:webHidden/>
              </w:rPr>
              <w:tab/>
            </w:r>
            <w:r>
              <w:rPr>
                <w:noProof/>
                <w:webHidden/>
              </w:rPr>
              <w:fldChar w:fldCharType="begin"/>
            </w:r>
            <w:r>
              <w:rPr>
                <w:noProof/>
                <w:webHidden/>
              </w:rPr>
              <w:instrText xml:space="preserve"> PAGEREF _Toc183441436 \h </w:instrText>
            </w:r>
            <w:r>
              <w:rPr>
                <w:noProof/>
                <w:webHidden/>
              </w:rPr>
            </w:r>
            <w:r>
              <w:rPr>
                <w:noProof/>
                <w:webHidden/>
              </w:rPr>
              <w:fldChar w:fldCharType="separate"/>
            </w:r>
            <w:r w:rsidR="00A92B41">
              <w:rPr>
                <w:noProof/>
                <w:webHidden/>
              </w:rPr>
              <w:t>169</w:t>
            </w:r>
            <w:r>
              <w:rPr>
                <w:noProof/>
                <w:webHidden/>
              </w:rPr>
              <w:fldChar w:fldCharType="end"/>
            </w:r>
          </w:hyperlink>
        </w:p>
        <w:p w14:paraId="6ED5243F" w14:textId="5C03BC79"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7" w:history="1">
            <w:r w:rsidRPr="006E7CF9">
              <w:rPr>
                <w:rStyle w:val="Hyperlink"/>
                <w:noProof/>
              </w:rPr>
              <w:t>5.5.9</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Headache disorders</w:t>
            </w:r>
            <w:r>
              <w:rPr>
                <w:noProof/>
                <w:webHidden/>
              </w:rPr>
              <w:tab/>
            </w:r>
            <w:r>
              <w:rPr>
                <w:noProof/>
                <w:webHidden/>
              </w:rPr>
              <w:fldChar w:fldCharType="begin"/>
            </w:r>
            <w:r>
              <w:rPr>
                <w:noProof/>
                <w:webHidden/>
              </w:rPr>
              <w:instrText xml:space="preserve"> PAGEREF _Toc183441437 \h </w:instrText>
            </w:r>
            <w:r>
              <w:rPr>
                <w:noProof/>
                <w:webHidden/>
              </w:rPr>
            </w:r>
            <w:r>
              <w:rPr>
                <w:noProof/>
                <w:webHidden/>
              </w:rPr>
              <w:fldChar w:fldCharType="separate"/>
            </w:r>
            <w:r w:rsidR="00A92B41">
              <w:rPr>
                <w:noProof/>
                <w:webHidden/>
              </w:rPr>
              <w:t>169</w:t>
            </w:r>
            <w:r>
              <w:rPr>
                <w:noProof/>
                <w:webHidden/>
              </w:rPr>
              <w:fldChar w:fldCharType="end"/>
            </w:r>
          </w:hyperlink>
        </w:p>
        <w:p w14:paraId="01DC70A4" w14:textId="623EFB57"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8" w:history="1">
            <w:r w:rsidRPr="006E7CF9">
              <w:rPr>
                <w:rStyle w:val="Hyperlink"/>
                <w:noProof/>
              </w:rPr>
              <w:t>5.5.10</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Asthma</w:t>
            </w:r>
            <w:r>
              <w:rPr>
                <w:noProof/>
                <w:webHidden/>
              </w:rPr>
              <w:tab/>
            </w:r>
            <w:r>
              <w:rPr>
                <w:noProof/>
                <w:webHidden/>
              </w:rPr>
              <w:fldChar w:fldCharType="begin"/>
            </w:r>
            <w:r>
              <w:rPr>
                <w:noProof/>
                <w:webHidden/>
              </w:rPr>
              <w:instrText xml:space="preserve"> PAGEREF _Toc183441438 \h </w:instrText>
            </w:r>
            <w:r>
              <w:rPr>
                <w:noProof/>
                <w:webHidden/>
              </w:rPr>
            </w:r>
            <w:r>
              <w:rPr>
                <w:noProof/>
                <w:webHidden/>
              </w:rPr>
              <w:fldChar w:fldCharType="separate"/>
            </w:r>
            <w:r w:rsidR="00A92B41">
              <w:rPr>
                <w:noProof/>
                <w:webHidden/>
              </w:rPr>
              <w:t>169</w:t>
            </w:r>
            <w:r>
              <w:rPr>
                <w:noProof/>
                <w:webHidden/>
              </w:rPr>
              <w:fldChar w:fldCharType="end"/>
            </w:r>
          </w:hyperlink>
        </w:p>
        <w:p w14:paraId="00D9E3E0" w14:textId="0576CAB0"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39" w:history="1">
            <w:r w:rsidRPr="006E7CF9">
              <w:rPr>
                <w:rStyle w:val="Hyperlink"/>
                <w:noProof/>
              </w:rPr>
              <w:t>5.5.11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Diarrhoea</w:t>
            </w:r>
            <w:r>
              <w:rPr>
                <w:noProof/>
                <w:webHidden/>
              </w:rPr>
              <w:tab/>
            </w:r>
            <w:r>
              <w:rPr>
                <w:noProof/>
                <w:webHidden/>
              </w:rPr>
              <w:fldChar w:fldCharType="begin"/>
            </w:r>
            <w:r>
              <w:rPr>
                <w:noProof/>
                <w:webHidden/>
              </w:rPr>
              <w:instrText xml:space="preserve"> PAGEREF _Toc183441439 \h </w:instrText>
            </w:r>
            <w:r>
              <w:rPr>
                <w:noProof/>
                <w:webHidden/>
              </w:rPr>
            </w:r>
            <w:r>
              <w:rPr>
                <w:noProof/>
                <w:webHidden/>
              </w:rPr>
              <w:fldChar w:fldCharType="separate"/>
            </w:r>
            <w:r w:rsidR="00A92B41">
              <w:rPr>
                <w:noProof/>
                <w:webHidden/>
              </w:rPr>
              <w:t>170</w:t>
            </w:r>
            <w:r>
              <w:rPr>
                <w:noProof/>
                <w:webHidden/>
              </w:rPr>
              <w:fldChar w:fldCharType="end"/>
            </w:r>
          </w:hyperlink>
        </w:p>
        <w:p w14:paraId="4207C6DE" w14:textId="0055B0C3"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40" w:history="1">
            <w:r w:rsidRPr="006E7CF9">
              <w:rPr>
                <w:rStyle w:val="Hyperlink"/>
                <w:noProof/>
              </w:rPr>
              <w:t>5.5.12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Infant colic or other digestive disorders.</w:t>
            </w:r>
            <w:r>
              <w:rPr>
                <w:noProof/>
                <w:webHidden/>
              </w:rPr>
              <w:tab/>
            </w:r>
            <w:r>
              <w:rPr>
                <w:noProof/>
                <w:webHidden/>
              </w:rPr>
              <w:fldChar w:fldCharType="begin"/>
            </w:r>
            <w:r>
              <w:rPr>
                <w:noProof/>
                <w:webHidden/>
              </w:rPr>
              <w:instrText xml:space="preserve"> PAGEREF _Toc183441440 \h </w:instrText>
            </w:r>
            <w:r>
              <w:rPr>
                <w:noProof/>
                <w:webHidden/>
              </w:rPr>
            </w:r>
            <w:r>
              <w:rPr>
                <w:noProof/>
                <w:webHidden/>
              </w:rPr>
              <w:fldChar w:fldCharType="separate"/>
            </w:r>
            <w:r w:rsidR="00A92B41">
              <w:rPr>
                <w:noProof/>
                <w:webHidden/>
              </w:rPr>
              <w:t>170</w:t>
            </w:r>
            <w:r>
              <w:rPr>
                <w:noProof/>
                <w:webHidden/>
              </w:rPr>
              <w:fldChar w:fldCharType="end"/>
            </w:r>
          </w:hyperlink>
        </w:p>
        <w:p w14:paraId="3F650FDB" w14:textId="23B4141D"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41" w:history="1">
            <w:r w:rsidRPr="006E7CF9">
              <w:rPr>
                <w:rStyle w:val="Hyperlink"/>
                <w:noProof/>
              </w:rPr>
              <w:t>5.5.13</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Irritable Bowel Syndrome</w:t>
            </w:r>
            <w:r>
              <w:rPr>
                <w:noProof/>
                <w:webHidden/>
              </w:rPr>
              <w:tab/>
            </w:r>
            <w:r>
              <w:rPr>
                <w:noProof/>
                <w:webHidden/>
              </w:rPr>
              <w:fldChar w:fldCharType="begin"/>
            </w:r>
            <w:r>
              <w:rPr>
                <w:noProof/>
                <w:webHidden/>
              </w:rPr>
              <w:instrText xml:space="preserve"> PAGEREF _Toc183441441 \h </w:instrText>
            </w:r>
            <w:r>
              <w:rPr>
                <w:noProof/>
                <w:webHidden/>
              </w:rPr>
            </w:r>
            <w:r>
              <w:rPr>
                <w:noProof/>
                <w:webHidden/>
              </w:rPr>
              <w:fldChar w:fldCharType="separate"/>
            </w:r>
            <w:r w:rsidR="00A92B41">
              <w:rPr>
                <w:noProof/>
                <w:webHidden/>
              </w:rPr>
              <w:t>170</w:t>
            </w:r>
            <w:r>
              <w:rPr>
                <w:noProof/>
                <w:webHidden/>
              </w:rPr>
              <w:fldChar w:fldCharType="end"/>
            </w:r>
          </w:hyperlink>
        </w:p>
        <w:p w14:paraId="231E09CB" w14:textId="128D16C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42" w:history="1">
            <w:r w:rsidRPr="006E7CF9">
              <w:rPr>
                <w:rStyle w:val="Hyperlink"/>
                <w:noProof/>
              </w:rPr>
              <w:t>5.5.14</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Psoriasis</w:t>
            </w:r>
            <w:r>
              <w:rPr>
                <w:noProof/>
                <w:webHidden/>
              </w:rPr>
              <w:tab/>
            </w:r>
            <w:r>
              <w:rPr>
                <w:noProof/>
                <w:webHidden/>
              </w:rPr>
              <w:fldChar w:fldCharType="begin"/>
            </w:r>
            <w:r>
              <w:rPr>
                <w:noProof/>
                <w:webHidden/>
              </w:rPr>
              <w:instrText xml:space="preserve"> PAGEREF _Toc183441442 \h </w:instrText>
            </w:r>
            <w:r>
              <w:rPr>
                <w:noProof/>
                <w:webHidden/>
              </w:rPr>
            </w:r>
            <w:r>
              <w:rPr>
                <w:noProof/>
                <w:webHidden/>
              </w:rPr>
              <w:fldChar w:fldCharType="separate"/>
            </w:r>
            <w:r w:rsidR="00A92B41">
              <w:rPr>
                <w:noProof/>
                <w:webHidden/>
              </w:rPr>
              <w:t>170</w:t>
            </w:r>
            <w:r>
              <w:rPr>
                <w:noProof/>
                <w:webHidden/>
              </w:rPr>
              <w:fldChar w:fldCharType="end"/>
            </w:r>
          </w:hyperlink>
        </w:p>
        <w:p w14:paraId="526A844A" w14:textId="0E19E347"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43" w:history="1">
            <w:r w:rsidRPr="006E7CF9">
              <w:rPr>
                <w:rStyle w:val="Hyperlink"/>
                <w:noProof/>
              </w:rPr>
              <w:t>5.5.15</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Arthropathies</w:t>
            </w:r>
            <w:r>
              <w:rPr>
                <w:noProof/>
                <w:webHidden/>
              </w:rPr>
              <w:tab/>
            </w:r>
            <w:r>
              <w:rPr>
                <w:noProof/>
                <w:webHidden/>
              </w:rPr>
              <w:fldChar w:fldCharType="begin"/>
            </w:r>
            <w:r>
              <w:rPr>
                <w:noProof/>
                <w:webHidden/>
              </w:rPr>
              <w:instrText xml:space="preserve"> PAGEREF _Toc183441443 \h </w:instrText>
            </w:r>
            <w:r>
              <w:rPr>
                <w:noProof/>
                <w:webHidden/>
              </w:rPr>
            </w:r>
            <w:r>
              <w:rPr>
                <w:noProof/>
                <w:webHidden/>
              </w:rPr>
              <w:fldChar w:fldCharType="separate"/>
            </w:r>
            <w:r w:rsidR="00A92B41">
              <w:rPr>
                <w:noProof/>
                <w:webHidden/>
              </w:rPr>
              <w:t>170</w:t>
            </w:r>
            <w:r>
              <w:rPr>
                <w:noProof/>
                <w:webHidden/>
              </w:rPr>
              <w:fldChar w:fldCharType="end"/>
            </w:r>
          </w:hyperlink>
        </w:p>
        <w:p w14:paraId="5B61F907" w14:textId="716B78CF"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44" w:history="1">
            <w:r w:rsidRPr="006E7CF9">
              <w:rPr>
                <w:rStyle w:val="Hyperlink"/>
                <w:noProof/>
              </w:rPr>
              <w:t>5.5.16</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Back and neck pain</w:t>
            </w:r>
            <w:r>
              <w:rPr>
                <w:noProof/>
                <w:webHidden/>
              </w:rPr>
              <w:tab/>
            </w:r>
            <w:r>
              <w:rPr>
                <w:noProof/>
                <w:webHidden/>
              </w:rPr>
              <w:fldChar w:fldCharType="begin"/>
            </w:r>
            <w:r>
              <w:rPr>
                <w:noProof/>
                <w:webHidden/>
              </w:rPr>
              <w:instrText xml:space="preserve"> PAGEREF _Toc183441444 \h </w:instrText>
            </w:r>
            <w:r>
              <w:rPr>
                <w:noProof/>
                <w:webHidden/>
              </w:rPr>
            </w:r>
            <w:r>
              <w:rPr>
                <w:noProof/>
                <w:webHidden/>
              </w:rPr>
              <w:fldChar w:fldCharType="separate"/>
            </w:r>
            <w:r w:rsidR="00A92B41">
              <w:rPr>
                <w:noProof/>
                <w:webHidden/>
              </w:rPr>
              <w:t>170</w:t>
            </w:r>
            <w:r>
              <w:rPr>
                <w:noProof/>
                <w:webHidden/>
              </w:rPr>
              <w:fldChar w:fldCharType="end"/>
            </w:r>
          </w:hyperlink>
        </w:p>
        <w:p w14:paraId="589B5BD5" w14:textId="0DE32A5C"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45" w:history="1">
            <w:r w:rsidRPr="006E7CF9">
              <w:rPr>
                <w:rStyle w:val="Hyperlink"/>
                <w:noProof/>
              </w:rPr>
              <w:t>5.5.17</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Menopausal symptoms or complaints</w:t>
            </w:r>
            <w:r>
              <w:rPr>
                <w:noProof/>
                <w:webHidden/>
              </w:rPr>
              <w:tab/>
            </w:r>
            <w:r>
              <w:rPr>
                <w:noProof/>
                <w:webHidden/>
              </w:rPr>
              <w:fldChar w:fldCharType="begin"/>
            </w:r>
            <w:r>
              <w:rPr>
                <w:noProof/>
                <w:webHidden/>
              </w:rPr>
              <w:instrText xml:space="preserve"> PAGEREF _Toc183441445 \h </w:instrText>
            </w:r>
            <w:r>
              <w:rPr>
                <w:noProof/>
                <w:webHidden/>
              </w:rPr>
            </w:r>
            <w:r>
              <w:rPr>
                <w:noProof/>
                <w:webHidden/>
              </w:rPr>
              <w:fldChar w:fldCharType="separate"/>
            </w:r>
            <w:r w:rsidR="00A92B41">
              <w:rPr>
                <w:noProof/>
                <w:webHidden/>
              </w:rPr>
              <w:t>170</w:t>
            </w:r>
            <w:r>
              <w:rPr>
                <w:noProof/>
                <w:webHidden/>
              </w:rPr>
              <w:fldChar w:fldCharType="end"/>
            </w:r>
          </w:hyperlink>
        </w:p>
        <w:p w14:paraId="5B1ECF7F" w14:textId="70B2F0A2"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46" w:history="1">
            <w:r w:rsidRPr="006E7CF9">
              <w:rPr>
                <w:rStyle w:val="Hyperlink"/>
                <w:noProof/>
              </w:rPr>
              <w:t>5.5.18</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Menstrual disorders</w:t>
            </w:r>
            <w:r>
              <w:rPr>
                <w:noProof/>
                <w:webHidden/>
              </w:rPr>
              <w:tab/>
            </w:r>
            <w:r>
              <w:rPr>
                <w:noProof/>
                <w:webHidden/>
              </w:rPr>
              <w:fldChar w:fldCharType="begin"/>
            </w:r>
            <w:r>
              <w:rPr>
                <w:noProof/>
                <w:webHidden/>
              </w:rPr>
              <w:instrText xml:space="preserve"> PAGEREF _Toc183441446 \h </w:instrText>
            </w:r>
            <w:r>
              <w:rPr>
                <w:noProof/>
                <w:webHidden/>
              </w:rPr>
            </w:r>
            <w:r>
              <w:rPr>
                <w:noProof/>
                <w:webHidden/>
              </w:rPr>
              <w:fldChar w:fldCharType="separate"/>
            </w:r>
            <w:r w:rsidR="00A92B41">
              <w:rPr>
                <w:noProof/>
                <w:webHidden/>
              </w:rPr>
              <w:t>171</w:t>
            </w:r>
            <w:r>
              <w:rPr>
                <w:noProof/>
                <w:webHidden/>
              </w:rPr>
              <w:fldChar w:fldCharType="end"/>
            </w:r>
          </w:hyperlink>
        </w:p>
        <w:p w14:paraId="480B222A" w14:textId="376A5A2A"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47" w:history="1">
            <w:r w:rsidRPr="006E7CF9">
              <w:rPr>
                <w:rStyle w:val="Hyperlink"/>
                <w:noProof/>
              </w:rPr>
              <w:t>5.5.19</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Fatigue conditions</w:t>
            </w:r>
            <w:r>
              <w:rPr>
                <w:noProof/>
                <w:webHidden/>
              </w:rPr>
              <w:tab/>
            </w:r>
            <w:r>
              <w:rPr>
                <w:noProof/>
                <w:webHidden/>
              </w:rPr>
              <w:fldChar w:fldCharType="begin"/>
            </w:r>
            <w:r>
              <w:rPr>
                <w:noProof/>
                <w:webHidden/>
              </w:rPr>
              <w:instrText xml:space="preserve"> PAGEREF _Toc183441447 \h </w:instrText>
            </w:r>
            <w:r>
              <w:rPr>
                <w:noProof/>
                <w:webHidden/>
              </w:rPr>
            </w:r>
            <w:r>
              <w:rPr>
                <w:noProof/>
                <w:webHidden/>
              </w:rPr>
              <w:fldChar w:fldCharType="separate"/>
            </w:r>
            <w:r w:rsidR="00A92B41">
              <w:rPr>
                <w:noProof/>
                <w:webHidden/>
              </w:rPr>
              <w:t>171</w:t>
            </w:r>
            <w:r>
              <w:rPr>
                <w:noProof/>
                <w:webHidden/>
              </w:rPr>
              <w:fldChar w:fldCharType="end"/>
            </w:r>
          </w:hyperlink>
        </w:p>
        <w:p w14:paraId="6E2A75BA" w14:textId="03A16166"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48" w:history="1">
            <w:r w:rsidRPr="006E7CF9">
              <w:rPr>
                <w:rStyle w:val="Hyperlink"/>
                <w:noProof/>
              </w:rPr>
              <w:t>5.5.20</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Fibromyalgia</w:t>
            </w:r>
            <w:r>
              <w:rPr>
                <w:noProof/>
                <w:webHidden/>
              </w:rPr>
              <w:tab/>
            </w:r>
            <w:r>
              <w:rPr>
                <w:noProof/>
                <w:webHidden/>
              </w:rPr>
              <w:fldChar w:fldCharType="begin"/>
            </w:r>
            <w:r>
              <w:rPr>
                <w:noProof/>
                <w:webHidden/>
              </w:rPr>
              <w:instrText xml:space="preserve"> PAGEREF _Toc183441448 \h </w:instrText>
            </w:r>
            <w:r>
              <w:rPr>
                <w:noProof/>
                <w:webHidden/>
              </w:rPr>
            </w:r>
            <w:r>
              <w:rPr>
                <w:noProof/>
                <w:webHidden/>
              </w:rPr>
              <w:fldChar w:fldCharType="separate"/>
            </w:r>
            <w:r w:rsidR="00A92B41">
              <w:rPr>
                <w:noProof/>
                <w:webHidden/>
              </w:rPr>
              <w:t>171</w:t>
            </w:r>
            <w:r>
              <w:rPr>
                <w:noProof/>
                <w:webHidden/>
              </w:rPr>
              <w:fldChar w:fldCharType="end"/>
            </w:r>
          </w:hyperlink>
        </w:p>
        <w:p w14:paraId="6DF363EB" w14:textId="486F5B46"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49" w:history="1">
            <w:r w:rsidRPr="006E7CF9">
              <w:rPr>
                <w:rStyle w:val="Hyperlink"/>
                <w:noProof/>
              </w:rPr>
              <w:t>5.6</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Limitations</w:t>
            </w:r>
            <w:r>
              <w:rPr>
                <w:noProof/>
                <w:webHidden/>
              </w:rPr>
              <w:tab/>
            </w:r>
            <w:r>
              <w:rPr>
                <w:noProof/>
                <w:webHidden/>
              </w:rPr>
              <w:fldChar w:fldCharType="begin"/>
            </w:r>
            <w:r>
              <w:rPr>
                <w:noProof/>
                <w:webHidden/>
              </w:rPr>
              <w:instrText xml:space="preserve"> PAGEREF _Toc183441449 \h </w:instrText>
            </w:r>
            <w:r>
              <w:rPr>
                <w:noProof/>
                <w:webHidden/>
              </w:rPr>
            </w:r>
            <w:r>
              <w:rPr>
                <w:noProof/>
                <w:webHidden/>
              </w:rPr>
              <w:fldChar w:fldCharType="separate"/>
            </w:r>
            <w:r w:rsidR="00A92B41">
              <w:rPr>
                <w:noProof/>
                <w:webHidden/>
              </w:rPr>
              <w:t>171</w:t>
            </w:r>
            <w:r>
              <w:rPr>
                <w:noProof/>
                <w:webHidden/>
              </w:rPr>
              <w:fldChar w:fldCharType="end"/>
            </w:r>
          </w:hyperlink>
        </w:p>
        <w:p w14:paraId="2D4D183F" w14:textId="1AA84A6F"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50" w:history="1">
            <w:r w:rsidRPr="006E7CF9">
              <w:rPr>
                <w:rStyle w:val="Hyperlink"/>
                <w:noProof/>
              </w:rPr>
              <w:t>5.6.1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At study and outcome level</w:t>
            </w:r>
            <w:r>
              <w:rPr>
                <w:noProof/>
                <w:webHidden/>
              </w:rPr>
              <w:tab/>
            </w:r>
            <w:r>
              <w:rPr>
                <w:noProof/>
                <w:webHidden/>
              </w:rPr>
              <w:fldChar w:fldCharType="begin"/>
            </w:r>
            <w:r>
              <w:rPr>
                <w:noProof/>
                <w:webHidden/>
              </w:rPr>
              <w:instrText xml:space="preserve"> PAGEREF _Toc183441450 \h </w:instrText>
            </w:r>
            <w:r>
              <w:rPr>
                <w:noProof/>
                <w:webHidden/>
              </w:rPr>
            </w:r>
            <w:r>
              <w:rPr>
                <w:noProof/>
                <w:webHidden/>
              </w:rPr>
              <w:fldChar w:fldCharType="separate"/>
            </w:r>
            <w:r w:rsidR="00A92B41">
              <w:rPr>
                <w:noProof/>
                <w:webHidden/>
              </w:rPr>
              <w:t>171</w:t>
            </w:r>
            <w:r>
              <w:rPr>
                <w:noProof/>
                <w:webHidden/>
              </w:rPr>
              <w:fldChar w:fldCharType="end"/>
            </w:r>
          </w:hyperlink>
        </w:p>
        <w:p w14:paraId="01A7F5B1" w14:textId="24E5C6CF" w:rsidR="00814B04" w:rsidRDefault="00814B04">
          <w:pPr>
            <w:pStyle w:val="TOC3"/>
            <w:rPr>
              <w:rFonts w:asciiTheme="minorHAnsi" w:eastAsiaTheme="minorEastAsia" w:hAnsiTheme="minorHAnsi" w:cstheme="minorBidi"/>
              <w:noProof/>
              <w:color w:val="auto"/>
              <w:kern w:val="2"/>
              <w:sz w:val="24"/>
              <w:szCs w:val="24"/>
              <w:lang w:eastAsia="en-AU"/>
              <w14:ligatures w14:val="standardContextual"/>
            </w:rPr>
          </w:pPr>
          <w:hyperlink w:anchor="_Toc183441451" w:history="1">
            <w:r w:rsidRPr="006E7CF9">
              <w:rPr>
                <w:rStyle w:val="Hyperlink"/>
                <w:noProof/>
              </w:rPr>
              <w:t>5.6.2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At review level</w:t>
            </w:r>
            <w:r>
              <w:rPr>
                <w:noProof/>
                <w:webHidden/>
              </w:rPr>
              <w:tab/>
            </w:r>
            <w:r>
              <w:rPr>
                <w:noProof/>
                <w:webHidden/>
              </w:rPr>
              <w:fldChar w:fldCharType="begin"/>
            </w:r>
            <w:r>
              <w:rPr>
                <w:noProof/>
                <w:webHidden/>
              </w:rPr>
              <w:instrText xml:space="preserve"> PAGEREF _Toc183441451 \h </w:instrText>
            </w:r>
            <w:r>
              <w:rPr>
                <w:noProof/>
                <w:webHidden/>
              </w:rPr>
            </w:r>
            <w:r>
              <w:rPr>
                <w:noProof/>
                <w:webHidden/>
              </w:rPr>
              <w:fldChar w:fldCharType="separate"/>
            </w:r>
            <w:r w:rsidR="00A92B41">
              <w:rPr>
                <w:noProof/>
                <w:webHidden/>
              </w:rPr>
              <w:t>171</w:t>
            </w:r>
            <w:r>
              <w:rPr>
                <w:noProof/>
                <w:webHidden/>
              </w:rPr>
              <w:fldChar w:fldCharType="end"/>
            </w:r>
          </w:hyperlink>
        </w:p>
        <w:p w14:paraId="238941BF" w14:textId="43F24575"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452" w:history="1">
            <w:r w:rsidRPr="006E7CF9">
              <w:rPr>
                <w:rStyle w:val="Hyperlink"/>
              </w:rPr>
              <w:t>6</w:t>
            </w:r>
            <w:r>
              <w:rPr>
                <w:rFonts w:asciiTheme="minorHAnsi" w:eastAsiaTheme="minorEastAsia" w:hAnsiTheme="minorHAnsi" w:cstheme="minorBidi"/>
                <w:b w:val="0"/>
                <w:color w:val="auto"/>
                <w:kern w:val="2"/>
                <w:sz w:val="24"/>
                <w:szCs w:val="24"/>
                <w:lang w:eastAsia="en-AU"/>
                <w14:ligatures w14:val="standardContextual"/>
              </w:rPr>
              <w:tab/>
            </w:r>
            <w:r w:rsidRPr="006E7CF9">
              <w:rPr>
                <w:rStyle w:val="Hyperlink"/>
              </w:rPr>
              <w:t>Authors' conclusions</w:t>
            </w:r>
            <w:r>
              <w:rPr>
                <w:webHidden/>
              </w:rPr>
              <w:tab/>
            </w:r>
            <w:r>
              <w:rPr>
                <w:webHidden/>
              </w:rPr>
              <w:fldChar w:fldCharType="begin"/>
            </w:r>
            <w:r>
              <w:rPr>
                <w:webHidden/>
              </w:rPr>
              <w:instrText xml:space="preserve"> PAGEREF _Toc183441452 \h </w:instrText>
            </w:r>
            <w:r>
              <w:rPr>
                <w:webHidden/>
              </w:rPr>
            </w:r>
            <w:r>
              <w:rPr>
                <w:webHidden/>
              </w:rPr>
              <w:fldChar w:fldCharType="separate"/>
            </w:r>
            <w:r w:rsidR="00A92B41">
              <w:rPr>
                <w:webHidden/>
              </w:rPr>
              <w:t>173</w:t>
            </w:r>
            <w:r>
              <w:rPr>
                <w:webHidden/>
              </w:rPr>
              <w:fldChar w:fldCharType="end"/>
            </w:r>
          </w:hyperlink>
        </w:p>
        <w:p w14:paraId="63AC09F0" w14:textId="450E0A25"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53" w:history="1">
            <w:r w:rsidRPr="006E7CF9">
              <w:rPr>
                <w:rStyle w:val="Hyperlink"/>
                <w:noProof/>
              </w:rPr>
              <w:t>6.1</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Implications for health policy</w:t>
            </w:r>
            <w:r>
              <w:rPr>
                <w:noProof/>
                <w:webHidden/>
              </w:rPr>
              <w:tab/>
            </w:r>
            <w:r>
              <w:rPr>
                <w:noProof/>
                <w:webHidden/>
              </w:rPr>
              <w:fldChar w:fldCharType="begin"/>
            </w:r>
            <w:r>
              <w:rPr>
                <w:noProof/>
                <w:webHidden/>
              </w:rPr>
              <w:instrText xml:space="preserve"> PAGEREF _Toc183441453 \h </w:instrText>
            </w:r>
            <w:r>
              <w:rPr>
                <w:noProof/>
                <w:webHidden/>
              </w:rPr>
            </w:r>
            <w:r>
              <w:rPr>
                <w:noProof/>
                <w:webHidden/>
              </w:rPr>
              <w:fldChar w:fldCharType="separate"/>
            </w:r>
            <w:r w:rsidR="00A92B41">
              <w:rPr>
                <w:noProof/>
                <w:webHidden/>
              </w:rPr>
              <w:t>173</w:t>
            </w:r>
            <w:r>
              <w:rPr>
                <w:noProof/>
                <w:webHidden/>
              </w:rPr>
              <w:fldChar w:fldCharType="end"/>
            </w:r>
          </w:hyperlink>
        </w:p>
        <w:p w14:paraId="5A062174" w14:textId="24CC14A7" w:rsidR="00814B04" w:rsidRDefault="00814B04">
          <w:pPr>
            <w:pStyle w:val="TOC2"/>
            <w:rPr>
              <w:rFonts w:asciiTheme="minorHAnsi" w:eastAsiaTheme="minorEastAsia" w:hAnsiTheme="minorHAnsi" w:cstheme="minorBidi"/>
              <w:noProof/>
              <w:color w:val="auto"/>
              <w:kern w:val="2"/>
              <w:sz w:val="24"/>
              <w:szCs w:val="24"/>
              <w:lang w:eastAsia="en-AU"/>
              <w14:ligatures w14:val="standardContextual"/>
            </w:rPr>
          </w:pPr>
          <w:hyperlink w:anchor="_Toc183441454" w:history="1">
            <w:r w:rsidRPr="006E7CF9">
              <w:rPr>
                <w:rStyle w:val="Hyperlink"/>
                <w:noProof/>
              </w:rPr>
              <w:t>6.2</w:t>
            </w:r>
            <w:r>
              <w:rPr>
                <w:rFonts w:asciiTheme="minorHAnsi" w:eastAsiaTheme="minorEastAsia" w:hAnsiTheme="minorHAnsi" w:cstheme="minorBidi"/>
                <w:noProof/>
                <w:color w:val="auto"/>
                <w:kern w:val="2"/>
                <w:sz w:val="24"/>
                <w:szCs w:val="24"/>
                <w:lang w:eastAsia="en-AU"/>
                <w14:ligatures w14:val="standardContextual"/>
              </w:rPr>
              <w:tab/>
            </w:r>
            <w:r w:rsidRPr="006E7CF9">
              <w:rPr>
                <w:rStyle w:val="Hyperlink"/>
                <w:noProof/>
              </w:rPr>
              <w:t>Implications for research</w:t>
            </w:r>
            <w:r>
              <w:rPr>
                <w:noProof/>
                <w:webHidden/>
              </w:rPr>
              <w:tab/>
            </w:r>
            <w:r>
              <w:rPr>
                <w:noProof/>
                <w:webHidden/>
              </w:rPr>
              <w:fldChar w:fldCharType="begin"/>
            </w:r>
            <w:r>
              <w:rPr>
                <w:noProof/>
                <w:webHidden/>
              </w:rPr>
              <w:instrText xml:space="preserve"> PAGEREF _Toc183441454 \h </w:instrText>
            </w:r>
            <w:r>
              <w:rPr>
                <w:noProof/>
                <w:webHidden/>
              </w:rPr>
            </w:r>
            <w:r>
              <w:rPr>
                <w:noProof/>
                <w:webHidden/>
              </w:rPr>
              <w:fldChar w:fldCharType="separate"/>
            </w:r>
            <w:r w:rsidR="00A92B41">
              <w:rPr>
                <w:noProof/>
                <w:webHidden/>
              </w:rPr>
              <w:t>174</w:t>
            </w:r>
            <w:r>
              <w:rPr>
                <w:noProof/>
                <w:webHidden/>
              </w:rPr>
              <w:fldChar w:fldCharType="end"/>
            </w:r>
          </w:hyperlink>
        </w:p>
        <w:p w14:paraId="383E3875" w14:textId="408A2A9E" w:rsidR="00814B04" w:rsidRDefault="00814B04">
          <w:pPr>
            <w:pStyle w:val="TOC1"/>
            <w:rPr>
              <w:rFonts w:asciiTheme="minorHAnsi" w:eastAsiaTheme="minorEastAsia" w:hAnsiTheme="minorHAnsi" w:cstheme="minorBidi"/>
              <w:b w:val="0"/>
              <w:color w:val="auto"/>
              <w:kern w:val="2"/>
              <w:sz w:val="24"/>
              <w:szCs w:val="24"/>
              <w:lang w:eastAsia="en-AU"/>
              <w14:ligatures w14:val="standardContextual"/>
            </w:rPr>
          </w:pPr>
          <w:hyperlink w:anchor="_Toc183441455" w:history="1">
            <w:r w:rsidRPr="006E7CF9">
              <w:rPr>
                <w:rStyle w:val="Hyperlink"/>
              </w:rPr>
              <w:t>References</w:t>
            </w:r>
            <w:r>
              <w:rPr>
                <w:webHidden/>
              </w:rPr>
              <w:tab/>
            </w:r>
            <w:r>
              <w:rPr>
                <w:webHidden/>
              </w:rPr>
              <w:fldChar w:fldCharType="begin"/>
            </w:r>
            <w:r>
              <w:rPr>
                <w:webHidden/>
              </w:rPr>
              <w:instrText xml:space="preserve"> PAGEREF _Toc183441455 \h </w:instrText>
            </w:r>
            <w:r>
              <w:rPr>
                <w:webHidden/>
              </w:rPr>
            </w:r>
            <w:r>
              <w:rPr>
                <w:webHidden/>
              </w:rPr>
              <w:fldChar w:fldCharType="separate"/>
            </w:r>
            <w:r w:rsidR="00A92B41">
              <w:rPr>
                <w:webHidden/>
              </w:rPr>
              <w:t>175</w:t>
            </w:r>
            <w:r>
              <w:rPr>
                <w:webHidden/>
              </w:rPr>
              <w:fldChar w:fldCharType="end"/>
            </w:r>
          </w:hyperlink>
        </w:p>
        <w:p w14:paraId="4DBDC3E3" w14:textId="4608A7C3" w:rsidR="00DD505D" w:rsidRPr="00A55335" w:rsidRDefault="00DD505D" w:rsidP="00DD505D">
          <w:r w:rsidRPr="00A55335">
            <w:rPr>
              <w:b/>
              <w:bCs/>
            </w:rPr>
            <w:fldChar w:fldCharType="end"/>
          </w:r>
        </w:p>
      </w:sdtContent>
    </w:sdt>
    <w:p w14:paraId="0410CAD0" w14:textId="77777777" w:rsidR="00DD505D" w:rsidRPr="00A55335" w:rsidRDefault="00DD505D" w:rsidP="00DD505D"/>
    <w:p w14:paraId="13413DE5" w14:textId="77777777" w:rsidR="00DD505D" w:rsidRPr="00A55335" w:rsidRDefault="00DD505D" w:rsidP="00DD505D">
      <w:pPr>
        <w:pStyle w:val="H1-NoNumColour"/>
      </w:pPr>
      <w:bookmarkStart w:id="6" w:name="_Toc183441284"/>
      <w:bookmarkStart w:id="7" w:name="_Hlk42189324"/>
      <w:bookmarkStart w:id="8" w:name="_Hlk515020154"/>
      <w:bookmarkStart w:id="9" w:name="_Hlk515020147"/>
      <w:r w:rsidRPr="00A55335">
        <w:lastRenderedPageBreak/>
        <w:t>List of tables</w:t>
      </w:r>
      <w:bookmarkEnd w:id="6"/>
    </w:p>
    <w:p w14:paraId="064D9C69" w14:textId="49C5F5B7" w:rsidR="00814B04" w:rsidRDefault="00DD505D">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r w:rsidRPr="00A55335">
        <w:fldChar w:fldCharType="begin"/>
      </w:r>
      <w:r w:rsidRPr="00A55335">
        <w:instrText xml:space="preserve"> TOC \h \z \c "Table" </w:instrText>
      </w:r>
      <w:r w:rsidRPr="00A55335">
        <w:fldChar w:fldCharType="separate"/>
      </w:r>
      <w:hyperlink w:anchor="_Toc183441456" w:history="1">
        <w:r w:rsidR="00814B04" w:rsidRPr="00D84739">
          <w:rPr>
            <w:rStyle w:val="Hyperlink"/>
            <w:noProof/>
          </w:rPr>
          <w:t>Table 1</w:t>
        </w:r>
        <w:r w:rsidR="00814B04">
          <w:rPr>
            <w:rFonts w:asciiTheme="minorHAnsi" w:eastAsiaTheme="minorEastAsia" w:hAnsiTheme="minorHAnsi" w:cstheme="minorBidi"/>
            <w:noProof/>
            <w:color w:val="auto"/>
            <w:kern w:val="2"/>
            <w:sz w:val="24"/>
            <w:szCs w:val="24"/>
            <w:lang w:eastAsia="en-AU"/>
            <w14:ligatures w14:val="standardContextual"/>
          </w:rPr>
          <w:tab/>
        </w:r>
        <w:r w:rsidR="00814B04" w:rsidRPr="00D84739">
          <w:rPr>
            <w:rStyle w:val="Hyperlink"/>
            <w:noProof/>
          </w:rPr>
          <w:t>List of conditions and population groups identified and considered in this review</w:t>
        </w:r>
        <w:r w:rsidR="00814B04">
          <w:rPr>
            <w:noProof/>
            <w:webHidden/>
          </w:rPr>
          <w:tab/>
        </w:r>
        <w:r w:rsidR="00814B04">
          <w:rPr>
            <w:noProof/>
            <w:webHidden/>
          </w:rPr>
          <w:fldChar w:fldCharType="begin"/>
        </w:r>
        <w:r w:rsidR="00814B04">
          <w:rPr>
            <w:noProof/>
            <w:webHidden/>
          </w:rPr>
          <w:instrText xml:space="preserve"> PAGEREF _Toc183441456 \h </w:instrText>
        </w:r>
        <w:r w:rsidR="00814B04">
          <w:rPr>
            <w:noProof/>
            <w:webHidden/>
          </w:rPr>
        </w:r>
        <w:r w:rsidR="00814B04">
          <w:rPr>
            <w:noProof/>
            <w:webHidden/>
          </w:rPr>
          <w:fldChar w:fldCharType="separate"/>
        </w:r>
        <w:r w:rsidR="00814B04">
          <w:rPr>
            <w:noProof/>
            <w:webHidden/>
          </w:rPr>
          <w:t>11</w:t>
        </w:r>
        <w:r w:rsidR="00814B04">
          <w:rPr>
            <w:noProof/>
            <w:webHidden/>
          </w:rPr>
          <w:fldChar w:fldCharType="end"/>
        </w:r>
      </w:hyperlink>
    </w:p>
    <w:p w14:paraId="41FDA051" w14:textId="6A761A1F" w:rsidR="00DD505D" w:rsidRPr="00A55335" w:rsidRDefault="00DD505D" w:rsidP="00DD505D">
      <w:pPr>
        <w:pStyle w:val="BodyText"/>
      </w:pPr>
      <w:r w:rsidRPr="00A55335">
        <w:fldChar w:fldCharType="end"/>
      </w:r>
    </w:p>
    <w:p w14:paraId="19AAF1A0" w14:textId="77777777" w:rsidR="00EB0A81" w:rsidRDefault="00DD505D" w:rsidP="008C68CA">
      <w:pPr>
        <w:pStyle w:val="H1-NoNumColour"/>
        <w:rPr>
          <w:noProof/>
        </w:rPr>
      </w:pPr>
      <w:bookmarkStart w:id="10" w:name="_Toc183441285"/>
      <w:r w:rsidRPr="00A55335">
        <w:lastRenderedPageBreak/>
        <w:t>List of figures</w:t>
      </w:r>
      <w:bookmarkEnd w:id="10"/>
      <w:r w:rsidRPr="00A55335">
        <w:rPr>
          <w:rFonts w:ascii="Tahoma" w:eastAsiaTheme="majorEastAsia" w:hAnsi="Tahoma" w:cstheme="minorBidi"/>
          <w:b/>
          <w:color w:val="00323C" w:themeColor="accent2" w:themeShade="80"/>
          <w:sz w:val="28"/>
        </w:rPr>
        <w:fldChar w:fldCharType="begin"/>
      </w:r>
      <w:r w:rsidRPr="00A55335">
        <w:instrText xml:space="preserve"> TOC \h \z \c "Figure" </w:instrText>
      </w:r>
      <w:r w:rsidRPr="00A55335">
        <w:rPr>
          <w:rFonts w:ascii="Tahoma" w:eastAsiaTheme="majorEastAsia" w:hAnsi="Tahoma" w:cstheme="minorBidi"/>
          <w:b/>
          <w:color w:val="00323C" w:themeColor="accent2" w:themeShade="80"/>
          <w:sz w:val="28"/>
        </w:rPr>
        <w:fldChar w:fldCharType="separate"/>
      </w:r>
    </w:p>
    <w:p w14:paraId="4E0452F4" w14:textId="01ED3D2B"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74" w:history="1">
        <w:r w:rsidRPr="00E569D5">
          <w:rPr>
            <w:rStyle w:val="Hyperlink"/>
            <w:noProof/>
          </w:rPr>
          <w:t>Figure 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Literature screening results: Homeopathy, randomised controlled trials</w:t>
        </w:r>
        <w:r>
          <w:rPr>
            <w:noProof/>
            <w:webHidden/>
          </w:rPr>
          <w:tab/>
        </w:r>
        <w:r>
          <w:rPr>
            <w:noProof/>
            <w:webHidden/>
          </w:rPr>
          <w:fldChar w:fldCharType="begin"/>
        </w:r>
        <w:r>
          <w:rPr>
            <w:noProof/>
            <w:webHidden/>
          </w:rPr>
          <w:instrText xml:space="preserve"> PAGEREF _Toc183520274 \h </w:instrText>
        </w:r>
        <w:r>
          <w:rPr>
            <w:noProof/>
            <w:webHidden/>
          </w:rPr>
        </w:r>
        <w:r>
          <w:rPr>
            <w:noProof/>
            <w:webHidden/>
          </w:rPr>
          <w:fldChar w:fldCharType="separate"/>
        </w:r>
        <w:r>
          <w:rPr>
            <w:noProof/>
            <w:webHidden/>
          </w:rPr>
          <w:t>10</w:t>
        </w:r>
        <w:r>
          <w:rPr>
            <w:noProof/>
            <w:webHidden/>
          </w:rPr>
          <w:fldChar w:fldCharType="end"/>
        </w:r>
      </w:hyperlink>
    </w:p>
    <w:p w14:paraId="16EF2D97" w14:textId="502ADDB3"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75" w:history="1">
        <w:r w:rsidRPr="00E569D5">
          <w:rPr>
            <w:rStyle w:val="Hyperlink"/>
            <w:noProof/>
          </w:rPr>
          <w:t>Figure 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Atopic conditions (allergic rhinitis)</w:t>
        </w:r>
        <w:r>
          <w:rPr>
            <w:noProof/>
            <w:webHidden/>
          </w:rPr>
          <w:tab/>
        </w:r>
        <w:r>
          <w:rPr>
            <w:noProof/>
            <w:webHidden/>
          </w:rPr>
          <w:fldChar w:fldCharType="begin"/>
        </w:r>
        <w:r>
          <w:rPr>
            <w:noProof/>
            <w:webHidden/>
          </w:rPr>
          <w:instrText xml:space="preserve"> PAGEREF _Toc183520275 \h </w:instrText>
        </w:r>
        <w:r>
          <w:rPr>
            <w:noProof/>
            <w:webHidden/>
          </w:rPr>
        </w:r>
        <w:r>
          <w:rPr>
            <w:noProof/>
            <w:webHidden/>
          </w:rPr>
          <w:fldChar w:fldCharType="separate"/>
        </w:r>
        <w:r>
          <w:rPr>
            <w:noProof/>
            <w:webHidden/>
          </w:rPr>
          <w:t>17</w:t>
        </w:r>
        <w:r>
          <w:rPr>
            <w:noProof/>
            <w:webHidden/>
          </w:rPr>
          <w:fldChar w:fldCharType="end"/>
        </w:r>
      </w:hyperlink>
    </w:p>
    <w:p w14:paraId="70B4B040" w14:textId="7CAE6495"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76" w:history="1">
        <w:r w:rsidRPr="00E569D5">
          <w:rPr>
            <w:rStyle w:val="Hyperlink"/>
            <w:noProof/>
          </w:rPr>
          <w:t>Figure 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Atopic conditions (dermatitis, eczema)</w:t>
        </w:r>
        <w:r>
          <w:rPr>
            <w:noProof/>
            <w:webHidden/>
          </w:rPr>
          <w:tab/>
        </w:r>
        <w:r>
          <w:rPr>
            <w:noProof/>
            <w:webHidden/>
          </w:rPr>
          <w:fldChar w:fldCharType="begin"/>
        </w:r>
        <w:r>
          <w:rPr>
            <w:noProof/>
            <w:webHidden/>
          </w:rPr>
          <w:instrText xml:space="preserve"> PAGEREF _Toc183520276 \h </w:instrText>
        </w:r>
        <w:r>
          <w:rPr>
            <w:noProof/>
            <w:webHidden/>
          </w:rPr>
        </w:r>
        <w:r>
          <w:rPr>
            <w:noProof/>
            <w:webHidden/>
          </w:rPr>
          <w:fldChar w:fldCharType="separate"/>
        </w:r>
        <w:r>
          <w:rPr>
            <w:noProof/>
            <w:webHidden/>
          </w:rPr>
          <w:t>18</w:t>
        </w:r>
        <w:r>
          <w:rPr>
            <w:noProof/>
            <w:webHidden/>
          </w:rPr>
          <w:fldChar w:fldCharType="end"/>
        </w:r>
      </w:hyperlink>
    </w:p>
    <w:p w14:paraId="5EDA8281" w14:textId="40E99B54"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77" w:history="1">
        <w:r w:rsidRPr="00E569D5">
          <w:rPr>
            <w:rStyle w:val="Hyperlink"/>
            <w:noProof/>
          </w:rPr>
          <w:t xml:space="preserve">Figure 4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Allergic rhinitis – symptom severity</w:t>
        </w:r>
        <w:r>
          <w:rPr>
            <w:noProof/>
            <w:webHidden/>
          </w:rPr>
          <w:tab/>
        </w:r>
        <w:r>
          <w:rPr>
            <w:noProof/>
            <w:webHidden/>
          </w:rPr>
          <w:fldChar w:fldCharType="begin"/>
        </w:r>
        <w:r>
          <w:rPr>
            <w:noProof/>
            <w:webHidden/>
          </w:rPr>
          <w:instrText xml:space="preserve"> PAGEREF _Toc183520277 \h </w:instrText>
        </w:r>
        <w:r>
          <w:rPr>
            <w:noProof/>
            <w:webHidden/>
          </w:rPr>
        </w:r>
        <w:r>
          <w:rPr>
            <w:noProof/>
            <w:webHidden/>
          </w:rPr>
          <w:fldChar w:fldCharType="separate"/>
        </w:r>
        <w:r>
          <w:rPr>
            <w:noProof/>
            <w:webHidden/>
          </w:rPr>
          <w:t>22</w:t>
        </w:r>
        <w:r>
          <w:rPr>
            <w:noProof/>
            <w:webHidden/>
          </w:rPr>
          <w:fldChar w:fldCharType="end"/>
        </w:r>
      </w:hyperlink>
    </w:p>
    <w:p w14:paraId="7FCD876B" w14:textId="20007803"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78" w:history="1">
        <w:r w:rsidRPr="00E569D5">
          <w:rPr>
            <w:rStyle w:val="Hyperlink"/>
            <w:noProof/>
          </w:rPr>
          <w:t>Figure 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Allergic rhinitis – quality of life</w:t>
        </w:r>
        <w:r>
          <w:rPr>
            <w:noProof/>
            <w:webHidden/>
          </w:rPr>
          <w:tab/>
        </w:r>
        <w:r>
          <w:rPr>
            <w:noProof/>
            <w:webHidden/>
          </w:rPr>
          <w:fldChar w:fldCharType="begin"/>
        </w:r>
        <w:r>
          <w:rPr>
            <w:noProof/>
            <w:webHidden/>
          </w:rPr>
          <w:instrText xml:space="preserve"> PAGEREF _Toc183520278 \h </w:instrText>
        </w:r>
        <w:r>
          <w:rPr>
            <w:noProof/>
            <w:webHidden/>
          </w:rPr>
        </w:r>
        <w:r>
          <w:rPr>
            <w:noProof/>
            <w:webHidden/>
          </w:rPr>
          <w:fldChar w:fldCharType="separate"/>
        </w:r>
        <w:r>
          <w:rPr>
            <w:noProof/>
            <w:webHidden/>
          </w:rPr>
          <w:t>23</w:t>
        </w:r>
        <w:r>
          <w:rPr>
            <w:noProof/>
            <w:webHidden/>
          </w:rPr>
          <w:fldChar w:fldCharType="end"/>
        </w:r>
      </w:hyperlink>
    </w:p>
    <w:p w14:paraId="0AD11E0B" w14:textId="1240591E"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79" w:history="1">
        <w:r w:rsidRPr="00E569D5">
          <w:rPr>
            <w:rStyle w:val="Hyperlink"/>
            <w:noProof/>
          </w:rPr>
          <w:t xml:space="preserve">Figure 6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Allergic rhinitis – total medication use</w:t>
        </w:r>
        <w:r>
          <w:rPr>
            <w:noProof/>
            <w:webHidden/>
          </w:rPr>
          <w:tab/>
        </w:r>
        <w:r>
          <w:rPr>
            <w:noProof/>
            <w:webHidden/>
          </w:rPr>
          <w:fldChar w:fldCharType="begin"/>
        </w:r>
        <w:r>
          <w:rPr>
            <w:noProof/>
            <w:webHidden/>
          </w:rPr>
          <w:instrText xml:space="preserve"> PAGEREF _Toc183520279 \h </w:instrText>
        </w:r>
        <w:r>
          <w:rPr>
            <w:noProof/>
            <w:webHidden/>
          </w:rPr>
        </w:r>
        <w:r>
          <w:rPr>
            <w:noProof/>
            <w:webHidden/>
          </w:rPr>
          <w:fldChar w:fldCharType="separate"/>
        </w:r>
        <w:r>
          <w:rPr>
            <w:noProof/>
            <w:webHidden/>
          </w:rPr>
          <w:t>23</w:t>
        </w:r>
        <w:r>
          <w:rPr>
            <w:noProof/>
            <w:webHidden/>
          </w:rPr>
          <w:fldChar w:fldCharType="end"/>
        </w:r>
      </w:hyperlink>
    </w:p>
    <w:p w14:paraId="137A3D60" w14:textId="60B4372A"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0" w:history="1">
        <w:r w:rsidRPr="00E569D5">
          <w:rPr>
            <w:rStyle w:val="Hyperlink"/>
            <w:noProof/>
          </w:rPr>
          <w:t xml:space="preserve">Figure 7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Atopic dermatitis – disease severity</w:t>
        </w:r>
        <w:r>
          <w:rPr>
            <w:noProof/>
            <w:webHidden/>
          </w:rPr>
          <w:tab/>
        </w:r>
        <w:r>
          <w:rPr>
            <w:noProof/>
            <w:webHidden/>
          </w:rPr>
          <w:fldChar w:fldCharType="begin"/>
        </w:r>
        <w:r>
          <w:rPr>
            <w:noProof/>
            <w:webHidden/>
          </w:rPr>
          <w:instrText xml:space="preserve"> PAGEREF _Toc183520280 \h </w:instrText>
        </w:r>
        <w:r>
          <w:rPr>
            <w:noProof/>
            <w:webHidden/>
          </w:rPr>
        </w:r>
        <w:r>
          <w:rPr>
            <w:noProof/>
            <w:webHidden/>
          </w:rPr>
          <w:fldChar w:fldCharType="separate"/>
        </w:r>
        <w:r>
          <w:rPr>
            <w:noProof/>
            <w:webHidden/>
          </w:rPr>
          <w:t>25</w:t>
        </w:r>
        <w:r>
          <w:rPr>
            <w:noProof/>
            <w:webHidden/>
          </w:rPr>
          <w:fldChar w:fldCharType="end"/>
        </w:r>
      </w:hyperlink>
    </w:p>
    <w:p w14:paraId="53915A40" w14:textId="4BF10814"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1" w:history="1">
        <w:r w:rsidRPr="00E569D5">
          <w:rPr>
            <w:rStyle w:val="Hyperlink"/>
            <w:noProof/>
          </w:rPr>
          <w:t xml:space="preserve">Figure 8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Atopic dermatitis – Health-related quality of life</w:t>
        </w:r>
        <w:r>
          <w:rPr>
            <w:noProof/>
            <w:webHidden/>
          </w:rPr>
          <w:tab/>
        </w:r>
        <w:r>
          <w:rPr>
            <w:noProof/>
            <w:webHidden/>
          </w:rPr>
          <w:fldChar w:fldCharType="begin"/>
        </w:r>
        <w:r>
          <w:rPr>
            <w:noProof/>
            <w:webHidden/>
          </w:rPr>
          <w:instrText xml:space="preserve"> PAGEREF _Toc183520281 \h </w:instrText>
        </w:r>
        <w:r>
          <w:rPr>
            <w:noProof/>
            <w:webHidden/>
          </w:rPr>
        </w:r>
        <w:r>
          <w:rPr>
            <w:noProof/>
            <w:webHidden/>
          </w:rPr>
          <w:fldChar w:fldCharType="separate"/>
        </w:r>
        <w:r>
          <w:rPr>
            <w:noProof/>
            <w:webHidden/>
          </w:rPr>
          <w:t>25</w:t>
        </w:r>
        <w:r>
          <w:rPr>
            <w:noProof/>
            <w:webHidden/>
          </w:rPr>
          <w:fldChar w:fldCharType="end"/>
        </w:r>
      </w:hyperlink>
    </w:p>
    <w:p w14:paraId="0A4022F1" w14:textId="360C715D"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2" w:history="1">
        <w:r w:rsidRPr="00E569D5">
          <w:rPr>
            <w:rStyle w:val="Hyperlink"/>
            <w:noProof/>
          </w:rPr>
          <w:t xml:space="preserve">Figure 9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Atopic dermatitis – Medication use</w:t>
        </w:r>
        <w:r>
          <w:rPr>
            <w:noProof/>
            <w:webHidden/>
          </w:rPr>
          <w:tab/>
        </w:r>
        <w:r>
          <w:rPr>
            <w:noProof/>
            <w:webHidden/>
          </w:rPr>
          <w:fldChar w:fldCharType="begin"/>
        </w:r>
        <w:r>
          <w:rPr>
            <w:noProof/>
            <w:webHidden/>
          </w:rPr>
          <w:instrText xml:space="preserve"> PAGEREF _Toc183520282 \h </w:instrText>
        </w:r>
        <w:r>
          <w:rPr>
            <w:noProof/>
            <w:webHidden/>
          </w:rPr>
        </w:r>
        <w:r>
          <w:rPr>
            <w:noProof/>
            <w:webHidden/>
          </w:rPr>
          <w:fldChar w:fldCharType="separate"/>
        </w:r>
        <w:r>
          <w:rPr>
            <w:noProof/>
            <w:webHidden/>
          </w:rPr>
          <w:t>26</w:t>
        </w:r>
        <w:r>
          <w:rPr>
            <w:noProof/>
            <w:webHidden/>
          </w:rPr>
          <w:fldChar w:fldCharType="end"/>
        </w:r>
      </w:hyperlink>
    </w:p>
    <w:p w14:paraId="59893B49" w14:textId="3005E748"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3" w:history="1">
        <w:r w:rsidRPr="00E569D5">
          <w:rPr>
            <w:rStyle w:val="Hyperlink"/>
            <w:noProof/>
          </w:rPr>
          <w:t xml:space="preserve">Figure 10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Recurrent infections (otitis media)</w:t>
        </w:r>
        <w:r>
          <w:rPr>
            <w:noProof/>
            <w:webHidden/>
          </w:rPr>
          <w:tab/>
        </w:r>
        <w:r>
          <w:rPr>
            <w:noProof/>
            <w:webHidden/>
          </w:rPr>
          <w:fldChar w:fldCharType="begin"/>
        </w:r>
        <w:r>
          <w:rPr>
            <w:noProof/>
            <w:webHidden/>
          </w:rPr>
          <w:instrText xml:space="preserve"> PAGEREF _Toc183520283 \h </w:instrText>
        </w:r>
        <w:r>
          <w:rPr>
            <w:noProof/>
            <w:webHidden/>
          </w:rPr>
        </w:r>
        <w:r>
          <w:rPr>
            <w:noProof/>
            <w:webHidden/>
          </w:rPr>
          <w:fldChar w:fldCharType="separate"/>
        </w:r>
        <w:r>
          <w:rPr>
            <w:noProof/>
            <w:webHidden/>
          </w:rPr>
          <w:t>29</w:t>
        </w:r>
        <w:r>
          <w:rPr>
            <w:noProof/>
            <w:webHidden/>
          </w:rPr>
          <w:fldChar w:fldCharType="end"/>
        </w:r>
      </w:hyperlink>
    </w:p>
    <w:p w14:paraId="00B44128" w14:textId="6701AB2D"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4" w:history="1">
        <w:r w:rsidRPr="00E569D5">
          <w:rPr>
            <w:rStyle w:val="Hyperlink"/>
            <w:noProof/>
          </w:rPr>
          <w:t>Figure 11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Recurrent infections (childhood otitis media) – infection frequency</w:t>
        </w:r>
        <w:r>
          <w:rPr>
            <w:noProof/>
            <w:webHidden/>
          </w:rPr>
          <w:tab/>
        </w:r>
        <w:r>
          <w:rPr>
            <w:noProof/>
            <w:webHidden/>
          </w:rPr>
          <w:fldChar w:fldCharType="begin"/>
        </w:r>
        <w:r>
          <w:rPr>
            <w:noProof/>
            <w:webHidden/>
          </w:rPr>
          <w:instrText xml:space="preserve"> PAGEREF _Toc183520284 \h </w:instrText>
        </w:r>
        <w:r>
          <w:rPr>
            <w:noProof/>
            <w:webHidden/>
          </w:rPr>
        </w:r>
        <w:r>
          <w:rPr>
            <w:noProof/>
            <w:webHidden/>
          </w:rPr>
          <w:fldChar w:fldCharType="separate"/>
        </w:r>
        <w:r>
          <w:rPr>
            <w:noProof/>
            <w:webHidden/>
          </w:rPr>
          <w:t>33</w:t>
        </w:r>
        <w:r>
          <w:rPr>
            <w:noProof/>
            <w:webHidden/>
          </w:rPr>
          <w:fldChar w:fldCharType="end"/>
        </w:r>
      </w:hyperlink>
    </w:p>
    <w:p w14:paraId="1E3442A5" w14:textId="760B8CDD"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5" w:history="1">
        <w:r w:rsidRPr="00E569D5">
          <w:rPr>
            <w:rStyle w:val="Hyperlink"/>
            <w:noProof/>
          </w:rPr>
          <w:t>Figure 12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Recurrent infections (childhood otitis media) – symptom severity (ETG-5)</w:t>
        </w:r>
        <w:r>
          <w:rPr>
            <w:noProof/>
            <w:webHidden/>
          </w:rPr>
          <w:tab/>
        </w:r>
        <w:r>
          <w:rPr>
            <w:noProof/>
            <w:webHidden/>
          </w:rPr>
          <w:fldChar w:fldCharType="begin"/>
        </w:r>
        <w:r>
          <w:rPr>
            <w:noProof/>
            <w:webHidden/>
          </w:rPr>
          <w:instrText xml:space="preserve"> PAGEREF _Toc183520285 \h </w:instrText>
        </w:r>
        <w:r>
          <w:rPr>
            <w:noProof/>
            <w:webHidden/>
          </w:rPr>
        </w:r>
        <w:r>
          <w:rPr>
            <w:noProof/>
            <w:webHidden/>
          </w:rPr>
          <w:fldChar w:fldCharType="separate"/>
        </w:r>
        <w:r>
          <w:rPr>
            <w:noProof/>
            <w:webHidden/>
          </w:rPr>
          <w:t>33</w:t>
        </w:r>
        <w:r>
          <w:rPr>
            <w:noProof/>
            <w:webHidden/>
          </w:rPr>
          <w:fldChar w:fldCharType="end"/>
        </w:r>
      </w:hyperlink>
    </w:p>
    <w:p w14:paraId="55ED86BD" w14:textId="104E5D51"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6" w:history="1">
        <w:r w:rsidRPr="00E569D5">
          <w:rPr>
            <w:rStyle w:val="Hyperlink"/>
            <w:noProof/>
          </w:rPr>
          <w:t>Figure 13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 xml:space="preserve"> Risk of bias summary: review authors' judgement about each risk of bias item for each included study: Recurrent upper respiratory tract infections</w:t>
        </w:r>
        <w:r>
          <w:rPr>
            <w:noProof/>
            <w:webHidden/>
          </w:rPr>
          <w:tab/>
        </w:r>
        <w:r>
          <w:rPr>
            <w:noProof/>
            <w:webHidden/>
          </w:rPr>
          <w:fldChar w:fldCharType="begin"/>
        </w:r>
        <w:r>
          <w:rPr>
            <w:noProof/>
            <w:webHidden/>
          </w:rPr>
          <w:instrText xml:space="preserve"> PAGEREF _Toc183520286 \h </w:instrText>
        </w:r>
        <w:r>
          <w:rPr>
            <w:noProof/>
            <w:webHidden/>
          </w:rPr>
        </w:r>
        <w:r>
          <w:rPr>
            <w:noProof/>
            <w:webHidden/>
          </w:rPr>
          <w:fldChar w:fldCharType="separate"/>
        </w:r>
        <w:r>
          <w:rPr>
            <w:noProof/>
            <w:webHidden/>
          </w:rPr>
          <w:t>35</w:t>
        </w:r>
        <w:r>
          <w:rPr>
            <w:noProof/>
            <w:webHidden/>
          </w:rPr>
          <w:fldChar w:fldCharType="end"/>
        </w:r>
      </w:hyperlink>
    </w:p>
    <w:p w14:paraId="1456DAFD" w14:textId="4209A431"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7" w:history="1">
        <w:r w:rsidRPr="00E569D5">
          <w:rPr>
            <w:rStyle w:val="Hyperlink"/>
            <w:noProof/>
          </w:rPr>
          <w:t>Figure 14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Recurrent infections (upper respiratory tract infections) – infection frequency</w:t>
        </w:r>
        <w:r>
          <w:rPr>
            <w:noProof/>
            <w:webHidden/>
          </w:rPr>
          <w:tab/>
        </w:r>
        <w:r>
          <w:rPr>
            <w:noProof/>
            <w:webHidden/>
          </w:rPr>
          <w:fldChar w:fldCharType="begin"/>
        </w:r>
        <w:r>
          <w:rPr>
            <w:noProof/>
            <w:webHidden/>
          </w:rPr>
          <w:instrText xml:space="preserve"> PAGEREF _Toc183520287 \h </w:instrText>
        </w:r>
        <w:r>
          <w:rPr>
            <w:noProof/>
            <w:webHidden/>
          </w:rPr>
        </w:r>
        <w:r>
          <w:rPr>
            <w:noProof/>
            <w:webHidden/>
          </w:rPr>
          <w:fldChar w:fldCharType="separate"/>
        </w:r>
        <w:r>
          <w:rPr>
            <w:noProof/>
            <w:webHidden/>
          </w:rPr>
          <w:t>40</w:t>
        </w:r>
        <w:r>
          <w:rPr>
            <w:noProof/>
            <w:webHidden/>
          </w:rPr>
          <w:fldChar w:fldCharType="end"/>
        </w:r>
      </w:hyperlink>
    </w:p>
    <w:p w14:paraId="631BE14B" w14:textId="35472147"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8" w:history="1">
        <w:r w:rsidRPr="00E569D5">
          <w:rPr>
            <w:rStyle w:val="Hyperlink"/>
            <w:noProof/>
          </w:rPr>
          <w:t>Figure 15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Recurrent infections (upper respiratory tract infections) – infection duration</w:t>
        </w:r>
        <w:r>
          <w:rPr>
            <w:noProof/>
            <w:webHidden/>
          </w:rPr>
          <w:tab/>
        </w:r>
        <w:r>
          <w:rPr>
            <w:noProof/>
            <w:webHidden/>
          </w:rPr>
          <w:fldChar w:fldCharType="begin"/>
        </w:r>
        <w:r>
          <w:rPr>
            <w:noProof/>
            <w:webHidden/>
          </w:rPr>
          <w:instrText xml:space="preserve"> PAGEREF _Toc183520288 \h </w:instrText>
        </w:r>
        <w:r>
          <w:rPr>
            <w:noProof/>
            <w:webHidden/>
          </w:rPr>
        </w:r>
        <w:r>
          <w:rPr>
            <w:noProof/>
            <w:webHidden/>
          </w:rPr>
          <w:fldChar w:fldCharType="separate"/>
        </w:r>
        <w:r>
          <w:rPr>
            <w:noProof/>
            <w:webHidden/>
          </w:rPr>
          <w:t>41</w:t>
        </w:r>
        <w:r>
          <w:rPr>
            <w:noProof/>
            <w:webHidden/>
          </w:rPr>
          <w:fldChar w:fldCharType="end"/>
        </w:r>
      </w:hyperlink>
    </w:p>
    <w:p w14:paraId="3F9EDBBA" w14:textId="499CB839"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89" w:history="1">
        <w:r w:rsidRPr="00E569D5">
          <w:rPr>
            <w:rStyle w:val="Hyperlink"/>
            <w:noProof/>
          </w:rPr>
          <w:t>Figure 16</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Recurrent infections (upper respiratory tract infections) – symptom severity</w:t>
        </w:r>
        <w:r>
          <w:rPr>
            <w:noProof/>
            <w:webHidden/>
          </w:rPr>
          <w:tab/>
        </w:r>
        <w:r>
          <w:rPr>
            <w:noProof/>
            <w:webHidden/>
          </w:rPr>
          <w:fldChar w:fldCharType="begin"/>
        </w:r>
        <w:r>
          <w:rPr>
            <w:noProof/>
            <w:webHidden/>
          </w:rPr>
          <w:instrText xml:space="preserve"> PAGEREF _Toc183520289 \h </w:instrText>
        </w:r>
        <w:r>
          <w:rPr>
            <w:noProof/>
            <w:webHidden/>
          </w:rPr>
        </w:r>
        <w:r>
          <w:rPr>
            <w:noProof/>
            <w:webHidden/>
          </w:rPr>
          <w:fldChar w:fldCharType="separate"/>
        </w:r>
        <w:r>
          <w:rPr>
            <w:noProof/>
            <w:webHidden/>
          </w:rPr>
          <w:t>41</w:t>
        </w:r>
        <w:r>
          <w:rPr>
            <w:noProof/>
            <w:webHidden/>
          </w:rPr>
          <w:fldChar w:fldCharType="end"/>
        </w:r>
      </w:hyperlink>
    </w:p>
    <w:p w14:paraId="4C605479" w14:textId="1D0E868A"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0" w:history="1">
        <w:r w:rsidRPr="00E569D5">
          <w:rPr>
            <w:rStyle w:val="Hyperlink"/>
            <w:noProof/>
          </w:rPr>
          <w:t>Figure 17</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Recurrent infections (upper respiratory tract infections) – quality of life</w:t>
        </w:r>
        <w:r>
          <w:rPr>
            <w:noProof/>
            <w:webHidden/>
          </w:rPr>
          <w:tab/>
        </w:r>
        <w:r>
          <w:rPr>
            <w:noProof/>
            <w:webHidden/>
          </w:rPr>
          <w:fldChar w:fldCharType="begin"/>
        </w:r>
        <w:r>
          <w:rPr>
            <w:noProof/>
            <w:webHidden/>
          </w:rPr>
          <w:instrText xml:space="preserve"> PAGEREF _Toc183520290 \h </w:instrText>
        </w:r>
        <w:r>
          <w:rPr>
            <w:noProof/>
            <w:webHidden/>
          </w:rPr>
        </w:r>
        <w:r>
          <w:rPr>
            <w:noProof/>
            <w:webHidden/>
          </w:rPr>
          <w:fldChar w:fldCharType="separate"/>
        </w:r>
        <w:r>
          <w:rPr>
            <w:noProof/>
            <w:webHidden/>
          </w:rPr>
          <w:t>42</w:t>
        </w:r>
        <w:r>
          <w:rPr>
            <w:noProof/>
            <w:webHidden/>
          </w:rPr>
          <w:fldChar w:fldCharType="end"/>
        </w:r>
      </w:hyperlink>
    </w:p>
    <w:p w14:paraId="269580FF" w14:textId="61AC77FD"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1" w:history="1">
        <w:r w:rsidRPr="00E569D5">
          <w:rPr>
            <w:rStyle w:val="Hyperlink"/>
            <w:noProof/>
          </w:rPr>
          <w:t>Figure 18</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Recurrent infections (upper respiratory tract infections) – medication use</w:t>
        </w:r>
        <w:r>
          <w:rPr>
            <w:noProof/>
            <w:webHidden/>
          </w:rPr>
          <w:tab/>
        </w:r>
        <w:r>
          <w:rPr>
            <w:noProof/>
            <w:webHidden/>
          </w:rPr>
          <w:fldChar w:fldCharType="begin"/>
        </w:r>
        <w:r>
          <w:rPr>
            <w:noProof/>
            <w:webHidden/>
          </w:rPr>
          <w:instrText xml:space="preserve"> PAGEREF _Toc183520291 \h </w:instrText>
        </w:r>
        <w:r>
          <w:rPr>
            <w:noProof/>
            <w:webHidden/>
          </w:rPr>
        </w:r>
        <w:r>
          <w:rPr>
            <w:noProof/>
            <w:webHidden/>
          </w:rPr>
          <w:fldChar w:fldCharType="separate"/>
        </w:r>
        <w:r>
          <w:rPr>
            <w:noProof/>
            <w:webHidden/>
          </w:rPr>
          <w:t>42</w:t>
        </w:r>
        <w:r>
          <w:rPr>
            <w:noProof/>
            <w:webHidden/>
          </w:rPr>
          <w:fldChar w:fldCharType="end"/>
        </w:r>
      </w:hyperlink>
    </w:p>
    <w:p w14:paraId="508284B6" w14:textId="25A74A9A"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2" w:history="1">
        <w:r w:rsidRPr="00E569D5">
          <w:rPr>
            <w:rStyle w:val="Hyperlink"/>
            <w:noProof/>
          </w:rPr>
          <w:t>Figure 19</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Recurrent infections (upper respiratory tract infections) – infection frequency</w:t>
        </w:r>
        <w:r>
          <w:rPr>
            <w:noProof/>
            <w:webHidden/>
          </w:rPr>
          <w:tab/>
        </w:r>
        <w:r>
          <w:rPr>
            <w:noProof/>
            <w:webHidden/>
          </w:rPr>
          <w:fldChar w:fldCharType="begin"/>
        </w:r>
        <w:r>
          <w:rPr>
            <w:noProof/>
            <w:webHidden/>
          </w:rPr>
          <w:instrText xml:space="preserve"> PAGEREF _Toc183520292 \h </w:instrText>
        </w:r>
        <w:r>
          <w:rPr>
            <w:noProof/>
            <w:webHidden/>
          </w:rPr>
        </w:r>
        <w:r>
          <w:rPr>
            <w:noProof/>
            <w:webHidden/>
          </w:rPr>
          <w:fldChar w:fldCharType="separate"/>
        </w:r>
        <w:r>
          <w:rPr>
            <w:noProof/>
            <w:webHidden/>
          </w:rPr>
          <w:t>43</w:t>
        </w:r>
        <w:r>
          <w:rPr>
            <w:noProof/>
            <w:webHidden/>
          </w:rPr>
          <w:fldChar w:fldCharType="end"/>
        </w:r>
      </w:hyperlink>
    </w:p>
    <w:p w14:paraId="3A2A1E4C" w14:textId="52A54679"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3" w:history="1">
        <w:r w:rsidRPr="00E569D5">
          <w:rPr>
            <w:rStyle w:val="Hyperlink"/>
            <w:noProof/>
          </w:rPr>
          <w:t>Figure 20</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Recurrent infections (upper respiratory tract infections) – medication use</w:t>
        </w:r>
        <w:r>
          <w:rPr>
            <w:noProof/>
            <w:webHidden/>
          </w:rPr>
          <w:tab/>
        </w:r>
        <w:r>
          <w:rPr>
            <w:noProof/>
            <w:webHidden/>
          </w:rPr>
          <w:fldChar w:fldCharType="begin"/>
        </w:r>
        <w:r>
          <w:rPr>
            <w:noProof/>
            <w:webHidden/>
          </w:rPr>
          <w:instrText xml:space="preserve"> PAGEREF _Toc183520293 \h </w:instrText>
        </w:r>
        <w:r>
          <w:rPr>
            <w:noProof/>
            <w:webHidden/>
          </w:rPr>
        </w:r>
        <w:r>
          <w:rPr>
            <w:noProof/>
            <w:webHidden/>
          </w:rPr>
          <w:fldChar w:fldCharType="separate"/>
        </w:r>
        <w:r>
          <w:rPr>
            <w:noProof/>
            <w:webHidden/>
          </w:rPr>
          <w:t>43</w:t>
        </w:r>
        <w:r>
          <w:rPr>
            <w:noProof/>
            <w:webHidden/>
          </w:rPr>
          <w:fldChar w:fldCharType="end"/>
        </w:r>
      </w:hyperlink>
    </w:p>
    <w:p w14:paraId="7CD91DD3" w14:textId="2FE42BFF"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4" w:history="1">
        <w:r w:rsidRPr="00E569D5">
          <w:rPr>
            <w:rStyle w:val="Hyperlink"/>
            <w:noProof/>
          </w:rPr>
          <w:t>Figure 21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Recurrent genitourinary infections</w:t>
        </w:r>
        <w:r>
          <w:rPr>
            <w:noProof/>
            <w:webHidden/>
          </w:rPr>
          <w:tab/>
        </w:r>
        <w:r>
          <w:rPr>
            <w:noProof/>
            <w:webHidden/>
          </w:rPr>
          <w:fldChar w:fldCharType="begin"/>
        </w:r>
        <w:r>
          <w:rPr>
            <w:noProof/>
            <w:webHidden/>
          </w:rPr>
          <w:instrText xml:space="preserve"> PAGEREF _Toc183520294 \h </w:instrText>
        </w:r>
        <w:r>
          <w:rPr>
            <w:noProof/>
            <w:webHidden/>
          </w:rPr>
        </w:r>
        <w:r>
          <w:rPr>
            <w:noProof/>
            <w:webHidden/>
          </w:rPr>
          <w:fldChar w:fldCharType="separate"/>
        </w:r>
        <w:r>
          <w:rPr>
            <w:noProof/>
            <w:webHidden/>
          </w:rPr>
          <w:t>45</w:t>
        </w:r>
        <w:r>
          <w:rPr>
            <w:noProof/>
            <w:webHidden/>
          </w:rPr>
          <w:fldChar w:fldCharType="end"/>
        </w:r>
      </w:hyperlink>
    </w:p>
    <w:p w14:paraId="305A2E26" w14:textId="4EA3AA4E"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5" w:history="1">
        <w:r w:rsidRPr="00E569D5">
          <w:rPr>
            <w:rStyle w:val="Hyperlink"/>
            <w:noProof/>
          </w:rPr>
          <w:t>Figure 22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Recurrent infections (genitourinary) – infection frequency</w:t>
        </w:r>
        <w:r>
          <w:rPr>
            <w:noProof/>
            <w:webHidden/>
          </w:rPr>
          <w:tab/>
        </w:r>
        <w:r>
          <w:rPr>
            <w:noProof/>
            <w:webHidden/>
          </w:rPr>
          <w:fldChar w:fldCharType="begin"/>
        </w:r>
        <w:r>
          <w:rPr>
            <w:noProof/>
            <w:webHidden/>
          </w:rPr>
          <w:instrText xml:space="preserve"> PAGEREF _Toc183520295 \h </w:instrText>
        </w:r>
        <w:r>
          <w:rPr>
            <w:noProof/>
            <w:webHidden/>
          </w:rPr>
        </w:r>
        <w:r>
          <w:rPr>
            <w:noProof/>
            <w:webHidden/>
          </w:rPr>
          <w:fldChar w:fldCharType="separate"/>
        </w:r>
        <w:r>
          <w:rPr>
            <w:noProof/>
            <w:webHidden/>
          </w:rPr>
          <w:t>47</w:t>
        </w:r>
        <w:r>
          <w:rPr>
            <w:noProof/>
            <w:webHidden/>
          </w:rPr>
          <w:fldChar w:fldCharType="end"/>
        </w:r>
      </w:hyperlink>
    </w:p>
    <w:p w14:paraId="0EA94372" w14:textId="7B72CF5D"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6" w:history="1">
        <w:r w:rsidRPr="00E569D5">
          <w:rPr>
            <w:rStyle w:val="Hyperlink"/>
            <w:noProof/>
          </w:rPr>
          <w:t xml:space="preserve">Figure 23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judgements about each risk of bias item for each included study – Anxiety (or symptoms of anxiety)</w:t>
        </w:r>
        <w:r>
          <w:rPr>
            <w:noProof/>
            <w:webHidden/>
          </w:rPr>
          <w:tab/>
        </w:r>
        <w:r>
          <w:rPr>
            <w:noProof/>
            <w:webHidden/>
          </w:rPr>
          <w:fldChar w:fldCharType="begin"/>
        </w:r>
        <w:r>
          <w:rPr>
            <w:noProof/>
            <w:webHidden/>
          </w:rPr>
          <w:instrText xml:space="preserve"> PAGEREF _Toc183520296 \h </w:instrText>
        </w:r>
        <w:r>
          <w:rPr>
            <w:noProof/>
            <w:webHidden/>
          </w:rPr>
        </w:r>
        <w:r>
          <w:rPr>
            <w:noProof/>
            <w:webHidden/>
          </w:rPr>
          <w:fldChar w:fldCharType="separate"/>
        </w:r>
        <w:r>
          <w:rPr>
            <w:noProof/>
            <w:webHidden/>
          </w:rPr>
          <w:t>49</w:t>
        </w:r>
        <w:r>
          <w:rPr>
            <w:noProof/>
            <w:webHidden/>
          </w:rPr>
          <w:fldChar w:fldCharType="end"/>
        </w:r>
      </w:hyperlink>
    </w:p>
    <w:p w14:paraId="0E8D2583" w14:textId="3FECB867"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7" w:history="1">
        <w:r w:rsidRPr="00E569D5">
          <w:rPr>
            <w:rStyle w:val="Hyperlink"/>
            <w:noProof/>
          </w:rPr>
          <w:t>Figure 24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Anxiety – anxiety severity</w:t>
        </w:r>
        <w:r>
          <w:rPr>
            <w:noProof/>
            <w:webHidden/>
          </w:rPr>
          <w:tab/>
        </w:r>
        <w:r>
          <w:rPr>
            <w:noProof/>
            <w:webHidden/>
          </w:rPr>
          <w:fldChar w:fldCharType="begin"/>
        </w:r>
        <w:r>
          <w:rPr>
            <w:noProof/>
            <w:webHidden/>
          </w:rPr>
          <w:instrText xml:space="preserve"> PAGEREF _Toc183520297 \h </w:instrText>
        </w:r>
        <w:r>
          <w:rPr>
            <w:noProof/>
            <w:webHidden/>
          </w:rPr>
        </w:r>
        <w:r>
          <w:rPr>
            <w:noProof/>
            <w:webHidden/>
          </w:rPr>
          <w:fldChar w:fldCharType="separate"/>
        </w:r>
        <w:r>
          <w:rPr>
            <w:noProof/>
            <w:webHidden/>
          </w:rPr>
          <w:t>52</w:t>
        </w:r>
        <w:r>
          <w:rPr>
            <w:noProof/>
            <w:webHidden/>
          </w:rPr>
          <w:fldChar w:fldCharType="end"/>
        </w:r>
      </w:hyperlink>
    </w:p>
    <w:p w14:paraId="57E4D5CD" w14:textId="1B454DA3"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8" w:history="1">
        <w:r w:rsidRPr="00E569D5">
          <w:rPr>
            <w:rStyle w:val="Hyperlink"/>
            <w:noProof/>
          </w:rPr>
          <w:t>Figure 25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Anxiety – depression severity</w:t>
        </w:r>
        <w:r>
          <w:rPr>
            <w:noProof/>
            <w:webHidden/>
          </w:rPr>
          <w:tab/>
        </w:r>
        <w:r>
          <w:rPr>
            <w:noProof/>
            <w:webHidden/>
          </w:rPr>
          <w:fldChar w:fldCharType="begin"/>
        </w:r>
        <w:r>
          <w:rPr>
            <w:noProof/>
            <w:webHidden/>
          </w:rPr>
          <w:instrText xml:space="preserve"> PAGEREF _Toc183520298 \h </w:instrText>
        </w:r>
        <w:r>
          <w:rPr>
            <w:noProof/>
            <w:webHidden/>
          </w:rPr>
        </w:r>
        <w:r>
          <w:rPr>
            <w:noProof/>
            <w:webHidden/>
          </w:rPr>
          <w:fldChar w:fldCharType="separate"/>
        </w:r>
        <w:r>
          <w:rPr>
            <w:noProof/>
            <w:webHidden/>
          </w:rPr>
          <w:t>52</w:t>
        </w:r>
        <w:r>
          <w:rPr>
            <w:noProof/>
            <w:webHidden/>
          </w:rPr>
          <w:fldChar w:fldCharType="end"/>
        </w:r>
      </w:hyperlink>
    </w:p>
    <w:p w14:paraId="00EAF0B2" w14:textId="5C7589EC"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299" w:history="1">
        <w:r w:rsidRPr="00E569D5">
          <w:rPr>
            <w:rStyle w:val="Hyperlink"/>
            <w:noProof/>
          </w:rPr>
          <w:t>Figure 26</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Anxiety – emotional functioning</w:t>
        </w:r>
        <w:r>
          <w:rPr>
            <w:noProof/>
            <w:webHidden/>
          </w:rPr>
          <w:tab/>
        </w:r>
        <w:r>
          <w:rPr>
            <w:noProof/>
            <w:webHidden/>
          </w:rPr>
          <w:fldChar w:fldCharType="begin"/>
        </w:r>
        <w:r>
          <w:rPr>
            <w:noProof/>
            <w:webHidden/>
          </w:rPr>
          <w:instrText xml:space="preserve"> PAGEREF _Toc183520299 \h </w:instrText>
        </w:r>
        <w:r>
          <w:rPr>
            <w:noProof/>
            <w:webHidden/>
          </w:rPr>
        </w:r>
        <w:r>
          <w:rPr>
            <w:noProof/>
            <w:webHidden/>
          </w:rPr>
          <w:fldChar w:fldCharType="separate"/>
        </w:r>
        <w:r>
          <w:rPr>
            <w:noProof/>
            <w:webHidden/>
          </w:rPr>
          <w:t>53</w:t>
        </w:r>
        <w:r>
          <w:rPr>
            <w:noProof/>
            <w:webHidden/>
          </w:rPr>
          <w:fldChar w:fldCharType="end"/>
        </w:r>
      </w:hyperlink>
    </w:p>
    <w:p w14:paraId="50207A43" w14:textId="07808EDD"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0" w:history="1">
        <w:r w:rsidRPr="00E569D5">
          <w:rPr>
            <w:rStyle w:val="Hyperlink"/>
            <w:noProof/>
          </w:rPr>
          <w:t>Figure 27</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judgements about each risk of bias item for each included study – Depression</w:t>
        </w:r>
        <w:r>
          <w:rPr>
            <w:noProof/>
            <w:webHidden/>
          </w:rPr>
          <w:tab/>
        </w:r>
        <w:r>
          <w:rPr>
            <w:noProof/>
            <w:webHidden/>
          </w:rPr>
          <w:fldChar w:fldCharType="begin"/>
        </w:r>
        <w:r>
          <w:rPr>
            <w:noProof/>
            <w:webHidden/>
          </w:rPr>
          <w:instrText xml:space="preserve"> PAGEREF _Toc183520300 \h </w:instrText>
        </w:r>
        <w:r>
          <w:rPr>
            <w:noProof/>
            <w:webHidden/>
          </w:rPr>
        </w:r>
        <w:r>
          <w:rPr>
            <w:noProof/>
            <w:webHidden/>
          </w:rPr>
          <w:fldChar w:fldCharType="separate"/>
        </w:r>
        <w:r>
          <w:rPr>
            <w:noProof/>
            <w:webHidden/>
          </w:rPr>
          <w:t>56</w:t>
        </w:r>
        <w:r>
          <w:rPr>
            <w:noProof/>
            <w:webHidden/>
          </w:rPr>
          <w:fldChar w:fldCharType="end"/>
        </w:r>
      </w:hyperlink>
    </w:p>
    <w:p w14:paraId="08FF2C85" w14:textId="4D4CEE0A"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1" w:history="1">
        <w:r w:rsidRPr="00E569D5">
          <w:rPr>
            <w:rStyle w:val="Hyperlink"/>
            <w:noProof/>
          </w:rPr>
          <w:t>Figure 28</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Depression – symptoms of depression</w:t>
        </w:r>
        <w:r>
          <w:rPr>
            <w:noProof/>
            <w:webHidden/>
          </w:rPr>
          <w:tab/>
        </w:r>
        <w:r>
          <w:rPr>
            <w:noProof/>
            <w:webHidden/>
          </w:rPr>
          <w:fldChar w:fldCharType="begin"/>
        </w:r>
        <w:r>
          <w:rPr>
            <w:noProof/>
            <w:webHidden/>
          </w:rPr>
          <w:instrText xml:space="preserve"> PAGEREF _Toc183520301 \h </w:instrText>
        </w:r>
        <w:r>
          <w:rPr>
            <w:noProof/>
            <w:webHidden/>
          </w:rPr>
        </w:r>
        <w:r>
          <w:rPr>
            <w:noProof/>
            <w:webHidden/>
          </w:rPr>
          <w:fldChar w:fldCharType="separate"/>
        </w:r>
        <w:r>
          <w:rPr>
            <w:noProof/>
            <w:webHidden/>
          </w:rPr>
          <w:t>60</w:t>
        </w:r>
        <w:r>
          <w:rPr>
            <w:noProof/>
            <w:webHidden/>
          </w:rPr>
          <w:fldChar w:fldCharType="end"/>
        </w:r>
      </w:hyperlink>
    </w:p>
    <w:p w14:paraId="405B9088" w14:textId="328A2D24"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2" w:history="1">
        <w:r w:rsidRPr="00E569D5">
          <w:rPr>
            <w:rStyle w:val="Hyperlink"/>
            <w:noProof/>
          </w:rPr>
          <w:t>Figure 29</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Depression – mental and physical functioning</w:t>
        </w:r>
        <w:r>
          <w:rPr>
            <w:noProof/>
            <w:webHidden/>
          </w:rPr>
          <w:tab/>
        </w:r>
        <w:r>
          <w:rPr>
            <w:noProof/>
            <w:webHidden/>
          </w:rPr>
          <w:fldChar w:fldCharType="begin"/>
        </w:r>
        <w:r>
          <w:rPr>
            <w:noProof/>
            <w:webHidden/>
          </w:rPr>
          <w:instrText xml:space="preserve"> PAGEREF _Toc183520302 \h </w:instrText>
        </w:r>
        <w:r>
          <w:rPr>
            <w:noProof/>
            <w:webHidden/>
          </w:rPr>
        </w:r>
        <w:r>
          <w:rPr>
            <w:noProof/>
            <w:webHidden/>
          </w:rPr>
          <w:fldChar w:fldCharType="separate"/>
        </w:r>
        <w:r>
          <w:rPr>
            <w:noProof/>
            <w:webHidden/>
          </w:rPr>
          <w:t>60</w:t>
        </w:r>
        <w:r>
          <w:rPr>
            <w:noProof/>
            <w:webHidden/>
          </w:rPr>
          <w:fldChar w:fldCharType="end"/>
        </w:r>
      </w:hyperlink>
    </w:p>
    <w:p w14:paraId="13C47D50" w14:textId="0F55F8AA"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3" w:history="1">
        <w:r w:rsidRPr="00E569D5">
          <w:rPr>
            <w:rStyle w:val="Hyperlink"/>
            <w:noProof/>
          </w:rPr>
          <w:t>Figure 30</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Depression – symptoms of depression</w:t>
        </w:r>
        <w:r>
          <w:rPr>
            <w:noProof/>
            <w:webHidden/>
          </w:rPr>
          <w:tab/>
        </w:r>
        <w:r>
          <w:rPr>
            <w:noProof/>
            <w:webHidden/>
          </w:rPr>
          <w:fldChar w:fldCharType="begin"/>
        </w:r>
        <w:r>
          <w:rPr>
            <w:noProof/>
            <w:webHidden/>
          </w:rPr>
          <w:instrText xml:space="preserve"> PAGEREF _Toc183520303 \h </w:instrText>
        </w:r>
        <w:r>
          <w:rPr>
            <w:noProof/>
            <w:webHidden/>
          </w:rPr>
        </w:r>
        <w:r>
          <w:rPr>
            <w:noProof/>
            <w:webHidden/>
          </w:rPr>
          <w:fldChar w:fldCharType="separate"/>
        </w:r>
        <w:r>
          <w:rPr>
            <w:noProof/>
            <w:webHidden/>
          </w:rPr>
          <w:t>61</w:t>
        </w:r>
        <w:r>
          <w:rPr>
            <w:noProof/>
            <w:webHidden/>
          </w:rPr>
          <w:fldChar w:fldCharType="end"/>
        </w:r>
      </w:hyperlink>
    </w:p>
    <w:p w14:paraId="7408199C" w14:textId="281FE26C"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4" w:history="1">
        <w:r w:rsidRPr="00E569D5">
          <w:rPr>
            <w:rStyle w:val="Hyperlink"/>
            <w:noProof/>
          </w:rPr>
          <w:t>Figure 31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Neurodevelopmental disorders</w:t>
        </w:r>
        <w:r>
          <w:rPr>
            <w:noProof/>
            <w:webHidden/>
          </w:rPr>
          <w:tab/>
        </w:r>
        <w:r>
          <w:rPr>
            <w:noProof/>
            <w:webHidden/>
          </w:rPr>
          <w:fldChar w:fldCharType="begin"/>
        </w:r>
        <w:r>
          <w:rPr>
            <w:noProof/>
            <w:webHidden/>
          </w:rPr>
          <w:instrText xml:space="preserve"> PAGEREF _Toc183520304 \h </w:instrText>
        </w:r>
        <w:r>
          <w:rPr>
            <w:noProof/>
            <w:webHidden/>
          </w:rPr>
        </w:r>
        <w:r>
          <w:rPr>
            <w:noProof/>
            <w:webHidden/>
          </w:rPr>
          <w:fldChar w:fldCharType="separate"/>
        </w:r>
        <w:r>
          <w:rPr>
            <w:noProof/>
            <w:webHidden/>
          </w:rPr>
          <w:t>64</w:t>
        </w:r>
        <w:r>
          <w:rPr>
            <w:noProof/>
            <w:webHidden/>
          </w:rPr>
          <w:fldChar w:fldCharType="end"/>
        </w:r>
      </w:hyperlink>
    </w:p>
    <w:p w14:paraId="75CB74AC" w14:textId="0F74135E"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5" w:history="1">
        <w:r w:rsidRPr="00E569D5">
          <w:rPr>
            <w:rStyle w:val="Hyperlink"/>
            <w:noProof/>
          </w:rPr>
          <w:t>Figure 32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ADHD – ADHD symptoms (Global)</w:t>
        </w:r>
        <w:r>
          <w:rPr>
            <w:noProof/>
            <w:webHidden/>
          </w:rPr>
          <w:tab/>
        </w:r>
        <w:r>
          <w:rPr>
            <w:noProof/>
            <w:webHidden/>
          </w:rPr>
          <w:fldChar w:fldCharType="begin"/>
        </w:r>
        <w:r>
          <w:rPr>
            <w:noProof/>
            <w:webHidden/>
          </w:rPr>
          <w:instrText xml:space="preserve"> PAGEREF _Toc183520305 \h </w:instrText>
        </w:r>
        <w:r>
          <w:rPr>
            <w:noProof/>
            <w:webHidden/>
          </w:rPr>
        </w:r>
        <w:r>
          <w:rPr>
            <w:noProof/>
            <w:webHidden/>
          </w:rPr>
          <w:fldChar w:fldCharType="separate"/>
        </w:r>
        <w:r>
          <w:rPr>
            <w:noProof/>
            <w:webHidden/>
          </w:rPr>
          <w:t>69</w:t>
        </w:r>
        <w:r>
          <w:rPr>
            <w:noProof/>
            <w:webHidden/>
          </w:rPr>
          <w:fldChar w:fldCharType="end"/>
        </w:r>
      </w:hyperlink>
    </w:p>
    <w:p w14:paraId="1947E632" w14:textId="419A6D46"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6" w:history="1">
        <w:r w:rsidRPr="00E569D5">
          <w:rPr>
            <w:rStyle w:val="Hyperlink"/>
            <w:noProof/>
          </w:rPr>
          <w:t>Figure 33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ADHD – ADHD symptoms (subscales)</w:t>
        </w:r>
        <w:r>
          <w:rPr>
            <w:noProof/>
            <w:webHidden/>
          </w:rPr>
          <w:tab/>
        </w:r>
        <w:r>
          <w:rPr>
            <w:noProof/>
            <w:webHidden/>
          </w:rPr>
          <w:fldChar w:fldCharType="begin"/>
        </w:r>
        <w:r>
          <w:rPr>
            <w:noProof/>
            <w:webHidden/>
          </w:rPr>
          <w:instrText xml:space="preserve"> PAGEREF _Toc183520306 \h </w:instrText>
        </w:r>
        <w:r>
          <w:rPr>
            <w:noProof/>
            <w:webHidden/>
          </w:rPr>
        </w:r>
        <w:r>
          <w:rPr>
            <w:noProof/>
            <w:webHidden/>
          </w:rPr>
          <w:fldChar w:fldCharType="separate"/>
        </w:r>
        <w:r>
          <w:rPr>
            <w:noProof/>
            <w:webHidden/>
          </w:rPr>
          <w:t>70</w:t>
        </w:r>
        <w:r>
          <w:rPr>
            <w:noProof/>
            <w:webHidden/>
          </w:rPr>
          <w:fldChar w:fldCharType="end"/>
        </w:r>
      </w:hyperlink>
    </w:p>
    <w:p w14:paraId="7656BB71" w14:textId="2808BDAC"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7" w:history="1">
        <w:r w:rsidRPr="00E569D5">
          <w:rPr>
            <w:rStyle w:val="Hyperlink"/>
            <w:noProof/>
          </w:rPr>
          <w:t>Figure 34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ADHD – ADHD symptoms</w:t>
        </w:r>
        <w:r>
          <w:rPr>
            <w:noProof/>
            <w:webHidden/>
          </w:rPr>
          <w:tab/>
        </w:r>
        <w:r>
          <w:rPr>
            <w:noProof/>
            <w:webHidden/>
          </w:rPr>
          <w:fldChar w:fldCharType="begin"/>
        </w:r>
        <w:r>
          <w:rPr>
            <w:noProof/>
            <w:webHidden/>
          </w:rPr>
          <w:instrText xml:space="preserve"> PAGEREF _Toc183520307 \h </w:instrText>
        </w:r>
        <w:r>
          <w:rPr>
            <w:noProof/>
            <w:webHidden/>
          </w:rPr>
        </w:r>
        <w:r>
          <w:rPr>
            <w:noProof/>
            <w:webHidden/>
          </w:rPr>
          <w:fldChar w:fldCharType="separate"/>
        </w:r>
        <w:r>
          <w:rPr>
            <w:noProof/>
            <w:webHidden/>
          </w:rPr>
          <w:t>71</w:t>
        </w:r>
        <w:r>
          <w:rPr>
            <w:noProof/>
            <w:webHidden/>
          </w:rPr>
          <w:fldChar w:fldCharType="end"/>
        </w:r>
      </w:hyperlink>
    </w:p>
    <w:p w14:paraId="7861CF7D" w14:textId="0A721132"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8" w:history="1">
        <w:r w:rsidRPr="00E569D5">
          <w:rPr>
            <w:rStyle w:val="Hyperlink"/>
            <w:noProof/>
          </w:rPr>
          <w:t>Figure 35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ADHD – health-related quality of life</w:t>
        </w:r>
        <w:r>
          <w:rPr>
            <w:noProof/>
            <w:webHidden/>
          </w:rPr>
          <w:tab/>
        </w:r>
        <w:r>
          <w:rPr>
            <w:noProof/>
            <w:webHidden/>
          </w:rPr>
          <w:fldChar w:fldCharType="begin"/>
        </w:r>
        <w:r>
          <w:rPr>
            <w:noProof/>
            <w:webHidden/>
          </w:rPr>
          <w:instrText xml:space="preserve"> PAGEREF _Toc183520308 \h </w:instrText>
        </w:r>
        <w:r>
          <w:rPr>
            <w:noProof/>
            <w:webHidden/>
          </w:rPr>
        </w:r>
        <w:r>
          <w:rPr>
            <w:noProof/>
            <w:webHidden/>
          </w:rPr>
          <w:fldChar w:fldCharType="separate"/>
        </w:r>
        <w:r>
          <w:rPr>
            <w:noProof/>
            <w:webHidden/>
          </w:rPr>
          <w:t>71</w:t>
        </w:r>
        <w:r>
          <w:rPr>
            <w:noProof/>
            <w:webHidden/>
          </w:rPr>
          <w:fldChar w:fldCharType="end"/>
        </w:r>
      </w:hyperlink>
    </w:p>
    <w:p w14:paraId="5B61EEE9" w14:textId="26D469D1"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09" w:history="1">
        <w:r w:rsidRPr="00E569D5">
          <w:rPr>
            <w:rStyle w:val="Hyperlink"/>
            <w:noProof/>
          </w:rPr>
          <w:t xml:space="preserve">Figure 36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Insomnia and sleep problems</w:t>
        </w:r>
        <w:r>
          <w:rPr>
            <w:noProof/>
            <w:webHidden/>
          </w:rPr>
          <w:tab/>
        </w:r>
        <w:r>
          <w:rPr>
            <w:noProof/>
            <w:webHidden/>
          </w:rPr>
          <w:fldChar w:fldCharType="begin"/>
        </w:r>
        <w:r>
          <w:rPr>
            <w:noProof/>
            <w:webHidden/>
          </w:rPr>
          <w:instrText xml:space="preserve"> PAGEREF _Toc183520309 \h </w:instrText>
        </w:r>
        <w:r>
          <w:rPr>
            <w:noProof/>
            <w:webHidden/>
          </w:rPr>
        </w:r>
        <w:r>
          <w:rPr>
            <w:noProof/>
            <w:webHidden/>
          </w:rPr>
          <w:fldChar w:fldCharType="separate"/>
        </w:r>
        <w:r>
          <w:rPr>
            <w:noProof/>
            <w:webHidden/>
          </w:rPr>
          <w:t>73</w:t>
        </w:r>
        <w:r>
          <w:rPr>
            <w:noProof/>
            <w:webHidden/>
          </w:rPr>
          <w:fldChar w:fldCharType="end"/>
        </w:r>
      </w:hyperlink>
    </w:p>
    <w:p w14:paraId="57174E43" w14:textId="12E92890"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0" w:history="1">
        <w:r w:rsidRPr="00E569D5">
          <w:rPr>
            <w:rStyle w:val="Hyperlink"/>
            <w:noProof/>
          </w:rPr>
          <w:t>Figure 37</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Insomnia – Insomnia severity</w:t>
        </w:r>
        <w:r>
          <w:rPr>
            <w:noProof/>
            <w:webHidden/>
          </w:rPr>
          <w:tab/>
        </w:r>
        <w:r>
          <w:rPr>
            <w:noProof/>
            <w:webHidden/>
          </w:rPr>
          <w:fldChar w:fldCharType="begin"/>
        </w:r>
        <w:r>
          <w:rPr>
            <w:noProof/>
            <w:webHidden/>
          </w:rPr>
          <w:instrText xml:space="preserve"> PAGEREF _Toc183520310 \h </w:instrText>
        </w:r>
        <w:r>
          <w:rPr>
            <w:noProof/>
            <w:webHidden/>
          </w:rPr>
        </w:r>
        <w:r>
          <w:rPr>
            <w:noProof/>
            <w:webHidden/>
          </w:rPr>
          <w:fldChar w:fldCharType="separate"/>
        </w:r>
        <w:r>
          <w:rPr>
            <w:noProof/>
            <w:webHidden/>
          </w:rPr>
          <w:t>76</w:t>
        </w:r>
        <w:r>
          <w:rPr>
            <w:noProof/>
            <w:webHidden/>
          </w:rPr>
          <w:fldChar w:fldCharType="end"/>
        </w:r>
      </w:hyperlink>
    </w:p>
    <w:p w14:paraId="34225694" w14:textId="4122147D"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1" w:history="1">
        <w:r w:rsidRPr="00E569D5">
          <w:rPr>
            <w:rStyle w:val="Hyperlink"/>
            <w:noProof/>
          </w:rPr>
          <w:t>Figure 38</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Insomnia – Sleep duration</w:t>
        </w:r>
        <w:r>
          <w:rPr>
            <w:noProof/>
            <w:webHidden/>
          </w:rPr>
          <w:tab/>
        </w:r>
        <w:r>
          <w:rPr>
            <w:noProof/>
            <w:webHidden/>
          </w:rPr>
          <w:fldChar w:fldCharType="begin"/>
        </w:r>
        <w:r>
          <w:rPr>
            <w:noProof/>
            <w:webHidden/>
          </w:rPr>
          <w:instrText xml:space="preserve"> PAGEREF _Toc183520311 \h </w:instrText>
        </w:r>
        <w:r>
          <w:rPr>
            <w:noProof/>
            <w:webHidden/>
          </w:rPr>
        </w:r>
        <w:r>
          <w:rPr>
            <w:noProof/>
            <w:webHidden/>
          </w:rPr>
          <w:fldChar w:fldCharType="separate"/>
        </w:r>
        <w:r>
          <w:rPr>
            <w:noProof/>
            <w:webHidden/>
          </w:rPr>
          <w:t>76</w:t>
        </w:r>
        <w:r>
          <w:rPr>
            <w:noProof/>
            <w:webHidden/>
          </w:rPr>
          <w:fldChar w:fldCharType="end"/>
        </w:r>
      </w:hyperlink>
    </w:p>
    <w:p w14:paraId="2460375F" w14:textId="41694B29"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2" w:history="1">
        <w:r w:rsidRPr="00E569D5">
          <w:rPr>
            <w:rStyle w:val="Hyperlink"/>
            <w:noProof/>
          </w:rPr>
          <w:t>Figure 39</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Insomnia – Sleep latency</w:t>
        </w:r>
        <w:r>
          <w:rPr>
            <w:noProof/>
            <w:webHidden/>
          </w:rPr>
          <w:tab/>
        </w:r>
        <w:r>
          <w:rPr>
            <w:noProof/>
            <w:webHidden/>
          </w:rPr>
          <w:fldChar w:fldCharType="begin"/>
        </w:r>
        <w:r>
          <w:rPr>
            <w:noProof/>
            <w:webHidden/>
          </w:rPr>
          <w:instrText xml:space="preserve"> PAGEREF _Toc183520312 \h </w:instrText>
        </w:r>
        <w:r>
          <w:rPr>
            <w:noProof/>
            <w:webHidden/>
          </w:rPr>
        </w:r>
        <w:r>
          <w:rPr>
            <w:noProof/>
            <w:webHidden/>
          </w:rPr>
          <w:fldChar w:fldCharType="separate"/>
        </w:r>
        <w:r>
          <w:rPr>
            <w:noProof/>
            <w:webHidden/>
          </w:rPr>
          <w:t>77</w:t>
        </w:r>
        <w:r>
          <w:rPr>
            <w:noProof/>
            <w:webHidden/>
          </w:rPr>
          <w:fldChar w:fldCharType="end"/>
        </w:r>
      </w:hyperlink>
    </w:p>
    <w:p w14:paraId="1A38F58E" w14:textId="7E0983A7"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3" w:history="1">
        <w:r w:rsidRPr="00E569D5">
          <w:rPr>
            <w:rStyle w:val="Hyperlink"/>
            <w:noProof/>
          </w:rPr>
          <w:t>Figure 40</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Headache disorders</w:t>
        </w:r>
        <w:r>
          <w:rPr>
            <w:noProof/>
            <w:webHidden/>
          </w:rPr>
          <w:tab/>
        </w:r>
        <w:r>
          <w:rPr>
            <w:noProof/>
            <w:webHidden/>
          </w:rPr>
          <w:fldChar w:fldCharType="begin"/>
        </w:r>
        <w:r>
          <w:rPr>
            <w:noProof/>
            <w:webHidden/>
          </w:rPr>
          <w:instrText xml:space="preserve"> PAGEREF _Toc183520313 \h </w:instrText>
        </w:r>
        <w:r>
          <w:rPr>
            <w:noProof/>
            <w:webHidden/>
          </w:rPr>
        </w:r>
        <w:r>
          <w:rPr>
            <w:noProof/>
            <w:webHidden/>
          </w:rPr>
          <w:fldChar w:fldCharType="separate"/>
        </w:r>
        <w:r>
          <w:rPr>
            <w:noProof/>
            <w:webHidden/>
          </w:rPr>
          <w:t>79</w:t>
        </w:r>
        <w:r>
          <w:rPr>
            <w:noProof/>
            <w:webHidden/>
          </w:rPr>
          <w:fldChar w:fldCharType="end"/>
        </w:r>
      </w:hyperlink>
    </w:p>
    <w:p w14:paraId="16310B5A" w14:textId="7CA7514C"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4" w:history="1">
        <w:r w:rsidRPr="00E569D5">
          <w:rPr>
            <w:rStyle w:val="Hyperlink"/>
            <w:noProof/>
          </w:rPr>
          <w:t>Figure 41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Headache disorders – headache frequency</w:t>
        </w:r>
        <w:r>
          <w:rPr>
            <w:noProof/>
            <w:webHidden/>
          </w:rPr>
          <w:tab/>
        </w:r>
        <w:r>
          <w:rPr>
            <w:noProof/>
            <w:webHidden/>
          </w:rPr>
          <w:fldChar w:fldCharType="begin"/>
        </w:r>
        <w:r>
          <w:rPr>
            <w:noProof/>
            <w:webHidden/>
          </w:rPr>
          <w:instrText xml:space="preserve"> PAGEREF _Toc183520314 \h </w:instrText>
        </w:r>
        <w:r>
          <w:rPr>
            <w:noProof/>
            <w:webHidden/>
          </w:rPr>
        </w:r>
        <w:r>
          <w:rPr>
            <w:noProof/>
            <w:webHidden/>
          </w:rPr>
          <w:fldChar w:fldCharType="separate"/>
        </w:r>
        <w:r>
          <w:rPr>
            <w:noProof/>
            <w:webHidden/>
          </w:rPr>
          <w:t>82</w:t>
        </w:r>
        <w:r>
          <w:rPr>
            <w:noProof/>
            <w:webHidden/>
          </w:rPr>
          <w:fldChar w:fldCharType="end"/>
        </w:r>
      </w:hyperlink>
    </w:p>
    <w:p w14:paraId="728D2919" w14:textId="430E25A4"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5" w:history="1">
        <w:r w:rsidRPr="00E569D5">
          <w:rPr>
            <w:rStyle w:val="Hyperlink"/>
            <w:noProof/>
          </w:rPr>
          <w:t>Figure 42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Headache disorders – headache severity</w:t>
        </w:r>
        <w:r>
          <w:rPr>
            <w:noProof/>
            <w:webHidden/>
          </w:rPr>
          <w:tab/>
        </w:r>
        <w:r>
          <w:rPr>
            <w:noProof/>
            <w:webHidden/>
          </w:rPr>
          <w:fldChar w:fldCharType="begin"/>
        </w:r>
        <w:r>
          <w:rPr>
            <w:noProof/>
            <w:webHidden/>
          </w:rPr>
          <w:instrText xml:space="preserve"> PAGEREF _Toc183520315 \h </w:instrText>
        </w:r>
        <w:r>
          <w:rPr>
            <w:noProof/>
            <w:webHidden/>
          </w:rPr>
        </w:r>
        <w:r>
          <w:rPr>
            <w:noProof/>
            <w:webHidden/>
          </w:rPr>
          <w:fldChar w:fldCharType="separate"/>
        </w:r>
        <w:r>
          <w:rPr>
            <w:noProof/>
            <w:webHidden/>
          </w:rPr>
          <w:t>82</w:t>
        </w:r>
        <w:r>
          <w:rPr>
            <w:noProof/>
            <w:webHidden/>
          </w:rPr>
          <w:fldChar w:fldCharType="end"/>
        </w:r>
      </w:hyperlink>
    </w:p>
    <w:p w14:paraId="2C6EA722" w14:textId="0FEBB4D5"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6" w:history="1">
        <w:r w:rsidRPr="00E569D5">
          <w:rPr>
            <w:rStyle w:val="Hyperlink"/>
            <w:noProof/>
          </w:rPr>
          <w:t>Figure 43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Headache disorders – Pain intensity</w:t>
        </w:r>
        <w:r>
          <w:rPr>
            <w:noProof/>
            <w:webHidden/>
          </w:rPr>
          <w:tab/>
        </w:r>
        <w:r>
          <w:rPr>
            <w:noProof/>
            <w:webHidden/>
          </w:rPr>
          <w:fldChar w:fldCharType="begin"/>
        </w:r>
        <w:r>
          <w:rPr>
            <w:noProof/>
            <w:webHidden/>
          </w:rPr>
          <w:instrText xml:space="preserve"> PAGEREF _Toc183520316 \h </w:instrText>
        </w:r>
        <w:r>
          <w:rPr>
            <w:noProof/>
            <w:webHidden/>
          </w:rPr>
        </w:r>
        <w:r>
          <w:rPr>
            <w:noProof/>
            <w:webHidden/>
          </w:rPr>
          <w:fldChar w:fldCharType="separate"/>
        </w:r>
        <w:r>
          <w:rPr>
            <w:noProof/>
            <w:webHidden/>
          </w:rPr>
          <w:t>83</w:t>
        </w:r>
        <w:r>
          <w:rPr>
            <w:noProof/>
            <w:webHidden/>
          </w:rPr>
          <w:fldChar w:fldCharType="end"/>
        </w:r>
      </w:hyperlink>
    </w:p>
    <w:p w14:paraId="2C0E915A" w14:textId="66D93777"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7" w:history="1">
        <w:r w:rsidRPr="00E569D5">
          <w:rPr>
            <w:rStyle w:val="Hyperlink"/>
            <w:noProof/>
          </w:rPr>
          <w:t>Figure 44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Headache disorders – headache duration</w:t>
        </w:r>
        <w:r>
          <w:rPr>
            <w:noProof/>
            <w:webHidden/>
          </w:rPr>
          <w:tab/>
        </w:r>
        <w:r>
          <w:rPr>
            <w:noProof/>
            <w:webHidden/>
          </w:rPr>
          <w:fldChar w:fldCharType="begin"/>
        </w:r>
        <w:r>
          <w:rPr>
            <w:noProof/>
            <w:webHidden/>
          </w:rPr>
          <w:instrText xml:space="preserve"> PAGEREF _Toc183520317 \h </w:instrText>
        </w:r>
        <w:r>
          <w:rPr>
            <w:noProof/>
            <w:webHidden/>
          </w:rPr>
        </w:r>
        <w:r>
          <w:rPr>
            <w:noProof/>
            <w:webHidden/>
          </w:rPr>
          <w:fldChar w:fldCharType="separate"/>
        </w:r>
        <w:r>
          <w:rPr>
            <w:noProof/>
            <w:webHidden/>
          </w:rPr>
          <w:t>83</w:t>
        </w:r>
        <w:r>
          <w:rPr>
            <w:noProof/>
            <w:webHidden/>
          </w:rPr>
          <w:fldChar w:fldCharType="end"/>
        </w:r>
      </w:hyperlink>
    </w:p>
    <w:p w14:paraId="45EB06E8" w14:textId="4422C9F6"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8" w:history="1">
        <w:r w:rsidRPr="00E569D5">
          <w:rPr>
            <w:rStyle w:val="Hyperlink"/>
            <w:noProof/>
          </w:rPr>
          <w:t>Figure 45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Headache disorders – medication use</w:t>
        </w:r>
        <w:r>
          <w:rPr>
            <w:noProof/>
            <w:webHidden/>
          </w:rPr>
          <w:tab/>
        </w:r>
        <w:r>
          <w:rPr>
            <w:noProof/>
            <w:webHidden/>
          </w:rPr>
          <w:fldChar w:fldCharType="begin"/>
        </w:r>
        <w:r>
          <w:rPr>
            <w:noProof/>
            <w:webHidden/>
          </w:rPr>
          <w:instrText xml:space="preserve"> PAGEREF _Toc183520318 \h </w:instrText>
        </w:r>
        <w:r>
          <w:rPr>
            <w:noProof/>
            <w:webHidden/>
          </w:rPr>
        </w:r>
        <w:r>
          <w:rPr>
            <w:noProof/>
            <w:webHidden/>
          </w:rPr>
          <w:fldChar w:fldCharType="separate"/>
        </w:r>
        <w:r>
          <w:rPr>
            <w:noProof/>
            <w:webHidden/>
          </w:rPr>
          <w:t>84</w:t>
        </w:r>
        <w:r>
          <w:rPr>
            <w:noProof/>
            <w:webHidden/>
          </w:rPr>
          <w:fldChar w:fldCharType="end"/>
        </w:r>
      </w:hyperlink>
    </w:p>
    <w:p w14:paraId="6474CA9F" w14:textId="310B4D20"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19" w:history="1">
        <w:r w:rsidRPr="00E569D5">
          <w:rPr>
            <w:rStyle w:val="Hyperlink"/>
            <w:noProof/>
          </w:rPr>
          <w:t>Figure 46</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Asthma</w:t>
        </w:r>
        <w:r>
          <w:rPr>
            <w:noProof/>
            <w:webHidden/>
          </w:rPr>
          <w:tab/>
        </w:r>
        <w:r>
          <w:rPr>
            <w:noProof/>
            <w:webHidden/>
          </w:rPr>
          <w:fldChar w:fldCharType="begin"/>
        </w:r>
        <w:r>
          <w:rPr>
            <w:noProof/>
            <w:webHidden/>
          </w:rPr>
          <w:instrText xml:space="preserve"> PAGEREF _Toc183520319 \h </w:instrText>
        </w:r>
        <w:r>
          <w:rPr>
            <w:noProof/>
            <w:webHidden/>
          </w:rPr>
        </w:r>
        <w:r>
          <w:rPr>
            <w:noProof/>
            <w:webHidden/>
          </w:rPr>
          <w:fldChar w:fldCharType="separate"/>
        </w:r>
        <w:r>
          <w:rPr>
            <w:noProof/>
            <w:webHidden/>
          </w:rPr>
          <w:t>86</w:t>
        </w:r>
        <w:r>
          <w:rPr>
            <w:noProof/>
            <w:webHidden/>
          </w:rPr>
          <w:fldChar w:fldCharType="end"/>
        </w:r>
      </w:hyperlink>
    </w:p>
    <w:p w14:paraId="6F8E1584" w14:textId="70B1A59E"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0" w:history="1">
        <w:r w:rsidRPr="00E569D5">
          <w:rPr>
            <w:rStyle w:val="Hyperlink"/>
            <w:noProof/>
          </w:rPr>
          <w:t>Figure 47</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Asthma – asthma symptoms</w:t>
        </w:r>
        <w:r>
          <w:rPr>
            <w:noProof/>
            <w:webHidden/>
          </w:rPr>
          <w:tab/>
        </w:r>
        <w:r>
          <w:rPr>
            <w:noProof/>
            <w:webHidden/>
          </w:rPr>
          <w:fldChar w:fldCharType="begin"/>
        </w:r>
        <w:r>
          <w:rPr>
            <w:noProof/>
            <w:webHidden/>
          </w:rPr>
          <w:instrText xml:space="preserve"> PAGEREF _Toc183520320 \h </w:instrText>
        </w:r>
        <w:r>
          <w:rPr>
            <w:noProof/>
            <w:webHidden/>
          </w:rPr>
        </w:r>
        <w:r>
          <w:rPr>
            <w:noProof/>
            <w:webHidden/>
          </w:rPr>
          <w:fldChar w:fldCharType="separate"/>
        </w:r>
        <w:r>
          <w:rPr>
            <w:noProof/>
            <w:webHidden/>
          </w:rPr>
          <w:t>91</w:t>
        </w:r>
        <w:r>
          <w:rPr>
            <w:noProof/>
            <w:webHidden/>
          </w:rPr>
          <w:fldChar w:fldCharType="end"/>
        </w:r>
      </w:hyperlink>
    </w:p>
    <w:p w14:paraId="38DC6E67" w14:textId="4367C341"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1" w:history="1">
        <w:r w:rsidRPr="00E569D5">
          <w:rPr>
            <w:rStyle w:val="Hyperlink"/>
            <w:noProof/>
          </w:rPr>
          <w:t>Figure 48</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Asthma – pulmonary function (FEV</w:t>
        </w:r>
        <w:r w:rsidRPr="00E569D5">
          <w:rPr>
            <w:rStyle w:val="Hyperlink"/>
            <w:noProof/>
            <w:vertAlign w:val="subscript"/>
          </w:rPr>
          <w:t>1</w:t>
        </w:r>
        <w:r w:rsidRPr="00E569D5">
          <w:rPr>
            <w:rStyle w:val="Hyperlink"/>
            <w:noProof/>
          </w:rPr>
          <w:t>)</w:t>
        </w:r>
        <w:r>
          <w:rPr>
            <w:noProof/>
            <w:webHidden/>
          </w:rPr>
          <w:tab/>
        </w:r>
        <w:r>
          <w:rPr>
            <w:noProof/>
            <w:webHidden/>
          </w:rPr>
          <w:fldChar w:fldCharType="begin"/>
        </w:r>
        <w:r>
          <w:rPr>
            <w:noProof/>
            <w:webHidden/>
          </w:rPr>
          <w:instrText xml:space="preserve"> PAGEREF _Toc183520321 \h </w:instrText>
        </w:r>
        <w:r>
          <w:rPr>
            <w:noProof/>
            <w:webHidden/>
          </w:rPr>
        </w:r>
        <w:r>
          <w:rPr>
            <w:noProof/>
            <w:webHidden/>
          </w:rPr>
          <w:fldChar w:fldCharType="separate"/>
        </w:r>
        <w:r>
          <w:rPr>
            <w:noProof/>
            <w:webHidden/>
          </w:rPr>
          <w:t>92</w:t>
        </w:r>
        <w:r>
          <w:rPr>
            <w:noProof/>
            <w:webHidden/>
          </w:rPr>
          <w:fldChar w:fldCharType="end"/>
        </w:r>
      </w:hyperlink>
    </w:p>
    <w:p w14:paraId="7B842C39" w14:textId="4575D99E"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2" w:history="1">
        <w:r w:rsidRPr="00E569D5">
          <w:rPr>
            <w:rStyle w:val="Hyperlink"/>
            <w:noProof/>
          </w:rPr>
          <w:t>Figure 49</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Asthma – pulmonary function (PEFR)</w:t>
        </w:r>
        <w:r>
          <w:rPr>
            <w:noProof/>
            <w:webHidden/>
          </w:rPr>
          <w:tab/>
        </w:r>
        <w:r>
          <w:rPr>
            <w:noProof/>
            <w:webHidden/>
          </w:rPr>
          <w:fldChar w:fldCharType="begin"/>
        </w:r>
        <w:r>
          <w:rPr>
            <w:noProof/>
            <w:webHidden/>
          </w:rPr>
          <w:instrText xml:space="preserve"> PAGEREF _Toc183520322 \h </w:instrText>
        </w:r>
        <w:r>
          <w:rPr>
            <w:noProof/>
            <w:webHidden/>
          </w:rPr>
        </w:r>
        <w:r>
          <w:rPr>
            <w:noProof/>
            <w:webHidden/>
          </w:rPr>
          <w:fldChar w:fldCharType="separate"/>
        </w:r>
        <w:r>
          <w:rPr>
            <w:noProof/>
            <w:webHidden/>
          </w:rPr>
          <w:t>92</w:t>
        </w:r>
        <w:r>
          <w:rPr>
            <w:noProof/>
            <w:webHidden/>
          </w:rPr>
          <w:fldChar w:fldCharType="end"/>
        </w:r>
      </w:hyperlink>
    </w:p>
    <w:p w14:paraId="18A17980" w14:textId="3A3602FE"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3" w:history="1">
        <w:r w:rsidRPr="00E569D5">
          <w:rPr>
            <w:rStyle w:val="Hyperlink"/>
            <w:noProof/>
          </w:rPr>
          <w:t>Figure 50</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Asthma – quality of life</w:t>
        </w:r>
        <w:r>
          <w:rPr>
            <w:noProof/>
            <w:webHidden/>
          </w:rPr>
          <w:tab/>
        </w:r>
        <w:r>
          <w:rPr>
            <w:noProof/>
            <w:webHidden/>
          </w:rPr>
          <w:fldChar w:fldCharType="begin"/>
        </w:r>
        <w:r>
          <w:rPr>
            <w:noProof/>
            <w:webHidden/>
          </w:rPr>
          <w:instrText xml:space="preserve"> PAGEREF _Toc183520323 \h </w:instrText>
        </w:r>
        <w:r>
          <w:rPr>
            <w:noProof/>
            <w:webHidden/>
          </w:rPr>
        </w:r>
        <w:r>
          <w:rPr>
            <w:noProof/>
            <w:webHidden/>
          </w:rPr>
          <w:fldChar w:fldCharType="separate"/>
        </w:r>
        <w:r>
          <w:rPr>
            <w:noProof/>
            <w:webHidden/>
          </w:rPr>
          <w:t>93</w:t>
        </w:r>
        <w:r>
          <w:rPr>
            <w:noProof/>
            <w:webHidden/>
          </w:rPr>
          <w:fldChar w:fldCharType="end"/>
        </w:r>
      </w:hyperlink>
    </w:p>
    <w:p w14:paraId="05BEE178" w14:textId="144F11C7"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4" w:history="1">
        <w:r w:rsidRPr="00E569D5">
          <w:rPr>
            <w:rStyle w:val="Hyperlink"/>
            <w:noProof/>
          </w:rPr>
          <w:t>Figure 51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Asthma – medication use</w:t>
        </w:r>
        <w:r>
          <w:rPr>
            <w:noProof/>
            <w:webHidden/>
          </w:rPr>
          <w:tab/>
        </w:r>
        <w:r>
          <w:rPr>
            <w:noProof/>
            <w:webHidden/>
          </w:rPr>
          <w:fldChar w:fldCharType="begin"/>
        </w:r>
        <w:r>
          <w:rPr>
            <w:noProof/>
            <w:webHidden/>
          </w:rPr>
          <w:instrText xml:space="preserve"> PAGEREF _Toc183520324 \h </w:instrText>
        </w:r>
        <w:r>
          <w:rPr>
            <w:noProof/>
            <w:webHidden/>
          </w:rPr>
        </w:r>
        <w:r>
          <w:rPr>
            <w:noProof/>
            <w:webHidden/>
          </w:rPr>
          <w:fldChar w:fldCharType="separate"/>
        </w:r>
        <w:r>
          <w:rPr>
            <w:noProof/>
            <w:webHidden/>
          </w:rPr>
          <w:t>93</w:t>
        </w:r>
        <w:r>
          <w:rPr>
            <w:noProof/>
            <w:webHidden/>
          </w:rPr>
          <w:fldChar w:fldCharType="end"/>
        </w:r>
      </w:hyperlink>
    </w:p>
    <w:p w14:paraId="06DC7464" w14:textId="7D5BBB20"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5" w:history="1">
        <w:r w:rsidRPr="00E569D5">
          <w:rPr>
            <w:rStyle w:val="Hyperlink"/>
            <w:noProof/>
          </w:rPr>
          <w:t>Figure 52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Asthma – asthma symptoms</w:t>
        </w:r>
        <w:r>
          <w:rPr>
            <w:noProof/>
            <w:webHidden/>
          </w:rPr>
          <w:tab/>
        </w:r>
        <w:r>
          <w:rPr>
            <w:noProof/>
            <w:webHidden/>
          </w:rPr>
          <w:fldChar w:fldCharType="begin"/>
        </w:r>
        <w:r>
          <w:rPr>
            <w:noProof/>
            <w:webHidden/>
          </w:rPr>
          <w:instrText xml:space="preserve"> PAGEREF _Toc183520325 \h </w:instrText>
        </w:r>
        <w:r>
          <w:rPr>
            <w:noProof/>
            <w:webHidden/>
          </w:rPr>
        </w:r>
        <w:r>
          <w:rPr>
            <w:noProof/>
            <w:webHidden/>
          </w:rPr>
          <w:fldChar w:fldCharType="separate"/>
        </w:r>
        <w:r>
          <w:rPr>
            <w:noProof/>
            <w:webHidden/>
          </w:rPr>
          <w:t>94</w:t>
        </w:r>
        <w:r>
          <w:rPr>
            <w:noProof/>
            <w:webHidden/>
          </w:rPr>
          <w:fldChar w:fldCharType="end"/>
        </w:r>
      </w:hyperlink>
    </w:p>
    <w:p w14:paraId="5269D1DB" w14:textId="6A996709"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6" w:history="1">
        <w:r w:rsidRPr="00E569D5">
          <w:rPr>
            <w:rStyle w:val="Hyperlink"/>
            <w:noProof/>
          </w:rPr>
          <w:t>Figure 53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Asthma – pulmonary function</w:t>
        </w:r>
        <w:r>
          <w:rPr>
            <w:noProof/>
            <w:webHidden/>
          </w:rPr>
          <w:tab/>
        </w:r>
        <w:r>
          <w:rPr>
            <w:noProof/>
            <w:webHidden/>
          </w:rPr>
          <w:fldChar w:fldCharType="begin"/>
        </w:r>
        <w:r>
          <w:rPr>
            <w:noProof/>
            <w:webHidden/>
          </w:rPr>
          <w:instrText xml:space="preserve"> PAGEREF _Toc183520326 \h </w:instrText>
        </w:r>
        <w:r>
          <w:rPr>
            <w:noProof/>
            <w:webHidden/>
          </w:rPr>
        </w:r>
        <w:r>
          <w:rPr>
            <w:noProof/>
            <w:webHidden/>
          </w:rPr>
          <w:fldChar w:fldCharType="separate"/>
        </w:r>
        <w:r>
          <w:rPr>
            <w:noProof/>
            <w:webHidden/>
          </w:rPr>
          <w:t>94</w:t>
        </w:r>
        <w:r>
          <w:rPr>
            <w:noProof/>
            <w:webHidden/>
          </w:rPr>
          <w:fldChar w:fldCharType="end"/>
        </w:r>
      </w:hyperlink>
    </w:p>
    <w:p w14:paraId="40A49ADF" w14:textId="5C2FED0F"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7" w:history="1">
        <w:r w:rsidRPr="00E569D5">
          <w:rPr>
            <w:rStyle w:val="Hyperlink"/>
            <w:noProof/>
          </w:rPr>
          <w:t>Figure 54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Asthma – quality of life</w:t>
        </w:r>
        <w:r>
          <w:rPr>
            <w:noProof/>
            <w:webHidden/>
          </w:rPr>
          <w:tab/>
        </w:r>
        <w:r>
          <w:rPr>
            <w:noProof/>
            <w:webHidden/>
          </w:rPr>
          <w:fldChar w:fldCharType="begin"/>
        </w:r>
        <w:r>
          <w:rPr>
            <w:noProof/>
            <w:webHidden/>
          </w:rPr>
          <w:instrText xml:space="preserve"> PAGEREF _Toc183520327 \h </w:instrText>
        </w:r>
        <w:r>
          <w:rPr>
            <w:noProof/>
            <w:webHidden/>
          </w:rPr>
        </w:r>
        <w:r>
          <w:rPr>
            <w:noProof/>
            <w:webHidden/>
          </w:rPr>
          <w:fldChar w:fldCharType="separate"/>
        </w:r>
        <w:r>
          <w:rPr>
            <w:noProof/>
            <w:webHidden/>
          </w:rPr>
          <w:t>95</w:t>
        </w:r>
        <w:r>
          <w:rPr>
            <w:noProof/>
            <w:webHidden/>
          </w:rPr>
          <w:fldChar w:fldCharType="end"/>
        </w:r>
      </w:hyperlink>
    </w:p>
    <w:p w14:paraId="05D62E76" w14:textId="312406DF"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8" w:history="1">
        <w:r w:rsidRPr="00E569D5">
          <w:rPr>
            <w:rStyle w:val="Hyperlink"/>
            <w:noProof/>
          </w:rPr>
          <w:t>Figure 55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Asthma – hospitalisation</w:t>
        </w:r>
        <w:r>
          <w:rPr>
            <w:noProof/>
            <w:webHidden/>
          </w:rPr>
          <w:tab/>
        </w:r>
        <w:r>
          <w:rPr>
            <w:noProof/>
            <w:webHidden/>
          </w:rPr>
          <w:fldChar w:fldCharType="begin"/>
        </w:r>
        <w:r>
          <w:rPr>
            <w:noProof/>
            <w:webHidden/>
          </w:rPr>
          <w:instrText xml:space="preserve"> PAGEREF _Toc183520328 \h </w:instrText>
        </w:r>
        <w:r>
          <w:rPr>
            <w:noProof/>
            <w:webHidden/>
          </w:rPr>
        </w:r>
        <w:r>
          <w:rPr>
            <w:noProof/>
            <w:webHidden/>
          </w:rPr>
          <w:fldChar w:fldCharType="separate"/>
        </w:r>
        <w:r>
          <w:rPr>
            <w:noProof/>
            <w:webHidden/>
          </w:rPr>
          <w:t>95</w:t>
        </w:r>
        <w:r>
          <w:rPr>
            <w:noProof/>
            <w:webHidden/>
          </w:rPr>
          <w:fldChar w:fldCharType="end"/>
        </w:r>
      </w:hyperlink>
    </w:p>
    <w:p w14:paraId="04C1295B" w14:textId="08FA9272"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29" w:history="1">
        <w:r w:rsidRPr="00E569D5">
          <w:rPr>
            <w:rStyle w:val="Hyperlink"/>
            <w:noProof/>
          </w:rPr>
          <w:t>Figure 56</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Asthma – medication use</w:t>
        </w:r>
        <w:r>
          <w:rPr>
            <w:noProof/>
            <w:webHidden/>
          </w:rPr>
          <w:tab/>
        </w:r>
        <w:r>
          <w:rPr>
            <w:noProof/>
            <w:webHidden/>
          </w:rPr>
          <w:fldChar w:fldCharType="begin"/>
        </w:r>
        <w:r>
          <w:rPr>
            <w:noProof/>
            <w:webHidden/>
          </w:rPr>
          <w:instrText xml:space="preserve"> PAGEREF _Toc183520329 \h </w:instrText>
        </w:r>
        <w:r>
          <w:rPr>
            <w:noProof/>
            <w:webHidden/>
          </w:rPr>
        </w:r>
        <w:r>
          <w:rPr>
            <w:noProof/>
            <w:webHidden/>
          </w:rPr>
          <w:fldChar w:fldCharType="separate"/>
        </w:r>
        <w:r>
          <w:rPr>
            <w:noProof/>
            <w:webHidden/>
          </w:rPr>
          <w:t>96</w:t>
        </w:r>
        <w:r>
          <w:rPr>
            <w:noProof/>
            <w:webHidden/>
          </w:rPr>
          <w:fldChar w:fldCharType="end"/>
        </w:r>
      </w:hyperlink>
    </w:p>
    <w:p w14:paraId="015C3C4A" w14:textId="2041DD09"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0" w:history="1">
        <w:r w:rsidRPr="00E569D5">
          <w:rPr>
            <w:rStyle w:val="Hyperlink"/>
            <w:noProof/>
          </w:rPr>
          <w:t>Figure 57</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Diarrhoea</w:t>
        </w:r>
        <w:r>
          <w:rPr>
            <w:noProof/>
            <w:webHidden/>
          </w:rPr>
          <w:tab/>
        </w:r>
        <w:r>
          <w:rPr>
            <w:noProof/>
            <w:webHidden/>
          </w:rPr>
          <w:fldChar w:fldCharType="begin"/>
        </w:r>
        <w:r>
          <w:rPr>
            <w:noProof/>
            <w:webHidden/>
          </w:rPr>
          <w:instrText xml:space="preserve"> PAGEREF _Toc183520330 \h </w:instrText>
        </w:r>
        <w:r>
          <w:rPr>
            <w:noProof/>
            <w:webHidden/>
          </w:rPr>
        </w:r>
        <w:r>
          <w:rPr>
            <w:noProof/>
            <w:webHidden/>
          </w:rPr>
          <w:fldChar w:fldCharType="separate"/>
        </w:r>
        <w:r>
          <w:rPr>
            <w:noProof/>
            <w:webHidden/>
          </w:rPr>
          <w:t>98</w:t>
        </w:r>
        <w:r>
          <w:rPr>
            <w:noProof/>
            <w:webHidden/>
          </w:rPr>
          <w:fldChar w:fldCharType="end"/>
        </w:r>
      </w:hyperlink>
    </w:p>
    <w:p w14:paraId="4A818726" w14:textId="347F1E2C"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1" w:history="1">
        <w:r w:rsidRPr="00E569D5">
          <w:rPr>
            <w:rStyle w:val="Hyperlink"/>
            <w:noProof/>
          </w:rPr>
          <w:t xml:space="preserve">Figure 58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Diarrhoea – symptom severity, number of stools/day</w:t>
        </w:r>
        <w:r>
          <w:rPr>
            <w:noProof/>
            <w:webHidden/>
          </w:rPr>
          <w:tab/>
        </w:r>
        <w:r>
          <w:rPr>
            <w:noProof/>
            <w:webHidden/>
          </w:rPr>
          <w:fldChar w:fldCharType="begin"/>
        </w:r>
        <w:r>
          <w:rPr>
            <w:noProof/>
            <w:webHidden/>
          </w:rPr>
          <w:instrText xml:space="preserve"> PAGEREF _Toc183520331 \h </w:instrText>
        </w:r>
        <w:r>
          <w:rPr>
            <w:noProof/>
            <w:webHidden/>
          </w:rPr>
        </w:r>
        <w:r>
          <w:rPr>
            <w:noProof/>
            <w:webHidden/>
          </w:rPr>
          <w:fldChar w:fldCharType="separate"/>
        </w:r>
        <w:r>
          <w:rPr>
            <w:noProof/>
            <w:webHidden/>
          </w:rPr>
          <w:t>100</w:t>
        </w:r>
        <w:r>
          <w:rPr>
            <w:noProof/>
            <w:webHidden/>
          </w:rPr>
          <w:fldChar w:fldCharType="end"/>
        </w:r>
      </w:hyperlink>
    </w:p>
    <w:p w14:paraId="662A9359" w14:textId="1EE88C20"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2" w:history="1">
        <w:r w:rsidRPr="00E569D5">
          <w:rPr>
            <w:rStyle w:val="Hyperlink"/>
            <w:noProof/>
          </w:rPr>
          <w:t xml:space="preserve">Figure 59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Diarrhoea – symptom duration</w:t>
        </w:r>
        <w:r>
          <w:rPr>
            <w:noProof/>
            <w:webHidden/>
          </w:rPr>
          <w:tab/>
        </w:r>
        <w:r>
          <w:rPr>
            <w:noProof/>
            <w:webHidden/>
          </w:rPr>
          <w:fldChar w:fldCharType="begin"/>
        </w:r>
        <w:r>
          <w:rPr>
            <w:noProof/>
            <w:webHidden/>
          </w:rPr>
          <w:instrText xml:space="preserve"> PAGEREF _Toc183520332 \h </w:instrText>
        </w:r>
        <w:r>
          <w:rPr>
            <w:noProof/>
            <w:webHidden/>
          </w:rPr>
        </w:r>
        <w:r>
          <w:rPr>
            <w:noProof/>
            <w:webHidden/>
          </w:rPr>
          <w:fldChar w:fldCharType="separate"/>
        </w:r>
        <w:r>
          <w:rPr>
            <w:noProof/>
            <w:webHidden/>
          </w:rPr>
          <w:t>101</w:t>
        </w:r>
        <w:r>
          <w:rPr>
            <w:noProof/>
            <w:webHidden/>
          </w:rPr>
          <w:fldChar w:fldCharType="end"/>
        </w:r>
      </w:hyperlink>
    </w:p>
    <w:p w14:paraId="0A639AC5" w14:textId="448C9B37"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3" w:history="1">
        <w:r w:rsidRPr="00E569D5">
          <w:rPr>
            <w:rStyle w:val="Hyperlink"/>
            <w:noProof/>
          </w:rPr>
          <w:t xml:space="preserve">Figure 60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Diarrhoea – symptom severity, global improvement</w:t>
        </w:r>
        <w:r>
          <w:rPr>
            <w:noProof/>
            <w:webHidden/>
          </w:rPr>
          <w:tab/>
        </w:r>
        <w:r>
          <w:rPr>
            <w:noProof/>
            <w:webHidden/>
          </w:rPr>
          <w:fldChar w:fldCharType="begin"/>
        </w:r>
        <w:r>
          <w:rPr>
            <w:noProof/>
            <w:webHidden/>
          </w:rPr>
          <w:instrText xml:space="preserve"> PAGEREF _Toc183520333 \h </w:instrText>
        </w:r>
        <w:r>
          <w:rPr>
            <w:noProof/>
            <w:webHidden/>
          </w:rPr>
        </w:r>
        <w:r>
          <w:rPr>
            <w:noProof/>
            <w:webHidden/>
          </w:rPr>
          <w:fldChar w:fldCharType="separate"/>
        </w:r>
        <w:r>
          <w:rPr>
            <w:noProof/>
            <w:webHidden/>
          </w:rPr>
          <w:t>101</w:t>
        </w:r>
        <w:r>
          <w:rPr>
            <w:noProof/>
            <w:webHidden/>
          </w:rPr>
          <w:fldChar w:fldCharType="end"/>
        </w:r>
      </w:hyperlink>
    </w:p>
    <w:p w14:paraId="2A353E73" w14:textId="6F2F154F"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4" w:history="1">
        <w:r w:rsidRPr="00E569D5">
          <w:rPr>
            <w:rStyle w:val="Hyperlink"/>
            <w:noProof/>
          </w:rPr>
          <w:t>Figure 61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Infantile colic and other digestive disorders</w:t>
        </w:r>
        <w:r>
          <w:rPr>
            <w:noProof/>
            <w:webHidden/>
          </w:rPr>
          <w:tab/>
        </w:r>
        <w:r>
          <w:rPr>
            <w:noProof/>
            <w:webHidden/>
          </w:rPr>
          <w:fldChar w:fldCharType="begin"/>
        </w:r>
        <w:r>
          <w:rPr>
            <w:noProof/>
            <w:webHidden/>
          </w:rPr>
          <w:instrText xml:space="preserve"> PAGEREF _Toc183520334 \h </w:instrText>
        </w:r>
        <w:r>
          <w:rPr>
            <w:noProof/>
            <w:webHidden/>
          </w:rPr>
        </w:r>
        <w:r>
          <w:rPr>
            <w:noProof/>
            <w:webHidden/>
          </w:rPr>
          <w:fldChar w:fldCharType="separate"/>
        </w:r>
        <w:r>
          <w:rPr>
            <w:noProof/>
            <w:webHidden/>
          </w:rPr>
          <w:t>103</w:t>
        </w:r>
        <w:r>
          <w:rPr>
            <w:noProof/>
            <w:webHidden/>
          </w:rPr>
          <w:fldChar w:fldCharType="end"/>
        </w:r>
      </w:hyperlink>
    </w:p>
    <w:p w14:paraId="57A9952C" w14:textId="221E8113"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5" w:history="1">
        <w:r w:rsidRPr="00E569D5">
          <w:rPr>
            <w:rStyle w:val="Hyperlink"/>
            <w:noProof/>
          </w:rPr>
          <w:t>Figure 62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Digestive disorders – symptom severity</w:t>
        </w:r>
        <w:r>
          <w:rPr>
            <w:noProof/>
            <w:webHidden/>
          </w:rPr>
          <w:tab/>
        </w:r>
        <w:r>
          <w:rPr>
            <w:noProof/>
            <w:webHidden/>
          </w:rPr>
          <w:fldChar w:fldCharType="begin"/>
        </w:r>
        <w:r>
          <w:rPr>
            <w:noProof/>
            <w:webHidden/>
          </w:rPr>
          <w:instrText xml:space="preserve"> PAGEREF _Toc183520335 \h </w:instrText>
        </w:r>
        <w:r>
          <w:rPr>
            <w:noProof/>
            <w:webHidden/>
          </w:rPr>
        </w:r>
        <w:r>
          <w:rPr>
            <w:noProof/>
            <w:webHidden/>
          </w:rPr>
          <w:fldChar w:fldCharType="separate"/>
        </w:r>
        <w:r>
          <w:rPr>
            <w:noProof/>
            <w:webHidden/>
          </w:rPr>
          <w:t>106</w:t>
        </w:r>
        <w:r>
          <w:rPr>
            <w:noProof/>
            <w:webHidden/>
          </w:rPr>
          <w:fldChar w:fldCharType="end"/>
        </w:r>
      </w:hyperlink>
    </w:p>
    <w:p w14:paraId="1FCC9932" w14:textId="5DF3B9A5"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6" w:history="1">
        <w:r w:rsidRPr="00E569D5">
          <w:rPr>
            <w:rStyle w:val="Hyperlink"/>
            <w:noProof/>
          </w:rPr>
          <w:t>Figure 63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Digestive disorders – quality of life</w:t>
        </w:r>
        <w:r>
          <w:rPr>
            <w:noProof/>
            <w:webHidden/>
          </w:rPr>
          <w:tab/>
        </w:r>
        <w:r>
          <w:rPr>
            <w:noProof/>
            <w:webHidden/>
          </w:rPr>
          <w:fldChar w:fldCharType="begin"/>
        </w:r>
        <w:r>
          <w:rPr>
            <w:noProof/>
            <w:webHidden/>
          </w:rPr>
          <w:instrText xml:space="preserve"> PAGEREF _Toc183520336 \h </w:instrText>
        </w:r>
        <w:r>
          <w:rPr>
            <w:noProof/>
            <w:webHidden/>
          </w:rPr>
        </w:r>
        <w:r>
          <w:rPr>
            <w:noProof/>
            <w:webHidden/>
          </w:rPr>
          <w:fldChar w:fldCharType="separate"/>
        </w:r>
        <w:r>
          <w:rPr>
            <w:noProof/>
            <w:webHidden/>
          </w:rPr>
          <w:t>106</w:t>
        </w:r>
        <w:r>
          <w:rPr>
            <w:noProof/>
            <w:webHidden/>
          </w:rPr>
          <w:fldChar w:fldCharType="end"/>
        </w:r>
      </w:hyperlink>
    </w:p>
    <w:p w14:paraId="071DCF56" w14:textId="47F2D9E8"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7" w:history="1">
        <w:r w:rsidRPr="00E569D5">
          <w:rPr>
            <w:rStyle w:val="Hyperlink"/>
            <w:noProof/>
          </w:rPr>
          <w:t>Figure 64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Digestive disorders – symptom severity</w:t>
        </w:r>
        <w:r>
          <w:rPr>
            <w:noProof/>
            <w:webHidden/>
          </w:rPr>
          <w:tab/>
        </w:r>
        <w:r>
          <w:rPr>
            <w:noProof/>
            <w:webHidden/>
          </w:rPr>
          <w:fldChar w:fldCharType="begin"/>
        </w:r>
        <w:r>
          <w:rPr>
            <w:noProof/>
            <w:webHidden/>
          </w:rPr>
          <w:instrText xml:space="preserve"> PAGEREF _Toc183520337 \h </w:instrText>
        </w:r>
        <w:r>
          <w:rPr>
            <w:noProof/>
            <w:webHidden/>
          </w:rPr>
        </w:r>
        <w:r>
          <w:rPr>
            <w:noProof/>
            <w:webHidden/>
          </w:rPr>
          <w:fldChar w:fldCharType="separate"/>
        </w:r>
        <w:r>
          <w:rPr>
            <w:noProof/>
            <w:webHidden/>
          </w:rPr>
          <w:t>107</w:t>
        </w:r>
        <w:r>
          <w:rPr>
            <w:noProof/>
            <w:webHidden/>
          </w:rPr>
          <w:fldChar w:fldCharType="end"/>
        </w:r>
      </w:hyperlink>
    </w:p>
    <w:p w14:paraId="1DA7C440" w14:textId="21B9B62A"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8" w:history="1">
        <w:r w:rsidRPr="00E569D5">
          <w:rPr>
            <w:rStyle w:val="Hyperlink"/>
            <w:noProof/>
          </w:rPr>
          <w:t xml:space="preserve">Figure 65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Irritable bowel syndrome</w:t>
        </w:r>
        <w:r>
          <w:rPr>
            <w:noProof/>
            <w:webHidden/>
          </w:rPr>
          <w:tab/>
        </w:r>
        <w:r>
          <w:rPr>
            <w:noProof/>
            <w:webHidden/>
          </w:rPr>
          <w:fldChar w:fldCharType="begin"/>
        </w:r>
        <w:r>
          <w:rPr>
            <w:noProof/>
            <w:webHidden/>
          </w:rPr>
          <w:instrText xml:space="preserve"> PAGEREF _Toc183520338 \h </w:instrText>
        </w:r>
        <w:r>
          <w:rPr>
            <w:noProof/>
            <w:webHidden/>
          </w:rPr>
        </w:r>
        <w:r>
          <w:rPr>
            <w:noProof/>
            <w:webHidden/>
          </w:rPr>
          <w:fldChar w:fldCharType="separate"/>
        </w:r>
        <w:r>
          <w:rPr>
            <w:noProof/>
            <w:webHidden/>
          </w:rPr>
          <w:t>109</w:t>
        </w:r>
        <w:r>
          <w:rPr>
            <w:noProof/>
            <w:webHidden/>
          </w:rPr>
          <w:fldChar w:fldCharType="end"/>
        </w:r>
      </w:hyperlink>
    </w:p>
    <w:p w14:paraId="482092F5" w14:textId="16BECA35"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39" w:history="1">
        <w:r w:rsidRPr="00E569D5">
          <w:rPr>
            <w:rStyle w:val="Hyperlink"/>
            <w:noProof/>
          </w:rPr>
          <w:t xml:space="preserve">Figure 66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waitlist or usual care): IBS – symptom severity</w:t>
        </w:r>
        <w:r>
          <w:rPr>
            <w:noProof/>
            <w:webHidden/>
          </w:rPr>
          <w:tab/>
        </w:r>
        <w:r>
          <w:rPr>
            <w:noProof/>
            <w:webHidden/>
          </w:rPr>
          <w:fldChar w:fldCharType="begin"/>
        </w:r>
        <w:r>
          <w:rPr>
            <w:noProof/>
            <w:webHidden/>
          </w:rPr>
          <w:instrText xml:space="preserve"> PAGEREF _Toc183520339 \h </w:instrText>
        </w:r>
        <w:r>
          <w:rPr>
            <w:noProof/>
            <w:webHidden/>
          </w:rPr>
        </w:r>
        <w:r>
          <w:rPr>
            <w:noProof/>
            <w:webHidden/>
          </w:rPr>
          <w:fldChar w:fldCharType="separate"/>
        </w:r>
        <w:r>
          <w:rPr>
            <w:noProof/>
            <w:webHidden/>
          </w:rPr>
          <w:t>111</w:t>
        </w:r>
        <w:r>
          <w:rPr>
            <w:noProof/>
            <w:webHidden/>
          </w:rPr>
          <w:fldChar w:fldCharType="end"/>
        </w:r>
      </w:hyperlink>
    </w:p>
    <w:p w14:paraId="24B29453" w14:textId="135B3043"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0" w:history="1">
        <w:r w:rsidRPr="00E569D5">
          <w:rPr>
            <w:rStyle w:val="Hyperlink"/>
            <w:noProof/>
          </w:rPr>
          <w:t xml:space="preserve">Figure 67 </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waitlist or usual care): IBS – quality of life</w:t>
        </w:r>
        <w:r>
          <w:rPr>
            <w:noProof/>
            <w:webHidden/>
          </w:rPr>
          <w:tab/>
        </w:r>
        <w:r>
          <w:rPr>
            <w:noProof/>
            <w:webHidden/>
          </w:rPr>
          <w:fldChar w:fldCharType="begin"/>
        </w:r>
        <w:r>
          <w:rPr>
            <w:noProof/>
            <w:webHidden/>
          </w:rPr>
          <w:instrText xml:space="preserve"> PAGEREF _Toc183520340 \h </w:instrText>
        </w:r>
        <w:r>
          <w:rPr>
            <w:noProof/>
            <w:webHidden/>
          </w:rPr>
        </w:r>
        <w:r>
          <w:rPr>
            <w:noProof/>
            <w:webHidden/>
          </w:rPr>
          <w:fldChar w:fldCharType="separate"/>
        </w:r>
        <w:r>
          <w:rPr>
            <w:noProof/>
            <w:webHidden/>
          </w:rPr>
          <w:t>111</w:t>
        </w:r>
        <w:r>
          <w:rPr>
            <w:noProof/>
            <w:webHidden/>
          </w:rPr>
          <w:fldChar w:fldCharType="end"/>
        </w:r>
      </w:hyperlink>
    </w:p>
    <w:p w14:paraId="71F10D64" w14:textId="4F21D7A7"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1" w:history="1">
        <w:r w:rsidRPr="00E569D5">
          <w:rPr>
            <w:rStyle w:val="Hyperlink"/>
            <w:noProof/>
          </w:rPr>
          <w:t>Figure 68</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Psoriasis</w:t>
        </w:r>
        <w:r>
          <w:rPr>
            <w:noProof/>
            <w:webHidden/>
          </w:rPr>
          <w:tab/>
        </w:r>
        <w:r>
          <w:rPr>
            <w:noProof/>
            <w:webHidden/>
          </w:rPr>
          <w:fldChar w:fldCharType="begin"/>
        </w:r>
        <w:r>
          <w:rPr>
            <w:noProof/>
            <w:webHidden/>
          </w:rPr>
          <w:instrText xml:space="preserve"> PAGEREF _Toc183520341 \h </w:instrText>
        </w:r>
        <w:r>
          <w:rPr>
            <w:noProof/>
            <w:webHidden/>
          </w:rPr>
        </w:r>
        <w:r>
          <w:rPr>
            <w:noProof/>
            <w:webHidden/>
          </w:rPr>
          <w:fldChar w:fldCharType="separate"/>
        </w:r>
        <w:r>
          <w:rPr>
            <w:noProof/>
            <w:webHidden/>
          </w:rPr>
          <w:t>113</w:t>
        </w:r>
        <w:r>
          <w:rPr>
            <w:noProof/>
            <w:webHidden/>
          </w:rPr>
          <w:fldChar w:fldCharType="end"/>
        </w:r>
      </w:hyperlink>
    </w:p>
    <w:p w14:paraId="479B9BFB" w14:textId="566E8A58"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2" w:history="1">
        <w:r w:rsidRPr="00E569D5">
          <w:rPr>
            <w:rStyle w:val="Hyperlink"/>
            <w:noProof/>
          </w:rPr>
          <w:t>Figure 69</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Psoriasis – disease severity</w:t>
        </w:r>
        <w:r>
          <w:rPr>
            <w:noProof/>
            <w:webHidden/>
          </w:rPr>
          <w:tab/>
        </w:r>
        <w:r>
          <w:rPr>
            <w:noProof/>
            <w:webHidden/>
          </w:rPr>
          <w:fldChar w:fldCharType="begin"/>
        </w:r>
        <w:r>
          <w:rPr>
            <w:noProof/>
            <w:webHidden/>
          </w:rPr>
          <w:instrText xml:space="preserve"> PAGEREF _Toc183520342 \h </w:instrText>
        </w:r>
        <w:r>
          <w:rPr>
            <w:noProof/>
            <w:webHidden/>
          </w:rPr>
        </w:r>
        <w:r>
          <w:rPr>
            <w:noProof/>
            <w:webHidden/>
          </w:rPr>
          <w:fldChar w:fldCharType="separate"/>
        </w:r>
        <w:r>
          <w:rPr>
            <w:noProof/>
            <w:webHidden/>
          </w:rPr>
          <w:t>115</w:t>
        </w:r>
        <w:r>
          <w:rPr>
            <w:noProof/>
            <w:webHidden/>
          </w:rPr>
          <w:fldChar w:fldCharType="end"/>
        </w:r>
      </w:hyperlink>
    </w:p>
    <w:p w14:paraId="37BBC054" w14:textId="1217CC52"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3" w:history="1">
        <w:r w:rsidRPr="00E569D5">
          <w:rPr>
            <w:rStyle w:val="Hyperlink"/>
            <w:noProof/>
          </w:rPr>
          <w:t>Figure 70</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Psoriasis – symptom improvement</w:t>
        </w:r>
        <w:r>
          <w:rPr>
            <w:noProof/>
            <w:webHidden/>
          </w:rPr>
          <w:tab/>
        </w:r>
        <w:r>
          <w:rPr>
            <w:noProof/>
            <w:webHidden/>
          </w:rPr>
          <w:fldChar w:fldCharType="begin"/>
        </w:r>
        <w:r>
          <w:rPr>
            <w:noProof/>
            <w:webHidden/>
          </w:rPr>
          <w:instrText xml:space="preserve"> PAGEREF _Toc183520343 \h </w:instrText>
        </w:r>
        <w:r>
          <w:rPr>
            <w:noProof/>
            <w:webHidden/>
          </w:rPr>
        </w:r>
        <w:r>
          <w:rPr>
            <w:noProof/>
            <w:webHidden/>
          </w:rPr>
          <w:fldChar w:fldCharType="separate"/>
        </w:r>
        <w:r>
          <w:rPr>
            <w:noProof/>
            <w:webHidden/>
          </w:rPr>
          <w:t>115</w:t>
        </w:r>
        <w:r>
          <w:rPr>
            <w:noProof/>
            <w:webHidden/>
          </w:rPr>
          <w:fldChar w:fldCharType="end"/>
        </w:r>
      </w:hyperlink>
    </w:p>
    <w:p w14:paraId="38CE2FAE" w14:textId="7A8A0CC0"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4" w:history="1">
        <w:r w:rsidRPr="00E569D5">
          <w:rPr>
            <w:rStyle w:val="Hyperlink"/>
            <w:noProof/>
          </w:rPr>
          <w:t>Figure 71  Forest plot of primary comparison: Homeopathy vs placebo: Psoriasis – quality of life</w:t>
        </w:r>
        <w:r>
          <w:rPr>
            <w:noProof/>
            <w:webHidden/>
          </w:rPr>
          <w:tab/>
        </w:r>
        <w:r>
          <w:rPr>
            <w:noProof/>
            <w:webHidden/>
          </w:rPr>
          <w:fldChar w:fldCharType="begin"/>
        </w:r>
        <w:r>
          <w:rPr>
            <w:noProof/>
            <w:webHidden/>
          </w:rPr>
          <w:instrText xml:space="preserve"> PAGEREF _Toc183520344 \h </w:instrText>
        </w:r>
        <w:r>
          <w:rPr>
            <w:noProof/>
            <w:webHidden/>
          </w:rPr>
        </w:r>
        <w:r>
          <w:rPr>
            <w:noProof/>
            <w:webHidden/>
          </w:rPr>
          <w:fldChar w:fldCharType="separate"/>
        </w:r>
        <w:r>
          <w:rPr>
            <w:noProof/>
            <w:webHidden/>
          </w:rPr>
          <w:t>116</w:t>
        </w:r>
        <w:r>
          <w:rPr>
            <w:noProof/>
            <w:webHidden/>
          </w:rPr>
          <w:fldChar w:fldCharType="end"/>
        </w:r>
      </w:hyperlink>
    </w:p>
    <w:p w14:paraId="590805E5" w14:textId="001B9FB5"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5" w:history="1">
        <w:r w:rsidRPr="00E569D5">
          <w:rPr>
            <w:rStyle w:val="Hyperlink"/>
            <w:noProof/>
          </w:rPr>
          <w:t>Figure 72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Arthropathies</w:t>
        </w:r>
        <w:r>
          <w:rPr>
            <w:noProof/>
            <w:webHidden/>
          </w:rPr>
          <w:tab/>
        </w:r>
        <w:r>
          <w:rPr>
            <w:noProof/>
            <w:webHidden/>
          </w:rPr>
          <w:fldChar w:fldCharType="begin"/>
        </w:r>
        <w:r>
          <w:rPr>
            <w:noProof/>
            <w:webHidden/>
          </w:rPr>
          <w:instrText xml:space="preserve"> PAGEREF _Toc183520345 \h </w:instrText>
        </w:r>
        <w:r>
          <w:rPr>
            <w:noProof/>
            <w:webHidden/>
          </w:rPr>
        </w:r>
        <w:r>
          <w:rPr>
            <w:noProof/>
            <w:webHidden/>
          </w:rPr>
          <w:fldChar w:fldCharType="separate"/>
        </w:r>
        <w:r>
          <w:rPr>
            <w:noProof/>
            <w:webHidden/>
          </w:rPr>
          <w:t>119</w:t>
        </w:r>
        <w:r>
          <w:rPr>
            <w:noProof/>
            <w:webHidden/>
          </w:rPr>
          <w:fldChar w:fldCharType="end"/>
        </w:r>
      </w:hyperlink>
    </w:p>
    <w:p w14:paraId="23D6FA4F" w14:textId="7742796A"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6" w:history="1">
        <w:r w:rsidRPr="00E569D5">
          <w:rPr>
            <w:rStyle w:val="Hyperlink"/>
            <w:noProof/>
          </w:rPr>
          <w:t>Figure 73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Arthritis – pain intensity</w:t>
        </w:r>
        <w:r>
          <w:rPr>
            <w:noProof/>
            <w:webHidden/>
          </w:rPr>
          <w:tab/>
        </w:r>
        <w:r>
          <w:rPr>
            <w:noProof/>
            <w:webHidden/>
          </w:rPr>
          <w:fldChar w:fldCharType="begin"/>
        </w:r>
        <w:r>
          <w:rPr>
            <w:noProof/>
            <w:webHidden/>
          </w:rPr>
          <w:instrText xml:space="preserve"> PAGEREF _Toc183520346 \h </w:instrText>
        </w:r>
        <w:r>
          <w:rPr>
            <w:noProof/>
            <w:webHidden/>
          </w:rPr>
        </w:r>
        <w:r>
          <w:rPr>
            <w:noProof/>
            <w:webHidden/>
          </w:rPr>
          <w:fldChar w:fldCharType="separate"/>
        </w:r>
        <w:r>
          <w:rPr>
            <w:noProof/>
            <w:webHidden/>
          </w:rPr>
          <w:t>121</w:t>
        </w:r>
        <w:r>
          <w:rPr>
            <w:noProof/>
            <w:webHidden/>
          </w:rPr>
          <w:fldChar w:fldCharType="end"/>
        </w:r>
      </w:hyperlink>
    </w:p>
    <w:p w14:paraId="094D738E" w14:textId="03361AB5"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7" w:history="1">
        <w:r w:rsidRPr="00E569D5">
          <w:rPr>
            <w:rStyle w:val="Hyperlink"/>
            <w:noProof/>
          </w:rPr>
          <w:t>Figure 74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Arthritis – physical function</w:t>
        </w:r>
        <w:r>
          <w:rPr>
            <w:noProof/>
            <w:webHidden/>
          </w:rPr>
          <w:tab/>
        </w:r>
        <w:r>
          <w:rPr>
            <w:noProof/>
            <w:webHidden/>
          </w:rPr>
          <w:fldChar w:fldCharType="begin"/>
        </w:r>
        <w:r>
          <w:rPr>
            <w:noProof/>
            <w:webHidden/>
          </w:rPr>
          <w:instrText xml:space="preserve"> PAGEREF _Toc183520347 \h </w:instrText>
        </w:r>
        <w:r>
          <w:rPr>
            <w:noProof/>
            <w:webHidden/>
          </w:rPr>
        </w:r>
        <w:r>
          <w:rPr>
            <w:noProof/>
            <w:webHidden/>
          </w:rPr>
          <w:fldChar w:fldCharType="separate"/>
        </w:r>
        <w:r>
          <w:rPr>
            <w:noProof/>
            <w:webHidden/>
          </w:rPr>
          <w:t>122</w:t>
        </w:r>
        <w:r>
          <w:rPr>
            <w:noProof/>
            <w:webHidden/>
          </w:rPr>
          <w:fldChar w:fldCharType="end"/>
        </w:r>
      </w:hyperlink>
    </w:p>
    <w:p w14:paraId="7B56D3AB" w14:textId="01FA337B"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8" w:history="1">
        <w:r w:rsidRPr="00E569D5">
          <w:rPr>
            <w:rStyle w:val="Hyperlink"/>
            <w:noProof/>
          </w:rPr>
          <w:t>Figure 75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Arthritis – disease severity</w:t>
        </w:r>
        <w:r>
          <w:rPr>
            <w:noProof/>
            <w:webHidden/>
          </w:rPr>
          <w:tab/>
        </w:r>
        <w:r>
          <w:rPr>
            <w:noProof/>
            <w:webHidden/>
          </w:rPr>
          <w:fldChar w:fldCharType="begin"/>
        </w:r>
        <w:r>
          <w:rPr>
            <w:noProof/>
            <w:webHidden/>
          </w:rPr>
          <w:instrText xml:space="preserve"> PAGEREF _Toc183520348 \h </w:instrText>
        </w:r>
        <w:r>
          <w:rPr>
            <w:noProof/>
            <w:webHidden/>
          </w:rPr>
        </w:r>
        <w:r>
          <w:rPr>
            <w:noProof/>
            <w:webHidden/>
          </w:rPr>
          <w:fldChar w:fldCharType="separate"/>
        </w:r>
        <w:r>
          <w:rPr>
            <w:noProof/>
            <w:webHidden/>
          </w:rPr>
          <w:t>122</w:t>
        </w:r>
        <w:r>
          <w:rPr>
            <w:noProof/>
            <w:webHidden/>
          </w:rPr>
          <w:fldChar w:fldCharType="end"/>
        </w:r>
      </w:hyperlink>
    </w:p>
    <w:p w14:paraId="4D033318" w14:textId="5A435ABC"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49" w:history="1">
        <w:r w:rsidRPr="00E569D5">
          <w:rPr>
            <w:rStyle w:val="Hyperlink"/>
            <w:noProof/>
          </w:rPr>
          <w:t>Figure 76</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Arthritis – quality of life</w:t>
        </w:r>
        <w:r>
          <w:rPr>
            <w:noProof/>
            <w:webHidden/>
          </w:rPr>
          <w:tab/>
        </w:r>
        <w:r>
          <w:rPr>
            <w:noProof/>
            <w:webHidden/>
          </w:rPr>
          <w:fldChar w:fldCharType="begin"/>
        </w:r>
        <w:r>
          <w:rPr>
            <w:noProof/>
            <w:webHidden/>
          </w:rPr>
          <w:instrText xml:space="preserve"> PAGEREF _Toc183520349 \h </w:instrText>
        </w:r>
        <w:r>
          <w:rPr>
            <w:noProof/>
            <w:webHidden/>
          </w:rPr>
        </w:r>
        <w:r>
          <w:rPr>
            <w:noProof/>
            <w:webHidden/>
          </w:rPr>
          <w:fldChar w:fldCharType="separate"/>
        </w:r>
        <w:r>
          <w:rPr>
            <w:noProof/>
            <w:webHidden/>
          </w:rPr>
          <w:t>123</w:t>
        </w:r>
        <w:r>
          <w:rPr>
            <w:noProof/>
            <w:webHidden/>
          </w:rPr>
          <w:fldChar w:fldCharType="end"/>
        </w:r>
      </w:hyperlink>
    </w:p>
    <w:p w14:paraId="0ECBEFD2" w14:textId="080B3059"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0" w:history="1">
        <w:r w:rsidRPr="00E569D5">
          <w:rPr>
            <w:rStyle w:val="Hyperlink"/>
            <w:noProof/>
          </w:rPr>
          <w:t>Figure 77</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back and neck pain</w:t>
        </w:r>
        <w:r>
          <w:rPr>
            <w:noProof/>
            <w:webHidden/>
          </w:rPr>
          <w:tab/>
        </w:r>
        <w:r>
          <w:rPr>
            <w:noProof/>
            <w:webHidden/>
          </w:rPr>
          <w:fldChar w:fldCharType="begin"/>
        </w:r>
        <w:r>
          <w:rPr>
            <w:noProof/>
            <w:webHidden/>
          </w:rPr>
          <w:instrText xml:space="preserve"> PAGEREF _Toc183520350 \h </w:instrText>
        </w:r>
        <w:r>
          <w:rPr>
            <w:noProof/>
            <w:webHidden/>
          </w:rPr>
        </w:r>
        <w:r>
          <w:rPr>
            <w:noProof/>
            <w:webHidden/>
          </w:rPr>
          <w:fldChar w:fldCharType="separate"/>
        </w:r>
        <w:r>
          <w:rPr>
            <w:noProof/>
            <w:webHidden/>
          </w:rPr>
          <w:t>125</w:t>
        </w:r>
        <w:r>
          <w:rPr>
            <w:noProof/>
            <w:webHidden/>
          </w:rPr>
          <w:fldChar w:fldCharType="end"/>
        </w:r>
      </w:hyperlink>
    </w:p>
    <w:p w14:paraId="40BC056F" w14:textId="24DF3B47"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1" w:history="1">
        <w:r w:rsidRPr="00E569D5">
          <w:rPr>
            <w:rStyle w:val="Hyperlink"/>
            <w:noProof/>
          </w:rPr>
          <w:t>Figure 78</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Back or neck pain – pain intensity</w:t>
        </w:r>
        <w:r>
          <w:rPr>
            <w:noProof/>
            <w:webHidden/>
          </w:rPr>
          <w:tab/>
        </w:r>
        <w:r>
          <w:rPr>
            <w:noProof/>
            <w:webHidden/>
          </w:rPr>
          <w:fldChar w:fldCharType="begin"/>
        </w:r>
        <w:r>
          <w:rPr>
            <w:noProof/>
            <w:webHidden/>
          </w:rPr>
          <w:instrText xml:space="preserve"> PAGEREF _Toc183520351 \h </w:instrText>
        </w:r>
        <w:r>
          <w:rPr>
            <w:noProof/>
            <w:webHidden/>
          </w:rPr>
        </w:r>
        <w:r>
          <w:rPr>
            <w:noProof/>
            <w:webHidden/>
          </w:rPr>
          <w:fldChar w:fldCharType="separate"/>
        </w:r>
        <w:r>
          <w:rPr>
            <w:noProof/>
            <w:webHidden/>
          </w:rPr>
          <w:t>127</w:t>
        </w:r>
        <w:r>
          <w:rPr>
            <w:noProof/>
            <w:webHidden/>
          </w:rPr>
          <w:fldChar w:fldCharType="end"/>
        </w:r>
      </w:hyperlink>
    </w:p>
    <w:p w14:paraId="08294B5E" w14:textId="40B1EC61"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2" w:history="1">
        <w:r w:rsidRPr="00E569D5">
          <w:rPr>
            <w:rStyle w:val="Hyperlink"/>
            <w:noProof/>
          </w:rPr>
          <w:t>Figure 79</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Back or neck pain – mobility</w:t>
        </w:r>
        <w:r>
          <w:rPr>
            <w:noProof/>
            <w:webHidden/>
          </w:rPr>
          <w:tab/>
        </w:r>
        <w:r>
          <w:rPr>
            <w:noProof/>
            <w:webHidden/>
          </w:rPr>
          <w:fldChar w:fldCharType="begin"/>
        </w:r>
        <w:r>
          <w:rPr>
            <w:noProof/>
            <w:webHidden/>
          </w:rPr>
          <w:instrText xml:space="preserve"> PAGEREF _Toc183520352 \h </w:instrText>
        </w:r>
        <w:r>
          <w:rPr>
            <w:noProof/>
            <w:webHidden/>
          </w:rPr>
        </w:r>
        <w:r>
          <w:rPr>
            <w:noProof/>
            <w:webHidden/>
          </w:rPr>
          <w:fldChar w:fldCharType="separate"/>
        </w:r>
        <w:r>
          <w:rPr>
            <w:noProof/>
            <w:webHidden/>
          </w:rPr>
          <w:t>127</w:t>
        </w:r>
        <w:r>
          <w:rPr>
            <w:noProof/>
            <w:webHidden/>
          </w:rPr>
          <w:fldChar w:fldCharType="end"/>
        </w:r>
      </w:hyperlink>
    </w:p>
    <w:p w14:paraId="333D1909" w14:textId="337E662A"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3" w:history="1">
        <w:r w:rsidRPr="00E569D5">
          <w:rPr>
            <w:rStyle w:val="Hyperlink"/>
            <w:noProof/>
          </w:rPr>
          <w:t>Figure 80</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Back or neck pain – disability</w:t>
        </w:r>
        <w:r>
          <w:rPr>
            <w:noProof/>
            <w:webHidden/>
          </w:rPr>
          <w:tab/>
        </w:r>
        <w:r>
          <w:rPr>
            <w:noProof/>
            <w:webHidden/>
          </w:rPr>
          <w:fldChar w:fldCharType="begin"/>
        </w:r>
        <w:r>
          <w:rPr>
            <w:noProof/>
            <w:webHidden/>
          </w:rPr>
          <w:instrText xml:space="preserve"> PAGEREF _Toc183520353 \h </w:instrText>
        </w:r>
        <w:r>
          <w:rPr>
            <w:noProof/>
            <w:webHidden/>
          </w:rPr>
        </w:r>
        <w:r>
          <w:rPr>
            <w:noProof/>
            <w:webHidden/>
          </w:rPr>
          <w:fldChar w:fldCharType="separate"/>
        </w:r>
        <w:r>
          <w:rPr>
            <w:noProof/>
            <w:webHidden/>
          </w:rPr>
          <w:t>128</w:t>
        </w:r>
        <w:r>
          <w:rPr>
            <w:noProof/>
            <w:webHidden/>
          </w:rPr>
          <w:fldChar w:fldCharType="end"/>
        </w:r>
      </w:hyperlink>
    </w:p>
    <w:p w14:paraId="49F63779" w14:textId="6748FC6C"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4" w:history="1">
        <w:r w:rsidRPr="00E569D5">
          <w:rPr>
            <w:rStyle w:val="Hyperlink"/>
            <w:noProof/>
          </w:rPr>
          <w:t>Figure 81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Back or neck pain – quality of life</w:t>
        </w:r>
        <w:r>
          <w:rPr>
            <w:noProof/>
            <w:webHidden/>
          </w:rPr>
          <w:tab/>
        </w:r>
        <w:r>
          <w:rPr>
            <w:noProof/>
            <w:webHidden/>
          </w:rPr>
          <w:fldChar w:fldCharType="begin"/>
        </w:r>
        <w:r>
          <w:rPr>
            <w:noProof/>
            <w:webHidden/>
          </w:rPr>
          <w:instrText xml:space="preserve"> PAGEREF _Toc183520354 \h </w:instrText>
        </w:r>
        <w:r>
          <w:rPr>
            <w:noProof/>
            <w:webHidden/>
          </w:rPr>
        </w:r>
        <w:r>
          <w:rPr>
            <w:noProof/>
            <w:webHidden/>
          </w:rPr>
          <w:fldChar w:fldCharType="separate"/>
        </w:r>
        <w:r>
          <w:rPr>
            <w:noProof/>
            <w:webHidden/>
          </w:rPr>
          <w:t>128</w:t>
        </w:r>
        <w:r>
          <w:rPr>
            <w:noProof/>
            <w:webHidden/>
          </w:rPr>
          <w:fldChar w:fldCharType="end"/>
        </w:r>
      </w:hyperlink>
    </w:p>
    <w:p w14:paraId="05BB088F" w14:textId="25209686"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5" w:history="1">
        <w:r w:rsidRPr="00E569D5">
          <w:rPr>
            <w:rStyle w:val="Hyperlink"/>
            <w:noProof/>
          </w:rPr>
          <w:t>Figure 82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Menopausal symptoms or complaints</w:t>
        </w:r>
        <w:r>
          <w:rPr>
            <w:noProof/>
            <w:webHidden/>
          </w:rPr>
          <w:tab/>
        </w:r>
        <w:r>
          <w:rPr>
            <w:noProof/>
            <w:webHidden/>
          </w:rPr>
          <w:fldChar w:fldCharType="begin"/>
        </w:r>
        <w:r>
          <w:rPr>
            <w:noProof/>
            <w:webHidden/>
          </w:rPr>
          <w:instrText xml:space="preserve"> PAGEREF _Toc183520355 \h </w:instrText>
        </w:r>
        <w:r>
          <w:rPr>
            <w:noProof/>
            <w:webHidden/>
          </w:rPr>
        </w:r>
        <w:r>
          <w:rPr>
            <w:noProof/>
            <w:webHidden/>
          </w:rPr>
          <w:fldChar w:fldCharType="separate"/>
        </w:r>
        <w:r>
          <w:rPr>
            <w:noProof/>
            <w:webHidden/>
          </w:rPr>
          <w:t>130</w:t>
        </w:r>
        <w:r>
          <w:rPr>
            <w:noProof/>
            <w:webHidden/>
          </w:rPr>
          <w:fldChar w:fldCharType="end"/>
        </w:r>
      </w:hyperlink>
    </w:p>
    <w:p w14:paraId="73440321" w14:textId="71D8ADC9"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6" w:history="1">
        <w:r w:rsidRPr="00E569D5">
          <w:rPr>
            <w:rStyle w:val="Hyperlink"/>
            <w:noProof/>
          </w:rPr>
          <w:t>Figure 83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Menopausal symptoms – symptom severity</w:t>
        </w:r>
        <w:r>
          <w:rPr>
            <w:noProof/>
            <w:webHidden/>
          </w:rPr>
          <w:tab/>
        </w:r>
        <w:r>
          <w:rPr>
            <w:noProof/>
            <w:webHidden/>
          </w:rPr>
          <w:fldChar w:fldCharType="begin"/>
        </w:r>
        <w:r>
          <w:rPr>
            <w:noProof/>
            <w:webHidden/>
          </w:rPr>
          <w:instrText xml:space="preserve"> PAGEREF _Toc183520356 \h </w:instrText>
        </w:r>
        <w:r>
          <w:rPr>
            <w:noProof/>
            <w:webHidden/>
          </w:rPr>
        </w:r>
        <w:r>
          <w:rPr>
            <w:noProof/>
            <w:webHidden/>
          </w:rPr>
          <w:fldChar w:fldCharType="separate"/>
        </w:r>
        <w:r>
          <w:rPr>
            <w:noProof/>
            <w:webHidden/>
          </w:rPr>
          <w:t>135</w:t>
        </w:r>
        <w:r>
          <w:rPr>
            <w:noProof/>
            <w:webHidden/>
          </w:rPr>
          <w:fldChar w:fldCharType="end"/>
        </w:r>
      </w:hyperlink>
    </w:p>
    <w:p w14:paraId="1338F723" w14:textId="73986443"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7" w:history="1">
        <w:r w:rsidRPr="00E569D5">
          <w:rPr>
            <w:rStyle w:val="Hyperlink"/>
            <w:noProof/>
          </w:rPr>
          <w:t>Figure 84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Menopausal symptoms – hot flush severity</w:t>
        </w:r>
        <w:r>
          <w:rPr>
            <w:noProof/>
            <w:webHidden/>
          </w:rPr>
          <w:tab/>
        </w:r>
        <w:r>
          <w:rPr>
            <w:noProof/>
            <w:webHidden/>
          </w:rPr>
          <w:fldChar w:fldCharType="begin"/>
        </w:r>
        <w:r>
          <w:rPr>
            <w:noProof/>
            <w:webHidden/>
          </w:rPr>
          <w:instrText xml:space="preserve"> PAGEREF _Toc183520357 \h </w:instrText>
        </w:r>
        <w:r>
          <w:rPr>
            <w:noProof/>
            <w:webHidden/>
          </w:rPr>
        </w:r>
        <w:r>
          <w:rPr>
            <w:noProof/>
            <w:webHidden/>
          </w:rPr>
          <w:fldChar w:fldCharType="separate"/>
        </w:r>
        <w:r>
          <w:rPr>
            <w:noProof/>
            <w:webHidden/>
          </w:rPr>
          <w:t>136</w:t>
        </w:r>
        <w:r>
          <w:rPr>
            <w:noProof/>
            <w:webHidden/>
          </w:rPr>
          <w:fldChar w:fldCharType="end"/>
        </w:r>
      </w:hyperlink>
    </w:p>
    <w:p w14:paraId="0B6DADCB" w14:textId="6AB87EC0"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8" w:history="1">
        <w:r w:rsidRPr="00E569D5">
          <w:rPr>
            <w:rStyle w:val="Hyperlink"/>
            <w:noProof/>
          </w:rPr>
          <w:t>Figure 85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Menopausal symptoms – health-related quality of life</w:t>
        </w:r>
        <w:r>
          <w:rPr>
            <w:noProof/>
            <w:webHidden/>
          </w:rPr>
          <w:tab/>
        </w:r>
        <w:r>
          <w:rPr>
            <w:noProof/>
            <w:webHidden/>
          </w:rPr>
          <w:fldChar w:fldCharType="begin"/>
        </w:r>
        <w:r>
          <w:rPr>
            <w:noProof/>
            <w:webHidden/>
          </w:rPr>
          <w:instrText xml:space="preserve"> PAGEREF _Toc183520358 \h </w:instrText>
        </w:r>
        <w:r>
          <w:rPr>
            <w:noProof/>
            <w:webHidden/>
          </w:rPr>
        </w:r>
        <w:r>
          <w:rPr>
            <w:noProof/>
            <w:webHidden/>
          </w:rPr>
          <w:fldChar w:fldCharType="separate"/>
        </w:r>
        <w:r>
          <w:rPr>
            <w:noProof/>
            <w:webHidden/>
          </w:rPr>
          <w:t>137</w:t>
        </w:r>
        <w:r>
          <w:rPr>
            <w:noProof/>
            <w:webHidden/>
          </w:rPr>
          <w:fldChar w:fldCharType="end"/>
        </w:r>
      </w:hyperlink>
    </w:p>
    <w:p w14:paraId="09B10171" w14:textId="0BE895CC"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59" w:history="1">
        <w:r w:rsidRPr="00E569D5">
          <w:rPr>
            <w:rStyle w:val="Hyperlink"/>
            <w:noProof/>
          </w:rPr>
          <w:t>Figure 86</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Menopausal symptoms – symptom severity</w:t>
        </w:r>
        <w:r>
          <w:rPr>
            <w:noProof/>
            <w:webHidden/>
          </w:rPr>
          <w:tab/>
        </w:r>
        <w:r>
          <w:rPr>
            <w:noProof/>
            <w:webHidden/>
          </w:rPr>
          <w:fldChar w:fldCharType="begin"/>
        </w:r>
        <w:r>
          <w:rPr>
            <w:noProof/>
            <w:webHidden/>
          </w:rPr>
          <w:instrText xml:space="preserve"> PAGEREF _Toc183520359 \h </w:instrText>
        </w:r>
        <w:r>
          <w:rPr>
            <w:noProof/>
            <w:webHidden/>
          </w:rPr>
        </w:r>
        <w:r>
          <w:rPr>
            <w:noProof/>
            <w:webHidden/>
          </w:rPr>
          <w:fldChar w:fldCharType="separate"/>
        </w:r>
        <w:r>
          <w:rPr>
            <w:noProof/>
            <w:webHidden/>
          </w:rPr>
          <w:t>138</w:t>
        </w:r>
        <w:r>
          <w:rPr>
            <w:noProof/>
            <w:webHidden/>
          </w:rPr>
          <w:fldChar w:fldCharType="end"/>
        </w:r>
      </w:hyperlink>
    </w:p>
    <w:p w14:paraId="66910478" w14:textId="11788D66"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0" w:history="1">
        <w:r w:rsidRPr="00E569D5">
          <w:rPr>
            <w:rStyle w:val="Hyperlink"/>
            <w:noProof/>
          </w:rPr>
          <w:t>Figure 87</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Menopausal symptoms – hot flush severity</w:t>
        </w:r>
        <w:r>
          <w:rPr>
            <w:noProof/>
            <w:webHidden/>
          </w:rPr>
          <w:tab/>
        </w:r>
        <w:r>
          <w:rPr>
            <w:noProof/>
            <w:webHidden/>
          </w:rPr>
          <w:fldChar w:fldCharType="begin"/>
        </w:r>
        <w:r>
          <w:rPr>
            <w:noProof/>
            <w:webHidden/>
          </w:rPr>
          <w:instrText xml:space="preserve"> PAGEREF _Toc183520360 \h </w:instrText>
        </w:r>
        <w:r>
          <w:rPr>
            <w:noProof/>
            <w:webHidden/>
          </w:rPr>
        </w:r>
        <w:r>
          <w:rPr>
            <w:noProof/>
            <w:webHidden/>
          </w:rPr>
          <w:fldChar w:fldCharType="separate"/>
        </w:r>
        <w:r>
          <w:rPr>
            <w:noProof/>
            <w:webHidden/>
          </w:rPr>
          <w:t>138</w:t>
        </w:r>
        <w:r>
          <w:rPr>
            <w:noProof/>
            <w:webHidden/>
          </w:rPr>
          <w:fldChar w:fldCharType="end"/>
        </w:r>
      </w:hyperlink>
    </w:p>
    <w:p w14:paraId="6465672D" w14:textId="2F4FE8CF"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1" w:history="1">
        <w:r w:rsidRPr="00E569D5">
          <w:rPr>
            <w:rStyle w:val="Hyperlink"/>
            <w:noProof/>
          </w:rPr>
          <w:t>Figure 88</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menstrual disorders</w:t>
        </w:r>
        <w:r>
          <w:rPr>
            <w:noProof/>
            <w:webHidden/>
          </w:rPr>
          <w:tab/>
        </w:r>
        <w:r>
          <w:rPr>
            <w:noProof/>
            <w:webHidden/>
          </w:rPr>
          <w:fldChar w:fldCharType="begin"/>
        </w:r>
        <w:r>
          <w:rPr>
            <w:noProof/>
            <w:webHidden/>
          </w:rPr>
          <w:instrText xml:space="preserve"> PAGEREF _Toc183520361 \h </w:instrText>
        </w:r>
        <w:r>
          <w:rPr>
            <w:noProof/>
            <w:webHidden/>
          </w:rPr>
        </w:r>
        <w:r>
          <w:rPr>
            <w:noProof/>
            <w:webHidden/>
          </w:rPr>
          <w:fldChar w:fldCharType="separate"/>
        </w:r>
        <w:r>
          <w:rPr>
            <w:noProof/>
            <w:webHidden/>
          </w:rPr>
          <w:t>140</w:t>
        </w:r>
        <w:r>
          <w:rPr>
            <w:noProof/>
            <w:webHidden/>
          </w:rPr>
          <w:fldChar w:fldCharType="end"/>
        </w:r>
      </w:hyperlink>
    </w:p>
    <w:p w14:paraId="213425A8" w14:textId="4D8BBD5E"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2" w:history="1">
        <w:r w:rsidRPr="00E569D5">
          <w:rPr>
            <w:rStyle w:val="Hyperlink"/>
            <w:noProof/>
          </w:rPr>
          <w:t>Figure 89</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Menstrual disorders – pain intensity</w:t>
        </w:r>
        <w:r>
          <w:rPr>
            <w:noProof/>
            <w:webHidden/>
          </w:rPr>
          <w:tab/>
        </w:r>
        <w:r>
          <w:rPr>
            <w:noProof/>
            <w:webHidden/>
          </w:rPr>
          <w:fldChar w:fldCharType="begin"/>
        </w:r>
        <w:r>
          <w:rPr>
            <w:noProof/>
            <w:webHidden/>
          </w:rPr>
          <w:instrText xml:space="preserve"> PAGEREF _Toc183520362 \h </w:instrText>
        </w:r>
        <w:r>
          <w:rPr>
            <w:noProof/>
            <w:webHidden/>
          </w:rPr>
        </w:r>
        <w:r>
          <w:rPr>
            <w:noProof/>
            <w:webHidden/>
          </w:rPr>
          <w:fldChar w:fldCharType="separate"/>
        </w:r>
        <w:r>
          <w:rPr>
            <w:noProof/>
            <w:webHidden/>
          </w:rPr>
          <w:t>145</w:t>
        </w:r>
        <w:r>
          <w:rPr>
            <w:noProof/>
            <w:webHidden/>
          </w:rPr>
          <w:fldChar w:fldCharType="end"/>
        </w:r>
      </w:hyperlink>
    </w:p>
    <w:p w14:paraId="68955E9E" w14:textId="40A53DC3"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3" w:history="1">
        <w:r w:rsidRPr="00E569D5">
          <w:rPr>
            <w:rStyle w:val="Hyperlink"/>
            <w:noProof/>
          </w:rPr>
          <w:t>Figure 90</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Menstrual disorders – symptom severity</w:t>
        </w:r>
        <w:r>
          <w:rPr>
            <w:noProof/>
            <w:webHidden/>
          </w:rPr>
          <w:tab/>
        </w:r>
        <w:r>
          <w:rPr>
            <w:noProof/>
            <w:webHidden/>
          </w:rPr>
          <w:fldChar w:fldCharType="begin"/>
        </w:r>
        <w:r>
          <w:rPr>
            <w:noProof/>
            <w:webHidden/>
          </w:rPr>
          <w:instrText xml:space="preserve"> PAGEREF _Toc183520363 \h </w:instrText>
        </w:r>
        <w:r>
          <w:rPr>
            <w:noProof/>
            <w:webHidden/>
          </w:rPr>
        </w:r>
        <w:r>
          <w:rPr>
            <w:noProof/>
            <w:webHidden/>
          </w:rPr>
          <w:fldChar w:fldCharType="separate"/>
        </w:r>
        <w:r>
          <w:rPr>
            <w:noProof/>
            <w:webHidden/>
          </w:rPr>
          <w:t>146</w:t>
        </w:r>
        <w:r>
          <w:rPr>
            <w:noProof/>
            <w:webHidden/>
          </w:rPr>
          <w:fldChar w:fldCharType="end"/>
        </w:r>
      </w:hyperlink>
    </w:p>
    <w:p w14:paraId="455BC344" w14:textId="46C41F9F"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4" w:history="1">
        <w:r w:rsidRPr="00E569D5">
          <w:rPr>
            <w:rStyle w:val="Hyperlink"/>
            <w:noProof/>
          </w:rPr>
          <w:t>Figure 91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Menstrual disorders – health-related quality of life</w:t>
        </w:r>
        <w:r>
          <w:rPr>
            <w:noProof/>
            <w:webHidden/>
          </w:rPr>
          <w:tab/>
        </w:r>
        <w:r>
          <w:rPr>
            <w:noProof/>
            <w:webHidden/>
          </w:rPr>
          <w:fldChar w:fldCharType="begin"/>
        </w:r>
        <w:r>
          <w:rPr>
            <w:noProof/>
            <w:webHidden/>
          </w:rPr>
          <w:instrText xml:space="preserve"> PAGEREF _Toc183520364 \h </w:instrText>
        </w:r>
        <w:r>
          <w:rPr>
            <w:noProof/>
            <w:webHidden/>
          </w:rPr>
        </w:r>
        <w:r>
          <w:rPr>
            <w:noProof/>
            <w:webHidden/>
          </w:rPr>
          <w:fldChar w:fldCharType="separate"/>
        </w:r>
        <w:r>
          <w:rPr>
            <w:noProof/>
            <w:webHidden/>
          </w:rPr>
          <w:t>147</w:t>
        </w:r>
        <w:r>
          <w:rPr>
            <w:noProof/>
            <w:webHidden/>
          </w:rPr>
          <w:fldChar w:fldCharType="end"/>
        </w:r>
      </w:hyperlink>
    </w:p>
    <w:p w14:paraId="6C5EE8CF" w14:textId="7097F241"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5" w:history="1">
        <w:r w:rsidRPr="00E569D5">
          <w:rPr>
            <w:rStyle w:val="Hyperlink"/>
            <w:noProof/>
          </w:rPr>
          <w:t>Figure 92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Menstrual disorders – medication use</w:t>
        </w:r>
        <w:r>
          <w:rPr>
            <w:noProof/>
            <w:webHidden/>
          </w:rPr>
          <w:tab/>
        </w:r>
        <w:r>
          <w:rPr>
            <w:noProof/>
            <w:webHidden/>
          </w:rPr>
          <w:fldChar w:fldCharType="begin"/>
        </w:r>
        <w:r>
          <w:rPr>
            <w:noProof/>
            <w:webHidden/>
          </w:rPr>
          <w:instrText xml:space="preserve"> PAGEREF _Toc183520365 \h </w:instrText>
        </w:r>
        <w:r>
          <w:rPr>
            <w:noProof/>
            <w:webHidden/>
          </w:rPr>
        </w:r>
        <w:r>
          <w:rPr>
            <w:noProof/>
            <w:webHidden/>
          </w:rPr>
          <w:fldChar w:fldCharType="separate"/>
        </w:r>
        <w:r>
          <w:rPr>
            <w:noProof/>
            <w:webHidden/>
          </w:rPr>
          <w:t>148</w:t>
        </w:r>
        <w:r>
          <w:rPr>
            <w:noProof/>
            <w:webHidden/>
          </w:rPr>
          <w:fldChar w:fldCharType="end"/>
        </w:r>
      </w:hyperlink>
    </w:p>
    <w:p w14:paraId="101636A0" w14:textId="596E3401"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6" w:history="1">
        <w:r w:rsidRPr="00E569D5">
          <w:rPr>
            <w:rStyle w:val="Hyperlink"/>
            <w:noProof/>
          </w:rPr>
          <w:t>Figure 93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Menstrual disorders – symptom severity</w:t>
        </w:r>
        <w:r>
          <w:rPr>
            <w:noProof/>
            <w:webHidden/>
          </w:rPr>
          <w:tab/>
        </w:r>
        <w:r>
          <w:rPr>
            <w:noProof/>
            <w:webHidden/>
          </w:rPr>
          <w:fldChar w:fldCharType="begin"/>
        </w:r>
        <w:r>
          <w:rPr>
            <w:noProof/>
            <w:webHidden/>
          </w:rPr>
          <w:instrText xml:space="preserve"> PAGEREF _Toc183520366 \h </w:instrText>
        </w:r>
        <w:r>
          <w:rPr>
            <w:noProof/>
            <w:webHidden/>
          </w:rPr>
        </w:r>
        <w:r>
          <w:rPr>
            <w:noProof/>
            <w:webHidden/>
          </w:rPr>
          <w:fldChar w:fldCharType="separate"/>
        </w:r>
        <w:r>
          <w:rPr>
            <w:noProof/>
            <w:webHidden/>
          </w:rPr>
          <w:t>148</w:t>
        </w:r>
        <w:r>
          <w:rPr>
            <w:noProof/>
            <w:webHidden/>
          </w:rPr>
          <w:fldChar w:fldCharType="end"/>
        </w:r>
      </w:hyperlink>
    </w:p>
    <w:p w14:paraId="3F3A617B" w14:textId="472E191D"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7" w:history="1">
        <w:r w:rsidRPr="00E569D5">
          <w:rPr>
            <w:rStyle w:val="Hyperlink"/>
            <w:noProof/>
          </w:rPr>
          <w:t>Figure 94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Fatigue conditions</w:t>
        </w:r>
        <w:r>
          <w:rPr>
            <w:noProof/>
            <w:webHidden/>
          </w:rPr>
          <w:tab/>
        </w:r>
        <w:r>
          <w:rPr>
            <w:noProof/>
            <w:webHidden/>
          </w:rPr>
          <w:fldChar w:fldCharType="begin"/>
        </w:r>
        <w:r>
          <w:rPr>
            <w:noProof/>
            <w:webHidden/>
          </w:rPr>
          <w:instrText xml:space="preserve"> PAGEREF _Toc183520367 \h </w:instrText>
        </w:r>
        <w:r>
          <w:rPr>
            <w:noProof/>
            <w:webHidden/>
          </w:rPr>
        </w:r>
        <w:r>
          <w:rPr>
            <w:noProof/>
            <w:webHidden/>
          </w:rPr>
          <w:fldChar w:fldCharType="separate"/>
        </w:r>
        <w:r>
          <w:rPr>
            <w:noProof/>
            <w:webHidden/>
          </w:rPr>
          <w:t>150</w:t>
        </w:r>
        <w:r>
          <w:rPr>
            <w:noProof/>
            <w:webHidden/>
          </w:rPr>
          <w:fldChar w:fldCharType="end"/>
        </w:r>
      </w:hyperlink>
    </w:p>
    <w:p w14:paraId="3DBA7EDB" w14:textId="22B6DA1E"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8" w:history="1">
        <w:r w:rsidRPr="00E569D5">
          <w:rPr>
            <w:rStyle w:val="Hyperlink"/>
            <w:noProof/>
          </w:rPr>
          <w:t>Figure 95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(no intervention, waitlist or usual care): Fatigue conditions – fatigue</w:t>
        </w:r>
        <w:r>
          <w:rPr>
            <w:noProof/>
            <w:webHidden/>
          </w:rPr>
          <w:tab/>
        </w:r>
        <w:r>
          <w:rPr>
            <w:noProof/>
            <w:webHidden/>
          </w:rPr>
          <w:fldChar w:fldCharType="begin"/>
        </w:r>
        <w:r>
          <w:rPr>
            <w:noProof/>
            <w:webHidden/>
          </w:rPr>
          <w:instrText xml:space="preserve"> PAGEREF _Toc183520368 \h </w:instrText>
        </w:r>
        <w:r>
          <w:rPr>
            <w:noProof/>
            <w:webHidden/>
          </w:rPr>
        </w:r>
        <w:r>
          <w:rPr>
            <w:noProof/>
            <w:webHidden/>
          </w:rPr>
          <w:fldChar w:fldCharType="separate"/>
        </w:r>
        <w:r>
          <w:rPr>
            <w:noProof/>
            <w:webHidden/>
          </w:rPr>
          <w:t>152</w:t>
        </w:r>
        <w:r>
          <w:rPr>
            <w:noProof/>
            <w:webHidden/>
          </w:rPr>
          <w:fldChar w:fldCharType="end"/>
        </w:r>
      </w:hyperlink>
    </w:p>
    <w:p w14:paraId="36A162DD" w14:textId="0D3E4583"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69" w:history="1">
        <w:r w:rsidRPr="00E569D5">
          <w:rPr>
            <w:rStyle w:val="Hyperlink"/>
            <w:noProof/>
          </w:rPr>
          <w:t>Figure 96</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(no intervention, waitlist or usual care): Fatigue conditions – quality of life</w:t>
        </w:r>
        <w:r>
          <w:rPr>
            <w:noProof/>
            <w:webHidden/>
          </w:rPr>
          <w:tab/>
        </w:r>
        <w:r>
          <w:rPr>
            <w:noProof/>
            <w:webHidden/>
          </w:rPr>
          <w:fldChar w:fldCharType="begin"/>
        </w:r>
        <w:r>
          <w:rPr>
            <w:noProof/>
            <w:webHidden/>
          </w:rPr>
          <w:instrText xml:space="preserve"> PAGEREF _Toc183520369 \h </w:instrText>
        </w:r>
        <w:r>
          <w:rPr>
            <w:noProof/>
            <w:webHidden/>
          </w:rPr>
        </w:r>
        <w:r>
          <w:rPr>
            <w:noProof/>
            <w:webHidden/>
          </w:rPr>
          <w:fldChar w:fldCharType="separate"/>
        </w:r>
        <w:r>
          <w:rPr>
            <w:noProof/>
            <w:webHidden/>
          </w:rPr>
          <w:t>153</w:t>
        </w:r>
        <w:r>
          <w:rPr>
            <w:noProof/>
            <w:webHidden/>
          </w:rPr>
          <w:fldChar w:fldCharType="end"/>
        </w:r>
      </w:hyperlink>
    </w:p>
    <w:p w14:paraId="685A80D0" w14:textId="3497BE6C"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70" w:history="1">
        <w:r w:rsidRPr="00E569D5">
          <w:rPr>
            <w:rStyle w:val="Hyperlink"/>
            <w:noProof/>
          </w:rPr>
          <w:t>Figure 97</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Risk of bias summary: review authors' judgement about each risk of bias item for each included study: Fibromyalgia</w:t>
        </w:r>
        <w:r>
          <w:rPr>
            <w:noProof/>
            <w:webHidden/>
          </w:rPr>
          <w:tab/>
        </w:r>
        <w:r>
          <w:rPr>
            <w:noProof/>
            <w:webHidden/>
          </w:rPr>
          <w:fldChar w:fldCharType="begin"/>
        </w:r>
        <w:r>
          <w:rPr>
            <w:noProof/>
            <w:webHidden/>
          </w:rPr>
          <w:instrText xml:space="preserve"> PAGEREF _Toc183520370 \h </w:instrText>
        </w:r>
        <w:r>
          <w:rPr>
            <w:noProof/>
            <w:webHidden/>
          </w:rPr>
        </w:r>
        <w:r>
          <w:rPr>
            <w:noProof/>
            <w:webHidden/>
          </w:rPr>
          <w:fldChar w:fldCharType="separate"/>
        </w:r>
        <w:r>
          <w:rPr>
            <w:noProof/>
            <w:webHidden/>
          </w:rPr>
          <w:t>155</w:t>
        </w:r>
        <w:r>
          <w:rPr>
            <w:noProof/>
            <w:webHidden/>
          </w:rPr>
          <w:fldChar w:fldCharType="end"/>
        </w:r>
      </w:hyperlink>
    </w:p>
    <w:p w14:paraId="730CA52B" w14:textId="47EF9ABF"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71" w:history="1">
        <w:r w:rsidRPr="00E569D5">
          <w:rPr>
            <w:rStyle w:val="Hyperlink"/>
            <w:noProof/>
          </w:rPr>
          <w:t>Figure 98</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Fibromyalgia – pain intensity</w:t>
        </w:r>
        <w:r>
          <w:rPr>
            <w:noProof/>
            <w:webHidden/>
          </w:rPr>
          <w:tab/>
        </w:r>
        <w:r>
          <w:rPr>
            <w:noProof/>
            <w:webHidden/>
          </w:rPr>
          <w:fldChar w:fldCharType="begin"/>
        </w:r>
        <w:r>
          <w:rPr>
            <w:noProof/>
            <w:webHidden/>
          </w:rPr>
          <w:instrText xml:space="preserve"> PAGEREF _Toc183520371 \h </w:instrText>
        </w:r>
        <w:r>
          <w:rPr>
            <w:noProof/>
            <w:webHidden/>
          </w:rPr>
        </w:r>
        <w:r>
          <w:rPr>
            <w:noProof/>
            <w:webHidden/>
          </w:rPr>
          <w:fldChar w:fldCharType="separate"/>
        </w:r>
        <w:r>
          <w:rPr>
            <w:noProof/>
            <w:webHidden/>
          </w:rPr>
          <w:t>159</w:t>
        </w:r>
        <w:r>
          <w:rPr>
            <w:noProof/>
            <w:webHidden/>
          </w:rPr>
          <w:fldChar w:fldCharType="end"/>
        </w:r>
      </w:hyperlink>
    </w:p>
    <w:p w14:paraId="47295B41" w14:textId="53FE8737"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72" w:history="1">
        <w:r w:rsidRPr="00E569D5">
          <w:rPr>
            <w:rStyle w:val="Hyperlink"/>
            <w:noProof/>
          </w:rPr>
          <w:t>Figure 99</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Fibromyalgia – fatigue</w:t>
        </w:r>
        <w:r>
          <w:rPr>
            <w:noProof/>
            <w:webHidden/>
          </w:rPr>
          <w:tab/>
        </w:r>
        <w:r>
          <w:rPr>
            <w:noProof/>
            <w:webHidden/>
          </w:rPr>
          <w:fldChar w:fldCharType="begin"/>
        </w:r>
        <w:r>
          <w:rPr>
            <w:noProof/>
            <w:webHidden/>
          </w:rPr>
          <w:instrText xml:space="preserve"> PAGEREF _Toc183520372 \h </w:instrText>
        </w:r>
        <w:r>
          <w:rPr>
            <w:noProof/>
            <w:webHidden/>
          </w:rPr>
        </w:r>
        <w:r>
          <w:rPr>
            <w:noProof/>
            <w:webHidden/>
          </w:rPr>
          <w:fldChar w:fldCharType="separate"/>
        </w:r>
        <w:r>
          <w:rPr>
            <w:noProof/>
            <w:webHidden/>
          </w:rPr>
          <w:t>159</w:t>
        </w:r>
        <w:r>
          <w:rPr>
            <w:noProof/>
            <w:webHidden/>
          </w:rPr>
          <w:fldChar w:fldCharType="end"/>
        </w:r>
      </w:hyperlink>
    </w:p>
    <w:p w14:paraId="189EB78A" w14:textId="35D0DFB5"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73" w:history="1">
        <w:r w:rsidRPr="00E569D5">
          <w:rPr>
            <w:rStyle w:val="Hyperlink"/>
            <w:noProof/>
          </w:rPr>
          <w:t>Figure 100</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Fibromyalgia – health-related quality of life</w:t>
        </w:r>
        <w:r>
          <w:rPr>
            <w:noProof/>
            <w:webHidden/>
          </w:rPr>
          <w:tab/>
        </w:r>
        <w:r>
          <w:rPr>
            <w:noProof/>
            <w:webHidden/>
          </w:rPr>
          <w:fldChar w:fldCharType="begin"/>
        </w:r>
        <w:r>
          <w:rPr>
            <w:noProof/>
            <w:webHidden/>
          </w:rPr>
          <w:instrText xml:space="preserve"> PAGEREF _Toc183520373 \h </w:instrText>
        </w:r>
        <w:r>
          <w:rPr>
            <w:noProof/>
            <w:webHidden/>
          </w:rPr>
        </w:r>
        <w:r>
          <w:rPr>
            <w:noProof/>
            <w:webHidden/>
          </w:rPr>
          <w:fldChar w:fldCharType="separate"/>
        </w:r>
        <w:r>
          <w:rPr>
            <w:noProof/>
            <w:webHidden/>
          </w:rPr>
          <w:t>160</w:t>
        </w:r>
        <w:r>
          <w:rPr>
            <w:noProof/>
            <w:webHidden/>
          </w:rPr>
          <w:fldChar w:fldCharType="end"/>
        </w:r>
      </w:hyperlink>
    </w:p>
    <w:p w14:paraId="1BF3E454" w14:textId="7FAB5CDB"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74" w:history="1">
        <w:r w:rsidRPr="00E569D5">
          <w:rPr>
            <w:rStyle w:val="Hyperlink"/>
            <w:noProof/>
          </w:rPr>
          <w:t>Figure 101</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primary comparison: Homeopathy vs placebo: Fibromyalgia – emotional wellbeing</w:t>
        </w:r>
        <w:r>
          <w:rPr>
            <w:noProof/>
            <w:webHidden/>
          </w:rPr>
          <w:tab/>
        </w:r>
        <w:r>
          <w:rPr>
            <w:noProof/>
            <w:webHidden/>
          </w:rPr>
          <w:fldChar w:fldCharType="begin"/>
        </w:r>
        <w:r>
          <w:rPr>
            <w:noProof/>
            <w:webHidden/>
          </w:rPr>
          <w:instrText xml:space="preserve"> PAGEREF _Toc183520374 \h </w:instrText>
        </w:r>
        <w:r>
          <w:rPr>
            <w:noProof/>
            <w:webHidden/>
          </w:rPr>
        </w:r>
        <w:r>
          <w:rPr>
            <w:noProof/>
            <w:webHidden/>
          </w:rPr>
          <w:fldChar w:fldCharType="separate"/>
        </w:r>
        <w:r>
          <w:rPr>
            <w:noProof/>
            <w:webHidden/>
          </w:rPr>
          <w:t>160</w:t>
        </w:r>
        <w:r>
          <w:rPr>
            <w:noProof/>
            <w:webHidden/>
          </w:rPr>
          <w:fldChar w:fldCharType="end"/>
        </w:r>
      </w:hyperlink>
    </w:p>
    <w:p w14:paraId="768B3105" w14:textId="47251C16"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75" w:history="1">
        <w:r w:rsidRPr="00E569D5">
          <w:rPr>
            <w:rStyle w:val="Hyperlink"/>
            <w:noProof/>
          </w:rPr>
          <w:t>Figure 102</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Fibromyalgia – pain intensity</w:t>
        </w:r>
        <w:r>
          <w:rPr>
            <w:noProof/>
            <w:webHidden/>
          </w:rPr>
          <w:tab/>
        </w:r>
        <w:r>
          <w:rPr>
            <w:noProof/>
            <w:webHidden/>
          </w:rPr>
          <w:fldChar w:fldCharType="begin"/>
        </w:r>
        <w:r>
          <w:rPr>
            <w:noProof/>
            <w:webHidden/>
          </w:rPr>
          <w:instrText xml:space="preserve"> PAGEREF _Toc183520375 \h </w:instrText>
        </w:r>
        <w:r>
          <w:rPr>
            <w:noProof/>
            <w:webHidden/>
          </w:rPr>
        </w:r>
        <w:r>
          <w:rPr>
            <w:noProof/>
            <w:webHidden/>
          </w:rPr>
          <w:fldChar w:fldCharType="separate"/>
        </w:r>
        <w:r>
          <w:rPr>
            <w:noProof/>
            <w:webHidden/>
          </w:rPr>
          <w:t>161</w:t>
        </w:r>
        <w:r>
          <w:rPr>
            <w:noProof/>
            <w:webHidden/>
          </w:rPr>
          <w:fldChar w:fldCharType="end"/>
        </w:r>
      </w:hyperlink>
    </w:p>
    <w:p w14:paraId="54E48A18" w14:textId="3EB903C2"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76" w:history="1">
        <w:r w:rsidRPr="00E569D5">
          <w:rPr>
            <w:rStyle w:val="Hyperlink"/>
            <w:noProof/>
          </w:rPr>
          <w:t>Figure 103</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Fibromyalgia – fatigue</w:t>
        </w:r>
        <w:r>
          <w:rPr>
            <w:noProof/>
            <w:webHidden/>
          </w:rPr>
          <w:tab/>
        </w:r>
        <w:r>
          <w:rPr>
            <w:noProof/>
            <w:webHidden/>
          </w:rPr>
          <w:fldChar w:fldCharType="begin"/>
        </w:r>
        <w:r>
          <w:rPr>
            <w:noProof/>
            <w:webHidden/>
          </w:rPr>
          <w:instrText xml:space="preserve"> PAGEREF _Toc183520376 \h </w:instrText>
        </w:r>
        <w:r>
          <w:rPr>
            <w:noProof/>
            <w:webHidden/>
          </w:rPr>
        </w:r>
        <w:r>
          <w:rPr>
            <w:noProof/>
            <w:webHidden/>
          </w:rPr>
          <w:fldChar w:fldCharType="separate"/>
        </w:r>
        <w:r>
          <w:rPr>
            <w:noProof/>
            <w:webHidden/>
          </w:rPr>
          <w:t>161</w:t>
        </w:r>
        <w:r>
          <w:rPr>
            <w:noProof/>
            <w:webHidden/>
          </w:rPr>
          <w:fldChar w:fldCharType="end"/>
        </w:r>
      </w:hyperlink>
    </w:p>
    <w:p w14:paraId="5E92AF88" w14:textId="0A4F150A"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77" w:history="1">
        <w:r w:rsidRPr="00E569D5">
          <w:rPr>
            <w:rStyle w:val="Hyperlink"/>
            <w:noProof/>
          </w:rPr>
          <w:t>Figure 104</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Fibromyalgia – health-related quality of life</w:t>
        </w:r>
        <w:r>
          <w:rPr>
            <w:noProof/>
            <w:webHidden/>
          </w:rPr>
          <w:tab/>
        </w:r>
        <w:r>
          <w:rPr>
            <w:noProof/>
            <w:webHidden/>
          </w:rPr>
          <w:fldChar w:fldCharType="begin"/>
        </w:r>
        <w:r>
          <w:rPr>
            <w:noProof/>
            <w:webHidden/>
          </w:rPr>
          <w:instrText xml:space="preserve"> PAGEREF _Toc183520377 \h </w:instrText>
        </w:r>
        <w:r>
          <w:rPr>
            <w:noProof/>
            <w:webHidden/>
          </w:rPr>
        </w:r>
        <w:r>
          <w:rPr>
            <w:noProof/>
            <w:webHidden/>
          </w:rPr>
          <w:fldChar w:fldCharType="separate"/>
        </w:r>
        <w:r>
          <w:rPr>
            <w:noProof/>
            <w:webHidden/>
          </w:rPr>
          <w:t>161</w:t>
        </w:r>
        <w:r>
          <w:rPr>
            <w:noProof/>
            <w:webHidden/>
          </w:rPr>
          <w:fldChar w:fldCharType="end"/>
        </w:r>
      </w:hyperlink>
    </w:p>
    <w:p w14:paraId="3C64D510" w14:textId="397048A2" w:rsidR="00EB0A81" w:rsidRDefault="00EB0A81">
      <w:pPr>
        <w:pStyle w:val="TableofFigures"/>
        <w:tabs>
          <w:tab w:val="right" w:leader="dot" w:pos="9741"/>
        </w:tabs>
        <w:rPr>
          <w:rFonts w:asciiTheme="minorHAnsi" w:eastAsiaTheme="minorEastAsia" w:hAnsiTheme="minorHAnsi" w:cstheme="minorBidi"/>
          <w:noProof/>
          <w:color w:val="auto"/>
          <w:kern w:val="2"/>
          <w:sz w:val="24"/>
          <w:szCs w:val="24"/>
          <w:lang w:eastAsia="en-AU"/>
          <w14:ligatures w14:val="standardContextual"/>
        </w:rPr>
      </w:pPr>
      <w:hyperlink w:anchor="_Toc183520378" w:history="1">
        <w:r w:rsidRPr="00E569D5">
          <w:rPr>
            <w:rStyle w:val="Hyperlink"/>
            <w:noProof/>
          </w:rPr>
          <w:t>Figure 105</w:t>
        </w:r>
        <w:r>
          <w:rPr>
            <w:rFonts w:asciiTheme="minorHAnsi" w:eastAsiaTheme="minorEastAsia" w:hAnsiTheme="minorHAnsi" w:cstheme="minorBidi"/>
            <w:noProof/>
            <w:color w:val="auto"/>
            <w:kern w:val="2"/>
            <w:sz w:val="24"/>
            <w:szCs w:val="24"/>
            <w:lang w:eastAsia="en-AU"/>
            <w14:ligatures w14:val="standardContextual"/>
          </w:rPr>
          <w:tab/>
        </w:r>
        <w:r w:rsidRPr="00E569D5">
          <w:rPr>
            <w:rStyle w:val="Hyperlink"/>
            <w:noProof/>
          </w:rPr>
          <w:t>Forest plot of secondary comparison: Homeopathy vs inactive control (no intervention): Fibromyalgia – emotional wellbeing</w:t>
        </w:r>
        <w:r>
          <w:rPr>
            <w:noProof/>
            <w:webHidden/>
          </w:rPr>
          <w:tab/>
        </w:r>
        <w:r>
          <w:rPr>
            <w:noProof/>
            <w:webHidden/>
          </w:rPr>
          <w:fldChar w:fldCharType="begin"/>
        </w:r>
        <w:r>
          <w:rPr>
            <w:noProof/>
            <w:webHidden/>
          </w:rPr>
          <w:instrText xml:space="preserve"> PAGEREF _Toc183520378 \h </w:instrText>
        </w:r>
        <w:r>
          <w:rPr>
            <w:noProof/>
            <w:webHidden/>
          </w:rPr>
        </w:r>
        <w:r>
          <w:rPr>
            <w:noProof/>
            <w:webHidden/>
          </w:rPr>
          <w:fldChar w:fldCharType="separate"/>
        </w:r>
        <w:r>
          <w:rPr>
            <w:noProof/>
            <w:webHidden/>
          </w:rPr>
          <w:t>162</w:t>
        </w:r>
        <w:r>
          <w:rPr>
            <w:noProof/>
            <w:webHidden/>
          </w:rPr>
          <w:fldChar w:fldCharType="end"/>
        </w:r>
      </w:hyperlink>
    </w:p>
    <w:p w14:paraId="74691F6B" w14:textId="3C7CE331" w:rsidR="00DD505D" w:rsidRPr="00A55335" w:rsidRDefault="00DD505D" w:rsidP="00DD505D">
      <w:pPr>
        <w:pStyle w:val="TableofFigures"/>
        <w:tabs>
          <w:tab w:val="left" w:pos="1134"/>
          <w:tab w:val="right" w:leader="dot" w:pos="9015"/>
        </w:tabs>
      </w:pPr>
      <w:r w:rsidRPr="00A55335">
        <w:fldChar w:fldCharType="end"/>
      </w:r>
    </w:p>
    <w:bookmarkEnd w:id="7"/>
    <w:p w14:paraId="7FE74D92" w14:textId="77777777" w:rsidR="00DD505D" w:rsidRPr="00A55335" w:rsidRDefault="00DD505D" w:rsidP="00DD505D">
      <w:pPr>
        <w:pStyle w:val="BodyText"/>
      </w:pPr>
    </w:p>
    <w:p w14:paraId="6797C40F" w14:textId="77777777" w:rsidR="00DD505D" w:rsidRPr="00A55335" w:rsidRDefault="00DD505D" w:rsidP="00DD505D">
      <w:pPr>
        <w:pStyle w:val="H1-NoNumColour"/>
      </w:pPr>
      <w:bookmarkStart w:id="11" w:name="_Toc183441286"/>
      <w:r w:rsidRPr="00A55335">
        <w:lastRenderedPageBreak/>
        <w:t>List of abbreviations</w:t>
      </w:r>
      <w:bookmarkEnd w:id="11"/>
    </w:p>
    <w:p w14:paraId="4449748D" w14:textId="77777777" w:rsidR="00DD505D" w:rsidRPr="00A55335" w:rsidRDefault="00DD505D" w:rsidP="00DD505D">
      <w:pPr>
        <w:pStyle w:val="BodyText"/>
      </w:pPr>
    </w:p>
    <w:p w14:paraId="08C90754" w14:textId="4F4CD3E9" w:rsidR="00E537F5" w:rsidRDefault="00E537F5" w:rsidP="00DD505D">
      <w:pPr>
        <w:pStyle w:val="BodyText"/>
      </w:pPr>
      <w:r w:rsidRPr="00A55335">
        <w:t xml:space="preserve">AMED </w:t>
      </w:r>
      <w:r w:rsidR="00E668CE">
        <w:tab/>
      </w:r>
      <w:r w:rsidR="00E668CE">
        <w:tab/>
      </w:r>
      <w:r w:rsidR="00E668CE" w:rsidRPr="00E668CE">
        <w:t>Allied and Complementary Medicine Database</w:t>
      </w:r>
    </w:p>
    <w:p w14:paraId="51091DCA" w14:textId="36F8FB2F" w:rsidR="00DD505D" w:rsidRPr="00A55335" w:rsidRDefault="00DD505D" w:rsidP="00DD505D">
      <w:pPr>
        <w:pStyle w:val="BodyText"/>
      </w:pPr>
      <w:r w:rsidRPr="00A55335">
        <w:t>BRISA</w:t>
      </w:r>
      <w:r w:rsidRPr="00A55335">
        <w:tab/>
      </w:r>
      <w:r w:rsidRPr="00A55335">
        <w:tab/>
        <w:t xml:space="preserve">Regional Base of Health Technology Assessment Reports of the Americas </w:t>
      </w:r>
    </w:p>
    <w:p w14:paraId="5BD5A850" w14:textId="360DBA19" w:rsidR="00E537F5" w:rsidRDefault="00E537F5" w:rsidP="00DD505D">
      <w:pPr>
        <w:pStyle w:val="BodyText"/>
      </w:pPr>
      <w:r w:rsidRPr="00A55335">
        <w:t xml:space="preserve">CENTRAL </w:t>
      </w:r>
      <w:r w:rsidR="005A4440">
        <w:tab/>
        <w:t>Cochrane Cont</w:t>
      </w:r>
      <w:r w:rsidR="004D774C">
        <w:t>r</w:t>
      </w:r>
      <w:r w:rsidR="005A4440">
        <w:t>olled Register of Trials</w:t>
      </w:r>
    </w:p>
    <w:p w14:paraId="35D2CC8F" w14:textId="13CB7125" w:rsidR="00AD25C9" w:rsidRPr="00A55335" w:rsidRDefault="00AD25C9" w:rsidP="00DD505D">
      <w:pPr>
        <w:pStyle w:val="BodyText"/>
      </w:pPr>
      <w:r w:rsidRPr="00A55335">
        <w:t>CH</w:t>
      </w:r>
      <w:r w:rsidRPr="00A55335">
        <w:tab/>
      </w:r>
      <w:r w:rsidRPr="00A55335">
        <w:tab/>
      </w:r>
      <w:r w:rsidR="008025A1">
        <w:t>C</w:t>
      </w:r>
      <w:r w:rsidRPr="00A55335">
        <w:t>entesimal dilutions using Hahnemann's dilution method</w:t>
      </w:r>
    </w:p>
    <w:p w14:paraId="65C89CAE" w14:textId="77777777" w:rsidR="00DD505D" w:rsidRPr="00A55335" w:rsidRDefault="00DD505D" w:rsidP="00DD505D">
      <w:pPr>
        <w:pStyle w:val="BodyText"/>
      </w:pPr>
      <w:r w:rsidRPr="00A55335">
        <w:t xml:space="preserve">CINAHL </w:t>
      </w:r>
      <w:r w:rsidRPr="00A55335">
        <w:tab/>
        <w:t>Cumulative Index to Nursing and Allied Health Literature</w:t>
      </w:r>
    </w:p>
    <w:p w14:paraId="5C2FB84B" w14:textId="13F37ED7" w:rsidR="00DD505D" w:rsidRPr="00A55335" w:rsidRDefault="00DD505D" w:rsidP="00DD505D">
      <w:pPr>
        <w:pStyle w:val="BodyText"/>
      </w:pPr>
      <w:r w:rsidRPr="00A55335">
        <w:t>COMET</w:t>
      </w:r>
      <w:r w:rsidRPr="00A55335">
        <w:tab/>
        <w:t>Core Outcome Measures in Effectiveness Trials</w:t>
      </w:r>
    </w:p>
    <w:p w14:paraId="67DE5D53" w14:textId="1BBF03A7" w:rsidR="00AD25C9" w:rsidRPr="00A55335" w:rsidRDefault="00AD25C9" w:rsidP="00AD25C9">
      <w:pPr>
        <w:pStyle w:val="BodyText"/>
      </w:pPr>
      <w:r w:rsidRPr="00A55335">
        <w:t>D</w:t>
      </w:r>
      <w:r w:rsidRPr="00A55335">
        <w:tab/>
      </w:r>
      <w:r w:rsidRPr="00A55335">
        <w:tab/>
        <w:t xml:space="preserve">Decimal dilutions </w:t>
      </w:r>
    </w:p>
    <w:p w14:paraId="67D2462F" w14:textId="615ECF43" w:rsidR="008F5856" w:rsidRPr="00A55335" w:rsidRDefault="008F5856" w:rsidP="00DD505D">
      <w:pPr>
        <w:pStyle w:val="BodyText"/>
      </w:pPr>
      <w:r w:rsidRPr="00A55335">
        <w:t>DSM</w:t>
      </w:r>
      <w:r w:rsidRPr="00A55335">
        <w:tab/>
      </w:r>
      <w:r w:rsidRPr="00A55335">
        <w:tab/>
        <w:t>Diagnostic and Statistical Manual of Mental Disorders</w:t>
      </w:r>
    </w:p>
    <w:p w14:paraId="2DBE0378" w14:textId="0D99FED7" w:rsidR="00DD505D" w:rsidRPr="00A55335" w:rsidRDefault="00DD505D" w:rsidP="00DD505D">
      <w:pPr>
        <w:pStyle w:val="BodyText"/>
      </w:pPr>
      <w:r w:rsidRPr="00A55335">
        <w:t>GRADE</w:t>
      </w:r>
      <w:r w:rsidRPr="00A55335">
        <w:tab/>
      </w:r>
      <w:r w:rsidRPr="00A55335">
        <w:tab/>
        <w:t>Grading of Recommendations Assessment, Development and Evaluation</w:t>
      </w:r>
    </w:p>
    <w:p w14:paraId="6D97CD7C" w14:textId="3481BB04" w:rsidR="00DD505D" w:rsidRPr="00A55335" w:rsidRDefault="00DD505D" w:rsidP="00DD505D">
      <w:pPr>
        <w:pStyle w:val="BodyText"/>
      </w:pPr>
      <w:r w:rsidRPr="00A55335">
        <w:t>ITT</w:t>
      </w:r>
      <w:r w:rsidRPr="00A55335">
        <w:tab/>
      </w:r>
      <w:r w:rsidRPr="00A55335">
        <w:tab/>
      </w:r>
      <w:r w:rsidR="008025A1">
        <w:t>I</w:t>
      </w:r>
      <w:r w:rsidR="008025A1" w:rsidRPr="00A55335">
        <w:t>ntent</w:t>
      </w:r>
      <w:r w:rsidRPr="00A55335">
        <w:t>-to-treat</w:t>
      </w:r>
    </w:p>
    <w:p w14:paraId="09FBDCC3" w14:textId="6921DCCC" w:rsidR="00AD25C9" w:rsidRPr="00A55335" w:rsidRDefault="00AD25C9" w:rsidP="00AD25C9">
      <w:pPr>
        <w:pStyle w:val="BodyText"/>
      </w:pPr>
      <w:r w:rsidRPr="00A55335">
        <w:t>M</w:t>
      </w:r>
      <w:r w:rsidRPr="00A55335">
        <w:tab/>
      </w:r>
      <w:r w:rsidRPr="00A55335">
        <w:tab/>
        <w:t>millesimal dilutions</w:t>
      </w:r>
    </w:p>
    <w:p w14:paraId="66AB9C0D" w14:textId="1A102778" w:rsidR="00463EDF" w:rsidRDefault="00552692" w:rsidP="00DD505D">
      <w:pPr>
        <w:pStyle w:val="BodyText"/>
      </w:pPr>
      <w:r>
        <w:t>MCID</w:t>
      </w:r>
      <w:r w:rsidR="00463EDF">
        <w:tab/>
      </w:r>
      <w:r w:rsidR="00463EDF">
        <w:tab/>
      </w:r>
      <w:r w:rsidR="00463EDF" w:rsidRPr="00A55335">
        <w:t>minimal clinically important differences</w:t>
      </w:r>
    </w:p>
    <w:p w14:paraId="40E910DD" w14:textId="77777777" w:rsidR="00C704EF" w:rsidRDefault="00C704EF" w:rsidP="00DD505D">
      <w:pPr>
        <w:pStyle w:val="BodyText"/>
      </w:pPr>
      <w:proofErr w:type="spellStart"/>
      <w:r>
        <w:t>MeSH</w:t>
      </w:r>
      <w:proofErr w:type="spellEnd"/>
      <w:r>
        <w:tab/>
      </w:r>
      <w:r>
        <w:tab/>
        <w:t xml:space="preserve">Medical Subject Headings </w:t>
      </w:r>
    </w:p>
    <w:p w14:paraId="7F8AEF88" w14:textId="3BC2F2CA" w:rsidR="008025A1" w:rsidRDefault="00463EDF" w:rsidP="00DD505D">
      <w:pPr>
        <w:pStyle w:val="BodyText"/>
      </w:pPr>
      <w:r>
        <w:t>MD</w:t>
      </w:r>
      <w:r w:rsidR="008025A1">
        <w:tab/>
      </w:r>
      <w:r w:rsidR="008025A1">
        <w:tab/>
        <w:t>mean difference</w:t>
      </w:r>
    </w:p>
    <w:p w14:paraId="78EB014C" w14:textId="0EA58924" w:rsidR="00463EDF" w:rsidRDefault="00463EDF" w:rsidP="00DD505D">
      <w:pPr>
        <w:pStyle w:val="BodyText"/>
      </w:pPr>
      <w:r>
        <w:t>MID</w:t>
      </w:r>
      <w:r>
        <w:tab/>
      </w:r>
      <w:r>
        <w:tab/>
      </w:r>
      <w:r w:rsidRPr="00A55335">
        <w:t>minimal important difference</w:t>
      </w:r>
    </w:p>
    <w:p w14:paraId="73B30568" w14:textId="2CEC026E" w:rsidR="00DD505D" w:rsidRPr="00A55335" w:rsidRDefault="00DD505D" w:rsidP="00DD505D">
      <w:pPr>
        <w:pStyle w:val="BodyText"/>
      </w:pPr>
      <w:r w:rsidRPr="00A55335">
        <w:t>NHMRC</w:t>
      </w:r>
      <w:r w:rsidRPr="00A55335">
        <w:tab/>
        <w:t>National Health and Medical Research Council</w:t>
      </w:r>
    </w:p>
    <w:p w14:paraId="35E34E42" w14:textId="77777777" w:rsidR="00DD505D" w:rsidRPr="00A55335" w:rsidRDefault="00DD505D" w:rsidP="00DD505D">
      <w:pPr>
        <w:pStyle w:val="BodyText"/>
      </w:pPr>
      <w:r w:rsidRPr="00A55335">
        <w:t>NRSI</w:t>
      </w:r>
      <w:r w:rsidRPr="00A55335">
        <w:tab/>
      </w:r>
      <w:r w:rsidRPr="00A55335">
        <w:tab/>
        <w:t>Nonrandomised study of an intervention</w:t>
      </w:r>
    </w:p>
    <w:p w14:paraId="6C3E0DF8" w14:textId="77777777" w:rsidR="00DD505D" w:rsidRPr="00A55335" w:rsidRDefault="00DD505D" w:rsidP="00DD505D">
      <w:pPr>
        <w:pStyle w:val="BodyText"/>
      </w:pPr>
      <w:r w:rsidRPr="00A55335">
        <w:t>NTREAP</w:t>
      </w:r>
      <w:r w:rsidRPr="00A55335">
        <w:tab/>
        <w:t>Natural Therapies Review Expert Advisory Panel</w:t>
      </w:r>
    </w:p>
    <w:p w14:paraId="23AAD4B0" w14:textId="77777777" w:rsidR="00DD505D" w:rsidRPr="00A55335" w:rsidRDefault="00DD505D" w:rsidP="00DD505D">
      <w:r w:rsidRPr="00A55335">
        <w:t>NTWC</w:t>
      </w:r>
      <w:r w:rsidRPr="00A55335">
        <w:tab/>
      </w:r>
      <w:r w:rsidRPr="00A55335">
        <w:tab/>
        <w:t>Natural Therapies Working Committee</w:t>
      </w:r>
    </w:p>
    <w:p w14:paraId="6BAE257F" w14:textId="77777777" w:rsidR="00DD505D" w:rsidRPr="00A55335" w:rsidRDefault="00DD505D" w:rsidP="00DD505D">
      <w:pPr>
        <w:pStyle w:val="BodyText"/>
      </w:pPr>
      <w:r w:rsidRPr="00A55335">
        <w:t>OR</w:t>
      </w:r>
      <w:r w:rsidRPr="00A55335">
        <w:tab/>
      </w:r>
      <w:r w:rsidRPr="00A55335">
        <w:tab/>
        <w:t>Odds ratios</w:t>
      </w:r>
    </w:p>
    <w:p w14:paraId="12E176DF" w14:textId="1492D6DB" w:rsidR="00DD505D" w:rsidRPr="00A55335" w:rsidRDefault="00DD505D" w:rsidP="00DD505D">
      <w:pPr>
        <w:pStyle w:val="BodyText"/>
      </w:pPr>
      <w:r w:rsidRPr="00A55335">
        <w:t>PAHO</w:t>
      </w:r>
      <w:r w:rsidR="00E537F5">
        <w:t xml:space="preserve"> VHL</w:t>
      </w:r>
      <w:r w:rsidRPr="00A55335">
        <w:tab/>
        <w:t>Pan American Health Organization</w:t>
      </w:r>
      <w:r w:rsidR="00E537F5">
        <w:t xml:space="preserve"> Virtual Health Library</w:t>
      </w:r>
    </w:p>
    <w:p w14:paraId="6E99F4B1" w14:textId="77777777" w:rsidR="00DD505D" w:rsidRPr="00A55335" w:rsidRDefault="00DD505D" w:rsidP="00DD505D">
      <w:pPr>
        <w:pStyle w:val="BodyText"/>
      </w:pPr>
      <w:r w:rsidRPr="00A55335">
        <w:t>PICO</w:t>
      </w:r>
      <w:r w:rsidRPr="00A55335">
        <w:tab/>
      </w:r>
      <w:r w:rsidRPr="00A55335">
        <w:tab/>
        <w:t>Population, Intervention, Comparator, Outcome</w:t>
      </w:r>
    </w:p>
    <w:p w14:paraId="234D2689" w14:textId="77777777" w:rsidR="00DD505D" w:rsidRPr="00A55335" w:rsidRDefault="00DD505D" w:rsidP="00DD505D">
      <w:pPr>
        <w:pStyle w:val="BodyText"/>
      </w:pPr>
      <w:r w:rsidRPr="00A55335">
        <w:t>PP</w:t>
      </w:r>
      <w:r w:rsidRPr="00A55335">
        <w:tab/>
      </w:r>
      <w:r w:rsidRPr="00A55335">
        <w:tab/>
        <w:t>Per protocol</w:t>
      </w:r>
    </w:p>
    <w:p w14:paraId="61CC0F8A" w14:textId="14DB1AB1" w:rsidR="00DD505D" w:rsidRPr="00A55335" w:rsidRDefault="00DD505D" w:rsidP="00DD505D">
      <w:pPr>
        <w:pStyle w:val="BodyText"/>
      </w:pPr>
      <w:r w:rsidRPr="00A55335">
        <w:t>PRISMA</w:t>
      </w:r>
      <w:r w:rsidRPr="00A55335">
        <w:tab/>
        <w:t>Preferred Reporting Items for Systematic Reviews and Meta-Analyses</w:t>
      </w:r>
    </w:p>
    <w:p w14:paraId="6C7CFCB1" w14:textId="77777777" w:rsidR="00DD505D" w:rsidRPr="00A55335" w:rsidRDefault="00DD505D" w:rsidP="00DD505D">
      <w:pPr>
        <w:pStyle w:val="BodyText"/>
      </w:pPr>
      <w:r w:rsidRPr="00A55335">
        <w:t>RCT</w:t>
      </w:r>
      <w:r w:rsidRPr="00A55335">
        <w:tab/>
      </w:r>
      <w:r w:rsidRPr="00A55335">
        <w:tab/>
        <w:t>Randomised controlled trial</w:t>
      </w:r>
    </w:p>
    <w:p w14:paraId="11F71128" w14:textId="77777777" w:rsidR="00DD505D" w:rsidRPr="00A55335" w:rsidRDefault="00DD505D" w:rsidP="00DD505D">
      <w:pPr>
        <w:pStyle w:val="BodyText"/>
      </w:pPr>
      <w:proofErr w:type="spellStart"/>
      <w:r w:rsidRPr="00A55335">
        <w:t>RoB</w:t>
      </w:r>
      <w:proofErr w:type="spellEnd"/>
      <w:r w:rsidRPr="00A55335">
        <w:tab/>
      </w:r>
      <w:r w:rsidRPr="00A55335">
        <w:tab/>
        <w:t>Risk of bias</w:t>
      </w:r>
    </w:p>
    <w:p w14:paraId="4E59F2F0" w14:textId="77777777" w:rsidR="00DD505D" w:rsidRPr="00A55335" w:rsidRDefault="00DD505D" w:rsidP="00DD505D">
      <w:pPr>
        <w:pStyle w:val="BodyText"/>
      </w:pPr>
      <w:r w:rsidRPr="00A55335">
        <w:t>RR</w:t>
      </w:r>
      <w:r w:rsidRPr="00A55335">
        <w:tab/>
      </w:r>
      <w:r w:rsidRPr="00A55335">
        <w:tab/>
        <w:t>Risk ratios</w:t>
      </w:r>
    </w:p>
    <w:p w14:paraId="35B1265D" w14:textId="77777777" w:rsidR="00DD505D" w:rsidRPr="00A55335" w:rsidRDefault="00DD505D" w:rsidP="00DD505D">
      <w:pPr>
        <w:pStyle w:val="BodyText"/>
      </w:pPr>
      <w:r w:rsidRPr="00A55335">
        <w:t>SD</w:t>
      </w:r>
      <w:r w:rsidRPr="00A55335">
        <w:tab/>
      </w:r>
      <w:r w:rsidRPr="00A55335">
        <w:tab/>
        <w:t>Standard deviation</w:t>
      </w:r>
    </w:p>
    <w:p w14:paraId="05166028" w14:textId="22173025" w:rsidR="00FD1842" w:rsidRDefault="00FD1842" w:rsidP="00BC5742">
      <w:pPr>
        <w:pStyle w:val="BodyText"/>
      </w:pPr>
      <w:r>
        <w:t>SMD</w:t>
      </w:r>
      <w:r>
        <w:tab/>
      </w:r>
      <w:r>
        <w:tab/>
        <w:t>S</w:t>
      </w:r>
      <w:r w:rsidR="00BC5742" w:rsidRPr="00A55335">
        <w:t xml:space="preserve">tandardised mean difference </w:t>
      </w:r>
    </w:p>
    <w:p w14:paraId="793FDB99" w14:textId="64895F35" w:rsidR="00BC5742" w:rsidRPr="00A55335" w:rsidRDefault="00BC5742" w:rsidP="00BC5742">
      <w:pPr>
        <w:pStyle w:val="BodyText"/>
      </w:pPr>
      <w:r w:rsidRPr="00A55335">
        <w:t>SR</w:t>
      </w:r>
      <w:r w:rsidRPr="00A55335">
        <w:tab/>
      </w:r>
      <w:r w:rsidRPr="00A55335">
        <w:tab/>
        <w:t>Systematic review</w:t>
      </w:r>
    </w:p>
    <w:p w14:paraId="68197CA6" w14:textId="77777777" w:rsidR="00DD505D" w:rsidRPr="00A55335" w:rsidRDefault="00DD505D" w:rsidP="00DD505D">
      <w:pPr>
        <w:pStyle w:val="BodyText"/>
      </w:pPr>
      <w:r w:rsidRPr="00A55335">
        <w:t>TIDIER</w:t>
      </w:r>
      <w:r w:rsidRPr="00A55335">
        <w:tab/>
      </w:r>
      <w:r w:rsidRPr="00A55335">
        <w:tab/>
        <w:t>Template for Intervention Description and Replication</w:t>
      </w:r>
    </w:p>
    <w:p w14:paraId="1EFCA75C" w14:textId="71C3F50A" w:rsidR="00AD25C9" w:rsidRPr="00A55335" w:rsidRDefault="00AD25C9" w:rsidP="00DD505D">
      <w:pPr>
        <w:pStyle w:val="BodyText"/>
      </w:pPr>
      <w:r w:rsidRPr="00A55335">
        <w:t>X</w:t>
      </w:r>
      <w:r w:rsidRPr="00A55335">
        <w:tab/>
      </w:r>
      <w:r w:rsidRPr="00A55335">
        <w:tab/>
        <w:t>Decimal dilutions</w:t>
      </w:r>
    </w:p>
    <w:p w14:paraId="431CD4E4" w14:textId="77777777" w:rsidR="00DC6792" w:rsidRPr="00A55335" w:rsidRDefault="00DC6792" w:rsidP="00DD505D">
      <w:pPr>
        <w:pStyle w:val="BodyText"/>
      </w:pPr>
    </w:p>
    <w:p w14:paraId="34CFD55B" w14:textId="77777777" w:rsidR="00AD25C9" w:rsidRPr="00A55335" w:rsidRDefault="00AD25C9" w:rsidP="00AD25C9">
      <w:pPr>
        <w:pStyle w:val="BodyText"/>
        <w:sectPr w:rsidR="00AD25C9" w:rsidRPr="00A55335" w:rsidSect="00711D24">
          <w:pgSz w:w="11905" w:h="16837" w:code="9"/>
          <w:pgMar w:top="1440" w:right="1077" w:bottom="1440" w:left="1077" w:header="720" w:footer="397" w:gutter="0"/>
          <w:pgNumType w:fmt="lowerRoman"/>
          <w:cols w:space="708"/>
          <w:docGrid w:linePitch="299"/>
        </w:sectPr>
      </w:pPr>
    </w:p>
    <w:p w14:paraId="2438D0DD" w14:textId="77777777" w:rsidR="00DD505D" w:rsidRPr="00A55335" w:rsidRDefault="00DD505D" w:rsidP="00DD505D">
      <w:pPr>
        <w:pStyle w:val="H1-NoNumColour"/>
      </w:pPr>
      <w:bookmarkStart w:id="12" w:name="_Toc183441287"/>
      <w:bookmarkStart w:id="13" w:name="_Toc518163106"/>
      <w:r w:rsidRPr="00A55335">
        <w:lastRenderedPageBreak/>
        <w:t>Plain language summary</w:t>
      </w:r>
      <w:bookmarkEnd w:id="12"/>
    </w:p>
    <w:p w14:paraId="32B168BB" w14:textId="77777777" w:rsidR="00DD505D" w:rsidRPr="00A55335" w:rsidRDefault="00DD505D" w:rsidP="00C373A2">
      <w:pPr>
        <w:pStyle w:val="H2notoc"/>
      </w:pPr>
      <w:r w:rsidRPr="00A55335">
        <w:t xml:space="preserve">What </w:t>
      </w:r>
      <w:bookmarkEnd w:id="13"/>
      <w:r w:rsidRPr="00A55335">
        <w:t>was the aim of this review?</w:t>
      </w:r>
    </w:p>
    <w:p w14:paraId="4EC4D0DE" w14:textId="75B10D98" w:rsidR="00384F31" w:rsidRPr="00A55335" w:rsidRDefault="00384F31" w:rsidP="00384F31">
      <w:pPr>
        <w:pStyle w:val="BodyText"/>
      </w:pPr>
      <w:r w:rsidRPr="00A55335">
        <w:t xml:space="preserve">The aim of this review was to identify eligible studies and assess whether they demonstrate that homeopathy is effective in preventing and/or treating certain injuries, diseases, medical conditions or pre-clinical conditions relevant to the Australian population. </w:t>
      </w:r>
    </w:p>
    <w:p w14:paraId="778B31FD" w14:textId="7808E554" w:rsidR="007924E8" w:rsidRPr="00A55335" w:rsidRDefault="00843984" w:rsidP="006D01A1">
      <w:pPr>
        <w:pStyle w:val="BodyText"/>
      </w:pPr>
      <w:r w:rsidRPr="00A55335">
        <w:t xml:space="preserve">Homeopathy is an alternative medical system based on the premise </w:t>
      </w:r>
      <w:r w:rsidR="006D01A1" w:rsidRPr="00A55335">
        <w:t xml:space="preserve">that </w:t>
      </w:r>
      <w:r w:rsidRPr="00A55335">
        <w:t>if a substance causes similar symptoms in a healthy person</w:t>
      </w:r>
      <w:r w:rsidR="00EE25D3" w:rsidRPr="00A55335">
        <w:t>,</w:t>
      </w:r>
      <w:r w:rsidRPr="00A55335">
        <w:t xml:space="preserve"> that same substance </w:t>
      </w:r>
      <w:r w:rsidR="000A51DB" w:rsidRPr="00A55335">
        <w:t xml:space="preserve">in a highly diluted dose </w:t>
      </w:r>
      <w:r w:rsidRPr="00A55335">
        <w:t>can treat a disease with similar symptoms</w:t>
      </w:r>
      <w:r w:rsidR="006D01A1" w:rsidRPr="00A55335">
        <w:t>.</w:t>
      </w:r>
      <w:r w:rsidRPr="00A55335">
        <w:t xml:space="preserve"> </w:t>
      </w:r>
      <w:r w:rsidR="00593756" w:rsidRPr="00A55335">
        <w:t>I</w:t>
      </w:r>
      <w:r w:rsidR="00401DC3" w:rsidRPr="00A55335">
        <w:t>ndividual</w:t>
      </w:r>
      <w:r w:rsidR="003668F7" w:rsidRPr="00A55335">
        <w:t>i</w:t>
      </w:r>
      <w:r w:rsidR="00401DC3" w:rsidRPr="00A55335">
        <w:t>s</w:t>
      </w:r>
      <w:r w:rsidR="003668F7" w:rsidRPr="00A55335">
        <w:t>ed</w:t>
      </w:r>
      <w:r w:rsidR="00401DC3" w:rsidRPr="00A55335">
        <w:t xml:space="preserve"> (or </w:t>
      </w:r>
      <w:r w:rsidRPr="00A55335">
        <w:t>‘</w:t>
      </w:r>
      <w:r w:rsidR="00401DC3" w:rsidRPr="00A55335">
        <w:t>classical)</w:t>
      </w:r>
      <w:r w:rsidR="00041CCF" w:rsidRPr="00A55335">
        <w:t xml:space="preserve"> homeopathy</w:t>
      </w:r>
      <w:r w:rsidRPr="00A55335">
        <w:t xml:space="preserve"> </w:t>
      </w:r>
      <w:r w:rsidR="00A21D9B" w:rsidRPr="00A55335">
        <w:t>typically involves</w:t>
      </w:r>
      <w:r w:rsidRPr="00A55335">
        <w:t xml:space="preserve"> the prescription of a single medicinal product, based on the holistic assessment of mental, emotional and/or physical symptoms</w:t>
      </w:r>
      <w:r w:rsidR="007924E8" w:rsidRPr="00A55335">
        <w:t xml:space="preserve">. In </w:t>
      </w:r>
      <w:r w:rsidRPr="00A55335">
        <w:t>non-individualised (or ‘fixed’) homeopathy, a specific homeopathic medicinal product is employed (with or without a consultation) for a specific condition</w:t>
      </w:r>
      <w:r w:rsidR="007924E8" w:rsidRPr="00A55335">
        <w:t xml:space="preserve">. </w:t>
      </w:r>
    </w:p>
    <w:p w14:paraId="57722B90" w14:textId="2737D895" w:rsidR="006D01A1" w:rsidRPr="00A55335" w:rsidRDefault="006D01A1" w:rsidP="00843984">
      <w:pPr>
        <w:pStyle w:val="BodyText"/>
      </w:pPr>
      <w:r w:rsidRPr="00A55335">
        <w:t xml:space="preserve">This review </w:t>
      </w:r>
      <w:r w:rsidR="006D6890" w:rsidRPr="00A55335">
        <w:t xml:space="preserve">was </w:t>
      </w:r>
      <w:r w:rsidRPr="00A55335">
        <w:t xml:space="preserve">targeted for the Australian Government Department of Health and Aged Care (Department) to assist in their Natural Therapies Review, which </w:t>
      </w:r>
      <w:r w:rsidR="006D6890" w:rsidRPr="00A55335">
        <w:t xml:space="preserve">was </w:t>
      </w:r>
      <w:r w:rsidRPr="00A55335">
        <w:t xml:space="preserve">designed to determine whether certain natural therapies, including </w:t>
      </w:r>
      <w:r w:rsidR="007924E8" w:rsidRPr="00A55335">
        <w:t>homeopathy</w:t>
      </w:r>
      <w:r w:rsidRPr="00A55335">
        <w:t xml:space="preserve">, have enough evidence of effectiveness to be considered re-eligible for private health insurance rebates. This review </w:t>
      </w:r>
      <w:r w:rsidR="00DE480D" w:rsidRPr="00A55335">
        <w:t xml:space="preserve">was </w:t>
      </w:r>
      <w:r w:rsidRPr="00A55335">
        <w:t xml:space="preserve">not designed to be a complete review of all studies published for </w:t>
      </w:r>
      <w:r w:rsidR="007924E8" w:rsidRPr="00A55335">
        <w:t>homeopathy</w:t>
      </w:r>
      <w:r w:rsidRPr="00A55335">
        <w:t xml:space="preserve">, nor </w:t>
      </w:r>
      <w:r w:rsidR="00DE480D" w:rsidRPr="00A55335">
        <w:t xml:space="preserve">was </w:t>
      </w:r>
      <w:r w:rsidRPr="00A55335">
        <w:t xml:space="preserve">it intended to inform decisions about whether an individual or practitioner should use </w:t>
      </w:r>
      <w:r w:rsidR="007924E8" w:rsidRPr="00A55335">
        <w:t>homeopathy</w:t>
      </w:r>
      <w:r w:rsidRPr="00A55335">
        <w:t>.</w:t>
      </w:r>
    </w:p>
    <w:p w14:paraId="7E018BEA" w14:textId="2325D3AC" w:rsidR="00166E7D" w:rsidRPr="00A55335" w:rsidRDefault="00166E7D" w:rsidP="00166E7D">
      <w:pPr>
        <w:pStyle w:val="H2notoc"/>
      </w:pPr>
      <w:bookmarkStart w:id="14" w:name="_Hlk515025515"/>
      <w:r w:rsidRPr="00A55335">
        <w:t xml:space="preserve">Key </w:t>
      </w:r>
      <w:r w:rsidR="00574438" w:rsidRPr="00A55335">
        <w:t>messages</w:t>
      </w:r>
    </w:p>
    <w:p w14:paraId="4C067AB8" w14:textId="65DB401C" w:rsidR="00F31242" w:rsidRPr="00BD1A50" w:rsidRDefault="00166E7D" w:rsidP="008F6677">
      <w:pPr>
        <w:pStyle w:val="BodyText"/>
      </w:pPr>
      <w:r w:rsidRPr="00BD1A50">
        <w:t>For the populations (or conditions) assessed</w:t>
      </w:r>
      <w:r w:rsidR="00156E1F">
        <w:t>, homeopathy</w:t>
      </w:r>
      <w:r w:rsidR="005566C5">
        <w:t xml:space="preserve"> appears to provide little to no benefit </w:t>
      </w:r>
      <w:r w:rsidR="005566C5" w:rsidRPr="00736B85">
        <w:rPr>
          <w:rStyle w:val="BodyTextChar"/>
        </w:rPr>
        <w:t xml:space="preserve">when compared with placebo (i.e. something that looks identical to the </w:t>
      </w:r>
      <w:proofErr w:type="gramStart"/>
      <w:r w:rsidR="005566C5" w:rsidRPr="00736B85">
        <w:rPr>
          <w:rStyle w:val="BodyTextChar"/>
        </w:rPr>
        <w:t>intervention, but</w:t>
      </w:r>
      <w:proofErr w:type="gramEnd"/>
      <w:r w:rsidR="005566C5" w:rsidRPr="00736B85">
        <w:rPr>
          <w:rStyle w:val="BodyTextChar"/>
        </w:rPr>
        <w:t xml:space="preserve"> is designed to have no therapeutic effect) for most of the priority outcomes for which there is evidence available</w:t>
      </w:r>
      <w:r w:rsidR="00156E1F">
        <w:t xml:space="preserve">. </w:t>
      </w:r>
      <w:r w:rsidR="007D02A4" w:rsidRPr="00BD1A50">
        <w:t>Similar results were seen in the few studies that compared homeopathy to inactive control</w:t>
      </w:r>
      <w:r w:rsidR="004A7F99" w:rsidRPr="00BD1A50">
        <w:t xml:space="preserve"> (e.g. </w:t>
      </w:r>
      <w:r w:rsidR="0006338F" w:rsidRPr="00BD1A50">
        <w:t>waitlist)</w:t>
      </w:r>
      <w:r w:rsidR="007D02A4" w:rsidRPr="00BD1A50">
        <w:t xml:space="preserve">. </w:t>
      </w:r>
      <w:r w:rsidRPr="00BD1A50">
        <w:t>The evidence assessed in this review was rated as</w:t>
      </w:r>
      <w:r w:rsidR="001F7615">
        <w:t xml:space="preserve"> moderate to very low certainty.</w:t>
      </w:r>
      <w:r w:rsidRPr="00BD1A50">
        <w:t xml:space="preserve"> The results of this review are consistent with other systematic reviews of </w:t>
      </w:r>
      <w:r w:rsidR="00580DEC" w:rsidRPr="00BD1A50">
        <w:t>homeopathy</w:t>
      </w:r>
      <w:r w:rsidR="00C2551E" w:rsidRPr="00BD1A50">
        <w:t>,</w:t>
      </w:r>
      <w:r w:rsidRPr="00BD1A50">
        <w:t xml:space="preserve"> in the populations considered in this review, published up to </w:t>
      </w:r>
      <w:r w:rsidR="008E1A97" w:rsidRPr="00BD1A50">
        <w:t>November</w:t>
      </w:r>
      <w:r w:rsidRPr="00BD1A50">
        <w:t xml:space="preserve"> 2023. </w:t>
      </w:r>
    </w:p>
    <w:p w14:paraId="7A9A399C" w14:textId="2538B7CA" w:rsidR="00BE1681" w:rsidRPr="00A55335" w:rsidRDefault="00BE1681" w:rsidP="00BE1681">
      <w:pPr>
        <w:pStyle w:val="H2notoc"/>
      </w:pPr>
      <w:r w:rsidRPr="00A55335">
        <w:lastRenderedPageBreak/>
        <w:t>What was studied in this review?</w:t>
      </w:r>
    </w:p>
    <w:p w14:paraId="09A11DAC" w14:textId="5EDB48A5" w:rsidR="00BE1681" w:rsidRPr="00A55335" w:rsidRDefault="00BE1681" w:rsidP="00BE1681">
      <w:pPr>
        <w:pStyle w:val="BodyText"/>
      </w:pPr>
      <w:r w:rsidRPr="00A55335">
        <w:t>This review identified studies using a planned literature search, with no limit on publication date. To ensure the review was manageable, the review only assessed studies for certain conditions or groups of people. These priority conditions and groups were decided based on Australian survey information and from seeking expert advice about the reasons why people in Australia commonly use homeopathy and the types of conditions seen by homeopaths.</w:t>
      </w:r>
      <w:r w:rsidR="004A0B66" w:rsidRPr="00A55335">
        <w:t xml:space="preserve"> Decisions about which groups to include were made before looking at the results</w:t>
      </w:r>
      <w:r w:rsidR="00E45318" w:rsidRPr="00A55335">
        <w:t xml:space="preserve"> of the</w:t>
      </w:r>
      <w:r w:rsidR="003143E0" w:rsidRPr="00A55335">
        <w:t xml:space="preserve"> studies found</w:t>
      </w:r>
      <w:r w:rsidR="004A0B66" w:rsidRPr="00A55335">
        <w:t>.</w:t>
      </w:r>
      <w:r w:rsidRPr="00A55335">
        <w:t xml:space="preserve"> </w:t>
      </w:r>
      <w:r w:rsidR="0061263F" w:rsidRPr="00A55335">
        <w:t>The primary comparison was</w:t>
      </w:r>
      <w:r w:rsidR="00BB3924">
        <w:t xml:space="preserve"> with</w:t>
      </w:r>
      <w:r w:rsidR="0061263F" w:rsidRPr="00A55335">
        <w:t xml:space="preserve"> </w:t>
      </w:r>
      <w:r w:rsidRPr="00A55335">
        <w:t xml:space="preserve">studies </w:t>
      </w:r>
      <w:r w:rsidR="0061263F" w:rsidRPr="00A55335">
        <w:t xml:space="preserve">comparing </w:t>
      </w:r>
      <w:r w:rsidRPr="00A55335">
        <w:t xml:space="preserve">the results of people who used homeopathy to a group of people who received a placebo. </w:t>
      </w:r>
      <w:bookmarkStart w:id="15" w:name="_Hlk164693605"/>
      <w:r w:rsidR="008833B1" w:rsidRPr="00A55335">
        <w:t xml:space="preserve">This is considered </w:t>
      </w:r>
      <w:bookmarkStart w:id="16" w:name="_Hlk164693778"/>
      <w:r w:rsidR="008833B1" w:rsidRPr="00A55335">
        <w:t xml:space="preserve">as the gold-standard methodology to establish the efficacy of a treatment. </w:t>
      </w:r>
      <w:bookmarkEnd w:id="16"/>
      <w:r w:rsidR="008833B1" w:rsidRPr="00A55335">
        <w:t xml:space="preserve">For completeness, studies that compared people who used homeopathy to a group of people who did not take another intervention (‘inactive control’) were included as a secondary comparison. </w:t>
      </w:r>
      <w:bookmarkEnd w:id="15"/>
      <w:r w:rsidR="003C26EA">
        <w:t xml:space="preserve">This </w:t>
      </w:r>
      <w:r w:rsidR="00F01D90">
        <w:t>‘</w:t>
      </w:r>
      <w:r w:rsidR="00954142">
        <w:t>inactive control</w:t>
      </w:r>
      <w:r w:rsidR="00F01D90">
        <w:t>’</w:t>
      </w:r>
      <w:r w:rsidR="00954142">
        <w:t xml:space="preserve"> </w:t>
      </w:r>
      <w:r w:rsidR="008A5FB0">
        <w:t>may</w:t>
      </w:r>
      <w:r w:rsidR="00954142">
        <w:t xml:space="preserve"> include people continuing their usual care</w:t>
      </w:r>
      <w:r w:rsidR="00C0082D">
        <w:t xml:space="preserve"> (i</w:t>
      </w:r>
      <w:r w:rsidR="00BD58DB">
        <w:t>.</w:t>
      </w:r>
      <w:r w:rsidR="00C0082D">
        <w:t xml:space="preserve">e. </w:t>
      </w:r>
      <w:r w:rsidR="00911610">
        <w:t xml:space="preserve">their </w:t>
      </w:r>
      <w:r w:rsidR="00C0082D" w:rsidRPr="00F30517">
        <w:t>usual medication or practices</w:t>
      </w:r>
      <w:r w:rsidR="00911610">
        <w:t>)</w:t>
      </w:r>
      <w:r w:rsidR="00954142">
        <w:t xml:space="preserve">. </w:t>
      </w:r>
      <w:r w:rsidR="003B568D" w:rsidRPr="00A55335">
        <w:t xml:space="preserve">Studies comparing people who use homeopathy to a different form of treatment (‘active control’) were included in an appendix. </w:t>
      </w:r>
      <w:r w:rsidR="00477661" w:rsidRPr="00A55335">
        <w:t xml:space="preserve">These were not included in the main analysis because different studies used different comparators and outcome measures, which did not meet the criteria planned in the protocol. </w:t>
      </w:r>
      <w:r w:rsidR="00E97DB3">
        <w:t xml:space="preserve">The review </w:t>
      </w:r>
      <w:r w:rsidR="00E97DB3" w:rsidRPr="00A55335">
        <w:t xml:space="preserve">focused on evidence reported in eligible </w:t>
      </w:r>
      <w:r w:rsidR="00E97DB3">
        <w:t>randomised control trials (</w:t>
      </w:r>
      <w:r w:rsidR="00E97DB3" w:rsidRPr="00A55335">
        <w:t>RCTs</w:t>
      </w:r>
      <w:r w:rsidR="00E97DB3">
        <w:t>)</w:t>
      </w:r>
      <w:r w:rsidR="00E97DB3" w:rsidRPr="00A55335">
        <w:t xml:space="preserve"> or quasi RCTs</w:t>
      </w:r>
      <w:r w:rsidR="00E97DB3">
        <w:t xml:space="preserve">, as RCTs </w:t>
      </w:r>
      <w:proofErr w:type="gramStart"/>
      <w:r w:rsidR="00E97DB3">
        <w:t xml:space="preserve">are considered to </w:t>
      </w:r>
      <w:r w:rsidR="00073835">
        <w:t>be</w:t>
      </w:r>
      <w:proofErr w:type="gramEnd"/>
      <w:r w:rsidR="00073835">
        <w:t xml:space="preserve"> the strongest study type.</w:t>
      </w:r>
      <w:r w:rsidR="00E97DB3" w:rsidRPr="00A55335">
        <w:t xml:space="preserve"> </w:t>
      </w:r>
      <w:r w:rsidRPr="00A55335">
        <w:t>Assessment of cost effectiveness, safety and studies of healthy populations were not included in this review.</w:t>
      </w:r>
    </w:p>
    <w:p w14:paraId="04FBF6AD" w14:textId="56167518" w:rsidR="00BE1681" w:rsidRPr="00A55335" w:rsidRDefault="00BE1681" w:rsidP="00BE1681">
      <w:pPr>
        <w:pStyle w:val="BodyText"/>
      </w:pPr>
      <w:r w:rsidRPr="00A55335">
        <w:t xml:space="preserve">Studies published in languages other than English were </w:t>
      </w:r>
      <w:proofErr w:type="gramStart"/>
      <w:r w:rsidRPr="00A55335">
        <w:t>listed, but</w:t>
      </w:r>
      <w:proofErr w:type="gramEnd"/>
      <w:r w:rsidRPr="00A55335">
        <w:t xml:space="preserve"> not included in the assessment. </w:t>
      </w:r>
    </w:p>
    <w:p w14:paraId="5132FE3F" w14:textId="24C4139F" w:rsidR="00BE1681" w:rsidRPr="00A55335" w:rsidRDefault="00BE1681" w:rsidP="00D310E3">
      <w:pPr>
        <w:pStyle w:val="Bulletintro"/>
        <w:rPr>
          <w:lang w:val="en-AU"/>
        </w:rPr>
      </w:pPr>
      <w:r w:rsidRPr="00A55335">
        <w:rPr>
          <w:lang w:val="en-AU"/>
        </w:rPr>
        <w:t xml:space="preserve">Studies were assessed using the Grading of Recommendations, Assessment, Development, and Evaluations (GRADE) framework. GRADE is a method to assess how confident (or certain) systematic review authors can be that the </w:t>
      </w:r>
      <w:r w:rsidR="009376D7" w:rsidRPr="00A55335">
        <w:rPr>
          <w:lang w:val="en-AU"/>
        </w:rPr>
        <w:t>estimates of effect (</w:t>
      </w:r>
      <w:r w:rsidRPr="00A55335">
        <w:rPr>
          <w:lang w:val="en-AU"/>
        </w:rPr>
        <w:t>reported in studies</w:t>
      </w:r>
      <w:r w:rsidR="009376D7" w:rsidRPr="00A55335">
        <w:rPr>
          <w:lang w:val="en-AU"/>
        </w:rPr>
        <w:t>)</w:t>
      </w:r>
      <w:r w:rsidRPr="00A55335">
        <w:rPr>
          <w:lang w:val="en-AU"/>
        </w:rPr>
        <w:t xml:space="preserve"> are </w:t>
      </w:r>
      <w:r w:rsidR="009376D7" w:rsidRPr="00A55335">
        <w:rPr>
          <w:lang w:val="en-AU"/>
        </w:rPr>
        <w:t>accurate</w:t>
      </w:r>
      <w:r w:rsidRPr="00A55335">
        <w:rPr>
          <w:lang w:val="en-AU"/>
        </w:rPr>
        <w:t>. The assessment made by the reviewer is then described as either:</w:t>
      </w:r>
    </w:p>
    <w:p w14:paraId="61E000D9" w14:textId="4E40DFE5" w:rsidR="008B0230" w:rsidRPr="00A55335" w:rsidRDefault="008B0230" w:rsidP="008B0230">
      <w:pPr>
        <w:pStyle w:val="Bullet12"/>
        <w:rPr>
          <w:lang w:val="en-AU"/>
        </w:rPr>
      </w:pPr>
      <w:r w:rsidRPr="00A55335">
        <w:rPr>
          <w:lang w:val="en-AU"/>
        </w:rPr>
        <w:t xml:space="preserve">high certainty – meaning the authors have a lot of confidence that the true effect is </w:t>
      </w:r>
      <w:proofErr w:type="gramStart"/>
      <w:r w:rsidRPr="00A55335">
        <w:rPr>
          <w:lang w:val="en-AU"/>
        </w:rPr>
        <w:t>similar to</w:t>
      </w:r>
      <w:proofErr w:type="gramEnd"/>
      <w:r w:rsidRPr="00A55335">
        <w:rPr>
          <w:lang w:val="en-AU"/>
        </w:rPr>
        <w:t xml:space="preserve"> the estimated effect</w:t>
      </w:r>
      <w:r w:rsidR="009804AE" w:rsidRPr="00A55335">
        <w:rPr>
          <w:lang w:val="en-AU"/>
        </w:rPr>
        <w:t>,</w:t>
      </w:r>
    </w:p>
    <w:p w14:paraId="43A41D83" w14:textId="753AF42B" w:rsidR="008B0230" w:rsidRPr="00A55335" w:rsidRDefault="008B0230" w:rsidP="008B0230">
      <w:pPr>
        <w:pStyle w:val="Bullet12"/>
        <w:rPr>
          <w:lang w:val="en-AU"/>
        </w:rPr>
      </w:pPr>
      <w:r w:rsidRPr="00A55335">
        <w:rPr>
          <w:lang w:val="en-AU"/>
        </w:rPr>
        <w:t xml:space="preserve">moderate certainty – meaning the true effect is probably close to the estimated effect, </w:t>
      </w:r>
    </w:p>
    <w:p w14:paraId="49F6B4CF" w14:textId="55397102" w:rsidR="008B0230" w:rsidRPr="00A55335" w:rsidRDefault="008B0230" w:rsidP="008B0230">
      <w:pPr>
        <w:pStyle w:val="Bullet12"/>
        <w:rPr>
          <w:lang w:val="en-AU"/>
        </w:rPr>
      </w:pPr>
      <w:r w:rsidRPr="00A55335">
        <w:rPr>
          <w:lang w:val="en-AU"/>
        </w:rPr>
        <w:t xml:space="preserve">low certainty – meaning the true effect </w:t>
      </w:r>
      <w:r w:rsidR="00E301F9">
        <w:rPr>
          <w:lang w:val="en-AU"/>
        </w:rPr>
        <w:t>may</w:t>
      </w:r>
      <w:r w:rsidR="00E301F9" w:rsidRPr="00A55335">
        <w:rPr>
          <w:lang w:val="en-AU"/>
        </w:rPr>
        <w:t xml:space="preserve"> </w:t>
      </w:r>
      <w:r w:rsidRPr="00A55335">
        <w:rPr>
          <w:lang w:val="en-AU"/>
        </w:rPr>
        <w:t>be markedly different from the estimated effect,</w:t>
      </w:r>
    </w:p>
    <w:p w14:paraId="2C50A7F4" w14:textId="0139E272" w:rsidR="00BE1681" w:rsidRDefault="00BE1681" w:rsidP="00D310E3">
      <w:pPr>
        <w:pStyle w:val="Bullet12"/>
        <w:rPr>
          <w:lang w:val="en-GB"/>
        </w:rPr>
      </w:pPr>
      <w:r w:rsidRPr="00A55335">
        <w:rPr>
          <w:lang w:val="en-AU"/>
        </w:rPr>
        <w:t>very low certainty – meaning the true effect is probably markedly different from the estimated effect</w:t>
      </w:r>
      <w:r w:rsidR="009804AE" w:rsidRPr="00A55335">
        <w:rPr>
          <w:lang w:val="en-AU"/>
        </w:rPr>
        <w:t>.</w:t>
      </w:r>
      <w:r w:rsidR="00B6078B">
        <w:rPr>
          <w:lang w:val="en-AU"/>
        </w:rPr>
        <w:t xml:space="preserve"> </w:t>
      </w:r>
      <w:r w:rsidR="00B6078B">
        <w:rPr>
          <w:lang w:val="en-GB"/>
        </w:rPr>
        <w:t>Reviewers’ confidence was so limited that interpretation was not provided.</w:t>
      </w:r>
    </w:p>
    <w:p w14:paraId="37013987" w14:textId="235A18F1" w:rsidR="00BE1681" w:rsidRPr="00A55335" w:rsidRDefault="00BE1681" w:rsidP="00D310E3">
      <w:pPr>
        <w:pStyle w:val="H2notoc"/>
      </w:pPr>
      <w:r w:rsidRPr="00A55335">
        <w:t>What studies did we identify in the review?</w:t>
      </w:r>
    </w:p>
    <w:p w14:paraId="4AB4AAE7" w14:textId="3C65AF4D" w:rsidR="006412C8" w:rsidRPr="00A55335" w:rsidRDefault="006412C8" w:rsidP="006412C8">
      <w:pPr>
        <w:pStyle w:val="BodyText"/>
      </w:pPr>
      <w:r w:rsidRPr="00A55335">
        <w:t xml:space="preserve">Using a planned approach, </w:t>
      </w:r>
      <w:r w:rsidR="00835817" w:rsidRPr="00A55335">
        <w:t>5565</w:t>
      </w:r>
      <w:r w:rsidRPr="00A55335">
        <w:t xml:space="preserve"> citations from </w:t>
      </w:r>
      <w:r w:rsidR="00835817" w:rsidRPr="00A55335">
        <w:t>9</w:t>
      </w:r>
      <w:r w:rsidRPr="00A55335">
        <w:t xml:space="preserve"> databases were collected and examined, including </w:t>
      </w:r>
      <w:r w:rsidR="00302848" w:rsidRPr="00A55335">
        <w:t>584</w:t>
      </w:r>
      <w:r w:rsidRPr="00A55335">
        <w:t xml:space="preserve"> studies submitted by the public via the Department’s public call for evidence.</w:t>
      </w:r>
    </w:p>
    <w:p w14:paraId="100D4021" w14:textId="2D2D1E39" w:rsidR="006412C8" w:rsidRPr="00A55335" w:rsidRDefault="006412C8" w:rsidP="006412C8">
      <w:pPr>
        <w:pStyle w:val="BodyText"/>
      </w:pPr>
      <w:r w:rsidRPr="00A55335">
        <w:t xml:space="preserve">Out of </w:t>
      </w:r>
      <w:r w:rsidR="00302848" w:rsidRPr="00A55335">
        <w:t>5565</w:t>
      </w:r>
      <w:r w:rsidRPr="00A55335">
        <w:t xml:space="preserve"> citations identified, </w:t>
      </w:r>
      <w:r w:rsidR="00302848" w:rsidRPr="00A55335">
        <w:t>93</w:t>
      </w:r>
      <w:r w:rsidRPr="00A55335">
        <w:t xml:space="preserve"> studies covering </w:t>
      </w:r>
      <w:r w:rsidR="0047049A" w:rsidRPr="00A55335">
        <w:t>20</w:t>
      </w:r>
      <w:r w:rsidRPr="00A55335">
        <w:t xml:space="preserve"> prioritised conditions were assessed in the evidence evaluation and are included in the results. </w:t>
      </w:r>
      <w:r w:rsidR="009F1088" w:rsidRPr="00A55335">
        <w:t xml:space="preserve">Of the 93 included studies, 67 </w:t>
      </w:r>
      <w:r w:rsidR="00C20342" w:rsidRPr="00A55335">
        <w:t xml:space="preserve">included a </w:t>
      </w:r>
      <w:r w:rsidR="009F1088" w:rsidRPr="00A55335">
        <w:t>placebo</w:t>
      </w:r>
      <w:r w:rsidR="00C20342" w:rsidRPr="00A55335">
        <w:t xml:space="preserve"> group</w:t>
      </w:r>
      <w:r w:rsidR="009F1088" w:rsidRPr="00A55335">
        <w:t xml:space="preserve"> (72%), 1</w:t>
      </w:r>
      <w:r w:rsidR="00267925" w:rsidRPr="00A55335">
        <w:t>4</w:t>
      </w:r>
      <w:r w:rsidR="009F1088" w:rsidRPr="00A55335">
        <w:t xml:space="preserve"> </w:t>
      </w:r>
      <w:r w:rsidR="008B4E38" w:rsidRPr="00A55335">
        <w:t>had an</w:t>
      </w:r>
      <w:r w:rsidR="009F1088" w:rsidRPr="00A55335">
        <w:t xml:space="preserve"> inactive control </w:t>
      </w:r>
      <w:r w:rsidR="008B4E38" w:rsidRPr="00A55335">
        <w:t xml:space="preserve">group </w:t>
      </w:r>
      <w:r w:rsidR="009F1088" w:rsidRPr="00A55335">
        <w:t>(1</w:t>
      </w:r>
      <w:r w:rsidR="00267925" w:rsidRPr="00A55335">
        <w:t>5</w:t>
      </w:r>
      <w:r w:rsidR="009F1088" w:rsidRPr="00A55335">
        <w:t xml:space="preserve">%) and 14 </w:t>
      </w:r>
      <w:r w:rsidR="00267925" w:rsidRPr="00A55335">
        <w:t>were compared against other</w:t>
      </w:r>
      <w:r w:rsidR="009F1088" w:rsidRPr="00A55335">
        <w:t xml:space="preserve"> controls (15%).</w:t>
      </w:r>
      <w:r w:rsidR="00267925" w:rsidRPr="00A55335">
        <w:t xml:space="preserve"> </w:t>
      </w:r>
      <w:r w:rsidR="00F841FE" w:rsidRPr="00A55335">
        <w:t>Homeopathy</w:t>
      </w:r>
      <w:r w:rsidRPr="00A55335">
        <w:t xml:space="preserve"> reported in eligible studies </w:t>
      </w:r>
      <w:r w:rsidR="006709DF" w:rsidRPr="00A55335">
        <w:t xml:space="preserve">was </w:t>
      </w:r>
      <w:r w:rsidRPr="00A55335">
        <w:t xml:space="preserve">generally consistent with how </w:t>
      </w:r>
      <w:r w:rsidR="00F841FE" w:rsidRPr="00A55335">
        <w:t xml:space="preserve">homeopathy </w:t>
      </w:r>
      <w:r w:rsidRPr="00A55335">
        <w:t xml:space="preserve">is practised in Australia, inclusive of </w:t>
      </w:r>
      <w:r w:rsidR="0031001D" w:rsidRPr="00A55335">
        <w:t xml:space="preserve">individualised </w:t>
      </w:r>
      <w:r w:rsidR="007437BE" w:rsidRPr="00A55335">
        <w:t>homeopathy</w:t>
      </w:r>
      <w:r w:rsidR="00673BE6" w:rsidRPr="00A55335">
        <w:t xml:space="preserve"> (after</w:t>
      </w:r>
      <w:r w:rsidR="007437BE" w:rsidRPr="00A55335">
        <w:t xml:space="preserve"> a detailed consultation</w:t>
      </w:r>
      <w:r w:rsidR="00673BE6" w:rsidRPr="00A55335">
        <w:t>)</w:t>
      </w:r>
      <w:r w:rsidR="007437BE" w:rsidRPr="00A55335">
        <w:t xml:space="preserve"> and prescription of </w:t>
      </w:r>
      <w:r w:rsidR="0031001D" w:rsidRPr="00A55335">
        <w:t xml:space="preserve">non-individualised </w:t>
      </w:r>
      <w:r w:rsidR="00D76C40" w:rsidRPr="00A55335">
        <w:t>‘</w:t>
      </w:r>
      <w:r w:rsidR="007437BE" w:rsidRPr="00A55335">
        <w:t>fixed</w:t>
      </w:r>
      <w:r w:rsidR="00D76C40" w:rsidRPr="00A55335">
        <w:t>’</w:t>
      </w:r>
      <w:r w:rsidR="00673BE6" w:rsidRPr="00A55335">
        <w:t xml:space="preserve"> medicinal</w:t>
      </w:r>
      <w:r w:rsidR="00D76C40" w:rsidRPr="00A55335">
        <w:t xml:space="preserve"> products</w:t>
      </w:r>
      <w:r w:rsidR="00192311" w:rsidRPr="00A55335">
        <w:t xml:space="preserve"> targeting the </w:t>
      </w:r>
      <w:r w:rsidR="001D5D88" w:rsidRPr="00A55335">
        <w:t>conventional medical diagnosis of the patient</w:t>
      </w:r>
      <w:r w:rsidR="00D76C40" w:rsidRPr="00A55335">
        <w:t xml:space="preserve">. </w:t>
      </w:r>
      <w:r w:rsidR="00235845" w:rsidRPr="00A55335">
        <w:t xml:space="preserve">The treatment provider was almost always an experienced homeopath. </w:t>
      </w:r>
      <w:r w:rsidRPr="00A55335">
        <w:t xml:space="preserve">Most studies evaluated </w:t>
      </w:r>
      <w:r w:rsidR="00D76C40" w:rsidRPr="00A55335">
        <w:t xml:space="preserve">homeopathy </w:t>
      </w:r>
      <w:r w:rsidR="008D17AF" w:rsidRPr="00A55335">
        <w:t>administered orally</w:t>
      </w:r>
      <w:r w:rsidR="00B63CE6" w:rsidRPr="00A55335">
        <w:t xml:space="preserve"> (or </w:t>
      </w:r>
      <w:r w:rsidR="0065471A">
        <w:t>under the tongue</w:t>
      </w:r>
      <w:r w:rsidR="00B63CE6" w:rsidRPr="00A55335">
        <w:t>)</w:t>
      </w:r>
      <w:r w:rsidR="008D17AF" w:rsidRPr="00A55335">
        <w:t>,</w:t>
      </w:r>
      <w:r w:rsidR="00D76C40" w:rsidRPr="00A55335">
        <w:t xml:space="preserve"> </w:t>
      </w:r>
      <w:r w:rsidR="008D0E43" w:rsidRPr="00A55335">
        <w:t xml:space="preserve">delivered </w:t>
      </w:r>
      <w:r w:rsidR="00D76C40" w:rsidRPr="00A55335">
        <w:t>as a</w:t>
      </w:r>
      <w:r w:rsidR="008D0E43" w:rsidRPr="00A55335">
        <w:t xml:space="preserve"> </w:t>
      </w:r>
      <w:r w:rsidR="00673BE6" w:rsidRPr="00A55335">
        <w:t>liquid</w:t>
      </w:r>
      <w:r w:rsidR="008D17AF" w:rsidRPr="00A55335">
        <w:t>, granule or tablet</w:t>
      </w:r>
      <w:r w:rsidR="00EF77A3" w:rsidRPr="00A55335">
        <w:t xml:space="preserve">. In some </w:t>
      </w:r>
      <w:r w:rsidR="000E32C0" w:rsidRPr="00A55335">
        <w:t>instances,</w:t>
      </w:r>
      <w:r w:rsidR="00EF77A3" w:rsidRPr="00A55335">
        <w:t xml:space="preserve"> </w:t>
      </w:r>
      <w:r w:rsidR="00942FA6" w:rsidRPr="00A55335">
        <w:t xml:space="preserve">topical gels or nasal sprays were applied. Treatment duration varied from </w:t>
      </w:r>
      <w:r w:rsidR="001D5D88" w:rsidRPr="00A55335">
        <w:t>administration of a single dose, through to</w:t>
      </w:r>
      <w:r w:rsidR="006670D6" w:rsidRPr="00A55335">
        <w:t xml:space="preserve"> daily </w:t>
      </w:r>
      <w:r w:rsidR="001D5D88" w:rsidRPr="00A55335">
        <w:t xml:space="preserve">use </w:t>
      </w:r>
      <w:r w:rsidR="006670D6" w:rsidRPr="00A55335">
        <w:t xml:space="preserve">of </w:t>
      </w:r>
      <w:r w:rsidR="003B293F" w:rsidRPr="00A55335">
        <w:t xml:space="preserve">an </w:t>
      </w:r>
      <w:r w:rsidR="006670D6" w:rsidRPr="00A55335">
        <w:t xml:space="preserve">intervention for </w:t>
      </w:r>
      <w:r w:rsidR="00235845" w:rsidRPr="00A55335">
        <w:t xml:space="preserve">up to 12 months. In some instances, the intervention was modified </w:t>
      </w:r>
      <w:proofErr w:type="gramStart"/>
      <w:r w:rsidR="00235845" w:rsidRPr="00A55335">
        <w:t>during the course of</w:t>
      </w:r>
      <w:proofErr w:type="gramEnd"/>
      <w:r w:rsidR="00235845" w:rsidRPr="00A55335">
        <w:t xml:space="preserve"> the study, after consultation with the homeopath.</w:t>
      </w:r>
      <w:r w:rsidR="001D5D88" w:rsidRPr="00A55335">
        <w:t xml:space="preserve"> </w:t>
      </w:r>
    </w:p>
    <w:p w14:paraId="7D863126" w14:textId="77FC8BC6" w:rsidR="00BE1681" w:rsidRPr="00A55335" w:rsidRDefault="006412C8" w:rsidP="006412C8">
      <w:pPr>
        <w:pStyle w:val="BodyText"/>
      </w:pPr>
      <w:r w:rsidRPr="00A55335">
        <w:lastRenderedPageBreak/>
        <w:t xml:space="preserve">At the time of the literature search, a further </w:t>
      </w:r>
      <w:r w:rsidR="00183247" w:rsidRPr="00A55335">
        <w:t>4</w:t>
      </w:r>
      <w:r w:rsidR="00183247">
        <w:t>1</w:t>
      </w:r>
      <w:r w:rsidR="00183247" w:rsidRPr="00A55335">
        <w:t xml:space="preserve"> </w:t>
      </w:r>
      <w:r w:rsidRPr="00A55335">
        <w:t>studies had been presented at conferences, but data were incomplete</w:t>
      </w:r>
      <w:r w:rsidR="00B703D5">
        <w:t>;</w:t>
      </w:r>
      <w:r w:rsidRPr="00A55335">
        <w:t xml:space="preserve"> </w:t>
      </w:r>
      <w:r w:rsidR="008975EF" w:rsidRPr="00A55335">
        <w:t>89</w:t>
      </w:r>
      <w:r w:rsidRPr="00A55335">
        <w:t xml:space="preserve"> studies were not in English</w:t>
      </w:r>
      <w:r w:rsidR="00B703D5">
        <w:t>;</w:t>
      </w:r>
      <w:r w:rsidRPr="00A55335">
        <w:t xml:space="preserve"> </w:t>
      </w:r>
      <w:r w:rsidR="008975EF" w:rsidRPr="00A55335">
        <w:t>16</w:t>
      </w:r>
      <w:r w:rsidRPr="00A55335">
        <w:t xml:space="preserve"> studies could not be retrieved</w:t>
      </w:r>
      <w:r w:rsidR="00CC1FA9">
        <w:t>;</w:t>
      </w:r>
      <w:r w:rsidRPr="00A55335">
        <w:t xml:space="preserve"> and </w:t>
      </w:r>
      <w:r w:rsidR="008975EF" w:rsidRPr="00A55335">
        <w:t>4</w:t>
      </w:r>
      <w:r w:rsidRPr="00A55335">
        <w:t xml:space="preserve"> studies were published after the search date. In addition, </w:t>
      </w:r>
      <w:r w:rsidR="008975EF" w:rsidRPr="00A55335">
        <w:t>192</w:t>
      </w:r>
      <w:r w:rsidRPr="00A55335">
        <w:t xml:space="preserve"> studies had been registered but were not complete at the time of the search. Of these ongoing studies, </w:t>
      </w:r>
      <w:r w:rsidR="00DD2358" w:rsidRPr="00A55335">
        <w:t>74</w:t>
      </w:r>
      <w:r w:rsidRPr="00A55335">
        <w:t xml:space="preserve"> were in conditions prioritised in this review.</w:t>
      </w:r>
      <w:r w:rsidR="008239F9" w:rsidRPr="00A55335">
        <w:t xml:space="preserve"> </w:t>
      </w:r>
    </w:p>
    <w:bookmarkEnd w:id="14"/>
    <w:p w14:paraId="5BD4C822" w14:textId="77777777" w:rsidR="00FF57D4" w:rsidRPr="00A55335" w:rsidRDefault="00FF57D4" w:rsidP="00FF57D4">
      <w:pPr>
        <w:pStyle w:val="H2notoc"/>
      </w:pPr>
      <w:r w:rsidRPr="00A55335">
        <w:t>What were the main results of the review?</w:t>
      </w:r>
    </w:p>
    <w:p w14:paraId="09A377A8" w14:textId="77777777" w:rsidR="00E145E7" w:rsidRPr="00E145E7" w:rsidRDefault="00E145E7" w:rsidP="00E145E7">
      <w:pPr>
        <w:pStyle w:val="BodyText"/>
      </w:pPr>
      <w:r w:rsidRPr="00E145E7">
        <w:t>For the primary comparison, the evidence provides low certainty that homeopathy may be more effective than placebo for two conditions. The evidence also provides low certainty that homeopathy may be no more effective than placebo for many of the conditions and outcomes considered critical or important in this review. There are also many conditions and outcomes assessed in this review where the effect of homeopathy compared to placebo is uncertain (very low certainty) or unknown.</w:t>
      </w:r>
    </w:p>
    <w:p w14:paraId="247841C5" w14:textId="13B78AB8" w:rsidR="00CB4004" w:rsidRPr="00A55335" w:rsidRDefault="00CB4004" w:rsidP="00E60873">
      <w:pPr>
        <w:pStyle w:val="Bulletintro"/>
        <w:rPr>
          <w:lang w:val="en-AU"/>
        </w:rPr>
      </w:pPr>
      <w:r w:rsidRPr="00A55335">
        <w:rPr>
          <w:lang w:val="en-AU"/>
        </w:rPr>
        <w:t>The evidence provides low certainty that homeopathy may</w:t>
      </w:r>
      <w:r w:rsidR="00321408" w:rsidRPr="00A55335">
        <w:rPr>
          <w:lang w:val="en-AU"/>
        </w:rPr>
        <w:t xml:space="preserve"> be effective</w:t>
      </w:r>
      <w:r w:rsidR="00D964F2" w:rsidRPr="00A55335">
        <w:rPr>
          <w:lang w:val="en-AU"/>
        </w:rPr>
        <w:t xml:space="preserve"> compared to placebo</w:t>
      </w:r>
      <w:r w:rsidR="00321408" w:rsidRPr="00A55335">
        <w:rPr>
          <w:lang w:val="en-AU"/>
        </w:rPr>
        <w:t xml:space="preserve"> in</w:t>
      </w:r>
      <w:r w:rsidRPr="00A55335">
        <w:rPr>
          <w:lang w:val="en-AU"/>
        </w:rPr>
        <w:t>:</w:t>
      </w:r>
    </w:p>
    <w:p w14:paraId="65C1E408" w14:textId="77777777" w:rsidR="00C55F11" w:rsidRPr="00A55335" w:rsidRDefault="00321408" w:rsidP="00110AA0">
      <w:pPr>
        <w:pStyle w:val="Bullet12"/>
        <w:rPr>
          <w:lang w:val="en-AU"/>
        </w:rPr>
      </w:pPr>
      <w:r w:rsidRPr="00A55335">
        <w:rPr>
          <w:lang w:val="en-AU"/>
        </w:rPr>
        <w:t xml:space="preserve">reducing medication use </w:t>
      </w:r>
      <w:r w:rsidR="003B43DF" w:rsidRPr="00A55335">
        <w:rPr>
          <w:lang w:val="en-AU"/>
        </w:rPr>
        <w:t xml:space="preserve">(1 RCT, 108 participants) </w:t>
      </w:r>
      <w:r w:rsidRPr="00A55335">
        <w:rPr>
          <w:lang w:val="en-AU"/>
        </w:rPr>
        <w:t xml:space="preserve">in </w:t>
      </w:r>
      <w:r w:rsidR="003B43DF" w:rsidRPr="00A55335">
        <w:rPr>
          <w:lang w:val="en-AU"/>
        </w:rPr>
        <w:t>people with allergic rhinitis</w:t>
      </w:r>
    </w:p>
    <w:p w14:paraId="15980AE1" w14:textId="071B53FA" w:rsidR="00C55F11" w:rsidRPr="00A55335" w:rsidRDefault="00C55F11" w:rsidP="00F0758E">
      <w:pPr>
        <w:pStyle w:val="Bullet12"/>
        <w:rPr>
          <w:lang w:val="en-AU"/>
        </w:rPr>
      </w:pPr>
      <w:r w:rsidRPr="00A55335">
        <w:rPr>
          <w:lang w:val="en-AU"/>
        </w:rPr>
        <w:t>reducing</w:t>
      </w:r>
      <w:r w:rsidR="00CF10BA" w:rsidRPr="00A55335">
        <w:rPr>
          <w:lang w:val="en-AU"/>
        </w:rPr>
        <w:t xml:space="preserve"> disease severity (3 RCTs, 172 participants) in people with atopic dermatitis</w:t>
      </w:r>
      <w:r w:rsidR="009A4C0D">
        <w:rPr>
          <w:lang w:val="en-AU"/>
        </w:rPr>
        <w:t>.</w:t>
      </w:r>
    </w:p>
    <w:p w14:paraId="7E553A4C" w14:textId="03B5745D" w:rsidR="00655573" w:rsidRPr="00A55335" w:rsidRDefault="00655573" w:rsidP="00293A9A">
      <w:pPr>
        <w:pStyle w:val="Bulletintro"/>
        <w:rPr>
          <w:lang w:val="en-AU"/>
        </w:rPr>
      </w:pPr>
      <w:r w:rsidRPr="00A55335">
        <w:rPr>
          <w:lang w:val="en-AU"/>
        </w:rPr>
        <w:t xml:space="preserve">The evidence provides low certainty </w:t>
      </w:r>
      <w:r w:rsidR="00706D85" w:rsidRPr="00A55335">
        <w:rPr>
          <w:lang w:val="en-AU"/>
        </w:rPr>
        <w:t xml:space="preserve">that homeopathy </w:t>
      </w:r>
      <w:r w:rsidR="00D13C5C">
        <w:rPr>
          <w:lang w:val="en-AU"/>
        </w:rPr>
        <w:t>may have</w:t>
      </w:r>
      <w:r w:rsidR="00D13C5C" w:rsidRPr="00A55335">
        <w:rPr>
          <w:lang w:val="en-AU"/>
        </w:rPr>
        <w:t xml:space="preserve"> </w:t>
      </w:r>
      <w:r w:rsidR="00706D85" w:rsidRPr="00A55335">
        <w:rPr>
          <w:lang w:val="en-AU"/>
        </w:rPr>
        <w:t xml:space="preserve">little (to no) </w:t>
      </w:r>
      <w:r w:rsidR="00293A9A" w:rsidRPr="00A55335">
        <w:rPr>
          <w:lang w:val="en-AU"/>
        </w:rPr>
        <w:t>effect</w:t>
      </w:r>
      <w:r w:rsidR="005E6A63" w:rsidRPr="00A55335">
        <w:rPr>
          <w:lang w:val="en-AU"/>
        </w:rPr>
        <w:t xml:space="preserve"> compared to placebo</w:t>
      </w:r>
      <w:r w:rsidR="00293A9A" w:rsidRPr="00A55335">
        <w:rPr>
          <w:lang w:val="en-AU"/>
        </w:rPr>
        <w:t xml:space="preserve"> in</w:t>
      </w:r>
      <w:r w:rsidRPr="00A55335">
        <w:rPr>
          <w:lang w:val="en-AU"/>
        </w:rPr>
        <w:t>:</w:t>
      </w:r>
    </w:p>
    <w:p w14:paraId="216A6E55" w14:textId="2C108038" w:rsidR="00582A26" w:rsidRPr="00A55335" w:rsidRDefault="00582A26" w:rsidP="00582A26">
      <w:pPr>
        <w:pStyle w:val="Bullet12"/>
        <w:rPr>
          <w:lang w:val="en-AU"/>
        </w:rPr>
      </w:pPr>
      <w:r w:rsidRPr="00A55335">
        <w:rPr>
          <w:lang w:val="en-AU"/>
        </w:rPr>
        <w:t>improving quality of life (</w:t>
      </w:r>
      <w:r w:rsidR="005A61AF" w:rsidRPr="00A55335">
        <w:rPr>
          <w:lang w:val="en-AU"/>
        </w:rPr>
        <w:t>2 RCTs, 106 participants)</w:t>
      </w:r>
      <w:r w:rsidRPr="00A55335">
        <w:rPr>
          <w:lang w:val="en-AU"/>
        </w:rPr>
        <w:t xml:space="preserve"> in people with atopic dermatitis</w:t>
      </w:r>
    </w:p>
    <w:p w14:paraId="0B176A54" w14:textId="7372F4AC" w:rsidR="00582A26" w:rsidRPr="00A55335" w:rsidRDefault="005A61AF" w:rsidP="00582A26">
      <w:pPr>
        <w:pStyle w:val="Bullet12"/>
        <w:rPr>
          <w:lang w:val="en-AU"/>
        </w:rPr>
      </w:pPr>
      <w:r w:rsidRPr="00A55335">
        <w:rPr>
          <w:lang w:val="en-AU"/>
        </w:rPr>
        <w:t>reducing i</w:t>
      </w:r>
      <w:r w:rsidR="00582A26" w:rsidRPr="00A55335">
        <w:rPr>
          <w:lang w:val="en-AU"/>
        </w:rPr>
        <w:t>nfection frequency</w:t>
      </w:r>
      <w:r w:rsidRPr="00A55335">
        <w:rPr>
          <w:lang w:val="en-AU"/>
        </w:rPr>
        <w:t xml:space="preserve"> (</w:t>
      </w:r>
      <w:r w:rsidR="00BD08B1" w:rsidRPr="00A55335">
        <w:rPr>
          <w:lang w:val="en-AU"/>
        </w:rPr>
        <w:t>1 RCT, 96 participants) in people with recurrent otitis media</w:t>
      </w:r>
    </w:p>
    <w:p w14:paraId="3D205A7C" w14:textId="125205CD" w:rsidR="001D4997" w:rsidRPr="00A55335" w:rsidRDefault="00BE1644" w:rsidP="001D4997">
      <w:pPr>
        <w:pStyle w:val="Bullet12"/>
        <w:rPr>
          <w:lang w:val="en-AU"/>
        </w:rPr>
      </w:pPr>
      <w:r w:rsidRPr="00A55335">
        <w:rPr>
          <w:lang w:val="en-AU"/>
        </w:rPr>
        <w:t xml:space="preserve">improving quality of life (1 RCT, 170 participants) or </w:t>
      </w:r>
      <w:r w:rsidR="00BD08B1" w:rsidRPr="00A55335">
        <w:rPr>
          <w:lang w:val="en-AU"/>
        </w:rPr>
        <w:t xml:space="preserve">reducing </w:t>
      </w:r>
      <w:r w:rsidR="006F1380" w:rsidRPr="00A55335">
        <w:rPr>
          <w:lang w:val="en-AU"/>
        </w:rPr>
        <w:t xml:space="preserve">medication use (2 RCTs, 377 participants) </w:t>
      </w:r>
      <w:r w:rsidR="001D4997" w:rsidRPr="00A55335">
        <w:rPr>
          <w:lang w:val="en-AU"/>
        </w:rPr>
        <w:t>in people with recurrent upper respiratory tract infections</w:t>
      </w:r>
    </w:p>
    <w:p w14:paraId="70D8BF64" w14:textId="2A321641" w:rsidR="00582A26" w:rsidRPr="00A55335" w:rsidRDefault="00C01E33" w:rsidP="00F0758E">
      <w:pPr>
        <w:pStyle w:val="Bullet12"/>
        <w:rPr>
          <w:lang w:val="en-AU"/>
        </w:rPr>
      </w:pPr>
      <w:r w:rsidRPr="00A55335">
        <w:rPr>
          <w:lang w:val="en-AU"/>
        </w:rPr>
        <w:t>reducing a</w:t>
      </w:r>
      <w:r w:rsidR="00582A26" w:rsidRPr="00A55335">
        <w:rPr>
          <w:lang w:val="en-AU"/>
        </w:rPr>
        <w:t>nxiety</w:t>
      </w:r>
      <w:r w:rsidR="00C52EE4" w:rsidRPr="00A55335">
        <w:rPr>
          <w:lang w:val="en-AU"/>
        </w:rPr>
        <w:t xml:space="preserve"> (3 RCTs, 150 participants)</w:t>
      </w:r>
      <w:r w:rsidRPr="00A55335">
        <w:rPr>
          <w:lang w:val="en-AU"/>
        </w:rPr>
        <w:t>, d</w:t>
      </w:r>
      <w:r w:rsidR="00582A26" w:rsidRPr="00A55335">
        <w:rPr>
          <w:lang w:val="en-AU"/>
        </w:rPr>
        <w:t>epression</w:t>
      </w:r>
      <w:r w:rsidR="00C52EE4" w:rsidRPr="00A55335">
        <w:rPr>
          <w:lang w:val="en-AU"/>
        </w:rPr>
        <w:t xml:space="preserve"> (1 RCT, 44 participants)</w:t>
      </w:r>
      <w:r w:rsidRPr="00A55335">
        <w:rPr>
          <w:lang w:val="en-AU"/>
        </w:rPr>
        <w:t>, or e</w:t>
      </w:r>
      <w:r w:rsidR="00582A26" w:rsidRPr="00A55335">
        <w:rPr>
          <w:lang w:val="en-AU"/>
        </w:rPr>
        <w:t>motional function</w:t>
      </w:r>
      <w:r w:rsidRPr="00A55335">
        <w:rPr>
          <w:lang w:val="en-AU"/>
        </w:rPr>
        <w:t xml:space="preserve">ing </w:t>
      </w:r>
      <w:r w:rsidR="00C52EE4" w:rsidRPr="00A55335">
        <w:rPr>
          <w:lang w:val="en-AU"/>
        </w:rPr>
        <w:t xml:space="preserve">(1 RCT, 44 participants) </w:t>
      </w:r>
      <w:r w:rsidRPr="00A55335">
        <w:rPr>
          <w:lang w:val="en-AU"/>
        </w:rPr>
        <w:t>in people with anxiety</w:t>
      </w:r>
    </w:p>
    <w:p w14:paraId="21DC0382" w14:textId="77777777" w:rsidR="007B3B1C" w:rsidRPr="00A55335" w:rsidRDefault="007B3B1C" w:rsidP="007B3B1C">
      <w:pPr>
        <w:pStyle w:val="Bullet12"/>
        <w:rPr>
          <w:lang w:val="en-AU"/>
        </w:rPr>
      </w:pPr>
      <w:r w:rsidRPr="00A55335">
        <w:rPr>
          <w:lang w:val="en-AU"/>
        </w:rPr>
        <w:t>reducing i</w:t>
      </w:r>
      <w:r w:rsidR="00582A26" w:rsidRPr="00A55335">
        <w:rPr>
          <w:lang w:val="en-AU"/>
        </w:rPr>
        <w:t>nsomnia severity</w:t>
      </w:r>
      <w:r w:rsidRPr="00A55335">
        <w:rPr>
          <w:lang w:val="en-AU"/>
        </w:rPr>
        <w:t>, s</w:t>
      </w:r>
      <w:r w:rsidR="00582A26" w:rsidRPr="00A55335">
        <w:rPr>
          <w:lang w:val="en-AU"/>
        </w:rPr>
        <w:t>leep quality</w:t>
      </w:r>
      <w:r w:rsidRPr="00A55335">
        <w:rPr>
          <w:lang w:val="en-AU"/>
        </w:rPr>
        <w:t xml:space="preserve"> or s</w:t>
      </w:r>
      <w:r w:rsidR="00582A26" w:rsidRPr="00A55335">
        <w:rPr>
          <w:lang w:val="en-AU"/>
        </w:rPr>
        <w:t>leep onset latency</w:t>
      </w:r>
      <w:r w:rsidRPr="00A55335">
        <w:rPr>
          <w:lang w:val="en-AU"/>
        </w:rPr>
        <w:t xml:space="preserve"> (1 RCT, 60 participants) in people with insomnia </w:t>
      </w:r>
    </w:p>
    <w:p w14:paraId="52D80931" w14:textId="3AE12CB4" w:rsidR="00582A26" w:rsidRPr="00DD077E" w:rsidRDefault="00FC2D2B" w:rsidP="00DD077E">
      <w:pPr>
        <w:pStyle w:val="Bullet12"/>
        <w:rPr>
          <w:lang w:val="en-AU"/>
        </w:rPr>
      </w:pPr>
      <w:r w:rsidRPr="00A55335">
        <w:rPr>
          <w:lang w:val="en-AU"/>
        </w:rPr>
        <w:t xml:space="preserve">improving quality of life (2 RCTs, 291 participants) </w:t>
      </w:r>
      <w:r w:rsidR="008F3A92">
        <w:rPr>
          <w:lang w:val="en-AU"/>
        </w:rPr>
        <w:t xml:space="preserve">or </w:t>
      </w:r>
      <w:r w:rsidR="005514AB" w:rsidRPr="00DD077E">
        <w:rPr>
          <w:lang w:val="en-AU"/>
        </w:rPr>
        <w:t>reducing m</w:t>
      </w:r>
      <w:r w:rsidR="00582A26" w:rsidRPr="00DD077E">
        <w:rPr>
          <w:lang w:val="en-AU"/>
        </w:rPr>
        <w:t>edication use</w:t>
      </w:r>
      <w:r w:rsidR="005514AB" w:rsidRPr="00DD077E">
        <w:rPr>
          <w:lang w:val="en-AU"/>
        </w:rPr>
        <w:t xml:space="preserve"> (1 RCT, 89 participants) </w:t>
      </w:r>
      <w:r w:rsidR="00694140" w:rsidRPr="00DD077E">
        <w:rPr>
          <w:lang w:val="en-AU"/>
        </w:rPr>
        <w:t xml:space="preserve">in people </w:t>
      </w:r>
      <w:r w:rsidR="005514AB" w:rsidRPr="00DD077E">
        <w:rPr>
          <w:lang w:val="en-AU"/>
        </w:rPr>
        <w:t>with asthma</w:t>
      </w:r>
    </w:p>
    <w:p w14:paraId="320B02FE" w14:textId="5F88A832" w:rsidR="00582A26" w:rsidRPr="00A55335" w:rsidRDefault="00694140" w:rsidP="00694140">
      <w:pPr>
        <w:pStyle w:val="Bullet12"/>
        <w:rPr>
          <w:lang w:val="en-AU"/>
        </w:rPr>
      </w:pPr>
      <w:r w:rsidRPr="00A55335">
        <w:rPr>
          <w:lang w:val="en-AU"/>
        </w:rPr>
        <w:t>reducing s</w:t>
      </w:r>
      <w:r w:rsidR="00582A26" w:rsidRPr="00A55335">
        <w:rPr>
          <w:lang w:val="en-AU"/>
        </w:rPr>
        <w:t>ymptom severity</w:t>
      </w:r>
      <w:r w:rsidRPr="00A55335">
        <w:rPr>
          <w:lang w:val="en-AU"/>
        </w:rPr>
        <w:t xml:space="preserve"> (1 RCT, 292 participants) or s</w:t>
      </w:r>
      <w:r w:rsidR="00582A26" w:rsidRPr="00A55335">
        <w:rPr>
          <w:lang w:val="en-AU"/>
        </w:rPr>
        <w:t>ymptom duration</w:t>
      </w:r>
      <w:r w:rsidRPr="00A55335">
        <w:rPr>
          <w:lang w:val="en-AU"/>
        </w:rPr>
        <w:t xml:space="preserve"> (</w:t>
      </w:r>
      <w:r w:rsidR="00413D32" w:rsidRPr="00A55335">
        <w:rPr>
          <w:lang w:val="en-AU"/>
        </w:rPr>
        <w:t>3</w:t>
      </w:r>
      <w:r w:rsidRPr="00A55335">
        <w:rPr>
          <w:lang w:val="en-AU"/>
        </w:rPr>
        <w:t xml:space="preserve"> RCT</w:t>
      </w:r>
      <w:r w:rsidR="00413D32" w:rsidRPr="00A55335">
        <w:rPr>
          <w:lang w:val="en-AU"/>
        </w:rPr>
        <w:t>s</w:t>
      </w:r>
      <w:r w:rsidRPr="00A55335">
        <w:rPr>
          <w:lang w:val="en-AU"/>
        </w:rPr>
        <w:t xml:space="preserve">, </w:t>
      </w:r>
      <w:r w:rsidR="00413D32" w:rsidRPr="00A55335">
        <w:rPr>
          <w:lang w:val="en-AU"/>
        </w:rPr>
        <w:t xml:space="preserve">448 </w:t>
      </w:r>
      <w:r w:rsidRPr="00A55335">
        <w:rPr>
          <w:lang w:val="en-AU"/>
        </w:rPr>
        <w:t>participants) in people with diarrhoea</w:t>
      </w:r>
    </w:p>
    <w:p w14:paraId="6B7E9B6B" w14:textId="523E6AA4" w:rsidR="00582A26" w:rsidRPr="00A55335" w:rsidRDefault="00694140" w:rsidP="00582A26">
      <w:pPr>
        <w:pStyle w:val="Bullet12"/>
        <w:rPr>
          <w:lang w:val="en-AU"/>
        </w:rPr>
      </w:pPr>
      <w:r w:rsidRPr="00A55335">
        <w:rPr>
          <w:lang w:val="en-AU"/>
        </w:rPr>
        <w:t>reducing d</w:t>
      </w:r>
      <w:r w:rsidR="00582A26" w:rsidRPr="00A55335">
        <w:rPr>
          <w:lang w:val="en-AU"/>
        </w:rPr>
        <w:t>isease severity</w:t>
      </w:r>
      <w:r w:rsidRPr="00A55335">
        <w:rPr>
          <w:lang w:val="en-AU"/>
        </w:rPr>
        <w:t xml:space="preserve"> (1 RCT, 200 participants) in people with psoriasis</w:t>
      </w:r>
    </w:p>
    <w:p w14:paraId="01358077" w14:textId="416C26ED" w:rsidR="00582A26" w:rsidRPr="00A55335" w:rsidRDefault="00694140" w:rsidP="00694140">
      <w:pPr>
        <w:pStyle w:val="Bullet12"/>
        <w:rPr>
          <w:lang w:val="en-AU"/>
        </w:rPr>
      </w:pPr>
      <w:r w:rsidRPr="00A55335">
        <w:rPr>
          <w:lang w:val="en-AU"/>
        </w:rPr>
        <w:t>reducing p</w:t>
      </w:r>
      <w:r w:rsidR="00582A26" w:rsidRPr="00A55335">
        <w:rPr>
          <w:lang w:val="en-AU"/>
        </w:rPr>
        <w:t>ain</w:t>
      </w:r>
      <w:r w:rsidRPr="00A55335">
        <w:rPr>
          <w:lang w:val="en-AU"/>
        </w:rPr>
        <w:t xml:space="preserve"> intensity (1 RCT, 134 participants), stiffness (1 RCT, 134 participants) or improving q</w:t>
      </w:r>
      <w:r w:rsidR="00582A26" w:rsidRPr="00A55335">
        <w:rPr>
          <w:lang w:val="en-AU"/>
        </w:rPr>
        <w:t>uality of life</w:t>
      </w:r>
      <w:r w:rsidRPr="00A55335">
        <w:rPr>
          <w:lang w:val="en-AU"/>
        </w:rPr>
        <w:t xml:space="preserve"> (1 RCT, 134 participants) in people with back or neck pain</w:t>
      </w:r>
    </w:p>
    <w:p w14:paraId="2EC14E28" w14:textId="4C36BCC3" w:rsidR="00F30E33" w:rsidRPr="00A55335" w:rsidRDefault="00F46558" w:rsidP="00F30E33">
      <w:pPr>
        <w:pStyle w:val="Bullet12"/>
        <w:rPr>
          <w:lang w:val="en-AU"/>
        </w:rPr>
      </w:pPr>
      <w:r w:rsidRPr="00A55335">
        <w:rPr>
          <w:lang w:val="en-AU"/>
        </w:rPr>
        <w:t>improving quality of life (1 RCT, 108 participants) in people with menopausal symptoms or complaints</w:t>
      </w:r>
    </w:p>
    <w:p w14:paraId="39F84D20" w14:textId="4AC4EC6B" w:rsidR="00F30E33" w:rsidRPr="00A55335" w:rsidRDefault="00694140" w:rsidP="00F30E33">
      <w:pPr>
        <w:pStyle w:val="Bullet12"/>
        <w:rPr>
          <w:lang w:val="en-AU"/>
        </w:rPr>
      </w:pPr>
      <w:r w:rsidRPr="00A55335">
        <w:t>reducing f</w:t>
      </w:r>
      <w:r w:rsidR="00582A26" w:rsidRPr="00A55335">
        <w:t>atigue</w:t>
      </w:r>
      <w:r w:rsidRPr="00A55335">
        <w:t xml:space="preserve"> (1 RCT, 86 participants) or improving q</w:t>
      </w:r>
      <w:r w:rsidR="00582A26" w:rsidRPr="00A55335">
        <w:t>uality of life</w:t>
      </w:r>
      <w:r w:rsidRPr="00A55335">
        <w:t xml:space="preserve"> (1 RCT, 86 participants) in people with chronic fatigue conditions. </w:t>
      </w:r>
    </w:p>
    <w:p w14:paraId="6CEA57DC" w14:textId="77777777" w:rsidR="002D489F" w:rsidRDefault="002D489F" w:rsidP="00D63B39">
      <w:pPr>
        <w:pStyle w:val="Bullet12"/>
        <w:numPr>
          <w:ilvl w:val="0"/>
          <w:numId w:val="0"/>
        </w:numPr>
        <w:rPr>
          <w:lang w:eastAsia="en-AU"/>
        </w:rPr>
      </w:pPr>
      <w:bookmarkStart w:id="17" w:name="_Hlk164695026"/>
    </w:p>
    <w:p w14:paraId="73F8F061" w14:textId="6EF961C5" w:rsidR="00D63B39" w:rsidRPr="00A16266" w:rsidRDefault="00D63B39" w:rsidP="002D489F">
      <w:pPr>
        <w:pStyle w:val="Bullet12"/>
        <w:numPr>
          <w:ilvl w:val="0"/>
          <w:numId w:val="0"/>
        </w:numPr>
      </w:pPr>
      <w:r w:rsidRPr="00D63B39">
        <w:rPr>
          <w:lang w:eastAsia="en-AU"/>
        </w:rPr>
        <w:t>Similarly, in the secondary comparison</w:t>
      </w:r>
      <w:r w:rsidR="002B50D3">
        <w:rPr>
          <w:lang w:eastAsia="en-AU"/>
        </w:rPr>
        <w:t xml:space="preserve"> (inactive control)</w:t>
      </w:r>
      <w:r w:rsidRPr="00D63B39">
        <w:rPr>
          <w:lang w:eastAsia="en-AU"/>
        </w:rPr>
        <w:t>, the evidence provides moderate to low certainty that homeopathy</w:t>
      </w:r>
      <w:r w:rsidR="00761005">
        <w:rPr>
          <w:lang w:eastAsia="en-AU"/>
        </w:rPr>
        <w:t xml:space="preserve"> </w:t>
      </w:r>
      <w:r w:rsidR="00761005" w:rsidRPr="00F23773">
        <w:rPr>
          <w:lang w:eastAsia="en-AU"/>
        </w:rPr>
        <w:t>(in some cases plus usual care)</w:t>
      </w:r>
      <w:r w:rsidRPr="00D63B39">
        <w:rPr>
          <w:lang w:eastAsia="en-AU"/>
        </w:rPr>
        <w:t xml:space="preserve"> is probably or may be more effective than not using homeopathy for three conditions and outcomes considered critical or important for this review. The evidence also provides moderate to low certainty that using homeopathy </w:t>
      </w:r>
      <w:r w:rsidR="00761005" w:rsidRPr="00F23773">
        <w:rPr>
          <w:lang w:eastAsia="en-AU"/>
        </w:rPr>
        <w:t>(in some cases plus usual care)</w:t>
      </w:r>
      <w:r w:rsidR="00761005">
        <w:rPr>
          <w:lang w:eastAsia="en-AU"/>
        </w:rPr>
        <w:t xml:space="preserve"> </w:t>
      </w:r>
      <w:r w:rsidRPr="00D63B39">
        <w:rPr>
          <w:lang w:eastAsia="en-AU"/>
        </w:rPr>
        <w:t>is probably or may be no more effective than not using homeopathy for many conditions and outcomes considered critical or important in this review. For most of the conditions and outcomes assessed in this review the effect of homeopathy compared to inactive control is uncertain (very low certainty) or unknown.</w:t>
      </w:r>
    </w:p>
    <w:p w14:paraId="3E96AC0B" w14:textId="290B8B9E" w:rsidR="00DF5322" w:rsidRPr="00A55335" w:rsidRDefault="003B30F1" w:rsidP="00DF5322">
      <w:pPr>
        <w:pStyle w:val="Bulletintro"/>
        <w:rPr>
          <w:lang w:val="en-AU"/>
        </w:rPr>
      </w:pPr>
      <w:r w:rsidRPr="00A55335">
        <w:rPr>
          <w:lang w:val="en-AU"/>
        </w:rPr>
        <w:lastRenderedPageBreak/>
        <w:t>The e</w:t>
      </w:r>
      <w:r w:rsidR="008446E2" w:rsidRPr="00A55335">
        <w:rPr>
          <w:lang w:val="en-AU"/>
        </w:rPr>
        <w:t>vidence provides moderate certainty that homeopathy is probably more effective than no intervention</w:t>
      </w:r>
      <w:r w:rsidR="00E94E2A" w:rsidRPr="00A55335">
        <w:rPr>
          <w:lang w:val="en-AU"/>
        </w:rPr>
        <w:t xml:space="preserve"> in: </w:t>
      </w:r>
    </w:p>
    <w:p w14:paraId="54990F73" w14:textId="46B823C1" w:rsidR="008446E2" w:rsidRPr="00A55335" w:rsidRDefault="008446E2" w:rsidP="00DF5322">
      <w:pPr>
        <w:pStyle w:val="Bullet6"/>
        <w:rPr>
          <w:lang w:val="en-AU"/>
        </w:rPr>
      </w:pPr>
      <w:r w:rsidRPr="00A55335">
        <w:rPr>
          <w:lang w:val="en-AU"/>
        </w:rPr>
        <w:t xml:space="preserve">reducing infection frequency (1 RCT, 256 participants) in people with recurrent </w:t>
      </w:r>
      <w:r w:rsidR="000B78CC" w:rsidRPr="00A55335">
        <w:rPr>
          <w:lang w:val="en-AU"/>
        </w:rPr>
        <w:t>upper respiratory tract infections</w:t>
      </w:r>
      <w:r w:rsidR="009A4C0D">
        <w:rPr>
          <w:lang w:val="en-AU"/>
        </w:rPr>
        <w:t>.</w:t>
      </w:r>
    </w:p>
    <w:p w14:paraId="53D65D6F" w14:textId="4FAA232A" w:rsidR="002016D2" w:rsidRPr="00A55335" w:rsidRDefault="00DF5322" w:rsidP="00330CAC">
      <w:pPr>
        <w:pStyle w:val="BodyText"/>
      </w:pPr>
      <w:r w:rsidRPr="00A55335">
        <w:t>(</w:t>
      </w:r>
      <w:r w:rsidR="008446E2" w:rsidRPr="00A55335">
        <w:t xml:space="preserve">The evidence from the primary comparison with placebo (1 RCT, 40 participants), was very uncertain about the effect of homeopathy on infection frequency in people with recurrent </w:t>
      </w:r>
      <w:r w:rsidR="000B78CC" w:rsidRPr="00A55335">
        <w:t>upper respiratory tract infections</w:t>
      </w:r>
      <w:r w:rsidR="009301E4">
        <w:t>.</w:t>
      </w:r>
      <w:r w:rsidRPr="00A55335">
        <w:t>)</w:t>
      </w:r>
      <w:r w:rsidR="002016D2" w:rsidRPr="00A55335">
        <w:t xml:space="preserve"> </w:t>
      </w:r>
    </w:p>
    <w:p w14:paraId="70AD9E1E" w14:textId="72167C00" w:rsidR="008446E2" w:rsidRPr="00A55335" w:rsidRDefault="003B30F1" w:rsidP="009B3685">
      <w:pPr>
        <w:pStyle w:val="BodyText"/>
      </w:pPr>
      <w:r w:rsidRPr="00A55335">
        <w:t>The e</w:t>
      </w:r>
      <w:r w:rsidR="008446E2" w:rsidRPr="00A55335">
        <w:t>vidence provides low certainty that homeopathy may be more effective than no intervention in:</w:t>
      </w:r>
    </w:p>
    <w:p w14:paraId="01D65B1A" w14:textId="1A824CCE" w:rsidR="004465F5" w:rsidRPr="00B26FE3" w:rsidRDefault="008446E2" w:rsidP="00B26FE3">
      <w:pPr>
        <w:pStyle w:val="Bullet12"/>
      </w:pPr>
      <w:r w:rsidRPr="00B26FE3">
        <w:t xml:space="preserve">reducing antibiotic use (2 RCTs, 306 participants) in people with recurrent </w:t>
      </w:r>
      <w:r w:rsidR="000B78CC" w:rsidRPr="00B26FE3">
        <w:t>upper respiratory tract infections</w:t>
      </w:r>
      <w:bookmarkEnd w:id="17"/>
    </w:p>
    <w:p w14:paraId="4C540357" w14:textId="3E22B2E1" w:rsidR="004465F5" w:rsidRPr="00B26FE3" w:rsidRDefault="00102FEA" w:rsidP="00B26FE3">
      <w:pPr>
        <w:pStyle w:val="Bullet12"/>
      </w:pPr>
      <w:r w:rsidRPr="00B26FE3">
        <w:t xml:space="preserve">reducing </w:t>
      </w:r>
      <w:r w:rsidR="004465F5" w:rsidRPr="00B26FE3">
        <w:t xml:space="preserve">symptom severity </w:t>
      </w:r>
      <w:r w:rsidR="00E742E4" w:rsidRPr="00B26FE3">
        <w:t xml:space="preserve">(1 RCT, 60 participants) </w:t>
      </w:r>
      <w:r w:rsidR="004465F5" w:rsidRPr="00B26FE3">
        <w:t xml:space="preserve">in people with </w:t>
      </w:r>
      <w:r w:rsidR="009043D8" w:rsidRPr="00B26FE3">
        <w:t>menstrual disorders</w:t>
      </w:r>
      <w:r w:rsidR="003F4E50" w:rsidRPr="00B26FE3">
        <w:t>.</w:t>
      </w:r>
    </w:p>
    <w:p w14:paraId="56CB267D" w14:textId="32AD68ED" w:rsidR="003F4E50" w:rsidRPr="00A55335" w:rsidRDefault="00E742E4" w:rsidP="00346AFA">
      <w:pPr>
        <w:pStyle w:val="BodyText"/>
      </w:pPr>
      <w:r w:rsidRPr="00A55335">
        <w:t>(</w:t>
      </w:r>
      <w:r w:rsidR="003F4E50" w:rsidRPr="00A55335">
        <w:t xml:space="preserve">The evidence from the primary comparison with placebo </w:t>
      </w:r>
      <w:r w:rsidR="00B61A37" w:rsidRPr="00A55335">
        <w:t xml:space="preserve">showed </w:t>
      </w:r>
      <w:r w:rsidRPr="00A55335">
        <w:t xml:space="preserve">low </w:t>
      </w:r>
      <w:r w:rsidR="00B61A37" w:rsidRPr="00A55335">
        <w:t xml:space="preserve">certainty that </w:t>
      </w:r>
      <w:r w:rsidR="00EF3FDA" w:rsidRPr="00A55335">
        <w:t>homeopathy may have little to no effect on antibiotic use (</w:t>
      </w:r>
      <w:r w:rsidR="00CC4EE0" w:rsidRPr="00A55335">
        <w:t xml:space="preserve">2 RCTs, </w:t>
      </w:r>
      <w:r w:rsidR="00BA6FB1" w:rsidRPr="00A55335">
        <w:t xml:space="preserve">377 participants). The evidence from the primary comparison with placebo </w:t>
      </w:r>
      <w:r w:rsidR="00912234" w:rsidRPr="00A55335">
        <w:t xml:space="preserve">was very uncertain about the effect of homeopathy on </w:t>
      </w:r>
      <w:r w:rsidR="00AE6140" w:rsidRPr="00A55335">
        <w:t xml:space="preserve">symptom severity </w:t>
      </w:r>
      <w:r w:rsidR="00C443E2" w:rsidRPr="00A55335">
        <w:t xml:space="preserve">(2 RCTs, 211 participants) </w:t>
      </w:r>
      <w:r w:rsidR="00AE6140" w:rsidRPr="00A55335">
        <w:t>for menstrual disorders</w:t>
      </w:r>
      <w:r w:rsidR="00FE32A9" w:rsidRPr="00A55335">
        <w:t>.</w:t>
      </w:r>
      <w:r w:rsidR="009301E4">
        <w:t>)</w:t>
      </w:r>
    </w:p>
    <w:p w14:paraId="7077170B" w14:textId="0901B703" w:rsidR="00D235F2" w:rsidRPr="00A55335" w:rsidRDefault="00D235F2" w:rsidP="00041F03">
      <w:pPr>
        <w:pStyle w:val="Bulletintro"/>
        <w:rPr>
          <w:lang w:val="en-AU"/>
        </w:rPr>
      </w:pPr>
      <w:r w:rsidRPr="00A55335">
        <w:rPr>
          <w:lang w:val="en-AU"/>
        </w:rPr>
        <w:t>The evidence provides moderate certa</w:t>
      </w:r>
      <w:r w:rsidR="00F87FE0" w:rsidRPr="00A55335">
        <w:rPr>
          <w:lang w:val="en-AU"/>
        </w:rPr>
        <w:t>inty that homeopathy</w:t>
      </w:r>
      <w:r w:rsidR="00DF4C98">
        <w:rPr>
          <w:lang w:val="en-AU"/>
        </w:rPr>
        <w:t xml:space="preserve"> probably</w:t>
      </w:r>
      <w:r w:rsidR="00F87FE0" w:rsidRPr="00A55335">
        <w:rPr>
          <w:lang w:val="en-AU"/>
        </w:rPr>
        <w:t xml:space="preserve"> </w:t>
      </w:r>
      <w:r w:rsidR="00C07662" w:rsidRPr="00A55335">
        <w:rPr>
          <w:lang w:val="en-AU"/>
        </w:rPr>
        <w:t xml:space="preserve">has </w:t>
      </w:r>
      <w:r w:rsidR="00F87FE0" w:rsidRPr="00A55335">
        <w:rPr>
          <w:lang w:val="en-AU"/>
        </w:rPr>
        <w:t xml:space="preserve">little (to no) effect compared to </w:t>
      </w:r>
      <w:r w:rsidR="00D877F4" w:rsidRPr="00A55335">
        <w:rPr>
          <w:lang w:val="en-AU"/>
        </w:rPr>
        <w:t xml:space="preserve">no intervention in: </w:t>
      </w:r>
    </w:p>
    <w:p w14:paraId="0B76F8E0" w14:textId="04399B8A" w:rsidR="00D877F4" w:rsidRPr="00A55335" w:rsidRDefault="00D877F4" w:rsidP="00D877F4">
      <w:pPr>
        <w:pStyle w:val="Bullet12"/>
        <w:rPr>
          <w:lang w:val="en-AU"/>
        </w:rPr>
      </w:pPr>
      <w:r w:rsidRPr="00A55335">
        <w:rPr>
          <w:lang w:val="en-AU"/>
        </w:rPr>
        <w:t xml:space="preserve">reducing depression severity </w:t>
      </w:r>
      <w:r w:rsidR="00330CAC" w:rsidRPr="00A55335">
        <w:rPr>
          <w:lang w:val="en-AU"/>
        </w:rPr>
        <w:t xml:space="preserve">(1 RCT, 566 participants) </w:t>
      </w:r>
      <w:r w:rsidRPr="00A55335">
        <w:rPr>
          <w:lang w:val="en-AU"/>
        </w:rPr>
        <w:t>in people with depression</w:t>
      </w:r>
      <w:r w:rsidR="009A4C0D">
        <w:rPr>
          <w:lang w:val="en-AU"/>
        </w:rPr>
        <w:t>.</w:t>
      </w:r>
    </w:p>
    <w:p w14:paraId="49984079" w14:textId="29461A5A" w:rsidR="00C3230C" w:rsidRPr="00A55335" w:rsidRDefault="00330CAC" w:rsidP="009B3685">
      <w:pPr>
        <w:pStyle w:val="BodyText"/>
      </w:pPr>
      <w:r w:rsidRPr="00A55335">
        <w:t>(</w:t>
      </w:r>
      <w:r w:rsidR="00C3230C" w:rsidRPr="00A55335">
        <w:t xml:space="preserve">The evidence </w:t>
      </w:r>
      <w:r w:rsidRPr="00A55335">
        <w:t xml:space="preserve">for this outcome </w:t>
      </w:r>
      <w:r w:rsidR="00423231" w:rsidRPr="00A55335">
        <w:t xml:space="preserve">in the primary comparison </w:t>
      </w:r>
      <w:r w:rsidR="00C3230C" w:rsidRPr="00A55335">
        <w:t>was very uncertain</w:t>
      </w:r>
      <w:r w:rsidR="00423231" w:rsidRPr="00A55335">
        <w:t xml:space="preserve"> about the effect of homeopathy on depression severity (1 RCT, </w:t>
      </w:r>
      <w:r w:rsidR="00C443E2" w:rsidRPr="00A55335">
        <w:t xml:space="preserve">44 participants) </w:t>
      </w:r>
      <w:r w:rsidR="00423231" w:rsidRPr="00A55335">
        <w:t>in people with depression)</w:t>
      </w:r>
      <w:r w:rsidR="00017FAD" w:rsidRPr="00A55335">
        <w:t>.</w:t>
      </w:r>
    </w:p>
    <w:p w14:paraId="647B456D" w14:textId="216AF84C" w:rsidR="003B30F1" w:rsidRPr="00A55335" w:rsidRDefault="003B30F1" w:rsidP="00041F03">
      <w:pPr>
        <w:pStyle w:val="Bulletintro"/>
        <w:rPr>
          <w:lang w:val="en-AU"/>
        </w:rPr>
      </w:pPr>
      <w:r w:rsidRPr="00A55335">
        <w:rPr>
          <w:lang w:val="en-AU"/>
        </w:rPr>
        <w:t>The evidence provides low certainty that homeopathy</w:t>
      </w:r>
      <w:r w:rsidR="00DF4C98">
        <w:rPr>
          <w:lang w:val="en-AU"/>
        </w:rPr>
        <w:t xml:space="preserve"> may have</w:t>
      </w:r>
      <w:r w:rsidRPr="00A55335">
        <w:rPr>
          <w:lang w:val="en-AU"/>
        </w:rPr>
        <w:t xml:space="preserve"> little (to no) effect compared to </w:t>
      </w:r>
      <w:r w:rsidR="00D877F4" w:rsidRPr="00A55335">
        <w:rPr>
          <w:lang w:val="en-AU"/>
        </w:rPr>
        <w:t>no intervention</w:t>
      </w:r>
      <w:r w:rsidRPr="00A55335">
        <w:rPr>
          <w:lang w:val="en-AU"/>
        </w:rPr>
        <w:t xml:space="preserve"> </w:t>
      </w:r>
      <w:r w:rsidR="00A55335" w:rsidRPr="00A55335">
        <w:rPr>
          <w:lang w:val="en-AU"/>
        </w:rPr>
        <w:t>o</w:t>
      </w:r>
      <w:r w:rsidRPr="00A55335">
        <w:rPr>
          <w:lang w:val="en-AU"/>
        </w:rPr>
        <w:t>n:</w:t>
      </w:r>
    </w:p>
    <w:p w14:paraId="3A75DD95" w14:textId="77777777" w:rsidR="00A55335" w:rsidRPr="00A55335" w:rsidRDefault="00A55335" w:rsidP="00A55335">
      <w:pPr>
        <w:pStyle w:val="Bullet12"/>
        <w:rPr>
          <w:lang w:val="en-AU"/>
        </w:rPr>
      </w:pPr>
      <w:r w:rsidRPr="00A55335">
        <w:rPr>
          <w:lang w:val="en-AU"/>
        </w:rPr>
        <w:t xml:space="preserve">symptom severity (1 RCT, 210 participants) in children with </w:t>
      </w:r>
      <w:r w:rsidRPr="00A55335">
        <w:rPr>
          <w:szCs w:val="18"/>
          <w:lang w:val="en-AU"/>
        </w:rPr>
        <w:t>recurrent</w:t>
      </w:r>
      <w:r w:rsidRPr="00A55335">
        <w:rPr>
          <w:lang w:val="en-AU"/>
        </w:rPr>
        <w:t xml:space="preserve"> otitis media</w:t>
      </w:r>
    </w:p>
    <w:p w14:paraId="61C4AF9E" w14:textId="77777777" w:rsidR="00A55335" w:rsidRPr="00A55335" w:rsidRDefault="00A55335" w:rsidP="00A55335">
      <w:pPr>
        <w:pStyle w:val="Bullet12"/>
        <w:rPr>
          <w:lang w:val="en-AU"/>
        </w:rPr>
      </w:pPr>
      <w:r w:rsidRPr="00A55335">
        <w:rPr>
          <w:lang w:val="en-AU"/>
        </w:rPr>
        <w:t>symptom severity (2 RCTs, 86 participants), health-related quality of life (2 RCTs, 86 participants), hospitalisation (1 RCT, 35 participants) or medication use (1 RCT, 35 participants) in people with asthma</w:t>
      </w:r>
    </w:p>
    <w:p w14:paraId="4707BC27" w14:textId="77777777" w:rsidR="00A55335" w:rsidRPr="00A55335" w:rsidRDefault="00A55335" w:rsidP="00A55335">
      <w:pPr>
        <w:pStyle w:val="Bullet12"/>
        <w:rPr>
          <w:lang w:val="en-AU"/>
        </w:rPr>
      </w:pPr>
      <w:r w:rsidRPr="00A55335">
        <w:rPr>
          <w:lang w:val="en-AU"/>
        </w:rPr>
        <w:t xml:space="preserve">symptom severity (1 RCT, 76 participants) or health-related quality of life (1 RCT, 76 participants) in people with </w:t>
      </w:r>
      <w:r w:rsidRPr="00A55335">
        <w:rPr>
          <w:szCs w:val="18"/>
          <w:lang w:val="en-AU"/>
        </w:rPr>
        <w:t>irritable bowel syndrome</w:t>
      </w:r>
      <w:r w:rsidRPr="00A55335">
        <w:rPr>
          <w:lang w:val="en-AU"/>
        </w:rPr>
        <w:t xml:space="preserve"> </w:t>
      </w:r>
    </w:p>
    <w:p w14:paraId="49AEB052" w14:textId="77777777" w:rsidR="00A55335" w:rsidRPr="00A55335" w:rsidRDefault="00A55335" w:rsidP="00A55335">
      <w:pPr>
        <w:pStyle w:val="Bullet12"/>
        <w:rPr>
          <w:lang w:val="en-AU"/>
        </w:rPr>
      </w:pPr>
      <w:r w:rsidRPr="00A55335">
        <w:rPr>
          <w:lang w:val="en-AU"/>
        </w:rPr>
        <w:t xml:space="preserve">pain (1 RCT, 36 participants), fatigue (1 RCT, 36 participants), health-related quality of life (1 RCT, 36 participants), or emotional wellbeing (1 RCT, 36 participants) in people with </w:t>
      </w:r>
      <w:r w:rsidRPr="00A55335">
        <w:rPr>
          <w:szCs w:val="18"/>
          <w:lang w:val="en-AU"/>
        </w:rPr>
        <w:t>fibromyalgia.</w:t>
      </w:r>
      <w:r w:rsidRPr="00A55335">
        <w:rPr>
          <w:lang w:val="en-AU"/>
        </w:rPr>
        <w:t xml:space="preserve"> </w:t>
      </w:r>
    </w:p>
    <w:p w14:paraId="7CFA5F13" w14:textId="259F9473" w:rsidR="003D29BB" w:rsidRPr="00A55335" w:rsidRDefault="00E61B78" w:rsidP="00346AFA">
      <w:pPr>
        <w:pStyle w:val="BodyText"/>
      </w:pPr>
      <w:r w:rsidRPr="00A55335">
        <w:t>(</w:t>
      </w:r>
      <w:r w:rsidR="003D29BB" w:rsidRPr="00A55335">
        <w:t>These</w:t>
      </w:r>
      <w:r w:rsidRPr="00A55335">
        <w:t xml:space="preserve"> results are </w:t>
      </w:r>
      <w:r w:rsidR="003D29BB" w:rsidRPr="00A55335">
        <w:t>generally consistent with those</w:t>
      </w:r>
      <w:r w:rsidRPr="00A55335">
        <w:t xml:space="preserve"> from the primary comparison with placebo, </w:t>
      </w:r>
      <w:r w:rsidR="001C0B2B" w:rsidRPr="00A55335">
        <w:t>although sometimes the level of certainty differs.</w:t>
      </w:r>
      <w:r w:rsidR="003D29BB" w:rsidRPr="00A55335">
        <w:t>)</w:t>
      </w:r>
    </w:p>
    <w:p w14:paraId="7ABD4294" w14:textId="496AB7C2" w:rsidR="00E742E4" w:rsidRPr="00A55335" w:rsidRDefault="00EC31A5" w:rsidP="00AD5CB6">
      <w:pPr>
        <w:pStyle w:val="BodyText"/>
      </w:pPr>
      <w:r w:rsidRPr="00A55335">
        <w:t xml:space="preserve">The planned </w:t>
      </w:r>
      <w:r w:rsidR="00780BD3" w:rsidRPr="00A55335">
        <w:t>subgroup analysis comparing</w:t>
      </w:r>
      <w:r w:rsidRPr="00A55335">
        <w:t xml:space="preserve"> </w:t>
      </w:r>
      <w:r w:rsidR="00E25BD0" w:rsidRPr="00A55335">
        <w:t>individuali</w:t>
      </w:r>
      <w:r w:rsidR="00AD5CB6" w:rsidRPr="00A55335">
        <w:t>s</w:t>
      </w:r>
      <w:r w:rsidR="00E25BD0" w:rsidRPr="00A55335">
        <w:t xml:space="preserve">ed and non-individualised </w:t>
      </w:r>
      <w:r w:rsidR="00AD5CB6" w:rsidRPr="00A55335">
        <w:t xml:space="preserve">homeopathy </w:t>
      </w:r>
      <w:r w:rsidR="00E25BD0" w:rsidRPr="00A55335">
        <w:t>could not be completed because of the small number of studies in each condition</w:t>
      </w:r>
      <w:r w:rsidR="00AD5CB6" w:rsidRPr="00A55335">
        <w:t>.</w:t>
      </w:r>
    </w:p>
    <w:p w14:paraId="61CB8A9D" w14:textId="53188A80" w:rsidR="005D36B7" w:rsidRPr="00A55335" w:rsidRDefault="005D36B7" w:rsidP="005D36B7">
      <w:pPr>
        <w:pStyle w:val="H2notoc"/>
      </w:pPr>
      <w:bookmarkStart w:id="18" w:name="_Ref36476192"/>
      <w:bookmarkStart w:id="19" w:name="_Ref36476198"/>
      <w:bookmarkStart w:id="20" w:name="_Ref36476217"/>
      <w:bookmarkStart w:id="21" w:name="_Ref36476220"/>
      <w:bookmarkStart w:id="22" w:name="_Ref38040469"/>
      <w:bookmarkStart w:id="23" w:name="_Ref38040510"/>
      <w:r w:rsidRPr="00A55335">
        <w:t>Implications for health policy and research</w:t>
      </w:r>
    </w:p>
    <w:p w14:paraId="140E8919" w14:textId="27C27917" w:rsidR="00F171B9" w:rsidRPr="00A55335" w:rsidRDefault="00F171B9" w:rsidP="00F171B9">
      <w:pPr>
        <w:pStyle w:val="BodyText"/>
      </w:pPr>
      <w:r w:rsidRPr="00A55335">
        <w:t xml:space="preserve">This review assesses the evidence for certain conditions and groups of people to inform the Australian Government about health policy decisions for private health insurance rebates. The review does not cover all the reasons that people </w:t>
      </w:r>
      <w:r w:rsidR="005D36B7" w:rsidRPr="00A55335">
        <w:t>use homeopathy</w:t>
      </w:r>
      <w:r w:rsidRPr="00A55335">
        <w:t xml:space="preserve">, or the reasons practitioners prescribe </w:t>
      </w:r>
      <w:r w:rsidR="005D36B7" w:rsidRPr="00A55335">
        <w:t>homeopathic medicines</w:t>
      </w:r>
      <w:r w:rsidRPr="00A55335">
        <w:t xml:space="preserve"> and is not intended to inform individual choices about </w:t>
      </w:r>
      <w:r w:rsidR="005D36B7" w:rsidRPr="00A55335">
        <w:t>using homeopathy</w:t>
      </w:r>
      <w:r w:rsidRPr="00A55335">
        <w:t>.</w:t>
      </w:r>
    </w:p>
    <w:p w14:paraId="4BFCFF6C" w14:textId="552C7701" w:rsidR="00253E6E" w:rsidRDefault="00344AA7" w:rsidP="00F171B9">
      <w:pPr>
        <w:pStyle w:val="BodyText"/>
      </w:pPr>
      <w:r w:rsidRPr="00344AA7">
        <w:lastRenderedPageBreak/>
        <w:t>The results of this review indicate that homeopathy may improve some conditions and outcomes prioritised and have little to no effect for many other conditions and outcomes prioritised</w:t>
      </w:r>
      <w:r w:rsidR="00884DDA">
        <w:t xml:space="preserve">. </w:t>
      </w:r>
      <w:r w:rsidR="003F34A5" w:rsidRPr="00E145E7">
        <w:t xml:space="preserve">There </w:t>
      </w:r>
      <w:r w:rsidR="003F34A5">
        <w:t>were</w:t>
      </w:r>
      <w:r w:rsidR="003F34A5" w:rsidRPr="00E145E7">
        <w:t xml:space="preserve"> many conditions and outcomes </w:t>
      </w:r>
      <w:r w:rsidR="003F34A5" w:rsidRPr="00520298">
        <w:t>assessed in this review w</w:t>
      </w:r>
      <w:r w:rsidR="003F34A5" w:rsidRPr="00E145E7">
        <w:t xml:space="preserve">here the effect of homeopathy </w:t>
      </w:r>
      <w:r w:rsidR="003F34A5">
        <w:t>was</w:t>
      </w:r>
      <w:r w:rsidR="003F34A5" w:rsidRPr="00E145E7">
        <w:t xml:space="preserve"> uncertain (very low certainty) or unknown</w:t>
      </w:r>
      <w:r w:rsidR="003F34A5">
        <w:t xml:space="preserve">. </w:t>
      </w:r>
      <w:r w:rsidR="007601B0" w:rsidRPr="00F30517">
        <w:t>Many</w:t>
      </w:r>
      <w:r w:rsidR="00D32E80" w:rsidRPr="00F30517">
        <w:t xml:space="preserve"> of the studies where evidence was available compared</w:t>
      </w:r>
      <w:r w:rsidR="00C82BF1">
        <w:t xml:space="preserve"> homeopathy</w:t>
      </w:r>
      <w:r w:rsidR="00D32E80" w:rsidRPr="00F30517">
        <w:t xml:space="preserve"> to placebo (the gold-standard). For completeness, homeopathy versus inactive control (no intervention, waitlist, or usual care if considered inactive) was included as a secondary comparator. In some of the studies compared to inactive control, the inactive control was “usual care”. This means participants were encouraged to continue any usual medication or practices, but </w:t>
      </w:r>
      <w:r w:rsidR="007F5A09">
        <w:t>these</w:t>
      </w:r>
      <w:r w:rsidR="007F5A09" w:rsidRPr="00F30517">
        <w:t xml:space="preserve"> can vary from person to person, </w:t>
      </w:r>
      <w:r w:rsidR="007F5A09">
        <w:t xml:space="preserve">and </w:t>
      </w:r>
      <w:r w:rsidR="00D32E80" w:rsidRPr="00F30517">
        <w:t xml:space="preserve">it is not always known or reported what </w:t>
      </w:r>
      <w:r w:rsidR="007F5A09">
        <w:t>they</w:t>
      </w:r>
      <w:r w:rsidR="00D32E80" w:rsidRPr="00F30517">
        <w:t xml:space="preserve"> are. Therefore, where usual care is included, it is often not possible to tell the effects of homeopathy alone, and instead the results show the effect of homeopathy </w:t>
      </w:r>
      <w:r w:rsidR="00572CA9" w:rsidRPr="00F30517">
        <w:t>and</w:t>
      </w:r>
      <w:r w:rsidR="00583181" w:rsidRPr="00F30517">
        <w:t xml:space="preserve"> </w:t>
      </w:r>
      <w:r w:rsidR="00D32E80" w:rsidRPr="00F30517">
        <w:t>usual care</w:t>
      </w:r>
      <w:r w:rsidR="00390E82" w:rsidRPr="00F30517">
        <w:t xml:space="preserve"> toget</w:t>
      </w:r>
      <w:r w:rsidR="00D3033F" w:rsidRPr="00F30517">
        <w:t>h</w:t>
      </w:r>
      <w:r w:rsidR="00390E82" w:rsidRPr="00F30517">
        <w:t>er</w:t>
      </w:r>
      <w:r w:rsidR="00D32E80" w:rsidRPr="00F30517">
        <w:t>.</w:t>
      </w:r>
    </w:p>
    <w:p w14:paraId="0CAE4666" w14:textId="3DDC6AE1" w:rsidR="00F171B9" w:rsidRPr="00A55335" w:rsidRDefault="002F04F7" w:rsidP="00F171B9">
      <w:pPr>
        <w:pStyle w:val="BodyText"/>
      </w:pPr>
      <w:r w:rsidRPr="00A55335">
        <w:t xml:space="preserve">Studies published in a language other than English were </w:t>
      </w:r>
      <w:proofErr w:type="gramStart"/>
      <w:r w:rsidRPr="00A55335">
        <w:t>listed, but</w:t>
      </w:r>
      <w:proofErr w:type="gramEnd"/>
      <w:r w:rsidRPr="00A55335">
        <w:t xml:space="preserve"> not included in the assessment. </w:t>
      </w:r>
      <w:r w:rsidR="004723EB" w:rsidRPr="00A55335">
        <w:t>I</w:t>
      </w:r>
      <w:r w:rsidRPr="00A55335">
        <w:t xml:space="preserve">ncluding these studies would </w:t>
      </w:r>
      <w:r w:rsidR="00DA1C32" w:rsidRPr="00A55335">
        <w:t xml:space="preserve">likely not </w:t>
      </w:r>
      <w:r w:rsidRPr="00A55335">
        <w:t xml:space="preserve">have affected the overall </w:t>
      </w:r>
      <w:r w:rsidR="00DA1C32" w:rsidRPr="00A55335">
        <w:t>conclusions</w:t>
      </w:r>
      <w:r w:rsidRPr="00A55335">
        <w:t xml:space="preserve"> </w:t>
      </w:r>
      <w:r w:rsidR="007A3FD3" w:rsidRPr="00A55335">
        <w:t xml:space="preserve">of the review </w:t>
      </w:r>
      <w:r w:rsidRPr="00A55335">
        <w:t xml:space="preserve">but could have increased the certainty of evidence across some outcomes. </w:t>
      </w:r>
      <w:r w:rsidR="00F171B9" w:rsidRPr="00A55335">
        <w:t xml:space="preserve">The review listed, but did not assess </w:t>
      </w:r>
      <w:r w:rsidR="00377CC6" w:rsidRPr="00A55335">
        <w:t xml:space="preserve">homeopathy </w:t>
      </w:r>
      <w:r w:rsidR="00F171B9" w:rsidRPr="00A55335">
        <w:t xml:space="preserve">versus other interventions, so no comment can be made on whether </w:t>
      </w:r>
      <w:r w:rsidR="00377CC6" w:rsidRPr="00A55335">
        <w:t>homeopathy</w:t>
      </w:r>
      <w:r w:rsidR="00F171B9" w:rsidRPr="00A55335">
        <w:t xml:space="preserve"> is better or worse than other interventions.</w:t>
      </w:r>
    </w:p>
    <w:p w14:paraId="14CF6104" w14:textId="3250C0F3" w:rsidR="00F171B9" w:rsidRPr="00A55335" w:rsidRDefault="004E013E" w:rsidP="00F171B9">
      <w:pPr>
        <w:pStyle w:val="BodyText"/>
      </w:pPr>
      <w:r w:rsidRPr="00F30517">
        <w:t>Fu</w:t>
      </w:r>
      <w:r w:rsidR="00002EE4" w:rsidRPr="00F30517">
        <w:t>ture research about the effectiveness of homeopathy</w:t>
      </w:r>
      <w:r w:rsidRPr="00F30517">
        <w:t xml:space="preserve"> could</w:t>
      </w:r>
      <w:r w:rsidR="003A0DF7" w:rsidRPr="00F30517">
        <w:t xml:space="preserve"> be</w:t>
      </w:r>
      <w:r w:rsidR="00002EE4" w:rsidRPr="00F30517">
        <w:t xml:space="preserve"> </w:t>
      </w:r>
      <w:r w:rsidRPr="00F30517">
        <w:t>improved by</w:t>
      </w:r>
      <w:r w:rsidR="003A0DF7" w:rsidRPr="00F30517">
        <w:t xml:space="preserve"> </w:t>
      </w:r>
      <w:r w:rsidR="00F2169E" w:rsidRPr="00F2169E">
        <w:t>address</w:t>
      </w:r>
      <w:r w:rsidR="00F2169E">
        <w:t>ing</w:t>
      </w:r>
      <w:r w:rsidR="00F2169E" w:rsidRPr="00F2169E">
        <w:t xml:space="preserve"> preventable limitations in the conduct and reporting of trials</w:t>
      </w:r>
      <w:r w:rsidR="00002EE4" w:rsidRPr="00F30517">
        <w:t>.</w:t>
      </w:r>
      <w:r w:rsidR="00002EE4">
        <w:t xml:space="preserve"> </w:t>
      </w:r>
      <w:r w:rsidR="00F01FF8" w:rsidRPr="00F30517">
        <w:t xml:space="preserve">For example, </w:t>
      </w:r>
      <w:r w:rsidRPr="00F30517">
        <w:t>using</w:t>
      </w:r>
      <w:r w:rsidR="00273418" w:rsidRPr="00F30517">
        <w:t xml:space="preserve"> </w:t>
      </w:r>
      <w:r w:rsidR="00E76777" w:rsidRPr="00F30517">
        <w:t>well established</w:t>
      </w:r>
      <w:r w:rsidR="00C20D72" w:rsidRPr="00F30517">
        <w:t xml:space="preserve"> </w:t>
      </w:r>
      <w:r w:rsidR="00123D29" w:rsidRPr="00F30517">
        <w:t xml:space="preserve">outcome measures </w:t>
      </w:r>
      <w:r w:rsidR="00B13C7E" w:rsidRPr="00F30517">
        <w:t xml:space="preserve">and </w:t>
      </w:r>
      <w:r w:rsidR="00F01FF8" w:rsidRPr="00F30517">
        <w:t>report</w:t>
      </w:r>
      <w:r w:rsidRPr="00F30517">
        <w:t>ing</w:t>
      </w:r>
      <w:r w:rsidR="00F01FF8" w:rsidRPr="00F30517">
        <w:t xml:space="preserve"> </w:t>
      </w:r>
      <w:r w:rsidR="007650F9" w:rsidRPr="00F30517">
        <w:t>all the outcomes</w:t>
      </w:r>
      <w:r w:rsidR="00F01FF8" w:rsidRPr="00F30517">
        <w:t xml:space="preserve"> which were tested</w:t>
      </w:r>
      <w:r w:rsidR="007650F9" w:rsidRPr="00F30517">
        <w:t xml:space="preserve"> with sufficient detail.</w:t>
      </w:r>
      <w:r w:rsidR="00B13C7E">
        <w:t xml:space="preserve"> </w:t>
      </w:r>
      <w:r w:rsidR="007650F9">
        <w:t>S</w:t>
      </w:r>
      <w:r w:rsidR="00F171B9" w:rsidRPr="00A55335">
        <w:t xml:space="preserve">tudies of </w:t>
      </w:r>
      <w:r w:rsidR="00BD746B" w:rsidRPr="00A55335">
        <w:t xml:space="preserve">homeopathy in conditions for which there is little (or no) </w:t>
      </w:r>
      <w:proofErr w:type="gramStart"/>
      <w:r w:rsidR="00BD746B" w:rsidRPr="00A55335">
        <w:t>evidence</w:t>
      </w:r>
      <w:r w:rsidR="00897696" w:rsidRPr="00A55335">
        <w:t>, and</w:t>
      </w:r>
      <w:proofErr w:type="gramEnd"/>
      <w:r w:rsidR="00035AFB" w:rsidRPr="00A55335">
        <w:t xml:space="preserve"> </w:t>
      </w:r>
      <w:r w:rsidR="000707A7" w:rsidRPr="00A55335">
        <w:t>differentiating</w:t>
      </w:r>
      <w:r w:rsidR="00035AFB" w:rsidRPr="00A55335">
        <w:t xml:space="preserve"> areas </w:t>
      </w:r>
      <w:r w:rsidR="000707A7" w:rsidRPr="00A55335">
        <w:t xml:space="preserve">of care </w:t>
      </w:r>
      <w:r w:rsidR="00925C34" w:rsidRPr="00A55335">
        <w:t xml:space="preserve">for which </w:t>
      </w:r>
      <w:r w:rsidR="00897696" w:rsidRPr="00A55335">
        <w:t xml:space="preserve">individualised </w:t>
      </w:r>
      <w:r w:rsidR="00432B10" w:rsidRPr="00A55335">
        <w:t>or</w:t>
      </w:r>
      <w:r w:rsidR="00897696" w:rsidRPr="00A55335">
        <w:t xml:space="preserve"> non-individualised homeopathy</w:t>
      </w:r>
      <w:r w:rsidR="00925C34" w:rsidRPr="00A55335">
        <w:t xml:space="preserve"> may </w:t>
      </w:r>
      <w:r w:rsidR="00F61509">
        <w:t xml:space="preserve">also </w:t>
      </w:r>
      <w:r w:rsidR="00925C34" w:rsidRPr="00A55335">
        <w:t xml:space="preserve">be </w:t>
      </w:r>
      <w:r w:rsidR="00432B10" w:rsidRPr="00A55335">
        <w:t>important</w:t>
      </w:r>
      <w:r w:rsidR="00F171B9" w:rsidRPr="00A55335">
        <w:t>.</w:t>
      </w:r>
      <w:r w:rsidR="00431C0C" w:rsidRPr="00A55335">
        <w:t xml:space="preserve"> </w:t>
      </w:r>
    </w:p>
    <w:p w14:paraId="72C9A580" w14:textId="77777777" w:rsidR="00F171B9" w:rsidRPr="00A55335" w:rsidRDefault="00F171B9" w:rsidP="00900F62">
      <w:pPr>
        <w:pStyle w:val="H2notoc"/>
      </w:pPr>
      <w:r w:rsidRPr="00A55335">
        <w:t>How up to date is this review?</w:t>
      </w:r>
    </w:p>
    <w:p w14:paraId="7DEFBC3D" w14:textId="1067DCD2" w:rsidR="00DD505D" w:rsidRPr="00A55335" w:rsidRDefault="00F171B9" w:rsidP="00F171B9">
      <w:pPr>
        <w:pStyle w:val="BodyText"/>
      </w:pPr>
      <w:r w:rsidRPr="00A55335">
        <w:t xml:space="preserve">Searches were conducted from the earliest date included in the databases until </w:t>
      </w:r>
      <w:r w:rsidR="003E3E5C" w:rsidRPr="00A55335">
        <w:t>15 July 2022</w:t>
      </w:r>
      <w:r w:rsidRPr="00A55335">
        <w:t xml:space="preserve">. Studies published after this date are not included in this review. A search for recent systematic reviews was conducted up </w:t>
      </w:r>
      <w:r w:rsidR="003E3E5C" w:rsidRPr="00A55335">
        <w:t>to November</w:t>
      </w:r>
      <w:r w:rsidRPr="00A55335">
        <w:t xml:space="preserve"> 2023 and results of this review were compared (where applicable) for completeness.</w:t>
      </w:r>
    </w:p>
    <w:p w14:paraId="71157202" w14:textId="77777777" w:rsidR="00DD505D" w:rsidRPr="00A55335" w:rsidRDefault="00DD505D" w:rsidP="00DD505D">
      <w:pPr>
        <w:pStyle w:val="BodyText"/>
      </w:pPr>
    </w:p>
    <w:p w14:paraId="5EC3AEAF" w14:textId="77777777" w:rsidR="00DD505D" w:rsidRPr="00A55335" w:rsidRDefault="00DD505D" w:rsidP="00DD505D">
      <w:pPr>
        <w:pStyle w:val="BodyText"/>
      </w:pPr>
    </w:p>
    <w:p w14:paraId="14116870" w14:textId="77777777" w:rsidR="00DD505D" w:rsidRPr="00A55335" w:rsidRDefault="00DD505D" w:rsidP="00DD505D">
      <w:pPr>
        <w:pStyle w:val="H1-NoNumColour"/>
      </w:pPr>
      <w:bookmarkStart w:id="24" w:name="_Toc183441288"/>
      <w:r w:rsidRPr="00A55335">
        <w:lastRenderedPageBreak/>
        <w:t>Executive summary</w:t>
      </w:r>
      <w:bookmarkEnd w:id="24"/>
    </w:p>
    <w:p w14:paraId="7AE043A3" w14:textId="77777777" w:rsidR="00DD505D" w:rsidRPr="00A55335" w:rsidRDefault="00DD505D" w:rsidP="00C373A2">
      <w:pPr>
        <w:pStyle w:val="H2notoc"/>
      </w:pPr>
      <w:r w:rsidRPr="00A55335">
        <w:t>Background</w:t>
      </w:r>
    </w:p>
    <w:p w14:paraId="115AB040" w14:textId="5902AF9C" w:rsidR="00082638" w:rsidRPr="00A55335" w:rsidRDefault="00B25AAB" w:rsidP="00082638">
      <w:pPr>
        <w:pStyle w:val="BodyText"/>
      </w:pPr>
      <w:r w:rsidRPr="00A55335">
        <w:t xml:space="preserve">Homeopathy is </w:t>
      </w:r>
      <w:r w:rsidR="00056139" w:rsidRPr="00A55335">
        <w:t xml:space="preserve">used </w:t>
      </w:r>
      <w:r w:rsidR="00082638" w:rsidRPr="00A55335">
        <w:t xml:space="preserve">in Australia </w:t>
      </w:r>
      <w:r w:rsidRPr="00A55335">
        <w:t>by</w:t>
      </w:r>
      <w:r w:rsidR="00082638" w:rsidRPr="00A55335">
        <w:t xml:space="preserve"> individuals who typically have a lower health-related quality of life due to chronic diseases or co-morbidities </w:t>
      </w:r>
      <w:r w:rsidR="00082638" w:rsidRPr="00A55335">
        <w:fldChar w:fldCharType="begin">
          <w:fldData xml:space="preserve">PEVuZE5vdGU+PENpdGU+PEF1dGhvcj5SZWlkPC9BdXRob3I+PFllYXI+MjAxNjwvWWVhcj48UmVj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==
</w:fldData>
        </w:fldChar>
      </w:r>
      <w:r w:rsidR="006952AD">
        <w:instrText xml:space="preserve"> ADDIN EN.CITE </w:instrText>
      </w:r>
      <w:r w:rsidR="006952AD">
        <w:fldChar w:fldCharType="begin">
          <w:fldData xml:space="preserve">PEVuZE5vdGU+PENpdGU+PEF1dGhvcj5SZWlkPC9BdXRob3I+PFllYXI+MjAxNjwvWWVhcj48UmVj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==
</w:fldData>
        </w:fldChar>
      </w:r>
      <w:r w:rsidR="006952AD">
        <w:instrText xml:space="preserve"> ADDIN EN.CITE.DATA </w:instrText>
      </w:r>
      <w:r w:rsidR="006952AD">
        <w:fldChar w:fldCharType="end"/>
      </w:r>
      <w:r w:rsidR="00082638" w:rsidRPr="00A55335">
        <w:fldChar w:fldCharType="separate"/>
      </w:r>
      <w:r w:rsidR="00FA37A6" w:rsidRPr="00A55335">
        <w:rPr>
          <w:noProof/>
        </w:rPr>
        <w:t>(</w:t>
      </w:r>
      <w:hyperlink w:anchor="_ENREF_6" w:tooltip="Reid, 2016 #12" w:history="1">
        <w:r w:rsidR="00EC2769" w:rsidRPr="00A55335">
          <w:rPr>
            <w:noProof/>
          </w:rPr>
          <w:t>6-8</w:t>
        </w:r>
      </w:hyperlink>
      <w:r w:rsidR="00FA37A6" w:rsidRPr="00A55335">
        <w:rPr>
          <w:noProof/>
        </w:rPr>
        <w:t>)</w:t>
      </w:r>
      <w:r w:rsidR="00082638" w:rsidRPr="00A55335">
        <w:fldChar w:fldCharType="end"/>
      </w:r>
      <w:r w:rsidR="00082638" w:rsidRPr="00A55335">
        <w:t>.</w:t>
      </w:r>
      <w:r w:rsidR="00CA6F50" w:rsidRPr="00A55335">
        <w:t xml:space="preserve"> Published reports indicate homeopathy is used to treat or alleviate symptoms associated with a range</w:t>
      </w:r>
      <w:r w:rsidR="00082638" w:rsidRPr="00A55335">
        <w:t xml:space="preserve"> of chronic conditions such as allergic rhinitis, asthma, depression, rheumatoid arthritis, and irritable bowel syndrome</w:t>
      </w:r>
      <w:r w:rsidR="00AD4DE8" w:rsidRPr="00A55335">
        <w:t xml:space="preserve"> </w:t>
      </w:r>
      <w:r w:rsidR="00082638" w:rsidRPr="00A55335">
        <w:fldChar w:fldCharType="begin">
          <w:fldData xml:space="preserve">PEVuZE5vdGU+PENpdGU+PEF1dGhvcj5RdXR1YnVkZGluPC9BdXRob3I+PFllYXI+MjAxOTwvWWVh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</w:fldData>
        </w:fldChar>
      </w:r>
      <w:r w:rsidR="006952AD">
        <w:instrText xml:space="preserve"> ADDIN EN.CITE </w:instrText>
      </w:r>
      <w:r w:rsidR="006952AD">
        <w:fldChar w:fldCharType="begin">
          <w:fldData xml:space="preserve">PEVuZE5vdGU+PENpdGU+PEF1dGhvcj5RdXR1YnVkZGluPC9BdXRob3I+PFllYXI+MjAxOTwvWWVh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</w:fldData>
        </w:fldChar>
      </w:r>
      <w:r w:rsidR="006952AD">
        <w:instrText xml:space="preserve"> ADDIN EN.CITE.DATA </w:instrText>
      </w:r>
      <w:r w:rsidR="006952AD">
        <w:fldChar w:fldCharType="end"/>
      </w:r>
      <w:r w:rsidR="00082638" w:rsidRPr="00A55335">
        <w:fldChar w:fldCharType="separate"/>
      </w:r>
      <w:r w:rsidR="0049097E" w:rsidRPr="00A55335">
        <w:rPr>
          <w:noProof/>
        </w:rPr>
        <w:t>(</w:t>
      </w:r>
      <w:hyperlink w:anchor="_ENREF_9" w:tooltip="Qutubuddin, 2019 #18" w:history="1">
        <w:r w:rsidR="00EC2769" w:rsidRPr="00A55335">
          <w:rPr>
            <w:noProof/>
          </w:rPr>
          <w:t>9-13</w:t>
        </w:r>
      </w:hyperlink>
      <w:r w:rsidR="0049097E" w:rsidRPr="00A55335">
        <w:rPr>
          <w:noProof/>
        </w:rPr>
        <w:t>)</w:t>
      </w:r>
      <w:r w:rsidR="00082638" w:rsidRPr="00A55335">
        <w:fldChar w:fldCharType="end"/>
      </w:r>
      <w:r w:rsidR="00082638" w:rsidRPr="00A55335">
        <w:t>, often when established treatments are not satisfactory, or when individuals are seeking to improve overall well-being</w:t>
      </w:r>
      <w:r w:rsidR="00154183">
        <w:t xml:space="preserve"> </w:t>
      </w:r>
      <w:r w:rsidR="00082638" w:rsidRPr="00A55335">
        <w:fldChar w:fldCharType="begin">
          <w:fldData xml:space="preserve">PEVuZE5vdGU+PENpdGU+PEF1dGhvcj5Ub3BjdTwvQXV0aG9yPjxZZWFyPjIwMjA8L1llYXI+PFJl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</w:fldData>
        </w:fldChar>
      </w:r>
      <w:r w:rsidR="006952AD">
        <w:instrText xml:space="preserve"> ADDIN EN.CITE </w:instrText>
      </w:r>
      <w:r w:rsidR="006952AD">
        <w:fldChar w:fldCharType="begin">
          <w:fldData xml:space="preserve">PEVuZE5vdGU+PENpdGU+PEF1dGhvcj5Ub3BjdTwvQXV0aG9yPjxZZWFyPjIwMjA8L1llYXI+PFJl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</w:fldData>
        </w:fldChar>
      </w:r>
      <w:r w:rsidR="006952AD">
        <w:instrText xml:space="preserve"> ADDIN EN.CITE.DATA </w:instrText>
      </w:r>
      <w:r w:rsidR="006952AD">
        <w:fldChar w:fldCharType="end"/>
      </w:r>
      <w:r w:rsidR="00082638" w:rsidRPr="00A55335">
        <w:fldChar w:fldCharType="separate"/>
      </w:r>
      <w:r w:rsidR="0049097E" w:rsidRPr="00A55335">
        <w:rPr>
          <w:noProof/>
        </w:rPr>
        <w:t>(</w:t>
      </w:r>
      <w:hyperlink w:anchor="_ENREF_14" w:tooltip="Topcu, 2020 #522" w:history="1">
        <w:r w:rsidR="00EC2769" w:rsidRPr="00A55335">
          <w:rPr>
            <w:noProof/>
          </w:rPr>
          <w:t>14</w:t>
        </w:r>
      </w:hyperlink>
      <w:r w:rsidR="0049097E" w:rsidRPr="00A55335">
        <w:rPr>
          <w:noProof/>
        </w:rPr>
        <w:t xml:space="preserve">, </w:t>
      </w:r>
      <w:hyperlink w:anchor="_ENREF_15" w:tooltip="Brien, 2012 #24" w:history="1">
        <w:r w:rsidR="00EC2769" w:rsidRPr="00A55335">
          <w:rPr>
            <w:noProof/>
          </w:rPr>
          <w:t>15</w:t>
        </w:r>
      </w:hyperlink>
      <w:r w:rsidR="0049097E" w:rsidRPr="00A55335">
        <w:rPr>
          <w:noProof/>
        </w:rPr>
        <w:t>)</w:t>
      </w:r>
      <w:r w:rsidR="00082638" w:rsidRPr="00A55335">
        <w:fldChar w:fldCharType="end"/>
      </w:r>
      <w:r w:rsidR="00082638" w:rsidRPr="00A55335">
        <w:t>. Homeopathic medicinal products are also often used to prevent or treat side effects associated with cancer</w:t>
      </w:r>
      <w:r w:rsidR="00154183">
        <w:t xml:space="preserve"> </w:t>
      </w:r>
      <w:r w:rsidR="00082638" w:rsidRPr="00A55335">
        <w:fldChar w:fldCharType="begin">
          <w:fldData xml:space="preserve">PEVuZE5vdGU+PENpdGU+PEF1dGhvcj5CYWdvdDwvQXV0aG9yPjxZZWFyPjIwMjE8L1llYXI+PFJl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</w:fldData>
        </w:fldChar>
      </w:r>
      <w:r w:rsidR="006952AD">
        <w:instrText xml:space="preserve"> ADDIN EN.CITE </w:instrText>
      </w:r>
      <w:r w:rsidR="006952AD">
        <w:fldChar w:fldCharType="begin">
          <w:fldData xml:space="preserve">PEVuZE5vdGU+PENpdGU+PEF1dGhvcj5CYWdvdDwvQXV0aG9yPjxZZWFyPjIwMjE8L1llYXI+PFJl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</w:fldData>
        </w:fldChar>
      </w:r>
      <w:r w:rsidR="006952AD">
        <w:instrText xml:space="preserve"> ADDIN EN.CITE.DATA </w:instrText>
      </w:r>
      <w:r w:rsidR="006952AD">
        <w:fldChar w:fldCharType="end"/>
      </w:r>
      <w:r w:rsidR="00082638" w:rsidRPr="00A55335">
        <w:fldChar w:fldCharType="separate"/>
      </w:r>
      <w:r w:rsidR="0049097E" w:rsidRPr="00A55335">
        <w:rPr>
          <w:noProof/>
        </w:rPr>
        <w:t>(</w:t>
      </w:r>
      <w:hyperlink w:anchor="_ENREF_16" w:tooltip="Bagot, 2021 #25" w:history="1">
        <w:r w:rsidR="00EC2769" w:rsidRPr="00A55335">
          <w:rPr>
            <w:noProof/>
          </w:rPr>
          <w:t>16-18</w:t>
        </w:r>
      </w:hyperlink>
      <w:r w:rsidR="0049097E" w:rsidRPr="00A55335">
        <w:rPr>
          <w:noProof/>
        </w:rPr>
        <w:t>)</w:t>
      </w:r>
      <w:r w:rsidR="00082638" w:rsidRPr="00A55335">
        <w:fldChar w:fldCharType="end"/>
      </w:r>
      <w:r w:rsidR="00082638" w:rsidRPr="00A55335">
        <w:t>. In other cases, homeopathy is used by individuals seeking a more holistic lifestyle to treat infertility, or to prevent recurrent infections</w:t>
      </w:r>
      <w:r w:rsidR="00AD4DE8" w:rsidRPr="00A55335">
        <w:t xml:space="preserve"> </w:t>
      </w:r>
      <w:r w:rsidR="00082638" w:rsidRPr="00A55335">
        <w:fldChar w:fldCharType="begin">
          <w:fldData xml:space="preserve">PEVuZE5vdGU+PENpdGU+PEF1dGhvcj5TaGFyYWZpPC9BdXRob3I+PFllYXI+MjAxODwvWWVhcj48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</w:fldData>
        </w:fldChar>
      </w:r>
      <w:r w:rsidR="006952AD">
        <w:instrText xml:space="preserve"> ADDIN EN.CITE </w:instrText>
      </w:r>
      <w:r w:rsidR="006952AD">
        <w:fldChar w:fldCharType="begin">
          <w:fldData xml:space="preserve">PEVuZE5vdGU+PENpdGU+PEF1dGhvcj5TaGFyYWZpPC9BdXRob3I+PFllYXI+MjAxODwvWWVhcj48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</w:fldData>
        </w:fldChar>
      </w:r>
      <w:r w:rsidR="006952AD">
        <w:instrText xml:space="preserve"> ADDIN EN.CITE.DATA </w:instrText>
      </w:r>
      <w:r w:rsidR="006952AD">
        <w:fldChar w:fldCharType="end"/>
      </w:r>
      <w:r w:rsidR="00082638" w:rsidRPr="00A55335">
        <w:fldChar w:fldCharType="separate"/>
      </w:r>
      <w:r w:rsidR="0049097E" w:rsidRPr="00A55335">
        <w:rPr>
          <w:noProof/>
        </w:rPr>
        <w:t>(</w:t>
      </w:r>
      <w:hyperlink w:anchor="_ENREF_19" w:tooltip="Sharafi, 2018 #28" w:history="1">
        <w:r w:rsidR="00EC2769" w:rsidRPr="00A55335">
          <w:rPr>
            <w:noProof/>
          </w:rPr>
          <w:t>19</w:t>
        </w:r>
      </w:hyperlink>
      <w:r w:rsidR="0049097E" w:rsidRPr="00A55335">
        <w:rPr>
          <w:noProof/>
        </w:rPr>
        <w:t xml:space="preserve">, </w:t>
      </w:r>
      <w:hyperlink w:anchor="_ENREF_20" w:tooltip="Rutten, 2019 #29" w:history="1">
        <w:r w:rsidR="00EC2769" w:rsidRPr="00A55335">
          <w:rPr>
            <w:noProof/>
          </w:rPr>
          <w:t>20</w:t>
        </w:r>
      </w:hyperlink>
      <w:r w:rsidR="0049097E" w:rsidRPr="00A55335">
        <w:rPr>
          <w:noProof/>
        </w:rPr>
        <w:t>)</w:t>
      </w:r>
      <w:r w:rsidR="00082638" w:rsidRPr="00A55335">
        <w:fldChar w:fldCharType="end"/>
      </w:r>
      <w:r w:rsidR="00082638" w:rsidRPr="00A55335">
        <w:t xml:space="preserve">. </w:t>
      </w:r>
    </w:p>
    <w:p w14:paraId="40FC867F" w14:textId="664AA9CA" w:rsidR="00986471" w:rsidRPr="00A55335" w:rsidRDefault="00986471" w:rsidP="00986471">
      <w:pPr>
        <w:pStyle w:val="BodyText"/>
      </w:pPr>
      <w:r w:rsidRPr="00A55335">
        <w:t xml:space="preserve">Homeopathy is an alternative medical system that is based on the premise </w:t>
      </w:r>
      <w:r w:rsidR="00D800CA" w:rsidRPr="00A55335">
        <w:t>of similitude</w:t>
      </w:r>
      <w:r w:rsidRPr="00A55335">
        <w:t xml:space="preserve">, that is, if a substance causes similar symptoms in a healthy person that same substance </w:t>
      </w:r>
      <w:r w:rsidR="00875179" w:rsidRPr="00A55335">
        <w:t>in a highly diluted dose</w:t>
      </w:r>
      <w:r w:rsidRPr="00A55335">
        <w:t xml:space="preserve"> can treat a disease with similar symptoms</w:t>
      </w:r>
      <w:r w:rsidR="00AD4DE8" w:rsidRPr="00A55335">
        <w:t xml:space="preserve"> </w:t>
      </w:r>
      <w:r w:rsidRPr="00A55335">
        <w:fldChar w:fldCharType="begin"/>
      </w:r>
      <w:r w:rsidR="006952AD">
        <w:instrText xml:space="preserve"> ADDIN EN.CITE &lt;EndNote&gt;&lt;Cite&gt;&lt;Author&gt;Walach&lt;/Author&gt;&lt;Year&gt;2005&lt;/Year&gt;&lt;RecNum&gt;31&lt;/RecNum&gt;&lt;DisplayText&gt;(21)&lt;/DisplayText&gt;&lt;record&gt;&lt;rec-number&gt;31&lt;/rec-number&gt;&lt;foreign-keys&gt;&lt;key app="EN" db-id="t5prptatr9sp0we5exbxt9zz20fwp55tdza9" timestamp="1643145627"&gt;31&lt;/key&gt;&lt;/foreign-keys&gt;&lt;ref-type name="Journal Article"&gt;17&lt;/ref-type&gt;&lt;contributors&gt;&lt;authors&gt;&lt;author&gt;Walach, H.&lt;/author&gt;&lt;author&gt;Jonas, W. B.&lt;/author&gt;&lt;author&gt;Ives, J.&lt;/author&gt;&lt;author&gt;van Wijk, R.&lt;/author&gt;&lt;author&gt;Weingartner, O.&lt;/author&gt;&lt;/authors&gt;&lt;/contributors&gt;&lt;auth-address&gt;University College Northampton, School of Social Sciences, UK. harald.walach@northampton.ac.uk&lt;/auth-address&gt;&lt;titles&gt;&lt;title&gt;Research on homeopathy: state of the art&lt;/title&gt;&lt;secondary-title&gt;J Altern Complement Med&lt;/secondary-title&gt;&lt;/titles&gt;&lt;periodical&gt;&lt;full-title&gt;J Altern Complement Med&lt;/full-title&gt;&lt;/periodical&gt;&lt;pages&gt;813-29&lt;/pages&gt;&lt;volume&gt;11&lt;/volume&gt;&lt;number&gt;5&lt;/number&gt;&lt;edition&gt;2005/11/22&lt;/edition&gt;&lt;keywords&gt;&lt;keyword&gt;Biomedical Research/*methods/standards&lt;/keyword&gt;&lt;keyword&gt;Evidence-Based Medicine/standards&lt;/keyword&gt;&lt;keyword&gt;Homeopathy/*methods/standards&lt;/keyword&gt;&lt;keyword&gt;Humans&lt;/keyword&gt;&lt;keyword&gt;Meta-Analysis as Topic&lt;/keyword&gt;&lt;keyword&gt;Models, Theoretical&lt;/keyword&gt;&lt;keyword&gt;Randomized Controlled Trials as Topic/methods&lt;/keyword&gt;&lt;keyword&gt;*Research Design&lt;/keyword&gt;&lt;/keywords&gt;&lt;dates&gt;&lt;year&gt;2005&lt;/year&gt;&lt;pub-dates&gt;&lt;date&gt;Oct&lt;/date&gt;&lt;/pub-dates&gt;&lt;/dates&gt;&lt;isbn&gt;1075-5535 (Print)&amp;#xD;1075-5535 (Linking)&lt;/isbn&gt;&lt;accession-num&gt;16296915&lt;/accession-num&gt;&lt;urls&gt;&lt;related-urls&gt;&lt;url&gt;https://www.ncbi.nlm.nih.gov/pubmed/16296915&lt;/url&gt;&lt;/related-urls&gt;&lt;/urls&gt;&lt;electronic-resource-num&gt;10.1089/acm.2005.11.813&lt;/electronic-resource-num&gt;&lt;remote-database-name&gt;Medline&lt;/remote-database-name&gt;&lt;remote-database-provider&gt;NLM&lt;/remote-database-provider&gt;&lt;/record&gt;&lt;/Cite&gt;&lt;/EndNote&gt;</w:instrText>
      </w:r>
      <w:r w:rsidRPr="00A55335">
        <w:fldChar w:fldCharType="separate"/>
      </w:r>
      <w:r w:rsidR="0049097E" w:rsidRPr="00A55335">
        <w:rPr>
          <w:noProof/>
        </w:rPr>
        <w:t>(</w:t>
      </w:r>
      <w:hyperlink w:anchor="_ENREF_21" w:tooltip="Walach, 2005 #31" w:history="1">
        <w:r w:rsidR="00EC2769" w:rsidRPr="00A55335">
          <w:rPr>
            <w:noProof/>
          </w:rPr>
          <w:t>21</w:t>
        </w:r>
      </w:hyperlink>
      <w:r w:rsidR="0049097E" w:rsidRPr="00A55335">
        <w:rPr>
          <w:noProof/>
        </w:rPr>
        <w:t>)</w:t>
      </w:r>
      <w:r w:rsidRPr="00A55335">
        <w:fldChar w:fldCharType="end"/>
      </w:r>
      <w:r w:rsidRPr="00A55335">
        <w:t>. Homeopathy can be broadly categorised into two main types: individualised</w:t>
      </w:r>
      <w:r w:rsidR="009D5DC4" w:rsidRPr="00A55335">
        <w:t xml:space="preserve">, where </w:t>
      </w:r>
      <w:r w:rsidRPr="00A55335">
        <w:t>patients are treated based on the totality of symptoms</w:t>
      </w:r>
      <w:r w:rsidR="00195629" w:rsidRPr="00A55335">
        <w:t xml:space="preserve"> after a detailed consultation</w:t>
      </w:r>
      <w:r w:rsidRPr="00A55335">
        <w:t xml:space="preserve">, </w:t>
      </w:r>
      <w:r w:rsidR="00195629" w:rsidRPr="00A55335">
        <w:t>and non-individualised (or ‘fixed’) homeopathy, where a specific homeopathic medicinal product is employed (with or without a consultation) for a specific condition</w:t>
      </w:r>
      <w:r w:rsidR="00AD4DE8" w:rsidRPr="00A55335">
        <w:t xml:space="preserve"> </w:t>
      </w:r>
      <w:r w:rsidR="00195629" w:rsidRPr="00A55335">
        <w:fldChar w:fldCharType="begin"/>
      </w:r>
      <w:r w:rsidR="006952AD">
        <w:instrText xml:space="preserve"> ADDIN EN.CITE &lt;EndNote&gt;&lt;Cite&gt;&lt;Author&gt;O&amp;apos;Meara&lt;/Author&gt;&lt;Year&gt;2002&lt;/Year&gt;&lt;RecNum&gt;35&lt;/RecNum&gt;&lt;DisplayText&gt;(22)&lt;/DisplayText&gt;&lt;record&gt;&lt;rec-number&gt;35&lt;/rec-number&gt;&lt;foreign-keys&gt;&lt;key app="EN" db-id="t5prptatr9sp0we5exbxt9zz20fwp55tdza9" timestamp="1643145633"&gt;35&lt;/key&gt;&lt;/foreign-keys&gt;&lt;ref-type name="Journal Article"&gt;17&lt;/ref-type&gt;&lt;contributors&gt;&lt;authors&gt;&lt;author&gt;O&amp;apos;Meara, S.&lt;/author&gt;&lt;author&gt;Wilson, P.&lt;/author&gt;&lt;author&gt;Bridle, C.&lt;/author&gt;&lt;author&gt;Wright, K.&lt;/author&gt;&lt;author&gt;Kleijnen, J.&lt;/author&gt;&lt;/authors&gt;&lt;/contributors&gt;&lt;auth-address&gt;NHS Centre for Reviews &amp;amp; Dissemination, University of York, York YO10 5DD, UK. smo4@york.ac.uk&lt;/auth-address&gt;&lt;titles&gt;&lt;title&gt;Homoeopathy&lt;/title&gt;&lt;secondary-title&gt;Qual Saf Health Care&lt;/secondary-title&gt;&lt;/titles&gt;&lt;periodical&gt;&lt;full-title&gt;Qual Saf Health Care&lt;/full-title&gt;&lt;/periodical&gt;&lt;pages&gt;189-94&lt;/pages&gt;&lt;volume&gt;11&lt;/volume&gt;&lt;number&gt;2&lt;/number&gt;&lt;edition&gt;2002/11/27&lt;/edition&gt;&lt;keywords&gt;&lt;keyword&gt;Drug Prescriptions&lt;/keyword&gt;&lt;keyword&gt;*Evidence-Based Medicine&lt;/keyword&gt;&lt;keyword&gt;Homeopathy/*standards&lt;/keyword&gt;&lt;keyword&gt;Humans&lt;/keyword&gt;&lt;keyword&gt;State Medicine&lt;/keyword&gt;&lt;keyword&gt;Treatment Outcome&lt;/keyword&gt;&lt;keyword&gt;United Kingdom&lt;/keyword&gt;&lt;/keywords&gt;&lt;dates&gt;&lt;year&gt;2002&lt;/year&gt;&lt;pub-dates&gt;&lt;date&gt;Jun&lt;/date&gt;&lt;/pub-dates&gt;&lt;/dates&gt;&lt;isbn&gt;1475-3898 (Print)&amp;#xD;1475-3901 (Electronic)&amp;#xD;1475-3898 (Linking)&lt;/isbn&gt;&lt;accession-num&gt;12448814&lt;/accession-num&gt;&lt;urls&gt;&lt;related-urls&gt;&lt;url&gt;https://www.ncbi.nlm.nih.gov/pubmed/12448814&lt;/url&gt;&lt;/related-urls&gt;&lt;/urls&gt;&lt;custom2&gt;PMC1743586&lt;/custom2&gt;&lt;electronic-resource-num&gt;10.1136/qhc.11.2.189&lt;/electronic-resource-num&gt;&lt;remote-database-name&gt;Medline&lt;/remote-database-name&gt;&lt;remote-database-provider&gt;NLM&lt;/remote-database-provider&gt;&lt;/record&gt;&lt;/Cite&gt;&lt;/EndNote&gt;</w:instrText>
      </w:r>
      <w:r w:rsidR="00195629" w:rsidRPr="00A55335">
        <w:fldChar w:fldCharType="separate"/>
      </w:r>
      <w:r w:rsidR="0049097E" w:rsidRPr="00A55335">
        <w:rPr>
          <w:noProof/>
        </w:rPr>
        <w:t>(</w:t>
      </w:r>
      <w:hyperlink w:anchor="_ENREF_22" w:tooltip="O'Meara, 2002 #35" w:history="1">
        <w:r w:rsidR="00EC2769" w:rsidRPr="00A55335">
          <w:rPr>
            <w:noProof/>
          </w:rPr>
          <w:t>22</w:t>
        </w:r>
      </w:hyperlink>
      <w:r w:rsidR="0049097E" w:rsidRPr="00A55335">
        <w:rPr>
          <w:noProof/>
        </w:rPr>
        <w:t>)</w:t>
      </w:r>
      <w:r w:rsidR="00195629" w:rsidRPr="00A55335">
        <w:fldChar w:fldCharType="end"/>
      </w:r>
      <w:r w:rsidR="00195629" w:rsidRPr="00A55335">
        <w:t xml:space="preserve">. </w:t>
      </w:r>
      <w:r w:rsidR="00E204AC" w:rsidRPr="00A55335">
        <w:t>B</w:t>
      </w:r>
      <w:r w:rsidRPr="00A55335">
        <w:t>oth single homeopathic medicinal products or ‘complex’ medicinal products can be prescribed, with complex medicinal products containing a fixed combination of multiple homeopathic ingredients</w:t>
      </w:r>
      <w:r w:rsidR="00AD4DE8" w:rsidRPr="00A55335">
        <w:t xml:space="preserve"> </w:t>
      </w:r>
      <w:r w:rsidRPr="00A55335">
        <w:fldChar w:fldCharType="begin"/>
      </w:r>
      <w:r w:rsidR="006952AD">
        <w:instrText xml:space="preserve"> ADDIN EN.CITE &lt;EndNote&gt;&lt;Cite&gt;&lt;Author&gt;Linde&lt;/Author&gt;&lt;Year&gt;1997&lt;/Year&gt;&lt;RecNum&gt;34&lt;/RecNum&gt;&lt;DisplayText&gt;(23)&lt;/DisplayText&gt;&lt;record&gt;&lt;rec-number&gt;34&lt;/rec-number&gt;&lt;foreign-keys&gt;&lt;key app="EN" db-id="t5prptatr9sp0we5exbxt9zz20fwp55tdza9" timestamp="1643145632"&gt;34&lt;/key&gt;&lt;/foreign-keys&gt;&lt;ref-type name="Journal Article"&gt;17&lt;/ref-type&gt;&lt;contributors&gt;&lt;authors&gt;&lt;author&gt;Linde, K.&lt;/author&gt;&lt;author&gt;Clausius, N.&lt;/author&gt;&lt;author&gt;Ramirez, G.&lt;/author&gt;&lt;author&gt;Melchart, D.&lt;/author&gt;&lt;author&gt;Eitel, F.&lt;/author&gt;&lt;author&gt;Hedges, L. V.&lt;/author&gt;&lt;author&gt;Jonas, W. B.&lt;/author&gt;&lt;/authors&gt;&lt;/contributors&gt;&lt;auth-address&gt;Munchener Modell, Centre for Complementary Medicine Research, Technische Universitat/Ludwig-Maximillans-Universitat, Munchen, Germany.&lt;/auth-address&gt;&lt;titles&gt;&lt;title&gt;Are the clinical effects of homeopathy placebo effects? A meta-analysis of placebo-controlled trials&lt;/title&gt;&lt;secondary-title&gt;Lancet&lt;/secondary-title&gt;&lt;/titles&gt;&lt;periodical&gt;&lt;full-title&gt;Lancet&lt;/full-title&gt;&lt;/periodical&gt;&lt;pages&gt;834-43&lt;/pages&gt;&lt;volume&gt;350&lt;/volume&gt;&lt;number&gt;9081&lt;/number&gt;&lt;edition&gt;1997/10/06&lt;/edition&gt;&lt;keywords&gt;&lt;keyword&gt;Double-Blind Method&lt;/keyword&gt;&lt;keyword&gt;*Homeopathy&lt;/keyword&gt;&lt;keyword&gt;Humans&lt;/keyword&gt;&lt;keyword&gt;Odds Ratio&lt;/keyword&gt;&lt;keyword&gt;*Placebo Effect&lt;/keyword&gt;&lt;keyword&gt;Publication Bias&lt;/keyword&gt;&lt;keyword&gt;Randomized Controlled Trials as Topic/standards/statistics &amp;amp; numerical data&lt;/keyword&gt;&lt;keyword&gt;Reproducibility of Results&lt;/keyword&gt;&lt;keyword&gt;Research Design&lt;/keyword&gt;&lt;/keywords&gt;&lt;dates&gt;&lt;year&gt;1997&lt;/year&gt;&lt;pub-dates&gt;&lt;date&gt;Sep 20&lt;/date&gt;&lt;/pub-dates&gt;&lt;/dates&gt;&lt;isbn&gt;0140-6736 (Print)&amp;#xD;0140-6736 (Linking)&lt;/isbn&gt;&lt;accession-num&gt;9310601&lt;/accession-num&gt;&lt;urls&gt;&lt;related-urls&gt;&lt;url&gt;https://www.ncbi.nlm.nih.gov/pubmed/9310601&lt;/url&gt;&lt;/related-urls&gt;&lt;/urls&gt;&lt;electronic-resource-num&gt;10.1016/s0140-6736(97)02293-9&lt;/electronic-resource-num&gt;&lt;remote-database-name&gt;Medline&lt;/remote-database-name&gt;&lt;remote-database-provider&gt;NLM&lt;/remote-database-provider&gt;&lt;research-notes&gt; PubMed SRs and MAs Homeopathy&lt;/research-notes&gt;&lt;language&gt;eng&lt;/language&gt;&lt;/record&gt;&lt;/Cite&gt;&lt;/EndNote&gt;</w:instrText>
      </w:r>
      <w:r w:rsidRPr="00A55335">
        <w:fldChar w:fldCharType="separate"/>
      </w:r>
      <w:r w:rsidR="0049097E" w:rsidRPr="00A55335">
        <w:rPr>
          <w:noProof/>
        </w:rPr>
        <w:t>(</w:t>
      </w:r>
      <w:hyperlink w:anchor="_ENREF_23" w:tooltip="Linde, 1997 #34" w:history="1">
        <w:r w:rsidR="00EC2769" w:rsidRPr="00A55335">
          <w:rPr>
            <w:noProof/>
          </w:rPr>
          <w:t>23</w:t>
        </w:r>
      </w:hyperlink>
      <w:r w:rsidR="0049097E" w:rsidRPr="00A55335">
        <w:rPr>
          <w:noProof/>
        </w:rPr>
        <w:t>)</w:t>
      </w:r>
      <w:r w:rsidRPr="00A55335">
        <w:fldChar w:fldCharType="end"/>
      </w:r>
      <w:r w:rsidRPr="00A55335">
        <w:t xml:space="preserve">. </w:t>
      </w:r>
      <w:r w:rsidR="00E02D4A" w:rsidRPr="00A55335">
        <w:t>They can be prepared as a liquid, powder, granules or tablets</w:t>
      </w:r>
      <w:r w:rsidR="00AD4DE8" w:rsidRPr="00A55335">
        <w:t xml:space="preserve"> </w:t>
      </w:r>
      <w:r w:rsidR="00E02D4A" w:rsidRPr="00A55335">
        <w:fldChar w:fldCharType="begin"/>
      </w:r>
      <w:r w:rsidR="006952AD">
        <w:instrText xml:space="preserve"> ADDIN EN.CITE &lt;EndNote&gt;&lt;Cite&gt;&lt;Author&gt;Australian Homoeopathic Association&lt;/Author&gt;&lt;Year&gt;2021&lt;/Year&gt;&lt;RecNum&gt;38&lt;/RecNum&gt;&lt;DisplayText&gt;(24)&lt;/DisplayText&gt;&lt;record&gt;&lt;rec-number&gt;38&lt;/rec-number&gt;&lt;foreign-keys&gt;&lt;key app="EN" db-id="t5prptatr9sp0we5exbxt9zz20fwp55tdza9" timestamp="1643145637"&gt;38&lt;/key&gt;&lt;/foreign-keys&gt;&lt;ref-type name="Web Page"&gt;12&lt;/ref-type&gt;&lt;contributors&gt;&lt;authors&gt;&lt;author&gt;Australian Homoeopathic Association,&lt;/author&gt;&lt;/authors&gt;&lt;/contributors&gt;&lt;titles&gt;&lt;/titles&gt;&lt;number&gt;Dec 2021&lt;/number&gt;&lt;dates&gt;&lt;year&gt;2021&lt;/year&gt;&lt;/dates&gt;&lt;urls&gt;&lt;related-urls&gt;&lt;url&gt;https://www.homeopathyoz.org/homoeopathy/frequentlyaquestions&lt;/url&gt;&lt;/related-urls&gt;&lt;/urls&gt;&lt;/record&gt;&lt;/Cite&gt;&lt;/EndNote&gt;</w:instrText>
      </w:r>
      <w:r w:rsidR="00E02D4A" w:rsidRPr="00A55335">
        <w:fldChar w:fldCharType="separate"/>
      </w:r>
      <w:r w:rsidR="0049097E" w:rsidRPr="00A55335">
        <w:rPr>
          <w:noProof/>
        </w:rPr>
        <w:t>(</w:t>
      </w:r>
      <w:hyperlink w:anchor="_ENREF_24" w:tooltip="Australian Homoeopathic Association, 2021 #38" w:history="1">
        <w:r w:rsidR="00EC2769" w:rsidRPr="00A55335">
          <w:rPr>
            <w:noProof/>
          </w:rPr>
          <w:t>24</w:t>
        </w:r>
      </w:hyperlink>
      <w:r w:rsidR="0049097E" w:rsidRPr="00A55335">
        <w:rPr>
          <w:noProof/>
        </w:rPr>
        <w:t>)</w:t>
      </w:r>
      <w:r w:rsidR="00E02D4A" w:rsidRPr="00A55335">
        <w:fldChar w:fldCharType="end"/>
      </w:r>
      <w:r w:rsidR="00E02D4A" w:rsidRPr="00A55335">
        <w:t xml:space="preserve"> and are administered orally or externally </w:t>
      </w:r>
      <w:r w:rsidR="00E02D4A" w:rsidRPr="00A55335">
        <w:fldChar w:fldCharType="begin"/>
      </w:r>
      <w:r w:rsidR="006952AD">
        <w:instrText xml:space="preserve"> ADDIN EN.CITE &lt;EndNote&gt;&lt;Cite&gt;&lt;Author&gt;Herr&lt;/Author&gt;&lt;Year&gt;2019&lt;/Year&gt;&lt;RecNum&gt;39&lt;/RecNum&gt;&lt;DisplayText&gt;(25)&lt;/DisplayText&gt;&lt;record&gt;&lt;rec-number&gt;39&lt;/rec-number&gt;&lt;foreign-keys&gt;&lt;key app="EN" db-id="t5prptatr9sp0we5exbxt9zz20fwp55tdza9" timestamp="1643145639"&gt;39&lt;/key&gt;&lt;/foreign-keys&gt;&lt;ref-type name="Journal Article"&gt;17&lt;/ref-type&gt;&lt;contributors&gt;&lt;authors&gt;&lt;author&gt;Herr, G.&lt;/author&gt;&lt;author&gt;Natz, A.&lt;/author&gt;&lt;author&gt;van Haselen, R.&lt;/author&gt;&lt;/authors&gt;&lt;/contributors&gt;&lt;titles&gt;&lt;title&gt;The Coherency of Regulatory Requirements for Homeopathic Medicinal Products in the EU and the EAEU&lt;/title&gt;&lt;secondary-title&gt;European Pharmaceutical Law Review&lt;/secondary-title&gt;&lt;short-title&gt;The Coherency of Regulatory Requirements for Homeopathic Medicinal Products in the EU and the EAEU&lt;/short-title&gt;&lt;/titles&gt;&lt;periodical&gt;&lt;full-title&gt;European Pharmaceutical Law Review&lt;/full-title&gt;&lt;/periodical&gt;&lt;pages&gt;58-72&lt;/pages&gt;&lt;volume&gt;3&lt;/volume&gt;&lt;number&gt;2&lt;/number&gt;&lt;section&gt;58&lt;/section&gt;&lt;dates&gt;&lt;year&gt;2019&lt;/year&gt;&lt;/dates&gt;&lt;isbn&gt;25117157&lt;/isbn&gt;&lt;urls&gt;&lt;related-urls&gt;&lt;url&gt;https://doi.org/10.21552/eplr/2019/2/4&lt;/url&gt;&lt;/related-urls&gt;&lt;/urls&gt;&lt;electronic-resource-num&gt;10.21552/eplr/2019/2/4&lt;/electronic-resource-num&gt;&lt;/record&gt;&lt;/Cite&gt;&lt;/EndNote&gt;</w:instrText>
      </w:r>
      <w:r w:rsidR="00E02D4A" w:rsidRPr="00A55335">
        <w:fldChar w:fldCharType="separate"/>
      </w:r>
      <w:r w:rsidR="0049097E" w:rsidRPr="00A55335">
        <w:rPr>
          <w:noProof/>
        </w:rPr>
        <w:t>(</w:t>
      </w:r>
      <w:hyperlink w:anchor="_ENREF_25" w:tooltip="Herr, 2019 #39" w:history="1">
        <w:r w:rsidR="00EC2769" w:rsidRPr="00A55335">
          <w:rPr>
            <w:noProof/>
          </w:rPr>
          <w:t>25</w:t>
        </w:r>
      </w:hyperlink>
      <w:r w:rsidR="0049097E" w:rsidRPr="00A55335">
        <w:rPr>
          <w:noProof/>
        </w:rPr>
        <w:t>)</w:t>
      </w:r>
      <w:r w:rsidR="00E02D4A" w:rsidRPr="00A55335">
        <w:fldChar w:fldCharType="end"/>
      </w:r>
      <w:r w:rsidR="00E02D4A" w:rsidRPr="00A55335">
        <w:t xml:space="preserve">. </w:t>
      </w:r>
      <w:r w:rsidR="00B8591B" w:rsidRPr="00A55335">
        <w:t xml:space="preserve">Alternatively, </w:t>
      </w:r>
      <w:r w:rsidRPr="00A55335">
        <w:t>allergens or causative infectious or toxic agents, including the patient’s own bodily secretions (e.g. sputum or urine), are used to prepare the homeopathic medicinal product</w:t>
      </w:r>
      <w:r w:rsidR="00AD4DE8" w:rsidRPr="00A55335">
        <w:t xml:space="preserve"> </w:t>
      </w:r>
      <w:r w:rsidRPr="00A55335">
        <w:fldChar w:fldCharType="begin">
          <w:fldData xml:space="preserve">PEVuZE5vdGU+PENpdGU+PEF1dGhvcj5MaW5kZTwvQXV0aG9yPjxZZWFyPjE5OTc8L1llYXI+PFJl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</w:fldData>
        </w:fldChar>
      </w:r>
      <w:r w:rsidR="006952AD">
        <w:instrText xml:space="preserve"> ADDIN EN.CITE </w:instrText>
      </w:r>
      <w:r w:rsidR="006952AD">
        <w:fldChar w:fldCharType="begin">
          <w:fldData xml:space="preserve">PEVuZE5vdGU+PENpdGU+PEF1dGhvcj5MaW5kZTwvQXV0aG9yPjxZZWFyPjE5OTc8L1llYXI+PFJl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</w:fldData>
        </w:fldChar>
      </w:r>
      <w:r w:rsidR="006952AD">
        <w:instrText xml:space="preserve"> ADDIN EN.CITE.DATA </w:instrText>
      </w:r>
      <w:r w:rsidR="006952AD">
        <w:fldChar w:fldCharType="end"/>
      </w:r>
      <w:r w:rsidRPr="00A55335">
        <w:fldChar w:fldCharType="separate"/>
      </w:r>
      <w:r w:rsidR="0049097E" w:rsidRPr="00A55335">
        <w:rPr>
          <w:noProof/>
        </w:rPr>
        <w:t>(</w:t>
      </w:r>
      <w:hyperlink w:anchor="_ENREF_23" w:tooltip="Linde, 1997 #34" w:history="1">
        <w:r w:rsidR="00EC2769" w:rsidRPr="00A55335">
          <w:rPr>
            <w:noProof/>
          </w:rPr>
          <w:t>23</w:t>
        </w:r>
      </w:hyperlink>
      <w:r w:rsidR="0049097E" w:rsidRPr="00A55335">
        <w:rPr>
          <w:noProof/>
        </w:rPr>
        <w:t xml:space="preserve">, </w:t>
      </w:r>
      <w:hyperlink w:anchor="_ENREF_26" w:tooltip="National Health and Medical Research Council, 2020 #37" w:history="1">
        <w:r w:rsidR="00EC2769" w:rsidRPr="00A55335">
          <w:rPr>
            <w:noProof/>
          </w:rPr>
          <w:t>26</w:t>
        </w:r>
      </w:hyperlink>
      <w:r w:rsidR="0049097E" w:rsidRPr="00A55335">
        <w:rPr>
          <w:noProof/>
        </w:rPr>
        <w:t>)</w:t>
      </w:r>
      <w:r w:rsidRPr="00A55335">
        <w:fldChar w:fldCharType="end"/>
      </w:r>
      <w:r w:rsidRPr="00A55335">
        <w:t xml:space="preserve">. </w:t>
      </w:r>
    </w:p>
    <w:p w14:paraId="3E468978" w14:textId="61DDCB99" w:rsidR="00F372B3" w:rsidRPr="00A55335" w:rsidRDefault="00AA47DB" w:rsidP="00F372B3">
      <w:pPr>
        <w:pStyle w:val="BodyText"/>
      </w:pPr>
      <w:r w:rsidRPr="00A55335">
        <w:t>In 201</w:t>
      </w:r>
      <w:r w:rsidR="00F372B3" w:rsidRPr="00A55335">
        <w:t>3</w:t>
      </w:r>
      <w:r w:rsidRPr="00A55335">
        <w:t>, an overview of systematic reviews conducted for the Australian Government found</w:t>
      </w:r>
      <w:r w:rsidR="00F372B3" w:rsidRPr="00A55335">
        <w:t xml:space="preserve"> that there was no reliable evidence</w:t>
      </w:r>
      <w:r w:rsidRPr="00A55335">
        <w:t xml:space="preserve"> </w:t>
      </w:r>
      <w:r w:rsidR="00E70DDE" w:rsidRPr="00A55335">
        <w:t xml:space="preserve">about </w:t>
      </w:r>
      <w:r w:rsidRPr="00A55335">
        <w:t xml:space="preserve">the health effects of </w:t>
      </w:r>
      <w:r w:rsidR="00F372B3" w:rsidRPr="00A55335">
        <w:t>homeopathy</w:t>
      </w:r>
      <w:r w:rsidRPr="00A55335">
        <w:t xml:space="preserve"> </w:t>
      </w:r>
      <w:r w:rsidR="00F733E5" w:rsidRPr="00A55335">
        <w:t>for any of the reported clinical conditions</w:t>
      </w:r>
      <w:r w:rsidR="00435A58" w:rsidRPr="00A55335">
        <w:t xml:space="preserve">. </w:t>
      </w:r>
      <w:r w:rsidR="003C5BFD" w:rsidRPr="00A55335">
        <w:t>This was d</w:t>
      </w:r>
      <w:r w:rsidRPr="00A55335">
        <w:t>ue to the lack of studies for some clinical conditions, and inadequate reporting of information in the included systematic reviews (</w:t>
      </w:r>
      <w:r w:rsidR="003C5BFD" w:rsidRPr="00A55335">
        <w:t xml:space="preserve">about the </w:t>
      </w:r>
      <w:r w:rsidRPr="00A55335">
        <w:t xml:space="preserve">primary studies included in the eligible systematic reviews). In contrast, this systematic review has targeted analysis to primary studies assessing the effectiveness of </w:t>
      </w:r>
      <w:r w:rsidR="003C5BFD" w:rsidRPr="00A55335">
        <w:t xml:space="preserve">homeopathy </w:t>
      </w:r>
      <w:r w:rsidR="00F372B3" w:rsidRPr="00A55335">
        <w:t xml:space="preserve">for conditions commonly seen and treated by homeopaths in Australia. </w:t>
      </w:r>
    </w:p>
    <w:p w14:paraId="1DD382AB" w14:textId="77777777" w:rsidR="00513413" w:rsidRPr="00A55335" w:rsidRDefault="00513413" w:rsidP="00513413">
      <w:pPr>
        <w:pStyle w:val="H2notoc"/>
      </w:pPr>
      <w:r w:rsidRPr="00A55335">
        <w:t>Objectives</w:t>
      </w:r>
    </w:p>
    <w:p w14:paraId="56489E28" w14:textId="186BEE8F" w:rsidR="00513413" w:rsidRPr="00A55335" w:rsidRDefault="00513413" w:rsidP="00513413">
      <w:pPr>
        <w:pStyle w:val="BodyText"/>
      </w:pPr>
      <w:r w:rsidRPr="00A55335">
        <w:t xml:space="preserve">The objective of this review </w:t>
      </w:r>
      <w:r w:rsidR="00CC77F2" w:rsidRPr="00A55335">
        <w:t xml:space="preserve">was </w:t>
      </w:r>
      <w:r w:rsidRPr="00A55335">
        <w:t xml:space="preserve">to evaluate the effectiveness of homeopathy in individuals with a described injury, disease, medical condition, or preclinical condition (including primary prevention) in at-risk individuals, on outcomes that align with the reasons why people commonly use homeopathy in Australia. This information will be used by the Australian Government in deciding whether to reinclude homeopathy as eligible for private health insurance rebates, after homeopathy was excluded in 2019. This review </w:t>
      </w:r>
      <w:r w:rsidR="00CC77F2" w:rsidRPr="00A55335">
        <w:t xml:space="preserve">was </w:t>
      </w:r>
      <w:r w:rsidRPr="00A55335">
        <w:t xml:space="preserve">not designed to assess all the reasons that people use homeopathy, or the reasons practitioners prescribe homeopathy, and is not intended to inform individual choices about using </w:t>
      </w:r>
      <w:r w:rsidR="00F07C60" w:rsidRPr="00A55335">
        <w:t>homeopathic products</w:t>
      </w:r>
      <w:r w:rsidRPr="00A55335">
        <w:t>.</w:t>
      </w:r>
    </w:p>
    <w:p w14:paraId="3AE83BAC" w14:textId="77777777" w:rsidR="00513413" w:rsidRPr="00A55335" w:rsidRDefault="00513413" w:rsidP="00F07C60">
      <w:pPr>
        <w:pStyle w:val="H2notoc"/>
      </w:pPr>
      <w:r w:rsidRPr="00A55335">
        <w:t>Search methods</w:t>
      </w:r>
    </w:p>
    <w:p w14:paraId="7A4618D6" w14:textId="35E3E995" w:rsidR="00513413" w:rsidRPr="00A55335" w:rsidRDefault="00513413" w:rsidP="00513413">
      <w:pPr>
        <w:pStyle w:val="BodyText"/>
      </w:pPr>
      <w:r w:rsidRPr="00A55335">
        <w:t>Literature searches were conducted in E</w:t>
      </w:r>
      <w:r w:rsidR="00F07C60" w:rsidRPr="00A55335">
        <w:t>mbase</w:t>
      </w:r>
      <w:r w:rsidRPr="00A55335">
        <w:t xml:space="preserve">, MEDLINE, </w:t>
      </w:r>
      <w:proofErr w:type="spellStart"/>
      <w:r w:rsidRPr="00A55335">
        <w:t>E</w:t>
      </w:r>
      <w:r w:rsidR="00F07C60" w:rsidRPr="00A55335">
        <w:t>mcare</w:t>
      </w:r>
      <w:proofErr w:type="spellEnd"/>
      <w:r w:rsidRPr="00A55335">
        <w:t>, PsycINFO, AMED, CINAHL, CENTRAL, P</w:t>
      </w:r>
      <w:r w:rsidR="00F07C60" w:rsidRPr="00A55335">
        <w:t>ub</w:t>
      </w:r>
      <w:r w:rsidRPr="00A55335">
        <w:t>M</w:t>
      </w:r>
      <w:r w:rsidR="00F07C60" w:rsidRPr="00A55335">
        <w:t>ed</w:t>
      </w:r>
      <w:r w:rsidRPr="00A55335">
        <w:t xml:space="preserve"> and PAHO VHL to identify relevant studies published from database inception to </w:t>
      </w:r>
      <w:r w:rsidR="00F07C60" w:rsidRPr="00A55335">
        <w:t>15</w:t>
      </w:r>
      <w:r w:rsidRPr="00A55335">
        <w:t xml:space="preserve"> July 202</w:t>
      </w:r>
      <w:r w:rsidR="00F07C60" w:rsidRPr="00A55335">
        <w:t>2</w:t>
      </w:r>
      <w:r w:rsidRPr="00A55335">
        <w:t>. The public was also invited by the Department of Health and Aged Care to submit references for published research evidence. There were no limits on language of publication or date of publication in the search.</w:t>
      </w:r>
    </w:p>
    <w:p w14:paraId="6E33C466" w14:textId="77777777" w:rsidR="00513413" w:rsidRPr="00A55335" w:rsidRDefault="00513413" w:rsidP="00F07C60">
      <w:pPr>
        <w:pStyle w:val="H2notoc"/>
      </w:pPr>
      <w:r w:rsidRPr="00A55335">
        <w:lastRenderedPageBreak/>
        <w:t>Selection criteria</w:t>
      </w:r>
    </w:p>
    <w:p w14:paraId="1DCC09EC" w14:textId="02CA4985" w:rsidR="00513413" w:rsidRPr="00A55335" w:rsidRDefault="00513413" w:rsidP="00513413">
      <w:pPr>
        <w:pStyle w:val="BodyText"/>
      </w:pPr>
      <w:r w:rsidRPr="00A55335">
        <w:t xml:space="preserve">Randomised controlled trials </w:t>
      </w:r>
      <w:r w:rsidR="00C87E6E">
        <w:t>(RCT</w:t>
      </w:r>
      <w:r w:rsidR="00237A64">
        <w:t xml:space="preserve">s) </w:t>
      </w:r>
      <w:r w:rsidRPr="00A55335">
        <w:t xml:space="preserve">that examined </w:t>
      </w:r>
      <w:r w:rsidR="00F07C60" w:rsidRPr="00A55335">
        <w:t>homeopathy</w:t>
      </w:r>
      <w:r w:rsidRPr="00A55335">
        <w:t xml:space="preserve"> compared to</w:t>
      </w:r>
      <w:r w:rsidR="00F07C60" w:rsidRPr="00A55335">
        <w:t xml:space="preserve"> placebo or</w:t>
      </w:r>
      <w:r w:rsidR="00921CA1">
        <w:t xml:space="preserve"> control (inclusive of </w:t>
      </w:r>
      <w:r w:rsidR="00A90580" w:rsidRPr="00A55335">
        <w:t>no intervention</w:t>
      </w:r>
      <w:r w:rsidR="00921CA1">
        <w:t>, waitlist or usual care if considered inactive</w:t>
      </w:r>
      <w:r w:rsidR="00A90580" w:rsidRPr="00A55335">
        <w:t xml:space="preserve">) </w:t>
      </w:r>
      <w:r w:rsidRPr="00A55335">
        <w:t xml:space="preserve">or another intervention </w:t>
      </w:r>
      <w:r w:rsidR="00953A88" w:rsidRPr="00A55335">
        <w:t xml:space="preserve">(active control) </w:t>
      </w:r>
      <w:r w:rsidRPr="00A55335">
        <w:t xml:space="preserve">were eligible, including quasi-randomised studies, cluster-randomised and crossover trials. Any </w:t>
      </w:r>
      <w:r w:rsidR="0064797C" w:rsidRPr="00A55335">
        <w:t xml:space="preserve">form of homeopathy </w:t>
      </w:r>
      <w:r w:rsidRPr="00A55335">
        <w:t>was eligible for inclusion</w:t>
      </w:r>
      <w:r w:rsidR="0064797C" w:rsidRPr="00A55335">
        <w:t xml:space="preserve">, including </w:t>
      </w:r>
      <w:r w:rsidR="00F6140E" w:rsidRPr="00A55335">
        <w:t xml:space="preserve">simple homeopathic medicinal products involving single substances, and complex medicinal products involving more than one substance. The treatment could be individualised (i.e. prescribed by a homeopath according to the person’s presenting symptoms after a consultation) or non-individualised (i.e. where the same homeopathic medicinal product is given to all patients with the same condition, with or without a consultation). </w:t>
      </w:r>
      <w:r w:rsidR="006F2EF6" w:rsidRPr="00A55335">
        <w:t xml:space="preserve">The homeopathic medicinal product had to be administered orally or externally (i.e. topical, oral, nasal, rectal, vaginal, ocular or auricular use). Preparations could be </w:t>
      </w:r>
      <w:r w:rsidR="00C418EB" w:rsidRPr="00A55335">
        <w:t xml:space="preserve">liquid, </w:t>
      </w:r>
      <w:r w:rsidR="006F2EF6" w:rsidRPr="00A55335">
        <w:t>sublingual</w:t>
      </w:r>
      <w:r w:rsidR="00C418EB" w:rsidRPr="00A55335">
        <w:t xml:space="preserve"> pellets, </w:t>
      </w:r>
      <w:r w:rsidR="006F2EF6" w:rsidRPr="00A55335">
        <w:t xml:space="preserve">ointments, gels, drops, creams, sprays, </w:t>
      </w:r>
      <w:r w:rsidR="00C418EB" w:rsidRPr="00A55335">
        <w:t>or</w:t>
      </w:r>
      <w:r w:rsidR="006F2EF6" w:rsidRPr="00A55335">
        <w:t xml:space="preserve"> tablets. </w:t>
      </w:r>
      <w:r w:rsidR="00C418EB" w:rsidRPr="00A55335">
        <w:t xml:space="preserve">Homeopathic products delivered via </w:t>
      </w:r>
      <w:r w:rsidR="006F2EF6" w:rsidRPr="00A55335">
        <w:t>injection</w:t>
      </w:r>
      <w:r w:rsidR="00C418EB" w:rsidRPr="00A55335">
        <w:t xml:space="preserve"> were not eligible for inclusion</w:t>
      </w:r>
      <w:r w:rsidR="00031368" w:rsidRPr="00A55335">
        <w:t xml:space="preserve">, as </w:t>
      </w:r>
      <w:r w:rsidR="0019291F" w:rsidRPr="00A55335">
        <w:t xml:space="preserve">this is </w:t>
      </w:r>
      <w:r w:rsidR="00031368" w:rsidRPr="00A55335">
        <w:t>not consistent with Australian practice of homeopathy</w:t>
      </w:r>
      <w:r w:rsidR="00C418EB" w:rsidRPr="00A55335">
        <w:t xml:space="preserve">. </w:t>
      </w:r>
    </w:p>
    <w:p w14:paraId="37A55816" w14:textId="33C8879B" w:rsidR="00513413" w:rsidRPr="00A55335" w:rsidRDefault="00513413" w:rsidP="00513413">
      <w:pPr>
        <w:pStyle w:val="BodyText"/>
      </w:pPr>
      <w:r w:rsidRPr="00A55335">
        <w:t xml:space="preserve">The search was not restricted by comparators, however the </w:t>
      </w:r>
      <w:r w:rsidR="00F63981" w:rsidRPr="00A55335">
        <w:t>primary</w:t>
      </w:r>
      <w:r w:rsidRPr="00A55335">
        <w:t xml:space="preserve"> comparator of interest for this review </w:t>
      </w:r>
      <w:r w:rsidR="00577A88" w:rsidRPr="00A55335">
        <w:t xml:space="preserve">was </w:t>
      </w:r>
      <w:r w:rsidR="00B21D10" w:rsidRPr="00A55335">
        <w:t>homeopathy</w:t>
      </w:r>
      <w:r w:rsidRPr="00A55335">
        <w:t xml:space="preserve"> versus </w:t>
      </w:r>
      <w:r w:rsidR="00B21D10" w:rsidRPr="00A55335">
        <w:t>placebo</w:t>
      </w:r>
      <w:r w:rsidRPr="00A55335">
        <w:t xml:space="preserve"> </w:t>
      </w:r>
      <w:r w:rsidR="00FB02E9" w:rsidRPr="00A55335">
        <w:t xml:space="preserve">because it is considered the gold-standard methodology to establish the efficacy of a treatment. For completeness, </w:t>
      </w:r>
      <w:r w:rsidR="00B21D10" w:rsidRPr="00A55335">
        <w:t>homeopathy versus</w:t>
      </w:r>
      <w:r w:rsidR="008E1126" w:rsidRPr="00A55335">
        <w:t xml:space="preserve"> inactive</w:t>
      </w:r>
      <w:r w:rsidR="00B21D10" w:rsidRPr="00A55335">
        <w:t xml:space="preserve"> control </w:t>
      </w:r>
      <w:r w:rsidRPr="00A55335">
        <w:t>(no intervention, waitlist, or usual care if considered inactive)</w:t>
      </w:r>
      <w:r w:rsidR="004C13A4" w:rsidRPr="00A55335">
        <w:t xml:space="preserve"> was included as a secondary comparator, and homeopathy versus another comparator (including usual care if considered active) as a </w:t>
      </w:r>
      <w:r w:rsidR="00C77E76" w:rsidRPr="00A55335">
        <w:t>tertiary</w:t>
      </w:r>
      <w:r w:rsidR="004C13A4" w:rsidRPr="00A55335">
        <w:t xml:space="preserve"> comparator.</w:t>
      </w:r>
      <w:r w:rsidR="00B21D10" w:rsidRPr="00A55335">
        <w:t xml:space="preserve"> </w:t>
      </w:r>
      <w:r w:rsidR="00624B91" w:rsidRPr="00A55335">
        <w:t>Outcomes were not part of the eligibility criteria and were not included in the search terms but were prioritised as described below</w:t>
      </w:r>
      <w:r w:rsidR="000E13B1" w:rsidRPr="00A55335">
        <w:t>.</w:t>
      </w:r>
      <w:r w:rsidR="00624B91" w:rsidRPr="00A55335">
        <w:t xml:space="preserve"> </w:t>
      </w:r>
      <w:r w:rsidRPr="00A55335">
        <w:t>Studies were not excluded based on country of origin, however studies published in a language other than English were not translated and were not included in the synthesis</w:t>
      </w:r>
      <w:r w:rsidR="00B21D10" w:rsidRPr="00A55335">
        <w:t xml:space="preserve">. These studies </w:t>
      </w:r>
      <w:r w:rsidRPr="00A55335">
        <w:t>were listed in an inventory for completeness.</w:t>
      </w:r>
    </w:p>
    <w:p w14:paraId="5D31040E" w14:textId="77777777" w:rsidR="00513413" w:rsidRPr="00A55335" w:rsidRDefault="00513413" w:rsidP="00B21D10">
      <w:pPr>
        <w:pStyle w:val="H2notoc"/>
      </w:pPr>
      <w:r w:rsidRPr="00A55335">
        <w:t>Data collection and analysis</w:t>
      </w:r>
    </w:p>
    <w:p w14:paraId="3C75728A" w14:textId="1CC2CA9B" w:rsidR="00513413" w:rsidRPr="00A55335" w:rsidRDefault="00513413" w:rsidP="00513413">
      <w:pPr>
        <w:pStyle w:val="BodyText"/>
      </w:pPr>
      <w:r w:rsidRPr="00A55335">
        <w:t xml:space="preserve">After </w:t>
      </w:r>
      <w:r w:rsidR="000E13B1" w:rsidRPr="00A55335">
        <w:t xml:space="preserve">the </w:t>
      </w:r>
      <w:r w:rsidRPr="00A55335">
        <w:t>initial searching and screening</w:t>
      </w:r>
      <w:r w:rsidR="00B70077" w:rsidRPr="00A55335">
        <w:t xml:space="preserve"> process</w:t>
      </w:r>
      <w:r w:rsidRPr="00A55335">
        <w:t xml:space="preserve">, </w:t>
      </w:r>
      <w:r w:rsidR="00C21B35" w:rsidRPr="00A55335">
        <w:t xml:space="preserve">but before data extraction, </w:t>
      </w:r>
      <w:r w:rsidR="00B465D8" w:rsidRPr="00A55335">
        <w:t xml:space="preserve">a list of conditions (and at-risk populations) in the eligible studies was collated. </w:t>
      </w:r>
      <w:r w:rsidR="00B87E0B" w:rsidRPr="00A55335">
        <w:t xml:space="preserve">Priority conditions were then nominated by the </w:t>
      </w:r>
      <w:r w:rsidR="001361EB" w:rsidRPr="00264841">
        <w:t>National Health and Medical Research Council (NHMRC) Natural Therapies Working Committee (</w:t>
      </w:r>
      <w:r w:rsidR="00B87E0B" w:rsidRPr="00A55335">
        <w:t>NTWC</w:t>
      </w:r>
      <w:r w:rsidR="001361EB">
        <w:t>)</w:t>
      </w:r>
      <w:r w:rsidR="00B87E0B" w:rsidRPr="00A55335">
        <w:t xml:space="preserve"> for inclusion in the evidence synthesis. In determining the priority populations, the NTWC were guided by relevant Australian survey data and expert advice from </w:t>
      </w:r>
      <w:r w:rsidR="00591EF3">
        <w:t>the Department’s Natural Therapies Review Expert Advisory Panel (</w:t>
      </w:r>
      <w:r w:rsidR="00B87E0B" w:rsidRPr="00A55335">
        <w:t>NTREAP</w:t>
      </w:r>
      <w:r w:rsidR="00591EF3">
        <w:t>)</w:t>
      </w:r>
      <w:r w:rsidR="00B87E0B" w:rsidRPr="00A55335">
        <w:t xml:space="preserve">. After this, </w:t>
      </w:r>
      <w:r w:rsidRPr="00A55335">
        <w:t xml:space="preserve">a blinded outcome prioritisation process was </w:t>
      </w:r>
      <w:r w:rsidR="00E249B6" w:rsidRPr="00A55335">
        <w:t>undertaken that included</w:t>
      </w:r>
      <w:r w:rsidR="000433FE" w:rsidRPr="00A55335">
        <w:t xml:space="preserve"> all prespecified outcome domains and measures in each eligible RCT, supplemented with outcome domains or measures derived from core outcome sets (where available) or recent Cochrane reviews for that condition</w:t>
      </w:r>
      <w:r w:rsidRPr="00A55335">
        <w:t xml:space="preserve">. NTWC (with advice from NTREAP) was asked to specify up to seven ‘critical’ or ‘important’ outcome domains for inclusion in the analysis and synthesis of the review. Where a study did not report a prioritised outcome for that population or condition, this was noted as an evidence gap in the review. </w:t>
      </w:r>
      <w:r w:rsidR="009205FA" w:rsidRPr="00A55335">
        <w:t xml:space="preserve">For outcome domains, </w:t>
      </w:r>
      <w:r w:rsidRPr="00A55335">
        <w:t xml:space="preserve">NTWC </w:t>
      </w:r>
      <w:r w:rsidR="009205FA" w:rsidRPr="00A55335">
        <w:t>applied the</w:t>
      </w:r>
      <w:r w:rsidRPr="00A55335">
        <w:t xml:space="preserve"> GRADE scoring of 0 (of limited importance for decision making) to 9 (critical for decision making). Harms and cost effectiveness measures were out of scope.</w:t>
      </w:r>
    </w:p>
    <w:p w14:paraId="2B747303" w14:textId="458F8D1B" w:rsidR="00513413" w:rsidRPr="00A55335" w:rsidRDefault="00513413" w:rsidP="00513413">
      <w:pPr>
        <w:pStyle w:val="BodyText"/>
      </w:pPr>
      <w:r w:rsidRPr="00A55335">
        <w:t xml:space="preserve">For each </w:t>
      </w:r>
      <w:r w:rsidR="00CE3EA3" w:rsidRPr="00A55335">
        <w:t>included study</w:t>
      </w:r>
      <w:r w:rsidRPr="00A55335">
        <w:t xml:space="preserve">, data collection was performed by two researchers, the first collected data using data extraction forms and the second checked the forms for completeness and accuracy. </w:t>
      </w:r>
      <w:r w:rsidR="0035516C" w:rsidRPr="00A55335">
        <w:t>Risk of Bias</w:t>
      </w:r>
      <w:r w:rsidRPr="00A55335">
        <w:t xml:space="preserve"> of the eligible studies was conducted using the </w:t>
      </w:r>
      <w:proofErr w:type="spellStart"/>
      <w:r w:rsidRPr="00A55335">
        <w:t>RoB</w:t>
      </w:r>
      <w:proofErr w:type="spellEnd"/>
      <w:r w:rsidRPr="00A55335">
        <w:t xml:space="preserve"> 2 tool, the revised Cochrane risk of bias tool for randomised trials. </w:t>
      </w:r>
    </w:p>
    <w:p w14:paraId="2D6CF5A9" w14:textId="09C26615" w:rsidR="00513413" w:rsidRPr="00A55335" w:rsidRDefault="00513413" w:rsidP="00513413">
      <w:pPr>
        <w:pStyle w:val="BodyText"/>
      </w:pPr>
      <w:r w:rsidRPr="00A55335">
        <w:lastRenderedPageBreak/>
        <w:t xml:space="preserve">In the data analysis and synthesis for each prioritised population, the overall certainty of evidence for a maximum of seven critical or important outcomes were reported in GRADE summary of findings tables, with corresponding evidence statements assigned to each outcome based on a pre-specified list of statements. </w:t>
      </w:r>
      <w:r w:rsidR="00BE74EA" w:rsidRPr="00A55335">
        <w:t xml:space="preserve">Reported outcomes were </w:t>
      </w:r>
      <w:r w:rsidRPr="00A55335">
        <w:t xml:space="preserve">assessed at ‘end of treatment’ </w:t>
      </w:r>
      <w:r w:rsidR="00250EF8" w:rsidRPr="00A55335">
        <w:t xml:space="preserve">and were judged based on </w:t>
      </w:r>
      <w:r w:rsidRPr="00A55335">
        <w:t>reported minimal clinically important differences (MCID) or minimal important difference (MID) (where available). In instances where MCID were unavailable, effect estimates were assessed using ranges of (1) small (Mean difference [MD] &lt;10% of the scale)</w:t>
      </w:r>
      <w:r w:rsidR="00995271">
        <w:t>,</w:t>
      </w:r>
      <w:r w:rsidRPr="00A55335">
        <w:t xml:space="preserve"> (2) moderate (MD between 10% to 20% of the scale), or (3) large (MD more than 20% of the scale). If the effect was quantified using a standardised mean difference (SMD), we used Cohen’s guidance for interpreting the magnitude of the SMD, where 0.2 represents a small difference, 0.5 is moderate, and 0.8 is large.</w:t>
      </w:r>
    </w:p>
    <w:p w14:paraId="481922E2" w14:textId="77777777" w:rsidR="00513413" w:rsidRPr="00A55335" w:rsidRDefault="00513413" w:rsidP="00B21D10">
      <w:pPr>
        <w:pStyle w:val="H2notoc"/>
      </w:pPr>
      <w:r w:rsidRPr="00A55335">
        <w:t>Main results</w:t>
      </w:r>
    </w:p>
    <w:p w14:paraId="075C0911" w14:textId="53F41486" w:rsidR="00513413" w:rsidRPr="00A55335" w:rsidRDefault="00513413" w:rsidP="00513413">
      <w:pPr>
        <w:pStyle w:val="BodyText"/>
      </w:pPr>
      <w:r w:rsidRPr="00A55335">
        <w:t xml:space="preserve">A total of </w:t>
      </w:r>
      <w:r w:rsidR="00A564F1" w:rsidRPr="00A55335">
        <w:t>254</w:t>
      </w:r>
      <w:r w:rsidRPr="00A55335">
        <w:t xml:space="preserve"> studies were identified as eligible for inclusion in this review. Of these, </w:t>
      </w:r>
      <w:r w:rsidR="00A564F1" w:rsidRPr="00A55335">
        <w:t>93</w:t>
      </w:r>
      <w:r w:rsidRPr="00A55335">
        <w:t xml:space="preserve"> studies covering </w:t>
      </w:r>
      <w:r w:rsidR="00A564F1" w:rsidRPr="00A55335">
        <w:t>20</w:t>
      </w:r>
      <w:r w:rsidRPr="00A55335">
        <w:t xml:space="preserve"> </w:t>
      </w:r>
      <w:r w:rsidR="002A58BD" w:rsidRPr="00A55335">
        <w:t xml:space="preserve">prioritised </w:t>
      </w:r>
      <w:r w:rsidRPr="00A55335">
        <w:t>conditions were considered in the evidence evaluation and are included in the results. For the synthesis</w:t>
      </w:r>
      <w:r w:rsidR="008C4561" w:rsidRPr="00A55335">
        <w:t>,</w:t>
      </w:r>
      <w:r w:rsidRPr="00A55335">
        <w:t xml:space="preserve"> </w:t>
      </w:r>
      <w:r w:rsidR="00DC3A12" w:rsidRPr="00A55335">
        <w:t>67 studies (72%)</w:t>
      </w:r>
      <w:r w:rsidRPr="00A55335">
        <w:t xml:space="preserve"> compared </w:t>
      </w:r>
      <w:r w:rsidR="00F31E4E" w:rsidRPr="00A55335">
        <w:t xml:space="preserve">homeopathy </w:t>
      </w:r>
      <w:r w:rsidRPr="00A55335">
        <w:t xml:space="preserve">with </w:t>
      </w:r>
      <w:r w:rsidR="00F31E4E" w:rsidRPr="00A55335">
        <w:t xml:space="preserve">placebo and </w:t>
      </w:r>
      <w:r w:rsidR="00BF4CD6" w:rsidRPr="00A55335">
        <w:t xml:space="preserve">14 </w:t>
      </w:r>
      <w:r w:rsidR="00F31E4E" w:rsidRPr="00A55335">
        <w:t xml:space="preserve">studies </w:t>
      </w:r>
      <w:r w:rsidR="00A81AAF" w:rsidRPr="00A55335">
        <w:t>(1</w:t>
      </w:r>
      <w:r w:rsidR="00BF4CD6" w:rsidRPr="00A55335">
        <w:t>5</w:t>
      </w:r>
      <w:r w:rsidR="00A81AAF" w:rsidRPr="00A55335">
        <w:t xml:space="preserve">%) </w:t>
      </w:r>
      <w:r w:rsidR="00F31E4E" w:rsidRPr="00A55335">
        <w:t xml:space="preserve">compared homeopathy with an </w:t>
      </w:r>
      <w:r w:rsidRPr="00A55335">
        <w:t>inactive control (no intervention, wait list or usual care</w:t>
      </w:r>
      <w:r w:rsidR="00F24A7A" w:rsidRPr="00A55335">
        <w:t xml:space="preserve"> </w:t>
      </w:r>
      <w:r w:rsidR="00452C86">
        <w:t xml:space="preserve">if considered </w:t>
      </w:r>
      <w:r w:rsidR="00F24A7A" w:rsidRPr="00A55335">
        <w:t>inactive</w:t>
      </w:r>
      <w:r w:rsidRPr="00A55335">
        <w:t xml:space="preserve">). Results for </w:t>
      </w:r>
      <w:r w:rsidR="007C52D8" w:rsidRPr="00A55335">
        <w:t xml:space="preserve">the remaining </w:t>
      </w:r>
      <w:r w:rsidR="000908D7" w:rsidRPr="00A55335">
        <w:t xml:space="preserve">14 </w:t>
      </w:r>
      <w:r w:rsidRPr="00A55335">
        <w:t xml:space="preserve">studies of prioritised conditions with active comparators </w:t>
      </w:r>
      <w:r w:rsidR="00F24A7A" w:rsidRPr="00A55335">
        <w:t xml:space="preserve">(including usual care where active) </w:t>
      </w:r>
      <w:r w:rsidRPr="00A55335">
        <w:t>are presented in Appendix F2, but not in the synthesis, as the wide range of comparators and outcomes did not allow for synthesis as planned in the protocol.</w:t>
      </w:r>
    </w:p>
    <w:p w14:paraId="70D47B95" w14:textId="1CD5084E" w:rsidR="00513413" w:rsidRPr="00A55335" w:rsidRDefault="00513413" w:rsidP="00513413">
      <w:pPr>
        <w:pStyle w:val="BodyText"/>
      </w:pPr>
      <w:r w:rsidRPr="00A55335">
        <w:t xml:space="preserve">At the time of the search, an additional </w:t>
      </w:r>
      <w:r w:rsidR="00D221A6" w:rsidRPr="00A55335">
        <w:t>15</w:t>
      </w:r>
      <w:r w:rsidR="00D221A6">
        <w:t>0</w:t>
      </w:r>
      <w:r w:rsidR="00D221A6" w:rsidRPr="00A55335">
        <w:t xml:space="preserve"> </w:t>
      </w:r>
      <w:r w:rsidRPr="00A55335">
        <w:t>studies were awaiting classification</w:t>
      </w:r>
      <w:r w:rsidR="005B6811" w:rsidRPr="00A55335">
        <w:t>,</w:t>
      </w:r>
      <w:r w:rsidRPr="00A55335">
        <w:t xml:space="preserve"> and an additional </w:t>
      </w:r>
      <w:r w:rsidR="005B6811" w:rsidRPr="00A55335">
        <w:t>192</w:t>
      </w:r>
      <w:r w:rsidRPr="00A55335">
        <w:t xml:space="preserve"> studies were recorded as ongoing (registered but not published at the time of the search). Of the studies awaiting classification, </w:t>
      </w:r>
      <w:r w:rsidR="002F5E18" w:rsidRPr="00A55335">
        <w:t>4</w:t>
      </w:r>
      <w:r w:rsidR="002F5E18">
        <w:t>1</w:t>
      </w:r>
      <w:r w:rsidR="002F5E18" w:rsidRPr="00A55335">
        <w:t xml:space="preserve"> </w:t>
      </w:r>
      <w:r w:rsidRPr="00A55335">
        <w:t xml:space="preserve">were conference abstracts, </w:t>
      </w:r>
      <w:r w:rsidR="005B6811" w:rsidRPr="00A55335">
        <w:t>89</w:t>
      </w:r>
      <w:r w:rsidRPr="00A55335">
        <w:t xml:space="preserve"> were not published in English and 1</w:t>
      </w:r>
      <w:r w:rsidR="005B6811" w:rsidRPr="00A55335">
        <w:t>6</w:t>
      </w:r>
      <w:r w:rsidRPr="00A55335">
        <w:t xml:space="preserve"> studies were not able to be retrieved and therefore not assessed. The remaining </w:t>
      </w:r>
      <w:r w:rsidR="005B6811" w:rsidRPr="00A55335">
        <w:t>4</w:t>
      </w:r>
      <w:r w:rsidRPr="00A55335">
        <w:t xml:space="preserve"> studies were published after the search date. Of the ongoing studies, at the time of search </w:t>
      </w:r>
      <w:r w:rsidR="00823D0E" w:rsidRPr="00A55335">
        <w:t>50</w:t>
      </w:r>
      <w:r w:rsidRPr="00A55335">
        <w:t xml:space="preserve"> studies were not yet recruiting participants, </w:t>
      </w:r>
      <w:r w:rsidR="00823D0E" w:rsidRPr="00A55335">
        <w:t>59</w:t>
      </w:r>
      <w:r w:rsidRPr="00A55335">
        <w:t xml:space="preserve"> studies were recruiting participants, </w:t>
      </w:r>
      <w:r w:rsidR="00255F1C" w:rsidRPr="00A55335">
        <w:t>8</w:t>
      </w:r>
      <w:r w:rsidRPr="00A55335">
        <w:t xml:space="preserve"> studies had recruited participants but not collected data, </w:t>
      </w:r>
      <w:r w:rsidR="003E3143" w:rsidRPr="00A55335">
        <w:t>36</w:t>
      </w:r>
      <w:r w:rsidRPr="00A55335">
        <w:t xml:space="preserve"> studies were </w:t>
      </w:r>
      <w:r w:rsidR="00FB13EC" w:rsidRPr="00A55335">
        <w:t>complete,</w:t>
      </w:r>
      <w:r w:rsidRPr="00A55335">
        <w:t xml:space="preserve"> but data were not yet </w:t>
      </w:r>
      <w:r w:rsidR="00FB13EC" w:rsidRPr="00A55335">
        <w:t>available,</w:t>
      </w:r>
      <w:r w:rsidRPr="00A55335">
        <w:t xml:space="preserve"> and </w:t>
      </w:r>
      <w:r w:rsidR="003E3143" w:rsidRPr="00A55335">
        <w:t>5</w:t>
      </w:r>
      <w:r w:rsidRPr="00A55335">
        <w:t xml:space="preserve"> studies completed data analysis but had not reported any results at the time of the search. The status of </w:t>
      </w:r>
      <w:r w:rsidR="003E3143" w:rsidRPr="00A55335">
        <w:t>19</w:t>
      </w:r>
      <w:r w:rsidRPr="00A55335">
        <w:t xml:space="preserve"> studies was unknown. Results for approximately </w:t>
      </w:r>
      <w:r w:rsidR="00821396" w:rsidRPr="00A55335">
        <w:t>29</w:t>
      </w:r>
      <w:r w:rsidRPr="00A55335">
        <w:t xml:space="preserve"> of the ongoing studies, that were complete but not yet available for full text review, may have been eligible for inclusion for conditions prioritised in this review, and may have reported on some of the outcomes considered critical or important by NTWC.</w:t>
      </w:r>
    </w:p>
    <w:p w14:paraId="2295FBFE" w14:textId="599E915B" w:rsidR="00513413" w:rsidRPr="00A55335" w:rsidRDefault="00513413" w:rsidP="00513413">
      <w:pPr>
        <w:pStyle w:val="BodyText"/>
      </w:pPr>
      <w:r w:rsidRPr="00A55335">
        <w:t>Evidence was available for all 2</w:t>
      </w:r>
      <w:r w:rsidR="00FB13EC" w:rsidRPr="00A55335">
        <w:t>0</w:t>
      </w:r>
      <w:r w:rsidRPr="00A55335">
        <w:t xml:space="preserve"> prioritised conditions. Summary of findings tables were restricted to outcomes rated as critical and important by NTWC, study results for outcomes not considered critical or important were not included in the synthesis. </w:t>
      </w:r>
    </w:p>
    <w:p w14:paraId="6EF0F24C" w14:textId="7CC47155" w:rsidR="00513413" w:rsidRPr="00A55335" w:rsidRDefault="00513413" w:rsidP="00513413">
      <w:pPr>
        <w:pStyle w:val="BodyText"/>
      </w:pPr>
      <w:r w:rsidRPr="00A55335">
        <w:t xml:space="preserve">All included studies examined </w:t>
      </w:r>
      <w:r w:rsidR="00FB13EC" w:rsidRPr="00A55335">
        <w:t xml:space="preserve">homeopathy that could be </w:t>
      </w:r>
      <w:r w:rsidRPr="00A55335">
        <w:t xml:space="preserve">applicable to the Australian context, inclusive of </w:t>
      </w:r>
      <w:r w:rsidR="000909FF" w:rsidRPr="00A55335">
        <w:t>individualised and non-individualised prescriptions, accompanied by consultations with a homeopath.</w:t>
      </w:r>
      <w:r w:rsidRPr="00A55335">
        <w:t xml:space="preserve"> Most studies evaluated </w:t>
      </w:r>
      <w:r w:rsidR="000909FF" w:rsidRPr="00A55335">
        <w:t xml:space="preserve">homeopathic products that were administered orally (either as tablet or pellet), but some were topically applied or </w:t>
      </w:r>
      <w:r w:rsidR="00020139" w:rsidRPr="00A55335">
        <w:t>administered via a nasal spray</w:t>
      </w:r>
      <w:r w:rsidRPr="00A55335">
        <w:t xml:space="preserve">. </w:t>
      </w:r>
    </w:p>
    <w:p w14:paraId="2C8C4233" w14:textId="568444AC" w:rsidR="00513413" w:rsidRPr="00A55335" w:rsidRDefault="00513413" w:rsidP="00513413">
      <w:pPr>
        <w:pStyle w:val="BodyText"/>
      </w:pPr>
      <w:r w:rsidRPr="00A55335">
        <w:lastRenderedPageBreak/>
        <w:t xml:space="preserve">Studies were assessed using the Grading of Recommendations, Assessment, Development, and Evaluations (GRADE) framework. GRADE combines information to assess overall how certain systematic review authors can be that the estimates of the effect (reported across a study/s for each critical or important outcome) are correct. High certainty means the authors have a lot of confidence that the true effect is </w:t>
      </w:r>
      <w:proofErr w:type="gramStart"/>
      <w:r w:rsidRPr="00A55335">
        <w:t>similar to</w:t>
      </w:r>
      <w:proofErr w:type="gramEnd"/>
      <w:r w:rsidRPr="00A55335">
        <w:t xml:space="preserve"> the estimated effect. Moderate certainty means the true effect is probably close to the estimated effect. Low certainty means the true effect might be markedly different from the estimated effect. Very low certainty means the true effect is probably markedly different from the estimated effect.</w:t>
      </w:r>
      <w:r w:rsidR="00563AEC">
        <w:rPr>
          <w:rStyle w:val="FootnoteReference"/>
        </w:rPr>
        <w:footnoteReference w:id="2"/>
      </w:r>
    </w:p>
    <w:p w14:paraId="0F7CB2E9" w14:textId="77777777" w:rsidR="00B835AD" w:rsidRPr="00A55335" w:rsidRDefault="00513413" w:rsidP="004154B0">
      <w:pPr>
        <w:pStyle w:val="BodyText"/>
      </w:pPr>
      <w:r w:rsidRPr="00A55335">
        <w:t xml:space="preserve">This review evaluated </w:t>
      </w:r>
      <w:r w:rsidR="00020139" w:rsidRPr="00A55335">
        <w:t>20</w:t>
      </w:r>
      <w:r w:rsidRPr="00A55335">
        <w:t xml:space="preserve"> prioritised conditions for which there was evidence about the effect of </w:t>
      </w:r>
      <w:r w:rsidR="00020139" w:rsidRPr="00A55335">
        <w:t xml:space="preserve">homeopathy </w:t>
      </w:r>
      <w:r w:rsidRPr="00A55335">
        <w:t xml:space="preserve">on an outcome considered critical or important by NTWC. </w:t>
      </w:r>
    </w:p>
    <w:p w14:paraId="3B529D8C" w14:textId="6BAE4352" w:rsidR="00FC2578" w:rsidRPr="00A55335" w:rsidRDefault="00B835AD" w:rsidP="000908D7">
      <w:pPr>
        <w:pStyle w:val="Bulletintro"/>
        <w:rPr>
          <w:lang w:val="en-AU"/>
        </w:rPr>
      </w:pPr>
      <w:r w:rsidRPr="00A55335">
        <w:rPr>
          <w:lang w:val="en-AU"/>
        </w:rPr>
        <w:t xml:space="preserve">For </w:t>
      </w:r>
      <w:r w:rsidR="006448DE" w:rsidRPr="00A55335">
        <w:rPr>
          <w:lang w:val="en-AU"/>
        </w:rPr>
        <w:t xml:space="preserve">the </w:t>
      </w:r>
      <w:r w:rsidRPr="00A55335">
        <w:rPr>
          <w:lang w:val="en-AU"/>
        </w:rPr>
        <w:t>primary comparison (vs placebo) t</w:t>
      </w:r>
      <w:r w:rsidR="00513413" w:rsidRPr="00A55335">
        <w:rPr>
          <w:lang w:val="en-AU"/>
        </w:rPr>
        <w:t>he evidence provides:</w:t>
      </w:r>
    </w:p>
    <w:p w14:paraId="6C9014BD" w14:textId="7FFB33BC" w:rsidR="00FC2578" w:rsidRPr="00A55335" w:rsidRDefault="00447C31" w:rsidP="00876A05">
      <w:pPr>
        <w:pStyle w:val="Bullet6"/>
        <w:rPr>
          <w:lang w:val="en-AU"/>
        </w:rPr>
      </w:pPr>
      <w:r w:rsidRPr="00A55335">
        <w:rPr>
          <w:lang w:val="en-AU"/>
        </w:rPr>
        <w:t>l</w:t>
      </w:r>
      <w:r w:rsidR="00DC63EE" w:rsidRPr="00A55335">
        <w:rPr>
          <w:lang w:val="en-AU"/>
        </w:rPr>
        <w:t>ow certainty that</w:t>
      </w:r>
      <w:r w:rsidRPr="00A55335">
        <w:rPr>
          <w:lang w:val="en-AU"/>
        </w:rPr>
        <w:t>,</w:t>
      </w:r>
      <w:r w:rsidR="00DC63EE" w:rsidRPr="00A55335">
        <w:rPr>
          <w:lang w:val="en-AU"/>
        </w:rPr>
        <w:t xml:space="preserve"> </w:t>
      </w:r>
      <w:r w:rsidR="00785173" w:rsidRPr="00A55335">
        <w:rPr>
          <w:lang w:val="en-AU"/>
        </w:rPr>
        <w:t>compared to placebo</w:t>
      </w:r>
      <w:r w:rsidRPr="00A55335">
        <w:rPr>
          <w:lang w:val="en-AU"/>
        </w:rPr>
        <w:t>,</w:t>
      </w:r>
      <w:r w:rsidR="00785173" w:rsidRPr="00A55335">
        <w:rPr>
          <w:lang w:val="en-AU"/>
        </w:rPr>
        <w:t xml:space="preserve"> </w:t>
      </w:r>
      <w:r w:rsidR="00DC63EE" w:rsidRPr="00A55335">
        <w:rPr>
          <w:lang w:val="en-AU"/>
        </w:rPr>
        <w:t xml:space="preserve">homeopathy </w:t>
      </w:r>
      <w:r w:rsidR="00430D3D" w:rsidRPr="00A55335">
        <w:rPr>
          <w:lang w:val="en-AU"/>
        </w:rPr>
        <w:t>may result in</w:t>
      </w:r>
      <w:r w:rsidR="00CC7B39" w:rsidRPr="00A55335">
        <w:rPr>
          <w:lang w:val="en-AU"/>
        </w:rPr>
        <w:t>:</w:t>
      </w:r>
    </w:p>
    <w:p w14:paraId="7477B636" w14:textId="425CCB83" w:rsidR="00CC7B39" w:rsidRPr="00A55335" w:rsidRDefault="00CC7B39" w:rsidP="00447C31">
      <w:pPr>
        <w:pStyle w:val="Bullet12"/>
        <w:numPr>
          <w:ilvl w:val="1"/>
          <w:numId w:val="11"/>
        </w:numPr>
        <w:rPr>
          <w:lang w:val="en-AU"/>
        </w:rPr>
      </w:pPr>
      <w:r w:rsidRPr="00A55335">
        <w:rPr>
          <w:lang w:val="en-AU"/>
        </w:rPr>
        <w:t xml:space="preserve">a moderate </w:t>
      </w:r>
      <w:r w:rsidR="00DC63EE" w:rsidRPr="00A55335">
        <w:rPr>
          <w:lang w:val="en-AU"/>
        </w:rPr>
        <w:t>reduc</w:t>
      </w:r>
      <w:r w:rsidRPr="00A55335">
        <w:rPr>
          <w:lang w:val="en-AU"/>
        </w:rPr>
        <w:t>tion</w:t>
      </w:r>
      <w:r w:rsidR="00DC63EE" w:rsidRPr="00A55335">
        <w:rPr>
          <w:lang w:val="en-AU"/>
        </w:rPr>
        <w:t xml:space="preserve"> </w:t>
      </w:r>
      <w:r w:rsidRPr="00A55335">
        <w:rPr>
          <w:lang w:val="en-AU"/>
        </w:rPr>
        <w:t xml:space="preserve">in </w:t>
      </w:r>
      <w:r w:rsidR="00DC63EE" w:rsidRPr="00A55335">
        <w:rPr>
          <w:lang w:val="en-AU"/>
        </w:rPr>
        <w:t>medication use (1 RCT, 108 participants) in people with allergic rhinitis</w:t>
      </w:r>
    </w:p>
    <w:p w14:paraId="50B0D314" w14:textId="74A90D48" w:rsidR="00DC63EE" w:rsidRPr="00A55335" w:rsidRDefault="00CC7B39" w:rsidP="00876A05">
      <w:pPr>
        <w:pStyle w:val="Bullet12"/>
        <w:numPr>
          <w:ilvl w:val="1"/>
          <w:numId w:val="11"/>
        </w:numPr>
        <w:rPr>
          <w:lang w:val="en-AU"/>
        </w:rPr>
      </w:pPr>
      <w:r w:rsidRPr="00A55335">
        <w:rPr>
          <w:lang w:val="en-AU"/>
        </w:rPr>
        <w:t xml:space="preserve">a small </w:t>
      </w:r>
      <w:r w:rsidR="00DC63EE" w:rsidRPr="00A55335">
        <w:rPr>
          <w:lang w:val="en-AU"/>
        </w:rPr>
        <w:t>reduc</w:t>
      </w:r>
      <w:r w:rsidRPr="00A55335">
        <w:rPr>
          <w:lang w:val="en-AU"/>
        </w:rPr>
        <w:t>tion</w:t>
      </w:r>
      <w:r w:rsidR="00DC63EE" w:rsidRPr="00A55335">
        <w:rPr>
          <w:lang w:val="en-AU"/>
        </w:rPr>
        <w:t xml:space="preserve"> </w:t>
      </w:r>
      <w:r w:rsidRPr="00A55335">
        <w:rPr>
          <w:lang w:val="en-AU"/>
        </w:rPr>
        <w:t xml:space="preserve">in </w:t>
      </w:r>
      <w:r w:rsidR="00DC63EE" w:rsidRPr="00A55335">
        <w:rPr>
          <w:lang w:val="en-AU"/>
        </w:rPr>
        <w:t>disease severity (3 RCTs, 172 participants) in people with atopic dermatitis</w:t>
      </w:r>
      <w:r w:rsidR="009A4C0D">
        <w:rPr>
          <w:lang w:val="en-AU"/>
        </w:rPr>
        <w:t>.</w:t>
      </w:r>
    </w:p>
    <w:p w14:paraId="30C9341E" w14:textId="1BE144B2" w:rsidR="00732DF5" w:rsidRPr="00A55335" w:rsidRDefault="00447C31" w:rsidP="00447C31">
      <w:pPr>
        <w:pStyle w:val="Bullet6"/>
        <w:rPr>
          <w:lang w:val="en-AU"/>
        </w:rPr>
      </w:pPr>
      <w:r w:rsidRPr="00A55335">
        <w:rPr>
          <w:lang w:val="en-AU"/>
        </w:rPr>
        <w:t>l</w:t>
      </w:r>
      <w:r w:rsidR="00DC63EE" w:rsidRPr="00A55335">
        <w:rPr>
          <w:lang w:val="en-AU"/>
        </w:rPr>
        <w:t>ow certainty that</w:t>
      </w:r>
      <w:r w:rsidRPr="00A55335">
        <w:rPr>
          <w:lang w:val="en-AU"/>
        </w:rPr>
        <w:t>,</w:t>
      </w:r>
      <w:r w:rsidR="00DC63EE" w:rsidRPr="00A55335">
        <w:rPr>
          <w:lang w:val="en-AU"/>
        </w:rPr>
        <w:t xml:space="preserve"> </w:t>
      </w:r>
      <w:r w:rsidR="00C05AEC" w:rsidRPr="00A55335">
        <w:rPr>
          <w:lang w:val="en-AU"/>
        </w:rPr>
        <w:t>compared to placebo</w:t>
      </w:r>
      <w:r w:rsidRPr="00A55335">
        <w:rPr>
          <w:lang w:val="en-AU"/>
        </w:rPr>
        <w:t>,</w:t>
      </w:r>
      <w:r w:rsidR="00C05AEC" w:rsidRPr="00A55335">
        <w:rPr>
          <w:lang w:val="en-AU"/>
        </w:rPr>
        <w:t xml:space="preserve"> </w:t>
      </w:r>
      <w:r w:rsidR="00DC63EE" w:rsidRPr="00A55335">
        <w:rPr>
          <w:lang w:val="en-AU"/>
        </w:rPr>
        <w:t xml:space="preserve">homeopathy </w:t>
      </w:r>
      <w:r w:rsidR="00430D3D" w:rsidRPr="00A55335">
        <w:rPr>
          <w:lang w:val="en-AU"/>
        </w:rPr>
        <w:t xml:space="preserve">may result in </w:t>
      </w:r>
      <w:r w:rsidR="00732DF5" w:rsidRPr="00A55335">
        <w:rPr>
          <w:lang w:val="en-AU"/>
        </w:rPr>
        <w:t>little (to no) benefit in:</w:t>
      </w:r>
    </w:p>
    <w:p w14:paraId="7F4D2495" w14:textId="3E87F225" w:rsidR="00DC63EE" w:rsidRPr="00A55335" w:rsidRDefault="00DC63EE" w:rsidP="00447C31">
      <w:pPr>
        <w:pStyle w:val="Bullet12"/>
        <w:numPr>
          <w:ilvl w:val="1"/>
          <w:numId w:val="11"/>
        </w:numPr>
        <w:rPr>
          <w:lang w:val="en-AU"/>
        </w:rPr>
      </w:pPr>
      <w:r w:rsidRPr="00A55335">
        <w:rPr>
          <w:lang w:val="en-AU"/>
        </w:rPr>
        <w:t>improving quality of life (2 RCTs, 106 participants) in people with atopic dermatitis</w:t>
      </w:r>
    </w:p>
    <w:p w14:paraId="4D8165DC" w14:textId="77777777" w:rsidR="00DC63EE" w:rsidRPr="00A55335" w:rsidRDefault="00DC63EE" w:rsidP="00447C31">
      <w:pPr>
        <w:pStyle w:val="Bullet12"/>
        <w:numPr>
          <w:ilvl w:val="1"/>
          <w:numId w:val="11"/>
        </w:numPr>
        <w:rPr>
          <w:lang w:val="en-AU"/>
        </w:rPr>
      </w:pPr>
      <w:r w:rsidRPr="00A55335">
        <w:rPr>
          <w:lang w:val="en-AU"/>
        </w:rPr>
        <w:t>reducing infection frequency (1 RCT, 96 participants) in people with recurrent otitis media</w:t>
      </w:r>
    </w:p>
    <w:p w14:paraId="782D865B" w14:textId="17679AA6" w:rsidR="00DC63EE" w:rsidRPr="00A55335" w:rsidRDefault="008E576B" w:rsidP="00447C31">
      <w:pPr>
        <w:pStyle w:val="Bullet12"/>
        <w:numPr>
          <w:ilvl w:val="1"/>
          <w:numId w:val="11"/>
        </w:numPr>
        <w:rPr>
          <w:lang w:val="en-AU"/>
        </w:rPr>
      </w:pPr>
      <w:r w:rsidRPr="00A55335">
        <w:rPr>
          <w:lang w:val="en-AU"/>
        </w:rPr>
        <w:t xml:space="preserve">improving quality of life (1 RCT, 170 participants) or reducing </w:t>
      </w:r>
      <w:r w:rsidR="00DC63EE" w:rsidRPr="00A55335">
        <w:rPr>
          <w:lang w:val="en-AU"/>
        </w:rPr>
        <w:t>medication use (2 RCTs, 377 participants) in people with recurrent upper respiratory tract infections</w:t>
      </w:r>
    </w:p>
    <w:p w14:paraId="05883E4F" w14:textId="77777777" w:rsidR="00DC63EE" w:rsidRPr="00A55335" w:rsidRDefault="00DC63EE" w:rsidP="00447C31">
      <w:pPr>
        <w:pStyle w:val="Bullet12"/>
        <w:numPr>
          <w:ilvl w:val="1"/>
          <w:numId w:val="11"/>
        </w:numPr>
        <w:rPr>
          <w:lang w:val="en-AU"/>
        </w:rPr>
      </w:pPr>
      <w:r w:rsidRPr="00A55335">
        <w:rPr>
          <w:lang w:val="en-AU"/>
        </w:rPr>
        <w:t>reducing anxiety (3 RCTs, 150 participants), depression (1 RCT, 44 participants), or emotional functioning (1 RCT, 44 participants) in people with anxiety</w:t>
      </w:r>
    </w:p>
    <w:p w14:paraId="56CB09E1" w14:textId="77777777" w:rsidR="00DC63EE" w:rsidRPr="00A55335" w:rsidRDefault="00DC63EE" w:rsidP="00447C31">
      <w:pPr>
        <w:pStyle w:val="Bullet12"/>
        <w:numPr>
          <w:ilvl w:val="1"/>
          <w:numId w:val="11"/>
        </w:numPr>
        <w:rPr>
          <w:lang w:val="en-AU"/>
        </w:rPr>
      </w:pPr>
      <w:r w:rsidRPr="00A55335">
        <w:rPr>
          <w:lang w:val="en-AU"/>
        </w:rPr>
        <w:t xml:space="preserve">reducing insomnia severity, sleep quality or sleep onset latency (1 RCT, 60 participants) in people with insomnia </w:t>
      </w:r>
    </w:p>
    <w:p w14:paraId="29ADBA64" w14:textId="41C8307A" w:rsidR="00DC63EE" w:rsidRPr="00A55335" w:rsidRDefault="00F1478B" w:rsidP="00447C31">
      <w:pPr>
        <w:pStyle w:val="Bullet12"/>
        <w:numPr>
          <w:ilvl w:val="1"/>
          <w:numId w:val="11"/>
        </w:numPr>
        <w:rPr>
          <w:lang w:val="en-AU"/>
        </w:rPr>
      </w:pPr>
      <w:r w:rsidRPr="00A55335">
        <w:rPr>
          <w:lang w:val="en-AU"/>
        </w:rPr>
        <w:t xml:space="preserve">improving quality of life (2 RCTs, 291 participants) </w:t>
      </w:r>
      <w:r w:rsidR="008E576B" w:rsidRPr="00A55335">
        <w:rPr>
          <w:lang w:val="en-AU"/>
        </w:rPr>
        <w:t xml:space="preserve">or </w:t>
      </w:r>
      <w:r w:rsidR="00DC63EE" w:rsidRPr="00A55335">
        <w:rPr>
          <w:lang w:val="en-AU"/>
        </w:rPr>
        <w:t>reducing medication use (1 RCT, 89 participants) in people with asthma</w:t>
      </w:r>
    </w:p>
    <w:p w14:paraId="08D46373" w14:textId="16377089" w:rsidR="00DC63EE" w:rsidRPr="00A55335" w:rsidRDefault="00DC63EE" w:rsidP="00447C31">
      <w:pPr>
        <w:pStyle w:val="Bullet12"/>
        <w:numPr>
          <w:ilvl w:val="1"/>
          <w:numId w:val="11"/>
        </w:numPr>
        <w:rPr>
          <w:lang w:val="en-AU"/>
        </w:rPr>
      </w:pPr>
      <w:r w:rsidRPr="00A55335">
        <w:rPr>
          <w:lang w:val="en-AU"/>
        </w:rPr>
        <w:t>reducing symptom severity (1 RCT, 292 participants) or symptom duration (</w:t>
      </w:r>
      <w:r w:rsidR="007E73CC" w:rsidRPr="00A55335">
        <w:rPr>
          <w:lang w:val="en-AU"/>
        </w:rPr>
        <w:t>3</w:t>
      </w:r>
      <w:r w:rsidRPr="00A55335">
        <w:rPr>
          <w:lang w:val="en-AU"/>
        </w:rPr>
        <w:t xml:space="preserve"> RCT</w:t>
      </w:r>
      <w:r w:rsidR="007E73CC" w:rsidRPr="00A55335">
        <w:rPr>
          <w:lang w:val="en-AU"/>
        </w:rPr>
        <w:t>s</w:t>
      </w:r>
      <w:r w:rsidRPr="00A55335">
        <w:rPr>
          <w:lang w:val="en-AU"/>
        </w:rPr>
        <w:t xml:space="preserve">, </w:t>
      </w:r>
      <w:r w:rsidR="007E73CC" w:rsidRPr="00A55335">
        <w:rPr>
          <w:lang w:val="en-AU"/>
        </w:rPr>
        <w:t xml:space="preserve">448 </w:t>
      </w:r>
      <w:r w:rsidRPr="00A55335">
        <w:rPr>
          <w:lang w:val="en-AU"/>
        </w:rPr>
        <w:t>participants) in people with diarrhoea</w:t>
      </w:r>
    </w:p>
    <w:p w14:paraId="56F7F370" w14:textId="77777777" w:rsidR="00DC63EE" w:rsidRPr="00A55335" w:rsidRDefault="00DC63EE" w:rsidP="00447C31">
      <w:pPr>
        <w:pStyle w:val="Bullet12"/>
        <w:numPr>
          <w:ilvl w:val="1"/>
          <w:numId w:val="11"/>
        </w:numPr>
        <w:rPr>
          <w:lang w:val="en-AU"/>
        </w:rPr>
      </w:pPr>
      <w:r w:rsidRPr="00A55335">
        <w:rPr>
          <w:lang w:val="en-AU"/>
        </w:rPr>
        <w:t>reducing disease severity (1 RCT, 200 participants) in people with psoriasis</w:t>
      </w:r>
    </w:p>
    <w:p w14:paraId="01430687" w14:textId="77777777" w:rsidR="00DC63EE" w:rsidRPr="00A55335" w:rsidRDefault="00DC63EE" w:rsidP="00447C31">
      <w:pPr>
        <w:pStyle w:val="Bullet12"/>
        <w:numPr>
          <w:ilvl w:val="1"/>
          <w:numId w:val="11"/>
        </w:numPr>
        <w:rPr>
          <w:lang w:val="en-AU"/>
        </w:rPr>
      </w:pPr>
      <w:r w:rsidRPr="00A55335">
        <w:rPr>
          <w:lang w:val="en-AU"/>
        </w:rPr>
        <w:t>reducing pain intensity (1 RCT, 134 participants), stiffness (1 RCT, 134 participants) or improving quality of life (1 RCT, 134 participants) in people with back or neck pain</w:t>
      </w:r>
    </w:p>
    <w:p w14:paraId="6AF77ECC" w14:textId="77777777" w:rsidR="00F46558" w:rsidRPr="00A55335" w:rsidRDefault="00F46558" w:rsidP="00447C31">
      <w:pPr>
        <w:pStyle w:val="Bullet12"/>
        <w:numPr>
          <w:ilvl w:val="1"/>
          <w:numId w:val="11"/>
        </w:numPr>
        <w:rPr>
          <w:lang w:val="en-AU"/>
        </w:rPr>
      </w:pPr>
      <w:r w:rsidRPr="00A55335">
        <w:rPr>
          <w:lang w:val="en-AU"/>
        </w:rPr>
        <w:t xml:space="preserve">improving quality of life (1 RCT, 108 participants) in people with menopausal symptoms or complaints </w:t>
      </w:r>
    </w:p>
    <w:p w14:paraId="035E1FAB" w14:textId="77777777" w:rsidR="00DC63EE" w:rsidRPr="00A55335" w:rsidRDefault="00DC63EE" w:rsidP="00447C31">
      <w:pPr>
        <w:pStyle w:val="Bullet12"/>
        <w:numPr>
          <w:ilvl w:val="1"/>
          <w:numId w:val="11"/>
        </w:numPr>
        <w:rPr>
          <w:lang w:val="en-AU"/>
        </w:rPr>
      </w:pPr>
      <w:r w:rsidRPr="00A55335">
        <w:rPr>
          <w:lang w:val="en-AU"/>
        </w:rPr>
        <w:t xml:space="preserve">reducing fatigue (1 RCT, 86 participants) or improving quality of life (1 RCT, 86 participants) in people with chronic fatigue conditions. </w:t>
      </w:r>
    </w:p>
    <w:p w14:paraId="1B04485E" w14:textId="01288BE1" w:rsidR="0052612C" w:rsidRPr="00A55335" w:rsidRDefault="0052612C" w:rsidP="0052612C">
      <w:pPr>
        <w:pStyle w:val="BodyText"/>
      </w:pPr>
      <w:r w:rsidRPr="00A55335">
        <w:lastRenderedPageBreak/>
        <w:t xml:space="preserve">The </w:t>
      </w:r>
      <w:r w:rsidR="002B0D8B" w:rsidRPr="00A55335">
        <w:t xml:space="preserve">evidence </w:t>
      </w:r>
      <w:r w:rsidR="000A4595">
        <w:t xml:space="preserve">is </w:t>
      </w:r>
      <w:r w:rsidRPr="00A55335">
        <w:t xml:space="preserve">very </w:t>
      </w:r>
      <w:r w:rsidR="000A4595">
        <w:t>un</w:t>
      </w:r>
      <w:r w:rsidRPr="00A55335">
        <w:t>certain of the effect of h</w:t>
      </w:r>
      <w:r w:rsidR="00530465" w:rsidRPr="00A55335">
        <w:t>o</w:t>
      </w:r>
      <w:r w:rsidRPr="00A55335">
        <w:t>m</w:t>
      </w:r>
      <w:r w:rsidR="00530465" w:rsidRPr="00A55335">
        <w:t>e</w:t>
      </w:r>
      <w:r w:rsidRPr="00A55335">
        <w:t>opathy compare</w:t>
      </w:r>
      <w:r w:rsidR="001D093E" w:rsidRPr="00A55335">
        <w:t>d</w:t>
      </w:r>
      <w:r w:rsidRPr="00A55335">
        <w:t xml:space="preserve"> with placebo for </w:t>
      </w:r>
      <w:r w:rsidR="000D4A15" w:rsidRPr="00A55335">
        <w:t>3</w:t>
      </w:r>
      <w:r w:rsidR="00CC5D09" w:rsidRPr="00A55335">
        <w:t>9</w:t>
      </w:r>
      <w:r w:rsidR="000D4A15" w:rsidRPr="00A55335">
        <w:t xml:space="preserve"> </w:t>
      </w:r>
      <w:r w:rsidRPr="00A55335">
        <w:t xml:space="preserve">out of the </w:t>
      </w:r>
      <w:r w:rsidR="00530465" w:rsidRPr="00A55335">
        <w:t>94</w:t>
      </w:r>
      <w:r w:rsidRPr="00A55335">
        <w:t xml:space="preserve"> critical or important outcomes prioritised for analysis in this review. There were no results reported across </w:t>
      </w:r>
      <w:r w:rsidR="00530465" w:rsidRPr="00A55335">
        <w:t>32</w:t>
      </w:r>
      <w:r w:rsidRPr="00A55335">
        <w:t xml:space="preserve"> out of </w:t>
      </w:r>
      <w:r w:rsidR="00530465" w:rsidRPr="00A55335">
        <w:t>94</w:t>
      </w:r>
      <w:r w:rsidRPr="00A55335">
        <w:t xml:space="preserve"> critical or important outcomes prioritised in this review, and therefore the effect of </w:t>
      </w:r>
      <w:r w:rsidR="00530465" w:rsidRPr="00A55335">
        <w:t>homeopathy</w:t>
      </w:r>
      <w:r w:rsidRPr="00A55335">
        <w:t xml:space="preserve"> on these outcomes is unknown.</w:t>
      </w:r>
      <w:r w:rsidR="002866AF" w:rsidRPr="00A55335">
        <w:t xml:space="preserve"> </w:t>
      </w:r>
      <w:r w:rsidRPr="00A55335">
        <w:t xml:space="preserve">In total, the evidence </w:t>
      </w:r>
      <w:r w:rsidR="007D11D2" w:rsidRPr="00A55335">
        <w:t xml:space="preserve">was </w:t>
      </w:r>
      <w:r w:rsidRPr="00A55335">
        <w:t xml:space="preserve">very </w:t>
      </w:r>
      <w:r w:rsidR="000A4595">
        <w:t>un</w:t>
      </w:r>
      <w:r w:rsidR="00471A4E" w:rsidRPr="00A55335">
        <w:t xml:space="preserve">certain </w:t>
      </w:r>
      <w:r w:rsidRPr="00A55335">
        <w:t xml:space="preserve">or there were no results reported </w:t>
      </w:r>
      <w:r w:rsidR="00EE001A" w:rsidRPr="00A55335">
        <w:t xml:space="preserve">compared with placebo </w:t>
      </w:r>
      <w:r w:rsidRPr="00A55335">
        <w:t xml:space="preserve">for </w:t>
      </w:r>
      <w:r w:rsidR="00922CEA">
        <w:t>71</w:t>
      </w:r>
      <w:r w:rsidR="000D4A15" w:rsidRPr="00A55335">
        <w:t xml:space="preserve"> </w:t>
      </w:r>
      <w:r w:rsidRPr="00A55335">
        <w:t xml:space="preserve">out of </w:t>
      </w:r>
      <w:r w:rsidR="00206F50" w:rsidRPr="00A55335">
        <w:t>94</w:t>
      </w:r>
      <w:r w:rsidRPr="00A55335">
        <w:t xml:space="preserve"> critical or important outcomes prioritised in this review</w:t>
      </w:r>
      <w:r w:rsidR="0078238B" w:rsidRPr="00A55335">
        <w:t>. F</w:t>
      </w:r>
      <w:r w:rsidRPr="00A55335">
        <w:t xml:space="preserve">or </w:t>
      </w:r>
      <w:r w:rsidR="00F30E33" w:rsidRPr="00A55335">
        <w:t xml:space="preserve">8 </w:t>
      </w:r>
      <w:r w:rsidR="000C3308" w:rsidRPr="00A55335">
        <w:t>popul</w:t>
      </w:r>
      <w:r w:rsidR="00945D38" w:rsidRPr="00A55335">
        <w:t>a</w:t>
      </w:r>
      <w:r w:rsidR="000C3308" w:rsidRPr="00A55335">
        <w:t xml:space="preserve">tions, including </w:t>
      </w:r>
      <w:r w:rsidR="00FB3323" w:rsidRPr="00A55335">
        <w:t>depression, neurodevelopmental</w:t>
      </w:r>
      <w:r w:rsidR="00945D38" w:rsidRPr="00A55335">
        <w:t xml:space="preserve"> disorders</w:t>
      </w:r>
      <w:r w:rsidR="00FB3323" w:rsidRPr="00A55335">
        <w:t xml:space="preserve">, </w:t>
      </w:r>
      <w:r w:rsidR="00F30E33" w:rsidRPr="00A55335">
        <w:t xml:space="preserve">headache disorders, </w:t>
      </w:r>
      <w:r w:rsidR="00C63F44" w:rsidRPr="00A55335">
        <w:t xml:space="preserve">digestive </w:t>
      </w:r>
      <w:r w:rsidR="00945D38" w:rsidRPr="00A55335">
        <w:t>complaints</w:t>
      </w:r>
      <w:r w:rsidR="00C63F44" w:rsidRPr="00A55335">
        <w:t xml:space="preserve">, </w:t>
      </w:r>
      <w:r w:rsidR="00060D65" w:rsidRPr="00A55335">
        <w:t xml:space="preserve">irritable bowel syndrome, arthropathies, </w:t>
      </w:r>
      <w:r w:rsidR="00945D38" w:rsidRPr="00A55335">
        <w:t>menstrual disorders</w:t>
      </w:r>
      <w:r w:rsidR="00E6761C" w:rsidRPr="00A55335">
        <w:t xml:space="preserve"> and</w:t>
      </w:r>
      <w:r w:rsidR="00945D38" w:rsidRPr="00A55335">
        <w:t xml:space="preserve"> </w:t>
      </w:r>
      <w:r w:rsidR="000C3308" w:rsidRPr="00A55335">
        <w:t>fibromyalgia</w:t>
      </w:r>
      <w:r w:rsidR="00213655" w:rsidRPr="00A55335">
        <w:t xml:space="preserve"> there was not enough evidence to assess the role of homeopathy</w:t>
      </w:r>
      <w:r w:rsidRPr="00A55335">
        <w:t>.</w:t>
      </w:r>
    </w:p>
    <w:p w14:paraId="7C83A28C" w14:textId="65884DFC" w:rsidR="00FD6522" w:rsidRPr="00A55335" w:rsidRDefault="00FD6522" w:rsidP="00346AFA">
      <w:pPr>
        <w:pStyle w:val="Bulletintro"/>
        <w:rPr>
          <w:lang w:val="en-AU"/>
        </w:rPr>
      </w:pPr>
      <w:r w:rsidRPr="00A55335">
        <w:rPr>
          <w:lang w:val="en-AU"/>
        </w:rPr>
        <w:t xml:space="preserve">For </w:t>
      </w:r>
      <w:r w:rsidR="006448DE" w:rsidRPr="00A55335">
        <w:rPr>
          <w:lang w:val="en-AU"/>
        </w:rPr>
        <w:t xml:space="preserve">the </w:t>
      </w:r>
      <w:r w:rsidRPr="00A55335">
        <w:rPr>
          <w:lang w:val="en-AU"/>
        </w:rPr>
        <w:t>secondary comparison</w:t>
      </w:r>
      <w:r w:rsidR="00B835AD" w:rsidRPr="00A55335">
        <w:rPr>
          <w:lang w:val="en-AU"/>
        </w:rPr>
        <w:t xml:space="preserve"> (vs inactive control)</w:t>
      </w:r>
      <w:r w:rsidRPr="00A55335">
        <w:rPr>
          <w:lang w:val="en-AU"/>
        </w:rPr>
        <w:t>, the evidence provides:</w:t>
      </w:r>
    </w:p>
    <w:p w14:paraId="60FFBFB5" w14:textId="48EDE442" w:rsidR="00FD6522" w:rsidRPr="00A55335" w:rsidRDefault="0057273B" w:rsidP="00346AFA">
      <w:pPr>
        <w:pStyle w:val="Bullet6"/>
        <w:rPr>
          <w:lang w:val="en-AU"/>
        </w:rPr>
      </w:pPr>
      <w:r w:rsidRPr="00A55335">
        <w:rPr>
          <w:lang w:val="en-AU"/>
        </w:rPr>
        <w:t>m</w:t>
      </w:r>
      <w:r w:rsidR="00FD6522" w:rsidRPr="00A55335">
        <w:rPr>
          <w:lang w:val="en-AU"/>
        </w:rPr>
        <w:t>oderate certainty that</w:t>
      </w:r>
      <w:r w:rsidRPr="00A55335">
        <w:rPr>
          <w:lang w:val="en-AU"/>
        </w:rPr>
        <w:t>,</w:t>
      </w:r>
      <w:r w:rsidR="00FD6522" w:rsidRPr="00A55335">
        <w:rPr>
          <w:lang w:val="en-AU"/>
        </w:rPr>
        <w:t xml:space="preserve"> compared with inactive control, homeopathy probably results in:</w:t>
      </w:r>
    </w:p>
    <w:p w14:paraId="4E6A5D7E" w14:textId="1326F7A1" w:rsidR="00FD6522" w:rsidRPr="00A55335" w:rsidRDefault="00FD6522" w:rsidP="00346AFA">
      <w:pPr>
        <w:pStyle w:val="Bullet12"/>
        <w:numPr>
          <w:ilvl w:val="1"/>
          <w:numId w:val="11"/>
        </w:numPr>
        <w:rPr>
          <w:lang w:val="en-AU"/>
        </w:rPr>
      </w:pPr>
      <w:r w:rsidRPr="00A55335">
        <w:rPr>
          <w:lang w:val="en-AU"/>
        </w:rPr>
        <w:t xml:space="preserve">a moderate reduction in infection frequency (1 RCT, 256 participants) in people with recurrent </w:t>
      </w:r>
      <w:r w:rsidR="00E96A5B" w:rsidRPr="00A55335">
        <w:rPr>
          <w:lang w:val="en-AU"/>
        </w:rPr>
        <w:t>upper respiratory tract infections</w:t>
      </w:r>
      <w:r w:rsidRPr="00A55335">
        <w:rPr>
          <w:lang w:val="en-AU"/>
        </w:rPr>
        <w:t>.</w:t>
      </w:r>
      <w:r w:rsidR="00C41A36" w:rsidRPr="00A55335">
        <w:rPr>
          <w:rStyle w:val="FootnoteReference"/>
          <w:lang w:val="en-AU"/>
        </w:rPr>
        <w:footnoteReference w:id="3"/>
      </w:r>
    </w:p>
    <w:p w14:paraId="26686EE8" w14:textId="770F5665" w:rsidR="00FD6522" w:rsidRPr="00A55335" w:rsidRDefault="0057273B" w:rsidP="00346AFA">
      <w:pPr>
        <w:pStyle w:val="Bullet6"/>
        <w:rPr>
          <w:lang w:val="en-AU"/>
        </w:rPr>
      </w:pPr>
      <w:r w:rsidRPr="00A55335">
        <w:rPr>
          <w:lang w:val="en-AU"/>
        </w:rPr>
        <w:t>l</w:t>
      </w:r>
      <w:r w:rsidR="00FD6522" w:rsidRPr="00A55335">
        <w:rPr>
          <w:lang w:val="en-AU"/>
        </w:rPr>
        <w:t>ow certainty that</w:t>
      </w:r>
      <w:r w:rsidRPr="00A55335">
        <w:rPr>
          <w:lang w:val="en-AU"/>
        </w:rPr>
        <w:t>,</w:t>
      </w:r>
      <w:r w:rsidR="00FD6522" w:rsidRPr="00A55335">
        <w:rPr>
          <w:lang w:val="en-AU"/>
        </w:rPr>
        <w:t xml:space="preserve"> compared with inactive control</w:t>
      </w:r>
      <w:r w:rsidRPr="00A55335">
        <w:rPr>
          <w:lang w:val="en-AU"/>
        </w:rPr>
        <w:t>,</w:t>
      </w:r>
      <w:r w:rsidR="00FD6522" w:rsidRPr="00A55335">
        <w:rPr>
          <w:lang w:val="en-AU"/>
        </w:rPr>
        <w:t xml:space="preserve"> homeopathy may result in:</w:t>
      </w:r>
    </w:p>
    <w:p w14:paraId="39159E53" w14:textId="695854D7" w:rsidR="0051276A" w:rsidRPr="00A55335" w:rsidRDefault="00FD6522" w:rsidP="00346AFA">
      <w:pPr>
        <w:pStyle w:val="Bullet12"/>
        <w:numPr>
          <w:ilvl w:val="1"/>
          <w:numId w:val="11"/>
        </w:numPr>
        <w:rPr>
          <w:lang w:val="en-AU"/>
        </w:rPr>
      </w:pPr>
      <w:r w:rsidRPr="00A55335">
        <w:rPr>
          <w:lang w:val="en-AU"/>
        </w:rPr>
        <w:t xml:space="preserve">a slight reduction in antibiotic use (2 RCTs, 306 participants) in people with recurrent </w:t>
      </w:r>
      <w:r w:rsidR="00E96A5B" w:rsidRPr="00A55335">
        <w:rPr>
          <w:lang w:val="en-AU"/>
        </w:rPr>
        <w:t>upper respiratory tract infections</w:t>
      </w:r>
      <w:r w:rsidR="0057273B" w:rsidRPr="00A55335">
        <w:rPr>
          <w:rStyle w:val="FootnoteReference"/>
          <w:lang w:val="en-AU"/>
        </w:rPr>
        <w:footnoteReference w:id="4"/>
      </w:r>
    </w:p>
    <w:p w14:paraId="25391878" w14:textId="07A51360" w:rsidR="00943AFB" w:rsidRPr="00943AFB" w:rsidRDefault="00D21B83">
      <w:pPr>
        <w:pStyle w:val="Bullet12"/>
        <w:numPr>
          <w:ilvl w:val="1"/>
          <w:numId w:val="11"/>
        </w:numPr>
      </w:pPr>
      <w:r w:rsidRPr="00943AFB">
        <w:rPr>
          <w:rFonts w:eastAsia="Times New Roman"/>
          <w:lang w:val="en-AU"/>
        </w:rPr>
        <w:t xml:space="preserve">a </w:t>
      </w:r>
      <w:r w:rsidR="0051276A" w:rsidRPr="00943AFB">
        <w:rPr>
          <w:rFonts w:eastAsia="Times New Roman"/>
          <w:lang w:val="en-AU"/>
        </w:rPr>
        <w:t>reduc</w:t>
      </w:r>
      <w:r w:rsidRPr="00943AFB">
        <w:rPr>
          <w:rFonts w:eastAsia="Times New Roman"/>
          <w:lang w:val="en-AU"/>
        </w:rPr>
        <w:t>tion in</w:t>
      </w:r>
      <w:r w:rsidR="0051276A" w:rsidRPr="00943AFB">
        <w:rPr>
          <w:rFonts w:eastAsia="Times New Roman"/>
          <w:lang w:val="en-AU"/>
        </w:rPr>
        <w:t xml:space="preserve"> symptom severity in people with </w:t>
      </w:r>
      <w:r w:rsidR="0051276A" w:rsidRPr="00A55335">
        <w:rPr>
          <w:lang w:val="en-AU"/>
        </w:rPr>
        <w:t>menstrual disorders</w:t>
      </w:r>
      <w:r w:rsidR="0051276A" w:rsidRPr="00943AFB">
        <w:rPr>
          <w:rFonts w:eastAsia="Times New Roman"/>
          <w:lang w:val="en-AU"/>
        </w:rPr>
        <w:t xml:space="preserve"> (1 RCT, 60 participants).</w:t>
      </w:r>
      <w:r w:rsidR="0057273B" w:rsidRPr="00A55335">
        <w:rPr>
          <w:rStyle w:val="FootnoteReference"/>
          <w:lang w:val="en-AU"/>
        </w:rPr>
        <w:footnoteReference w:id="5"/>
      </w:r>
      <w:r w:rsidR="0051276A" w:rsidRPr="00A55335">
        <w:rPr>
          <w:lang w:val="en-AU"/>
        </w:rPr>
        <w:t xml:space="preserve"> </w:t>
      </w:r>
    </w:p>
    <w:p w14:paraId="27A58BC8" w14:textId="3FD160A5" w:rsidR="007628FC" w:rsidRPr="00A55335" w:rsidRDefault="007628FC" w:rsidP="00943AFB">
      <w:pPr>
        <w:pStyle w:val="Bullet6"/>
      </w:pPr>
      <w:r w:rsidRPr="00A55335">
        <w:t>moderate certainty that</w:t>
      </w:r>
      <w:r w:rsidR="00943AFB">
        <w:t>,</w:t>
      </w:r>
      <w:r w:rsidRPr="00A55335">
        <w:t xml:space="preserve"> </w:t>
      </w:r>
      <w:r w:rsidR="00943AFB" w:rsidRPr="00A55335">
        <w:rPr>
          <w:lang w:val="en-AU"/>
        </w:rPr>
        <w:t xml:space="preserve">compared with inactive control, </w:t>
      </w:r>
      <w:r w:rsidRPr="007628FC">
        <w:t>homeopathy</w:t>
      </w:r>
      <w:r w:rsidR="009E5720">
        <w:t xml:space="preserve"> probably</w:t>
      </w:r>
      <w:r w:rsidRPr="00A55335">
        <w:t xml:space="preserve"> </w:t>
      </w:r>
      <w:r w:rsidR="00E86D61" w:rsidRPr="00A55335">
        <w:t xml:space="preserve">has </w:t>
      </w:r>
      <w:r w:rsidRPr="00A55335">
        <w:t xml:space="preserve">little (to no) effect in: </w:t>
      </w:r>
    </w:p>
    <w:p w14:paraId="6F93BBEE" w14:textId="5E8AFF5F" w:rsidR="007628FC" w:rsidRPr="00A55335" w:rsidRDefault="007347A4" w:rsidP="007628FC">
      <w:pPr>
        <w:pStyle w:val="Bullet12"/>
        <w:numPr>
          <w:ilvl w:val="1"/>
          <w:numId w:val="11"/>
        </w:numPr>
        <w:rPr>
          <w:lang w:val="en-AU"/>
        </w:rPr>
      </w:pPr>
      <w:r>
        <w:rPr>
          <w:lang w:val="en-AU"/>
        </w:rPr>
        <w:t>reducing</w:t>
      </w:r>
      <w:r w:rsidR="007628FC" w:rsidRPr="00A55335">
        <w:rPr>
          <w:lang w:val="en-AU"/>
        </w:rPr>
        <w:t xml:space="preserve"> depressi</w:t>
      </w:r>
      <w:r>
        <w:rPr>
          <w:lang w:val="en-AU"/>
        </w:rPr>
        <w:t>ve</w:t>
      </w:r>
      <w:r w:rsidR="007628FC" w:rsidRPr="00A55335">
        <w:rPr>
          <w:lang w:val="en-AU"/>
        </w:rPr>
        <w:t xml:space="preserve"> symptoms (1 RCT, 566 participants) in people with depression.</w:t>
      </w:r>
      <w:r w:rsidR="007628FC" w:rsidRPr="00A55335">
        <w:rPr>
          <w:rStyle w:val="FootnoteReference"/>
          <w:lang w:val="en-AU"/>
        </w:rPr>
        <w:footnoteReference w:id="6"/>
      </w:r>
    </w:p>
    <w:p w14:paraId="4D201E9D" w14:textId="62EEB487" w:rsidR="0051276A" w:rsidRPr="00A55335" w:rsidRDefault="0057273B" w:rsidP="00346AFA">
      <w:pPr>
        <w:pStyle w:val="Bullet6"/>
        <w:rPr>
          <w:lang w:val="en-AU"/>
        </w:rPr>
      </w:pPr>
      <w:r w:rsidRPr="00A55335">
        <w:rPr>
          <w:lang w:val="en-AU"/>
        </w:rPr>
        <w:t>l</w:t>
      </w:r>
      <w:r w:rsidR="0051276A" w:rsidRPr="00A55335">
        <w:rPr>
          <w:lang w:val="en-AU"/>
        </w:rPr>
        <w:t>ow certainty that</w:t>
      </w:r>
      <w:r w:rsidRPr="00A55335">
        <w:rPr>
          <w:lang w:val="en-AU"/>
        </w:rPr>
        <w:t>,</w:t>
      </w:r>
      <w:r w:rsidR="0051276A" w:rsidRPr="00A55335">
        <w:rPr>
          <w:lang w:val="en-AU"/>
        </w:rPr>
        <w:t xml:space="preserve"> </w:t>
      </w:r>
      <w:r w:rsidR="00AC3FAE" w:rsidRPr="00A55335">
        <w:rPr>
          <w:lang w:val="en-AU"/>
        </w:rPr>
        <w:t>compared with inactive control</w:t>
      </w:r>
      <w:r w:rsidRPr="00A55335">
        <w:rPr>
          <w:lang w:val="en-AU"/>
        </w:rPr>
        <w:t>,</w:t>
      </w:r>
      <w:r w:rsidR="00AC3FAE" w:rsidRPr="00A55335">
        <w:rPr>
          <w:lang w:val="en-AU"/>
        </w:rPr>
        <w:t xml:space="preserve"> </w:t>
      </w:r>
      <w:r w:rsidR="0051276A" w:rsidRPr="00A55335">
        <w:rPr>
          <w:lang w:val="en-AU"/>
        </w:rPr>
        <w:t xml:space="preserve">homeopathy </w:t>
      </w:r>
      <w:r w:rsidR="008262B5" w:rsidRPr="00A55335">
        <w:rPr>
          <w:lang w:val="en-AU"/>
        </w:rPr>
        <w:t xml:space="preserve">may </w:t>
      </w:r>
      <w:r w:rsidR="0051276A" w:rsidRPr="00A55335">
        <w:rPr>
          <w:lang w:val="en-AU"/>
        </w:rPr>
        <w:t>ha</w:t>
      </w:r>
      <w:r w:rsidR="008262B5" w:rsidRPr="00A55335">
        <w:rPr>
          <w:lang w:val="en-AU"/>
        </w:rPr>
        <w:t>ve</w:t>
      </w:r>
      <w:r w:rsidR="0051276A" w:rsidRPr="00A55335">
        <w:rPr>
          <w:lang w:val="en-AU"/>
        </w:rPr>
        <w:t xml:space="preserve"> little (to no) effect in:</w:t>
      </w:r>
    </w:p>
    <w:p w14:paraId="644359E7" w14:textId="4C55FD04" w:rsidR="0051276A" w:rsidRPr="00A55335" w:rsidRDefault="004A3029" w:rsidP="00346AFA">
      <w:pPr>
        <w:pStyle w:val="Bullet12"/>
        <w:numPr>
          <w:ilvl w:val="1"/>
          <w:numId w:val="11"/>
        </w:numPr>
        <w:rPr>
          <w:rFonts w:eastAsia="Times New Roman"/>
          <w:lang w:val="en-AU"/>
        </w:rPr>
      </w:pPr>
      <w:r w:rsidRPr="00A55335">
        <w:rPr>
          <w:rFonts w:eastAsia="Times New Roman"/>
          <w:lang w:val="en-AU"/>
        </w:rPr>
        <w:t xml:space="preserve">reducing </w:t>
      </w:r>
      <w:r w:rsidR="0051276A" w:rsidRPr="00A55335">
        <w:rPr>
          <w:rFonts w:eastAsia="Times New Roman"/>
          <w:lang w:val="en-AU"/>
        </w:rPr>
        <w:t>symptom severity (1 RCT, 2</w:t>
      </w:r>
      <w:r w:rsidR="00182ADA" w:rsidRPr="00A55335">
        <w:rPr>
          <w:rFonts w:eastAsia="Times New Roman"/>
          <w:lang w:val="en-AU"/>
        </w:rPr>
        <w:t>1</w:t>
      </w:r>
      <w:r w:rsidR="0051276A" w:rsidRPr="00A55335">
        <w:rPr>
          <w:rFonts w:eastAsia="Times New Roman"/>
          <w:lang w:val="en-AU"/>
        </w:rPr>
        <w:t>0 participants)</w:t>
      </w:r>
      <w:r w:rsidR="0057273B" w:rsidRPr="00A55335">
        <w:rPr>
          <w:lang w:val="en-AU"/>
        </w:rPr>
        <w:t xml:space="preserve"> in children with recurrent otitis media</w:t>
      </w:r>
    </w:p>
    <w:p w14:paraId="64F7A2FA" w14:textId="45E6F334" w:rsidR="0051276A" w:rsidRPr="00A55335" w:rsidRDefault="004A3029" w:rsidP="00346AFA">
      <w:pPr>
        <w:pStyle w:val="Bullet12"/>
        <w:numPr>
          <w:ilvl w:val="1"/>
          <w:numId w:val="11"/>
        </w:numPr>
        <w:rPr>
          <w:rFonts w:eastAsia="Times New Roman"/>
          <w:lang w:val="en-AU"/>
        </w:rPr>
      </w:pPr>
      <w:r w:rsidRPr="00A55335">
        <w:rPr>
          <w:rFonts w:eastAsia="Times New Roman"/>
          <w:lang w:val="en-AU"/>
        </w:rPr>
        <w:t xml:space="preserve">reducing </w:t>
      </w:r>
      <w:r w:rsidR="0051276A" w:rsidRPr="00A55335">
        <w:rPr>
          <w:rFonts w:eastAsia="Times New Roman"/>
          <w:lang w:val="en-AU"/>
        </w:rPr>
        <w:t xml:space="preserve">symptom severity </w:t>
      </w:r>
      <w:r w:rsidR="0057273B" w:rsidRPr="00A55335">
        <w:rPr>
          <w:lang w:val="en-AU"/>
        </w:rPr>
        <w:t>(2 RCTs, 86 participants),</w:t>
      </w:r>
      <w:r w:rsidR="0051276A" w:rsidRPr="00A55335">
        <w:rPr>
          <w:lang w:val="en-AU"/>
        </w:rPr>
        <w:t xml:space="preserve"> health-related quality of life (2 RCTs, 86 participants)</w:t>
      </w:r>
      <w:r w:rsidR="0057273B" w:rsidRPr="00A55335">
        <w:rPr>
          <w:lang w:val="en-AU"/>
        </w:rPr>
        <w:t>,</w:t>
      </w:r>
      <w:r w:rsidR="0051276A" w:rsidRPr="00A55335">
        <w:rPr>
          <w:rFonts w:eastAsia="Times New Roman"/>
          <w:lang w:val="en-AU"/>
        </w:rPr>
        <w:t xml:space="preserve"> hospitali</w:t>
      </w:r>
      <w:r w:rsidR="00EB35F0" w:rsidRPr="00A55335">
        <w:rPr>
          <w:rFonts w:eastAsia="Times New Roman"/>
          <w:lang w:val="en-AU"/>
        </w:rPr>
        <w:t>s</w:t>
      </w:r>
      <w:r w:rsidR="0051276A" w:rsidRPr="00A55335">
        <w:rPr>
          <w:rFonts w:eastAsia="Times New Roman"/>
          <w:lang w:val="en-AU"/>
        </w:rPr>
        <w:t xml:space="preserve">ation </w:t>
      </w:r>
      <w:r w:rsidR="0057273B" w:rsidRPr="00A55335">
        <w:rPr>
          <w:lang w:val="en-AU"/>
        </w:rPr>
        <w:t xml:space="preserve">(1 RCT, 35 participants), </w:t>
      </w:r>
      <w:r w:rsidR="0051276A" w:rsidRPr="00A55335">
        <w:rPr>
          <w:rFonts w:eastAsia="Times New Roman"/>
          <w:lang w:val="en-AU"/>
        </w:rPr>
        <w:t xml:space="preserve">or medication use (1 RCT, 35 participants) </w:t>
      </w:r>
      <w:r w:rsidR="0057273B" w:rsidRPr="00A55335">
        <w:rPr>
          <w:lang w:val="en-AU"/>
        </w:rPr>
        <w:t>in people with asthma</w:t>
      </w:r>
    </w:p>
    <w:p w14:paraId="0B34317B" w14:textId="6EF05072" w:rsidR="0051276A" w:rsidRPr="00A55335" w:rsidRDefault="004A3029" w:rsidP="00346AFA">
      <w:pPr>
        <w:pStyle w:val="Bullet12"/>
        <w:numPr>
          <w:ilvl w:val="1"/>
          <w:numId w:val="11"/>
        </w:numPr>
        <w:rPr>
          <w:rFonts w:eastAsia="Times New Roman"/>
          <w:lang w:val="en-AU"/>
        </w:rPr>
      </w:pPr>
      <w:r w:rsidRPr="00A55335">
        <w:rPr>
          <w:rFonts w:eastAsia="Times New Roman"/>
          <w:lang w:val="en-AU"/>
        </w:rPr>
        <w:t xml:space="preserve">reducing </w:t>
      </w:r>
      <w:r w:rsidR="0051276A" w:rsidRPr="00A55335">
        <w:rPr>
          <w:rFonts w:eastAsia="Times New Roman"/>
          <w:lang w:val="en-AU"/>
        </w:rPr>
        <w:t xml:space="preserve">symptom severity </w:t>
      </w:r>
      <w:r w:rsidR="0057273B" w:rsidRPr="00A55335">
        <w:rPr>
          <w:lang w:val="en-AU"/>
        </w:rPr>
        <w:t xml:space="preserve">(1 RCT, 76 participants) </w:t>
      </w:r>
      <w:r w:rsidR="0051276A" w:rsidRPr="00A55335">
        <w:rPr>
          <w:rFonts w:eastAsia="Times New Roman"/>
          <w:lang w:val="en-AU"/>
        </w:rPr>
        <w:t>or health-related quality of life</w:t>
      </w:r>
      <w:r w:rsidR="0057273B" w:rsidRPr="00A55335">
        <w:rPr>
          <w:lang w:val="en-AU"/>
        </w:rPr>
        <w:t xml:space="preserve"> (1 RCT, 76 participants)</w:t>
      </w:r>
      <w:r w:rsidR="0051276A" w:rsidRPr="00A55335">
        <w:rPr>
          <w:rFonts w:eastAsia="Times New Roman"/>
          <w:lang w:val="en-AU"/>
        </w:rPr>
        <w:t xml:space="preserve"> in people with </w:t>
      </w:r>
      <w:r w:rsidR="0051276A" w:rsidRPr="00A55335">
        <w:rPr>
          <w:szCs w:val="18"/>
          <w:lang w:val="en-AU"/>
        </w:rPr>
        <w:t>irritable bowel syndrome</w:t>
      </w:r>
    </w:p>
    <w:p w14:paraId="6C5AFB4C" w14:textId="11A9718D" w:rsidR="0051276A" w:rsidRPr="00A55335" w:rsidRDefault="0051276A" w:rsidP="00346AFA">
      <w:pPr>
        <w:pStyle w:val="Bullet12"/>
        <w:numPr>
          <w:ilvl w:val="1"/>
          <w:numId w:val="11"/>
        </w:numPr>
        <w:rPr>
          <w:lang w:val="en-AU"/>
        </w:rPr>
      </w:pPr>
      <w:r w:rsidRPr="00A55335">
        <w:rPr>
          <w:rFonts w:eastAsia="Times New Roman"/>
          <w:lang w:val="en-AU"/>
        </w:rPr>
        <w:t xml:space="preserve">reducing pain, fatigue, health-related quality of life or emotional wellbeing </w:t>
      </w:r>
      <w:r w:rsidR="0057273B" w:rsidRPr="00A55335">
        <w:rPr>
          <w:lang w:val="en-AU"/>
        </w:rPr>
        <w:t xml:space="preserve">(1 RCT, 36 participants) </w:t>
      </w:r>
      <w:r w:rsidRPr="00A55335">
        <w:rPr>
          <w:rFonts w:eastAsia="Times New Roman"/>
          <w:lang w:val="en-AU"/>
        </w:rPr>
        <w:t xml:space="preserve">in people with </w:t>
      </w:r>
      <w:r w:rsidRPr="00A55335">
        <w:rPr>
          <w:szCs w:val="18"/>
          <w:lang w:val="en-AU"/>
        </w:rPr>
        <w:t>fibromyalgia</w:t>
      </w:r>
      <w:r w:rsidR="0057273B" w:rsidRPr="00A55335">
        <w:rPr>
          <w:lang w:val="en-AU"/>
        </w:rPr>
        <w:t>.</w:t>
      </w:r>
      <w:r w:rsidRPr="00A55335">
        <w:rPr>
          <w:rFonts w:eastAsia="Times New Roman"/>
          <w:lang w:val="en-AU"/>
        </w:rPr>
        <w:t xml:space="preserve"> </w:t>
      </w:r>
    </w:p>
    <w:p w14:paraId="7967749D" w14:textId="6E55D297" w:rsidR="0051276A" w:rsidRPr="00A55335" w:rsidRDefault="0051276A" w:rsidP="00346AFA">
      <w:pPr>
        <w:pStyle w:val="BodyText"/>
      </w:pPr>
      <w:r w:rsidRPr="00A55335">
        <w:t xml:space="preserve">(These </w:t>
      </w:r>
      <w:r w:rsidR="007C5319" w:rsidRPr="00A55335">
        <w:t xml:space="preserve">results suggesting </w:t>
      </w:r>
      <w:r w:rsidR="00CA33CF">
        <w:t xml:space="preserve">low certainty of </w:t>
      </w:r>
      <w:r w:rsidR="00F53B4E" w:rsidRPr="00A55335">
        <w:t>little,</w:t>
      </w:r>
      <w:r w:rsidR="007C5319" w:rsidRPr="00A55335">
        <w:t xml:space="preserve"> </w:t>
      </w:r>
      <w:r w:rsidR="00563E83">
        <w:t>to</w:t>
      </w:r>
      <w:r w:rsidR="00563E83" w:rsidRPr="00A55335">
        <w:t xml:space="preserve"> </w:t>
      </w:r>
      <w:r w:rsidR="007C5319" w:rsidRPr="00A55335">
        <w:t>no difference</w:t>
      </w:r>
      <w:r w:rsidRPr="00A55335">
        <w:t xml:space="preserve"> </w:t>
      </w:r>
      <w:r w:rsidR="00FF4AF1" w:rsidRPr="00770678">
        <w:t xml:space="preserve">are </w:t>
      </w:r>
      <w:r w:rsidRPr="00A55335">
        <w:t>generally consistent with those from the primary comparison with placebo, although sometimes the level of certainty differs.)</w:t>
      </w:r>
    </w:p>
    <w:p w14:paraId="3FF99AE2" w14:textId="18BFACB0" w:rsidR="006C400E" w:rsidRPr="00A55335" w:rsidRDefault="00182ADA" w:rsidP="0051276A">
      <w:pPr>
        <w:pStyle w:val="BodyText"/>
      </w:pPr>
      <w:r w:rsidRPr="00A55335">
        <w:lastRenderedPageBreak/>
        <w:t xml:space="preserve">The evidence </w:t>
      </w:r>
      <w:r w:rsidR="00361343">
        <w:t xml:space="preserve">is </w:t>
      </w:r>
      <w:r w:rsidRPr="00A55335">
        <w:t xml:space="preserve">very </w:t>
      </w:r>
      <w:r w:rsidR="00361343">
        <w:t>un</w:t>
      </w:r>
      <w:r w:rsidRPr="00A55335">
        <w:t xml:space="preserve">certain of the effect of homeopathy compared with </w:t>
      </w:r>
      <w:r w:rsidR="00815C18">
        <w:t>inactive control</w:t>
      </w:r>
      <w:r w:rsidR="00815C18" w:rsidRPr="00A55335">
        <w:t xml:space="preserve"> </w:t>
      </w:r>
      <w:r w:rsidRPr="00A55335">
        <w:t xml:space="preserve">for 12 out of the 94 critical or important outcomes prioritised for analysis in this review. For these </w:t>
      </w:r>
      <w:r w:rsidR="00F53B4E">
        <w:t xml:space="preserve">12 </w:t>
      </w:r>
      <w:r w:rsidRPr="00A55335">
        <w:t xml:space="preserve">outcomes, confidence in the effect estimate is very uncertain and a clinically important difference was not observed (this may relate to study design or duration of the study). A further 67 outcomes </w:t>
      </w:r>
      <w:r w:rsidR="00F53B4E">
        <w:t xml:space="preserve">(out of 94) </w:t>
      </w:r>
      <w:r w:rsidRPr="00A55335">
        <w:t>prioritised as critical or important in this review were not addressed by any studies</w:t>
      </w:r>
      <w:r w:rsidR="00815C18">
        <w:t xml:space="preserve"> compared to inactive control</w:t>
      </w:r>
      <w:r w:rsidRPr="00A55335">
        <w:t>, and therefore the effect of homeopathy on these 67 outcomes compared with no intervention is unknown.</w:t>
      </w:r>
    </w:p>
    <w:p w14:paraId="61CA05EE" w14:textId="534C960A" w:rsidR="00FD6522" w:rsidRPr="00A55335" w:rsidRDefault="0051276A" w:rsidP="00896D9D">
      <w:pPr>
        <w:pStyle w:val="BodyText"/>
      </w:pPr>
      <w:r w:rsidRPr="00A55335">
        <w:t xml:space="preserve">The planned </w:t>
      </w:r>
      <w:r w:rsidR="009D1B05" w:rsidRPr="00A55335">
        <w:t>subgroup analysis</w:t>
      </w:r>
      <w:r w:rsidRPr="00A55335">
        <w:t xml:space="preserve"> between individualised and non-individualised homeopathy could not be completed because of the small number of studies in each condition.</w:t>
      </w:r>
    </w:p>
    <w:p w14:paraId="0E58FA52" w14:textId="534967CB" w:rsidR="0052612C" w:rsidRPr="00A55335" w:rsidRDefault="0052612C" w:rsidP="0052612C">
      <w:pPr>
        <w:pStyle w:val="BodyText"/>
      </w:pPr>
      <w:r w:rsidRPr="00A55335">
        <w:t>A</w:t>
      </w:r>
      <w:r w:rsidR="00533AD8" w:rsidRPr="00A55335">
        <w:t xml:space="preserve"> summary of</w:t>
      </w:r>
      <w:r w:rsidRPr="00A55335">
        <w:t xml:space="preserve"> harms of </w:t>
      </w:r>
      <w:r w:rsidR="00E6761C" w:rsidRPr="00A55335">
        <w:t>homeopathy</w:t>
      </w:r>
      <w:r w:rsidRPr="00A55335">
        <w:t xml:space="preserve"> </w:t>
      </w:r>
      <w:r w:rsidRPr="00BD1A50">
        <w:t xml:space="preserve">was not </w:t>
      </w:r>
      <w:r w:rsidR="00533AD8" w:rsidRPr="00BD1A50">
        <w:t>possible</w:t>
      </w:r>
      <w:r w:rsidRPr="00BD1A50">
        <w:t xml:space="preserve">, as it </w:t>
      </w:r>
      <w:r w:rsidRPr="00A55335">
        <w:t xml:space="preserve">as it was out of scope of this review to assess adverse effects of </w:t>
      </w:r>
      <w:r w:rsidR="00E6761C" w:rsidRPr="00A55335">
        <w:t>homeopathy</w:t>
      </w:r>
      <w:r w:rsidRPr="00A55335">
        <w:t>.</w:t>
      </w:r>
    </w:p>
    <w:p w14:paraId="0687C9CD" w14:textId="77777777" w:rsidR="0052612C" w:rsidRPr="00A55335" w:rsidRDefault="0052612C" w:rsidP="00E6761C">
      <w:pPr>
        <w:pStyle w:val="H2notoc"/>
      </w:pPr>
      <w:r w:rsidRPr="00A55335">
        <w:t>Limitations</w:t>
      </w:r>
    </w:p>
    <w:p w14:paraId="40234B3F" w14:textId="6D7CCA76" w:rsidR="0052612C" w:rsidRDefault="0052612C" w:rsidP="0052612C">
      <w:pPr>
        <w:pStyle w:val="BodyText"/>
      </w:pPr>
      <w:r w:rsidRPr="00A55335">
        <w:t>This review is limited to analysis of conditions prioritised by NTWC, who were guided by relevant patient and/or practitioner reported Australian survey data (where available) and expert advice from NTREAP during the prioritisation process, therefore</w:t>
      </w:r>
      <w:r w:rsidR="00557338">
        <w:t>,</w:t>
      </w:r>
      <w:r w:rsidRPr="00A55335">
        <w:t xml:space="preserve"> th</w:t>
      </w:r>
      <w:r w:rsidR="008B706C">
        <w:t>is</w:t>
      </w:r>
      <w:r w:rsidRPr="00A55335">
        <w:t xml:space="preserve"> report </w:t>
      </w:r>
      <w:r w:rsidR="008B706C">
        <w:t>does</w:t>
      </w:r>
      <w:r w:rsidR="008B706C" w:rsidRPr="00A55335">
        <w:t xml:space="preserve"> </w:t>
      </w:r>
      <w:r w:rsidRPr="00A55335">
        <w:t xml:space="preserve">not cover all the reasons people </w:t>
      </w:r>
      <w:r w:rsidR="00E6761C" w:rsidRPr="00A55335">
        <w:t>use homeopathy</w:t>
      </w:r>
      <w:r w:rsidRPr="00A55335">
        <w:t xml:space="preserve">. The outcomes assessed in this review were limited to those deemed critical or important by NTWC for each priority condition. Most conditions had evidence available for </w:t>
      </w:r>
      <w:r w:rsidR="00E6761C" w:rsidRPr="00A55335">
        <w:t>3 or 4</w:t>
      </w:r>
      <w:r w:rsidRPr="00A55335">
        <w:t xml:space="preserve"> critical or important outcomes.</w:t>
      </w:r>
    </w:p>
    <w:p w14:paraId="538BB534" w14:textId="3DD2716C" w:rsidR="00237BD1" w:rsidRPr="00A55335" w:rsidRDefault="00F30517" w:rsidP="0052612C">
      <w:pPr>
        <w:pStyle w:val="BodyText"/>
      </w:pPr>
      <w:r>
        <w:t>Many</w:t>
      </w:r>
      <w:r w:rsidR="00237BD1">
        <w:t xml:space="preserve"> of</w:t>
      </w:r>
      <w:r w:rsidR="00237BD1" w:rsidRPr="00F30517">
        <w:t xml:space="preserve"> the studies where evidence </w:t>
      </w:r>
      <w:r w:rsidR="00887640" w:rsidRPr="00F30517">
        <w:t>was</w:t>
      </w:r>
      <w:r w:rsidR="00237BD1" w:rsidRPr="00F30517">
        <w:t xml:space="preserve"> available</w:t>
      </w:r>
      <w:r w:rsidR="00204136" w:rsidRPr="00F30517">
        <w:t xml:space="preserve"> </w:t>
      </w:r>
      <w:r w:rsidR="00F0667D" w:rsidRPr="00F30517">
        <w:t>were compared to placebo</w:t>
      </w:r>
      <w:r w:rsidR="00F80810" w:rsidRPr="00F30517">
        <w:t xml:space="preserve"> (the gold-standard methodology to establish the efficacy of a treatment)</w:t>
      </w:r>
      <w:r w:rsidR="00F0667D" w:rsidRPr="00F30517">
        <w:t xml:space="preserve">. </w:t>
      </w:r>
      <w:r w:rsidR="00BE0CAB" w:rsidRPr="00F30517">
        <w:t xml:space="preserve">For completeness, homeopathy versus inactive control (no intervention, waitlist, or usual care if considered inactive) was included as a secondary comparator. </w:t>
      </w:r>
      <w:r w:rsidR="00F80810" w:rsidRPr="00F30517">
        <w:t xml:space="preserve">In some </w:t>
      </w:r>
      <w:r w:rsidR="00BE0CAB" w:rsidRPr="00F30517">
        <w:t xml:space="preserve">of the </w:t>
      </w:r>
      <w:r w:rsidR="00F80810" w:rsidRPr="00F30517">
        <w:t>studies compared to inactive control</w:t>
      </w:r>
      <w:r w:rsidR="00BE0CAB" w:rsidRPr="00F30517">
        <w:t>,</w:t>
      </w:r>
      <w:r w:rsidR="00F80810" w:rsidRPr="00F30517">
        <w:t xml:space="preserve"> the inactive control was “usual care”. This means</w:t>
      </w:r>
      <w:r w:rsidR="00BE0CAB" w:rsidRPr="00F30517">
        <w:t xml:space="preserve"> </w:t>
      </w:r>
      <w:r w:rsidR="008E61E1" w:rsidRPr="00F30517">
        <w:t>participants</w:t>
      </w:r>
      <w:r w:rsidR="00BE0CAB" w:rsidRPr="00F30517">
        <w:t xml:space="preserve"> were enco</w:t>
      </w:r>
      <w:r w:rsidR="008E61E1" w:rsidRPr="00F30517">
        <w:t xml:space="preserve">uraged to continue any usual medication or </w:t>
      </w:r>
      <w:r w:rsidR="001F36E8" w:rsidRPr="00F30517">
        <w:t>practices,</w:t>
      </w:r>
      <w:r w:rsidR="00042AA6" w:rsidRPr="00F30517">
        <w:t xml:space="preserve"> but it is not always known or reported what those are and they can vary from person to person. </w:t>
      </w:r>
      <w:r w:rsidR="0005371E" w:rsidRPr="00F30517">
        <w:t>There</w:t>
      </w:r>
      <w:r w:rsidR="00B242CB" w:rsidRPr="00F30517">
        <w:t>fore</w:t>
      </w:r>
      <w:r w:rsidR="00B4166A" w:rsidRPr="00F30517">
        <w:t>,</w:t>
      </w:r>
      <w:r w:rsidR="0005371E" w:rsidRPr="00F30517">
        <w:t xml:space="preserve"> where </w:t>
      </w:r>
      <w:r w:rsidR="004B724D" w:rsidRPr="00F30517">
        <w:t>usual care is included</w:t>
      </w:r>
      <w:r w:rsidR="00B242CB" w:rsidRPr="00F30517">
        <w:t>,</w:t>
      </w:r>
      <w:r w:rsidR="004B724D" w:rsidRPr="00F30517">
        <w:t xml:space="preserve"> it is often not possible to tell the effects of homeopathy alone</w:t>
      </w:r>
      <w:r w:rsidR="0005371E" w:rsidRPr="00F30517">
        <w:t>, and instead the results show the effect of homeopathy as an adjunct to usual care.</w:t>
      </w:r>
    </w:p>
    <w:p w14:paraId="250A8921" w14:textId="41DE2011" w:rsidR="0052612C" w:rsidRPr="00A55335" w:rsidRDefault="0052612C" w:rsidP="0052612C">
      <w:pPr>
        <w:pStyle w:val="BodyText"/>
      </w:pPr>
      <w:r w:rsidRPr="00A55335">
        <w:t xml:space="preserve">There </w:t>
      </w:r>
      <w:r w:rsidR="007875AD">
        <w:t>were</w:t>
      </w:r>
      <w:r w:rsidR="007875AD" w:rsidRPr="00A55335">
        <w:t xml:space="preserve"> </w:t>
      </w:r>
      <w:proofErr w:type="gramStart"/>
      <w:r w:rsidRPr="00A55335">
        <w:t>a large number of</w:t>
      </w:r>
      <w:proofErr w:type="gramEnd"/>
      <w:r w:rsidRPr="00A55335">
        <w:t xml:space="preserve"> studies </w:t>
      </w:r>
      <w:r w:rsidR="004D79FF" w:rsidRPr="00A55335">
        <w:t xml:space="preserve">that </w:t>
      </w:r>
      <w:r w:rsidRPr="00A55335">
        <w:t xml:space="preserve">remained ongoing or were unpublished at the time of the search. Results of these studies may (or may not) support the use of </w:t>
      </w:r>
      <w:r w:rsidR="00E6761C" w:rsidRPr="00A55335">
        <w:t>homeopathy</w:t>
      </w:r>
      <w:r w:rsidRPr="00A55335">
        <w:t>. It is therefore unknown whether the results of these studies would impact the overall conclusions of this review.</w:t>
      </w:r>
    </w:p>
    <w:p w14:paraId="203B7747" w14:textId="6F30B2BF" w:rsidR="0052612C" w:rsidRPr="00A55335" w:rsidRDefault="00D11E6E" w:rsidP="0052612C">
      <w:pPr>
        <w:pStyle w:val="BodyText"/>
      </w:pPr>
      <w:r w:rsidRPr="00A55335">
        <w:t>A</w:t>
      </w:r>
      <w:r w:rsidR="0052612C" w:rsidRPr="00A55335">
        <w:t xml:space="preserve">n examination of the effectiveness of </w:t>
      </w:r>
      <w:r w:rsidRPr="00A55335">
        <w:t>homeopathy</w:t>
      </w:r>
      <w:r w:rsidR="0052612C" w:rsidRPr="00A55335">
        <w:t xml:space="preserve"> compared with other interventions was not conducted. </w:t>
      </w:r>
    </w:p>
    <w:p w14:paraId="245BB2CA" w14:textId="77777777" w:rsidR="0052612C" w:rsidRPr="00A55335" w:rsidRDefault="0052612C" w:rsidP="00D11E6E">
      <w:pPr>
        <w:pStyle w:val="H2notoc"/>
      </w:pPr>
      <w:r w:rsidRPr="00A55335">
        <w:t>Conclusions</w:t>
      </w:r>
    </w:p>
    <w:p w14:paraId="58E641E7" w14:textId="63A8AA38" w:rsidR="00072E09" w:rsidRPr="009C5D7B" w:rsidRDefault="00072E09" w:rsidP="00072E09">
      <w:pPr>
        <w:pStyle w:val="BodyText"/>
      </w:pPr>
      <w:r w:rsidRPr="009C5D7B">
        <w:t xml:space="preserve">For the primary comparison, the evidence provides low certainty that </w:t>
      </w:r>
      <w:r w:rsidR="009C5D7B" w:rsidRPr="009C5D7B">
        <w:t>homeopathy</w:t>
      </w:r>
      <w:r w:rsidRPr="009C5D7B">
        <w:t xml:space="preserve"> </w:t>
      </w:r>
      <w:r w:rsidR="00216ECA">
        <w:t>may be</w:t>
      </w:r>
      <w:r w:rsidRPr="009C5D7B">
        <w:t xml:space="preserve"> more effective than placebo for two of the prioritised conditions and outcomes assessed in this review. However, the evidence also provides low certainty that homeopathy may have little (to no) benefit for many of the prioritised conditions and outcomes assessed in this review, where evidence was available. For many of the prioritised outcomes there was no evidence available.</w:t>
      </w:r>
    </w:p>
    <w:p w14:paraId="147B32F5" w14:textId="07D88A1F" w:rsidR="00072E09" w:rsidRPr="009C5D7B" w:rsidRDefault="00072E09" w:rsidP="00072E09">
      <w:pPr>
        <w:pStyle w:val="BodyText"/>
      </w:pPr>
      <w:r w:rsidRPr="009C5D7B">
        <w:t>For the secondary comparison, the evidence provides moderate to low certainty that using homeopathy</w:t>
      </w:r>
      <w:r w:rsidR="00980E1C">
        <w:t xml:space="preserve"> probably or</w:t>
      </w:r>
      <w:r w:rsidRPr="009C5D7B">
        <w:t xml:space="preserve"> may be more effective than inactive control for some prioritised conditions and outcomes assessed in this review. However</w:t>
      </w:r>
      <w:r w:rsidR="009C5D7B" w:rsidRPr="009C5D7B">
        <w:t>,</w:t>
      </w:r>
      <w:r w:rsidRPr="009C5D7B">
        <w:t xml:space="preserve"> the evidence also provides </w:t>
      </w:r>
      <w:r w:rsidR="00980E1C">
        <w:t xml:space="preserve">moderate to </w:t>
      </w:r>
      <w:r w:rsidRPr="009C5D7B">
        <w:t xml:space="preserve">low certainty that homeopathy </w:t>
      </w:r>
      <w:r w:rsidR="00980E1C">
        <w:t xml:space="preserve">probably or </w:t>
      </w:r>
      <w:r w:rsidRPr="009C5D7B">
        <w:t>may have little (to no) benefit for many of the prioritised conditions and outcomes assessed in this review, where evidence was available. For many of the prioritised outcomes there was no evidence available.</w:t>
      </w:r>
    </w:p>
    <w:p w14:paraId="7E6227B6" w14:textId="600E5D73" w:rsidR="00B14106" w:rsidRDefault="0052612C" w:rsidP="00DD505D">
      <w:pPr>
        <w:pStyle w:val="BodyText"/>
      </w:pPr>
      <w:r w:rsidRPr="00A55335">
        <w:lastRenderedPageBreak/>
        <w:t xml:space="preserve">The results </w:t>
      </w:r>
      <w:r w:rsidR="00031B26" w:rsidRPr="00564AFB">
        <w:t xml:space="preserve">of </w:t>
      </w:r>
      <w:r w:rsidRPr="00A55335">
        <w:t xml:space="preserve">this review are generally consistent with systematic reviews of </w:t>
      </w:r>
      <w:r w:rsidR="001E552A" w:rsidRPr="00A55335">
        <w:t xml:space="preserve">homeopathy </w:t>
      </w:r>
      <w:r w:rsidRPr="00A55335">
        <w:t>published</w:t>
      </w:r>
      <w:r w:rsidR="000E19F9">
        <w:t xml:space="preserve"> on included conditions</w:t>
      </w:r>
      <w:r w:rsidRPr="00A55335">
        <w:t xml:space="preserve"> up until </w:t>
      </w:r>
      <w:r w:rsidR="00C14194" w:rsidRPr="00A55335">
        <w:t xml:space="preserve">November </w:t>
      </w:r>
      <w:r w:rsidRPr="00A55335">
        <w:t>2023</w:t>
      </w:r>
      <w:r w:rsidR="00BC0C11">
        <w:t xml:space="preserve">. </w:t>
      </w:r>
      <w:r w:rsidR="008108EE">
        <w:t>These systematic</w:t>
      </w:r>
      <w:r w:rsidR="000E19F9">
        <w:t xml:space="preserve"> reviews </w:t>
      </w:r>
      <w:r w:rsidRPr="00A55335">
        <w:t>conclude tha</w:t>
      </w:r>
      <w:r w:rsidR="00D735B4" w:rsidRPr="00A55335">
        <w:t xml:space="preserve">t there is little </w:t>
      </w:r>
      <w:r w:rsidR="0095775C">
        <w:t xml:space="preserve">to no </w:t>
      </w:r>
      <w:r w:rsidR="00D735B4" w:rsidRPr="00A55335">
        <w:t>evidence of benefit for homeopathy</w:t>
      </w:r>
      <w:r w:rsidR="00D11E6E" w:rsidRPr="00A55335">
        <w:t xml:space="preserve"> </w:t>
      </w:r>
      <w:r w:rsidRPr="00A55335">
        <w:t xml:space="preserve">to improve outcomes for </w:t>
      </w:r>
      <w:r w:rsidR="0095775C">
        <w:t>examined</w:t>
      </w:r>
      <w:r w:rsidR="0095775C" w:rsidRPr="00A55335">
        <w:t xml:space="preserve"> </w:t>
      </w:r>
      <w:r w:rsidRPr="00A55335">
        <w:t>health conditions</w:t>
      </w:r>
      <w:r w:rsidR="00AE29B7">
        <w:t xml:space="preserve"> due to</w:t>
      </w:r>
      <w:r w:rsidR="0095775C">
        <w:t xml:space="preserve"> </w:t>
      </w:r>
      <w:r w:rsidR="00AE29B7">
        <w:t>poor methodological quality of</w:t>
      </w:r>
      <w:r w:rsidR="00D835BC">
        <w:t xml:space="preserve"> included studies</w:t>
      </w:r>
      <w:r w:rsidR="006974B2">
        <w:t>, which limits interpretation of the results</w:t>
      </w:r>
      <w:r w:rsidR="00D835BC">
        <w:t xml:space="preserve">. </w:t>
      </w:r>
    </w:p>
    <w:p w14:paraId="20B91EFC" w14:textId="364C9306" w:rsidR="003E4A71" w:rsidRPr="003E4A71" w:rsidRDefault="00582699" w:rsidP="003E4A71">
      <w:pPr>
        <w:rPr>
          <w:sz w:val="19"/>
          <w:szCs w:val="19"/>
        </w:rPr>
      </w:pPr>
      <w:r>
        <w:rPr>
          <w:sz w:val="19"/>
          <w:szCs w:val="19"/>
        </w:rPr>
        <w:t xml:space="preserve">There are many </w:t>
      </w:r>
      <w:r w:rsidR="00F30517">
        <w:rPr>
          <w:sz w:val="19"/>
          <w:szCs w:val="19"/>
        </w:rPr>
        <w:t>trials on</w:t>
      </w:r>
      <w:r w:rsidR="003E4A71" w:rsidRPr="00F30517">
        <w:rPr>
          <w:sz w:val="19"/>
          <w:szCs w:val="19"/>
        </w:rPr>
        <w:t xml:space="preserve"> the effectiveness of homeopathy compared with placebo or an inactive control. To ensure that future research is able to answer questions about the effectiveness of homeopathy it is important that trials are </w:t>
      </w:r>
      <w:r w:rsidR="00554AFD" w:rsidRPr="00F30517">
        <w:rPr>
          <w:sz w:val="19"/>
          <w:szCs w:val="19"/>
        </w:rPr>
        <w:t xml:space="preserve">well </w:t>
      </w:r>
      <w:r w:rsidR="003E4A71" w:rsidRPr="00F30517">
        <w:rPr>
          <w:sz w:val="19"/>
          <w:szCs w:val="19"/>
        </w:rPr>
        <w:t>conducted (e.g. including outcomes and measures defined in core outcome sets, focus on greater retention or follow-up of participants in trials) and that reporting is comprehensive (e.g. including standard deviations or confidence intervals, providing end of treatment score, reporting both total scores and sub scores of outcome measures). A focus on priority populations relevant to Australia for which there is an absence of evidence would also be of benefit.</w:t>
      </w:r>
    </w:p>
    <w:p w14:paraId="095BE202" w14:textId="77777777" w:rsidR="00DD505D" w:rsidRPr="00A55335" w:rsidRDefault="00DD505D" w:rsidP="00DD505D">
      <w:pPr>
        <w:pStyle w:val="BodyText"/>
        <w:sectPr w:rsidR="00DD505D" w:rsidRPr="00A55335" w:rsidSect="00F928F8">
          <w:headerReference w:type="even" r:id="rId16"/>
          <w:headerReference w:type="default" r:id="rId17"/>
          <w:headerReference w:type="first" r:id="rId18"/>
          <w:pgSz w:w="11905" w:h="16837" w:code="9"/>
          <w:pgMar w:top="1440" w:right="1080" w:bottom="1440" w:left="1080" w:header="720" w:footer="397" w:gutter="0"/>
          <w:paperSrc w:first="261" w:other="261"/>
          <w:pgNumType w:fmt="lowerRoman"/>
          <w:cols w:space="708"/>
          <w:docGrid w:linePitch="299"/>
        </w:sectPr>
      </w:pPr>
    </w:p>
    <w:p w14:paraId="24FA23A5" w14:textId="4F597681" w:rsidR="00DD505D" w:rsidRPr="00A55335" w:rsidRDefault="00DD505D" w:rsidP="00DD505D">
      <w:pPr>
        <w:pStyle w:val="Heading1"/>
        <w:ind w:left="431" w:hanging="431"/>
      </w:pPr>
      <w:bookmarkStart w:id="25" w:name="_Toc183441289"/>
      <w:r w:rsidRPr="00A55335">
        <w:lastRenderedPageBreak/>
        <w:t>Background</w:t>
      </w:r>
      <w:bookmarkEnd w:id="25"/>
    </w:p>
    <w:p w14:paraId="2B363E45" w14:textId="02C34479" w:rsidR="00DD505D" w:rsidRPr="00A55335" w:rsidRDefault="00DD505D" w:rsidP="00DD505D">
      <w:pPr>
        <w:pStyle w:val="BodyText"/>
      </w:pPr>
      <w:r w:rsidRPr="00A55335">
        <w:t xml:space="preserve">In 2015, a review of homeopathy found no reliable evidence demonstrating its efficacy in treating any clinical condition </w:t>
      </w:r>
      <w:r w:rsidR="00163587" w:rsidRPr="00A55335">
        <w:fldChar w:fldCharType="begin"/>
      </w:r>
      <w:r w:rsidR="006952AD">
        <w:instrText xml:space="preserve"> ADDIN EN.CITE &lt;EndNote&gt;&lt;Cite&gt;&lt;Author&gt;National Health and Medical Research Council&lt;/Author&gt;&lt;Year&gt;2015&lt;/Year&gt;&lt;RecNum&gt;4&lt;/RecNum&gt;&lt;DisplayText&gt;(27)&lt;/DisplayText&gt;&lt;record&gt;&lt;rec-number&gt;4&lt;/rec-number&gt;&lt;foreign-keys&gt;&lt;key app="EN" db-id="t5prptatr9sp0we5exbxt9zz20fwp55tdza9" timestamp="1643145588"&gt;4&lt;/key&gt;&lt;/foreign-keys&gt;&lt;ref-type name="Government Document"&gt;46&lt;/ref-type&gt;&lt;contributors&gt;&lt;authors&gt;&lt;author&gt;National Health and Medical Research Council,&lt;/author&gt;&lt;/authors&gt;&lt;/contributors&gt;&lt;titles&gt;&lt;title&gt;NHMRC Information Paper: Evidence on the effectiveness of homeopathy for treating health conditions&lt;/title&gt;&lt;/titles&gt;&lt;dates&gt;&lt;year&gt;2015&lt;/year&gt;&lt;/dates&gt;&lt;pub-location&gt;Canberra&lt;/pub-location&gt;&lt;publisher&gt;National Health and Medical Research Council&lt;/publisher&gt;&lt;urls&gt;&lt;related-urls&gt;&lt;url&gt;https://www.nhmrc.gov.au/about-us/resources/homeopathy&lt;/url&gt;&lt;/related-urls&gt;&lt;/urls&gt;&lt;/record&gt;&lt;/Cite&gt;&lt;/EndNote&gt;</w:instrText>
      </w:r>
      <w:r w:rsidR="00163587" w:rsidRPr="00A55335">
        <w:fldChar w:fldCharType="separate"/>
      </w:r>
      <w:r w:rsidR="0049097E" w:rsidRPr="00A55335">
        <w:rPr>
          <w:noProof/>
        </w:rPr>
        <w:t>(</w:t>
      </w:r>
      <w:hyperlink w:anchor="_ENREF_27" w:tooltip="National Health and Medical Research Council, 2015 #4" w:history="1">
        <w:r w:rsidR="00EC2769" w:rsidRPr="00A55335">
          <w:rPr>
            <w:noProof/>
          </w:rPr>
          <w:t>27</w:t>
        </w:r>
      </w:hyperlink>
      <w:r w:rsidR="0049097E" w:rsidRPr="00A55335">
        <w:rPr>
          <w:noProof/>
        </w:rPr>
        <w:t>)</w:t>
      </w:r>
      <w:r w:rsidR="00163587" w:rsidRPr="00A55335">
        <w:fldChar w:fldCharType="end"/>
      </w:r>
      <w:r w:rsidRPr="00A55335">
        <w:t xml:space="preserve">. The 2015 review was underpinned by an Overview of systematic reviews (SRs) that focused solely on homeopathy and were published in the English language between 2007 and January 2013 </w:t>
      </w:r>
      <w:r w:rsidR="00CA26BC" w:rsidRPr="00A55335">
        <w:fldChar w:fldCharType="begin"/>
      </w:r>
      <w:r w:rsidR="006952AD">
        <w:instrText xml:space="preserve"> ADDIN EN.CITE &lt;EndNote&gt;&lt;Cite&gt;&lt;Author&gt;National Health and Medical Research Council&lt;/Author&gt;&lt;Year&gt;October 2013&lt;/Year&gt;&lt;RecNum&gt;5&lt;/RecNum&gt;&lt;DisplayText&gt;(28, 29)&lt;/DisplayText&gt;&lt;record&gt;&lt;rec-number&gt;5&lt;/rec-number&gt;&lt;foreign-keys&gt;&lt;key app="EN" db-id="t5prptatr9sp0we5exbxt9zz20fwp55tdza9" timestamp="1643145589"&gt;5&lt;/key&gt;&lt;/foreign-keys&gt;&lt;ref-type name="Electronic Book Section"&gt;60&lt;/ref-type&gt;&lt;contributors&gt;&lt;authors&gt;&lt;author&gt;National Health and Medical Research Council,&lt;/author&gt;&lt;/authors&gt;&lt;/contributors&gt;&lt;titles&gt;&lt;title&gt;Effectiveness of Homeopathy for Clinical Conditions: Evaluations of the Evidence - Overall Report&lt;/title&gt;&lt;/titles&gt;&lt;dates&gt;&lt;year&gt;October 2013&lt;/year&gt;&lt;/dates&gt;&lt;publisher&gt;prepared by Optum for the NHMRC homeopathy working committee&lt;/publisher&gt;&lt;urls&gt;&lt;related-urls&gt;&lt;url&gt;https://www.nhmrc.gov.au/about-us/resources/homeopathy&lt;/url&gt;&lt;/related-urls&gt;&lt;/urls&gt;&lt;research-notes&gt;Homeopathy &lt;/research-notes&gt;&lt;/record&gt;&lt;/Cite&gt;&lt;Cite&gt;&lt;Author&gt;National Health and Medical Research Council&lt;/Author&gt;&lt;Year&gt;September 2013&lt;/Year&gt;&lt;RecNum&gt;6&lt;/RecNum&gt;&lt;record&gt;&lt;rec-number&gt;6&lt;/rec-number&gt;&lt;foreign-keys&gt;&lt;key app="EN" db-id="t5prptatr9sp0we5exbxt9zz20fwp55tdza9" timestamp="1643145591"&gt;6&lt;/key&gt;&lt;/foreign-keys&gt;&lt;ref-type name="Electronic Book Section"&gt;60&lt;/ref-type&gt;&lt;contributors&gt;&lt;authors&gt;&lt;author&gt;National Health and Medical Research Council,&lt;/author&gt;&lt;/authors&gt;&lt;/contributors&gt;&lt;titles&gt;&lt;title&gt;Effectiveness of Homeopathy for Clinical Conditions: Evaluation of the Evidence - Review of Submitted Literature&lt;/title&gt;&lt;/titles&gt;&lt;dates&gt;&lt;year&gt;September 2013&lt;/year&gt;&lt;/dates&gt;&lt;publisher&gt;prepared by Optum for the Homeopahty Working Committee&lt;/publisher&gt;&lt;urls&gt;&lt;related-urls&gt;&lt;url&gt;https://www.nhmrc.gov.au/about-us/resources/homeopathy&lt;/url&gt;&lt;/related-urls&gt;&lt;/urls&gt;&lt;research-notes&gt;Homeopathy Homeopathy&lt;/research-notes&gt;&lt;/record&gt;&lt;/Cite&gt;&lt;/EndNote&gt;</w:instrText>
      </w:r>
      <w:r w:rsidR="00CA26BC" w:rsidRPr="00A55335">
        <w:fldChar w:fldCharType="separate"/>
      </w:r>
      <w:r w:rsidR="0049097E" w:rsidRPr="00A55335">
        <w:rPr>
          <w:noProof/>
        </w:rPr>
        <w:t>(</w:t>
      </w:r>
      <w:hyperlink w:anchor="_ENREF_28" w:tooltip="National Health and Medical Research Council, October 2013 #5" w:history="1">
        <w:r w:rsidR="00EC2769" w:rsidRPr="00A55335">
          <w:rPr>
            <w:noProof/>
          </w:rPr>
          <w:t>28</w:t>
        </w:r>
      </w:hyperlink>
      <w:r w:rsidR="0049097E" w:rsidRPr="00A55335">
        <w:rPr>
          <w:noProof/>
        </w:rPr>
        <w:t xml:space="preserve">, </w:t>
      </w:r>
      <w:hyperlink w:anchor="_ENREF_29" w:tooltip="National Health and Medical Research Council, September 2013 #6" w:history="1">
        <w:r w:rsidR="00EC2769" w:rsidRPr="00A55335">
          <w:rPr>
            <w:noProof/>
          </w:rPr>
          <w:t>29</w:t>
        </w:r>
      </w:hyperlink>
      <w:r w:rsidR="0049097E" w:rsidRPr="00A55335">
        <w:rPr>
          <w:noProof/>
        </w:rPr>
        <w:t>)</w:t>
      </w:r>
      <w:r w:rsidR="00CA26BC" w:rsidRPr="00A55335">
        <w:fldChar w:fldCharType="end"/>
      </w:r>
      <w:r w:rsidR="00CA26BC" w:rsidRPr="00A55335">
        <w:t>.</w:t>
      </w:r>
      <w:r w:rsidRPr="00A55335">
        <w:t xml:space="preserve"> Prospectively designed and controlled studies (</w:t>
      </w:r>
      <w:r w:rsidR="008839FD" w:rsidRPr="00A55335">
        <w:t>i.e.</w:t>
      </w:r>
      <w:r w:rsidRPr="00A55335">
        <w:t xml:space="preserve"> randomised controlled trials [RCTs], quasi-randomised controlled trials, non-randomised controlled trials or prospective cohort studies) that were reported within included SRs and assessed homeopathy delivered to treat any clinical condition were included, with outcomes selected according to predefined criteria. The 2013 Overview informed the </w:t>
      </w:r>
      <w:r w:rsidRPr="0089279A">
        <w:rPr>
          <w:i/>
          <w:iCs/>
        </w:rPr>
        <w:t>2015 Review of the Australian Government Rebate on Private Health Insurance for Natural Therapies</w:t>
      </w:r>
      <w:r w:rsidRPr="00A55335">
        <w:t>, which resulted in homeopathy and 15 other natural therapies being excluded from private health insurance rebates</w:t>
      </w:r>
      <w:r w:rsidR="00E032F0" w:rsidRPr="00A55335">
        <w:rPr>
          <w:rStyle w:val="FootnoteReference"/>
        </w:rPr>
        <w:footnoteReference w:id="7"/>
      </w:r>
      <w:r w:rsidRPr="00A55335">
        <w:t xml:space="preserve">. </w:t>
      </w:r>
    </w:p>
    <w:p w14:paraId="5AFFA1ED" w14:textId="416B151B" w:rsidR="00DD505D" w:rsidRPr="00A55335" w:rsidRDefault="002A4D06" w:rsidP="00DD505D">
      <w:pPr>
        <w:pStyle w:val="BodyText"/>
      </w:pPr>
      <w:r w:rsidRPr="00A55335">
        <w:t xml:space="preserve">NHMRC </w:t>
      </w:r>
      <w:r>
        <w:t>was</w:t>
      </w:r>
      <w:r w:rsidRPr="00A55335">
        <w:t xml:space="preserve"> engaged by the Department of Health and Aged Care to update the evidence</w:t>
      </w:r>
      <w:r w:rsidR="0089279A">
        <w:t xml:space="preserve"> for </w:t>
      </w:r>
      <w:r w:rsidR="00386FA7">
        <w:t xml:space="preserve">the effectiveness of </w:t>
      </w:r>
      <w:r w:rsidR="0089279A">
        <w:t>homeopathy</w:t>
      </w:r>
      <w:r w:rsidRPr="00A55335">
        <w:t xml:space="preserve">. </w:t>
      </w:r>
      <w:r w:rsidR="00DD505D" w:rsidRPr="00A55335">
        <w:t>This review</w:t>
      </w:r>
      <w:r w:rsidR="007E3CCC" w:rsidRPr="00A55335">
        <w:t xml:space="preserve"> </w:t>
      </w:r>
      <w:r w:rsidR="00DD505D" w:rsidRPr="00A55335">
        <w:t xml:space="preserve">was not limited by publication date </w:t>
      </w:r>
      <w:r w:rsidR="00D57536" w:rsidRPr="00A55335">
        <w:t xml:space="preserve">and </w:t>
      </w:r>
      <w:r w:rsidR="00E032F0" w:rsidRPr="00A55335">
        <w:t xml:space="preserve">was focused on </w:t>
      </w:r>
      <w:r w:rsidR="00DD505D" w:rsidRPr="00A55335">
        <w:t>evidence reported in eligible RCTs</w:t>
      </w:r>
      <w:r w:rsidR="00E032F0" w:rsidRPr="00A55335">
        <w:t xml:space="preserve"> or </w:t>
      </w:r>
      <w:r w:rsidR="0095338D" w:rsidRPr="00A55335">
        <w:t>quasi RCT</w:t>
      </w:r>
      <w:r w:rsidR="00E032F0" w:rsidRPr="00A55335">
        <w:t>s</w:t>
      </w:r>
      <w:r w:rsidR="00DD505D" w:rsidRPr="00A55335">
        <w:t xml:space="preserve">. The review focused on evaluating the evidence for populations and conditions commonly seen and treated by homeopaths in Australia. </w:t>
      </w:r>
    </w:p>
    <w:p w14:paraId="1BF3D82B" w14:textId="77777777" w:rsidR="00DD505D" w:rsidRPr="00A55335" w:rsidRDefault="00DD505D" w:rsidP="00106DC1">
      <w:pPr>
        <w:pStyle w:val="Bulletintro"/>
        <w:rPr>
          <w:lang w:val="en-AU"/>
        </w:rPr>
      </w:pPr>
      <w:r w:rsidRPr="00A55335">
        <w:rPr>
          <w:lang w:val="en-AU"/>
        </w:rPr>
        <w:t xml:space="preserve">The process for conducting the review was built upon the following framework: </w:t>
      </w:r>
    </w:p>
    <w:p w14:paraId="0133BB7A" w14:textId="77777777" w:rsidR="00106DC1" w:rsidRPr="00A55335" w:rsidRDefault="00DD505D" w:rsidP="0068139A">
      <w:pPr>
        <w:pStyle w:val="ListNos0"/>
        <w:numPr>
          <w:ilvl w:val="0"/>
          <w:numId w:val="9"/>
        </w:numPr>
      </w:pPr>
      <w:r w:rsidRPr="00A55335">
        <w:t xml:space="preserve">source the clinical evidence by performing a systematic literature search, </w:t>
      </w:r>
    </w:p>
    <w:p w14:paraId="4BB9908A" w14:textId="77777777" w:rsidR="00106DC1" w:rsidRPr="00A55335" w:rsidRDefault="00DD505D" w:rsidP="0068139A">
      <w:pPr>
        <w:pStyle w:val="ListNos0"/>
        <w:numPr>
          <w:ilvl w:val="0"/>
          <w:numId w:val="9"/>
        </w:numPr>
      </w:pPr>
      <w:r w:rsidRPr="00A55335">
        <w:t>identify the best available evidence published in English and indexed in English language databases,</w:t>
      </w:r>
    </w:p>
    <w:p w14:paraId="18E7C140" w14:textId="77777777" w:rsidR="00106DC1" w:rsidRPr="00A55335" w:rsidRDefault="00DD505D" w:rsidP="0068139A">
      <w:pPr>
        <w:pStyle w:val="ListNos0"/>
        <w:numPr>
          <w:ilvl w:val="0"/>
          <w:numId w:val="9"/>
        </w:numPr>
      </w:pPr>
      <w:r w:rsidRPr="00A55335">
        <w:t xml:space="preserve">incorporate additional literature identified through non-database sources received from the Department’s public call for evidence, NTREAP and NTWC, </w:t>
      </w:r>
    </w:p>
    <w:p w14:paraId="6940AA43" w14:textId="77777777" w:rsidR="00106DC1" w:rsidRPr="00A55335" w:rsidRDefault="00DD505D" w:rsidP="0068139A">
      <w:pPr>
        <w:pStyle w:val="ListNos0"/>
        <w:numPr>
          <w:ilvl w:val="0"/>
          <w:numId w:val="9"/>
        </w:numPr>
      </w:pPr>
      <w:r w:rsidRPr="00A55335">
        <w:t xml:space="preserve">critically appraise and present the evidence, and </w:t>
      </w:r>
    </w:p>
    <w:p w14:paraId="1B3E39A8" w14:textId="434DD958" w:rsidR="00DD505D" w:rsidRPr="00A55335" w:rsidRDefault="00DD505D" w:rsidP="00DD505D">
      <w:pPr>
        <w:pStyle w:val="ListNos0"/>
        <w:numPr>
          <w:ilvl w:val="0"/>
          <w:numId w:val="9"/>
        </w:numPr>
      </w:pPr>
      <w:r w:rsidRPr="00A55335">
        <w:t xml:space="preserve">determine the certainty in the evidence base for each question, using a structured assessment of the body of evidence in accordance with GRADE </w:t>
      </w:r>
      <w:r w:rsidR="00EE413F" w:rsidRPr="00A55335">
        <w:t xml:space="preserve">methodology </w:t>
      </w:r>
      <w:r w:rsidR="00EE413F" w:rsidRPr="00A55335">
        <w:fldChar w:fldCharType="begin"/>
      </w:r>
      <w:r w:rsidR="006952AD">
        <w:instrText xml:space="preserve"> ADDIN EN.CITE &lt;EndNote&gt;&lt;Cite&gt;&lt;Author&gt;Schünemann H&lt;/Author&gt;&lt;Year&gt;2013&lt;/Year&gt;&lt;RecNum&gt;7&lt;/RecNum&gt;&lt;DisplayText&gt;(5)&lt;/DisplayText&gt;&lt;record&gt;&lt;rec-number&gt;7&lt;/rec-number&gt;&lt;foreign-keys&gt;&lt;key app="EN" db-id="t5prptatr9sp0we5exbxt9zz20fwp55tdza9" timestamp="1643145592"&gt;7&lt;/key&gt;&lt;/foreign-keys&gt;&lt;ref-type name="Electronic Article"&gt;43&lt;/ref-type&gt;&lt;contributors&gt;&lt;authors&gt;&lt;author&gt;Schünemann H,&lt;/author&gt;&lt;author&gt;&lt;style face="normal" font="default" size="100%"&gt;Bro&lt;/style&gt;&lt;style face="normal" font="default" charset="238" size="100%"&gt;żek&lt;/style&gt;&lt;style face="normal" font="default" size="100%"&gt; J,&lt;/style&gt;&lt;/author&gt;&lt;author&gt;&lt;style face="normal" font="default" charset="238" size="100%"&gt;Guyatt&lt;/style&gt;&lt;style face="normal" font="default" size="100%"&gt; G,&lt;/style&gt;&lt;/author&gt;&lt;author&gt;&lt;style face="normal" font="default" charset="238" size="100%"&gt;Oxman &lt;/style&gt;&lt;style face="normal" font="default" size="100%"&gt;A,&lt;/style&gt;&lt;/author&gt;&lt;/authors&gt;&lt;/contributors&gt;&lt;titles&gt;&lt;title&gt;GRADE Handbook&lt;/title&gt;&lt;secondary-title&gt;Handbook for grading the quality of evidence and the strength of recommendations using the GRADE approach&lt;/secondary-title&gt;&lt;/titles&gt;&lt;periodical&gt;&lt;full-title&gt;Handbook for grading the quality of evidence and the strength of recommendations using the GRADE approach&lt;/full-title&gt;&lt;/periodical&gt;&lt;volume&gt;(Updated October 2013)&lt;/volume&gt;&lt;dates&gt;&lt;year&gt;2013&lt;/year&gt;&lt;/dates&gt;&lt;urls&gt;&lt;related-urls&gt;&lt;url&gt;https://gdt.gradepro.org/app/handbook/handbook.html&lt;/url&gt;&lt;/related-urls&gt;&lt;/urls&gt;&lt;research-notes&gt;ALL&lt;/research-notes&gt;&lt;/record&gt;&lt;/Cite&gt;&lt;/EndNote&gt;</w:instrText>
      </w:r>
      <w:r w:rsidR="00EE413F" w:rsidRPr="00A55335">
        <w:fldChar w:fldCharType="separate"/>
      </w:r>
      <w:r w:rsidR="00FA37A6" w:rsidRPr="00A55335">
        <w:rPr>
          <w:noProof/>
        </w:rPr>
        <w:t>(</w:t>
      </w:r>
      <w:hyperlink w:anchor="_ENREF_5" w:tooltip="Schünemann H, 2013 #7" w:history="1">
        <w:r w:rsidR="00EC2769" w:rsidRPr="00A55335">
          <w:rPr>
            <w:noProof/>
          </w:rPr>
          <w:t>5</w:t>
        </w:r>
      </w:hyperlink>
      <w:r w:rsidR="00FA37A6" w:rsidRPr="00A55335">
        <w:rPr>
          <w:noProof/>
        </w:rPr>
        <w:t>)</w:t>
      </w:r>
      <w:r w:rsidR="00EE413F" w:rsidRPr="00A55335">
        <w:fldChar w:fldCharType="end"/>
      </w:r>
      <w:r w:rsidRPr="00A55335">
        <w:t>.</w:t>
      </w:r>
    </w:p>
    <w:p w14:paraId="3D36A40B" w14:textId="77777777" w:rsidR="00DD505D" w:rsidRPr="00A55335" w:rsidRDefault="00DD505D" w:rsidP="00C373A2">
      <w:pPr>
        <w:pStyle w:val="Heading2"/>
      </w:pPr>
      <w:bookmarkStart w:id="26" w:name="_Toc183441290"/>
      <w:r w:rsidRPr="00A55335">
        <w:t>Description of the condition and setting</w:t>
      </w:r>
      <w:bookmarkEnd w:id="26"/>
    </w:p>
    <w:p w14:paraId="67050FCB" w14:textId="32492F10" w:rsidR="00743314" w:rsidRPr="00A55335" w:rsidRDefault="00920F81" w:rsidP="00743314">
      <w:pPr>
        <w:pStyle w:val="BodyText"/>
      </w:pPr>
      <w:r w:rsidRPr="00A55335">
        <w:t xml:space="preserve">Homeopathy has a long history in Australia, with the first practitioner having arrived in the 1840s followed by the establishment of the first of several homeopathic hospitals in 1876 </w:t>
      </w:r>
      <w:r w:rsidR="00743314" w:rsidRPr="00A55335">
        <w:fldChar w:fldCharType="begin"/>
      </w:r>
      <w:r w:rsidR="006952AD">
        <w:instrText xml:space="preserve"> ADDIN EN.CITE &lt;EndNote&gt;&lt;Cite&gt;&lt;Author&gt;Armstrong&lt;/Author&gt;&lt;Year&gt;2010&lt;/Year&gt;&lt;RecNum&gt;8&lt;/RecNum&gt;&lt;DisplayText&gt;(30)&lt;/DisplayText&gt;&lt;record&gt;&lt;rec-number&gt;8&lt;/rec-number&gt;&lt;foreign-keys&gt;&lt;key app="EN" db-id="t5prptatr9sp0we5exbxt9zz20fwp55tdza9" timestamp="1643145594"&gt;8&lt;/key&gt;&lt;/foreign-keys&gt;&lt;ref-type name="Web Page"&gt;12&lt;/ref-type&gt;&lt;contributors&gt;&lt;authors&gt;&lt;author&gt;Armstrong, B.&lt;/author&gt;&lt;/authors&gt;&lt;/contributors&gt;&lt;titles&gt;&lt;title&gt;History of Hoeomopathy in Australia - A Brief Summary&lt;/title&gt;&lt;/titles&gt;&lt;volume&gt;June 2021&lt;/volume&gt;&lt;dates&gt;&lt;year&gt;2010&lt;/year&gt;&lt;/dates&gt;&lt;urls&gt;&lt;related-urls&gt;&lt;url&gt;http://www.historyofhomeopathy.com.au/articles/item/190-history-homoeopathy-australia-brief-summary.html&lt;/url&gt;&lt;/related-urls&gt;&lt;/urls&gt;&lt;research-notes&gt; Homeopathy&lt;/research-notes&gt;&lt;/record&gt;&lt;/Cite&gt;&lt;/EndNote&gt;</w:instrText>
      </w:r>
      <w:r w:rsidR="00743314" w:rsidRPr="00A55335">
        <w:fldChar w:fldCharType="separate"/>
      </w:r>
      <w:r w:rsidR="0049097E" w:rsidRPr="00A55335">
        <w:rPr>
          <w:noProof/>
        </w:rPr>
        <w:t>(</w:t>
      </w:r>
      <w:hyperlink w:anchor="_ENREF_30" w:tooltip="Armstrong, 2010 #8" w:history="1">
        <w:r w:rsidR="00EC2769" w:rsidRPr="00A55335">
          <w:rPr>
            <w:noProof/>
          </w:rPr>
          <w:t>30</w:t>
        </w:r>
      </w:hyperlink>
      <w:r w:rsidR="0049097E" w:rsidRPr="00A55335">
        <w:rPr>
          <w:noProof/>
        </w:rPr>
        <w:t>)</w:t>
      </w:r>
      <w:r w:rsidR="00743314" w:rsidRPr="00A55335">
        <w:fldChar w:fldCharType="end"/>
      </w:r>
      <w:r w:rsidR="00743314" w:rsidRPr="00A55335">
        <w:t xml:space="preserve">. By the late 1920s, homeopathic hospitals ceased operation, primarily due to advances in medical practice such as the development of antibiotics. Nevertheless, over the last 50 years, homeopathy has experienced a revival, largely fuelled by changes in public perceptions regarding health </w:t>
      </w:r>
      <w:r w:rsidR="00743314" w:rsidRPr="00A55335">
        <w:fldChar w:fldCharType="begin">
          <w:fldData xml:space="preserve">PEVuZE5vdGU+PENpdGU+PEF1dGhvcj5Bcm1zdHJvbmc8L0F1dGhvcj48WWVhcj4yMDEwPC9ZZWFy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</w:fldData>
        </w:fldChar>
      </w:r>
      <w:r w:rsidR="006952AD">
        <w:instrText xml:space="preserve"> ADDIN EN.CITE </w:instrText>
      </w:r>
      <w:r w:rsidR="006952AD">
        <w:fldChar w:fldCharType="begin">
          <w:fldData xml:space="preserve">PEVuZE5vdGU+PENpdGU+PEF1dGhvcj5Bcm1zdHJvbmc8L0F1dGhvcj48WWVhcj4yMDEwPC9ZZWFy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</w:fldData>
        </w:fldChar>
      </w:r>
      <w:r w:rsidR="006952AD">
        <w:instrText xml:space="preserve"> ADDIN EN.CITE.DATA </w:instrText>
      </w:r>
      <w:r w:rsidR="006952AD">
        <w:fldChar w:fldCharType="end"/>
      </w:r>
      <w:r w:rsidR="00743314" w:rsidRPr="00A55335">
        <w:fldChar w:fldCharType="separate"/>
      </w:r>
      <w:r w:rsidR="0049097E" w:rsidRPr="00A55335">
        <w:rPr>
          <w:noProof/>
        </w:rPr>
        <w:t>(</w:t>
      </w:r>
      <w:hyperlink w:anchor="_ENREF_30" w:tooltip="Armstrong, 2010 #8" w:history="1">
        <w:r w:rsidR="00EC2769" w:rsidRPr="00A55335">
          <w:rPr>
            <w:noProof/>
          </w:rPr>
          <w:t>30</w:t>
        </w:r>
      </w:hyperlink>
      <w:r w:rsidR="0049097E" w:rsidRPr="00A55335">
        <w:rPr>
          <w:noProof/>
        </w:rPr>
        <w:t xml:space="preserve">, </w:t>
      </w:r>
      <w:hyperlink w:anchor="_ENREF_31" w:tooltip="Relton, 2017 #9" w:history="1">
        <w:r w:rsidR="00EC2769" w:rsidRPr="00A55335">
          <w:rPr>
            <w:noProof/>
          </w:rPr>
          <w:t>31</w:t>
        </w:r>
      </w:hyperlink>
      <w:r w:rsidR="0049097E" w:rsidRPr="00A55335">
        <w:rPr>
          <w:noProof/>
        </w:rPr>
        <w:t>)</w:t>
      </w:r>
      <w:r w:rsidR="00743314" w:rsidRPr="00A55335">
        <w:fldChar w:fldCharType="end"/>
      </w:r>
      <w:r w:rsidR="00743314" w:rsidRPr="00A55335">
        <w:t xml:space="preserve">, with homeopathy typically used in Australia as an alternative to, or in conjunction with traditional medicine </w:t>
      </w:r>
      <w:r w:rsidR="00743314" w:rsidRPr="00A55335">
        <w:fldChar w:fldCharType="begin">
          <w:fldData xml:space="preserve">PEVuZE5vdGU+PENpdGU+PEF1dGhvcj5IZWFsdGhkaXJlY3QgQXVzdHJhbGlhPC9BdXRob3I+PFll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</w:fldData>
        </w:fldChar>
      </w:r>
      <w:r w:rsidR="006952AD">
        <w:instrText xml:space="preserve"> ADDIN EN.CITE </w:instrText>
      </w:r>
      <w:r w:rsidR="006952AD">
        <w:fldChar w:fldCharType="begin">
          <w:fldData xml:space="preserve">PEVuZE5vdGU+PENpdGU+PEF1dGhvcj5IZWFsdGhkaXJlY3QgQXVzdHJhbGlhPC9BdXRob3I+PFll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</w:fldData>
        </w:fldChar>
      </w:r>
      <w:r w:rsidR="006952AD">
        <w:instrText xml:space="preserve"> ADDIN EN.CITE.DATA </w:instrText>
      </w:r>
      <w:r w:rsidR="006952AD">
        <w:fldChar w:fldCharType="end"/>
      </w:r>
      <w:r w:rsidR="00743314" w:rsidRPr="00A55335">
        <w:fldChar w:fldCharType="separate"/>
      </w:r>
      <w:r w:rsidR="0049097E" w:rsidRPr="00A55335">
        <w:rPr>
          <w:noProof/>
        </w:rPr>
        <w:t>(</w:t>
      </w:r>
      <w:hyperlink w:anchor="_ENREF_6" w:tooltip="Reid, 2016 #12" w:history="1">
        <w:r w:rsidR="00EC2769" w:rsidRPr="00A55335">
          <w:rPr>
            <w:noProof/>
          </w:rPr>
          <w:t>6-8</w:t>
        </w:r>
      </w:hyperlink>
      <w:r w:rsidR="0049097E" w:rsidRPr="00A55335">
        <w:rPr>
          <w:noProof/>
        </w:rPr>
        <w:t xml:space="preserve">, </w:t>
      </w:r>
      <w:hyperlink w:anchor="_ENREF_32" w:tooltip="Healthdirect Australia, 2020 #10" w:history="1">
        <w:r w:rsidR="00EC2769" w:rsidRPr="00A55335">
          <w:rPr>
            <w:noProof/>
          </w:rPr>
          <w:t>32-34</w:t>
        </w:r>
      </w:hyperlink>
      <w:r w:rsidR="0049097E" w:rsidRPr="00A55335">
        <w:rPr>
          <w:noProof/>
        </w:rPr>
        <w:t>)</w:t>
      </w:r>
      <w:r w:rsidR="00743314" w:rsidRPr="00A55335">
        <w:fldChar w:fldCharType="end"/>
      </w:r>
      <w:r w:rsidR="00743314" w:rsidRPr="00A55335">
        <w:t xml:space="preserve">. </w:t>
      </w:r>
    </w:p>
    <w:p w14:paraId="483BCAA5" w14:textId="6369FAB4" w:rsidR="00743314" w:rsidRPr="00A55335" w:rsidRDefault="00743314" w:rsidP="00743314">
      <w:pPr>
        <w:pStyle w:val="BodyText"/>
      </w:pPr>
      <w:r w:rsidRPr="00A55335">
        <w:t xml:space="preserve">Studies exploring reasons why people in Australia use homeopathy are lacking, however individuals who typically seek out and use complementary medicines (CMs) are reported to be individuals who have a lower health-related quality of life due to chronic diseases or co-morbidities </w:t>
      </w:r>
      <w:r w:rsidRPr="00A55335">
        <w:fldChar w:fldCharType="begin">
          <w:fldData xml:space="preserve">PEVuZE5vdGU+PENpdGU+PEF1dGhvcj5SZWlkPC9BdXRob3I+PFllYXI+MjAxNjwvWWVhcj48UmVj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==
</w:fldData>
        </w:fldChar>
      </w:r>
      <w:r w:rsidR="006952AD">
        <w:instrText xml:space="preserve"> ADDIN EN.CITE </w:instrText>
      </w:r>
      <w:r w:rsidR="006952AD">
        <w:fldChar w:fldCharType="begin">
          <w:fldData xml:space="preserve">PEVuZE5vdGU+PENpdGU+PEF1dGhvcj5SZWlkPC9BdXRob3I+PFllYXI+MjAxNjwvWWVhcj48UmVj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==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6" w:tooltip="Reid, 2016 #12" w:history="1">
        <w:r w:rsidR="00EC2769" w:rsidRPr="00A55335">
          <w:rPr>
            <w:noProof/>
          </w:rPr>
          <w:t>6-8</w:t>
        </w:r>
      </w:hyperlink>
      <w:r w:rsidR="00FA37A6" w:rsidRPr="00A55335">
        <w:rPr>
          <w:noProof/>
        </w:rPr>
        <w:t>)</w:t>
      </w:r>
      <w:r w:rsidRPr="00A55335">
        <w:fldChar w:fldCharType="end"/>
      </w:r>
      <w:r w:rsidRPr="00A55335">
        <w:t xml:space="preserve">. CM product use in Australia is also reported to be higher among </w:t>
      </w:r>
      <w:r w:rsidR="004F45D1" w:rsidRPr="00A55335">
        <w:t>females</w:t>
      </w:r>
      <w:r w:rsidRPr="00A55335">
        <w:t xml:space="preserve">, in full-time employment, and with a higher level of education </w:t>
      </w:r>
      <w:r w:rsidRPr="00A55335">
        <w:fldChar w:fldCharType="begin">
          <w:fldData xml:space="preserve">PEVuZE5vdGU+PENpdGU+PEF1dGhvcj5SZWlkPC9BdXRob3I+PFllYXI+MjAxNjwvWWVhcj48UmVj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==
</w:fldData>
        </w:fldChar>
      </w:r>
      <w:r w:rsidR="006952AD">
        <w:instrText xml:space="preserve"> ADDIN EN.CITE </w:instrText>
      </w:r>
      <w:r w:rsidR="006952AD">
        <w:fldChar w:fldCharType="begin">
          <w:fldData xml:space="preserve">PEVuZE5vdGU+PENpdGU+PEF1dGhvcj5SZWlkPC9BdXRob3I+PFllYXI+MjAxNjwvWWVhcj48UmVj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==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6" w:tooltip="Reid, 2016 #12" w:history="1">
        <w:r w:rsidR="00EC2769" w:rsidRPr="00A55335">
          <w:rPr>
            <w:noProof/>
          </w:rPr>
          <w:t>6-8</w:t>
        </w:r>
      </w:hyperlink>
      <w:r w:rsidR="00FA37A6" w:rsidRPr="00A55335">
        <w:rPr>
          <w:noProof/>
        </w:rPr>
        <w:t>)</w:t>
      </w:r>
      <w:r w:rsidRPr="00A55335">
        <w:fldChar w:fldCharType="end"/>
      </w:r>
      <w:r w:rsidRPr="00A55335">
        <w:t xml:space="preserve">. A 2002 study that assessed changes in the usage patterns and expenditure of alternative therapies in Australia found there was no difference in use of homeopathy between 1993 and 2000 (4.4% vs 4.3%) and no difference between the proportion of Australians who had visited a homeopath (1.2% for both surveys) </w:t>
      </w:r>
      <w:r w:rsidRPr="00A55335">
        <w:fldChar w:fldCharType="begin">
          <w:fldData xml:space="preserve">PEVuZE5vdGU+PENpdGU+PEF1dGhvcj5NYWNMZW5uYW48L0F1dGhvcj48WWVhcj4yMDAyPC9ZZWFy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</w:fldData>
        </w:fldChar>
      </w:r>
      <w:r w:rsidR="006952AD">
        <w:instrText xml:space="preserve"> ADDIN EN.CITE </w:instrText>
      </w:r>
      <w:r w:rsidR="006952AD">
        <w:fldChar w:fldCharType="begin">
          <w:fldData xml:space="preserve">PEVuZE5vdGU+PENpdGU+PEF1dGhvcj5NYWNMZW5uYW48L0F1dGhvcj48WWVhcj4yMDAyPC9ZZWFy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</w:fldData>
        </w:fldChar>
      </w:r>
      <w:r w:rsidR="006952AD">
        <w:instrText xml:space="preserve"> ADDIN EN.CITE.DATA </w:instrText>
      </w:r>
      <w:r w:rsidR="006952AD">
        <w:fldChar w:fldCharType="end"/>
      </w:r>
      <w:r w:rsidRPr="00A55335">
        <w:fldChar w:fldCharType="separate"/>
      </w:r>
      <w:r w:rsidR="0049097E" w:rsidRPr="00A55335">
        <w:rPr>
          <w:noProof/>
        </w:rPr>
        <w:t>(</w:t>
      </w:r>
      <w:hyperlink w:anchor="_ENREF_35" w:tooltip="MacLennan, 2002 #16" w:history="1">
        <w:r w:rsidR="00EC2769" w:rsidRPr="00A55335">
          <w:rPr>
            <w:noProof/>
          </w:rPr>
          <w:t>35</w:t>
        </w:r>
      </w:hyperlink>
      <w:r w:rsidR="0049097E" w:rsidRPr="00A55335">
        <w:rPr>
          <w:noProof/>
        </w:rPr>
        <w:t xml:space="preserve">, </w:t>
      </w:r>
      <w:hyperlink w:anchor="_ENREF_36" w:tooltip="MacLennan, 1996 #17" w:history="1">
        <w:r w:rsidR="00EC2769" w:rsidRPr="00A55335">
          <w:rPr>
            <w:noProof/>
          </w:rPr>
          <w:t>36</w:t>
        </w:r>
      </w:hyperlink>
      <w:r w:rsidR="0049097E" w:rsidRPr="00A55335">
        <w:rPr>
          <w:noProof/>
        </w:rPr>
        <w:t>)</w:t>
      </w:r>
      <w:r w:rsidRPr="00A55335">
        <w:fldChar w:fldCharType="end"/>
      </w:r>
      <w:r w:rsidRPr="00A55335">
        <w:t xml:space="preserve">. More recent studies also suggest a continuing use of homeopathy in Australia </w:t>
      </w:r>
      <w:r w:rsidRPr="00A55335">
        <w:fldChar w:fldCharType="begin">
          <w:fldData xml:space="preserve">PEVuZE5vdGU+PENpdGU+PEF1dGhvcj5SZWlkPC9BdXRob3I+PFllYXI+MjAxNjwvWWVhcj48UmVj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==
</w:fldData>
        </w:fldChar>
      </w:r>
      <w:r w:rsidR="006952AD">
        <w:instrText xml:space="preserve"> ADDIN EN.CITE </w:instrText>
      </w:r>
      <w:r w:rsidR="006952AD">
        <w:fldChar w:fldCharType="begin">
          <w:fldData xml:space="preserve">PEVuZE5vdGU+PENpdGU+PEF1dGhvcj5SZWlkPC9BdXRob3I+PFllYXI+MjAxNjwvWWVhcj48UmVj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==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6" w:tooltip="Reid, 2016 #12" w:history="1">
        <w:r w:rsidR="00EC2769" w:rsidRPr="00A55335">
          <w:rPr>
            <w:noProof/>
          </w:rPr>
          <w:t>6-8</w:t>
        </w:r>
      </w:hyperlink>
      <w:r w:rsidR="00FA37A6" w:rsidRPr="00A55335">
        <w:rPr>
          <w:noProof/>
        </w:rPr>
        <w:t>)</w:t>
      </w:r>
      <w:r w:rsidRPr="00A55335">
        <w:fldChar w:fldCharType="end"/>
      </w:r>
      <w:r w:rsidRPr="00A55335">
        <w:t xml:space="preserve">. </w:t>
      </w:r>
    </w:p>
    <w:p w14:paraId="2FD31895" w14:textId="6283C465" w:rsidR="00743314" w:rsidRPr="00A55335" w:rsidRDefault="00743314" w:rsidP="00743314">
      <w:pPr>
        <w:pStyle w:val="BodyText"/>
      </w:pPr>
      <w:r w:rsidRPr="00A55335">
        <w:lastRenderedPageBreak/>
        <w:t xml:space="preserve">Published reports indicate homeopathy is used to treat or alleviate symptoms associated with a range of chronic conditions such as allergic rhinitis, asthma, depression, rheumatoid arthritis, and irritable bowel syndrome </w:t>
      </w:r>
      <w:r w:rsidRPr="00A55335">
        <w:fldChar w:fldCharType="begin">
          <w:fldData xml:space="preserve">PEVuZE5vdGU+PENpdGU+PEF1dGhvcj5RdXR1YnVkZGluPC9BdXRob3I+PFllYXI+MjAxOTwvWWVh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</w:fldData>
        </w:fldChar>
      </w:r>
      <w:r w:rsidR="006952AD">
        <w:instrText xml:space="preserve"> ADDIN EN.CITE </w:instrText>
      </w:r>
      <w:r w:rsidR="006952AD">
        <w:fldChar w:fldCharType="begin">
          <w:fldData xml:space="preserve">PEVuZE5vdGU+PENpdGU+PEF1dGhvcj5RdXR1YnVkZGluPC9BdXRob3I+PFllYXI+MjAxOTwvWWVh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9" w:tooltip="Qutubuddin, 2019 #18" w:history="1">
        <w:r w:rsidR="00EC2769" w:rsidRPr="00A55335">
          <w:rPr>
            <w:noProof/>
          </w:rPr>
          <w:t>9-13</w:t>
        </w:r>
      </w:hyperlink>
      <w:r w:rsidR="00FA37A6" w:rsidRPr="00A55335">
        <w:rPr>
          <w:noProof/>
        </w:rPr>
        <w:t>)</w:t>
      </w:r>
      <w:r w:rsidRPr="00A55335">
        <w:fldChar w:fldCharType="end"/>
      </w:r>
      <w:r w:rsidRPr="00A55335">
        <w:t xml:space="preserve">, often when established treatments are not satisfactory, or when individuals are seeking to improve overall well-being </w:t>
      </w:r>
      <w:r w:rsidRPr="00A55335">
        <w:fldChar w:fldCharType="begin">
          <w:fldData xml:space="preserve">PEVuZE5vdGU+PENpdGU+PEF1dGhvcj5Ub3BjdTwvQXV0aG9yPjxZZWFyPjIwMjA8L1llYXI+PFJl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</w:fldData>
        </w:fldChar>
      </w:r>
      <w:r w:rsidR="006952AD">
        <w:instrText xml:space="preserve"> ADDIN EN.CITE </w:instrText>
      </w:r>
      <w:r w:rsidR="006952AD">
        <w:fldChar w:fldCharType="begin">
          <w:fldData xml:space="preserve">PEVuZE5vdGU+PENpdGU+PEF1dGhvcj5Ub3BjdTwvQXV0aG9yPjxZZWFyPjIwMjA8L1llYXI+PFJl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14" w:tooltip="Topcu, 2020 #522" w:history="1">
        <w:r w:rsidR="00EC2769" w:rsidRPr="00A55335">
          <w:rPr>
            <w:noProof/>
          </w:rPr>
          <w:t>14</w:t>
        </w:r>
      </w:hyperlink>
      <w:r w:rsidR="00FA37A6" w:rsidRPr="00A55335">
        <w:rPr>
          <w:noProof/>
        </w:rPr>
        <w:t xml:space="preserve">, </w:t>
      </w:r>
      <w:hyperlink w:anchor="_ENREF_15" w:tooltip="Brien, 2012 #24" w:history="1">
        <w:r w:rsidR="00EC2769" w:rsidRPr="00A55335">
          <w:rPr>
            <w:noProof/>
          </w:rPr>
          <w:t>15</w:t>
        </w:r>
      </w:hyperlink>
      <w:r w:rsidR="00FA37A6" w:rsidRPr="00A55335">
        <w:rPr>
          <w:noProof/>
        </w:rPr>
        <w:t>)</w:t>
      </w:r>
      <w:r w:rsidRPr="00A55335">
        <w:fldChar w:fldCharType="end"/>
      </w:r>
      <w:r w:rsidRPr="00A55335">
        <w:t xml:space="preserve">. Homeopathic medicinal products are also often used to prevent or treat side effects associated with cancer </w:t>
      </w:r>
      <w:r w:rsidRPr="00A55335">
        <w:fldChar w:fldCharType="begin">
          <w:fldData xml:space="preserve">PEVuZE5vdGU+PENpdGU+PEF1dGhvcj5CYWdvdDwvQXV0aG9yPjxZZWFyPjIwMjE8L1llYXI+PFJl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</w:fldData>
        </w:fldChar>
      </w:r>
      <w:r w:rsidR="006952AD">
        <w:instrText xml:space="preserve"> ADDIN EN.CITE </w:instrText>
      </w:r>
      <w:r w:rsidR="006952AD">
        <w:fldChar w:fldCharType="begin">
          <w:fldData xml:space="preserve">PEVuZE5vdGU+PENpdGU+PEF1dGhvcj5CYWdvdDwvQXV0aG9yPjxZZWFyPjIwMjE8L1llYXI+PFJl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16" w:tooltip="Bagot, 2021 #25" w:history="1">
        <w:r w:rsidR="00EC2769" w:rsidRPr="00A55335">
          <w:rPr>
            <w:noProof/>
          </w:rPr>
          <w:t>16-18</w:t>
        </w:r>
      </w:hyperlink>
      <w:r w:rsidR="00FA37A6" w:rsidRPr="00A55335">
        <w:rPr>
          <w:noProof/>
        </w:rPr>
        <w:t>)</w:t>
      </w:r>
      <w:r w:rsidRPr="00A55335">
        <w:fldChar w:fldCharType="end"/>
      </w:r>
      <w:r w:rsidRPr="00A55335">
        <w:t xml:space="preserve">. In other cases, homeopathy is used by individuals seeking a more holistic lifestyle to treat infertility, or to prevent recurrent infections </w:t>
      </w:r>
      <w:r w:rsidRPr="00A55335">
        <w:fldChar w:fldCharType="begin">
          <w:fldData xml:space="preserve">PEVuZE5vdGU+PENpdGU+PEF1dGhvcj5TaGFyYWZpPC9BdXRob3I+PFllYXI+MjAxODwvWWVhcj48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</w:fldData>
        </w:fldChar>
      </w:r>
      <w:r w:rsidR="006952AD">
        <w:instrText xml:space="preserve"> ADDIN EN.CITE </w:instrText>
      </w:r>
      <w:r w:rsidR="006952AD">
        <w:fldChar w:fldCharType="begin">
          <w:fldData xml:space="preserve">PEVuZE5vdGU+PENpdGU+PEF1dGhvcj5TaGFyYWZpPC9BdXRob3I+PFllYXI+MjAxODwvWWVhcj48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19" w:tooltip="Sharafi, 2018 #28" w:history="1">
        <w:r w:rsidR="00EC2769" w:rsidRPr="00A55335">
          <w:rPr>
            <w:noProof/>
          </w:rPr>
          <w:t>19</w:t>
        </w:r>
      </w:hyperlink>
      <w:r w:rsidR="00FA37A6" w:rsidRPr="00A55335">
        <w:rPr>
          <w:noProof/>
        </w:rPr>
        <w:t xml:space="preserve">, </w:t>
      </w:r>
      <w:hyperlink w:anchor="_ENREF_20" w:tooltip="Rutten, 2019 #29" w:history="1">
        <w:r w:rsidR="00EC2769" w:rsidRPr="00A55335">
          <w:rPr>
            <w:noProof/>
          </w:rPr>
          <w:t>20</w:t>
        </w:r>
      </w:hyperlink>
      <w:r w:rsidR="00FA37A6" w:rsidRPr="00A55335">
        <w:rPr>
          <w:noProof/>
        </w:rPr>
        <w:t>)</w:t>
      </w:r>
      <w:r w:rsidRPr="00A55335">
        <w:fldChar w:fldCharType="end"/>
      </w:r>
      <w:r w:rsidRPr="00A55335">
        <w:t xml:space="preserve">. </w:t>
      </w:r>
    </w:p>
    <w:p w14:paraId="38D9E4FF" w14:textId="4717BAC0" w:rsidR="00743314" w:rsidRPr="00A55335" w:rsidRDefault="00743314" w:rsidP="00743314">
      <w:pPr>
        <w:pStyle w:val="BodyText"/>
      </w:pPr>
      <w:r w:rsidRPr="00A55335">
        <w:t xml:space="preserve">Given the breadth of the review and variety of potential populations and conditions for which homeopathy is used, a concise description of each condition addressed </w:t>
      </w:r>
      <w:r w:rsidR="006C6AC9" w:rsidRPr="00A55335">
        <w:t xml:space="preserve">in the review is </w:t>
      </w:r>
      <w:r w:rsidRPr="00A55335">
        <w:t xml:space="preserve">provided </w:t>
      </w:r>
      <w:r w:rsidR="006C6AC9" w:rsidRPr="00A55335">
        <w:t xml:space="preserve">before each results section (see </w:t>
      </w:r>
      <w:r w:rsidR="00D6295A" w:rsidRPr="00A55335">
        <w:fldChar w:fldCharType="begin"/>
      </w:r>
      <w:r w:rsidR="00D6295A" w:rsidRPr="00A55335">
        <w:instrText xml:space="preserve"> REF _Ref115870462 \h </w:instrText>
      </w:r>
      <w:r w:rsidR="00D6295A" w:rsidRPr="00A55335">
        <w:fldChar w:fldCharType="separate"/>
      </w:r>
      <w:r w:rsidR="00814B04" w:rsidRPr="00A55335">
        <w:t>Results</w:t>
      </w:r>
      <w:r w:rsidR="00D6295A" w:rsidRPr="00A55335">
        <w:fldChar w:fldCharType="end"/>
      </w:r>
      <w:r w:rsidR="00D6295A" w:rsidRPr="00A55335">
        <w:t>)</w:t>
      </w:r>
      <w:r w:rsidRPr="00A55335">
        <w:t xml:space="preserve">. </w:t>
      </w:r>
      <w:r w:rsidR="007654D3" w:rsidRPr="00A55335">
        <w:t>Appendix A</w:t>
      </w:r>
      <w:r w:rsidR="00424FD7" w:rsidRPr="00A55335">
        <w:t xml:space="preserve">6 </w:t>
      </w:r>
      <w:r w:rsidR="00BB3F2A" w:rsidRPr="00A55335">
        <w:t>provides information on</w:t>
      </w:r>
      <w:r w:rsidR="00424FD7" w:rsidRPr="00A55335">
        <w:t xml:space="preserve"> how populations were prioritised</w:t>
      </w:r>
      <w:r w:rsidR="00BB3F2A" w:rsidRPr="00A55335">
        <w:t xml:space="preserve"> for inclusion in the review</w:t>
      </w:r>
      <w:r w:rsidRPr="00A55335">
        <w:t xml:space="preserve">. </w:t>
      </w:r>
    </w:p>
    <w:p w14:paraId="0D36EFDA" w14:textId="47BE0200" w:rsidR="00DD505D" w:rsidRPr="00A55335" w:rsidRDefault="00DD505D" w:rsidP="00EB5232">
      <w:pPr>
        <w:pStyle w:val="BodyText"/>
      </w:pPr>
      <w:r w:rsidRPr="00A55335">
        <w:t>Homeopathy can be practised in a range of settings (e.g. primary, acute, palliative care)</w:t>
      </w:r>
      <w:r w:rsidR="008B7EFD" w:rsidRPr="00A55335">
        <w:t xml:space="preserve"> (see </w:t>
      </w:r>
      <w:r w:rsidR="00D947D9" w:rsidRPr="00A55335">
        <w:fldChar w:fldCharType="begin"/>
      </w:r>
      <w:r w:rsidR="00D947D9" w:rsidRPr="00A55335">
        <w:instrText xml:space="preserve"> REF _Ref42187683 \h </w:instrText>
      </w:r>
      <w:r w:rsidR="00D947D9" w:rsidRPr="00A55335">
        <w:fldChar w:fldCharType="separate"/>
      </w:r>
      <w:r w:rsidR="00814B04" w:rsidRPr="00A55335">
        <w:t>Description of the intervention</w:t>
      </w:r>
      <w:r w:rsidR="00D947D9" w:rsidRPr="00A55335">
        <w:fldChar w:fldCharType="end"/>
      </w:r>
      <w:r w:rsidR="00D947D9" w:rsidRPr="00A55335">
        <w:t>)</w:t>
      </w:r>
      <w:r w:rsidRPr="00A55335">
        <w:t xml:space="preserve"> and as such this review was not limited by </w:t>
      </w:r>
      <w:r w:rsidR="00CD1541" w:rsidRPr="00A55335">
        <w:t xml:space="preserve">type of </w:t>
      </w:r>
      <w:r w:rsidRPr="00A55335">
        <w:t xml:space="preserve">setting. </w:t>
      </w:r>
    </w:p>
    <w:p w14:paraId="791B8345" w14:textId="77777777" w:rsidR="00DD505D" w:rsidRPr="00A55335" w:rsidRDefault="00DD505D" w:rsidP="00C373A2">
      <w:pPr>
        <w:pStyle w:val="Heading2"/>
      </w:pPr>
      <w:bookmarkStart w:id="27" w:name="_Toc36058786"/>
      <w:bookmarkStart w:id="28" w:name="_Toc36116188"/>
      <w:bookmarkStart w:id="29" w:name="_Toc36058787"/>
      <w:bookmarkStart w:id="30" w:name="_Toc36116189"/>
      <w:bookmarkStart w:id="31" w:name="_Toc36058789"/>
      <w:bookmarkStart w:id="32" w:name="_Toc36116191"/>
      <w:bookmarkStart w:id="33" w:name="_Toc32841744"/>
      <w:bookmarkStart w:id="34" w:name="_Toc32915597"/>
      <w:bookmarkStart w:id="35" w:name="_Toc32915689"/>
      <w:bookmarkStart w:id="36" w:name="_Toc32915760"/>
      <w:bookmarkStart w:id="37" w:name="_Toc36058792"/>
      <w:bookmarkStart w:id="38" w:name="_Toc36116194"/>
      <w:bookmarkStart w:id="39" w:name="_Ref42187683"/>
      <w:bookmarkStart w:id="40" w:name="_Ref42187688"/>
      <w:bookmarkStart w:id="41" w:name="_Toc183441291"/>
      <w:bookmarkStart w:id="42" w:name="_Hlk42165622"/>
      <w:bookmarkEnd w:id="27"/>
      <w:bookmarkEnd w:id="28"/>
      <w:bookmarkEnd w:id="29"/>
      <w:bookmarkEnd w:id="30"/>
      <w:bookmarkEnd w:id="31"/>
      <w:bookmarkEnd w:id="32"/>
      <w:bookmarkEnd w:id="33"/>
      <w:bookmarkEnd w:id="34"/>
      <w:bookmarkEnd w:id="35"/>
      <w:bookmarkEnd w:id="36"/>
      <w:bookmarkEnd w:id="37"/>
      <w:bookmarkEnd w:id="38"/>
      <w:r w:rsidRPr="00A55335">
        <w:t>Description of the intervention</w:t>
      </w:r>
      <w:bookmarkEnd w:id="39"/>
      <w:bookmarkEnd w:id="40"/>
      <w:bookmarkEnd w:id="41"/>
    </w:p>
    <w:p w14:paraId="2E16B417" w14:textId="26CB4C43" w:rsidR="00C00797" w:rsidRPr="00A55335" w:rsidRDefault="00DD505D" w:rsidP="00C00797">
      <w:pPr>
        <w:pStyle w:val="BodyText"/>
      </w:pPr>
      <w:r w:rsidRPr="00A55335">
        <w:t xml:space="preserve">Homeopathy is an alternative medical system that was first developed approximately 200 years ago by the German pharmacist Samuel </w:t>
      </w:r>
      <w:r w:rsidR="00C00797" w:rsidRPr="00A55335">
        <w:t xml:space="preserve">Hahnemann </w:t>
      </w:r>
      <w:r w:rsidR="00C00797" w:rsidRPr="00A55335">
        <w:fldChar w:fldCharType="begin"/>
      </w:r>
      <w:r w:rsidR="006952AD">
        <w:instrText xml:space="preserve"> ADDIN EN.CITE &lt;EndNote&gt;&lt;Cite&gt;&lt;Author&gt;Hahnemann&lt;/Author&gt;&lt;Year&gt;1796&lt;/Year&gt;&lt;RecNum&gt;30&lt;/RecNum&gt;&lt;DisplayText&gt;(37)&lt;/DisplayText&gt;&lt;record&gt;&lt;rec-number&gt;30&lt;/rec-number&gt;&lt;foreign-keys&gt;&lt;key app="EN" db-id="t5prptatr9sp0we5exbxt9zz20fwp55tdza9" timestamp="1643145626"&gt;30&lt;/key&gt;&lt;/foreign-keys&gt;&lt;ref-type name="Journal Article"&gt;17&lt;/ref-type&gt;&lt;contributors&gt;&lt;authors&gt;&lt;author&gt;Hahnemann, S.&lt;/author&gt;&lt;/authors&gt;&lt;/contributors&gt;&lt;titles&gt;&lt;title&gt;Versuch über einen neues Prinzip zurAuffindung der Heilkräfte der Arzneisubstanzen, nebsteinigen Blicken auf die bisherigen (“Essay on a new prin-ciple for ascertaining the curative powers of drugs, to-gether with perspectives on the existing principles”).&lt;/title&gt;&lt;secondary-title&gt;C.W.Hufelands Journal der practischen Arzneykunde und derWundarzneykunst. &lt;/secondary-title&gt;&lt;/titles&gt;&lt;pages&gt;391–439&amp;amp;465–561&lt;/pages&gt;&lt;volume&gt;2&lt;/volume&gt;&lt;dates&gt;&lt;year&gt;1796&lt;/year&gt;&lt;/dates&gt;&lt;urls&gt;&lt;/urls&gt;&lt;research-notes&gt; Homeopathy&lt;/research-notes&gt;&lt;/record&gt;&lt;/Cite&gt;&lt;/EndNote&gt;</w:instrText>
      </w:r>
      <w:r w:rsidR="00C00797" w:rsidRPr="00A55335">
        <w:fldChar w:fldCharType="separate"/>
      </w:r>
      <w:r w:rsidR="0049097E" w:rsidRPr="00A55335">
        <w:rPr>
          <w:noProof/>
        </w:rPr>
        <w:t>(</w:t>
      </w:r>
      <w:hyperlink w:anchor="_ENREF_37" w:tooltip="Hahnemann, 1796 #30" w:history="1">
        <w:r w:rsidR="00EC2769" w:rsidRPr="00A55335">
          <w:rPr>
            <w:noProof/>
          </w:rPr>
          <w:t>37</w:t>
        </w:r>
      </w:hyperlink>
      <w:r w:rsidR="0049097E" w:rsidRPr="00A55335">
        <w:rPr>
          <w:noProof/>
        </w:rPr>
        <w:t>)</w:t>
      </w:r>
      <w:r w:rsidR="00C00797" w:rsidRPr="00A55335">
        <w:fldChar w:fldCharType="end"/>
      </w:r>
      <w:r w:rsidR="00C00797" w:rsidRPr="00A55335">
        <w:t xml:space="preserve">. It is based on the premise “treat likes by likes”, that is, if a substance causes similar symptoms in a healthy person that same substance in a </w:t>
      </w:r>
      <w:r w:rsidR="000A51DB" w:rsidRPr="00A55335">
        <w:t xml:space="preserve">highly diluted dose </w:t>
      </w:r>
      <w:r w:rsidR="00C00797" w:rsidRPr="00A55335">
        <w:t xml:space="preserve">can treat a disease with similar symptoms </w:t>
      </w:r>
      <w:r w:rsidR="00C00797" w:rsidRPr="00A55335">
        <w:fldChar w:fldCharType="begin"/>
      </w:r>
      <w:r w:rsidR="006952AD">
        <w:instrText xml:space="preserve"> ADDIN EN.CITE &lt;EndNote&gt;&lt;Cite&gt;&lt;Author&gt;Walach&lt;/Author&gt;&lt;Year&gt;2005&lt;/Year&gt;&lt;RecNum&gt;31&lt;/RecNum&gt;&lt;DisplayText&gt;(21)&lt;/DisplayText&gt;&lt;record&gt;&lt;rec-number&gt;31&lt;/rec-number&gt;&lt;foreign-keys&gt;&lt;key app="EN" db-id="t5prptatr9sp0we5exbxt9zz20fwp55tdza9" timestamp="1643145627"&gt;31&lt;/key&gt;&lt;/foreign-keys&gt;&lt;ref-type name="Journal Article"&gt;17&lt;/ref-type&gt;&lt;contributors&gt;&lt;authors&gt;&lt;author&gt;Walach, H.&lt;/author&gt;&lt;author&gt;Jonas, W. B.&lt;/author&gt;&lt;author&gt;Ives, J.&lt;/author&gt;&lt;author&gt;van Wijk, R.&lt;/author&gt;&lt;author&gt;Weingartner, O.&lt;/author&gt;&lt;/authors&gt;&lt;/contributors&gt;&lt;auth-address&gt;University College Northampton, School of Social Sciences, UK. harald.walach@northampton.ac.uk&lt;/auth-address&gt;&lt;titles&gt;&lt;title&gt;Research on homeopathy: state of the art&lt;/title&gt;&lt;secondary-title&gt;J Altern Complement Med&lt;/secondary-title&gt;&lt;/titles&gt;&lt;periodical&gt;&lt;full-title&gt;J Altern Complement Med&lt;/full-title&gt;&lt;/periodical&gt;&lt;pages&gt;813-29&lt;/pages&gt;&lt;volume&gt;11&lt;/volume&gt;&lt;number&gt;5&lt;/number&gt;&lt;edition&gt;2005/11/22&lt;/edition&gt;&lt;keywords&gt;&lt;keyword&gt;Biomedical Research/*methods/standards&lt;/keyword&gt;&lt;keyword&gt;Evidence-Based Medicine/standards&lt;/keyword&gt;&lt;keyword&gt;Homeopathy/*methods/standards&lt;/keyword&gt;&lt;keyword&gt;Humans&lt;/keyword&gt;&lt;keyword&gt;Meta-Analysis as Topic&lt;/keyword&gt;&lt;keyword&gt;Models, Theoretical&lt;/keyword&gt;&lt;keyword&gt;Randomized Controlled Trials as Topic/methods&lt;/keyword&gt;&lt;keyword&gt;*Research Design&lt;/keyword&gt;&lt;/keywords&gt;&lt;dates&gt;&lt;year&gt;2005&lt;/year&gt;&lt;pub-dates&gt;&lt;date&gt;Oct&lt;/date&gt;&lt;/pub-dates&gt;&lt;/dates&gt;&lt;isbn&gt;1075-5535 (Print)&amp;#xD;1075-5535 (Linking)&lt;/isbn&gt;&lt;accession-num&gt;16296915&lt;/accession-num&gt;&lt;urls&gt;&lt;related-urls&gt;&lt;url&gt;https://www.ncbi.nlm.nih.gov/pubmed/16296915&lt;/url&gt;&lt;/related-urls&gt;&lt;/urls&gt;&lt;electronic-resource-num&gt;10.1089/acm.2005.11.813&lt;/electronic-resource-num&gt;&lt;remote-database-name&gt;Medline&lt;/remote-database-name&gt;&lt;remote-database-provider&gt;NLM&lt;/remote-database-provider&gt;&lt;/record&gt;&lt;/Cite&gt;&lt;/EndNote&gt;</w:instrText>
      </w:r>
      <w:r w:rsidR="00C00797" w:rsidRPr="00A55335">
        <w:fldChar w:fldCharType="separate"/>
      </w:r>
      <w:r w:rsidR="0049097E" w:rsidRPr="00A55335">
        <w:rPr>
          <w:noProof/>
        </w:rPr>
        <w:t>(</w:t>
      </w:r>
      <w:hyperlink w:anchor="_ENREF_21" w:tooltip="Walach, 2005 #31" w:history="1">
        <w:r w:rsidR="00EC2769" w:rsidRPr="00A55335">
          <w:rPr>
            <w:noProof/>
          </w:rPr>
          <w:t>21</w:t>
        </w:r>
      </w:hyperlink>
      <w:r w:rsidR="0049097E" w:rsidRPr="00A55335">
        <w:rPr>
          <w:noProof/>
        </w:rPr>
        <w:t>)</w:t>
      </w:r>
      <w:r w:rsidR="00C00797" w:rsidRPr="00A55335">
        <w:fldChar w:fldCharType="end"/>
      </w:r>
      <w:r w:rsidR="00C00797" w:rsidRPr="00A55335">
        <w:t xml:space="preserve">. The homeopathic system of treatment allocation and the recognition of clinical patterns of signs and symptoms differ from those of conventional medicine </w:t>
      </w:r>
      <w:r w:rsidR="00C00797" w:rsidRPr="00A55335">
        <w:fldChar w:fldCharType="begin"/>
      </w:r>
      <w:r w:rsidR="006952AD">
        <w:instrText xml:space="preserve"> ADDIN EN.CITE &lt;EndNote&gt;&lt;Cite&gt;&lt;Author&gt;National Center for Complementary and Integrative Health&lt;/Author&gt;&lt;Year&gt;2021&lt;/Year&gt;&lt;RecNum&gt;32&lt;/RecNum&gt;&lt;DisplayText&gt;(38)&lt;/DisplayText&gt;&lt;record&gt;&lt;rec-number&gt;32&lt;/rec-number&gt;&lt;foreign-keys&gt;&lt;key app="EN" db-id="t5prptatr9sp0we5exbxt9zz20fwp55tdza9" timestamp="1643145629"&gt;32&lt;/key&gt;&lt;/foreign-keys&gt;&lt;ref-type name="Government Document"&gt;46&lt;/ref-type&gt;&lt;contributors&gt;&lt;authors&gt;&lt;author&gt;National Center for Complementary and Integrative Health,&lt;/author&gt;&lt;/authors&gt;&lt;/contributors&gt;&lt;titles&gt;&lt;title&gt;Homeopathy: What you need to know&lt;/title&gt;&lt;/titles&gt;&lt;dates&gt;&lt;year&gt;2021&lt;/year&gt;&lt;/dates&gt;&lt;pub-location&gt;https://www.nccih.nih.gov/health/homeopathy#hedl&lt;/pub-location&gt;&lt;publisher&gt;U.S. Department of Health and Human Services&lt;/publisher&gt;&lt;urls&gt;&lt;/urls&gt;&lt;research-notes&gt; Homeopathy&lt;/research-notes&gt;&lt;/record&gt;&lt;/Cite&gt;&lt;/EndNote&gt;</w:instrText>
      </w:r>
      <w:r w:rsidR="00C00797" w:rsidRPr="00A55335">
        <w:fldChar w:fldCharType="separate"/>
      </w:r>
      <w:r w:rsidR="00FA37A6" w:rsidRPr="00A55335">
        <w:rPr>
          <w:noProof/>
        </w:rPr>
        <w:t>(</w:t>
      </w:r>
      <w:hyperlink w:anchor="_ENREF_38" w:tooltip="National Center for Complementary and Integrative Health, 2021 #32" w:history="1">
        <w:r w:rsidR="00EC2769" w:rsidRPr="00A55335">
          <w:rPr>
            <w:noProof/>
          </w:rPr>
          <w:t>38</w:t>
        </w:r>
      </w:hyperlink>
      <w:r w:rsidR="00FA37A6" w:rsidRPr="00A55335">
        <w:rPr>
          <w:noProof/>
        </w:rPr>
        <w:t>)</w:t>
      </w:r>
      <w:r w:rsidR="00C00797" w:rsidRPr="00A55335">
        <w:fldChar w:fldCharType="end"/>
      </w:r>
      <w:r w:rsidR="00C00797" w:rsidRPr="00A55335">
        <w:t>.</w:t>
      </w:r>
    </w:p>
    <w:p w14:paraId="3807A315" w14:textId="161D173C" w:rsidR="00C00797" w:rsidRPr="00A55335" w:rsidRDefault="00C00797" w:rsidP="00C00797">
      <w:pPr>
        <w:pStyle w:val="BodyText"/>
      </w:pPr>
      <w:r w:rsidRPr="00A55335">
        <w:t xml:space="preserve">Patients seeking homeopathic treatment are likely to encounter various approaches depending on their homeopathy practitioner’s philosophy and training </w:t>
      </w:r>
      <w:r w:rsidRPr="00A55335">
        <w:fldChar w:fldCharType="begin"/>
      </w:r>
      <w:r w:rsidR="006952AD">
        <w:instrText xml:space="preserve"> ADDIN EN.CITE &lt;EndNote&gt;&lt;Cite&gt;&lt;Author&gt;Jonas&lt;/Author&gt;&lt;Year&gt;2003&lt;/Year&gt;&lt;RecNum&gt;33&lt;/RecNum&gt;&lt;DisplayText&gt;(39)&lt;/DisplayText&gt;&lt;record&gt;&lt;rec-number&gt;33&lt;/rec-number&gt;&lt;foreign-keys&gt;&lt;key app="EN" db-id="t5prptatr9sp0we5exbxt9zz20fwp55tdza9" timestamp="1643145630"&gt;33&lt;/key&gt;&lt;/foreign-keys&gt;&lt;ref-type name="Journal Article"&gt;17&lt;/ref-type&gt;&lt;contributors&gt;&lt;authors&gt;&lt;author&gt;Jonas, W. B.&lt;/author&gt;&lt;author&gt;Kaptchuk, T. J.&lt;/author&gt;&lt;author&gt;Linde, K.&lt;/author&gt;&lt;/authors&gt;&lt;/contributors&gt;&lt;auth-address&gt;Samueli Institute for Information Biology, 121 South Saint Asaph Street, Suite 200, Alexandria, VA 22314, USA. wjonas@siib.org&lt;/auth-address&gt;&lt;titles&gt;&lt;title&gt;A critical overview of homeopathy&lt;/title&gt;&lt;secondary-title&gt;Ann Intern Med&lt;/secondary-title&gt;&lt;/titles&gt;&lt;periodical&gt;&lt;full-title&gt;Ann Intern Med&lt;/full-title&gt;&lt;/periodical&gt;&lt;pages&gt;393-9&lt;/pages&gt;&lt;volume&gt;138&lt;/volume&gt;&lt;number&gt;5&lt;/number&gt;&lt;edition&gt;2003/03/05&lt;/edition&gt;&lt;keywords&gt;&lt;keyword&gt;Controlled Clinical Trials as Topic&lt;/keyword&gt;&lt;keyword&gt;Drug Labeling/legislation &amp;amp; jurisprudence&lt;/keyword&gt;&lt;keyword&gt;History, 18th Century&lt;/keyword&gt;&lt;keyword&gt;*Homeopathy/history/legislation &amp;amp; jurisprudence/standards&lt;/keyword&gt;&lt;keyword&gt;Humans&lt;/keyword&gt;&lt;keyword&gt;Placebo Effect&lt;/keyword&gt;&lt;keyword&gt;Practice Patterns, Physicians&amp;apos;&lt;/keyword&gt;&lt;keyword&gt;United States&lt;/keyword&gt;&lt;keyword&gt;United States Food and Drug Administration&lt;/keyword&gt;&lt;/keywords&gt;&lt;dates&gt;&lt;year&gt;2003&lt;/year&gt;&lt;pub-dates&gt;&lt;date&gt;Mar 4&lt;/date&gt;&lt;/pub-dates&gt;&lt;/dates&gt;&lt;isbn&gt;1539-3704 (Electronic)&amp;#xD;0003-4819 (Linking)&lt;/isbn&gt;&lt;accession-num&gt;12614092&lt;/accession-num&gt;&lt;urls&gt;&lt;related-urls&gt;&lt;url&gt;https://www.ncbi.nlm.nih.gov/pubmed/12614092&lt;/url&gt;&lt;/related-urls&gt;&lt;/urls&gt;&lt;electronic-resource-num&gt;10.7326/0003-4819-138-5-200303040-00009&lt;/electronic-resource-num&gt;&lt;remote-database-name&gt;Medline&lt;/remote-database-name&gt;&lt;remote-database-provider&gt;NLM&lt;/remote-database-provider&gt;&lt;research-notes&gt; Homeopathy&lt;/research-notes&gt;&lt;language&gt;eng&lt;/language&gt;&lt;/record&gt;&lt;/Cite&gt;&lt;/EndNote&gt;</w:instrText>
      </w:r>
      <w:r w:rsidRPr="00A55335">
        <w:fldChar w:fldCharType="separate"/>
      </w:r>
      <w:r w:rsidR="00FA37A6" w:rsidRPr="00A55335">
        <w:rPr>
          <w:noProof/>
        </w:rPr>
        <w:t>(</w:t>
      </w:r>
      <w:hyperlink w:anchor="_ENREF_39" w:tooltip="Jonas, 2003 #33" w:history="1">
        <w:r w:rsidR="00EC2769" w:rsidRPr="00A55335">
          <w:rPr>
            <w:noProof/>
          </w:rPr>
          <w:t>39</w:t>
        </w:r>
      </w:hyperlink>
      <w:r w:rsidR="00FA37A6" w:rsidRPr="00A55335">
        <w:rPr>
          <w:noProof/>
        </w:rPr>
        <w:t>)</w:t>
      </w:r>
      <w:r w:rsidRPr="00A55335">
        <w:fldChar w:fldCharType="end"/>
      </w:r>
      <w:r w:rsidRPr="00A55335">
        <w:t xml:space="preserve">. Homeopathy can be broadly categorised into two main types: individualised and non-individualised. </w:t>
      </w:r>
    </w:p>
    <w:p w14:paraId="18083678" w14:textId="248CC519" w:rsidR="00C00797" w:rsidRPr="00A55335" w:rsidRDefault="00C00797" w:rsidP="00C00797">
      <w:pPr>
        <w:pStyle w:val="BodyText"/>
      </w:pPr>
      <w:r w:rsidRPr="00A55335">
        <w:t>In individualised homeopathy</w:t>
      </w:r>
      <w:r w:rsidR="00362B48" w:rsidRPr="00A55335">
        <w:t>,</w:t>
      </w:r>
      <w:r w:rsidRPr="00A55335">
        <w:t xml:space="preserve"> patients are treated based on the totality of symptoms, with the most common form, known as ‘Classical Homeopathy’ involving the prescription of a single medicinal product, based on the holistic assessment of mental, emotional and/or physical symptoms </w:t>
      </w:r>
      <w:r w:rsidRPr="00A55335">
        <w:fldChar w:fldCharType="begin"/>
      </w:r>
      <w:r w:rsidR="006952AD">
        <w:instrText xml:space="preserve"> ADDIN EN.CITE &lt;EndNote&gt;&lt;Cite&gt;&lt;Author&gt;Jonas&lt;/Author&gt;&lt;Year&gt;2003&lt;/Year&gt;&lt;RecNum&gt;33&lt;/RecNum&gt;&lt;DisplayText&gt;(39)&lt;/DisplayText&gt;&lt;record&gt;&lt;rec-number&gt;33&lt;/rec-number&gt;&lt;foreign-keys&gt;&lt;key app="EN" db-id="t5prptatr9sp0we5exbxt9zz20fwp55tdza9" timestamp="1643145630"&gt;33&lt;/key&gt;&lt;/foreign-keys&gt;&lt;ref-type name="Journal Article"&gt;17&lt;/ref-type&gt;&lt;contributors&gt;&lt;authors&gt;&lt;author&gt;Jonas, W. B.&lt;/author&gt;&lt;author&gt;Kaptchuk, T. J.&lt;/author&gt;&lt;author&gt;Linde, K.&lt;/author&gt;&lt;/authors&gt;&lt;/contributors&gt;&lt;auth-address&gt;Samueli Institute for Information Biology, 121 South Saint Asaph Street, Suite 200, Alexandria, VA 22314, USA. wjonas@siib.org&lt;/auth-address&gt;&lt;titles&gt;&lt;title&gt;A critical overview of homeopathy&lt;/title&gt;&lt;secondary-title&gt;Ann Intern Med&lt;/secondary-title&gt;&lt;/titles&gt;&lt;periodical&gt;&lt;full-title&gt;Ann Intern Med&lt;/full-title&gt;&lt;/periodical&gt;&lt;pages&gt;393-9&lt;/pages&gt;&lt;volume&gt;138&lt;/volume&gt;&lt;number&gt;5&lt;/number&gt;&lt;edition&gt;2003/03/05&lt;/edition&gt;&lt;keywords&gt;&lt;keyword&gt;Controlled Clinical Trials as Topic&lt;/keyword&gt;&lt;keyword&gt;Drug Labeling/legislation &amp;amp; jurisprudence&lt;/keyword&gt;&lt;keyword&gt;History, 18th Century&lt;/keyword&gt;&lt;keyword&gt;*Homeopathy/history/legislation &amp;amp; jurisprudence/standards&lt;/keyword&gt;&lt;keyword&gt;Humans&lt;/keyword&gt;&lt;keyword&gt;Placebo Effect&lt;/keyword&gt;&lt;keyword&gt;Practice Patterns, Physicians&amp;apos;&lt;/keyword&gt;&lt;keyword&gt;United States&lt;/keyword&gt;&lt;keyword&gt;United States Food and Drug Administration&lt;/keyword&gt;&lt;/keywords&gt;&lt;dates&gt;&lt;year&gt;2003&lt;/year&gt;&lt;pub-dates&gt;&lt;date&gt;Mar 4&lt;/date&gt;&lt;/pub-dates&gt;&lt;/dates&gt;&lt;isbn&gt;1539-3704 (Electronic)&amp;#xD;0003-4819 (Linking)&lt;/isbn&gt;&lt;accession-num&gt;12614092&lt;/accession-num&gt;&lt;urls&gt;&lt;related-urls&gt;&lt;url&gt;https://www.ncbi.nlm.nih.gov/pubmed/12614092&lt;/url&gt;&lt;/related-urls&gt;&lt;/urls&gt;&lt;electronic-resource-num&gt;10.7326/0003-4819-138-5-200303040-00009&lt;/electronic-resource-num&gt;&lt;remote-database-name&gt;Medline&lt;/remote-database-name&gt;&lt;remote-database-provider&gt;NLM&lt;/remote-database-provider&gt;&lt;research-notes&gt; Homeopathy&lt;/research-notes&gt;&lt;language&gt;eng&lt;/language&gt;&lt;/record&gt;&lt;/Cite&gt;&lt;/EndNote&gt;</w:instrText>
      </w:r>
      <w:r w:rsidRPr="00A55335">
        <w:fldChar w:fldCharType="separate"/>
      </w:r>
      <w:r w:rsidR="00FA37A6" w:rsidRPr="00A55335">
        <w:rPr>
          <w:noProof/>
        </w:rPr>
        <w:t>(</w:t>
      </w:r>
      <w:hyperlink w:anchor="_ENREF_39" w:tooltip="Jonas, 2003 #33" w:history="1">
        <w:r w:rsidR="00EC2769" w:rsidRPr="00A55335">
          <w:rPr>
            <w:noProof/>
          </w:rPr>
          <w:t>39</w:t>
        </w:r>
      </w:hyperlink>
      <w:r w:rsidR="00FA37A6" w:rsidRPr="00A55335">
        <w:rPr>
          <w:noProof/>
        </w:rPr>
        <w:t>)</w:t>
      </w:r>
      <w:r w:rsidRPr="00A55335">
        <w:fldChar w:fldCharType="end"/>
      </w:r>
      <w:r w:rsidRPr="00A55335">
        <w:t xml:space="preserve">. Following a detailed consultation, medicinal products are prescribed by a trained practitioner, matching a patient’s symptoms with symptoms produced by these medicinal products in healthy individuals </w:t>
      </w:r>
      <w:r w:rsidRPr="00A55335">
        <w:fldChar w:fldCharType="begin"/>
      </w:r>
      <w:r w:rsidR="006952AD">
        <w:instrText xml:space="preserve"> ADDIN EN.CITE &lt;EndNote&gt;&lt;Cite&gt;&lt;Author&gt;Linde&lt;/Author&gt;&lt;Year&gt;1997&lt;/Year&gt;&lt;RecNum&gt;34&lt;/RecNum&gt;&lt;DisplayText&gt;(23)&lt;/DisplayText&gt;&lt;record&gt;&lt;rec-number&gt;34&lt;/rec-number&gt;&lt;foreign-keys&gt;&lt;key app="EN" db-id="t5prptatr9sp0we5exbxt9zz20fwp55tdza9" timestamp="1643145632"&gt;34&lt;/key&gt;&lt;/foreign-keys&gt;&lt;ref-type name="Journal Article"&gt;17&lt;/ref-type&gt;&lt;contributors&gt;&lt;authors&gt;&lt;author&gt;Linde, K.&lt;/author&gt;&lt;author&gt;Clausius, N.&lt;/author&gt;&lt;author&gt;Ramirez, G.&lt;/author&gt;&lt;author&gt;Melchart, D.&lt;/author&gt;&lt;author&gt;Eitel, F.&lt;/author&gt;&lt;author&gt;Hedges, L. V.&lt;/author&gt;&lt;author&gt;Jonas, W. B.&lt;/author&gt;&lt;/authors&gt;&lt;/contributors&gt;&lt;auth-address&gt;Munchener Modell, Centre for Complementary Medicine Research, Technische Universitat/Ludwig-Maximillans-Universitat, Munchen, Germany.&lt;/auth-address&gt;&lt;titles&gt;&lt;title&gt;Are the clinical effects of homeopathy placebo effects? A meta-analysis of placebo-controlled trials&lt;/title&gt;&lt;secondary-title&gt;Lancet&lt;/secondary-title&gt;&lt;/titles&gt;&lt;periodical&gt;&lt;full-title&gt;Lancet&lt;/full-title&gt;&lt;/periodical&gt;&lt;pages&gt;834-43&lt;/pages&gt;&lt;volume&gt;350&lt;/volume&gt;&lt;number&gt;9081&lt;/number&gt;&lt;edition&gt;1997/10/06&lt;/edition&gt;&lt;keywords&gt;&lt;keyword&gt;Double-Blind Method&lt;/keyword&gt;&lt;keyword&gt;*Homeopathy&lt;/keyword&gt;&lt;keyword&gt;Humans&lt;/keyword&gt;&lt;keyword&gt;Odds Ratio&lt;/keyword&gt;&lt;keyword&gt;*Placebo Effect&lt;/keyword&gt;&lt;keyword&gt;Publication Bias&lt;/keyword&gt;&lt;keyword&gt;Randomized Controlled Trials as Topic/standards/statistics &amp;amp; numerical data&lt;/keyword&gt;&lt;keyword&gt;Reproducibility of Results&lt;/keyword&gt;&lt;keyword&gt;Research Design&lt;/keyword&gt;&lt;/keywords&gt;&lt;dates&gt;&lt;year&gt;1997&lt;/year&gt;&lt;pub-dates&gt;&lt;date&gt;Sep 20&lt;/date&gt;&lt;/pub-dates&gt;&lt;/dates&gt;&lt;isbn&gt;0140-6736 (Print)&amp;#xD;0140-6736 (Linking)&lt;/isbn&gt;&lt;accession-num&gt;9310601&lt;/accession-num&gt;&lt;urls&gt;&lt;related-urls&gt;&lt;url&gt;https://www.ncbi.nlm.nih.gov/pubmed/9310601&lt;/url&gt;&lt;/related-urls&gt;&lt;/urls&gt;&lt;electronic-resource-num&gt;10.1016/s0140-6736(97)02293-9&lt;/electronic-resource-num&gt;&lt;remote-database-name&gt;Medline&lt;/remote-database-name&gt;&lt;remote-database-provider&gt;NLM&lt;/remote-database-provider&gt;&lt;research-notes&gt; PubMed SRs and MAs Homeopathy&lt;/research-notes&gt;&lt;language&gt;eng&lt;/language&gt;&lt;/record&gt;&lt;/Cite&gt;&lt;/EndNote&gt;</w:instrText>
      </w:r>
      <w:r w:rsidRPr="00A55335">
        <w:fldChar w:fldCharType="separate"/>
      </w:r>
      <w:r w:rsidR="0049097E" w:rsidRPr="00A55335">
        <w:rPr>
          <w:noProof/>
        </w:rPr>
        <w:t>(</w:t>
      </w:r>
      <w:hyperlink w:anchor="_ENREF_23" w:tooltip="Linde, 1997 #34" w:history="1">
        <w:r w:rsidR="00EC2769" w:rsidRPr="00A55335">
          <w:rPr>
            <w:noProof/>
          </w:rPr>
          <w:t>23</w:t>
        </w:r>
      </w:hyperlink>
      <w:r w:rsidR="0049097E" w:rsidRPr="00A55335">
        <w:rPr>
          <w:noProof/>
        </w:rPr>
        <w:t>)</w:t>
      </w:r>
      <w:r w:rsidRPr="00A55335">
        <w:fldChar w:fldCharType="end"/>
      </w:r>
      <w:r w:rsidRPr="00A55335">
        <w:t xml:space="preserve">. </w:t>
      </w:r>
    </w:p>
    <w:p w14:paraId="0E1E6B45" w14:textId="4A3E5AF7" w:rsidR="00C00797" w:rsidRPr="00A55335" w:rsidRDefault="00C00797" w:rsidP="00C00797">
      <w:pPr>
        <w:pStyle w:val="BodyText"/>
      </w:pPr>
      <w:r w:rsidRPr="00A55335">
        <w:t xml:space="preserve">In non-individualised (or ‘fixed’) homeopathy, a specific homeopathic medicinal product is employed (with or without a consultation) for a specific condition, such that the same homeopathic medicinal product can be given to all patients with the same condition </w:t>
      </w:r>
      <w:r w:rsidRPr="00A55335">
        <w:fldChar w:fldCharType="begin"/>
      </w:r>
      <w:r w:rsidR="006952AD">
        <w:instrText xml:space="preserve"> ADDIN EN.CITE &lt;EndNote&gt;&lt;Cite&gt;&lt;Author&gt;O&amp;apos;Meara&lt;/Author&gt;&lt;Year&gt;2002&lt;/Year&gt;&lt;RecNum&gt;35&lt;/RecNum&gt;&lt;DisplayText&gt;(22)&lt;/DisplayText&gt;&lt;record&gt;&lt;rec-number&gt;35&lt;/rec-number&gt;&lt;foreign-keys&gt;&lt;key app="EN" db-id="t5prptatr9sp0we5exbxt9zz20fwp55tdza9" timestamp="1643145633"&gt;35&lt;/key&gt;&lt;/foreign-keys&gt;&lt;ref-type name="Journal Article"&gt;17&lt;/ref-type&gt;&lt;contributors&gt;&lt;authors&gt;&lt;author&gt;O&amp;apos;Meara, S.&lt;/author&gt;&lt;author&gt;Wilson, P.&lt;/author&gt;&lt;author&gt;Bridle, C.&lt;/author&gt;&lt;author&gt;Wright, K.&lt;/author&gt;&lt;author&gt;Kleijnen, J.&lt;/author&gt;&lt;/authors&gt;&lt;/contributors&gt;&lt;auth-address&gt;NHS Centre for Reviews &amp;amp; Dissemination, University of York, York YO10 5DD, UK. smo4@york.ac.uk&lt;/auth-address&gt;&lt;titles&gt;&lt;title&gt;Homoeopathy&lt;/title&gt;&lt;secondary-title&gt;Qual Saf Health Care&lt;/secondary-title&gt;&lt;/titles&gt;&lt;periodical&gt;&lt;full-title&gt;Qual Saf Health Care&lt;/full-title&gt;&lt;/periodical&gt;&lt;pages&gt;189-94&lt;/pages&gt;&lt;volume&gt;11&lt;/volume&gt;&lt;number&gt;2&lt;/number&gt;&lt;edition&gt;2002/11/27&lt;/edition&gt;&lt;keywords&gt;&lt;keyword&gt;Drug Prescriptions&lt;/keyword&gt;&lt;keyword&gt;*Evidence-Based Medicine&lt;/keyword&gt;&lt;keyword&gt;Homeopathy/*standards&lt;/keyword&gt;&lt;keyword&gt;Humans&lt;/keyword&gt;&lt;keyword&gt;State Medicine&lt;/keyword&gt;&lt;keyword&gt;Treatment Outcome&lt;/keyword&gt;&lt;keyword&gt;United Kingdom&lt;/keyword&gt;&lt;/keywords&gt;&lt;dates&gt;&lt;year&gt;2002&lt;/year&gt;&lt;pub-dates&gt;&lt;date&gt;Jun&lt;/date&gt;&lt;/pub-dates&gt;&lt;/dates&gt;&lt;isbn&gt;1475-3898 (Print)&amp;#xD;1475-3901 (Electronic)&amp;#xD;1475-3898 (Linking)&lt;/isbn&gt;&lt;accession-num&gt;12448814&lt;/accession-num&gt;&lt;urls&gt;&lt;related-urls&gt;&lt;url&gt;https://www.ncbi.nlm.nih.gov/pubmed/12448814&lt;/url&gt;&lt;/related-urls&gt;&lt;/urls&gt;&lt;custom2&gt;PMC1743586&lt;/custom2&gt;&lt;electronic-resource-num&gt;10.1136/qhc.11.2.189&lt;/electronic-resource-num&gt;&lt;remote-database-name&gt;Medline&lt;/remote-database-name&gt;&lt;remote-database-provider&gt;NLM&lt;/remote-database-provider&gt;&lt;/record&gt;&lt;/Cite&gt;&lt;/EndNote&gt;</w:instrText>
      </w:r>
      <w:r w:rsidRPr="00A55335">
        <w:fldChar w:fldCharType="separate"/>
      </w:r>
      <w:r w:rsidR="0049097E" w:rsidRPr="00A55335">
        <w:rPr>
          <w:noProof/>
        </w:rPr>
        <w:t>(</w:t>
      </w:r>
      <w:hyperlink w:anchor="_ENREF_22" w:tooltip="O'Meara, 2002 #35" w:history="1">
        <w:r w:rsidR="00EC2769" w:rsidRPr="00A55335">
          <w:rPr>
            <w:noProof/>
          </w:rPr>
          <w:t>22</w:t>
        </w:r>
      </w:hyperlink>
      <w:r w:rsidR="0049097E" w:rsidRPr="00A55335">
        <w:rPr>
          <w:noProof/>
        </w:rPr>
        <w:t>)</w:t>
      </w:r>
      <w:r w:rsidRPr="00A55335">
        <w:fldChar w:fldCharType="end"/>
      </w:r>
      <w:r w:rsidRPr="00A55335">
        <w:t>. For example</w:t>
      </w:r>
      <w:r w:rsidR="00AB3308" w:rsidRPr="00A55335">
        <w:t>,</w:t>
      </w:r>
      <w:r w:rsidRPr="00A55335">
        <w:t xml:space="preserve"> all patients who have asthma would be give the same remedy </w:t>
      </w:r>
      <w:r w:rsidRPr="00A55335">
        <w:fldChar w:fldCharType="begin"/>
      </w:r>
      <w:r w:rsidR="006952AD">
        <w:instrText xml:space="preserve"> ADDIN EN.CITE &lt;EndNote&gt;&lt;Cite&gt;&lt;Author&gt;Linde&lt;/Author&gt;&lt;Year&gt;1997&lt;/Year&gt;&lt;RecNum&gt;34&lt;/RecNum&gt;&lt;DisplayText&gt;(23)&lt;/DisplayText&gt;&lt;record&gt;&lt;rec-number&gt;34&lt;/rec-number&gt;&lt;foreign-keys&gt;&lt;key app="EN" db-id="t5prptatr9sp0we5exbxt9zz20fwp55tdza9" timestamp="1643145632"&gt;34&lt;/key&gt;&lt;/foreign-keys&gt;&lt;ref-type name="Journal Article"&gt;17&lt;/ref-type&gt;&lt;contributors&gt;&lt;authors&gt;&lt;author&gt;Linde, K.&lt;/author&gt;&lt;author&gt;Clausius, N.&lt;/author&gt;&lt;author&gt;Ramirez, G.&lt;/author&gt;&lt;author&gt;Melchart, D.&lt;/author&gt;&lt;author&gt;Eitel, F.&lt;/author&gt;&lt;author&gt;Hedges, L. V.&lt;/author&gt;&lt;author&gt;Jonas, W. B.&lt;/author&gt;&lt;/authors&gt;&lt;/contributors&gt;&lt;auth-address&gt;Munchener Modell, Centre for Complementary Medicine Research, Technische Universitat/Ludwig-Maximillans-Universitat, Munchen, Germany.&lt;/auth-address&gt;&lt;titles&gt;&lt;title&gt;Are the clinical effects of homeopathy placebo effects? A meta-analysis of placebo-controlled trials&lt;/title&gt;&lt;secondary-title&gt;Lancet&lt;/secondary-title&gt;&lt;/titles&gt;&lt;periodical&gt;&lt;full-title&gt;Lancet&lt;/full-title&gt;&lt;/periodical&gt;&lt;pages&gt;834-43&lt;/pages&gt;&lt;volume&gt;350&lt;/volume&gt;&lt;number&gt;9081&lt;/number&gt;&lt;edition&gt;1997/10/06&lt;/edition&gt;&lt;keywords&gt;&lt;keyword&gt;Double-Blind Method&lt;/keyword&gt;&lt;keyword&gt;*Homeopathy&lt;/keyword&gt;&lt;keyword&gt;Humans&lt;/keyword&gt;&lt;keyword&gt;Odds Ratio&lt;/keyword&gt;&lt;keyword&gt;*Placebo Effect&lt;/keyword&gt;&lt;keyword&gt;Publication Bias&lt;/keyword&gt;&lt;keyword&gt;Randomized Controlled Trials as Topic/standards/statistics &amp;amp; numerical data&lt;/keyword&gt;&lt;keyword&gt;Reproducibility of Results&lt;/keyword&gt;&lt;keyword&gt;Research Design&lt;/keyword&gt;&lt;/keywords&gt;&lt;dates&gt;&lt;year&gt;1997&lt;/year&gt;&lt;pub-dates&gt;&lt;date&gt;Sep 20&lt;/date&gt;&lt;/pub-dates&gt;&lt;/dates&gt;&lt;isbn&gt;0140-6736 (Print)&amp;#xD;0140-6736 (Linking)&lt;/isbn&gt;&lt;accession-num&gt;9310601&lt;/accession-num&gt;&lt;urls&gt;&lt;related-urls&gt;&lt;url&gt;https://www.ncbi.nlm.nih.gov/pubmed/9310601&lt;/url&gt;&lt;/related-urls&gt;&lt;/urls&gt;&lt;electronic-resource-num&gt;10.1016/s0140-6736(97)02293-9&lt;/electronic-resource-num&gt;&lt;remote-database-name&gt;Medline&lt;/remote-database-name&gt;&lt;remote-database-provider&gt;NLM&lt;/remote-database-provider&gt;&lt;research-notes&gt; PubMed SRs and MAs Homeopathy&lt;/research-notes&gt;&lt;language&gt;eng&lt;/language&gt;&lt;/record&gt;&lt;/Cite&gt;&lt;/EndNote&gt;</w:instrText>
      </w:r>
      <w:r w:rsidRPr="00A55335">
        <w:fldChar w:fldCharType="separate"/>
      </w:r>
      <w:r w:rsidR="0049097E" w:rsidRPr="00A55335">
        <w:rPr>
          <w:noProof/>
        </w:rPr>
        <w:t>(</w:t>
      </w:r>
      <w:hyperlink w:anchor="_ENREF_23" w:tooltip="Linde, 1997 #34" w:history="1">
        <w:r w:rsidR="00EC2769" w:rsidRPr="00A55335">
          <w:rPr>
            <w:noProof/>
          </w:rPr>
          <w:t>23</w:t>
        </w:r>
      </w:hyperlink>
      <w:r w:rsidR="0049097E" w:rsidRPr="00A55335">
        <w:rPr>
          <w:noProof/>
        </w:rPr>
        <w:t>)</w:t>
      </w:r>
      <w:r w:rsidRPr="00A55335">
        <w:fldChar w:fldCharType="end"/>
      </w:r>
      <w:r w:rsidRPr="00A55335">
        <w:t xml:space="preserve">. In addition, both single homeopathic medicinal products or ‘complex’ medicinal products can be prescribed, with complex medicinal products containing a fixed combination of multiple homeopathic ingredients </w:t>
      </w:r>
      <w:r w:rsidRPr="00A55335">
        <w:fldChar w:fldCharType="begin"/>
      </w:r>
      <w:r w:rsidR="006952AD">
        <w:instrText xml:space="preserve"> ADDIN EN.CITE &lt;EndNote&gt;&lt;Cite&gt;&lt;Author&gt;Linde&lt;/Author&gt;&lt;Year&gt;1997&lt;/Year&gt;&lt;RecNum&gt;34&lt;/RecNum&gt;&lt;DisplayText&gt;(23)&lt;/DisplayText&gt;&lt;record&gt;&lt;rec-number&gt;34&lt;/rec-number&gt;&lt;foreign-keys&gt;&lt;key app="EN" db-id="t5prptatr9sp0we5exbxt9zz20fwp55tdza9" timestamp="1643145632"&gt;34&lt;/key&gt;&lt;/foreign-keys&gt;&lt;ref-type name="Journal Article"&gt;17&lt;/ref-type&gt;&lt;contributors&gt;&lt;authors&gt;&lt;author&gt;Linde, K.&lt;/author&gt;&lt;author&gt;Clausius, N.&lt;/author&gt;&lt;author&gt;Ramirez, G.&lt;/author&gt;&lt;author&gt;Melchart, D.&lt;/author&gt;&lt;author&gt;Eitel, F.&lt;/author&gt;&lt;author&gt;Hedges, L. V.&lt;/author&gt;&lt;author&gt;Jonas, W. B.&lt;/author&gt;&lt;/authors&gt;&lt;/contributors&gt;&lt;auth-address&gt;Munchener Modell, Centre for Complementary Medicine Research, Technische Universitat/Ludwig-Maximillans-Universitat, Munchen, Germany.&lt;/auth-address&gt;&lt;titles&gt;&lt;title&gt;Are the clinical effects of homeopathy placebo effects? A meta-analysis of placebo-controlled trials&lt;/title&gt;&lt;secondary-title&gt;Lancet&lt;/secondary-title&gt;&lt;/titles&gt;&lt;periodical&gt;&lt;full-title&gt;Lancet&lt;/full-title&gt;&lt;/periodical&gt;&lt;pages&gt;834-43&lt;/pages&gt;&lt;volume&gt;350&lt;/volume&gt;&lt;number&gt;9081&lt;/number&gt;&lt;edition&gt;1997/10/06&lt;/edition&gt;&lt;keywords&gt;&lt;keyword&gt;Double-Blind Method&lt;/keyword&gt;&lt;keyword&gt;*Homeopathy&lt;/keyword&gt;&lt;keyword&gt;Humans&lt;/keyword&gt;&lt;keyword&gt;Odds Ratio&lt;/keyword&gt;&lt;keyword&gt;*Placebo Effect&lt;/keyword&gt;&lt;keyword&gt;Publication Bias&lt;/keyword&gt;&lt;keyword&gt;Randomized Controlled Trials as Topic/standards/statistics &amp;amp; numerical data&lt;/keyword&gt;&lt;keyword&gt;Reproducibility of Results&lt;/keyword&gt;&lt;keyword&gt;Research Design&lt;/keyword&gt;&lt;/keywords&gt;&lt;dates&gt;&lt;year&gt;1997&lt;/year&gt;&lt;pub-dates&gt;&lt;date&gt;Sep 20&lt;/date&gt;&lt;/pub-dates&gt;&lt;/dates&gt;&lt;isbn&gt;0140-6736 (Print)&amp;#xD;0140-6736 (Linking)&lt;/isbn&gt;&lt;accession-num&gt;9310601&lt;/accession-num&gt;&lt;urls&gt;&lt;related-urls&gt;&lt;url&gt;https://www.ncbi.nlm.nih.gov/pubmed/9310601&lt;/url&gt;&lt;/related-urls&gt;&lt;/urls&gt;&lt;electronic-resource-num&gt;10.1016/s0140-6736(97)02293-9&lt;/electronic-resource-num&gt;&lt;remote-database-name&gt;Medline&lt;/remote-database-name&gt;&lt;remote-database-provider&gt;NLM&lt;/remote-database-provider&gt;&lt;research-notes&gt; PubMed SRs and MAs Homeopathy&lt;/research-notes&gt;&lt;language&gt;eng&lt;/language&gt;&lt;/record&gt;&lt;/Cite&gt;&lt;/EndNote&gt;</w:instrText>
      </w:r>
      <w:r w:rsidRPr="00A55335">
        <w:fldChar w:fldCharType="separate"/>
      </w:r>
      <w:r w:rsidR="0049097E" w:rsidRPr="00A55335">
        <w:rPr>
          <w:noProof/>
        </w:rPr>
        <w:t>(</w:t>
      </w:r>
      <w:hyperlink w:anchor="_ENREF_23" w:tooltip="Linde, 1997 #34" w:history="1">
        <w:r w:rsidR="00EC2769" w:rsidRPr="00A55335">
          <w:rPr>
            <w:noProof/>
          </w:rPr>
          <w:t>23</w:t>
        </w:r>
      </w:hyperlink>
      <w:r w:rsidR="0049097E" w:rsidRPr="00A55335">
        <w:rPr>
          <w:noProof/>
        </w:rPr>
        <w:t>)</w:t>
      </w:r>
      <w:r w:rsidRPr="00A55335">
        <w:fldChar w:fldCharType="end"/>
      </w:r>
      <w:r w:rsidRPr="00A55335">
        <w:t>. The most common forms of non-individualised homeopathy include ‘Clinical homeopathy’ and ‘</w:t>
      </w:r>
      <w:proofErr w:type="spellStart"/>
      <w:r w:rsidRPr="00A55335">
        <w:t>Isopathy</w:t>
      </w:r>
      <w:proofErr w:type="spellEnd"/>
      <w:r w:rsidRPr="00A55335">
        <w:t xml:space="preserve">’. In clinical homeopathy, complex medicinal products or single homeopathic remedies are prescribed based on the conventional medical diagnosis of the patient </w:t>
      </w:r>
      <w:r w:rsidRPr="00A55335">
        <w:fldChar w:fldCharType="begin"/>
      </w:r>
      <w:r w:rsidR="006952AD">
        <w:instrText xml:space="preserve"> ADDIN EN.CITE &lt;EndNote&gt;&lt;Cite&gt;&lt;Author&gt;Australian Homoeopathic Association&lt;/Author&gt;&lt;Year&gt;2021&lt;/Year&gt;&lt;RecNum&gt;36&lt;/RecNum&gt;&lt;DisplayText&gt;(40)&lt;/DisplayText&gt;&lt;record&gt;&lt;rec-number&gt;36&lt;/rec-number&gt;&lt;foreign-keys&gt;&lt;key app="EN" db-id="t5prptatr9sp0we5exbxt9zz20fwp55tdza9" timestamp="1643145635"&gt;36&lt;/key&gt;&lt;/foreign-keys&gt;&lt;ref-type name="Web Page"&gt;12&lt;/ref-type&gt;&lt;contributors&gt;&lt;authors&gt;&lt;author&gt;Australian Homoeopathic Association,&lt;/author&gt;&lt;/authors&gt;&lt;/contributors&gt;&lt;titles&gt;&lt;title&gt;Homoeopathy&lt;/title&gt;&lt;/titles&gt;&lt;volume&gt;2021&lt;/volume&gt;&lt;number&gt;05/05/2021&lt;/number&gt;&lt;dates&gt;&lt;year&gt;2021&lt;/year&gt;&lt;/dates&gt;&lt;urls&gt;&lt;related-urls&gt;&lt;url&gt;https://www.homeopathyoz.org/homoeopathy/homoeopathy&lt;/url&gt;&lt;/related-urls&gt;&lt;/urls&gt;&lt;research-notes&gt; Homeopathy&lt;/research-notes&gt;&lt;/record&gt;&lt;/Cite&gt;&lt;/EndNote&gt;</w:instrText>
      </w:r>
      <w:r w:rsidRPr="00A55335">
        <w:fldChar w:fldCharType="separate"/>
      </w:r>
      <w:r w:rsidR="00FA37A6" w:rsidRPr="00A55335">
        <w:rPr>
          <w:noProof/>
        </w:rPr>
        <w:t>(</w:t>
      </w:r>
      <w:hyperlink w:anchor="_ENREF_40" w:tooltip="Australian Homoeopathic Association, 2021 #36" w:history="1">
        <w:r w:rsidR="00EC2769" w:rsidRPr="00A55335">
          <w:rPr>
            <w:noProof/>
          </w:rPr>
          <w:t>40</w:t>
        </w:r>
      </w:hyperlink>
      <w:r w:rsidR="00FA37A6" w:rsidRPr="00A55335">
        <w:rPr>
          <w:noProof/>
        </w:rPr>
        <w:t>)</w:t>
      </w:r>
      <w:r w:rsidRPr="00A55335">
        <w:fldChar w:fldCharType="end"/>
      </w:r>
      <w:r w:rsidRPr="00A55335">
        <w:t xml:space="preserve">. In </w:t>
      </w:r>
      <w:proofErr w:type="spellStart"/>
      <w:r w:rsidRPr="00A55335">
        <w:t>isopathy</w:t>
      </w:r>
      <w:proofErr w:type="spellEnd"/>
      <w:r w:rsidRPr="00A55335">
        <w:t>, allergens or causative infectious or toxic agents, including the patient’s own bodily secretions (</w:t>
      </w:r>
      <w:r w:rsidR="008F0354" w:rsidRPr="00A55335">
        <w:t>e.g.</w:t>
      </w:r>
      <w:r w:rsidRPr="00A55335">
        <w:t xml:space="preserve"> sputum or urine), are used to prepare the homeopathic medicinal product </w:t>
      </w:r>
      <w:r w:rsidRPr="00A55335">
        <w:fldChar w:fldCharType="begin">
          <w:fldData xml:space="preserve">PEVuZE5vdGU+PENpdGU+PEF1dGhvcj5MaW5kZTwvQXV0aG9yPjxZZWFyPjE5OTc8L1llYXI+PFJl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</w:fldData>
        </w:fldChar>
      </w:r>
      <w:r w:rsidR="006952AD">
        <w:instrText xml:space="preserve"> ADDIN EN.CITE </w:instrText>
      </w:r>
      <w:r w:rsidR="006952AD">
        <w:fldChar w:fldCharType="begin">
          <w:fldData xml:space="preserve">PEVuZE5vdGU+PENpdGU+PEF1dGhvcj5MaW5kZTwvQXV0aG9yPjxZZWFyPjE5OTc8L1llYXI+PFJl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</w:fldData>
        </w:fldChar>
      </w:r>
      <w:r w:rsidR="006952AD">
        <w:instrText xml:space="preserve"> ADDIN EN.CITE.DATA </w:instrText>
      </w:r>
      <w:r w:rsidR="006952AD">
        <w:fldChar w:fldCharType="end"/>
      </w:r>
      <w:r w:rsidRPr="00A55335">
        <w:fldChar w:fldCharType="separate"/>
      </w:r>
      <w:r w:rsidR="0049097E" w:rsidRPr="00A55335">
        <w:rPr>
          <w:noProof/>
        </w:rPr>
        <w:t>(</w:t>
      </w:r>
      <w:hyperlink w:anchor="_ENREF_23" w:tooltip="Linde, 1997 #34" w:history="1">
        <w:r w:rsidR="00EC2769" w:rsidRPr="00A55335">
          <w:rPr>
            <w:noProof/>
          </w:rPr>
          <w:t>23</w:t>
        </w:r>
      </w:hyperlink>
      <w:r w:rsidR="0049097E" w:rsidRPr="00A55335">
        <w:rPr>
          <w:noProof/>
        </w:rPr>
        <w:t xml:space="preserve">, </w:t>
      </w:r>
      <w:hyperlink w:anchor="_ENREF_26" w:tooltip="National Health and Medical Research Council, 2020 #37" w:history="1">
        <w:r w:rsidR="00EC2769" w:rsidRPr="00A55335">
          <w:rPr>
            <w:noProof/>
          </w:rPr>
          <w:t>26</w:t>
        </w:r>
      </w:hyperlink>
      <w:r w:rsidR="0049097E" w:rsidRPr="00A55335">
        <w:rPr>
          <w:noProof/>
        </w:rPr>
        <w:t>)</w:t>
      </w:r>
      <w:r w:rsidRPr="00A55335">
        <w:fldChar w:fldCharType="end"/>
      </w:r>
      <w:r w:rsidRPr="00A55335">
        <w:t xml:space="preserve">. </w:t>
      </w:r>
    </w:p>
    <w:p w14:paraId="4005E918" w14:textId="63DC3367" w:rsidR="00C00797" w:rsidRPr="00A55335" w:rsidRDefault="00C00797" w:rsidP="00C00797">
      <w:pPr>
        <w:pStyle w:val="BodyText"/>
      </w:pPr>
      <w:r w:rsidRPr="00A55335">
        <w:t xml:space="preserve">Homeopathic medicinal products are prepared according to homeopathic pharmacopoeia and are created from a wide variety of substances such as plants, animals, minerals, or chemicals </w:t>
      </w:r>
      <w:r w:rsidRPr="00A55335">
        <w:fldChar w:fldCharType="begin"/>
      </w:r>
      <w:r w:rsidR="006952AD">
        <w:instrText xml:space="preserve"> ADDIN EN.CITE &lt;EndNote&gt;&lt;Cite&gt;&lt;Author&gt;National Center for Complementary and Integrative Health&lt;/Author&gt;&lt;Year&gt;2021&lt;/Year&gt;&lt;RecNum&gt;32&lt;/RecNum&gt;&lt;DisplayText&gt;(38)&lt;/DisplayText&gt;&lt;record&gt;&lt;rec-number&gt;32&lt;/rec-number&gt;&lt;foreign-keys&gt;&lt;key app="EN" db-id="t5prptatr9sp0we5exbxt9zz20fwp55tdza9" timestamp="1643145629"&gt;32&lt;/key&gt;&lt;/foreign-keys&gt;&lt;ref-type name="Government Document"&gt;46&lt;/ref-type&gt;&lt;contributors&gt;&lt;authors&gt;&lt;author&gt;National Center for Complementary and Integrative Health,&lt;/author&gt;&lt;/authors&gt;&lt;/contributors&gt;&lt;titles&gt;&lt;title&gt;Homeopathy: What you need to know&lt;/title&gt;&lt;/titles&gt;&lt;dates&gt;&lt;year&gt;2021&lt;/year&gt;&lt;/dates&gt;&lt;pub-location&gt;https://www.nccih.nih.gov/health/homeopathy#hedl&lt;/pub-location&gt;&lt;publisher&gt;U.S. Department of Health and Human Services&lt;/publisher&gt;&lt;urls&gt;&lt;/urls&gt;&lt;research-notes&gt; Homeopathy&lt;/research-notes&gt;&lt;/record&gt;&lt;/Cite&gt;&lt;/EndNote&gt;</w:instrText>
      </w:r>
      <w:r w:rsidRPr="00A55335">
        <w:fldChar w:fldCharType="separate"/>
      </w:r>
      <w:r w:rsidR="00FA37A6" w:rsidRPr="00A55335">
        <w:rPr>
          <w:noProof/>
        </w:rPr>
        <w:t>(</w:t>
      </w:r>
      <w:hyperlink w:anchor="_ENREF_38" w:tooltip="National Center for Complementary and Integrative Health, 2021 #32" w:history="1">
        <w:r w:rsidR="00EC2769" w:rsidRPr="00A55335">
          <w:rPr>
            <w:noProof/>
          </w:rPr>
          <w:t>38</w:t>
        </w:r>
      </w:hyperlink>
      <w:r w:rsidR="00FA37A6" w:rsidRPr="00A55335">
        <w:rPr>
          <w:noProof/>
        </w:rPr>
        <w:t>)</w:t>
      </w:r>
      <w:r w:rsidRPr="00A55335">
        <w:fldChar w:fldCharType="end"/>
      </w:r>
      <w:r w:rsidRPr="00A55335">
        <w:t xml:space="preserve">. To reduce toxicity and increase the effectiveness of homeopathic medicinal products, substances are serially diluted and vigorously shaken or agitated between each dilution </w:t>
      </w:r>
      <w:r w:rsidRPr="00A55335">
        <w:fldChar w:fldCharType="begin"/>
      </w:r>
      <w:r w:rsidR="006952AD">
        <w:instrText xml:space="preserve"> ADDIN EN.CITE &lt;EndNote&gt;&lt;Cite&gt;&lt;Author&gt;Jonas&lt;/Author&gt;&lt;Year&gt;2003&lt;/Year&gt;&lt;RecNum&gt;33&lt;/RecNum&gt;&lt;DisplayText&gt;(39)&lt;/DisplayText&gt;&lt;record&gt;&lt;rec-number&gt;33&lt;/rec-number&gt;&lt;foreign-keys&gt;&lt;key app="EN" db-id="t5prptatr9sp0we5exbxt9zz20fwp55tdza9" timestamp="1643145630"&gt;33&lt;/key&gt;&lt;/foreign-keys&gt;&lt;ref-type name="Journal Article"&gt;17&lt;/ref-type&gt;&lt;contributors&gt;&lt;authors&gt;&lt;author&gt;Jonas, W. B.&lt;/author&gt;&lt;author&gt;Kaptchuk, T. J.&lt;/author&gt;&lt;author&gt;Linde, K.&lt;/author&gt;&lt;/authors&gt;&lt;/contributors&gt;&lt;auth-address&gt;Samueli Institute for Information Biology, 121 South Saint Asaph Street, Suite 200, Alexandria, VA 22314, USA. wjonas@siib.org&lt;/auth-address&gt;&lt;titles&gt;&lt;title&gt;A critical overview of homeopathy&lt;/title&gt;&lt;secondary-title&gt;Ann Intern Med&lt;/secondary-title&gt;&lt;/titles&gt;&lt;periodical&gt;&lt;full-title&gt;Ann Intern Med&lt;/full-title&gt;&lt;/periodical&gt;&lt;pages&gt;393-9&lt;/pages&gt;&lt;volume&gt;138&lt;/volume&gt;&lt;number&gt;5&lt;/number&gt;&lt;edition&gt;2003/03/05&lt;/edition&gt;&lt;keywords&gt;&lt;keyword&gt;Controlled Clinical Trials as Topic&lt;/keyword&gt;&lt;keyword&gt;Drug Labeling/legislation &amp;amp; jurisprudence&lt;/keyword&gt;&lt;keyword&gt;History, 18th Century&lt;/keyword&gt;&lt;keyword&gt;*Homeopathy/history/legislation &amp;amp; jurisprudence/standards&lt;/keyword&gt;&lt;keyword&gt;Humans&lt;/keyword&gt;&lt;keyword&gt;Placebo Effect&lt;/keyword&gt;&lt;keyword&gt;Practice Patterns, Physicians&amp;apos;&lt;/keyword&gt;&lt;keyword&gt;United States&lt;/keyword&gt;&lt;keyword&gt;United States Food and Drug Administration&lt;/keyword&gt;&lt;/keywords&gt;&lt;dates&gt;&lt;year&gt;2003&lt;/year&gt;&lt;pub-dates&gt;&lt;date&gt;Mar 4&lt;/date&gt;&lt;/pub-dates&gt;&lt;/dates&gt;&lt;isbn&gt;1539-3704 (Electronic)&amp;#xD;0003-4819 (Linking)&lt;/isbn&gt;&lt;accession-num&gt;12614092&lt;/accession-num&gt;&lt;urls&gt;&lt;related-urls&gt;&lt;url&gt;https://www.ncbi.nlm.nih.gov/pubmed/12614092&lt;/url&gt;&lt;/related-urls&gt;&lt;/urls&gt;&lt;electronic-resource-num&gt;10.7326/0003-4819-138-5-200303040-00009&lt;/electronic-resource-num&gt;&lt;remote-database-name&gt;Medline&lt;/remote-database-name&gt;&lt;remote-database-provider&gt;NLM&lt;/remote-database-provider&gt;&lt;research-notes&gt; Homeopathy&lt;/research-notes&gt;&lt;language&gt;eng&lt;/language&gt;&lt;/record&gt;&lt;/Cite&gt;&lt;/EndNote&gt;</w:instrText>
      </w:r>
      <w:r w:rsidRPr="00A55335">
        <w:fldChar w:fldCharType="separate"/>
      </w:r>
      <w:r w:rsidR="00FA37A6" w:rsidRPr="00A55335">
        <w:rPr>
          <w:noProof/>
        </w:rPr>
        <w:t>(</w:t>
      </w:r>
      <w:hyperlink w:anchor="_ENREF_39" w:tooltip="Jonas, 2003 #33" w:history="1">
        <w:r w:rsidR="00EC2769" w:rsidRPr="00A55335">
          <w:rPr>
            <w:noProof/>
          </w:rPr>
          <w:t>39</w:t>
        </w:r>
      </w:hyperlink>
      <w:r w:rsidR="00FA37A6" w:rsidRPr="00A55335">
        <w:rPr>
          <w:noProof/>
        </w:rPr>
        <w:t>)</w:t>
      </w:r>
      <w:r w:rsidRPr="00A55335">
        <w:fldChar w:fldCharType="end"/>
      </w:r>
      <w:r w:rsidRPr="00A55335">
        <w:t>. This process is called ‘</w:t>
      </w:r>
      <w:proofErr w:type="spellStart"/>
      <w:r w:rsidRPr="00A55335">
        <w:t>potentisation</w:t>
      </w:r>
      <w:proofErr w:type="spellEnd"/>
      <w:r w:rsidRPr="00A55335">
        <w:t xml:space="preserve">’ (32). </w:t>
      </w:r>
    </w:p>
    <w:p w14:paraId="3DCC0BF2" w14:textId="4264788A" w:rsidR="00C00797" w:rsidRPr="00A55335" w:rsidRDefault="00C00797" w:rsidP="00C00797">
      <w:pPr>
        <w:pStyle w:val="BodyText"/>
      </w:pPr>
      <w:r w:rsidRPr="00A55335">
        <w:lastRenderedPageBreak/>
        <w:t xml:space="preserve">Homeopathic medicinal products can be prepared as a liquid, powder (e.g. teething powder), granules or tablets (e.g. sugar pellets) </w:t>
      </w:r>
      <w:r w:rsidRPr="00A55335">
        <w:fldChar w:fldCharType="begin"/>
      </w:r>
      <w:r w:rsidR="006952AD">
        <w:instrText xml:space="preserve"> ADDIN EN.CITE &lt;EndNote&gt;&lt;Cite&gt;&lt;Author&gt;Australian Homoeopathic Association&lt;/Author&gt;&lt;Year&gt;2021&lt;/Year&gt;&lt;RecNum&gt;38&lt;/RecNum&gt;&lt;DisplayText&gt;(24)&lt;/DisplayText&gt;&lt;record&gt;&lt;rec-number&gt;38&lt;/rec-number&gt;&lt;foreign-keys&gt;&lt;key app="EN" db-id="t5prptatr9sp0we5exbxt9zz20fwp55tdza9" timestamp="1643145637"&gt;38&lt;/key&gt;&lt;/foreign-keys&gt;&lt;ref-type name="Web Page"&gt;12&lt;/ref-type&gt;&lt;contributors&gt;&lt;authors&gt;&lt;author&gt;Australian Homoeopathic Association,&lt;/author&gt;&lt;/authors&gt;&lt;/contributors&gt;&lt;titles&gt;&lt;/titles&gt;&lt;number&gt;Dec 2021&lt;/number&gt;&lt;dates&gt;&lt;year&gt;2021&lt;/year&gt;&lt;/dates&gt;&lt;urls&gt;&lt;related-urls&gt;&lt;url&gt;https://www.homeopathyoz.org/homoeopathy/frequentlyaquestions&lt;/url&gt;&lt;/related-urls&gt;&lt;/urls&gt;&lt;/record&gt;&lt;/Cite&gt;&lt;/EndNote&gt;</w:instrText>
      </w:r>
      <w:r w:rsidRPr="00A55335">
        <w:fldChar w:fldCharType="separate"/>
      </w:r>
      <w:r w:rsidR="0049097E" w:rsidRPr="00A55335">
        <w:rPr>
          <w:noProof/>
        </w:rPr>
        <w:t>(</w:t>
      </w:r>
      <w:hyperlink w:anchor="_ENREF_24" w:tooltip="Australian Homoeopathic Association, 2021 #38" w:history="1">
        <w:r w:rsidR="00EC2769" w:rsidRPr="00A55335">
          <w:rPr>
            <w:noProof/>
          </w:rPr>
          <w:t>24</w:t>
        </w:r>
      </w:hyperlink>
      <w:r w:rsidR="0049097E" w:rsidRPr="00A55335">
        <w:rPr>
          <w:noProof/>
        </w:rPr>
        <w:t>)</w:t>
      </w:r>
      <w:r w:rsidRPr="00A55335">
        <w:fldChar w:fldCharType="end"/>
      </w:r>
      <w:r w:rsidRPr="00A55335">
        <w:t xml:space="preserve"> and are administered orally or externally </w:t>
      </w:r>
      <w:r w:rsidRPr="00A55335">
        <w:fldChar w:fldCharType="begin"/>
      </w:r>
      <w:r w:rsidR="006952AD">
        <w:instrText xml:space="preserve"> ADDIN EN.CITE &lt;EndNote&gt;&lt;Cite&gt;&lt;Author&gt;Herr&lt;/Author&gt;&lt;Year&gt;2019&lt;/Year&gt;&lt;RecNum&gt;39&lt;/RecNum&gt;&lt;DisplayText&gt;(25)&lt;/DisplayText&gt;&lt;record&gt;&lt;rec-number&gt;39&lt;/rec-number&gt;&lt;foreign-keys&gt;&lt;key app="EN" db-id="t5prptatr9sp0we5exbxt9zz20fwp55tdza9" timestamp="1643145639"&gt;39&lt;/key&gt;&lt;/foreign-keys&gt;&lt;ref-type name="Journal Article"&gt;17&lt;/ref-type&gt;&lt;contributors&gt;&lt;authors&gt;&lt;author&gt;Herr, G.&lt;/author&gt;&lt;author&gt;Natz, A.&lt;/author&gt;&lt;author&gt;van Haselen, R.&lt;/author&gt;&lt;/authors&gt;&lt;/contributors&gt;&lt;titles&gt;&lt;title&gt;The Coherency of Regulatory Requirements for Homeopathic Medicinal Products in the EU and the EAEU&lt;/title&gt;&lt;secondary-title&gt;European Pharmaceutical Law Review&lt;/secondary-title&gt;&lt;short-title&gt;The Coherency of Regulatory Requirements for Homeopathic Medicinal Products in the EU and the EAEU&lt;/short-title&gt;&lt;/titles&gt;&lt;periodical&gt;&lt;full-title&gt;European Pharmaceutical Law Review&lt;/full-title&gt;&lt;/periodical&gt;&lt;pages&gt;58-72&lt;/pages&gt;&lt;volume&gt;3&lt;/volume&gt;&lt;number&gt;2&lt;/number&gt;&lt;section&gt;58&lt;/section&gt;&lt;dates&gt;&lt;year&gt;2019&lt;/year&gt;&lt;/dates&gt;&lt;isbn&gt;25117157&lt;/isbn&gt;&lt;urls&gt;&lt;related-urls&gt;&lt;url&gt;https://doi.org/10.21552/eplr/2019/2/4&lt;/url&gt;&lt;/related-urls&gt;&lt;/urls&gt;&lt;electronic-resource-num&gt;10.21552/eplr/2019/2/4&lt;/electronic-resource-num&gt;&lt;/record&gt;&lt;/Cite&gt;&lt;/EndNote&gt;</w:instrText>
      </w:r>
      <w:r w:rsidRPr="00A55335">
        <w:fldChar w:fldCharType="separate"/>
      </w:r>
      <w:r w:rsidR="0049097E" w:rsidRPr="00A55335">
        <w:rPr>
          <w:noProof/>
        </w:rPr>
        <w:t>(</w:t>
      </w:r>
      <w:hyperlink w:anchor="_ENREF_25" w:tooltip="Herr, 2019 #39" w:history="1">
        <w:r w:rsidR="00EC2769" w:rsidRPr="00A55335">
          <w:rPr>
            <w:noProof/>
          </w:rPr>
          <w:t>25</w:t>
        </w:r>
      </w:hyperlink>
      <w:r w:rsidR="0049097E" w:rsidRPr="00A55335">
        <w:rPr>
          <w:noProof/>
        </w:rPr>
        <w:t>)</w:t>
      </w:r>
      <w:r w:rsidRPr="00A55335">
        <w:fldChar w:fldCharType="end"/>
      </w:r>
      <w:r w:rsidRPr="00A55335">
        <w:t>.</w:t>
      </w:r>
    </w:p>
    <w:p w14:paraId="57F30EAA" w14:textId="46B35BD1" w:rsidR="00C00797" w:rsidRPr="00A55335" w:rsidRDefault="00C00797" w:rsidP="00C00797">
      <w:pPr>
        <w:pStyle w:val="BodyText"/>
      </w:pPr>
      <w:r w:rsidRPr="00A55335">
        <w:rPr>
          <w:rStyle w:val="Emphasis"/>
        </w:rPr>
        <w:t>Overview of the regulation of listed medicines and registered complementary medicines</w:t>
      </w:r>
      <w:r w:rsidRPr="00A55335">
        <w:t xml:space="preserve"> outlines the regulation of listed medicines and registered complementary medicines in Australia, including homeopathic preparations </w:t>
      </w:r>
      <w:r w:rsidRPr="00A55335">
        <w:fldChar w:fldCharType="begin"/>
      </w:r>
      <w:r w:rsidR="006952AD">
        <w:instrText xml:space="preserve"> ADDIN EN.CITE &lt;EndNote&gt;&lt;Cite&gt;&lt;Author&gt;Therapeutic Goods Administration&lt;/Author&gt;&lt;Year&gt;2021 Jul.&lt;/Year&gt;&lt;RecNum&gt;40&lt;/RecNum&gt;&lt;DisplayText&gt;(41)&lt;/DisplayText&gt;&lt;record&gt;&lt;rec-number&gt;40&lt;/rec-number&gt;&lt;foreign-keys&gt;&lt;key app="EN" db-id="t5prptatr9sp0we5exbxt9zz20fwp55tdza9" timestamp="1643145641"&gt;40&lt;/key&gt;&lt;/foreign-keys&gt;&lt;ref-type name="Web Page"&gt;12&lt;/ref-type&gt;&lt;contributors&gt;&lt;authors&gt;&lt;author&gt;Therapeutic Goods Administration,&lt;/author&gt;&lt;/authors&gt;&lt;/contributors&gt;&lt;titles&gt;&lt;title&gt;Overview of the regulation of listed medicines and registered complementary medicines. &lt;/title&gt;&lt;/titles&gt;&lt;dates&gt;&lt;year&gt;2021 Jul.&lt;/year&gt;&lt;/dates&gt;&lt;pub-location&gt;Canberra&lt;/pub-location&gt;&lt;publisher&gt;Commonwealth of Australia&lt;/publisher&gt;&lt;urls&gt;&lt;related-urls&gt;&lt;url&gt;https://www.tga.gov.au/resource/overview-regulation-listed-medicines-and-registered-complementary-medicines&lt;/url&gt;&lt;/related-urls&gt;&lt;/urls&gt;&lt;/record&gt;&lt;/Cite&gt;&lt;/EndNote&gt;</w:instrText>
      </w:r>
      <w:r w:rsidRPr="00A55335">
        <w:fldChar w:fldCharType="separate"/>
      </w:r>
      <w:r w:rsidR="00FA37A6" w:rsidRPr="00A55335">
        <w:rPr>
          <w:noProof/>
        </w:rPr>
        <w:t>(</w:t>
      </w:r>
      <w:hyperlink w:anchor="_ENREF_41" w:tooltip="Therapeutic Goods Administration, 2021 Jul. #40" w:history="1">
        <w:r w:rsidR="00EC2769" w:rsidRPr="00A55335">
          <w:rPr>
            <w:noProof/>
          </w:rPr>
          <w:t>41</w:t>
        </w:r>
      </w:hyperlink>
      <w:r w:rsidR="00FA37A6" w:rsidRPr="00A55335">
        <w:rPr>
          <w:noProof/>
        </w:rPr>
        <w:t>)</w:t>
      </w:r>
      <w:r w:rsidRPr="00A55335">
        <w:fldChar w:fldCharType="end"/>
      </w:r>
      <w:r w:rsidRPr="00A55335">
        <w:t>.</w:t>
      </w:r>
    </w:p>
    <w:p w14:paraId="2286821A" w14:textId="77777777" w:rsidR="00C00797" w:rsidRPr="00A55335" w:rsidRDefault="00C00797" w:rsidP="00C00797">
      <w:pPr>
        <w:pStyle w:val="Bulletintro"/>
        <w:rPr>
          <w:lang w:val="en-AU"/>
        </w:rPr>
      </w:pPr>
      <w:r w:rsidRPr="00A55335">
        <w:rPr>
          <w:lang w:val="en-AU"/>
        </w:rPr>
        <w:t xml:space="preserve">The </w:t>
      </w:r>
      <w:r w:rsidRPr="00A55335">
        <w:rPr>
          <w:rStyle w:val="Emphasis"/>
          <w:lang w:val="en-AU"/>
        </w:rPr>
        <w:t>Therapeutic Goods Regulations 1990</w:t>
      </w:r>
      <w:r w:rsidRPr="00A55335">
        <w:rPr>
          <w:rStyle w:val="FootnoteReference"/>
          <w:lang w:val="en-AU"/>
        </w:rPr>
        <w:footnoteReference w:id="8"/>
      </w:r>
      <w:r w:rsidRPr="00A55335">
        <w:rPr>
          <w:rStyle w:val="Emphasis"/>
          <w:lang w:val="en-AU"/>
        </w:rPr>
        <w:t xml:space="preserve"> </w:t>
      </w:r>
      <w:r w:rsidRPr="00A55335">
        <w:rPr>
          <w:lang w:val="en-AU"/>
        </w:rPr>
        <w:t>include the following definition for ‘homoeopathic preparations’:</w:t>
      </w:r>
    </w:p>
    <w:p w14:paraId="50DD1CCE" w14:textId="77777777" w:rsidR="00DD505D" w:rsidRPr="00A55335" w:rsidRDefault="00DD505D" w:rsidP="002C70A5">
      <w:pPr>
        <w:pStyle w:val="BodyText"/>
        <w:ind w:left="708"/>
      </w:pPr>
      <w:r w:rsidRPr="00A55335">
        <w:rPr>
          <w:rStyle w:val="Strong"/>
        </w:rPr>
        <w:t>homoeopathic preparation</w:t>
      </w:r>
      <w:r w:rsidRPr="00A55335">
        <w:t xml:space="preserve"> means a preparation:</w:t>
      </w:r>
    </w:p>
    <w:p w14:paraId="4DA6F456" w14:textId="61845E80" w:rsidR="00DD505D" w:rsidRPr="00A55335" w:rsidRDefault="00DD505D" w:rsidP="002C70A5">
      <w:pPr>
        <w:pStyle w:val="ListNos6"/>
      </w:pPr>
      <w:r w:rsidRPr="00A55335">
        <w:t xml:space="preserve">formulated for use on the principle that it </w:t>
      </w:r>
      <w:proofErr w:type="gramStart"/>
      <w:r w:rsidRPr="00A55335">
        <w:t>is capable of producing</w:t>
      </w:r>
      <w:proofErr w:type="gramEnd"/>
      <w:r w:rsidRPr="00A55335">
        <w:t xml:space="preserve"> symptoms in a healthy person similar to those which it is administered to alleviate; and</w:t>
      </w:r>
    </w:p>
    <w:p w14:paraId="04FB555C" w14:textId="45745879" w:rsidR="00DD505D" w:rsidRPr="00A55335" w:rsidRDefault="00DD505D" w:rsidP="002C70A5">
      <w:pPr>
        <w:pStyle w:val="ListNos6"/>
      </w:pPr>
      <w:r w:rsidRPr="00A55335">
        <w:t xml:space="preserve">prepared according to the practices of homoeopathic pharmacy using the methods of: </w:t>
      </w:r>
      <w:r w:rsidR="00E3245B" w:rsidRPr="00A55335">
        <w:br/>
        <w:t>(</w:t>
      </w:r>
      <w:proofErr w:type="spellStart"/>
      <w:r w:rsidR="00E3245B" w:rsidRPr="00A55335">
        <w:t>i</w:t>
      </w:r>
      <w:proofErr w:type="spellEnd"/>
      <w:r w:rsidR="00E3245B" w:rsidRPr="00A55335">
        <w:t xml:space="preserve">) </w:t>
      </w:r>
      <w:r w:rsidRPr="00A55335">
        <w:t xml:space="preserve">serial dilution and succussion of a mother tincture in water, ethanol, aqueous ethanol or glycerol; or </w:t>
      </w:r>
      <w:r w:rsidR="006B69E5" w:rsidRPr="00A55335">
        <w:br/>
        <w:t xml:space="preserve">(ii) </w:t>
      </w:r>
      <w:r w:rsidRPr="00A55335">
        <w:t xml:space="preserve">serial trituration in lactose. </w:t>
      </w:r>
    </w:p>
    <w:p w14:paraId="19DD8786" w14:textId="2202144B" w:rsidR="00273414" w:rsidRPr="00A55335" w:rsidRDefault="00273414" w:rsidP="00273414">
      <w:pPr>
        <w:pStyle w:val="BodyText"/>
      </w:pPr>
      <w:r w:rsidRPr="00A55335">
        <w:t>Most homeopathic medicinal products that are sufficiently dilute</w:t>
      </w:r>
      <w:r w:rsidR="00111ED9">
        <w:t>d</w:t>
      </w:r>
      <w:r w:rsidRPr="00A55335">
        <w:t xml:space="preserve"> do not require listing in the Australian Register of Therapeutic Goods (provided they meet the requirements for exemption in Item 8 of Schedule 5 of the </w:t>
      </w:r>
      <w:r w:rsidRPr="00F50272">
        <w:rPr>
          <w:i/>
          <w:iCs/>
        </w:rPr>
        <w:t>Therapeutic Goods Regulations 1990</w:t>
      </w:r>
      <w:r w:rsidRPr="00A55335">
        <w:t xml:space="preserve">). However, they must still comply with other requirements under the </w:t>
      </w:r>
      <w:r w:rsidRPr="00F50272">
        <w:rPr>
          <w:i/>
          <w:iCs/>
        </w:rPr>
        <w:t>Therapeutic Goods Act 1989</w:t>
      </w:r>
      <w:r w:rsidRPr="00A55335">
        <w:t xml:space="preserve"> and the </w:t>
      </w:r>
      <w:r w:rsidRPr="00F50272">
        <w:rPr>
          <w:i/>
          <w:iCs/>
        </w:rPr>
        <w:t>Therapeutic Goods Regulations 1990</w:t>
      </w:r>
      <w:r w:rsidRPr="00A55335">
        <w:t xml:space="preserve"> </w:t>
      </w:r>
      <w:r w:rsidRPr="00A55335">
        <w:fldChar w:fldCharType="begin"/>
      </w:r>
      <w:r w:rsidR="006952AD">
        <w:instrText xml:space="preserve"> ADDIN EN.CITE &lt;EndNote&gt;&lt;Cite&gt;&lt;Author&gt;Therapeutic Goods Administration&lt;/Author&gt;&lt;Year&gt;2021 Jul.&lt;/Year&gt;&lt;RecNum&gt;40&lt;/RecNum&gt;&lt;DisplayText&gt;(41)&lt;/DisplayText&gt;&lt;record&gt;&lt;rec-number&gt;40&lt;/rec-number&gt;&lt;foreign-keys&gt;&lt;key app="EN" db-id="t5prptatr9sp0we5exbxt9zz20fwp55tdza9" timestamp="1643145641"&gt;40&lt;/key&gt;&lt;/foreign-keys&gt;&lt;ref-type name="Web Page"&gt;12&lt;/ref-type&gt;&lt;contributors&gt;&lt;authors&gt;&lt;author&gt;Therapeutic Goods Administration,&lt;/author&gt;&lt;/authors&gt;&lt;/contributors&gt;&lt;titles&gt;&lt;title&gt;Overview of the regulation of listed medicines and registered complementary medicines. &lt;/title&gt;&lt;/titles&gt;&lt;dates&gt;&lt;year&gt;2021 Jul.&lt;/year&gt;&lt;/dates&gt;&lt;pub-location&gt;Canberra&lt;/pub-location&gt;&lt;publisher&gt;Commonwealth of Australia&lt;/publisher&gt;&lt;urls&gt;&lt;related-urls&gt;&lt;url&gt;https://www.tga.gov.au/resource/overview-regulation-listed-medicines-and-registered-complementary-medicines&lt;/url&gt;&lt;/related-urls&gt;&lt;/urls&gt;&lt;/record&gt;&lt;/Cite&gt;&lt;/EndNote&gt;</w:instrText>
      </w:r>
      <w:r w:rsidRPr="00A55335">
        <w:fldChar w:fldCharType="separate"/>
      </w:r>
      <w:r w:rsidR="00FA37A6" w:rsidRPr="00A55335">
        <w:rPr>
          <w:noProof/>
        </w:rPr>
        <w:t>(</w:t>
      </w:r>
      <w:hyperlink w:anchor="_ENREF_41" w:tooltip="Therapeutic Goods Administration, 2021 Jul. #40" w:history="1">
        <w:r w:rsidR="00EC2769" w:rsidRPr="00A55335">
          <w:rPr>
            <w:noProof/>
          </w:rPr>
          <w:t>41</w:t>
        </w:r>
      </w:hyperlink>
      <w:r w:rsidR="00FA37A6" w:rsidRPr="00A55335">
        <w:rPr>
          <w:noProof/>
        </w:rPr>
        <w:t>)</w:t>
      </w:r>
      <w:r w:rsidRPr="00A55335">
        <w:fldChar w:fldCharType="end"/>
      </w:r>
      <w:r w:rsidRPr="00A55335">
        <w:t xml:space="preserve">. A homeopathic medicinal product prepared for a particular patient following a consultation (extemporaneous compounding) or to fill a prescription for that patient (dispensing) is also exempt from the requirement for </w:t>
      </w:r>
      <w:r w:rsidR="00D82DFC" w:rsidRPr="00A55335">
        <w:t xml:space="preserve">Australian Register of Therapeutic Goods </w:t>
      </w:r>
      <w:r w:rsidRPr="00A55335">
        <w:t>listing.</w:t>
      </w:r>
    </w:p>
    <w:p w14:paraId="62A4D374" w14:textId="555DAAFD" w:rsidR="00273414" w:rsidRPr="00A55335" w:rsidRDefault="00273414" w:rsidP="00273414">
      <w:pPr>
        <w:pStyle w:val="BodyText"/>
      </w:pPr>
      <w:r w:rsidRPr="00A55335">
        <w:t>Homeopaths are designated unregistered healthcare practitioners in Australia and are not required to be registered under legislation</w:t>
      </w:r>
      <w:r w:rsidR="00466263">
        <w:t>.</w:t>
      </w:r>
      <w:r w:rsidR="00622ABC">
        <w:t xml:space="preserve"> H</w:t>
      </w:r>
      <w:r w:rsidRPr="00A55335">
        <w:t xml:space="preserve">omeopaths have established their own registration body which sets educational standards according to Government guidelines </w:t>
      </w:r>
      <w:r w:rsidRPr="00A55335">
        <w:fldChar w:fldCharType="begin"/>
      </w:r>
      <w:r w:rsidR="006952AD">
        <w:instrText xml:space="preserve"> ADDIN EN.CITE &lt;EndNote&gt;&lt;Cite ExcludeAuth="1"&gt;&lt;Author&gt;Australian Homoeopathic Association&lt;/Author&gt;&lt;Year&gt;2021&lt;/Year&gt;&lt;RecNum&gt;36&lt;/RecNum&gt;&lt;DisplayText&gt;(40)&lt;/DisplayText&gt;&lt;record&gt;&lt;rec-number&gt;36&lt;/rec-number&gt;&lt;foreign-keys&gt;&lt;key app="EN" db-id="t5prptatr9sp0we5exbxt9zz20fwp55tdza9" timestamp="1643145635"&gt;36&lt;/key&gt;&lt;/foreign-keys&gt;&lt;ref-type name="Web Page"&gt;12&lt;/ref-type&gt;&lt;contributors&gt;&lt;authors&gt;&lt;author&gt;Australian Homoeopathic Association,&lt;/author&gt;&lt;/authors&gt;&lt;/contributors&gt;&lt;titles&gt;&lt;title&gt;Homoeopathy&lt;/title&gt;&lt;/titles&gt;&lt;volume&gt;2021&lt;/volume&gt;&lt;number&gt;05/05/2021&lt;/number&gt;&lt;dates&gt;&lt;year&gt;2021&lt;/year&gt;&lt;/dates&gt;&lt;urls&gt;&lt;related-urls&gt;&lt;url&gt;https://www.homeopathyoz.org/homoeopathy/homoeopathy&lt;/url&gt;&lt;/related-urls&gt;&lt;/urls&gt;&lt;research-notes&gt; Homeopathy&lt;/research-notes&gt;&lt;/record&gt;&lt;/Cite&gt;&lt;/EndNote&gt;</w:instrText>
      </w:r>
      <w:r w:rsidRPr="00A55335">
        <w:fldChar w:fldCharType="separate"/>
      </w:r>
      <w:r w:rsidR="00FA37A6" w:rsidRPr="00A55335">
        <w:rPr>
          <w:noProof/>
        </w:rPr>
        <w:t>(</w:t>
      </w:r>
      <w:hyperlink w:anchor="_ENREF_40" w:tooltip="Australian Homoeopathic Association, 2021 #36" w:history="1">
        <w:r w:rsidR="00EC2769" w:rsidRPr="00A55335">
          <w:rPr>
            <w:noProof/>
          </w:rPr>
          <w:t>40</w:t>
        </w:r>
      </w:hyperlink>
      <w:r w:rsidR="00FA37A6" w:rsidRPr="00A55335">
        <w:rPr>
          <w:noProof/>
        </w:rPr>
        <w:t>)</w:t>
      </w:r>
      <w:r w:rsidRPr="00A55335">
        <w:fldChar w:fldCharType="end"/>
      </w:r>
      <w:r w:rsidRPr="00A55335">
        <w:t xml:space="preserve">. The National Competency Standards in </w:t>
      </w:r>
      <w:r w:rsidR="005F03AD" w:rsidRPr="00A55335">
        <w:t>Homeopathy</w:t>
      </w:r>
      <w:r w:rsidRPr="00A55335">
        <w:t xml:space="preserve"> were established in 1999 to ensure practitioners of homeopathy are appropriately qualified and work within appropriate standards of ethical and professional behaviour to safeguard customers </w:t>
      </w:r>
      <w:r w:rsidRPr="00A55335">
        <w:fldChar w:fldCharType="begin"/>
      </w:r>
      <w:r w:rsidR="006952AD">
        <w:instrText xml:space="preserve"> ADDIN EN.CITE &lt;EndNote&gt;&lt;Cite&gt;&lt;Author&gt;Interim Committee for Australian Homoeopathic Standards&lt;/Author&gt;&lt;Year&gt;1999&lt;/Year&gt;&lt;RecNum&gt;41&lt;/RecNum&gt;&lt;DisplayText&gt;(42)&lt;/DisplayText&gt;&lt;record&gt;&lt;rec-number&gt;41&lt;/rec-number&gt;&lt;foreign-keys&gt;&lt;key app="EN" db-id="t5prptatr9sp0we5exbxt9zz20fwp55tdza9" timestamp="1643145642"&gt;41&lt;/key&gt;&lt;/foreign-keys&gt;&lt;ref-type name="Electronic Article"&gt;43&lt;/ref-type&gt;&lt;contributors&gt;&lt;authors&gt;&lt;author&gt;Interim Committee for Australian Homoeopathic Standards,&lt;/author&gt;&lt;/authors&gt;&lt;/contributors&gt;&lt;titles&gt;&lt;title&gt;National Competency Standards for Homoeopathy&lt;/title&gt;&lt;/titles&gt;&lt;dates&gt;&lt;year&gt;1999&lt;/year&gt;&lt;/dates&gt;&lt;publisher&gt;Interim Committee for Australian Homoeopathic Standards&lt;/publisher&gt;&lt;urls&gt;&lt;related-urls&gt;&lt;url&gt;https://www.aroh.com.au/Resources/Documents/National%20Competency%20Standards%20for%20Homoeopathy.pdf&lt;/url&gt;&lt;/related-urls&gt;&lt;/urls&gt;&lt;research-notes&gt; Homeopathy&lt;/research-notes&gt;&lt;/record&gt;&lt;/Cite&gt;&lt;/EndNote&gt;</w:instrText>
      </w:r>
      <w:r w:rsidRPr="00A55335">
        <w:fldChar w:fldCharType="separate"/>
      </w:r>
      <w:r w:rsidR="00FA37A6" w:rsidRPr="00A55335">
        <w:rPr>
          <w:noProof/>
        </w:rPr>
        <w:t>(</w:t>
      </w:r>
      <w:hyperlink w:anchor="_ENREF_42" w:tooltip="Interim Committee for Australian Homoeopathic Standards, 1999 #41" w:history="1">
        <w:r w:rsidR="00EC2769" w:rsidRPr="00A55335">
          <w:rPr>
            <w:noProof/>
          </w:rPr>
          <w:t>42</w:t>
        </w:r>
      </w:hyperlink>
      <w:r w:rsidR="00FA37A6" w:rsidRPr="00A55335">
        <w:rPr>
          <w:noProof/>
        </w:rPr>
        <w:t>)</w:t>
      </w:r>
      <w:r w:rsidRPr="00A55335">
        <w:fldChar w:fldCharType="end"/>
      </w:r>
      <w:r w:rsidRPr="00A55335">
        <w:t>. The Australian Register of Homoeopaths (</w:t>
      </w:r>
      <w:proofErr w:type="spellStart"/>
      <w:r w:rsidRPr="00A55335">
        <w:t>ARoH</w:t>
      </w:r>
      <w:proofErr w:type="spellEnd"/>
      <w:r w:rsidRPr="00A55335">
        <w:t xml:space="preserve">), also established in 1999, is the national registration board and self-regulation body for homeopaths </w:t>
      </w:r>
      <w:r w:rsidRPr="00A55335">
        <w:fldChar w:fldCharType="begin"/>
      </w:r>
      <w:r w:rsidR="006952AD">
        <w:instrText xml:space="preserve"> ADDIN EN.CITE &lt;EndNote&gt;&lt;Cite ExcludeYear="1"&gt;&lt;Author&gt;Australian Register of Homoeopaths Ltd&lt;/Author&gt;&lt;RecNum&gt;42&lt;/RecNum&gt;&lt;DisplayText&gt;(43)&lt;/DisplayText&gt;&lt;record&gt;&lt;rec-number&gt;42&lt;/rec-number&gt;&lt;foreign-keys&gt;&lt;key app="EN" db-id="t5prptatr9sp0we5exbxt9zz20fwp55tdza9" timestamp="1643145644"&gt;42&lt;/key&gt;&lt;/foreign-keys&gt;&lt;ref-type name="Electronic Article"&gt;43&lt;/ref-type&gt;&lt;contributors&gt;&lt;authors&gt;&lt;author&gt;Australian Register of Homoeopaths Ltd, &lt;/author&gt;&lt;/authors&gt;&lt;/contributors&gt;&lt;titles&gt;&lt;/titles&gt;&lt;volume&gt;2021&lt;/volume&gt;&lt;dates&gt;&lt;/dates&gt;&lt;urls&gt;&lt;related-urls&gt;&lt;url&gt;https://www.aroh.com.au/&lt;/url&gt;&lt;/related-urls&gt;&lt;/urls&gt;&lt;research-notes&gt; Homeopathy&lt;/research-notes&gt;&lt;/record&gt;&lt;/Cite&gt;&lt;/EndNote&gt;</w:instrText>
      </w:r>
      <w:r w:rsidRPr="00A55335">
        <w:fldChar w:fldCharType="separate"/>
      </w:r>
      <w:r w:rsidR="00FA37A6" w:rsidRPr="00A55335">
        <w:rPr>
          <w:noProof/>
        </w:rPr>
        <w:t>(</w:t>
      </w:r>
      <w:hyperlink w:anchor="_ENREF_43" w:tooltip="Australian Register of Homoeopaths Ltd,  #42" w:history="1">
        <w:r w:rsidR="00EC2769" w:rsidRPr="00A55335">
          <w:rPr>
            <w:noProof/>
          </w:rPr>
          <w:t>43</w:t>
        </w:r>
      </w:hyperlink>
      <w:r w:rsidR="00FA37A6" w:rsidRPr="00A55335">
        <w:rPr>
          <w:noProof/>
        </w:rPr>
        <w:t>)</w:t>
      </w:r>
      <w:r w:rsidRPr="00A55335">
        <w:fldChar w:fldCharType="end"/>
      </w:r>
      <w:r w:rsidRPr="00A55335">
        <w:t xml:space="preserve">. Certain criteria must be met to retain registration as a professional homeopathic practitioner with the </w:t>
      </w:r>
      <w:proofErr w:type="spellStart"/>
      <w:r w:rsidRPr="00A55335">
        <w:t>ARoH</w:t>
      </w:r>
      <w:proofErr w:type="spellEnd"/>
      <w:r w:rsidRPr="00A55335">
        <w:t xml:space="preserve"> including maintaining professional registration annually, meeting continuing professional development (CPD) requirements, and maintaining indemnity insurance </w:t>
      </w:r>
      <w:r w:rsidRPr="00A55335">
        <w:fldChar w:fldCharType="begin"/>
      </w:r>
      <w:r w:rsidR="006952AD">
        <w:instrText xml:space="preserve"> ADDIN EN.CITE &lt;EndNote&gt;&lt;Cite ExcludeYear="1"&gt;&lt;Author&gt;Australian Register of Homoeopaths Ltd&lt;/Author&gt;&lt;RecNum&gt;42&lt;/RecNum&gt;&lt;DisplayText&gt;(43)&lt;/DisplayText&gt;&lt;record&gt;&lt;rec-number&gt;42&lt;/rec-number&gt;&lt;foreign-keys&gt;&lt;key app="EN" db-id="t5prptatr9sp0we5exbxt9zz20fwp55tdza9" timestamp="1643145644"&gt;42&lt;/key&gt;&lt;/foreign-keys&gt;&lt;ref-type name="Electronic Article"&gt;43&lt;/ref-type&gt;&lt;contributors&gt;&lt;authors&gt;&lt;author&gt;Australian Register of Homoeopaths Ltd, &lt;/author&gt;&lt;/authors&gt;&lt;/contributors&gt;&lt;titles&gt;&lt;/titles&gt;&lt;volume&gt;2021&lt;/volume&gt;&lt;dates&gt;&lt;/dates&gt;&lt;urls&gt;&lt;related-urls&gt;&lt;url&gt;https://www.aroh.com.au/&lt;/url&gt;&lt;/related-urls&gt;&lt;/urls&gt;&lt;research-notes&gt; Homeopathy&lt;/research-notes&gt;&lt;/record&gt;&lt;/Cite&gt;&lt;/EndNote&gt;</w:instrText>
      </w:r>
      <w:r w:rsidRPr="00A55335">
        <w:fldChar w:fldCharType="separate"/>
      </w:r>
      <w:r w:rsidR="00FA37A6" w:rsidRPr="00A55335">
        <w:rPr>
          <w:noProof/>
        </w:rPr>
        <w:t>(</w:t>
      </w:r>
      <w:hyperlink w:anchor="_ENREF_43" w:tooltip="Australian Register of Homoeopaths Ltd,  #42" w:history="1">
        <w:r w:rsidR="00EC2769" w:rsidRPr="00A55335">
          <w:rPr>
            <w:noProof/>
          </w:rPr>
          <w:t>43</w:t>
        </w:r>
      </w:hyperlink>
      <w:r w:rsidR="00FA37A6" w:rsidRPr="00A55335">
        <w:rPr>
          <w:noProof/>
        </w:rPr>
        <w:t>)</w:t>
      </w:r>
      <w:r w:rsidRPr="00A55335">
        <w:fldChar w:fldCharType="end"/>
      </w:r>
      <w:r w:rsidRPr="00A55335">
        <w:t xml:space="preserve">. Prior to 2019, health fund rebates for homeopathic services were provided only to those who sought advice from practitioners who were registered with </w:t>
      </w:r>
      <w:proofErr w:type="spellStart"/>
      <w:r w:rsidRPr="00A55335">
        <w:t>ARoH</w:t>
      </w:r>
      <w:proofErr w:type="spellEnd"/>
      <w:r w:rsidRPr="00A55335">
        <w:t xml:space="preserve"> or members of certain associations </w:t>
      </w:r>
      <w:r w:rsidRPr="00A55335">
        <w:fldChar w:fldCharType="begin"/>
      </w:r>
      <w:r w:rsidR="006952AD">
        <w:instrText xml:space="preserve"> ADDIN EN.CITE &lt;EndNote&gt;&lt;Cite&gt;&lt;Author&gt;Australian Register of Homoeopaths Ltd&lt;/Author&gt;&lt;Year&gt;2018 Jul&lt;/Year&gt;&lt;RecNum&gt;43&lt;/RecNum&gt;&lt;DisplayText&gt;(44)&lt;/DisplayText&gt;&lt;record&gt;&lt;rec-number&gt;43&lt;/rec-number&gt;&lt;foreign-keys&gt;&lt;key app="EN" db-id="t5prptatr9sp0we5exbxt9zz20fwp55tdza9" timestamp="1643145645"&gt;43&lt;/key&gt;&lt;/foreign-keys&gt;&lt;ref-type name="Electronic Article"&gt;43&lt;/ref-type&gt;&lt;contributors&gt;&lt;authors&gt;&lt;author&gt;Australian Register of Homoeopaths Ltd,&lt;/author&gt;&lt;/authors&gt;&lt;/contributors&gt;&lt;titles&gt;&lt;title&gt;Upgraded credentialing process for homoeopathy practitioners in Australia &lt;/title&gt;&lt;/titles&gt;&lt;number&gt;Version 1.1&lt;/number&gt;&lt;section&gt;Effective Date July, 2018&lt;/section&gt;&lt;dates&gt;&lt;year&gt;2018 Jul&lt;/year&gt;&lt;/dates&gt;&lt;urls&gt;&lt;related-urls&gt;&lt;url&gt; https://www.aroh.com.au/resources/Documents/CREDENTIALING%20FOR%20HOMEOPATHIC%20PRACTIONERS_V1.1%20Jul%2018.pdf&lt;/url&gt;&lt;/related-urls&gt;&lt;/urls&gt;&lt;/record&gt;&lt;/Cite&gt;&lt;/EndNote&gt;</w:instrText>
      </w:r>
      <w:r w:rsidRPr="00A55335">
        <w:fldChar w:fldCharType="separate"/>
      </w:r>
      <w:r w:rsidR="00FA37A6" w:rsidRPr="00A55335">
        <w:rPr>
          <w:noProof/>
        </w:rPr>
        <w:t>(</w:t>
      </w:r>
      <w:hyperlink w:anchor="_ENREF_44" w:tooltip="Australian Register of Homoeopaths Ltd, 2018 Jul #43" w:history="1">
        <w:r w:rsidR="00EC2769" w:rsidRPr="00A55335">
          <w:rPr>
            <w:noProof/>
          </w:rPr>
          <w:t>44</w:t>
        </w:r>
      </w:hyperlink>
      <w:r w:rsidR="00FA37A6" w:rsidRPr="00A55335">
        <w:rPr>
          <w:noProof/>
        </w:rPr>
        <w:t>)</w:t>
      </w:r>
      <w:r w:rsidRPr="00A55335">
        <w:fldChar w:fldCharType="end"/>
      </w:r>
      <w:r w:rsidRPr="00A55335">
        <w:t>.</w:t>
      </w:r>
    </w:p>
    <w:p w14:paraId="6850F6AF" w14:textId="1FC1A303" w:rsidR="00273414" w:rsidRPr="00A55335" w:rsidRDefault="00273414" w:rsidP="00273414">
      <w:pPr>
        <w:pStyle w:val="BodyText"/>
      </w:pPr>
      <w:r w:rsidRPr="00A55335">
        <w:t xml:space="preserve">Regulation of unregistered health practitioners (including homeopaths) varies across jurisdictions in Australia </w:t>
      </w:r>
      <w:r w:rsidRPr="00A55335">
        <w:fldChar w:fldCharType="begin"/>
      </w:r>
      <w:r w:rsidR="006952AD">
        <w:instrText xml:space="preserve"> ADDIN EN.CITE &lt;EndNote&gt;&lt;Cite&gt;&lt;Author&gt;Australian Health Ministers’ Advisory Council&lt;/Author&gt;&lt;Year&gt;2014&lt;/Year&gt;&lt;RecNum&gt;44&lt;/RecNum&gt;&lt;DisplayText&gt;(45)&lt;/DisplayText&gt;&lt;record&gt;&lt;rec-number&gt;44&lt;/rec-number&gt;&lt;foreign-keys&gt;&lt;key app="EN" db-id="t5prptatr9sp0we5exbxt9zz20fwp55tdza9" timestamp="1643145647"&gt;44&lt;/key&gt;&lt;/foreign-keys&gt;&lt;ref-type name="Web Page"&gt;12&lt;/ref-type&gt;&lt;contributors&gt;&lt;authors&gt;&lt;author&gt;Australian Health Ministers’ Advisory Council,&lt;/author&gt;&lt;/authors&gt;&lt;/contributors&gt;&lt;titles&gt;&lt;title&gt;A National Code of Conduct for health care workers&lt;/title&gt;&lt;/titles&gt;&lt;dates&gt;&lt;year&gt;2014&lt;/year&gt;&lt;/dates&gt;&lt;urls&gt;&lt;related-urls&gt;&lt;url&gt;http://www.coaghealthcouncil.gov.au/NationalCodeOfConductForHealthCareWorkers&lt;/url&gt;&lt;/related-urls&gt;&lt;/urls&gt;&lt;/record&gt;&lt;/Cite&gt;&lt;/EndNote&gt;</w:instrText>
      </w:r>
      <w:r w:rsidRPr="00A55335">
        <w:fldChar w:fldCharType="separate"/>
      </w:r>
      <w:r w:rsidR="00FA37A6" w:rsidRPr="00A55335">
        <w:rPr>
          <w:noProof/>
        </w:rPr>
        <w:t>(</w:t>
      </w:r>
      <w:hyperlink w:anchor="_ENREF_45" w:tooltip="Australian Health Ministers’ Advisory Council, 2014 #44" w:history="1">
        <w:r w:rsidR="00EC2769" w:rsidRPr="00A55335">
          <w:rPr>
            <w:noProof/>
          </w:rPr>
          <w:t>45</w:t>
        </w:r>
      </w:hyperlink>
      <w:r w:rsidR="00FA37A6" w:rsidRPr="00A55335">
        <w:rPr>
          <w:noProof/>
        </w:rPr>
        <w:t>)</w:t>
      </w:r>
      <w:r w:rsidRPr="00A55335">
        <w:fldChar w:fldCharType="end"/>
      </w:r>
      <w:r w:rsidRPr="00A55335">
        <w:t xml:space="preserve">. In 2014, the Australian Health Ministers’ Advisory Council published the National Code of Conduct for health care workers, a set of recommended provisions for health care complaints and enforcement powers </w:t>
      </w:r>
      <w:r w:rsidRPr="00A55335">
        <w:fldChar w:fldCharType="begin"/>
      </w:r>
      <w:r w:rsidR="006952AD">
        <w:instrText xml:space="preserve"> ADDIN EN.CITE &lt;EndNote&gt;&lt;Cite&gt;&lt;Author&gt;Australian Health Ministers’ Advisory Council&lt;/Author&gt;&lt;Year&gt;2014&lt;/Year&gt;&lt;RecNum&gt;44&lt;/RecNum&gt;&lt;DisplayText&gt;(45)&lt;/DisplayText&gt;&lt;record&gt;&lt;rec-number&gt;44&lt;/rec-number&gt;&lt;foreign-keys&gt;&lt;key app="EN" db-id="t5prptatr9sp0we5exbxt9zz20fwp55tdza9" timestamp="1643145647"&gt;44&lt;/key&gt;&lt;/foreign-keys&gt;&lt;ref-type name="Web Page"&gt;12&lt;/ref-type&gt;&lt;contributors&gt;&lt;authors&gt;&lt;author&gt;Australian Health Ministers’ Advisory Council,&lt;/author&gt;&lt;/authors&gt;&lt;/contributors&gt;&lt;titles&gt;&lt;title&gt;A National Code of Conduct for health care workers&lt;/title&gt;&lt;/titles&gt;&lt;dates&gt;&lt;year&gt;2014&lt;/year&gt;&lt;/dates&gt;&lt;urls&gt;&lt;related-urls&gt;&lt;url&gt;http://www.coaghealthcouncil.gov.au/NationalCodeOfConductForHealthCareWorkers&lt;/url&gt;&lt;/related-urls&gt;&lt;/urls&gt;&lt;/record&gt;&lt;/Cite&gt;&lt;/EndNote&gt;</w:instrText>
      </w:r>
      <w:r w:rsidRPr="00A55335">
        <w:fldChar w:fldCharType="separate"/>
      </w:r>
      <w:r w:rsidR="00FA37A6" w:rsidRPr="00A55335">
        <w:rPr>
          <w:noProof/>
        </w:rPr>
        <w:t>(</w:t>
      </w:r>
      <w:hyperlink w:anchor="_ENREF_45" w:tooltip="Australian Health Ministers’ Advisory Council, 2014 #44" w:history="1">
        <w:r w:rsidR="00EC2769" w:rsidRPr="00A55335">
          <w:rPr>
            <w:noProof/>
          </w:rPr>
          <w:t>45</w:t>
        </w:r>
      </w:hyperlink>
      <w:r w:rsidR="00FA37A6" w:rsidRPr="00A55335">
        <w:rPr>
          <w:noProof/>
        </w:rPr>
        <w:t>)</w:t>
      </w:r>
      <w:r w:rsidRPr="00A55335">
        <w:fldChar w:fldCharType="end"/>
      </w:r>
      <w:r w:rsidRPr="00A55335">
        <w:t xml:space="preserve">. To date, New South Wales, Queensland, South Australia and Victoria have enacted legislation to implement the National Code </w:t>
      </w:r>
      <w:r w:rsidRPr="00A55335">
        <w:fldChar w:fldCharType="begin"/>
      </w:r>
      <w:r w:rsidR="006952AD">
        <w:instrText xml:space="preserve"> ADDIN EN.CITE &lt;EndNote&gt;&lt;Cite&gt;&lt;Author&gt;Doolan A&lt;/Author&gt;&lt;Year&gt;2020 Feb&lt;/Year&gt;&lt;RecNum&gt;45&lt;/RecNum&gt;&lt;DisplayText&gt;(46)&lt;/DisplayText&gt;&lt;record&gt;&lt;rec-number&gt;45&lt;/rec-number&gt;&lt;foreign-keys&gt;&lt;key app="EN" db-id="t5prptatr9sp0we5exbxt9zz20fwp55tdza9" timestamp="1643145649"&gt;45&lt;/key&gt;&lt;/foreign-keys&gt;&lt;ref-type name="Journal Article"&gt;17&lt;/ref-type&gt;&lt;contributors&gt;&lt;authors&gt;&lt;author&gt;Doolan A,&lt;/author&gt;&lt;author&gt;Carne G,&lt;/author&gt;&lt;/authors&gt;&lt;/contributors&gt;&lt;titles&gt;&lt;title&gt;Evolution and Complementarity? Traditional and Complementary Medicine as Part of the International Human Rights Law Right to Health.&lt;/title&gt;&lt;secondary-title&gt;Bond Law Review&lt;/secondary-title&gt;&lt;/titles&gt;&lt;periodical&gt;&lt;full-title&gt;Bond Law Review&lt;/full-title&gt;&lt;/periodical&gt;&lt;pages&gt;32&lt;/pages&gt;&lt;number&gt;6&lt;/number&gt;&lt;dates&gt;&lt;year&gt;2020 Feb&lt;/year&gt;&lt;/dates&gt;&lt;urls&gt;&lt;/urls&gt;&lt;/record&gt;&lt;/Cite&gt;&lt;/EndNote&gt;</w:instrText>
      </w:r>
      <w:r w:rsidRPr="00A55335">
        <w:fldChar w:fldCharType="separate"/>
      </w:r>
      <w:r w:rsidR="00FA37A6" w:rsidRPr="00A55335">
        <w:rPr>
          <w:noProof/>
        </w:rPr>
        <w:t>(</w:t>
      </w:r>
      <w:hyperlink w:anchor="_ENREF_46" w:tooltip="Doolan A, 2020 Feb #45" w:history="1">
        <w:r w:rsidR="00EC2769" w:rsidRPr="00A55335">
          <w:rPr>
            <w:noProof/>
          </w:rPr>
          <w:t>46</w:t>
        </w:r>
      </w:hyperlink>
      <w:r w:rsidR="00FA37A6" w:rsidRPr="00A55335">
        <w:rPr>
          <w:noProof/>
        </w:rPr>
        <w:t>)</w:t>
      </w:r>
      <w:r w:rsidRPr="00A55335">
        <w:fldChar w:fldCharType="end"/>
      </w:r>
      <w:r w:rsidRPr="00A55335">
        <w:t xml:space="preserve">. These regulatory regimes have been described as ‘negative licensing’, as they do not restrict who can provide health services (e.g. based on minimum qualifications) but enable disciplinary action to be taken against practitioners that fail to comply with minimum standards </w:t>
      </w:r>
      <w:r w:rsidRPr="00A55335">
        <w:fldChar w:fldCharType="begin"/>
      </w:r>
      <w:r w:rsidR="006952AD">
        <w:instrText xml:space="preserve"> ADDIN EN.CITE &lt;EndNote&gt;&lt;Cite&gt;&lt;Author&gt;Doolan A&lt;/Author&gt;&lt;Year&gt;2020 Feb&lt;/Year&gt;&lt;RecNum&gt;45&lt;/RecNum&gt;&lt;DisplayText&gt;(46)&lt;/DisplayText&gt;&lt;record&gt;&lt;rec-number&gt;45&lt;/rec-number&gt;&lt;foreign-keys&gt;&lt;key app="EN" db-id="t5prptatr9sp0we5exbxt9zz20fwp55tdza9" timestamp="1643145649"&gt;45&lt;/key&gt;&lt;/foreign-keys&gt;&lt;ref-type name="Journal Article"&gt;17&lt;/ref-type&gt;&lt;contributors&gt;&lt;authors&gt;&lt;author&gt;Doolan A,&lt;/author&gt;&lt;author&gt;Carne G,&lt;/author&gt;&lt;/authors&gt;&lt;/contributors&gt;&lt;titles&gt;&lt;title&gt;Evolution and Complementarity? Traditional and Complementary Medicine as Part of the International Human Rights Law Right to Health.&lt;/title&gt;&lt;secondary-title&gt;Bond Law Review&lt;/secondary-title&gt;&lt;/titles&gt;&lt;periodical&gt;&lt;full-title&gt;Bond Law Review&lt;/full-title&gt;&lt;/periodical&gt;&lt;pages&gt;32&lt;/pages&gt;&lt;number&gt;6&lt;/number&gt;&lt;dates&gt;&lt;year&gt;2020 Feb&lt;/year&gt;&lt;/dates&gt;&lt;urls&gt;&lt;/urls&gt;&lt;/record&gt;&lt;/Cite&gt;&lt;/EndNote&gt;</w:instrText>
      </w:r>
      <w:r w:rsidRPr="00A55335">
        <w:fldChar w:fldCharType="separate"/>
      </w:r>
      <w:r w:rsidR="00FA37A6" w:rsidRPr="00A55335">
        <w:rPr>
          <w:noProof/>
        </w:rPr>
        <w:t>(</w:t>
      </w:r>
      <w:hyperlink w:anchor="_ENREF_46" w:tooltip="Doolan A, 2020 Feb #45" w:history="1">
        <w:r w:rsidR="00EC2769" w:rsidRPr="00A55335">
          <w:rPr>
            <w:noProof/>
          </w:rPr>
          <w:t>46</w:t>
        </w:r>
      </w:hyperlink>
      <w:r w:rsidR="00FA37A6" w:rsidRPr="00A55335">
        <w:rPr>
          <w:noProof/>
        </w:rPr>
        <w:t>)</w:t>
      </w:r>
      <w:r w:rsidRPr="00A55335">
        <w:fldChar w:fldCharType="end"/>
      </w:r>
      <w:r w:rsidRPr="00A55335">
        <w:t xml:space="preserve">. Disciplinary action can include imposing fines and issuing orders that prohibit or set conditions on practice. Some states or territories that have not yet enacted the National Code have provisions in existing legislation enabling complaints to be made about various unregistered health practitioners including homeopaths (for example, Tasmania) </w:t>
      </w:r>
      <w:r w:rsidRPr="00A55335">
        <w:fldChar w:fldCharType="begin"/>
      </w:r>
      <w:r w:rsidR="006952AD">
        <w:instrText xml:space="preserve"> ADDIN EN.CITE &lt;EndNote&gt;&lt;Cite&gt;&lt;Author&gt;Australian Health Ministers’ Advisory Council&lt;/Author&gt;&lt;Year&gt;2014&lt;/Year&gt;&lt;RecNum&gt;44&lt;/RecNum&gt;&lt;DisplayText&gt;(45)&lt;/DisplayText&gt;&lt;record&gt;&lt;rec-number&gt;44&lt;/rec-number&gt;&lt;foreign-keys&gt;&lt;key app="EN" db-id="t5prptatr9sp0we5exbxt9zz20fwp55tdza9" timestamp="1643145647"&gt;44&lt;/key&gt;&lt;/foreign-keys&gt;&lt;ref-type name="Web Page"&gt;12&lt;/ref-type&gt;&lt;contributors&gt;&lt;authors&gt;&lt;author&gt;Australian Health Ministers’ Advisory Council,&lt;/author&gt;&lt;/authors&gt;&lt;/contributors&gt;&lt;titles&gt;&lt;title&gt;A National Code of Conduct for health care workers&lt;/title&gt;&lt;/titles&gt;&lt;dates&gt;&lt;year&gt;2014&lt;/year&gt;&lt;/dates&gt;&lt;urls&gt;&lt;related-urls&gt;&lt;url&gt;http://www.coaghealthcouncil.gov.au/NationalCodeOfConductForHealthCareWorkers&lt;/url&gt;&lt;/related-urls&gt;&lt;/urls&gt;&lt;/record&gt;&lt;/Cite&gt;&lt;/EndNote&gt;</w:instrText>
      </w:r>
      <w:r w:rsidRPr="00A55335">
        <w:fldChar w:fldCharType="separate"/>
      </w:r>
      <w:r w:rsidR="00FA37A6" w:rsidRPr="00A55335">
        <w:rPr>
          <w:noProof/>
        </w:rPr>
        <w:t>(</w:t>
      </w:r>
      <w:hyperlink w:anchor="_ENREF_45" w:tooltip="Australian Health Ministers’ Advisory Council, 2014 #44" w:history="1">
        <w:r w:rsidR="00EC2769" w:rsidRPr="00A55335">
          <w:rPr>
            <w:noProof/>
          </w:rPr>
          <w:t>45</w:t>
        </w:r>
      </w:hyperlink>
      <w:r w:rsidR="00FA37A6" w:rsidRPr="00A55335">
        <w:rPr>
          <w:noProof/>
        </w:rPr>
        <w:t>)</w:t>
      </w:r>
      <w:r w:rsidRPr="00A55335">
        <w:fldChar w:fldCharType="end"/>
      </w:r>
      <w:r w:rsidRPr="00A55335">
        <w:t>.</w:t>
      </w:r>
    </w:p>
    <w:p w14:paraId="6BEF28F8" w14:textId="5178BB3D" w:rsidR="00DD505D" w:rsidRPr="00A55335" w:rsidRDefault="00273414" w:rsidP="00273414">
      <w:pPr>
        <w:pStyle w:val="BodyText"/>
      </w:pPr>
      <w:r w:rsidRPr="00A55335">
        <w:lastRenderedPageBreak/>
        <w:t xml:space="preserve">In Australia homeopaths are mostly self-employed in private, clinical practice in major towns and cities </w:t>
      </w:r>
      <w:r w:rsidRPr="00A55335">
        <w:fldChar w:fldCharType="begin"/>
      </w:r>
      <w:r w:rsidR="006952AD">
        <w:instrText xml:space="preserve"> ADDIN EN.CITE &lt;EndNote&gt;&lt;Cite&gt;&lt;Author&gt;Interim Committee for Australian Homoeopathic Standards&lt;/Author&gt;&lt;Year&gt;1999&lt;/Year&gt;&lt;RecNum&gt;41&lt;/RecNum&gt;&lt;DisplayText&gt;(42)&lt;/DisplayText&gt;&lt;record&gt;&lt;rec-number&gt;41&lt;/rec-number&gt;&lt;foreign-keys&gt;&lt;key app="EN" db-id="t5prptatr9sp0we5exbxt9zz20fwp55tdza9" timestamp="1643145642"&gt;41&lt;/key&gt;&lt;/foreign-keys&gt;&lt;ref-type name="Electronic Article"&gt;43&lt;/ref-type&gt;&lt;contributors&gt;&lt;authors&gt;&lt;author&gt;Interim Committee for Australian Homoeopathic Standards,&lt;/author&gt;&lt;/authors&gt;&lt;/contributors&gt;&lt;titles&gt;&lt;title&gt;National Competency Standards for Homoeopathy&lt;/title&gt;&lt;/titles&gt;&lt;dates&gt;&lt;year&gt;1999&lt;/year&gt;&lt;/dates&gt;&lt;publisher&gt;Interim Committee for Australian Homoeopathic Standards&lt;/publisher&gt;&lt;urls&gt;&lt;related-urls&gt;&lt;url&gt;https://www.aroh.com.au/Resources/Documents/National%20Competency%20Standards%20for%20Homoeopathy.pdf&lt;/url&gt;&lt;/related-urls&gt;&lt;/urls&gt;&lt;research-notes&gt; Homeopathy&lt;/research-notes&gt;&lt;/record&gt;&lt;/Cite&gt;&lt;/EndNote&gt;</w:instrText>
      </w:r>
      <w:r w:rsidRPr="00A55335">
        <w:fldChar w:fldCharType="separate"/>
      </w:r>
      <w:r w:rsidR="00FA37A6" w:rsidRPr="00A55335">
        <w:rPr>
          <w:noProof/>
        </w:rPr>
        <w:t>(</w:t>
      </w:r>
      <w:hyperlink w:anchor="_ENREF_42" w:tooltip="Interim Committee for Australian Homoeopathic Standards, 1999 #41" w:history="1">
        <w:r w:rsidR="00EC2769" w:rsidRPr="00A55335">
          <w:rPr>
            <w:noProof/>
          </w:rPr>
          <w:t>42</w:t>
        </w:r>
      </w:hyperlink>
      <w:r w:rsidR="00FA37A6" w:rsidRPr="00A55335">
        <w:rPr>
          <w:noProof/>
        </w:rPr>
        <w:t>)</w:t>
      </w:r>
      <w:r w:rsidRPr="00A55335">
        <w:fldChar w:fldCharType="end"/>
      </w:r>
      <w:r w:rsidRPr="00A55335">
        <w:t xml:space="preserve">. As primary health care providers, homeopaths </w:t>
      </w:r>
      <w:r w:rsidR="00247345">
        <w:t xml:space="preserve">can </w:t>
      </w:r>
      <w:r w:rsidRPr="00A55335">
        <w:t xml:space="preserve">offer a unique, specialised and holistic approach to health and preventive healthcare </w:t>
      </w:r>
      <w:r w:rsidRPr="00A55335">
        <w:fldChar w:fldCharType="begin"/>
      </w:r>
      <w:r w:rsidR="006952AD">
        <w:instrText xml:space="preserve"> ADDIN EN.CITE &lt;EndNote&gt;&lt;Cite&gt;&lt;Author&gt;Interim Committee for Australian Homoeopathic Standards&lt;/Author&gt;&lt;Year&gt;1999&lt;/Year&gt;&lt;RecNum&gt;41&lt;/RecNum&gt;&lt;DisplayText&gt;(42)&lt;/DisplayText&gt;&lt;record&gt;&lt;rec-number&gt;41&lt;/rec-number&gt;&lt;foreign-keys&gt;&lt;key app="EN" db-id="t5prptatr9sp0we5exbxt9zz20fwp55tdza9" timestamp="1643145642"&gt;41&lt;/key&gt;&lt;/foreign-keys&gt;&lt;ref-type name="Electronic Article"&gt;43&lt;/ref-type&gt;&lt;contributors&gt;&lt;authors&gt;&lt;author&gt;Interim Committee for Australian Homoeopathic Standards,&lt;/author&gt;&lt;/authors&gt;&lt;/contributors&gt;&lt;titles&gt;&lt;title&gt;National Competency Standards for Homoeopathy&lt;/title&gt;&lt;/titles&gt;&lt;dates&gt;&lt;year&gt;1999&lt;/year&gt;&lt;/dates&gt;&lt;publisher&gt;Interim Committee for Australian Homoeopathic Standards&lt;/publisher&gt;&lt;urls&gt;&lt;related-urls&gt;&lt;url&gt;https://www.aroh.com.au/Resources/Documents/National%20Competency%20Standards%20for%20Homoeopathy.pdf&lt;/url&gt;&lt;/related-urls&gt;&lt;/urls&gt;&lt;research-notes&gt; Homeopathy&lt;/research-notes&gt;&lt;/record&gt;&lt;/Cite&gt;&lt;/EndNote&gt;</w:instrText>
      </w:r>
      <w:r w:rsidRPr="00A55335">
        <w:fldChar w:fldCharType="separate"/>
      </w:r>
      <w:r w:rsidR="00FA37A6" w:rsidRPr="00A55335">
        <w:rPr>
          <w:noProof/>
        </w:rPr>
        <w:t>(</w:t>
      </w:r>
      <w:hyperlink w:anchor="_ENREF_42" w:tooltip="Interim Committee for Australian Homoeopathic Standards, 1999 #41" w:history="1">
        <w:r w:rsidR="00EC2769" w:rsidRPr="00A55335">
          <w:rPr>
            <w:noProof/>
          </w:rPr>
          <w:t>42</w:t>
        </w:r>
      </w:hyperlink>
      <w:r w:rsidR="00FA37A6" w:rsidRPr="00A55335">
        <w:rPr>
          <w:noProof/>
        </w:rPr>
        <w:t>)</w:t>
      </w:r>
      <w:r w:rsidRPr="00A55335">
        <w:fldChar w:fldCharType="end"/>
      </w:r>
      <w:r w:rsidRPr="00A55335">
        <w:t xml:space="preserve">. Members of the public may choose to consult with homeopaths in conjunction with conventional healthcare providers. In addition to prescribing homeopathic medicinal products, homeopaths </w:t>
      </w:r>
      <w:r w:rsidR="006510C0">
        <w:t xml:space="preserve">can </w:t>
      </w:r>
      <w:r w:rsidRPr="00A55335">
        <w:t xml:space="preserve">also integrate several other techniques to facilitate the homeopathic therapeutic approach, such as nutritional guidance, personal hygiene, and counselling </w:t>
      </w:r>
      <w:r w:rsidRPr="00A55335">
        <w:fldChar w:fldCharType="begin"/>
      </w:r>
      <w:r w:rsidR="006952AD">
        <w:instrText xml:space="preserve"> ADDIN EN.CITE &lt;EndNote&gt;&lt;Cite&gt;&lt;Author&gt;Interim Committee for Australian Homoeopathic Standards&lt;/Author&gt;&lt;Year&gt;1999&lt;/Year&gt;&lt;RecNum&gt;41&lt;/RecNum&gt;&lt;DisplayText&gt;(42)&lt;/DisplayText&gt;&lt;record&gt;&lt;rec-number&gt;41&lt;/rec-number&gt;&lt;foreign-keys&gt;&lt;key app="EN" db-id="t5prptatr9sp0we5exbxt9zz20fwp55tdza9" timestamp="1643145642"&gt;41&lt;/key&gt;&lt;/foreign-keys&gt;&lt;ref-type name="Electronic Article"&gt;43&lt;/ref-type&gt;&lt;contributors&gt;&lt;authors&gt;&lt;author&gt;Interim Committee for Australian Homoeopathic Standards,&lt;/author&gt;&lt;/authors&gt;&lt;/contributors&gt;&lt;titles&gt;&lt;title&gt;National Competency Standards for Homoeopathy&lt;/title&gt;&lt;/titles&gt;&lt;dates&gt;&lt;year&gt;1999&lt;/year&gt;&lt;/dates&gt;&lt;publisher&gt;Interim Committee for Australian Homoeopathic Standards&lt;/publisher&gt;&lt;urls&gt;&lt;related-urls&gt;&lt;url&gt;https://www.aroh.com.au/Resources/Documents/National%20Competency%20Standards%20for%20Homoeopathy.pdf&lt;/url&gt;&lt;/related-urls&gt;&lt;/urls&gt;&lt;research-notes&gt; Homeopathy&lt;/research-notes&gt;&lt;/record&gt;&lt;/Cite&gt;&lt;/EndNote&gt;</w:instrText>
      </w:r>
      <w:r w:rsidRPr="00A55335">
        <w:fldChar w:fldCharType="separate"/>
      </w:r>
      <w:r w:rsidR="00FA37A6" w:rsidRPr="00A55335">
        <w:rPr>
          <w:noProof/>
        </w:rPr>
        <w:t>(</w:t>
      </w:r>
      <w:hyperlink w:anchor="_ENREF_42" w:tooltip="Interim Committee for Australian Homoeopathic Standards, 1999 #41" w:history="1">
        <w:r w:rsidR="00EC2769" w:rsidRPr="00A55335">
          <w:rPr>
            <w:noProof/>
          </w:rPr>
          <w:t>42</w:t>
        </w:r>
      </w:hyperlink>
      <w:r w:rsidR="00FA37A6" w:rsidRPr="00A55335">
        <w:rPr>
          <w:noProof/>
        </w:rPr>
        <w:t>)</w:t>
      </w:r>
      <w:r w:rsidRPr="00A55335">
        <w:fldChar w:fldCharType="end"/>
      </w:r>
      <w:r w:rsidRPr="00A55335">
        <w:t xml:space="preserve">. Generally, homeopaths require long consultations, usually at least an hour, whereby all aspects of a patient’s illness and life are considered, and then treatment is chosen based on the patient as a whole and not on the illness or symptoms alone </w:t>
      </w:r>
      <w:r w:rsidRPr="00A55335">
        <w:fldChar w:fldCharType="begin"/>
      </w:r>
      <w:r w:rsidR="006952AD">
        <w:instrText xml:space="preserve"> ADDIN EN.CITE &lt;EndNote&gt;&lt;Cite&gt;&lt;Author&gt;Loudon&lt;/Author&gt;&lt;Year&gt;2006&lt;/Year&gt;&lt;RecNum&gt;46&lt;/RecNum&gt;&lt;DisplayText&gt;(47)&lt;/DisplayText&gt;&lt;record&gt;&lt;rec-number&gt;46&lt;/rec-number&gt;&lt;foreign-keys&gt;&lt;key app="EN" db-id="t5prptatr9sp0we5exbxt9zz20fwp55tdza9" timestamp="1643145650"&gt;46&lt;/key&gt;&lt;/foreign-keys&gt;&lt;ref-type name="Journal Article"&gt;17&lt;/ref-type&gt;&lt;contributors&gt;&lt;authors&gt;&lt;author&gt;Loudon, I.&lt;/author&gt;&lt;/authors&gt;&lt;/contributors&gt;&lt;auth-address&gt;Green College, Oxford.&lt;/auth-address&gt;&lt;titles&gt;&lt;title&gt;A brief history of homeopathy&lt;/title&gt;&lt;secondary-title&gt;J R Soc Med&lt;/secondary-title&gt;&lt;/titles&gt;&lt;periodical&gt;&lt;full-title&gt;J R Soc Med&lt;/full-title&gt;&lt;/periodical&gt;&lt;pages&gt;607-10&lt;/pages&gt;&lt;volume&gt;99&lt;/volume&gt;&lt;number&gt;12&lt;/number&gt;&lt;edition&gt;2006/12/02&lt;/edition&gt;&lt;keywords&gt;&lt;keyword&gt;History, 18th Century&lt;/keyword&gt;&lt;keyword&gt;History, 19th Century&lt;/keyword&gt;&lt;keyword&gt;History, 20th Century&lt;/keyword&gt;&lt;keyword&gt;Homeopathy/*history&lt;/keyword&gt;&lt;keyword&gt;Humans&lt;/keyword&gt;&lt;keyword&gt;Quackery/history&lt;/keyword&gt;&lt;keyword&gt;Treatment Outcome&lt;/keyword&gt;&lt;/keywords&gt;&lt;dates&gt;&lt;year&gt;2006&lt;/year&gt;&lt;pub-dates&gt;&lt;date&gt;Dec&lt;/date&gt;&lt;/pub-dates&gt;&lt;/dates&gt;&lt;isbn&gt;0141-0768 (Print)&amp;#xD;0141-0768 (Linking)&lt;/isbn&gt;&lt;accession-num&gt;17139061&lt;/accession-num&gt;&lt;urls&gt;&lt;related-urls&gt;&lt;url&gt;https://www.ncbi.nlm.nih.gov/pubmed/17139061&lt;/url&gt;&lt;/related-urls&gt;&lt;/urls&gt;&lt;custom2&gt;PMC1676328&lt;/custom2&gt;&lt;electronic-resource-num&gt;10.1177/014107680609901206&lt;/electronic-resource-num&gt;&lt;remote-database-name&gt;Medline&lt;/remote-database-name&gt;&lt;remote-database-provider&gt;NLM&lt;/remote-database-provider&gt;&lt;research-notes&gt; Homeopathy&lt;/research-notes&gt;&lt;language&gt;eng&lt;/language&gt;&lt;/record&gt;&lt;/Cite&gt;&lt;/EndNote&gt;</w:instrText>
      </w:r>
      <w:r w:rsidRPr="00A55335">
        <w:fldChar w:fldCharType="separate"/>
      </w:r>
      <w:r w:rsidR="00FA37A6" w:rsidRPr="00A55335">
        <w:rPr>
          <w:noProof/>
        </w:rPr>
        <w:t>(</w:t>
      </w:r>
      <w:hyperlink w:anchor="_ENREF_47" w:tooltip="Loudon, 2006 #46" w:history="1">
        <w:r w:rsidR="00EC2769" w:rsidRPr="00A55335">
          <w:rPr>
            <w:noProof/>
          </w:rPr>
          <w:t>47</w:t>
        </w:r>
      </w:hyperlink>
      <w:r w:rsidR="00FA37A6" w:rsidRPr="00A55335">
        <w:rPr>
          <w:noProof/>
        </w:rPr>
        <w:t>)</w:t>
      </w:r>
      <w:r w:rsidRPr="00A55335">
        <w:fldChar w:fldCharType="end"/>
      </w:r>
      <w:r w:rsidRPr="00A55335">
        <w:t xml:space="preserve">. Homeopathic treatment is also employed as a therapy of trade by a range of non-homeopathic practitioners, </w:t>
      </w:r>
      <w:r w:rsidR="008E791F" w:rsidRPr="00A55335">
        <w:t>for example</w:t>
      </w:r>
      <w:r w:rsidRPr="00A55335">
        <w:t xml:space="preserve"> naturopaths </w:t>
      </w:r>
      <w:r w:rsidRPr="00A55335">
        <w:fldChar w:fldCharType="begin">
          <w:fldData xml:space="preserve">PEVuZE5vdGU+PENpdGU+PEF1dGhvcj5TdGVlbDwvQXV0aG9yPjxZZWFyPjIwMjA8L1llYXI+PFJl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==
</w:fldData>
        </w:fldChar>
      </w:r>
      <w:r w:rsidR="006952AD">
        <w:instrText xml:space="preserve"> ADDIN EN.CITE </w:instrText>
      </w:r>
      <w:r w:rsidR="006952AD">
        <w:fldChar w:fldCharType="begin">
          <w:fldData xml:space="preserve">PEVuZE5vdGU+PENpdGU+PEF1dGhvcj5TdGVlbDwvQXV0aG9yPjxZZWFyPjIwMjA8L1llYXI+PFJl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==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48" w:tooltip="Steel, 2020 #47" w:history="1">
        <w:r w:rsidR="00EC2769" w:rsidRPr="00A55335">
          <w:rPr>
            <w:noProof/>
          </w:rPr>
          <w:t>48</w:t>
        </w:r>
      </w:hyperlink>
      <w:r w:rsidR="00FA37A6" w:rsidRPr="00A55335">
        <w:rPr>
          <w:noProof/>
        </w:rPr>
        <w:t>)</w:t>
      </w:r>
      <w:r w:rsidRPr="00A55335">
        <w:fldChar w:fldCharType="end"/>
      </w:r>
      <w:r w:rsidRPr="00A55335">
        <w:t>.</w:t>
      </w:r>
    </w:p>
    <w:p w14:paraId="0A29B152" w14:textId="77777777" w:rsidR="00DD505D" w:rsidRPr="00A55335" w:rsidRDefault="00DD505D" w:rsidP="00C373A2">
      <w:pPr>
        <w:pStyle w:val="Heading2"/>
      </w:pPr>
      <w:bookmarkStart w:id="43" w:name="_Toc183441292"/>
      <w:r w:rsidRPr="00A55335">
        <w:t>How the intervention might work</w:t>
      </w:r>
      <w:bookmarkEnd w:id="43"/>
    </w:p>
    <w:p w14:paraId="69362892" w14:textId="42845766" w:rsidR="0088592C" w:rsidRPr="00A55335" w:rsidRDefault="0088592C" w:rsidP="0088592C">
      <w:pPr>
        <w:pStyle w:val="BodyText"/>
      </w:pPr>
      <w:r w:rsidRPr="00A55335">
        <w:t>Homeopathy is based on the core tenet of similitude (“treat likes by likes” or “like cures like”). The principle of ‘</w:t>
      </w:r>
      <w:proofErr w:type="spellStart"/>
      <w:r w:rsidRPr="00A55335">
        <w:t>similars</w:t>
      </w:r>
      <w:proofErr w:type="spellEnd"/>
      <w:r w:rsidRPr="00A55335">
        <w:t xml:space="preserve">’ is based on the idea that substances which can elicit specific symptoms in healthy individuals, can be used to treat patients and/or diseases with similar symptoms. Homeopathic medicinal products are created by a series of dilutions (usually 1:10 or 1:100 diluent: volume ratio) with agitation between each dilution, called “succussions” </w:t>
      </w:r>
      <w:r w:rsidRPr="00A55335">
        <w:fldChar w:fldCharType="begin"/>
      </w:r>
      <w:r w:rsidR="006952AD">
        <w:instrText xml:space="preserve"> ADDIN EN.CITE &lt;EndNote&gt;&lt;Cite&gt;&lt;Author&gt;Hahnemann&lt;/Author&gt;&lt;Year&gt;1920&lt;/Year&gt;&lt;RecNum&gt;48&lt;/RecNum&gt;&lt;DisplayText&gt;(49)&lt;/DisplayText&gt;&lt;record&gt;&lt;rec-number&gt;48&lt;/rec-number&gt;&lt;foreign-keys&gt;&lt;key app="EN" db-id="t5prptatr9sp0we5exbxt9zz20fwp55tdza9" timestamp="1643145653"&gt;48&lt;/key&gt;&lt;/foreign-keys&gt;&lt;ref-type name="Book"&gt;6&lt;/ref-type&gt;&lt;contributors&gt;&lt;authors&gt;&lt;author&gt;Hahnemann, S.&lt;/author&gt;&lt;/authors&gt;&lt;/contributors&gt;&lt;titles&gt;&lt;title&gt;Organon of Medicine&lt;/title&gt;&lt;/titles&gt;&lt;edition&gt;6th&lt;/edition&gt;&lt;dates&gt;&lt;year&gt;1920&lt;/year&gt;&lt;/dates&gt;&lt;pub-location&gt;https://organonofmedicine.com/&lt;/pub-location&gt;&lt;urls&gt;&lt;related-urls&gt;&lt;url&gt;https://organonofmedicine.com/&lt;/url&gt;&lt;/related-urls&gt;&lt;/urls&gt;&lt;research-notes&gt; Homeopathy&lt;/research-notes&gt;&lt;/record&gt;&lt;/Cite&gt;&lt;/EndNote&gt;</w:instrText>
      </w:r>
      <w:r w:rsidRPr="00A55335">
        <w:fldChar w:fldCharType="separate"/>
      </w:r>
      <w:r w:rsidR="00FA37A6" w:rsidRPr="00A55335">
        <w:rPr>
          <w:noProof/>
        </w:rPr>
        <w:t>(</w:t>
      </w:r>
      <w:hyperlink w:anchor="_ENREF_49" w:tooltip="Hahnemann, 1920 #48" w:history="1">
        <w:r w:rsidR="00EC2769" w:rsidRPr="00A55335">
          <w:rPr>
            <w:noProof/>
          </w:rPr>
          <w:t>49</w:t>
        </w:r>
      </w:hyperlink>
      <w:r w:rsidR="00FA37A6" w:rsidRPr="00A55335">
        <w:rPr>
          <w:noProof/>
        </w:rPr>
        <w:t>)</w:t>
      </w:r>
      <w:r w:rsidRPr="00A55335">
        <w:fldChar w:fldCharType="end"/>
      </w:r>
      <w:r w:rsidRPr="00A55335">
        <w:t xml:space="preserve">. </w:t>
      </w:r>
      <w:r w:rsidRPr="00A55335">
        <w:rPr>
          <w:szCs w:val="22"/>
        </w:rPr>
        <w:t xml:space="preserve">Succussion is believed to render highly diluted solutions biologically active </w:t>
      </w:r>
      <w:r w:rsidRPr="00A55335">
        <w:rPr>
          <w:szCs w:val="22"/>
        </w:rPr>
        <w:fldChar w:fldCharType="begin">
          <w:fldData xml:space="preserve">PEVuZE5vdGU+PENpdGU+PEF1dGhvcj5HYXJpYm9sZGk8L0F1dGhvcj48WWVhcj4yMDA5PC9ZZWFy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</w:fldData>
        </w:fldChar>
      </w:r>
      <w:r w:rsidR="006952AD">
        <w:rPr>
          <w:szCs w:val="22"/>
        </w:rPr>
        <w:instrText xml:space="preserve"> ADDIN EN.CITE </w:instrText>
      </w:r>
      <w:r w:rsidR="006952AD">
        <w:rPr>
          <w:szCs w:val="22"/>
        </w:rPr>
        <w:fldChar w:fldCharType="begin">
          <w:fldData xml:space="preserve">PEVuZE5vdGU+PENpdGU+PEF1dGhvcj5HYXJpYm9sZGk8L0F1dGhvcj48WWVhcj4yMDA5PC9ZZWFy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</w:fldData>
        </w:fldChar>
      </w:r>
      <w:r w:rsidR="006952AD">
        <w:rPr>
          <w:szCs w:val="22"/>
        </w:rPr>
        <w:instrText xml:space="preserve"> ADDIN EN.CITE.DATA </w:instrText>
      </w:r>
      <w:r w:rsidR="006952AD">
        <w:rPr>
          <w:szCs w:val="22"/>
        </w:rPr>
      </w:r>
      <w:r w:rsidR="006952AD">
        <w:rPr>
          <w:szCs w:val="22"/>
        </w:rPr>
        <w:fldChar w:fldCharType="end"/>
      </w:r>
      <w:r w:rsidRPr="00A55335">
        <w:rPr>
          <w:szCs w:val="22"/>
        </w:rPr>
      </w:r>
      <w:r w:rsidRPr="00A55335">
        <w:rPr>
          <w:szCs w:val="22"/>
        </w:rPr>
        <w:fldChar w:fldCharType="separate"/>
      </w:r>
      <w:r w:rsidR="00FA37A6" w:rsidRPr="00A55335">
        <w:rPr>
          <w:noProof/>
          <w:szCs w:val="22"/>
        </w:rPr>
        <w:t>(</w:t>
      </w:r>
      <w:hyperlink w:anchor="_ENREF_50" w:tooltip="Gariboldi, 2009 #49" w:history="1">
        <w:r w:rsidR="00EC2769" w:rsidRPr="00A55335">
          <w:rPr>
            <w:noProof/>
            <w:szCs w:val="22"/>
          </w:rPr>
          <w:t>50</w:t>
        </w:r>
      </w:hyperlink>
      <w:r w:rsidR="00FA37A6" w:rsidRPr="00A55335">
        <w:rPr>
          <w:noProof/>
          <w:szCs w:val="22"/>
        </w:rPr>
        <w:t>)</w:t>
      </w:r>
      <w:r w:rsidRPr="00A55335">
        <w:rPr>
          <w:szCs w:val="22"/>
        </w:rPr>
        <w:fldChar w:fldCharType="end"/>
      </w:r>
      <w:r w:rsidRPr="00A55335">
        <w:rPr>
          <w:szCs w:val="22"/>
        </w:rPr>
        <w:t xml:space="preserve">. </w:t>
      </w:r>
      <w:r w:rsidRPr="00A55335">
        <w:t xml:space="preserve">Serial dilutions may occur more than 30 times before the final homeopathic medicinal product is produced. Established potency scales can be the centesimal or “C scale”, the decimal or “D scale”, or the </w:t>
      </w:r>
      <w:proofErr w:type="spellStart"/>
      <w:r w:rsidRPr="00A55335">
        <w:t>quintamillesimal</w:t>
      </w:r>
      <w:proofErr w:type="spellEnd"/>
      <w:r w:rsidRPr="00A55335">
        <w:t xml:space="preserve"> or “Q/LM scales”. The serial kinetic dilution is called “</w:t>
      </w:r>
      <w:proofErr w:type="spellStart"/>
      <w:r w:rsidRPr="00A55335">
        <w:t>potentisation</w:t>
      </w:r>
      <w:proofErr w:type="spellEnd"/>
      <w:r w:rsidRPr="00A55335">
        <w:t xml:space="preserve">”. Both high potency (higher dilution) and low potency (lower dilution) homeopathic medicinal products are commonly used </w:t>
      </w:r>
      <w:r w:rsidRPr="00A55335">
        <w:fldChar w:fldCharType="begin"/>
      </w:r>
      <w:r w:rsidR="006952AD">
        <w:instrText xml:space="preserve"> ADDIN EN.CITE &lt;EndNote&gt;&lt;Cite&gt;&lt;Author&gt;Jütte&lt;/Author&gt;&lt;Year&gt;2005&lt;/Year&gt;&lt;RecNum&gt;524&lt;/RecNum&gt;&lt;DisplayText&gt;(51)&lt;/DisplayText&gt;&lt;record&gt;&lt;rec-number&gt;524&lt;/rec-number&gt;&lt;foreign-keys&gt;&lt;key app="EN" db-id="t5prptatr9sp0we5exbxt9zz20fwp55tdza9" timestamp="1700802229"&gt;524&lt;/key&gt;&lt;/foreign-keys&gt;&lt;ref-type name="Journal Article"&gt;17&lt;/ref-type&gt;&lt;contributors&gt;&lt;authors&gt;&lt;author&gt;Jütte, R.&lt;/author&gt;&lt;author&gt;Riley, D.&lt;/author&gt;&lt;/authors&gt;&lt;/contributors&gt;&lt;auth-address&gt;Institute for History of Medicine, Robert Bosch Foundation, Straussweg 17, D-70184 Stuttgart, Germany. robert.juette@igm-bosch.de&lt;/auth-address&gt;&lt;titles&gt;&lt;title&gt;A review of the use and role of low potencies in homeopathy&lt;/title&gt;&lt;secondary-title&gt;Complement Ther Med&lt;/secondary-title&gt;&lt;/titles&gt;&lt;periodical&gt;&lt;full-title&gt;Complement Ther Med&lt;/full-title&gt;&lt;/periodical&gt;&lt;pages&gt;291-6&lt;/pages&gt;&lt;volume&gt;13&lt;/volume&gt;&lt;number&gt;4&lt;/number&gt;&lt;edition&gt;2005/12/13&lt;/edition&gt;&lt;keywords&gt;&lt;keyword&gt;Dose-Response Relationship, Drug&lt;/keyword&gt;&lt;keyword&gt;Homeopathy/*methods&lt;/keyword&gt;&lt;keyword&gt;Humans&lt;/keyword&gt;&lt;keyword&gt;Phytotherapy&lt;/keyword&gt;&lt;/keywords&gt;&lt;dates&gt;&lt;year&gt;2005&lt;/year&gt;&lt;pub-dates&gt;&lt;date&gt;Dec&lt;/date&gt;&lt;/pub-dates&gt;&lt;/dates&gt;&lt;isbn&gt;0965-2299 (Print)&amp;#xD;0965-2299&lt;/isbn&gt;&lt;accession-num&gt;16338200&lt;/accession-num&gt;&lt;urls&gt;&lt;/urls&gt;&lt;electronic-resource-num&gt;10.1016/j.ctim.2005.10.003&lt;/electronic-resource-num&gt;&lt;remote-database-provider&gt;NLM&lt;/remote-database-provider&gt;&lt;language&gt;eng&lt;/language&gt;&lt;/record&gt;&lt;/Cite&gt;&lt;/EndNote&gt;</w:instrText>
      </w:r>
      <w:r w:rsidRPr="00A55335">
        <w:fldChar w:fldCharType="separate"/>
      </w:r>
      <w:r w:rsidR="00FA37A6" w:rsidRPr="00A55335">
        <w:rPr>
          <w:noProof/>
        </w:rPr>
        <w:t>(</w:t>
      </w:r>
      <w:hyperlink w:anchor="_ENREF_51" w:tooltip="Jütte, 2005 #524" w:history="1">
        <w:r w:rsidR="00EC2769" w:rsidRPr="00A55335">
          <w:rPr>
            <w:noProof/>
          </w:rPr>
          <w:t>51</w:t>
        </w:r>
      </w:hyperlink>
      <w:r w:rsidR="00FA37A6" w:rsidRPr="00A55335">
        <w:rPr>
          <w:noProof/>
        </w:rPr>
        <w:t>)</w:t>
      </w:r>
      <w:r w:rsidRPr="00A55335">
        <w:fldChar w:fldCharType="end"/>
      </w:r>
      <w:r w:rsidRPr="00A55335">
        <w:t xml:space="preserve">. </w:t>
      </w:r>
    </w:p>
    <w:p w14:paraId="5DBF6904" w14:textId="454A411A" w:rsidR="0088592C" w:rsidRPr="00A55335" w:rsidRDefault="0088592C" w:rsidP="0088592C">
      <w:pPr>
        <w:pStyle w:val="BodyText"/>
        <w:rPr>
          <w:szCs w:val="22"/>
        </w:rPr>
      </w:pPr>
      <w:r w:rsidRPr="00A55335">
        <w:rPr>
          <w:szCs w:val="22"/>
        </w:rPr>
        <w:t xml:space="preserve">The scientific basis for homeopathy is subject to substantial debate, and the mechanism of action of homeopathic </w:t>
      </w:r>
      <w:r w:rsidRPr="00A55335">
        <w:t xml:space="preserve">medicinal products has not been established. In some cases substances are diluted beyond the limit of Avogadro’s number, such that it is unlikely even one molecule of the original substance is present </w:t>
      </w:r>
      <w:r w:rsidRPr="00A55335">
        <w:fldChar w:fldCharType="begin"/>
      </w:r>
      <w:r w:rsidR="006952AD">
        <w:instrText xml:space="preserve"> ADDIN EN.CITE &lt;EndNote&gt;&lt;Cite&gt;&lt;Author&gt;Jonas&lt;/Author&gt;&lt;Year&gt;2003&lt;/Year&gt;&lt;RecNum&gt;33&lt;/RecNum&gt;&lt;DisplayText&gt;(39)&lt;/DisplayText&gt;&lt;record&gt;&lt;rec-number&gt;33&lt;/rec-number&gt;&lt;foreign-keys&gt;&lt;key app="EN" db-id="t5prptatr9sp0we5exbxt9zz20fwp55tdza9" timestamp="1643145630"&gt;33&lt;/key&gt;&lt;/foreign-keys&gt;&lt;ref-type name="Journal Article"&gt;17&lt;/ref-type&gt;&lt;contributors&gt;&lt;authors&gt;&lt;author&gt;Jonas, W. B.&lt;/author&gt;&lt;author&gt;Kaptchuk, T. J.&lt;/author&gt;&lt;author&gt;Linde, K.&lt;/author&gt;&lt;/authors&gt;&lt;/contributors&gt;&lt;auth-address&gt;Samueli Institute for Information Biology, 121 South Saint Asaph Street, Suite 200, Alexandria, VA 22314, USA. wjonas@siib.org&lt;/auth-address&gt;&lt;titles&gt;&lt;title&gt;A critical overview of homeopathy&lt;/title&gt;&lt;secondary-title&gt;Ann Intern Med&lt;/secondary-title&gt;&lt;/titles&gt;&lt;periodical&gt;&lt;full-title&gt;Ann Intern Med&lt;/full-title&gt;&lt;/periodical&gt;&lt;pages&gt;393-9&lt;/pages&gt;&lt;volume&gt;138&lt;/volume&gt;&lt;number&gt;5&lt;/number&gt;&lt;edition&gt;2003/03/05&lt;/edition&gt;&lt;keywords&gt;&lt;keyword&gt;Controlled Clinical Trials as Topic&lt;/keyword&gt;&lt;keyword&gt;Drug Labeling/legislation &amp;amp; jurisprudence&lt;/keyword&gt;&lt;keyword&gt;History, 18th Century&lt;/keyword&gt;&lt;keyword&gt;*Homeopathy/history/legislation &amp;amp; jurisprudence/standards&lt;/keyword&gt;&lt;keyword&gt;Humans&lt;/keyword&gt;&lt;keyword&gt;Placebo Effect&lt;/keyword&gt;&lt;keyword&gt;Practice Patterns, Physicians&amp;apos;&lt;/keyword&gt;&lt;keyword&gt;United States&lt;/keyword&gt;&lt;keyword&gt;United States Food and Drug Administration&lt;/keyword&gt;&lt;/keywords&gt;&lt;dates&gt;&lt;year&gt;2003&lt;/year&gt;&lt;pub-dates&gt;&lt;date&gt;Mar 4&lt;/date&gt;&lt;/pub-dates&gt;&lt;/dates&gt;&lt;isbn&gt;1539-3704 (Electronic)&amp;#xD;0003-4819 (Linking)&lt;/isbn&gt;&lt;accession-num&gt;12614092&lt;/accession-num&gt;&lt;urls&gt;&lt;related-urls&gt;&lt;url&gt;https://www.ncbi.nlm.nih.gov/pubmed/12614092&lt;/url&gt;&lt;/related-urls&gt;&lt;/urls&gt;&lt;electronic-resource-num&gt;10.7326/0003-4819-138-5-200303040-00009&lt;/electronic-resource-num&gt;&lt;remote-database-name&gt;Medline&lt;/remote-database-name&gt;&lt;remote-database-provider&gt;NLM&lt;/remote-database-provider&gt;&lt;research-notes&gt; Homeopathy&lt;/research-notes&gt;&lt;language&gt;eng&lt;/language&gt;&lt;/record&gt;&lt;/Cite&gt;&lt;/EndNote&gt;</w:instrText>
      </w:r>
      <w:r w:rsidRPr="00A55335">
        <w:fldChar w:fldCharType="separate"/>
      </w:r>
      <w:r w:rsidR="00FA37A6" w:rsidRPr="00A55335">
        <w:rPr>
          <w:noProof/>
        </w:rPr>
        <w:t>(</w:t>
      </w:r>
      <w:hyperlink w:anchor="_ENREF_39" w:tooltip="Jonas, 2003 #33" w:history="1">
        <w:r w:rsidR="00EC2769" w:rsidRPr="00A55335">
          <w:rPr>
            <w:noProof/>
          </w:rPr>
          <w:t>39</w:t>
        </w:r>
      </w:hyperlink>
      <w:r w:rsidR="00FA37A6" w:rsidRPr="00A55335">
        <w:rPr>
          <w:noProof/>
        </w:rPr>
        <w:t>)</w:t>
      </w:r>
      <w:r w:rsidRPr="00A55335">
        <w:fldChar w:fldCharType="end"/>
      </w:r>
      <w:r w:rsidRPr="00A55335">
        <w:t xml:space="preserve">. </w:t>
      </w:r>
      <w:r w:rsidRPr="00A55335">
        <w:rPr>
          <w:szCs w:val="22"/>
        </w:rPr>
        <w:t xml:space="preserve">Various explanations have been proposed for how highly diluted solutions may be biologically active after succussion </w:t>
      </w:r>
      <w:r w:rsidRPr="00A55335">
        <w:rPr>
          <w:szCs w:val="22"/>
        </w:rPr>
        <w:fldChar w:fldCharType="begin">
          <w:fldData xml:space="preserve">PEVuZE5vdGU+PENpdGU+PEF1dGhvcj5LbGVpbjwvQXV0aG9yPjxZZWFyPjIwMTg8L1llYXI+PFJl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</w:fldData>
        </w:fldChar>
      </w:r>
      <w:r w:rsidR="006952AD">
        <w:rPr>
          <w:szCs w:val="22"/>
        </w:rPr>
        <w:instrText xml:space="preserve"> ADDIN EN.CITE </w:instrText>
      </w:r>
      <w:r w:rsidR="006952AD">
        <w:rPr>
          <w:szCs w:val="22"/>
        </w:rPr>
        <w:fldChar w:fldCharType="begin">
          <w:fldData xml:space="preserve">PEVuZE5vdGU+PENpdGU+PEF1dGhvcj5LbGVpbjwvQXV0aG9yPjxZZWFyPjIwMTg8L1llYXI+PFJl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</w:fldData>
        </w:fldChar>
      </w:r>
      <w:r w:rsidR="006952AD">
        <w:rPr>
          <w:szCs w:val="22"/>
        </w:rPr>
        <w:instrText xml:space="preserve"> ADDIN EN.CITE.DATA </w:instrText>
      </w:r>
      <w:r w:rsidR="006952AD">
        <w:rPr>
          <w:szCs w:val="22"/>
        </w:rPr>
      </w:r>
      <w:r w:rsidR="006952AD">
        <w:rPr>
          <w:szCs w:val="22"/>
        </w:rPr>
        <w:fldChar w:fldCharType="end"/>
      </w:r>
      <w:r w:rsidRPr="00A55335">
        <w:rPr>
          <w:szCs w:val="22"/>
        </w:rPr>
      </w:r>
      <w:r w:rsidRPr="00A55335">
        <w:rPr>
          <w:szCs w:val="22"/>
        </w:rPr>
        <w:fldChar w:fldCharType="separate"/>
      </w:r>
      <w:r w:rsidR="00FA37A6" w:rsidRPr="00A55335">
        <w:rPr>
          <w:noProof/>
          <w:szCs w:val="22"/>
        </w:rPr>
        <w:t>(</w:t>
      </w:r>
      <w:hyperlink w:anchor="_ENREF_52" w:tooltip="Klein, 2018 #525" w:history="1">
        <w:r w:rsidR="00EC2769" w:rsidRPr="00A55335">
          <w:rPr>
            <w:noProof/>
            <w:szCs w:val="22"/>
          </w:rPr>
          <w:t>52-54</w:t>
        </w:r>
      </w:hyperlink>
      <w:r w:rsidR="00FA37A6" w:rsidRPr="00A55335">
        <w:rPr>
          <w:noProof/>
          <w:szCs w:val="22"/>
        </w:rPr>
        <w:t>)</w:t>
      </w:r>
      <w:r w:rsidRPr="00A55335">
        <w:rPr>
          <w:szCs w:val="22"/>
        </w:rPr>
        <w:fldChar w:fldCharType="end"/>
      </w:r>
      <w:r w:rsidRPr="00A55335">
        <w:rPr>
          <w:szCs w:val="22"/>
        </w:rPr>
        <w:t xml:space="preserve">. For example, water clusters or clathrates may form around the original molecules and remain even after those molecules are removed </w:t>
      </w:r>
      <w:r w:rsidRPr="00A55335">
        <w:rPr>
          <w:szCs w:val="22"/>
        </w:rPr>
        <w:fldChar w:fldCharType="begin">
          <w:fldData xml:space="preserve">PEVuZE5vdGU+PENpdGU+PEF1dGhvcj5CZWxsYXZpdGU8L0F1dGhvcj48WWVhcj4yMDE0PC9ZZWFy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</w:fldData>
        </w:fldChar>
      </w:r>
      <w:r w:rsidR="006952AD">
        <w:rPr>
          <w:szCs w:val="22"/>
        </w:rPr>
        <w:instrText xml:space="preserve"> ADDIN EN.CITE </w:instrText>
      </w:r>
      <w:r w:rsidR="006952AD">
        <w:rPr>
          <w:szCs w:val="22"/>
        </w:rPr>
        <w:fldChar w:fldCharType="begin">
          <w:fldData xml:space="preserve">PEVuZE5vdGU+PENpdGU+PEF1dGhvcj5CZWxsYXZpdGU8L0F1dGhvcj48WWVhcj4yMDE0PC9ZZWFy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</w:fldData>
        </w:fldChar>
      </w:r>
      <w:r w:rsidR="006952AD">
        <w:rPr>
          <w:szCs w:val="22"/>
        </w:rPr>
        <w:instrText xml:space="preserve"> ADDIN EN.CITE.DATA </w:instrText>
      </w:r>
      <w:r w:rsidR="006952AD">
        <w:rPr>
          <w:szCs w:val="22"/>
        </w:rPr>
      </w:r>
      <w:r w:rsidR="006952AD">
        <w:rPr>
          <w:szCs w:val="22"/>
        </w:rPr>
        <w:fldChar w:fldCharType="end"/>
      </w:r>
      <w:r w:rsidRPr="00A55335">
        <w:rPr>
          <w:szCs w:val="22"/>
        </w:rPr>
      </w:r>
      <w:r w:rsidRPr="00A55335">
        <w:rPr>
          <w:szCs w:val="22"/>
        </w:rPr>
        <w:fldChar w:fldCharType="separate"/>
      </w:r>
      <w:r w:rsidR="00FA37A6" w:rsidRPr="00A55335">
        <w:rPr>
          <w:noProof/>
          <w:szCs w:val="22"/>
        </w:rPr>
        <w:t>(</w:t>
      </w:r>
      <w:hyperlink w:anchor="_ENREF_55" w:tooltip="Bellavite, 2014 #54" w:history="1">
        <w:r w:rsidR="00EC2769" w:rsidRPr="00A55335">
          <w:rPr>
            <w:noProof/>
            <w:szCs w:val="22"/>
          </w:rPr>
          <w:t>55</w:t>
        </w:r>
      </w:hyperlink>
      <w:r w:rsidR="00FA37A6" w:rsidRPr="00A55335">
        <w:rPr>
          <w:noProof/>
          <w:szCs w:val="22"/>
        </w:rPr>
        <w:t>)</w:t>
      </w:r>
      <w:r w:rsidRPr="00A55335">
        <w:rPr>
          <w:szCs w:val="22"/>
        </w:rPr>
        <w:fldChar w:fldCharType="end"/>
      </w:r>
      <w:r w:rsidRPr="00A55335">
        <w:rPr>
          <w:szCs w:val="22"/>
        </w:rPr>
        <w:t xml:space="preserve">. These are then hypothesised to be recognised within the body to elicit a response. Alternatively, it has been suggested that nanoparticles of the original material may remain and cause a response </w:t>
      </w:r>
      <w:r w:rsidRPr="00A55335">
        <w:rPr>
          <w:szCs w:val="22"/>
        </w:rPr>
        <w:fldChar w:fldCharType="begin">
          <w:fldData xml:space="preserve">PEVuZE5vdGU+PENpdGU+PEF1dGhvcj5CZWxsYXZpdGU8L0F1dGhvcj48WWVhcj4yMDE0PC9ZZWFy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</w:fldData>
        </w:fldChar>
      </w:r>
      <w:r w:rsidR="006952AD">
        <w:rPr>
          <w:szCs w:val="22"/>
        </w:rPr>
        <w:instrText xml:space="preserve"> ADDIN EN.CITE </w:instrText>
      </w:r>
      <w:r w:rsidR="006952AD">
        <w:rPr>
          <w:szCs w:val="22"/>
        </w:rPr>
        <w:fldChar w:fldCharType="begin">
          <w:fldData xml:space="preserve">PEVuZE5vdGU+PENpdGU+PEF1dGhvcj5CZWxsYXZpdGU8L0F1dGhvcj48WWVhcj4yMDE0PC9ZZWFy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</w:fldData>
        </w:fldChar>
      </w:r>
      <w:r w:rsidR="006952AD">
        <w:rPr>
          <w:szCs w:val="22"/>
        </w:rPr>
        <w:instrText xml:space="preserve"> ADDIN EN.CITE.DATA </w:instrText>
      </w:r>
      <w:r w:rsidR="006952AD">
        <w:rPr>
          <w:szCs w:val="22"/>
        </w:rPr>
      </w:r>
      <w:r w:rsidR="006952AD">
        <w:rPr>
          <w:szCs w:val="22"/>
        </w:rPr>
        <w:fldChar w:fldCharType="end"/>
      </w:r>
      <w:r w:rsidRPr="00A55335">
        <w:rPr>
          <w:szCs w:val="22"/>
        </w:rPr>
      </w:r>
      <w:r w:rsidRPr="00A55335">
        <w:rPr>
          <w:szCs w:val="22"/>
        </w:rPr>
        <w:fldChar w:fldCharType="separate"/>
      </w:r>
      <w:r w:rsidR="00FA37A6" w:rsidRPr="00A55335">
        <w:rPr>
          <w:noProof/>
          <w:szCs w:val="22"/>
        </w:rPr>
        <w:t>(</w:t>
      </w:r>
      <w:hyperlink w:anchor="_ENREF_56" w:tooltip="Bellavite, 2014 #55" w:history="1">
        <w:r w:rsidR="00EC2769" w:rsidRPr="00A55335">
          <w:rPr>
            <w:noProof/>
            <w:szCs w:val="22"/>
          </w:rPr>
          <w:t>56</w:t>
        </w:r>
      </w:hyperlink>
      <w:r w:rsidR="00FA37A6" w:rsidRPr="00A55335">
        <w:rPr>
          <w:noProof/>
          <w:szCs w:val="22"/>
        </w:rPr>
        <w:t>)</w:t>
      </w:r>
      <w:r w:rsidRPr="00A55335">
        <w:rPr>
          <w:szCs w:val="22"/>
        </w:rPr>
        <w:fldChar w:fldCharType="end"/>
      </w:r>
      <w:r w:rsidRPr="00A55335">
        <w:rPr>
          <w:szCs w:val="22"/>
        </w:rPr>
        <w:t xml:space="preserve">. </w:t>
      </w:r>
    </w:p>
    <w:p w14:paraId="132CA196" w14:textId="77777777" w:rsidR="0088592C" w:rsidRPr="00A55335" w:rsidRDefault="0088592C" w:rsidP="0088592C">
      <w:pPr>
        <w:pStyle w:val="BodyText"/>
      </w:pPr>
      <w:r w:rsidRPr="00A55335">
        <w:t xml:space="preserve">Individualised prescribing introduces unique requirements when designing and conducting clinical research in homeopathy, given that patients with the same diagnosis are treated with different homeopathic medicinal products based on their characteristic symptoms. </w:t>
      </w:r>
    </w:p>
    <w:p w14:paraId="0CB1C328" w14:textId="77777777" w:rsidR="009F7724" w:rsidRPr="00A55335" w:rsidRDefault="009F7724" w:rsidP="009F7724">
      <w:pPr>
        <w:pStyle w:val="Heading2"/>
      </w:pPr>
      <w:bookmarkStart w:id="44" w:name="_Toc107502505"/>
      <w:bookmarkStart w:id="45" w:name="_Toc183441293"/>
      <w:r w:rsidRPr="00A55335">
        <w:t>Why it is important to do this review</w:t>
      </w:r>
      <w:bookmarkEnd w:id="44"/>
      <w:bookmarkEnd w:id="45"/>
    </w:p>
    <w:p w14:paraId="1A988E1B" w14:textId="3983EAEC" w:rsidR="009F7724" w:rsidRPr="00A55335" w:rsidRDefault="009F7724" w:rsidP="009F7724">
      <w:pPr>
        <w:pStyle w:val="BodyText"/>
      </w:pPr>
      <w:r w:rsidRPr="00A55335">
        <w:t xml:space="preserve">In Australia, natural therapies, including homeopathy, are most often used in conjunction with conventional medicine and other strategies for supporting good health and wellness. Homeopathy is a popular CM in Australia, with a 2005 survey reporting 6% of respondents had used homeopathy and, of those 6%, 47.7% had visited a homeopathic practitioner in the last 12 months </w:t>
      </w:r>
      <w:r w:rsidRPr="00A55335">
        <w:fldChar w:fldCharType="begin">
          <w:fldData xml:space="preserve">PEVuZE5vdGU+PENpdGU+PEF1dGhvcj5YdWU8L0F1dGhvcj48WWVhcj4yMDA3PC9ZZWFyPjxSZWNO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</w:fldData>
        </w:fldChar>
      </w:r>
      <w:r w:rsidR="006952AD">
        <w:instrText xml:space="preserve"> ADDIN EN.CITE </w:instrText>
      </w:r>
      <w:r w:rsidR="006952AD">
        <w:fldChar w:fldCharType="begin">
          <w:fldData xml:space="preserve">PEVuZE5vdGU+PENpdGU+PEF1dGhvcj5YdWU8L0F1dGhvcj48WWVhcj4yMDA3PC9ZZWFyPjxSZWNO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</w:fldData>
        </w:fldChar>
      </w:r>
      <w:r w:rsidR="006952AD">
        <w:instrText xml:space="preserve"> ADDIN EN.CITE.DATA </w:instrText>
      </w:r>
      <w:r w:rsidR="006952AD">
        <w:fldChar w:fldCharType="end"/>
      </w:r>
      <w:r w:rsidRPr="00A55335">
        <w:fldChar w:fldCharType="separate"/>
      </w:r>
      <w:r w:rsidR="00FA37A6" w:rsidRPr="00A55335">
        <w:rPr>
          <w:noProof/>
        </w:rPr>
        <w:t>(</w:t>
      </w:r>
      <w:hyperlink w:anchor="_ENREF_7" w:tooltip="Xue, 2007 #15" w:history="1">
        <w:r w:rsidR="00EC2769" w:rsidRPr="00A55335">
          <w:rPr>
            <w:noProof/>
          </w:rPr>
          <w:t>7</w:t>
        </w:r>
      </w:hyperlink>
      <w:r w:rsidR="00FA37A6" w:rsidRPr="00A55335">
        <w:rPr>
          <w:noProof/>
        </w:rPr>
        <w:t>)</w:t>
      </w:r>
      <w:r w:rsidRPr="00A55335">
        <w:fldChar w:fldCharType="end"/>
      </w:r>
      <w:r w:rsidRPr="00A55335">
        <w:t xml:space="preserve">. </w:t>
      </w:r>
      <w:r w:rsidR="000F2B1A">
        <w:t xml:space="preserve"> </w:t>
      </w:r>
      <w:r w:rsidR="00676A77" w:rsidRPr="00264841">
        <w:t xml:space="preserve">To enable consumers, health care providers and policy makers to make informed decisions about care, the Australian Government will use this review to assist in deciding whether to reinclude </w:t>
      </w:r>
      <w:r w:rsidR="00676A77">
        <w:t>homeopathy</w:t>
      </w:r>
      <w:r w:rsidR="00676A77" w:rsidRPr="00264841">
        <w:t xml:space="preserve"> as eligible for private health insurance rebates.</w:t>
      </w:r>
    </w:p>
    <w:p w14:paraId="69905A9A" w14:textId="13B03FF3" w:rsidR="009F7724" w:rsidRPr="00A55335" w:rsidRDefault="009F7724" w:rsidP="009F7724">
      <w:pPr>
        <w:pStyle w:val="BodyText"/>
      </w:pPr>
      <w:r w:rsidRPr="00A55335">
        <w:lastRenderedPageBreak/>
        <w:t xml:space="preserve">The 2013 Overview of systematic reviews (sometimes called an Umbrella review) identified 57 systematic reviews published in the English language between 2007 and January 2013. The Overview concluded that there was no reliable evidence that homeopathy is an effective treatment for any of the reported clinical conditions </w:t>
      </w:r>
      <w:r w:rsidRPr="00A55335">
        <w:fldChar w:fldCharType="begin"/>
      </w:r>
      <w:r w:rsidR="006952AD">
        <w:instrText xml:space="preserve"> ADDIN EN.CITE &lt;EndNote&gt;&lt;Cite&gt;&lt;Author&gt;National Health and Medical Research Council&lt;/Author&gt;&lt;Year&gt;October 2013&lt;/Year&gt;&lt;RecNum&gt;5&lt;/RecNum&gt;&lt;DisplayText&gt;(28, 29)&lt;/DisplayText&gt;&lt;record&gt;&lt;rec-number&gt;5&lt;/rec-number&gt;&lt;foreign-keys&gt;&lt;key app="EN" db-id="t5prptatr9sp0we5exbxt9zz20fwp55tdza9" timestamp="1643145589"&gt;5&lt;/key&gt;&lt;/foreign-keys&gt;&lt;ref-type name="Electronic Book Section"&gt;60&lt;/ref-type&gt;&lt;contributors&gt;&lt;authors&gt;&lt;author&gt;National Health and Medical Research Council,&lt;/author&gt;&lt;/authors&gt;&lt;/contributors&gt;&lt;titles&gt;&lt;title&gt;Effectiveness of Homeopathy for Clinical Conditions: Evaluations of the Evidence - Overall Report&lt;/title&gt;&lt;/titles&gt;&lt;dates&gt;&lt;year&gt;October 2013&lt;/year&gt;&lt;/dates&gt;&lt;publisher&gt;prepared by Optum for the NHMRC homeopathy working committee&lt;/publisher&gt;&lt;urls&gt;&lt;related-urls&gt;&lt;url&gt;https://www.nhmrc.gov.au/about-us/resources/homeopathy&lt;/url&gt;&lt;/related-urls&gt;&lt;/urls&gt;&lt;research-notes&gt;Homeopathy &lt;/research-notes&gt;&lt;/record&gt;&lt;/Cite&gt;&lt;Cite&gt;&lt;Author&gt;National Health and Medical Research Council&lt;/Author&gt;&lt;Year&gt;September 2013&lt;/Year&gt;&lt;RecNum&gt;6&lt;/RecNum&gt;&lt;record&gt;&lt;rec-number&gt;6&lt;/rec-number&gt;&lt;foreign-keys&gt;&lt;key app="EN" db-id="t5prptatr9sp0we5exbxt9zz20fwp55tdza9" timestamp="1643145591"&gt;6&lt;/key&gt;&lt;/foreign-keys&gt;&lt;ref-type name="Electronic Book Section"&gt;60&lt;/ref-type&gt;&lt;contributors&gt;&lt;authors&gt;&lt;author&gt;National Health and Medical Research Council,&lt;/author&gt;&lt;/authors&gt;&lt;/contributors&gt;&lt;titles&gt;&lt;title&gt;Effectiveness of Homeopathy for Clinical Conditions: Evaluation of the Evidence - Review of Submitted Literature&lt;/title&gt;&lt;/titles&gt;&lt;dates&gt;&lt;year&gt;September 2013&lt;/year&gt;&lt;/dates&gt;&lt;publisher&gt;prepared by Optum for the Homeopahty Working Committee&lt;/publisher&gt;&lt;urls&gt;&lt;related-urls&gt;&lt;url&gt;https://www.nhmrc.gov.au/about-us/resources/homeopathy&lt;/url&gt;&lt;/related-urls&gt;&lt;/urls&gt;&lt;research-notes&gt;Homeopathy Homeopathy&lt;/research-notes&gt;&lt;/record&gt;&lt;/Cite&gt;&lt;/EndNote&gt;</w:instrText>
      </w:r>
      <w:r w:rsidRPr="00A55335">
        <w:fldChar w:fldCharType="separate"/>
      </w:r>
      <w:r w:rsidR="0049097E" w:rsidRPr="00A55335">
        <w:rPr>
          <w:noProof/>
        </w:rPr>
        <w:t>(</w:t>
      </w:r>
      <w:hyperlink w:anchor="_ENREF_28" w:tooltip="National Health and Medical Research Council, October 2013 #5" w:history="1">
        <w:r w:rsidR="00EC2769" w:rsidRPr="00A55335">
          <w:rPr>
            <w:noProof/>
          </w:rPr>
          <w:t>28</w:t>
        </w:r>
      </w:hyperlink>
      <w:r w:rsidR="0049097E" w:rsidRPr="00A55335">
        <w:rPr>
          <w:noProof/>
        </w:rPr>
        <w:t xml:space="preserve">, </w:t>
      </w:r>
      <w:hyperlink w:anchor="_ENREF_29" w:tooltip="National Health and Medical Research Council, September 2013 #6" w:history="1">
        <w:r w:rsidR="00EC2769" w:rsidRPr="00A55335">
          <w:rPr>
            <w:noProof/>
          </w:rPr>
          <w:t>29</w:t>
        </w:r>
      </w:hyperlink>
      <w:r w:rsidR="0049097E" w:rsidRPr="00A55335">
        <w:rPr>
          <w:noProof/>
        </w:rPr>
        <w:t>)</w:t>
      </w:r>
      <w:r w:rsidRPr="00A55335">
        <w:fldChar w:fldCharType="end"/>
      </w:r>
      <w:r w:rsidRPr="00A55335">
        <w:t xml:space="preserve">. Overviews or Umbrella reviews are an efficient way to collect and evaluate evidence. However, they are dependent on the quality and completeness of the included systematic reviews and may be less comprehensive than systematic reviews of primary literature. </w:t>
      </w:r>
    </w:p>
    <w:p w14:paraId="61F0BA02" w14:textId="0E4BA54A" w:rsidR="009F7724" w:rsidRPr="00A55335" w:rsidRDefault="009F7724" w:rsidP="009F7724">
      <w:pPr>
        <w:pStyle w:val="BodyText"/>
        <w:rPr>
          <w:highlight w:val="yellow"/>
        </w:rPr>
      </w:pPr>
      <w:r w:rsidRPr="00A55335">
        <w:t>This systematic review will evaluate primary studies (e.g. RCTs) relating to the effectiveness of homeopathy for conditions commonly seen and treated by homeopaths in Australia. There will be no limit on publication date. The rationale for conducting this review is to inform the Australian Government’s Natural Therapies Review, which is evaluating evidence of the clinical effectiveness of 16 therapies (including homeopathy).</w:t>
      </w:r>
    </w:p>
    <w:p w14:paraId="6F8CEECB" w14:textId="77777777" w:rsidR="009F7724" w:rsidRPr="00A55335" w:rsidRDefault="009F7724" w:rsidP="0088592C">
      <w:pPr>
        <w:pStyle w:val="BodyText"/>
      </w:pPr>
    </w:p>
    <w:p w14:paraId="1B4F8842" w14:textId="77777777" w:rsidR="00DD505D" w:rsidRPr="00A55335" w:rsidRDefault="00DD505D" w:rsidP="00DD505D">
      <w:pPr>
        <w:pStyle w:val="Heading1"/>
        <w:ind w:left="431" w:hanging="431"/>
      </w:pPr>
      <w:bookmarkStart w:id="46" w:name="_Toc183441294"/>
      <w:bookmarkEnd w:id="42"/>
      <w:r w:rsidRPr="00A55335">
        <w:lastRenderedPageBreak/>
        <w:t>Objectives</w:t>
      </w:r>
      <w:bookmarkEnd w:id="46"/>
    </w:p>
    <w:p w14:paraId="1504D749" w14:textId="77777777" w:rsidR="00455FE3" w:rsidRPr="00A55335" w:rsidRDefault="00455FE3" w:rsidP="00DD505D">
      <w:pPr>
        <w:pStyle w:val="BodyText"/>
      </w:pPr>
      <w:r w:rsidRPr="00A55335">
        <w:t>T</w:t>
      </w:r>
      <w:r w:rsidR="00DD505D" w:rsidRPr="00A55335">
        <w:t xml:space="preserve">o evaluate the effectiveness of homeopathy in preventing and/or treating injury, disease, medical conditions, or pre-clinical conditions. </w:t>
      </w:r>
    </w:p>
    <w:p w14:paraId="0DB9A807" w14:textId="551DDE11" w:rsidR="00455FE3" w:rsidRPr="00A55335" w:rsidRDefault="00455FE3" w:rsidP="00DD505D">
      <w:pPr>
        <w:pStyle w:val="BodyText"/>
      </w:pPr>
      <w:r w:rsidRPr="00A55335">
        <w:t>The questions for the review were as follows:</w:t>
      </w:r>
    </w:p>
    <w:p w14:paraId="7C8AD36C" w14:textId="77777777" w:rsidR="00851F24" w:rsidRPr="00A55335" w:rsidRDefault="00851F24" w:rsidP="002C70A5">
      <w:pPr>
        <w:pStyle w:val="ListNos0"/>
      </w:pPr>
      <w:r w:rsidRPr="00A55335">
        <w:t>What is the effectiveness of homeopathy compared to placebo on outcomes considered critical or important among individuals with any condition, pre-condition, injury or risk factor?</w:t>
      </w:r>
    </w:p>
    <w:p w14:paraId="4DF7C623" w14:textId="0E39E094" w:rsidR="00AF6B54" w:rsidRPr="00A55335" w:rsidRDefault="00AF6B54" w:rsidP="00F80DF2">
      <w:pPr>
        <w:pStyle w:val="ListNos0"/>
      </w:pPr>
      <w:r w:rsidRPr="00A55335">
        <w:t>What is the effectiveness of homeopathy compared to an inactive control (no intervention, waitlist or usual care</w:t>
      </w:r>
      <w:r w:rsidR="00325C5F" w:rsidRPr="00A55335">
        <w:t xml:space="preserve"> [if considered inactive]</w:t>
      </w:r>
      <w:r w:rsidRPr="00A55335">
        <w:t>) on outcomes considered critical or important among individuals with any condition, pre-condition, injury or risk factor?</w:t>
      </w:r>
    </w:p>
    <w:p w14:paraId="35791278" w14:textId="1F60E973" w:rsidR="00AF6B54" w:rsidRPr="00A55335" w:rsidRDefault="00AF6B54" w:rsidP="00F80DF2">
      <w:pPr>
        <w:pStyle w:val="ListNos0"/>
      </w:pPr>
      <w:r w:rsidRPr="00A55335">
        <w:t xml:space="preserve">What evidence exists examining the effectiveness of </w:t>
      </w:r>
      <w:r w:rsidR="00AB5B56" w:rsidRPr="00A55335">
        <w:t xml:space="preserve">homeopathy </w:t>
      </w:r>
      <w:r w:rsidRPr="00A55335">
        <w:t xml:space="preserve">compared to active comparators </w:t>
      </w:r>
      <w:r w:rsidR="00E13FDF" w:rsidRPr="00A55335">
        <w:t xml:space="preserve">(including usual care if considered active) </w:t>
      </w:r>
      <w:r w:rsidRPr="00A55335">
        <w:t>on outcomes considered critical or important among individuals with any condition, pre-condition, injury or risk factor?</w:t>
      </w:r>
    </w:p>
    <w:p w14:paraId="1AECAEA2" w14:textId="77777777" w:rsidR="00AB5B56" w:rsidRPr="00A55335" w:rsidRDefault="00AB5B56" w:rsidP="00AB5B56">
      <w:pPr>
        <w:pStyle w:val="BodyText"/>
      </w:pPr>
    </w:p>
    <w:p w14:paraId="00C652B3" w14:textId="1E8D822A" w:rsidR="00AF6B54" w:rsidRPr="00A55335" w:rsidRDefault="00AF6B54" w:rsidP="00AF6B54">
      <w:pPr>
        <w:pStyle w:val="BodyText"/>
      </w:pPr>
      <w:r w:rsidRPr="00A55335">
        <w:t xml:space="preserve">The intent was to evaluate the evidence representative of the </w:t>
      </w:r>
      <w:r w:rsidR="00844A69" w:rsidRPr="00A55335">
        <w:t>evidence for populations and outcomes commonly seen and treated by homeopaths in Australia, to</w:t>
      </w:r>
      <w:r w:rsidRPr="00A55335">
        <w:t xml:space="preserve"> inform the </w:t>
      </w:r>
      <w:r w:rsidR="00844A69" w:rsidRPr="00A55335">
        <w:t xml:space="preserve">Australian Government Natural Therapies Review </w:t>
      </w:r>
      <w:r w:rsidRPr="00A55335">
        <w:t>of the Private Health Insurance rebate.</w:t>
      </w:r>
      <w:r w:rsidR="00844A69" w:rsidRPr="00A55335">
        <w:t xml:space="preserve"> It was out of scope to evaluate harms or cost-effectiveness of homeopathy.</w:t>
      </w:r>
    </w:p>
    <w:p w14:paraId="508933B3" w14:textId="1DD22A93" w:rsidR="005824F3" w:rsidRPr="00A55335" w:rsidRDefault="008473AF" w:rsidP="005824F3">
      <w:pPr>
        <w:pStyle w:val="BodyText"/>
      </w:pPr>
      <w:r w:rsidRPr="00A55335">
        <w:fldChar w:fldCharType="begin"/>
      </w:r>
      <w:r w:rsidRPr="00A55335">
        <w:instrText xml:space="preserve"> REF _Ref47523301 \h </w:instrText>
      </w:r>
      <w:r w:rsidRPr="00A55335">
        <w:fldChar w:fldCharType="separate"/>
      </w:r>
      <w:r w:rsidR="00814B04" w:rsidRPr="00A55335">
        <w:t xml:space="preserve">Table </w:t>
      </w:r>
      <w:r w:rsidR="00814B04">
        <w:rPr>
          <w:noProof/>
        </w:rPr>
        <w:t>1</w:t>
      </w:r>
      <w:r w:rsidRPr="00A55335">
        <w:fldChar w:fldCharType="end"/>
      </w:r>
      <w:r w:rsidRPr="00A55335">
        <w:t xml:space="preserve"> </w:t>
      </w:r>
      <w:r w:rsidR="005824F3" w:rsidRPr="00A55335">
        <w:t>lists the</w:t>
      </w:r>
      <w:r w:rsidR="00D21A2F" w:rsidRPr="00A55335">
        <w:t xml:space="preserve"> populations/</w:t>
      </w:r>
      <w:r w:rsidR="005824F3" w:rsidRPr="00A55335">
        <w:t xml:space="preserve">conditions identified and considered </w:t>
      </w:r>
      <w:r w:rsidRPr="00A55335">
        <w:t>for</w:t>
      </w:r>
      <w:r w:rsidR="005824F3" w:rsidRPr="00A55335">
        <w:t xml:space="preserve"> this review and specifies whether </w:t>
      </w:r>
      <w:r w:rsidR="002D04B6">
        <w:t xml:space="preserve">these </w:t>
      </w:r>
      <w:r w:rsidR="005824F3" w:rsidRPr="00A55335">
        <w:t xml:space="preserve">studies were </w:t>
      </w:r>
      <w:r w:rsidRPr="00A55335">
        <w:t>in priority populations</w:t>
      </w:r>
      <w:r w:rsidR="005824F3" w:rsidRPr="00A55335">
        <w:t xml:space="preserve"> that assessed </w:t>
      </w:r>
      <w:r w:rsidR="00FD7DF5" w:rsidRPr="00A55335">
        <w:t>homeopathy</w:t>
      </w:r>
      <w:r w:rsidR="005824F3" w:rsidRPr="00A55335">
        <w:t xml:space="preserve"> versus </w:t>
      </w:r>
      <w:r w:rsidR="0097455E" w:rsidRPr="00A55335">
        <w:t xml:space="preserve">placebo </w:t>
      </w:r>
      <w:r w:rsidR="00B91619" w:rsidRPr="00A55335">
        <w:t xml:space="preserve">(primary comparison) </w:t>
      </w:r>
      <w:r w:rsidR="0097455E" w:rsidRPr="00A55335">
        <w:t xml:space="preserve">or an </w:t>
      </w:r>
      <w:r w:rsidR="005824F3" w:rsidRPr="00A55335">
        <w:t>inactive</w:t>
      </w:r>
      <w:r w:rsidR="0097455E" w:rsidRPr="00A55335">
        <w:t xml:space="preserve"> control</w:t>
      </w:r>
      <w:r w:rsidR="00B91619" w:rsidRPr="00A55335">
        <w:t xml:space="preserve"> (secondary comparison)</w:t>
      </w:r>
      <w:r w:rsidR="0097455E" w:rsidRPr="00A55335">
        <w:t>.</w:t>
      </w:r>
      <w:r w:rsidR="005824F3" w:rsidRPr="00A55335">
        <w:t xml:space="preserve"> A prespecified prioritisation process aimed at making best use of the available evidence is described in Appendix A6.</w:t>
      </w:r>
    </w:p>
    <w:p w14:paraId="5A990B01" w14:textId="717DD6D9" w:rsidR="009762D5" w:rsidRPr="00A55335" w:rsidRDefault="009762D5" w:rsidP="002C70A5">
      <w:pPr>
        <w:pStyle w:val="Bulletintro"/>
        <w:rPr>
          <w:lang w:val="en-AU"/>
        </w:rPr>
      </w:pPr>
      <w:r w:rsidRPr="00A55335">
        <w:rPr>
          <w:lang w:val="en-AU"/>
        </w:rPr>
        <w:t>Populations/conditions in order of priority are listed below:</w:t>
      </w:r>
    </w:p>
    <w:p w14:paraId="1B4573EA" w14:textId="77777777" w:rsidR="009A1CDF" w:rsidRPr="00A55335" w:rsidRDefault="009A1CDF" w:rsidP="002C70A5">
      <w:pPr>
        <w:pStyle w:val="ListNos0"/>
        <w:numPr>
          <w:ilvl w:val="0"/>
          <w:numId w:val="71"/>
        </w:numPr>
      </w:pPr>
      <w:r w:rsidRPr="00A55335">
        <w:t>Anxiety</w:t>
      </w:r>
    </w:p>
    <w:p w14:paraId="527C9F6A" w14:textId="77777777" w:rsidR="009A1CDF" w:rsidRPr="00A55335" w:rsidRDefault="009A1CDF" w:rsidP="00900C67">
      <w:pPr>
        <w:pStyle w:val="ListNos0"/>
      </w:pPr>
      <w:r w:rsidRPr="00A55335">
        <w:t>Atopic conditions (allergies, hay fever, eczema)</w:t>
      </w:r>
    </w:p>
    <w:p w14:paraId="11FC8352" w14:textId="77777777" w:rsidR="009A1CDF" w:rsidRPr="00A55335" w:rsidRDefault="009A1CDF" w:rsidP="00900C67">
      <w:pPr>
        <w:pStyle w:val="ListNos0"/>
      </w:pPr>
      <w:r w:rsidRPr="00A55335">
        <w:t>Headache/migraine</w:t>
      </w:r>
    </w:p>
    <w:p w14:paraId="1F46A427" w14:textId="77777777" w:rsidR="009A1CDF" w:rsidRPr="00A55335" w:rsidRDefault="009A1CDF" w:rsidP="00900C67">
      <w:pPr>
        <w:pStyle w:val="ListNos0"/>
      </w:pPr>
      <w:r w:rsidRPr="00A55335">
        <w:t>Digestive disorders (infantile colic)</w:t>
      </w:r>
    </w:p>
    <w:p w14:paraId="74142AF4" w14:textId="77777777" w:rsidR="009A1CDF" w:rsidRPr="00A55335" w:rsidRDefault="009A1CDF" w:rsidP="00900C67">
      <w:pPr>
        <w:pStyle w:val="ListNos0"/>
      </w:pPr>
      <w:r w:rsidRPr="00A55335">
        <w:t>Digestive disorders (infantile diarrhea)</w:t>
      </w:r>
    </w:p>
    <w:p w14:paraId="44C0DB16" w14:textId="77777777" w:rsidR="009A1CDF" w:rsidRPr="00A55335" w:rsidRDefault="009A1CDF" w:rsidP="00900C67">
      <w:pPr>
        <w:pStyle w:val="ListNos0"/>
      </w:pPr>
      <w:r w:rsidRPr="00A55335">
        <w:t>Irritable bowel syndrome</w:t>
      </w:r>
    </w:p>
    <w:p w14:paraId="35A1ABFE" w14:textId="77777777" w:rsidR="009A1CDF" w:rsidRPr="00A55335" w:rsidRDefault="009A1CDF" w:rsidP="00900C67">
      <w:pPr>
        <w:pStyle w:val="ListNos0"/>
      </w:pPr>
      <w:r w:rsidRPr="00A55335">
        <w:t>Recurrent infections (childhood otitis media)</w:t>
      </w:r>
    </w:p>
    <w:p w14:paraId="164FF050" w14:textId="5F1B1F13" w:rsidR="009A1CDF" w:rsidRPr="00A55335" w:rsidRDefault="009A1CDF" w:rsidP="00900C67">
      <w:pPr>
        <w:pStyle w:val="ListNos0"/>
      </w:pPr>
      <w:r w:rsidRPr="00A55335">
        <w:t>Recurrent infections (</w:t>
      </w:r>
      <w:r w:rsidR="00AF1766" w:rsidRPr="00A55335">
        <w:t>u</w:t>
      </w:r>
      <w:r w:rsidR="000C2622" w:rsidRPr="00A55335">
        <w:t>pper respiratory tract</w:t>
      </w:r>
      <w:r w:rsidRPr="00A55335">
        <w:t>)</w:t>
      </w:r>
    </w:p>
    <w:p w14:paraId="13C2FA04" w14:textId="77777777" w:rsidR="009A1CDF" w:rsidRPr="00A55335" w:rsidRDefault="009A1CDF" w:rsidP="00900C67">
      <w:pPr>
        <w:pStyle w:val="ListNos0"/>
      </w:pPr>
      <w:r w:rsidRPr="00A55335">
        <w:t>Insomnia/sleep disorders</w:t>
      </w:r>
    </w:p>
    <w:p w14:paraId="39FE33D6" w14:textId="3686F622" w:rsidR="009A1CDF" w:rsidRPr="00A55335" w:rsidRDefault="009A1CDF" w:rsidP="00900C67">
      <w:pPr>
        <w:pStyle w:val="ListNos0"/>
      </w:pPr>
      <w:r w:rsidRPr="00A55335">
        <w:t>Fatigue conditions (e.g. post viral fatigue)</w:t>
      </w:r>
    </w:p>
    <w:p w14:paraId="68175E0C" w14:textId="77777777" w:rsidR="009A1CDF" w:rsidRPr="00A55335" w:rsidRDefault="009A1CDF" w:rsidP="00900C67">
      <w:pPr>
        <w:pStyle w:val="ListNos0"/>
      </w:pPr>
      <w:r w:rsidRPr="00A55335">
        <w:t>Depressive/mood disorders</w:t>
      </w:r>
    </w:p>
    <w:p w14:paraId="637FF33C" w14:textId="77777777" w:rsidR="009A1CDF" w:rsidRPr="00A55335" w:rsidRDefault="009A1CDF" w:rsidP="00900C67">
      <w:pPr>
        <w:pStyle w:val="ListNos0"/>
      </w:pPr>
      <w:r w:rsidRPr="00A55335">
        <w:t>Fibromyalgia</w:t>
      </w:r>
    </w:p>
    <w:p w14:paraId="3EA32ED2" w14:textId="77777777" w:rsidR="009A1CDF" w:rsidRPr="00A55335" w:rsidRDefault="009A1CDF" w:rsidP="00900C67">
      <w:pPr>
        <w:pStyle w:val="ListNos0"/>
      </w:pPr>
      <w:r w:rsidRPr="00A55335">
        <w:t xml:space="preserve">Arthritis </w:t>
      </w:r>
    </w:p>
    <w:p w14:paraId="154808F5" w14:textId="77777777" w:rsidR="009A1CDF" w:rsidRPr="00A55335" w:rsidRDefault="009A1CDF" w:rsidP="00900C67">
      <w:pPr>
        <w:pStyle w:val="ListNos0"/>
      </w:pPr>
      <w:r w:rsidRPr="00A55335">
        <w:t>Asthma (prevention of)</w:t>
      </w:r>
    </w:p>
    <w:p w14:paraId="078C4A3E" w14:textId="1C0298B8" w:rsidR="009A1CDF" w:rsidRPr="00A55335" w:rsidRDefault="009A1CDF" w:rsidP="00900C67">
      <w:pPr>
        <w:pStyle w:val="ListNos0"/>
      </w:pPr>
      <w:r w:rsidRPr="00A55335">
        <w:t>Recurrent infections (</w:t>
      </w:r>
      <w:r w:rsidR="000C2622" w:rsidRPr="00A55335">
        <w:t>urinary tract</w:t>
      </w:r>
      <w:r w:rsidRPr="00A55335">
        <w:t>)</w:t>
      </w:r>
    </w:p>
    <w:p w14:paraId="2C08D895" w14:textId="77777777" w:rsidR="009A1CDF" w:rsidRPr="00A55335" w:rsidRDefault="009A1CDF" w:rsidP="00900C67">
      <w:pPr>
        <w:pStyle w:val="ListNos0"/>
      </w:pPr>
      <w:r w:rsidRPr="00A55335">
        <w:t>Psoriasis</w:t>
      </w:r>
    </w:p>
    <w:p w14:paraId="6A699E79" w14:textId="4DA45D25" w:rsidR="009A1CDF" w:rsidRPr="00A55335" w:rsidRDefault="00AF1766" w:rsidP="00900C67">
      <w:pPr>
        <w:pStyle w:val="ListNos0"/>
      </w:pPr>
      <w:r w:rsidRPr="00A55335">
        <w:t>Neurodevelopmental (</w:t>
      </w:r>
      <w:r w:rsidR="005F4475" w:rsidRPr="00A55335">
        <w:t>a</w:t>
      </w:r>
      <w:r w:rsidR="000C2622" w:rsidRPr="00A55335">
        <w:t>ttention</w:t>
      </w:r>
      <w:r w:rsidR="00E55F6F" w:rsidRPr="00A55335">
        <w:t xml:space="preserve"> deficit </w:t>
      </w:r>
      <w:r w:rsidR="009A1CDF" w:rsidRPr="00A55335">
        <w:t>/</w:t>
      </w:r>
      <w:r w:rsidR="005F4475" w:rsidRPr="00A55335">
        <w:t>a</w:t>
      </w:r>
      <w:r w:rsidR="009A1CDF" w:rsidRPr="00A55335">
        <w:t>utism/</w:t>
      </w:r>
      <w:r w:rsidRPr="00A55335">
        <w:t xml:space="preserve"> l</w:t>
      </w:r>
      <w:r w:rsidR="009A1CDF" w:rsidRPr="00A55335">
        <w:t>earning difficulties</w:t>
      </w:r>
      <w:r w:rsidRPr="00A55335">
        <w:t>)</w:t>
      </w:r>
    </w:p>
    <w:p w14:paraId="70F179B2" w14:textId="77777777" w:rsidR="009A1CDF" w:rsidRPr="00A55335" w:rsidRDefault="009A1CDF" w:rsidP="00900C67">
      <w:pPr>
        <w:pStyle w:val="ListNos0"/>
      </w:pPr>
      <w:r w:rsidRPr="00A55335">
        <w:t>Menopausal symptoms</w:t>
      </w:r>
    </w:p>
    <w:p w14:paraId="7AD69786" w14:textId="77777777" w:rsidR="009A1CDF" w:rsidRPr="00A55335" w:rsidRDefault="009A1CDF" w:rsidP="00900C67">
      <w:pPr>
        <w:pStyle w:val="ListNos0"/>
      </w:pPr>
      <w:r w:rsidRPr="00A55335">
        <w:t>Menstrual disorders</w:t>
      </w:r>
    </w:p>
    <w:p w14:paraId="036407CF" w14:textId="157FE53F" w:rsidR="009A1CDF" w:rsidRPr="00A55335" w:rsidRDefault="009A1CDF" w:rsidP="00900C67">
      <w:pPr>
        <w:pStyle w:val="ListNos0"/>
      </w:pPr>
      <w:r w:rsidRPr="00A55335">
        <w:t>Back pain/ neck pain</w:t>
      </w:r>
    </w:p>
    <w:p w14:paraId="6A5995B8" w14:textId="3E9749BD" w:rsidR="00B15473" w:rsidRPr="00A55335" w:rsidRDefault="00B15473" w:rsidP="00B15473">
      <w:pPr>
        <w:pStyle w:val="Heading1"/>
      </w:pPr>
      <w:bookmarkStart w:id="47" w:name="_Toc183441295"/>
      <w:r w:rsidRPr="00A55335">
        <w:lastRenderedPageBreak/>
        <w:t>Methods</w:t>
      </w:r>
      <w:bookmarkEnd w:id="47"/>
    </w:p>
    <w:p w14:paraId="47AF7C47" w14:textId="77869220" w:rsidR="00AD2C5F" w:rsidRPr="00A55335" w:rsidRDefault="00AD2C5F" w:rsidP="00AD2C5F">
      <w:pPr>
        <w:pStyle w:val="BodyText"/>
      </w:pPr>
      <w:r w:rsidRPr="00A55335">
        <w:t>Methods reported in this systematic review are based on that described in the</w:t>
      </w:r>
      <w:r w:rsidRPr="00A55335">
        <w:rPr>
          <w:rStyle w:val="Emphasis"/>
        </w:rPr>
        <w:t xml:space="preserve"> Cochrane Handbook for Systematic Reviews of Interventions </w:t>
      </w:r>
      <w:r w:rsidRPr="00A55335">
        <w:fldChar w:fldCharType="begin"/>
      </w:r>
      <w:r w:rsidR="006952AD">
        <w:instrText xml:space="preserve"> ADDIN EN.CITE &lt;EndNote&gt;&lt;Cite ExcludeAuth="1"&gt;&lt;RecNum&gt;528&lt;/RecNum&gt;&lt;DisplayText&gt;(57)&lt;/DisplayText&gt;&lt;record&gt;&lt;rec-number&gt;528&lt;/rec-number&gt;&lt;foreign-keys&gt;&lt;key app="EN" db-id="t5prptatr9sp0we5exbxt9zz20fwp55tdza9" timestamp="1700802229"&gt;528&lt;/key&gt;&lt;/foreign-keys&gt;&lt;ref-type name="Web Page"&gt;12&lt;/ref-type&gt;&lt;contributors&gt;&lt;secondary-authors&gt;&lt;author&gt;Higgins, JPT&lt;/author&gt;&lt;author&gt;Thomas, J&lt;/author&gt;&lt;author&gt;Chandler, J &lt;/author&gt;&lt;author&gt;Cumpston, M, &lt;/author&gt;&lt;author&gt;Li, T &lt;/author&gt;&lt;author&gt;Page, MJ&lt;/author&gt;&lt;author&gt;Welch, VA&lt;/author&gt;&lt;/secondary-authors&gt;&lt;/contributors&gt;&lt;titles&gt;&lt;title&gt;Cochrane Handbook for Systematic Reviews of Interventions version 6.3 (updated 2022)&lt;/title&gt;&lt;/titles&gt;&lt;dates&gt;&lt;/dates&gt;&lt;publisher&gt;Cochrane&lt;/publisher&gt;&lt;urls&gt;&lt;related-urls&gt;&lt;url&gt;www.training.cochrane.org/handbook&lt;/url&gt;&lt;/related-urls&gt;&lt;/urls&gt;&lt;/record&gt;&lt;/Cite&gt;&lt;/EndNote&gt;</w:instrText>
      </w:r>
      <w:r w:rsidRPr="00A55335">
        <w:fldChar w:fldCharType="separate"/>
      </w:r>
      <w:r w:rsidR="00FA37A6" w:rsidRPr="00A55335">
        <w:rPr>
          <w:noProof/>
        </w:rPr>
        <w:t>(</w:t>
      </w:r>
      <w:hyperlink w:anchor="_ENREF_57" w:tooltip=",  #528" w:history="1">
        <w:r w:rsidR="00EC2769" w:rsidRPr="00A55335">
          <w:rPr>
            <w:noProof/>
          </w:rPr>
          <w:t>57</w:t>
        </w:r>
      </w:hyperlink>
      <w:r w:rsidR="00FA37A6" w:rsidRPr="00A55335">
        <w:rPr>
          <w:noProof/>
        </w:rPr>
        <w:t>)</w:t>
      </w:r>
      <w:r w:rsidRPr="00A55335">
        <w:fldChar w:fldCharType="end"/>
      </w:r>
      <w:r w:rsidRPr="00A55335">
        <w:t xml:space="preserve">. Covidence (www.covidence.org), a web‐based platform for producing SRs, was used for screening citations and recording decisions made. Covidence is compatible with EndNote and Microsoft Excel, which were used for managing citations and data extraction, respectively. Where appropriate, </w:t>
      </w:r>
      <w:proofErr w:type="spellStart"/>
      <w:r w:rsidRPr="00A55335">
        <w:t>RevMan</w:t>
      </w:r>
      <w:proofErr w:type="spellEnd"/>
      <w:r w:rsidRPr="00A55335">
        <w:t xml:space="preserve"> </w:t>
      </w:r>
      <w:r w:rsidRPr="00A55335">
        <w:fldChar w:fldCharType="begin"/>
      </w:r>
      <w:r w:rsidR="006952AD">
        <w:instrText xml:space="preserve"> ADDIN EN.CITE &lt;EndNote&gt;&lt;Cite ExcludeAuth="1"&gt;&lt;Year&gt;2014&lt;/Year&gt;&lt;RecNum&gt;529&lt;/RecNum&gt;&lt;DisplayText&gt;(58)&lt;/DisplayText&gt;&lt;record&gt;&lt;rec-number&gt;529&lt;/rec-number&gt;&lt;foreign-keys&gt;&lt;key app="EN" db-id="t5prptatr9sp0we5exbxt9zz20fwp55tdza9" timestamp="1700802229"&gt;529&lt;/key&gt;&lt;/foreign-keys&gt;&lt;ref-type name="Computer Program"&gt;9&lt;/ref-type&gt;&lt;contributors&gt;&lt;/contributors&gt;&lt;titles&gt;&lt;title&gt;Review Manager (RevMan) [Computer program]. Version 5.3&lt;/title&gt;&lt;/titles&gt;&lt;dates&gt;&lt;year&gt;2014&lt;/year&gt;&lt;/dates&gt;&lt;pub-location&gt;Copenhagen: The Nordic Cochrane Centre&lt;/pub-location&gt;&lt;publisher&gt;The Cochrane Collaboration&lt;/publisher&gt;&lt;urls&gt;&lt;/urls&gt;&lt;/record&gt;&lt;/Cite&gt;&lt;/EndNote&gt;</w:instrText>
      </w:r>
      <w:r w:rsidRPr="00A55335">
        <w:fldChar w:fldCharType="separate"/>
      </w:r>
      <w:r w:rsidR="00FA37A6" w:rsidRPr="00A55335">
        <w:rPr>
          <w:noProof/>
        </w:rPr>
        <w:t>(</w:t>
      </w:r>
      <w:hyperlink w:anchor="_ENREF_58" w:tooltip=", 2014 #529" w:history="1">
        <w:r w:rsidR="00EC2769" w:rsidRPr="00A55335">
          <w:rPr>
            <w:noProof/>
          </w:rPr>
          <w:t>58</w:t>
        </w:r>
      </w:hyperlink>
      <w:r w:rsidR="00FA37A6" w:rsidRPr="00A55335">
        <w:rPr>
          <w:noProof/>
        </w:rPr>
        <w:t>)</w:t>
      </w:r>
      <w:r w:rsidRPr="00A55335">
        <w:fldChar w:fldCharType="end"/>
      </w:r>
      <w:r w:rsidRPr="00A55335">
        <w:t xml:space="preserve"> was used for the main analyses and </w:t>
      </w:r>
      <w:proofErr w:type="spellStart"/>
      <w:r w:rsidRPr="00A55335">
        <w:t>GRADEpro</w:t>
      </w:r>
      <w:proofErr w:type="spellEnd"/>
      <w:r w:rsidRPr="00A55335">
        <w:t xml:space="preserve"> GDT software (www.gradepro.org) was used to record decisions and derive an overall assessment of the certainty of evidence for each outcome guided by GRADE methodology </w:t>
      </w:r>
      <w:r w:rsidRPr="00A55335">
        <w:fldChar w:fldCharType="begin"/>
      </w:r>
      <w:r w:rsidR="006952AD">
        <w:instrText xml:space="preserve"> ADDIN EN.CITE &lt;EndNote&gt;&lt;Cite&gt;&lt;Author&gt;Schünemann H&lt;/Author&gt;&lt;Year&gt;2013&lt;/Year&gt;&lt;RecNum&gt;7&lt;/RecNum&gt;&lt;DisplayText&gt;(5)&lt;/DisplayText&gt;&lt;record&gt;&lt;rec-number&gt;7&lt;/rec-number&gt;&lt;foreign-keys&gt;&lt;key app="EN" db-id="t5prptatr9sp0we5exbxt9zz20fwp55tdza9" timestamp="1643145592"&gt;7&lt;/key&gt;&lt;/foreign-keys&gt;&lt;ref-type name="Electronic Article"&gt;43&lt;/ref-type&gt;&lt;contributors&gt;&lt;authors&gt;&lt;author&gt;Schünemann H,&lt;/author&gt;&lt;author&gt;&lt;style face="normal" font="default" size="100%"&gt;Bro&lt;/style&gt;&lt;style face="normal" font="default" charset="238" size="100%"&gt;żek&lt;/style&gt;&lt;style face="normal" font="default" size="100%"&gt; J,&lt;/style&gt;&lt;/author&gt;&lt;author&gt;&lt;style face="normal" font="default" charset="238" size="100%"&gt;Guyatt&lt;/style&gt;&lt;style face="normal" font="default" size="100%"&gt; G,&lt;/style&gt;&lt;/author&gt;&lt;author&gt;&lt;style face="normal" font="default" charset="238" size="100%"&gt;Oxman &lt;/style&gt;&lt;style face="normal" font="default" size="100%"&gt;A,&lt;/style&gt;&lt;/author&gt;&lt;/authors&gt;&lt;/contributors&gt;&lt;titles&gt;&lt;title&gt;GRADE Handbook&lt;/title&gt;&lt;secondary-title&gt;Handbook for grading the quality of evidence and the strength of recommendations using the GRADE approach&lt;/secondary-title&gt;&lt;/titles&gt;&lt;periodical&gt;&lt;full-title&gt;Handbook for grading the quality of evidence and the strength of recommendations using the GRADE approach&lt;/full-title&gt;&lt;/periodical&gt;&lt;volume&gt;(Updated October 2013)&lt;/volume&gt;&lt;dates&gt;&lt;year&gt;2013&lt;/year&gt;&lt;/dates&gt;&lt;urls&gt;&lt;related-urls&gt;&lt;url&gt;https://gdt.gradepro.org/app/handbook/handbook.html&lt;/url&gt;&lt;/related-urls&gt;&lt;/urls&gt;&lt;research-notes&gt;ALL&lt;/research-notes&gt;&lt;/record&gt;&lt;/Cite&gt;&lt;/EndNote&gt;</w:instrText>
      </w:r>
      <w:r w:rsidRPr="00A55335">
        <w:fldChar w:fldCharType="separate"/>
      </w:r>
      <w:r w:rsidR="00FA37A6" w:rsidRPr="00A55335">
        <w:rPr>
          <w:noProof/>
        </w:rPr>
        <w:t>(</w:t>
      </w:r>
      <w:hyperlink w:anchor="_ENREF_5" w:tooltip="Schünemann H, 2013 #7" w:history="1">
        <w:r w:rsidR="00EC2769" w:rsidRPr="00A55335">
          <w:rPr>
            <w:noProof/>
          </w:rPr>
          <w:t>5</w:t>
        </w:r>
      </w:hyperlink>
      <w:r w:rsidR="00FA37A6" w:rsidRPr="00A55335">
        <w:rPr>
          <w:noProof/>
        </w:rPr>
        <w:t>)</w:t>
      </w:r>
      <w:r w:rsidRPr="00A55335">
        <w:fldChar w:fldCharType="end"/>
      </w:r>
      <w:r w:rsidRPr="00A55335">
        <w:t xml:space="preserve">. </w:t>
      </w:r>
    </w:p>
    <w:p w14:paraId="69D01B80" w14:textId="277B609A" w:rsidR="00AD2C5F" w:rsidRPr="00A55335" w:rsidRDefault="00AD2C5F" w:rsidP="00926CC9">
      <w:pPr>
        <w:pStyle w:val="BodyText"/>
      </w:pPr>
      <w:r w:rsidRPr="00A55335">
        <w:t xml:space="preserve">Eligible studies were assigned to an appropriate </w:t>
      </w:r>
      <w:r w:rsidRPr="00A55335">
        <w:rPr>
          <w:rStyle w:val="Emphasis"/>
        </w:rPr>
        <w:t xml:space="preserve">International Classification of Disease </w:t>
      </w:r>
      <w:r w:rsidRPr="00A55335">
        <w:t xml:space="preserve">(ICD-11) category based on the primary clinical condition reported in the study, such that each study only contributed data to one population (see Appendix A5.4). </w:t>
      </w:r>
      <w:r w:rsidR="001E19D3" w:rsidRPr="00A55335">
        <w:t xml:space="preserve">Results are presented in ICD-11 order. </w:t>
      </w:r>
    </w:p>
    <w:p w14:paraId="323F8A3C" w14:textId="1342F6E3" w:rsidR="00AD2C5F" w:rsidRPr="00A55335" w:rsidRDefault="00AD2C5F" w:rsidP="00926CC9">
      <w:pPr>
        <w:pStyle w:val="BodyText"/>
      </w:pPr>
      <w:r w:rsidRPr="00A55335">
        <w:t xml:space="preserve">Populations and up to </w:t>
      </w:r>
      <w:r w:rsidR="00627D51" w:rsidRPr="00A55335">
        <w:t xml:space="preserve">7 </w:t>
      </w:r>
      <w:r w:rsidRPr="00A55335">
        <w:t>critical or important outcomes were prioritised to inform the data synthesis (see Appendix A6). Throughout the population and outcome prioritisation exercise, the NTWC remained blinded to the screening results (i.e. number of studies identified) and characteristics of included studies (e.g. study design, size, quality) to prevent any influence on decision-making</w:t>
      </w:r>
      <w:r w:rsidR="00E857AE" w:rsidRPr="00A55335">
        <w:t>.</w:t>
      </w:r>
      <w:r w:rsidRPr="00A55335">
        <w:t xml:space="preserve"> For prioritised conditions, risk of bias was assessed, appropriate data was extracted into data extraction tables, and the results summarised into appropriate categories according to identified populations, conditions and comparators. </w:t>
      </w:r>
    </w:p>
    <w:p w14:paraId="08BC330C" w14:textId="5F7C4166" w:rsidR="0015344A" w:rsidRPr="00BD1A50" w:rsidRDefault="0015344A" w:rsidP="008F6677">
      <w:pPr>
        <w:pStyle w:val="BodyText"/>
      </w:pPr>
      <w:r w:rsidRPr="00A55335">
        <w:t>Summary of Findings tables (see Appendix B4) were developed for studies that compared homeopathy to placebo (</w:t>
      </w:r>
      <w:r w:rsidR="00A97530" w:rsidRPr="00A55335">
        <w:t>p</w:t>
      </w:r>
      <w:r w:rsidR="006070ED" w:rsidRPr="00A55335">
        <w:t xml:space="preserve">rimary </w:t>
      </w:r>
      <w:r w:rsidR="00A97530" w:rsidRPr="00A55335">
        <w:t>c</w:t>
      </w:r>
      <w:r w:rsidR="006070ED" w:rsidRPr="00A55335">
        <w:t>omparison</w:t>
      </w:r>
      <w:r w:rsidRPr="00A55335">
        <w:t>) or an inactive control (</w:t>
      </w:r>
      <w:r w:rsidR="00A97530" w:rsidRPr="00A55335">
        <w:t>s</w:t>
      </w:r>
      <w:r w:rsidR="006070ED" w:rsidRPr="00A55335">
        <w:t xml:space="preserve">econdary </w:t>
      </w:r>
      <w:r w:rsidR="00A97530" w:rsidRPr="00BD1A50">
        <w:t>c</w:t>
      </w:r>
      <w:r w:rsidR="006070ED" w:rsidRPr="00BD1A50">
        <w:t>omparison</w:t>
      </w:r>
      <w:r w:rsidRPr="00BD1A50">
        <w:t xml:space="preserve">) and which reported on outcomes rated as critical or important by NTWC. The Summary of Findings tables included up to 7 critical and important outcomes prioritised by NTWC who were guided by the GRADE framework (see Appendix A6.2). </w:t>
      </w:r>
    </w:p>
    <w:p w14:paraId="692DE0CD" w14:textId="2722E303" w:rsidR="00926CC9" w:rsidRPr="00A55335" w:rsidRDefault="00926CC9" w:rsidP="00926CC9">
      <w:pPr>
        <w:pStyle w:val="BodyText"/>
      </w:pPr>
      <w:r w:rsidRPr="00A55335">
        <w:t>The final approved review protocol was registered on the international prospective register of SRs (</w:t>
      </w:r>
      <w:r w:rsidR="0017654D" w:rsidRPr="00A55335">
        <w:t>PROSPERO: CRD42022346433</w:t>
      </w:r>
      <w:r w:rsidRPr="00A55335">
        <w:t>).</w:t>
      </w:r>
    </w:p>
    <w:p w14:paraId="0A41DC16" w14:textId="77777777" w:rsidR="00926CC9" w:rsidRPr="00A55335" w:rsidRDefault="00926CC9" w:rsidP="00681E96">
      <w:pPr>
        <w:pStyle w:val="Bulletintro"/>
        <w:rPr>
          <w:lang w:val="en-AU"/>
        </w:rPr>
      </w:pPr>
      <w:r w:rsidRPr="00A55335">
        <w:rPr>
          <w:lang w:val="en-AU"/>
        </w:rPr>
        <w:t xml:space="preserve">Further details on the methods and approach used to conduct the evidence evaluation are provided in Appendix A and Appendix B of the Technical Report, which outline the following: </w:t>
      </w:r>
    </w:p>
    <w:p w14:paraId="1BA4DC69" w14:textId="77777777" w:rsidR="00926CC9" w:rsidRPr="00A55335" w:rsidRDefault="00926CC9" w:rsidP="00A1755D">
      <w:pPr>
        <w:pStyle w:val="Bullet12"/>
        <w:rPr>
          <w:lang w:val="en-AU"/>
        </w:rPr>
      </w:pPr>
      <w:r w:rsidRPr="00A55335">
        <w:rPr>
          <w:lang w:val="en-AU"/>
        </w:rPr>
        <w:t>Appendix A1 search methods</w:t>
      </w:r>
    </w:p>
    <w:p w14:paraId="1EA86643" w14:textId="77777777" w:rsidR="00926CC9" w:rsidRPr="00A55335" w:rsidRDefault="00926CC9" w:rsidP="00A1755D">
      <w:pPr>
        <w:pStyle w:val="Bullet12"/>
        <w:rPr>
          <w:lang w:val="en-AU"/>
        </w:rPr>
      </w:pPr>
      <w:r w:rsidRPr="00A55335">
        <w:rPr>
          <w:lang w:val="en-AU"/>
        </w:rPr>
        <w:t>Appendix A2 search strategy</w:t>
      </w:r>
    </w:p>
    <w:p w14:paraId="3D67E212" w14:textId="77777777" w:rsidR="00926CC9" w:rsidRPr="00A55335" w:rsidRDefault="00926CC9" w:rsidP="00A1755D">
      <w:pPr>
        <w:pStyle w:val="Bullet12"/>
        <w:rPr>
          <w:lang w:val="en-AU"/>
        </w:rPr>
      </w:pPr>
      <w:r w:rsidRPr="00A55335">
        <w:rPr>
          <w:lang w:val="en-AU"/>
        </w:rPr>
        <w:t>Appendix A3 search results</w:t>
      </w:r>
    </w:p>
    <w:p w14:paraId="55589C30" w14:textId="77777777" w:rsidR="00926CC9" w:rsidRPr="00A55335" w:rsidRDefault="00926CC9" w:rsidP="00A1755D">
      <w:pPr>
        <w:pStyle w:val="Bullet12"/>
        <w:rPr>
          <w:lang w:val="en-AU"/>
        </w:rPr>
      </w:pPr>
      <w:r w:rsidRPr="00A55335">
        <w:rPr>
          <w:lang w:val="en-AU"/>
        </w:rPr>
        <w:t xml:space="preserve">Appendix A4 study selection criteria </w:t>
      </w:r>
    </w:p>
    <w:p w14:paraId="436CBA80" w14:textId="77777777" w:rsidR="00926CC9" w:rsidRPr="00A55335" w:rsidRDefault="00926CC9" w:rsidP="00A1755D">
      <w:pPr>
        <w:pStyle w:val="Bullet12"/>
        <w:rPr>
          <w:lang w:val="en-AU"/>
        </w:rPr>
      </w:pPr>
      <w:r w:rsidRPr="00A55335">
        <w:rPr>
          <w:lang w:val="en-AU"/>
        </w:rPr>
        <w:t>Appendix A5 selection of studies (inclusion decisions)</w:t>
      </w:r>
    </w:p>
    <w:p w14:paraId="3D3B8AE7" w14:textId="77777777" w:rsidR="00926CC9" w:rsidRPr="00A55335" w:rsidRDefault="00926CC9" w:rsidP="00A1755D">
      <w:pPr>
        <w:pStyle w:val="Bullet12"/>
        <w:rPr>
          <w:lang w:val="en-AU"/>
        </w:rPr>
      </w:pPr>
      <w:r w:rsidRPr="00A55335">
        <w:rPr>
          <w:lang w:val="en-AU"/>
        </w:rPr>
        <w:t xml:space="preserve">Appendix A6 refining the research questions </w:t>
      </w:r>
    </w:p>
    <w:p w14:paraId="304CA7EB" w14:textId="77777777" w:rsidR="00926CC9" w:rsidRPr="00A55335" w:rsidRDefault="00926CC9" w:rsidP="00A1755D">
      <w:pPr>
        <w:pStyle w:val="Bullet12"/>
        <w:rPr>
          <w:lang w:val="en-AU"/>
        </w:rPr>
      </w:pPr>
      <w:r w:rsidRPr="00A55335">
        <w:rPr>
          <w:lang w:val="en-AU"/>
        </w:rPr>
        <w:t>Appendix A7 summary screening results</w:t>
      </w:r>
    </w:p>
    <w:p w14:paraId="07D2C0B6" w14:textId="77777777" w:rsidR="00926CC9" w:rsidRPr="00A55335" w:rsidRDefault="00926CC9" w:rsidP="00A1755D">
      <w:pPr>
        <w:pStyle w:val="Bullet12"/>
        <w:rPr>
          <w:lang w:val="en-AU"/>
        </w:rPr>
      </w:pPr>
      <w:r w:rsidRPr="00A55335">
        <w:rPr>
          <w:lang w:val="en-AU"/>
        </w:rPr>
        <w:t>Appendix B1 risk of bias process</w:t>
      </w:r>
    </w:p>
    <w:p w14:paraId="3B37AD88" w14:textId="77777777" w:rsidR="00926CC9" w:rsidRPr="00A55335" w:rsidRDefault="00926CC9" w:rsidP="00A1755D">
      <w:pPr>
        <w:pStyle w:val="Bullet12"/>
        <w:rPr>
          <w:lang w:val="en-AU"/>
        </w:rPr>
      </w:pPr>
      <w:r w:rsidRPr="00A55335">
        <w:rPr>
          <w:lang w:val="en-AU"/>
        </w:rPr>
        <w:t>Appendix B2 data extraction process</w:t>
      </w:r>
    </w:p>
    <w:p w14:paraId="620902B6" w14:textId="77777777" w:rsidR="00926CC9" w:rsidRPr="00A55335" w:rsidRDefault="00926CC9" w:rsidP="00A1755D">
      <w:pPr>
        <w:pStyle w:val="Bullet12"/>
        <w:rPr>
          <w:lang w:val="en-AU"/>
        </w:rPr>
      </w:pPr>
      <w:r w:rsidRPr="00A55335">
        <w:rPr>
          <w:lang w:val="en-AU"/>
        </w:rPr>
        <w:t>Appendix B3 data analysis and synthesis</w:t>
      </w:r>
    </w:p>
    <w:p w14:paraId="0EB9E4D3" w14:textId="293BD31D" w:rsidR="00926CC9" w:rsidRPr="00A55335" w:rsidRDefault="00926CC9" w:rsidP="00A1755D">
      <w:pPr>
        <w:pStyle w:val="Bullet12"/>
        <w:rPr>
          <w:lang w:val="en-AU"/>
        </w:rPr>
      </w:pPr>
      <w:r w:rsidRPr="00A55335">
        <w:rPr>
          <w:lang w:val="en-AU"/>
        </w:rPr>
        <w:t xml:space="preserve">Appendix B4 evidence statements </w:t>
      </w:r>
    </w:p>
    <w:p w14:paraId="3251F739" w14:textId="77777777" w:rsidR="00926CC9" w:rsidRPr="00A55335" w:rsidRDefault="00926CC9" w:rsidP="00AD2C5F">
      <w:pPr>
        <w:pStyle w:val="BodyText"/>
      </w:pPr>
    </w:p>
    <w:bookmarkEnd w:id="18"/>
    <w:bookmarkEnd w:id="19"/>
    <w:bookmarkEnd w:id="20"/>
    <w:bookmarkEnd w:id="21"/>
    <w:bookmarkEnd w:id="22"/>
    <w:bookmarkEnd w:id="23"/>
    <w:p w14:paraId="4CBE26C8" w14:textId="77777777" w:rsidR="00DD505D" w:rsidRPr="00A55335" w:rsidRDefault="00DD505D" w:rsidP="00DD505D">
      <w:pPr>
        <w:pStyle w:val="BodyText"/>
      </w:pPr>
    </w:p>
    <w:p w14:paraId="35E2970E" w14:textId="77777777" w:rsidR="00DD505D" w:rsidRPr="00A55335" w:rsidRDefault="00DD505D" w:rsidP="00DD505D">
      <w:pPr>
        <w:pStyle w:val="Heading1"/>
        <w:ind w:left="431" w:hanging="431"/>
      </w:pPr>
      <w:bookmarkStart w:id="48" w:name="_Ref115870462"/>
      <w:bookmarkStart w:id="49" w:name="_Toc183441296"/>
      <w:r w:rsidRPr="00A55335">
        <w:lastRenderedPageBreak/>
        <w:t>Results</w:t>
      </w:r>
      <w:bookmarkEnd w:id="48"/>
      <w:bookmarkEnd w:id="49"/>
    </w:p>
    <w:p w14:paraId="50C9CA1A" w14:textId="68C991F9" w:rsidR="00DD505D" w:rsidRPr="00A55335" w:rsidRDefault="00DD505D" w:rsidP="00C373A2">
      <w:pPr>
        <w:pStyle w:val="Heading2"/>
      </w:pPr>
      <w:bookmarkStart w:id="50" w:name="_Toc183441297"/>
      <w:bookmarkEnd w:id="8"/>
      <w:bookmarkEnd w:id="9"/>
      <w:r w:rsidRPr="00A55335">
        <w:t>Description of studies</w:t>
      </w:r>
      <w:bookmarkEnd w:id="50"/>
    </w:p>
    <w:p w14:paraId="685B355D" w14:textId="17F1E28A" w:rsidR="00DD505D" w:rsidRPr="00A55335" w:rsidRDefault="00DD505D" w:rsidP="004D433B">
      <w:pPr>
        <w:pStyle w:val="Heading3"/>
      </w:pPr>
      <w:bookmarkStart w:id="51" w:name="_Toc183441298"/>
      <w:r w:rsidRPr="00A55335">
        <w:t>Flow of studies</w:t>
      </w:r>
      <w:bookmarkEnd w:id="51"/>
      <w:r w:rsidRPr="00A55335">
        <w:t xml:space="preserve"> </w:t>
      </w:r>
    </w:p>
    <w:p w14:paraId="3C3A0260" w14:textId="5B55AD36" w:rsidR="00B53D21" w:rsidRPr="00A55335" w:rsidRDefault="00B53D21" w:rsidP="00B53D21">
      <w:pPr>
        <w:pStyle w:val="BodyText"/>
      </w:pPr>
      <w:r w:rsidRPr="00A55335">
        <w:t xml:space="preserve">The literature was searched </w:t>
      </w:r>
      <w:r w:rsidR="00AF38A0" w:rsidRPr="00A55335">
        <w:t>on</w:t>
      </w:r>
      <w:r w:rsidRPr="00A55335">
        <w:t xml:space="preserve"> </w:t>
      </w:r>
      <w:r w:rsidR="00E4714C" w:rsidRPr="00A55335">
        <w:t xml:space="preserve">15 July 2022 </w:t>
      </w:r>
      <w:r w:rsidRPr="00A55335">
        <w:t>to identify relevant studies published from database inception to the literature search date. The results of the literature search and the application of the study selection criteria are provided in Appendix A1 – A5 and Appendix C1 and C2.</w:t>
      </w:r>
    </w:p>
    <w:p w14:paraId="187A0421" w14:textId="49B737D0" w:rsidR="00B53D21" w:rsidRPr="00A55335" w:rsidRDefault="00B53D21" w:rsidP="00B53D21">
      <w:pPr>
        <w:pStyle w:val="BodyText"/>
      </w:pPr>
      <w:r w:rsidRPr="00A55335">
        <w:t xml:space="preserve">A PRISMA flow </w:t>
      </w:r>
      <w:r w:rsidR="006C46D9" w:rsidRPr="00A55335">
        <w:t xml:space="preserve">diagram </w:t>
      </w:r>
      <w:r w:rsidRPr="00A55335">
        <w:t>summarising the search and screening results is provided in</w:t>
      </w:r>
      <w:r w:rsidR="003A657C" w:rsidRPr="00A55335">
        <w:t xml:space="preserve"> </w:t>
      </w:r>
      <w:r w:rsidR="003A657C" w:rsidRPr="00A55335">
        <w:fldChar w:fldCharType="begin"/>
      </w:r>
      <w:r w:rsidR="003A657C" w:rsidRPr="00A55335">
        <w:instrText xml:space="preserve"> REF _Ref151719426 \h </w:instrText>
      </w:r>
      <w:r w:rsidR="003A657C" w:rsidRPr="00A55335">
        <w:fldChar w:fldCharType="separate"/>
      </w:r>
      <w:r w:rsidR="00814B04" w:rsidRPr="00A55335">
        <w:t xml:space="preserve">Figure </w:t>
      </w:r>
      <w:r w:rsidR="00814B04">
        <w:rPr>
          <w:noProof/>
        </w:rPr>
        <w:t>1</w:t>
      </w:r>
      <w:r w:rsidR="003A657C" w:rsidRPr="00A55335">
        <w:fldChar w:fldCharType="end"/>
      </w:r>
      <w:r w:rsidRPr="00A55335">
        <w:t>. The PRISMA flow diagram shows the number of studies at each stage of the search and screening process, including: the initial search, studies considered irrelevant based on the title and/or abstract, studies found not to be relevant when reviewed at full text, studies that met the eligibility criteria for inclusion in the review and the number of studies that were considered in the analysis for prioritised conditions.</w:t>
      </w:r>
    </w:p>
    <w:p w14:paraId="41226EE3" w14:textId="45E6C429" w:rsidR="00DD505D" w:rsidRPr="00A55335" w:rsidRDefault="00B53D21" w:rsidP="00735984">
      <w:pPr>
        <w:pStyle w:val="BodyText"/>
      </w:pPr>
      <w:bookmarkStart w:id="52" w:name="_Hlk47536331"/>
      <w:r w:rsidRPr="00A55335">
        <w:t xml:space="preserve">The search retrieved </w:t>
      </w:r>
      <w:r w:rsidR="00387A49" w:rsidRPr="00A55335">
        <w:t xml:space="preserve">427 </w:t>
      </w:r>
      <w:r w:rsidRPr="00A55335">
        <w:t xml:space="preserve">citations corresponding to </w:t>
      </w:r>
      <w:r w:rsidR="00727C0E" w:rsidRPr="00A55335">
        <w:t>208</w:t>
      </w:r>
      <w:r w:rsidRPr="00A55335">
        <w:t xml:space="preserve"> studies that were eligible for inclusion. </w:t>
      </w:r>
      <w:r w:rsidR="00936DA8" w:rsidRPr="00A55335">
        <w:t xml:space="preserve">There were 46 </w:t>
      </w:r>
      <w:r w:rsidRPr="00A55335">
        <w:t>additional stud</w:t>
      </w:r>
      <w:r w:rsidR="00936DA8" w:rsidRPr="00A55335">
        <w:t>ies</w:t>
      </w:r>
      <w:r w:rsidRPr="00A55335">
        <w:t xml:space="preserve"> (not retrieved in the search) </w:t>
      </w:r>
      <w:r w:rsidR="00936DA8" w:rsidRPr="00A55335">
        <w:t xml:space="preserve">that were </w:t>
      </w:r>
      <w:r w:rsidRPr="00A55335">
        <w:t xml:space="preserve">identified and included from the Department’s public call for evidence (see </w:t>
      </w:r>
      <w:hyperlink w:anchor="_Included_studies" w:history="1">
        <w:r w:rsidR="00F050BF" w:rsidRPr="00A55335">
          <w:rPr>
            <w:rStyle w:val="Hyperlink"/>
            <w:rFonts w:cs="Calibri"/>
          </w:rPr>
          <w:t>Included studies</w:t>
        </w:r>
      </w:hyperlink>
      <w:r w:rsidRPr="00A55335">
        <w:t>)</w:t>
      </w:r>
      <w:r w:rsidR="00936DA8" w:rsidRPr="00A55335">
        <w:t>.</w:t>
      </w:r>
      <w:r w:rsidRPr="00A55335">
        <w:t xml:space="preserve"> </w:t>
      </w:r>
      <w:r w:rsidR="00936DA8" w:rsidRPr="00A55335">
        <w:t>T</w:t>
      </w:r>
      <w:r w:rsidRPr="00A55335">
        <w:t xml:space="preserve">he remaining studies provided from the Department’s call were already identified in the search (see Appendix C2). </w:t>
      </w:r>
      <w:bookmarkEnd w:id="52"/>
      <w:r w:rsidRPr="00A55335">
        <w:t xml:space="preserve">A further </w:t>
      </w:r>
      <w:r w:rsidR="00F962E4" w:rsidRPr="00A55335">
        <w:t>15</w:t>
      </w:r>
      <w:r w:rsidR="009B1FD3" w:rsidRPr="00A55335">
        <w:t>0</w:t>
      </w:r>
      <w:r w:rsidRPr="00A55335">
        <w:t xml:space="preserve"> studies are </w:t>
      </w:r>
      <w:hyperlink w:anchor="_Studies_awaiting_classification" w:history="1">
        <w:r w:rsidRPr="00A55335">
          <w:rPr>
            <w:rStyle w:val="Hyperlink"/>
          </w:rPr>
          <w:t xml:space="preserve">awaiting </w:t>
        </w:r>
        <w:r w:rsidR="00F050BF" w:rsidRPr="00A55335">
          <w:rPr>
            <w:rStyle w:val="Hyperlink"/>
          </w:rPr>
          <w:t>classification</w:t>
        </w:r>
      </w:hyperlink>
      <w:r w:rsidR="00F050BF" w:rsidRPr="00A55335">
        <w:t>,</w:t>
      </w:r>
      <w:r w:rsidRPr="00A55335">
        <w:t xml:space="preserve"> and </w:t>
      </w:r>
      <w:r w:rsidR="00E60456" w:rsidRPr="00A55335">
        <w:t>192</w:t>
      </w:r>
      <w:r w:rsidRPr="00A55335">
        <w:t xml:space="preserve"> studies </w:t>
      </w:r>
      <w:r w:rsidR="00F050BF" w:rsidRPr="00A55335">
        <w:t>are</w:t>
      </w:r>
      <w:r w:rsidRPr="00A55335">
        <w:t xml:space="preserve"> recorded as </w:t>
      </w:r>
      <w:hyperlink w:anchor="_Ongoing_studies" w:history="1">
        <w:r w:rsidRPr="00A55335">
          <w:rPr>
            <w:rStyle w:val="Hyperlink"/>
          </w:rPr>
          <w:t>ongoing</w:t>
        </w:r>
      </w:hyperlink>
      <w:r w:rsidRPr="00A55335">
        <w:t xml:space="preserve">. </w:t>
      </w:r>
    </w:p>
    <w:p w14:paraId="6104E05E" w14:textId="77777777" w:rsidR="00DD505D" w:rsidRPr="00A55335" w:rsidRDefault="00DD505D" w:rsidP="004D433B">
      <w:pPr>
        <w:pStyle w:val="Heading3"/>
      </w:pPr>
      <w:bookmarkStart w:id="53" w:name="_Toc183441299"/>
      <w:r w:rsidRPr="00A55335">
        <w:t>Excluded studies</w:t>
      </w:r>
      <w:bookmarkEnd w:id="53"/>
    </w:p>
    <w:p w14:paraId="4C3BACD0" w14:textId="10DDD8C3" w:rsidR="00874401" w:rsidRPr="00A55335" w:rsidRDefault="0027161F" w:rsidP="00874401">
      <w:pPr>
        <w:pStyle w:val="BodyText"/>
      </w:pPr>
      <w:r w:rsidRPr="00A55335">
        <w:t xml:space="preserve">There were </w:t>
      </w:r>
      <w:r w:rsidR="00720DFD" w:rsidRPr="00A55335">
        <w:t>1188</w:t>
      </w:r>
      <w:r w:rsidRPr="00A55335">
        <w:t xml:space="preserve"> citations screened at full text that were excluded for not meeting the prespecified eligibility criteria. Of these, </w:t>
      </w:r>
      <w:r w:rsidR="00F148FB" w:rsidRPr="00A55335">
        <w:t>338 had a study design out of scope</w:t>
      </w:r>
      <w:r w:rsidR="00F301A3" w:rsidRPr="00A55335">
        <w:t xml:space="preserve"> for the </w:t>
      </w:r>
      <w:r w:rsidR="002A373E" w:rsidRPr="00A55335">
        <w:t>intended</w:t>
      </w:r>
      <w:r w:rsidR="00F301A3" w:rsidRPr="00A55335">
        <w:t xml:space="preserve"> analysis</w:t>
      </w:r>
      <w:r w:rsidR="00F148FB" w:rsidRPr="00A55335">
        <w:t xml:space="preserve"> (e.g. systematic review), 318 were of a publication type out of scope (e.g. opinion piece, grey literature), </w:t>
      </w:r>
      <w:r w:rsidR="00BF2F57" w:rsidRPr="00A55335">
        <w:t xml:space="preserve">258 </w:t>
      </w:r>
      <w:r w:rsidRPr="00A55335">
        <w:t>studied an intervention out of scope (</w:t>
      </w:r>
      <w:r w:rsidR="00C47972" w:rsidRPr="00A55335">
        <w:t xml:space="preserve">not homeopathy or </w:t>
      </w:r>
      <w:r w:rsidRPr="00A55335">
        <w:t xml:space="preserve">unable to assess </w:t>
      </w:r>
      <w:r w:rsidR="000418DD" w:rsidRPr="00A55335">
        <w:t xml:space="preserve">effects of </w:t>
      </w:r>
      <w:r w:rsidR="007302A7" w:rsidRPr="00A55335">
        <w:t xml:space="preserve">homeopathy </w:t>
      </w:r>
      <w:r w:rsidRPr="00A55335">
        <w:t xml:space="preserve">independent of other interventions), </w:t>
      </w:r>
      <w:r w:rsidR="005F74C4" w:rsidRPr="00A55335">
        <w:t>103 had a comparator out of scope (</w:t>
      </w:r>
      <w:r w:rsidR="006A5049" w:rsidRPr="00A55335">
        <w:t>e.g.</w:t>
      </w:r>
      <w:r w:rsidR="005F74C4" w:rsidRPr="00A55335">
        <w:t xml:space="preserve"> studies comparing different homeopathic </w:t>
      </w:r>
      <w:r w:rsidR="00AB45E6" w:rsidRPr="00A55335">
        <w:t>products</w:t>
      </w:r>
      <w:r w:rsidR="006A5049" w:rsidRPr="00A55335">
        <w:t xml:space="preserve">), 81 studied a population out of scope (e.g. healthy population not at risk), </w:t>
      </w:r>
      <w:r w:rsidR="009A4B80" w:rsidRPr="00A55335">
        <w:t xml:space="preserve">70 </w:t>
      </w:r>
      <w:r w:rsidR="000C5D02" w:rsidRPr="00A55335">
        <w:t xml:space="preserve">studies were not in humans, </w:t>
      </w:r>
      <w:r w:rsidR="008165AE" w:rsidRPr="00A55335">
        <w:t>10 studied an outcome out of scope (e.g</w:t>
      </w:r>
      <w:r w:rsidR="00302C2B" w:rsidRPr="00A55335">
        <w:t>.</w:t>
      </w:r>
      <w:r w:rsidR="008165AE" w:rsidRPr="00A55335">
        <w:t xml:space="preserve"> </w:t>
      </w:r>
      <w:r w:rsidR="00302C2B" w:rsidRPr="00A55335">
        <w:t xml:space="preserve">adverse events), and 10 citations </w:t>
      </w:r>
      <w:r w:rsidR="00EE3324" w:rsidRPr="00A55335">
        <w:t xml:space="preserve">were associated with </w:t>
      </w:r>
      <w:r w:rsidR="00172472" w:rsidRPr="00A55335">
        <w:t xml:space="preserve">2 </w:t>
      </w:r>
      <w:r w:rsidR="00EE3324" w:rsidRPr="00A55335">
        <w:t>studies that had been re</w:t>
      </w:r>
      <w:r w:rsidR="009A4B80" w:rsidRPr="00A55335">
        <w:t>tracted.</w:t>
      </w:r>
      <w:r w:rsidR="00874401" w:rsidRPr="00A55335">
        <w:t xml:space="preserve"> </w:t>
      </w:r>
    </w:p>
    <w:p w14:paraId="11232F6F" w14:textId="77777777" w:rsidR="0027161F" w:rsidRPr="00A55335" w:rsidRDefault="0027161F" w:rsidP="0027161F">
      <w:pPr>
        <w:pStyle w:val="BodyText"/>
      </w:pPr>
      <w:r w:rsidRPr="00A55335">
        <w:t>Citation details of the excluded studies can be found in Appendix C1. Note that some studies may have been out of scope for more than one reason, but only one reason is listed for each.</w:t>
      </w:r>
    </w:p>
    <w:p w14:paraId="386AC1C5" w14:textId="77777777" w:rsidR="00DD505D" w:rsidRPr="00A55335" w:rsidRDefault="00DD505D" w:rsidP="004D433B">
      <w:pPr>
        <w:pStyle w:val="Heading3"/>
      </w:pPr>
      <w:bookmarkStart w:id="54" w:name="_Studies_awaiting_classification"/>
      <w:bookmarkStart w:id="55" w:name="_Toc183441300"/>
      <w:bookmarkStart w:id="56" w:name="_Ref55295572"/>
      <w:bookmarkEnd w:id="54"/>
      <w:r w:rsidRPr="00A55335">
        <w:t>Studies awaiting classification</w:t>
      </w:r>
      <w:bookmarkEnd w:id="55"/>
      <w:r w:rsidRPr="00A55335">
        <w:t xml:space="preserve"> </w:t>
      </w:r>
      <w:bookmarkEnd w:id="56"/>
    </w:p>
    <w:p w14:paraId="15C443BD" w14:textId="2E48A465" w:rsidR="00933A94" w:rsidRPr="00A55335" w:rsidRDefault="00933A94" w:rsidP="00933A94">
      <w:pPr>
        <w:pStyle w:val="BodyText"/>
      </w:pPr>
      <w:r w:rsidRPr="00A55335">
        <w:t xml:space="preserve">Studies that could not be retrieved or that met the inclusion criteria but contained insufficient or inadequate data </w:t>
      </w:r>
      <w:r w:rsidR="00D74850" w:rsidRPr="00A55335">
        <w:t>to make a judgment about eligibility</w:t>
      </w:r>
      <w:r w:rsidR="00D74850" w:rsidRPr="00A55335" w:rsidDel="00D74850">
        <w:t xml:space="preserve"> </w:t>
      </w:r>
      <w:r w:rsidRPr="00A55335">
        <w:t>for inclusion are listed in Appendix C4 (</w:t>
      </w:r>
      <w:r w:rsidRPr="00A55335">
        <w:rPr>
          <w:rStyle w:val="Emphasis"/>
        </w:rPr>
        <w:t>Citation details of studies awaiting classification</w:t>
      </w:r>
      <w:r w:rsidRPr="00A55335">
        <w:t xml:space="preserve">). This includes </w:t>
      </w:r>
      <w:r w:rsidR="00930D89" w:rsidRPr="00A55335">
        <w:t xml:space="preserve">41 </w:t>
      </w:r>
      <w:r w:rsidR="00B40A23" w:rsidRPr="00A55335">
        <w:t xml:space="preserve">conference abstracts (54 citations) with incomplete information about the study (Appendix C4.1), </w:t>
      </w:r>
      <w:r w:rsidR="004D5CAD" w:rsidRPr="00A55335">
        <w:t xml:space="preserve">89 </w:t>
      </w:r>
      <w:r w:rsidR="00F31AD3" w:rsidRPr="00A55335">
        <w:t>studies</w:t>
      </w:r>
      <w:r w:rsidR="004D5CAD" w:rsidRPr="00A55335">
        <w:t xml:space="preserve"> </w:t>
      </w:r>
      <w:r w:rsidR="00F31AD3" w:rsidRPr="00A55335">
        <w:t xml:space="preserve">published in languages other than English </w:t>
      </w:r>
      <w:r w:rsidR="00B40A23" w:rsidRPr="00A55335">
        <w:t>(1</w:t>
      </w:r>
      <w:r w:rsidR="00AB3DB9" w:rsidRPr="00A55335">
        <w:t>1</w:t>
      </w:r>
      <w:r w:rsidR="00B40A23" w:rsidRPr="00A55335">
        <w:t xml:space="preserve">4 citations) </w:t>
      </w:r>
      <w:r w:rsidR="00F31AD3" w:rsidRPr="00A55335">
        <w:t>that are possibl</w:t>
      </w:r>
      <w:r w:rsidR="004521F6" w:rsidRPr="00A55335">
        <w:t>y</w:t>
      </w:r>
      <w:r w:rsidR="00F31AD3" w:rsidRPr="00A55335">
        <w:t xml:space="preserve"> eligible for inclusion (pending translation into English; Appendix C4.2),</w:t>
      </w:r>
      <w:r w:rsidR="004521F6" w:rsidRPr="00A55335">
        <w:t xml:space="preserve"> </w:t>
      </w:r>
      <w:r w:rsidR="001560CB" w:rsidRPr="00A55335">
        <w:t>16</w:t>
      </w:r>
      <w:r w:rsidRPr="00A55335">
        <w:t xml:space="preserve"> studies </w:t>
      </w:r>
      <w:r w:rsidR="000D1311" w:rsidRPr="00A55335">
        <w:t>(</w:t>
      </w:r>
      <w:r w:rsidR="00847DD3" w:rsidRPr="00A55335">
        <w:t>20</w:t>
      </w:r>
      <w:r w:rsidR="000D1311" w:rsidRPr="00A55335">
        <w:t xml:space="preserve"> citations) </w:t>
      </w:r>
      <w:r w:rsidRPr="00A55335">
        <w:t xml:space="preserve">for which publications were not able to be retrieved (Appendix C4.3) and </w:t>
      </w:r>
      <w:r w:rsidR="00F02C46" w:rsidRPr="00A55335">
        <w:t>4</w:t>
      </w:r>
      <w:r w:rsidRPr="00A55335">
        <w:t xml:space="preserve"> studies that were published after the literature search date (Appendix C4.5). There were also</w:t>
      </w:r>
      <w:r w:rsidRPr="00A55335" w:rsidDel="00EA3AED">
        <w:t xml:space="preserve"> </w:t>
      </w:r>
      <w:r w:rsidR="00EA3AED" w:rsidRPr="00A55335">
        <w:t>9</w:t>
      </w:r>
      <w:r w:rsidR="00EA3AED">
        <w:t>3</w:t>
      </w:r>
      <w:r w:rsidR="00EA3AED" w:rsidRPr="00A55335">
        <w:t xml:space="preserve"> </w:t>
      </w:r>
      <w:r w:rsidRPr="00A55335">
        <w:t>studies that were unable to be translated or interpreted at the title/abstract stage (Appendix C4.4).</w:t>
      </w:r>
    </w:p>
    <w:p w14:paraId="2567629C" w14:textId="21EE22D0" w:rsidR="00933A94" w:rsidRPr="00A55335" w:rsidRDefault="00933A94" w:rsidP="00933A94">
      <w:pPr>
        <w:pStyle w:val="BodyText"/>
      </w:pPr>
      <w:bookmarkStart w:id="57" w:name="_Ongoing_studies"/>
      <w:bookmarkStart w:id="58" w:name="_Ref55295584"/>
      <w:bookmarkEnd w:id="57"/>
      <w:r w:rsidRPr="00A55335">
        <w:lastRenderedPageBreak/>
        <w:t xml:space="preserve">Among the </w:t>
      </w:r>
      <w:r w:rsidR="00874D52" w:rsidRPr="00A55335">
        <w:t xml:space="preserve">150 </w:t>
      </w:r>
      <w:r w:rsidRPr="00A55335">
        <w:t xml:space="preserve">studies awaiting classification, </w:t>
      </w:r>
      <w:r w:rsidR="00B26821" w:rsidRPr="00A55335">
        <w:t>6</w:t>
      </w:r>
      <w:r w:rsidR="00E4259E" w:rsidRPr="00A55335">
        <w:t>1</w:t>
      </w:r>
      <w:r w:rsidR="00B26821" w:rsidRPr="00A55335">
        <w:t xml:space="preserve"> </w:t>
      </w:r>
      <w:r w:rsidRPr="00A55335">
        <w:t>were conducted in a priority population</w:t>
      </w:r>
      <w:r w:rsidRPr="00A55335">
        <w:rPr>
          <w:rStyle w:val="FootnoteReference"/>
        </w:rPr>
        <w:footnoteReference w:id="9"/>
      </w:r>
      <w:r w:rsidRPr="00A55335">
        <w:t xml:space="preserve">, with </w:t>
      </w:r>
      <w:r w:rsidR="00B612EE" w:rsidRPr="00A55335">
        <w:t>48</w:t>
      </w:r>
      <w:r w:rsidRPr="00A55335">
        <w:t xml:space="preserve"> of those comparing </w:t>
      </w:r>
      <w:r w:rsidR="00571E39" w:rsidRPr="00A55335">
        <w:t>homeopathy</w:t>
      </w:r>
      <w:r w:rsidRPr="00A55335">
        <w:t xml:space="preserve"> </w:t>
      </w:r>
      <w:r w:rsidR="000A25FF" w:rsidRPr="00A55335">
        <w:t xml:space="preserve">either </w:t>
      </w:r>
      <w:r w:rsidRPr="00A55335">
        <w:t xml:space="preserve">with </w:t>
      </w:r>
      <w:r w:rsidR="00926B71" w:rsidRPr="00A55335">
        <w:t>placebo</w:t>
      </w:r>
      <w:r w:rsidR="00051784" w:rsidRPr="00A55335">
        <w:t xml:space="preserve"> or an inactive control</w:t>
      </w:r>
      <w:r w:rsidRPr="00A55335">
        <w:rPr>
          <w:rStyle w:val="FootnoteReference"/>
        </w:rPr>
        <w:footnoteReference w:id="10"/>
      </w:r>
      <w:r w:rsidRPr="00A55335">
        <w:t xml:space="preserve">. The studies appeared to be comparable to those included in the evidence synthesis in terms of sample size, study duration and outcomes measured. Among those published in a language other than English, many </w:t>
      </w:r>
      <w:r w:rsidR="0060591F" w:rsidRPr="00A55335">
        <w:t>had been conducted</w:t>
      </w:r>
      <w:r w:rsidR="00606C74" w:rsidRPr="00A55335">
        <w:t xml:space="preserve"> in the</w:t>
      </w:r>
      <w:r w:rsidR="00EE50CA" w:rsidRPr="00A55335">
        <w:t xml:space="preserve"> same</w:t>
      </w:r>
      <w:r w:rsidRPr="00A55335">
        <w:t xml:space="preserve"> (non-English) countries to those identified and included in the review</w:t>
      </w:r>
      <w:r w:rsidR="00BE30BB" w:rsidRPr="00A55335">
        <w:t xml:space="preserve"> (</w:t>
      </w:r>
      <w:r w:rsidR="0060591F" w:rsidRPr="00A55335">
        <w:t>i.e.</w:t>
      </w:r>
      <w:r w:rsidR="00BE30BB" w:rsidRPr="00A55335">
        <w:t xml:space="preserve"> Italy, Germany, Russia, France, Iran, Spain)</w:t>
      </w:r>
      <w:r w:rsidRPr="00A55335">
        <w:t>.</w:t>
      </w:r>
    </w:p>
    <w:p w14:paraId="5E11DD27" w14:textId="77777777" w:rsidR="00DD505D" w:rsidRPr="00A55335" w:rsidRDefault="00DD505D" w:rsidP="004D433B">
      <w:pPr>
        <w:pStyle w:val="Heading3"/>
      </w:pPr>
      <w:bookmarkStart w:id="59" w:name="_Ongoing_studies_1"/>
      <w:bookmarkStart w:id="60" w:name="_Toc183441301"/>
      <w:bookmarkEnd w:id="59"/>
      <w:r w:rsidRPr="00A55335">
        <w:t>Ongoing studies</w:t>
      </w:r>
      <w:bookmarkEnd w:id="60"/>
      <w:r w:rsidRPr="00A55335">
        <w:t xml:space="preserve"> </w:t>
      </w:r>
      <w:bookmarkEnd w:id="58"/>
    </w:p>
    <w:p w14:paraId="68D38B28" w14:textId="3E72FBD2" w:rsidR="00C96946" w:rsidRPr="00A55335" w:rsidRDefault="00C96946" w:rsidP="00C96946">
      <w:pPr>
        <w:pStyle w:val="BodyText"/>
      </w:pPr>
      <w:r w:rsidRPr="00BD1A50">
        <w:t xml:space="preserve">Ongoing studies that </w:t>
      </w:r>
      <w:r w:rsidRPr="00A55335">
        <w:t xml:space="preserve">do not have published results </w:t>
      </w:r>
      <w:r w:rsidR="00090D7D" w:rsidRPr="00A55335">
        <w:t>at the time of search</w:t>
      </w:r>
      <w:r w:rsidRPr="00A55335">
        <w:t xml:space="preserve"> are listed in the </w:t>
      </w:r>
      <w:r w:rsidRPr="00A55335">
        <w:rPr>
          <w:rStyle w:val="Emphasis"/>
        </w:rPr>
        <w:t>Characteristics of ongoing studies</w:t>
      </w:r>
      <w:r w:rsidRPr="00A55335">
        <w:t xml:space="preserve"> table (see Appendix C5). Of the </w:t>
      </w:r>
      <w:r w:rsidR="003541EF" w:rsidRPr="00A55335">
        <w:t>1</w:t>
      </w:r>
      <w:r w:rsidRPr="00A55335">
        <w:t xml:space="preserve">92 ongoing studies, there were </w:t>
      </w:r>
      <w:r w:rsidR="00EA7F89" w:rsidRPr="00A55335">
        <w:t>50</w:t>
      </w:r>
      <w:r w:rsidRPr="00A55335">
        <w:t xml:space="preserve"> studies ‘not yet recruiting’, </w:t>
      </w:r>
      <w:r w:rsidR="00EE4CBF" w:rsidRPr="00A55335">
        <w:t>60</w:t>
      </w:r>
      <w:r w:rsidR="00EA7F89" w:rsidRPr="00A55335">
        <w:t xml:space="preserve"> </w:t>
      </w:r>
      <w:r w:rsidRPr="00A55335">
        <w:t xml:space="preserve">studies currently ‘recruiting,’ </w:t>
      </w:r>
      <w:r w:rsidR="00EA7F89" w:rsidRPr="00A55335">
        <w:t>2</w:t>
      </w:r>
      <w:r w:rsidRPr="00A55335">
        <w:t xml:space="preserve"> studies that were ‘active but not recruiting’ and </w:t>
      </w:r>
      <w:r w:rsidR="00747271" w:rsidRPr="00A55335">
        <w:t>6</w:t>
      </w:r>
      <w:r w:rsidRPr="00A55335">
        <w:t xml:space="preserve"> studies that had completed recruitment. A further </w:t>
      </w:r>
      <w:r w:rsidR="00274C2A" w:rsidRPr="00A55335">
        <w:t xml:space="preserve">36 </w:t>
      </w:r>
      <w:r w:rsidRPr="00A55335">
        <w:t xml:space="preserve">studies were complete, but the study data were not yet available, and </w:t>
      </w:r>
      <w:r w:rsidR="00274C2A" w:rsidRPr="00A55335">
        <w:t>5</w:t>
      </w:r>
      <w:r w:rsidRPr="00A55335">
        <w:t xml:space="preserve"> studies had completed data synthesis, but results were not yet published. The status of </w:t>
      </w:r>
      <w:r w:rsidR="00AA0D53" w:rsidRPr="00A55335">
        <w:t xml:space="preserve">18 </w:t>
      </w:r>
      <w:r w:rsidRPr="00A55335">
        <w:t>studies is unknown</w:t>
      </w:r>
      <w:r w:rsidR="00E163D0" w:rsidRPr="00A55335">
        <w:t xml:space="preserve">, and </w:t>
      </w:r>
      <w:r w:rsidR="006B3398" w:rsidRPr="00A55335">
        <w:t xml:space="preserve">15 </w:t>
      </w:r>
      <w:r w:rsidR="00CB5C18" w:rsidRPr="00A55335">
        <w:t>other studies had been marked as suspended, terminated or withdrawn</w:t>
      </w:r>
      <w:r w:rsidR="005472BF" w:rsidRPr="00A55335">
        <w:t>, usually for slow enrolment</w:t>
      </w:r>
      <w:r w:rsidR="00D053BE" w:rsidRPr="00A55335">
        <w:t xml:space="preserve"> or an inability to recruit participants</w:t>
      </w:r>
      <w:r w:rsidRPr="00A55335">
        <w:t xml:space="preserve">. </w:t>
      </w:r>
    </w:p>
    <w:p w14:paraId="168E5F64" w14:textId="69B57E69" w:rsidR="00C96946" w:rsidRPr="00A55335" w:rsidRDefault="00C96946" w:rsidP="00C96946">
      <w:pPr>
        <w:pStyle w:val="BodyText"/>
      </w:pPr>
      <w:bookmarkStart w:id="61" w:name="_Included_studies"/>
      <w:bookmarkStart w:id="62" w:name="_Ref55295250"/>
      <w:bookmarkStart w:id="63" w:name="_Toc515013250"/>
      <w:bookmarkStart w:id="64" w:name="_Toc518163129"/>
      <w:bookmarkStart w:id="65" w:name="_Toc32614959"/>
      <w:bookmarkEnd w:id="61"/>
      <w:r w:rsidRPr="00A55335">
        <w:t xml:space="preserve">Among the </w:t>
      </w:r>
      <w:r w:rsidR="00CB5C18" w:rsidRPr="00A55335">
        <w:t xml:space="preserve">192 </w:t>
      </w:r>
      <w:r w:rsidRPr="00A55335">
        <w:t xml:space="preserve">ongoing studies, </w:t>
      </w:r>
      <w:r w:rsidR="00917904" w:rsidRPr="00A55335">
        <w:t>7</w:t>
      </w:r>
      <w:r w:rsidR="00280416" w:rsidRPr="00A55335">
        <w:t>2</w:t>
      </w:r>
      <w:r w:rsidR="00917904" w:rsidRPr="00A55335">
        <w:t xml:space="preserve"> </w:t>
      </w:r>
      <w:r w:rsidRPr="00A55335">
        <w:t xml:space="preserve">were conducted in a priority population and </w:t>
      </w:r>
      <w:r w:rsidR="003D43B3" w:rsidRPr="00A55335">
        <w:t>6</w:t>
      </w:r>
      <w:r w:rsidR="00AA415A" w:rsidRPr="00A55335">
        <w:t>9</w:t>
      </w:r>
      <w:r w:rsidR="00B95425" w:rsidRPr="00A55335">
        <w:t xml:space="preserve"> </w:t>
      </w:r>
      <w:r w:rsidRPr="00A55335">
        <w:t xml:space="preserve">of those compared </w:t>
      </w:r>
      <w:r w:rsidR="00A2567A" w:rsidRPr="00A55335">
        <w:t xml:space="preserve">homeopathy either with placebo </w:t>
      </w:r>
      <w:r w:rsidR="00AA415A" w:rsidRPr="00A55335">
        <w:t xml:space="preserve">(68 studies) </w:t>
      </w:r>
      <w:r w:rsidR="00A2567A" w:rsidRPr="00A55335">
        <w:t>or an inactive control</w:t>
      </w:r>
      <w:r w:rsidR="00AA415A" w:rsidRPr="00A55335">
        <w:t xml:space="preserve"> (1 study)</w:t>
      </w:r>
      <w:r w:rsidRPr="00A55335">
        <w:t xml:space="preserve">. The ongoing studies appeared to be comparable to those included in the evidence synthesis in terms of sample size, study duration and outcomes measured. Many ongoing studies were found on </w:t>
      </w:r>
      <w:r w:rsidR="00DE4583">
        <w:t>c</w:t>
      </w:r>
      <w:r w:rsidRPr="00A55335">
        <w:t>linical trial registries of countries corresponding those identified and included in the review (</w:t>
      </w:r>
      <w:r w:rsidR="001872DB" w:rsidRPr="00A55335">
        <w:t>i.e.</w:t>
      </w:r>
      <w:r w:rsidRPr="00A55335">
        <w:t xml:space="preserve"> </w:t>
      </w:r>
      <w:r w:rsidR="00230FA5" w:rsidRPr="00A55335">
        <w:t>India</w:t>
      </w:r>
      <w:r w:rsidR="00606C74" w:rsidRPr="00A55335">
        <w:t>, Germany, Russia</w:t>
      </w:r>
      <w:r w:rsidRPr="00A55335">
        <w:t xml:space="preserve">). </w:t>
      </w:r>
    </w:p>
    <w:p w14:paraId="26B84A4C" w14:textId="77777777" w:rsidR="00DD505D" w:rsidRPr="00A55335" w:rsidRDefault="00DD505D" w:rsidP="004D433B">
      <w:pPr>
        <w:pStyle w:val="Heading3"/>
      </w:pPr>
      <w:bookmarkStart w:id="66" w:name="_Toc183441302"/>
      <w:r w:rsidRPr="00A55335">
        <w:t>Included studies</w:t>
      </w:r>
      <w:bookmarkEnd w:id="62"/>
      <w:bookmarkEnd w:id="66"/>
    </w:p>
    <w:p w14:paraId="18CED495" w14:textId="0789F12F" w:rsidR="00900C67" w:rsidRPr="00A55335" w:rsidRDefault="00EF4B82" w:rsidP="00EF4B82">
      <w:pPr>
        <w:pStyle w:val="BodyText"/>
      </w:pPr>
      <w:r w:rsidRPr="00A55335">
        <w:t xml:space="preserve">There were </w:t>
      </w:r>
      <w:bookmarkStart w:id="67" w:name="_Hlk141361803"/>
      <w:r w:rsidR="000C082D" w:rsidRPr="00A55335">
        <w:t>254 RCTs</w:t>
      </w:r>
      <w:r w:rsidRPr="00A55335">
        <w:t xml:space="preserve"> identified as eligible for inclusion in the review (see </w:t>
      </w:r>
      <w:r w:rsidR="0012169A" w:rsidRPr="00A55335">
        <w:fldChar w:fldCharType="begin"/>
      </w:r>
      <w:r w:rsidR="0012169A" w:rsidRPr="00A55335">
        <w:instrText xml:space="preserve"> REF _Ref151719426 \h </w:instrText>
      </w:r>
      <w:r w:rsidR="0012169A" w:rsidRPr="00A55335">
        <w:fldChar w:fldCharType="separate"/>
      </w:r>
      <w:r w:rsidR="00814B04" w:rsidRPr="00A55335">
        <w:t xml:space="preserve">Figure </w:t>
      </w:r>
      <w:r w:rsidR="00814B04">
        <w:rPr>
          <w:noProof/>
        </w:rPr>
        <w:t>1</w:t>
      </w:r>
      <w:r w:rsidR="0012169A" w:rsidRPr="00A55335">
        <w:fldChar w:fldCharType="end"/>
      </w:r>
      <w:r w:rsidRPr="00A55335">
        <w:t xml:space="preserve">). After prioritisation of the populations (or conditions) considered most relevant to the practise of </w:t>
      </w:r>
      <w:r w:rsidR="0012169A" w:rsidRPr="00A55335">
        <w:t>homeopathy</w:t>
      </w:r>
      <w:r w:rsidRPr="00A55335">
        <w:t xml:space="preserve"> in Australia (see Appendix A6.1), </w:t>
      </w:r>
      <w:r w:rsidR="00BA2297" w:rsidRPr="00A55335">
        <w:t>9</w:t>
      </w:r>
      <w:r w:rsidR="008837B6" w:rsidRPr="00A55335">
        <w:t>3</w:t>
      </w:r>
      <w:r w:rsidRPr="00A55335">
        <w:t xml:space="preserve"> studies were considered in the </w:t>
      </w:r>
      <w:bookmarkEnd w:id="67"/>
      <w:r w:rsidR="00CE0622" w:rsidRPr="00A55335">
        <w:t xml:space="preserve">evidence </w:t>
      </w:r>
      <w:r w:rsidR="0045714D" w:rsidRPr="00A55335">
        <w:t>evaluation (qualit</w:t>
      </w:r>
      <w:r w:rsidR="00BA2297" w:rsidRPr="00A55335">
        <w:t>a</w:t>
      </w:r>
      <w:r w:rsidR="0045714D" w:rsidRPr="00A55335">
        <w:t>t</w:t>
      </w:r>
      <w:r w:rsidR="00BA2297" w:rsidRPr="00A55335">
        <w:t>i</w:t>
      </w:r>
      <w:r w:rsidR="0045714D" w:rsidRPr="00A55335">
        <w:t xml:space="preserve">ve </w:t>
      </w:r>
      <w:r w:rsidRPr="00A55335">
        <w:t>synthesis</w:t>
      </w:r>
      <w:r w:rsidR="00BA2297" w:rsidRPr="00A55335">
        <w:t>)</w:t>
      </w:r>
      <w:r w:rsidRPr="00A55335">
        <w:t>.</w:t>
      </w:r>
      <w:r w:rsidR="00900C67" w:rsidRPr="00A55335">
        <w:t xml:space="preserve"> </w:t>
      </w:r>
      <w:r w:rsidR="00814747" w:rsidRPr="00A55335">
        <w:t>Those that included NTWC prioritised critical and important outcome domains and measures (see Appendix A6.2), were included in the final analysis.</w:t>
      </w:r>
    </w:p>
    <w:p w14:paraId="66C875BE" w14:textId="7B2FD17E" w:rsidR="00EF4B82" w:rsidRPr="00A55335" w:rsidRDefault="0062377B" w:rsidP="00EF4B82">
      <w:pPr>
        <w:pStyle w:val="BodyText"/>
      </w:pPr>
      <w:r w:rsidRPr="00A55335">
        <w:t xml:space="preserve">An overview of the conditions identified and included in this review is provided in provided in </w:t>
      </w:r>
      <w:r w:rsidR="00DD505D" w:rsidRPr="00A55335">
        <w:fldChar w:fldCharType="begin"/>
      </w:r>
      <w:r w:rsidR="00DD505D" w:rsidRPr="00A55335">
        <w:instrText xml:space="preserve"> REF _Ref47523301 \h </w:instrText>
      </w:r>
      <w:r w:rsidR="00DD505D" w:rsidRPr="00A55335">
        <w:fldChar w:fldCharType="separate"/>
      </w:r>
      <w:r w:rsidR="00814B04" w:rsidRPr="00A55335">
        <w:t xml:space="preserve">Table </w:t>
      </w:r>
      <w:r w:rsidR="00814B04">
        <w:rPr>
          <w:noProof/>
        </w:rPr>
        <w:t>1</w:t>
      </w:r>
      <w:r w:rsidR="00DD505D" w:rsidRPr="00A55335">
        <w:fldChar w:fldCharType="end"/>
      </w:r>
      <w:r w:rsidRPr="00A55335">
        <w:t xml:space="preserve">.  </w:t>
      </w:r>
      <w:r w:rsidR="00900C67" w:rsidRPr="00A55335">
        <w:t>For</w:t>
      </w:r>
      <w:r w:rsidR="00DE6343" w:rsidRPr="00A55335">
        <w:t xml:space="preserve"> the p</w:t>
      </w:r>
      <w:r w:rsidR="006070ED" w:rsidRPr="00A55335">
        <w:t xml:space="preserve">rimary </w:t>
      </w:r>
      <w:r w:rsidR="00DE6343" w:rsidRPr="00A55335">
        <w:t>c</w:t>
      </w:r>
      <w:r w:rsidR="006070ED" w:rsidRPr="00A55335">
        <w:t>omparison</w:t>
      </w:r>
      <w:r w:rsidR="00900C67" w:rsidRPr="00A55335">
        <w:t xml:space="preserve"> (homeopathy versus placebo), </w:t>
      </w:r>
      <w:r w:rsidR="00570E4B" w:rsidRPr="00A55335">
        <w:t xml:space="preserve">67 </w:t>
      </w:r>
      <w:r w:rsidR="00900C67" w:rsidRPr="00A55335">
        <w:t xml:space="preserve">studies were considered for quantitative synthesis. For </w:t>
      </w:r>
      <w:r w:rsidR="00DE6343" w:rsidRPr="00A55335">
        <w:t>the s</w:t>
      </w:r>
      <w:r w:rsidR="006070ED" w:rsidRPr="00A55335">
        <w:t xml:space="preserve">econdary </w:t>
      </w:r>
      <w:r w:rsidR="00DE6343" w:rsidRPr="00A55335">
        <w:t>c</w:t>
      </w:r>
      <w:r w:rsidR="006070ED" w:rsidRPr="00A55335">
        <w:t>omparison</w:t>
      </w:r>
      <w:r w:rsidR="00900C67" w:rsidRPr="00A55335">
        <w:t xml:space="preserve"> (homeopathy versus inactive control), </w:t>
      </w:r>
      <w:bookmarkStart w:id="68" w:name="_Hlk141361868"/>
      <w:r w:rsidR="00B12BB8" w:rsidRPr="00A55335">
        <w:t xml:space="preserve">14 </w:t>
      </w:r>
      <w:r w:rsidR="00900C67" w:rsidRPr="00A55335">
        <w:t>studies were considered for quantitative synthesis</w:t>
      </w:r>
      <w:bookmarkEnd w:id="68"/>
      <w:r w:rsidR="00900C67" w:rsidRPr="00A55335">
        <w:t>.</w:t>
      </w:r>
      <w:r w:rsidRPr="00A55335">
        <w:t xml:space="preserve"> Studies comparing h</w:t>
      </w:r>
      <w:r w:rsidR="00814747" w:rsidRPr="00A55335">
        <w:t xml:space="preserve">omeopathy </w:t>
      </w:r>
      <w:r w:rsidRPr="00A55335">
        <w:t>with</w:t>
      </w:r>
      <w:r w:rsidR="00EF4B82" w:rsidRPr="00A55335">
        <w:t xml:space="preserve"> other active comparators are included in qualitative descriptions in the report, and results are listed in Appendix F2.</w:t>
      </w:r>
    </w:p>
    <w:p w14:paraId="3359F14F" w14:textId="401C41A1" w:rsidR="00EF4B82" w:rsidRPr="00A55335" w:rsidRDefault="00EF4B82" w:rsidP="00EF4B82">
      <w:pPr>
        <w:pStyle w:val="BodyText"/>
      </w:pPr>
      <w:r w:rsidRPr="00A55335">
        <w:t xml:space="preserve">There were </w:t>
      </w:r>
      <w:r w:rsidR="00B35714" w:rsidRPr="00A55335">
        <w:t>1</w:t>
      </w:r>
      <w:r w:rsidRPr="00A55335">
        <w:t xml:space="preserve">37 studies that met the eligibility criteria for the review but were not included in the evidence evaluation. This is because they were conducted in populations (or conditions) not prioritised by NTWC for analysis or synthesis. These studies are listed in an inventory titled </w:t>
      </w:r>
      <w:r w:rsidRPr="00A55335">
        <w:rPr>
          <w:rStyle w:val="Emphasis"/>
        </w:rPr>
        <w:t>Citation details of studies from non-priority populations</w:t>
      </w:r>
      <w:r w:rsidRPr="00A55335">
        <w:t xml:space="preserve"> (Appendix C3).</w:t>
      </w:r>
    </w:p>
    <w:p w14:paraId="7C3DB403" w14:textId="0A873BCB" w:rsidR="00DD505D" w:rsidRPr="00A55335" w:rsidRDefault="00EF4B82" w:rsidP="00DD505D">
      <w:pPr>
        <w:pStyle w:val="BodyText"/>
      </w:pPr>
      <w:r w:rsidRPr="00A55335">
        <w:t xml:space="preserve">Appendix D provides detailed descriptions of the included studies, including an overview of the PICO criteria, a summary of the risk of bias assessment and results of the data synthesis for the main comparison. Descriptions of the included studies can be found in </w:t>
      </w:r>
      <w:r w:rsidR="009604FB" w:rsidRPr="00A55335">
        <w:t>Appendix F1 (see</w:t>
      </w:r>
      <w:r w:rsidRPr="00A55335">
        <w:t xml:space="preserve"> </w:t>
      </w:r>
      <w:r w:rsidRPr="00A55335">
        <w:rPr>
          <w:rStyle w:val="Emphasis"/>
        </w:rPr>
        <w:t>'Characteristics of included studies'</w:t>
      </w:r>
      <w:r w:rsidRPr="00A55335">
        <w:t>).</w:t>
      </w:r>
    </w:p>
    <w:p w14:paraId="642645CE" w14:textId="18A02EB0" w:rsidR="00645716" w:rsidRPr="00A55335" w:rsidRDefault="00645716" w:rsidP="00645716">
      <w:pPr>
        <w:pStyle w:val="Caption"/>
      </w:pPr>
      <w:bookmarkStart w:id="69" w:name="_Ref43219445"/>
      <w:bookmarkStart w:id="70" w:name="_Ref55295939"/>
      <w:bookmarkStart w:id="71" w:name="_Ref151719426"/>
      <w:bookmarkStart w:id="72" w:name="_Ref151719423"/>
      <w:bookmarkStart w:id="73" w:name="_Toc183520274"/>
      <w:r w:rsidRPr="00A55335">
        <w:lastRenderedPageBreak/>
        <w:t xml:space="preserve">Figure </w:t>
      </w:r>
      <w:bookmarkEnd w:id="69"/>
      <w:bookmarkEnd w:id="70"/>
      <w:r w:rsidRPr="00A55335">
        <w:fldChar w:fldCharType="begin"/>
      </w:r>
      <w:r w:rsidRPr="00A55335">
        <w:instrText xml:space="preserve"> SEQ Figure \* ARABIC </w:instrText>
      </w:r>
      <w:r w:rsidRPr="00A55335">
        <w:fldChar w:fldCharType="separate"/>
      </w:r>
      <w:r w:rsidR="00814B04">
        <w:rPr>
          <w:noProof/>
        </w:rPr>
        <w:t>1</w:t>
      </w:r>
      <w:r w:rsidRPr="00A55335">
        <w:fldChar w:fldCharType="end"/>
      </w:r>
      <w:bookmarkEnd w:id="71"/>
      <w:r w:rsidRPr="00A55335">
        <w:tab/>
        <w:t>Literature screening results: Homeopathy, randomised controlled trials</w:t>
      </w:r>
      <w:bookmarkEnd w:id="72"/>
      <w:bookmarkEnd w:id="73"/>
    </w:p>
    <w:p w14:paraId="2B50E94C" w14:textId="1472B5B5" w:rsidR="00645716" w:rsidRPr="00A55335" w:rsidRDefault="008C7AB3" w:rsidP="00645716">
      <w:pPr>
        <w:pStyle w:val="Pic"/>
      </w:pPr>
      <w:r>
        <w:rPr>
          <w:noProof/>
        </w:rPr>
        <w:drawing>
          <wp:inline distT="0" distB="0" distL="0" distR="0" wp14:anchorId="3B69837B" wp14:editId="0FB19D73">
            <wp:extent cx="6188075" cy="6442075"/>
            <wp:effectExtent l="0" t="0" r="3175" b="0"/>
            <wp:docPr id="1604406668" name="Picture 1" descr="A flowchart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06668" name="Picture 1" descr="A flowchart of informati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188075" cy="6442075"/>
                    </a:xfrm>
                    <a:prstGeom prst="rect">
                      <a:avLst/>
                    </a:prstGeom>
                  </pic:spPr>
                </pic:pic>
              </a:graphicData>
            </a:graphic>
          </wp:inline>
        </w:drawing>
      </w:r>
    </w:p>
    <w:p w14:paraId="5A12CCF1" w14:textId="77777777" w:rsidR="00645716" w:rsidRPr="00A55335" w:rsidRDefault="00645716" w:rsidP="00645716">
      <w:pPr>
        <w:pStyle w:val="TableFigNotes18"/>
      </w:pPr>
    </w:p>
    <w:p w14:paraId="76131923" w14:textId="77777777" w:rsidR="00645716" w:rsidRPr="00A55335" w:rsidRDefault="00645716" w:rsidP="00DD505D">
      <w:pPr>
        <w:pStyle w:val="BodyText"/>
      </w:pPr>
    </w:p>
    <w:p w14:paraId="55601E9C" w14:textId="2BB6C71D" w:rsidR="00DD505D" w:rsidRPr="00A55335" w:rsidRDefault="00DD505D" w:rsidP="008E1C15">
      <w:pPr>
        <w:pStyle w:val="Caption"/>
        <w:pageBreakBefore/>
      </w:pPr>
      <w:bookmarkStart w:id="74" w:name="_Ref47523301"/>
      <w:bookmarkStart w:id="75" w:name="_Toc58669134"/>
      <w:bookmarkStart w:id="76" w:name="_Ref58931815"/>
      <w:bookmarkStart w:id="77" w:name="_Toc183441456"/>
      <w:bookmarkStart w:id="78" w:name="_Hlk47523319"/>
      <w:r w:rsidRPr="00A55335">
        <w:lastRenderedPageBreak/>
        <w:t xml:space="preserve">Table </w:t>
      </w:r>
      <w:r w:rsidRPr="00A55335">
        <w:fldChar w:fldCharType="begin"/>
      </w:r>
      <w:r w:rsidRPr="00A55335">
        <w:instrText xml:space="preserve"> SEQ Table \* ARABIC </w:instrText>
      </w:r>
      <w:r w:rsidRPr="00A55335">
        <w:fldChar w:fldCharType="separate"/>
      </w:r>
      <w:r w:rsidR="00814B04">
        <w:rPr>
          <w:noProof/>
        </w:rPr>
        <w:t>1</w:t>
      </w:r>
      <w:r w:rsidRPr="00A55335">
        <w:fldChar w:fldCharType="end"/>
      </w:r>
      <w:bookmarkEnd w:id="74"/>
      <w:r w:rsidRPr="00A55335">
        <w:tab/>
        <w:t>List of conditions and population groups identified and considered in this review</w:t>
      </w:r>
      <w:bookmarkEnd w:id="75"/>
      <w:bookmarkEnd w:id="76"/>
      <w:bookmarkEnd w:id="77"/>
    </w:p>
    <w:tbl>
      <w:tblPr>
        <w:tblStyle w:val="TableGridLight"/>
        <w:tblW w:w="5000" w:type="pct"/>
        <w:tblLayout w:type="fixed"/>
        <w:tblLook w:val="04E0" w:firstRow="1" w:lastRow="1" w:firstColumn="1" w:lastColumn="0" w:noHBand="0" w:noVBand="1"/>
      </w:tblPr>
      <w:tblGrid>
        <w:gridCol w:w="704"/>
        <w:gridCol w:w="4820"/>
        <w:gridCol w:w="992"/>
        <w:gridCol w:w="1134"/>
        <w:gridCol w:w="2085"/>
      </w:tblGrid>
      <w:tr w:rsidR="00CB1CA5" w:rsidRPr="00A55335" w14:paraId="5B95C9BA" w14:textId="77777777" w:rsidTr="001C1650">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000" w:firstRow="0" w:lastRow="0" w:firstColumn="1" w:lastColumn="0" w:oddVBand="0" w:evenVBand="0" w:oddHBand="0" w:evenHBand="0" w:firstRowFirstColumn="0" w:firstRowLastColumn="0" w:lastRowFirstColumn="0" w:lastRowLastColumn="0"/>
            <w:tcW w:w="704" w:type="dxa"/>
          </w:tcPr>
          <w:p w14:paraId="6942DB8C" w14:textId="373A0FC2" w:rsidR="00CB1CA5" w:rsidRPr="00A55335" w:rsidRDefault="00CB1CA5" w:rsidP="00CB1CA5">
            <w:pPr>
              <w:pStyle w:val="Tabletext8pt"/>
            </w:pPr>
            <w:r w:rsidRPr="00A55335">
              <w:t>ICD-11</w:t>
            </w:r>
          </w:p>
        </w:tc>
        <w:tc>
          <w:tcPr>
            <w:tcW w:w="4820" w:type="dxa"/>
            <w:noWrap/>
          </w:tcPr>
          <w:p w14:paraId="170067C0" w14:textId="173F0F83" w:rsidR="00CB1CA5" w:rsidRPr="00A55335" w:rsidRDefault="00CB1CA5" w:rsidP="00CB1CA5">
            <w:pPr>
              <w:pStyle w:val="Tabletext8pt"/>
              <w:cnfStyle w:val="100000000000" w:firstRow="1" w:lastRow="0" w:firstColumn="0" w:lastColumn="0" w:oddVBand="0" w:evenVBand="0" w:oddHBand="0" w:evenHBand="0" w:firstRowFirstColumn="0" w:firstRowLastColumn="0" w:lastRowFirstColumn="0" w:lastRowLastColumn="0"/>
            </w:pPr>
            <w:r w:rsidRPr="00A55335">
              <w:t>Condition</w:t>
            </w:r>
          </w:p>
        </w:tc>
        <w:tc>
          <w:tcPr>
            <w:tcW w:w="992" w:type="dxa"/>
          </w:tcPr>
          <w:p w14:paraId="6F93B9BE" w14:textId="4656A85C" w:rsidR="00CB1CA5" w:rsidRPr="00A55335" w:rsidRDefault="00CB1CA5" w:rsidP="00CB1CA5">
            <w:pPr>
              <w:pStyle w:val="Tabletext8pt"/>
              <w:cnfStyle w:val="100000000000" w:firstRow="1" w:lastRow="0" w:firstColumn="0" w:lastColumn="0" w:oddVBand="0" w:evenVBand="0" w:oddHBand="0" w:evenHBand="0" w:firstRowFirstColumn="0" w:firstRowLastColumn="0" w:lastRowFirstColumn="0" w:lastRowLastColumn="0"/>
            </w:pPr>
            <w:r w:rsidRPr="00A55335">
              <w:t>No. of RCTs</w:t>
            </w:r>
          </w:p>
        </w:tc>
        <w:tc>
          <w:tcPr>
            <w:tcW w:w="1134" w:type="dxa"/>
            <w:noWrap/>
          </w:tcPr>
          <w:p w14:paraId="0598FF34" w14:textId="7BE54675" w:rsidR="00CB1CA5" w:rsidRPr="00A55335" w:rsidRDefault="00CB1CA5" w:rsidP="00CB1CA5">
            <w:pPr>
              <w:pStyle w:val="Tabletext8pt"/>
              <w:cnfStyle w:val="100000000000" w:firstRow="1" w:lastRow="0" w:firstColumn="0" w:lastColumn="0" w:oddVBand="0" w:evenVBand="0" w:oddHBand="0" w:evenHBand="0" w:firstRowFirstColumn="0" w:firstRowLastColumn="0" w:lastRowFirstColumn="0" w:lastRowLastColumn="0"/>
            </w:pPr>
            <w:r w:rsidRPr="00A55335">
              <w:t>Priority population</w:t>
            </w:r>
          </w:p>
        </w:tc>
        <w:tc>
          <w:tcPr>
            <w:tcW w:w="2085" w:type="dxa"/>
            <w:noWrap/>
          </w:tcPr>
          <w:p w14:paraId="5983282F" w14:textId="59E34870" w:rsidR="00CB1CA5" w:rsidRPr="00A55335" w:rsidRDefault="00FB2B32" w:rsidP="00CB1CA5">
            <w:pPr>
              <w:pStyle w:val="Tabletext8pt"/>
              <w:cnfStyle w:val="100000000000" w:firstRow="1" w:lastRow="0" w:firstColumn="0" w:lastColumn="0" w:oddVBand="0" w:evenVBand="0" w:oddHBand="0" w:evenHBand="0" w:firstRowFirstColumn="0" w:firstRowLastColumn="0" w:lastRowFirstColumn="0" w:lastRowLastColumn="0"/>
            </w:pPr>
            <w:r w:rsidRPr="00A55335">
              <w:t xml:space="preserve">Included in </w:t>
            </w:r>
            <w:r w:rsidR="00143057" w:rsidRPr="00A55335">
              <w:t xml:space="preserve">primary or secondary </w:t>
            </w:r>
            <w:r w:rsidRPr="00A55335">
              <w:t>comparison</w:t>
            </w:r>
          </w:p>
        </w:tc>
      </w:tr>
      <w:tr w:rsidR="00CB1CA5" w:rsidRPr="00A55335" w14:paraId="410550A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1B665750" w14:textId="25786124" w:rsidR="00CB1CA5" w:rsidRPr="00A55335" w:rsidRDefault="00CB1CA5" w:rsidP="00CB1CA5">
            <w:pPr>
              <w:pStyle w:val="Tabletext8pt"/>
            </w:pPr>
            <w:r w:rsidRPr="00A55335">
              <w:t>01 Certain infectious and parasitic diseases</w:t>
            </w:r>
          </w:p>
        </w:tc>
        <w:tc>
          <w:tcPr>
            <w:tcW w:w="992" w:type="dxa"/>
          </w:tcPr>
          <w:p w14:paraId="6BDCCC5D" w14:textId="00128F59" w:rsidR="00CB1CA5" w:rsidRPr="00A55335" w:rsidRDefault="00CB1CA5" w:rsidP="00ED042C">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23</w:t>
            </w:r>
          </w:p>
        </w:tc>
        <w:tc>
          <w:tcPr>
            <w:tcW w:w="1134" w:type="dxa"/>
            <w:noWrap/>
          </w:tcPr>
          <w:p w14:paraId="403049D1" w14:textId="47E4AF5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tcPr>
          <w:p w14:paraId="178CA1C8" w14:textId="0A13C5C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54C810D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CDE48AB" w14:textId="77777777" w:rsidR="00CB1CA5" w:rsidRPr="00A55335" w:rsidRDefault="00CB1CA5" w:rsidP="00CB1CA5">
            <w:pPr>
              <w:pStyle w:val="Tabletext8pt"/>
            </w:pPr>
          </w:p>
        </w:tc>
        <w:tc>
          <w:tcPr>
            <w:tcW w:w="4820" w:type="dxa"/>
            <w:noWrap/>
            <w:hideMark/>
          </w:tcPr>
          <w:p w14:paraId="03F326E1" w14:textId="1877F42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Acute Encephalitis Syndrome (infants &amp; children)</w:t>
            </w:r>
          </w:p>
        </w:tc>
        <w:tc>
          <w:tcPr>
            <w:tcW w:w="992" w:type="dxa"/>
          </w:tcPr>
          <w:p w14:paraId="77CE2E66" w14:textId="6312097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222738EB" w14:textId="3ECC010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5BF452B" w14:textId="5026DCFB"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2CA7A7D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BDD94A7" w14:textId="77777777" w:rsidR="00CB1CA5" w:rsidRPr="00A55335" w:rsidRDefault="00CB1CA5" w:rsidP="00CB1CA5">
            <w:pPr>
              <w:pStyle w:val="Tabletext8pt"/>
            </w:pPr>
          </w:p>
        </w:tc>
        <w:tc>
          <w:tcPr>
            <w:tcW w:w="4820" w:type="dxa"/>
            <w:noWrap/>
            <w:hideMark/>
          </w:tcPr>
          <w:p w14:paraId="1A3BC820" w14:textId="71A6557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Calicivirus, acute (treatment)</w:t>
            </w:r>
          </w:p>
        </w:tc>
        <w:tc>
          <w:tcPr>
            <w:tcW w:w="992" w:type="dxa"/>
          </w:tcPr>
          <w:p w14:paraId="63DF6F89" w14:textId="46022D0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0279454D" w14:textId="33509AC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1644E01" w14:textId="06A821A5"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88C057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28DA38B" w14:textId="77777777" w:rsidR="00CB1CA5" w:rsidRPr="00A55335" w:rsidRDefault="00CB1CA5" w:rsidP="00CB1CA5">
            <w:pPr>
              <w:pStyle w:val="Tabletext8pt"/>
            </w:pPr>
          </w:p>
        </w:tc>
        <w:tc>
          <w:tcPr>
            <w:tcW w:w="4820" w:type="dxa"/>
            <w:noWrap/>
            <w:hideMark/>
          </w:tcPr>
          <w:p w14:paraId="36DDF970" w14:textId="66D19D5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Chikungunya (prophylaxis)</w:t>
            </w:r>
          </w:p>
        </w:tc>
        <w:tc>
          <w:tcPr>
            <w:tcW w:w="992" w:type="dxa"/>
          </w:tcPr>
          <w:p w14:paraId="7529101F" w14:textId="5C85D38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7CB71D2E" w14:textId="364D817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7E76DFE" w14:textId="00B52BDD"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83364B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641A3BD" w14:textId="77777777" w:rsidR="00CB1CA5" w:rsidRPr="00A55335" w:rsidRDefault="00CB1CA5" w:rsidP="00CB1CA5">
            <w:pPr>
              <w:pStyle w:val="Tabletext8pt"/>
            </w:pPr>
          </w:p>
        </w:tc>
        <w:tc>
          <w:tcPr>
            <w:tcW w:w="4820" w:type="dxa"/>
            <w:noWrap/>
            <w:hideMark/>
          </w:tcPr>
          <w:p w14:paraId="2EBB8160" w14:textId="4495148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Cholera</w:t>
            </w:r>
          </w:p>
        </w:tc>
        <w:tc>
          <w:tcPr>
            <w:tcW w:w="992" w:type="dxa"/>
          </w:tcPr>
          <w:p w14:paraId="423387C1" w14:textId="1511FE6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6A5F082E" w14:textId="566D1B5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AC9B16A" w14:textId="416075DB"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98D9C0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1593ED5" w14:textId="77777777" w:rsidR="00CB1CA5" w:rsidRPr="00A55335" w:rsidRDefault="00CB1CA5" w:rsidP="00CB1CA5">
            <w:pPr>
              <w:pStyle w:val="Tabletext8pt"/>
            </w:pPr>
          </w:p>
        </w:tc>
        <w:tc>
          <w:tcPr>
            <w:tcW w:w="4820" w:type="dxa"/>
            <w:noWrap/>
            <w:hideMark/>
          </w:tcPr>
          <w:p w14:paraId="66AC11C1" w14:textId="5BF7829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Dengue fever</w:t>
            </w:r>
          </w:p>
        </w:tc>
        <w:tc>
          <w:tcPr>
            <w:tcW w:w="992" w:type="dxa"/>
          </w:tcPr>
          <w:p w14:paraId="48C77128" w14:textId="6E58722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7231FF63" w14:textId="32BE68F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31F76D9" w14:textId="2C9631B8"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4AC227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7391A96" w14:textId="77777777" w:rsidR="00CB1CA5" w:rsidRPr="00A55335" w:rsidRDefault="00CB1CA5" w:rsidP="00CB1CA5">
            <w:pPr>
              <w:pStyle w:val="Tabletext8pt"/>
            </w:pPr>
          </w:p>
        </w:tc>
        <w:tc>
          <w:tcPr>
            <w:tcW w:w="4820" w:type="dxa"/>
            <w:noWrap/>
            <w:hideMark/>
          </w:tcPr>
          <w:p w14:paraId="78A79227" w14:textId="34E6042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Herpes simplex, genital (recurrent)</w:t>
            </w:r>
          </w:p>
        </w:tc>
        <w:tc>
          <w:tcPr>
            <w:tcW w:w="992" w:type="dxa"/>
          </w:tcPr>
          <w:p w14:paraId="17784478" w14:textId="522034B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tcPr>
          <w:p w14:paraId="4F9EEBA9" w14:textId="4DCCAFF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EC39839" w14:textId="18FE3903"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5C0D460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3440246" w14:textId="77777777" w:rsidR="00CB1CA5" w:rsidRPr="00A55335" w:rsidRDefault="00CB1CA5" w:rsidP="00CB1CA5">
            <w:pPr>
              <w:pStyle w:val="Tabletext8pt"/>
            </w:pPr>
          </w:p>
        </w:tc>
        <w:tc>
          <w:tcPr>
            <w:tcW w:w="4820" w:type="dxa"/>
            <w:noWrap/>
            <w:hideMark/>
          </w:tcPr>
          <w:p w14:paraId="2AB3F937" w14:textId="3212C0F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Human immunodeficiency virus</w:t>
            </w:r>
          </w:p>
        </w:tc>
        <w:tc>
          <w:tcPr>
            <w:tcW w:w="992" w:type="dxa"/>
          </w:tcPr>
          <w:p w14:paraId="2474B410" w14:textId="3893DFC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556C8AB8" w14:textId="40870BA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4012A995" w14:textId="6BDDE168"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6F9622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2584742" w14:textId="77777777" w:rsidR="00CB1CA5" w:rsidRPr="00A55335" w:rsidRDefault="00CB1CA5" w:rsidP="00CB1CA5">
            <w:pPr>
              <w:pStyle w:val="Tabletext8pt"/>
            </w:pPr>
          </w:p>
        </w:tc>
        <w:tc>
          <w:tcPr>
            <w:tcW w:w="4820" w:type="dxa"/>
            <w:noWrap/>
            <w:hideMark/>
          </w:tcPr>
          <w:p w14:paraId="044435D1" w14:textId="0E5FBC5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Hum</w:t>
            </w:r>
            <w:r w:rsidR="00820E14">
              <w:t>an</w:t>
            </w:r>
            <w:r w:rsidRPr="00A55335">
              <w:t xml:space="preserve"> papilloma virus</w:t>
            </w:r>
          </w:p>
        </w:tc>
        <w:tc>
          <w:tcPr>
            <w:tcW w:w="992" w:type="dxa"/>
          </w:tcPr>
          <w:p w14:paraId="2AF3158D" w14:textId="1BFD643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47D13A0A" w14:textId="17D670E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40AC646E" w14:textId="3A1D5143"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19676F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04DC0B3" w14:textId="77777777" w:rsidR="00CB1CA5" w:rsidRPr="00A55335" w:rsidRDefault="00CB1CA5" w:rsidP="00CB1CA5">
            <w:pPr>
              <w:pStyle w:val="Tabletext8pt"/>
            </w:pPr>
          </w:p>
        </w:tc>
        <w:tc>
          <w:tcPr>
            <w:tcW w:w="4820" w:type="dxa"/>
            <w:noWrap/>
            <w:hideMark/>
          </w:tcPr>
          <w:p w14:paraId="583769E7" w14:textId="287CDAB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Leprosy, paucibacillary </w:t>
            </w:r>
          </w:p>
        </w:tc>
        <w:tc>
          <w:tcPr>
            <w:tcW w:w="992" w:type="dxa"/>
          </w:tcPr>
          <w:p w14:paraId="0C8448A2" w14:textId="62FB247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60E6A6F2" w14:textId="18B68EC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B9F7E90" w14:textId="11C34232"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157AE70"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6C42D56" w14:textId="77777777" w:rsidR="00CB1CA5" w:rsidRPr="00A55335" w:rsidRDefault="00CB1CA5" w:rsidP="00CB1CA5">
            <w:pPr>
              <w:pStyle w:val="Tabletext8pt"/>
            </w:pPr>
          </w:p>
        </w:tc>
        <w:tc>
          <w:tcPr>
            <w:tcW w:w="4820" w:type="dxa"/>
            <w:noWrap/>
            <w:hideMark/>
          </w:tcPr>
          <w:p w14:paraId="345EC144" w14:textId="0B6903D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Leprosy, posttreatment (with trophic ulcer, peripheral anaesthesia)</w:t>
            </w:r>
          </w:p>
        </w:tc>
        <w:tc>
          <w:tcPr>
            <w:tcW w:w="992" w:type="dxa"/>
          </w:tcPr>
          <w:p w14:paraId="70271DFC" w14:textId="57B1EA4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3229237F" w14:textId="2E907D5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F439826" w14:textId="0ACF3D40"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5AB11E8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03B112F" w14:textId="77777777" w:rsidR="00CB1CA5" w:rsidRPr="00A55335" w:rsidRDefault="00CB1CA5" w:rsidP="00CB1CA5">
            <w:pPr>
              <w:pStyle w:val="Tabletext8pt"/>
            </w:pPr>
          </w:p>
        </w:tc>
        <w:tc>
          <w:tcPr>
            <w:tcW w:w="4820" w:type="dxa"/>
            <w:noWrap/>
            <w:hideMark/>
          </w:tcPr>
          <w:p w14:paraId="7BCBF61F" w14:textId="64760F6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Lymphatic filariasis, with acute </w:t>
            </w:r>
            <w:proofErr w:type="spellStart"/>
            <w:r w:rsidRPr="00A55335">
              <w:t>adenolymphangitis</w:t>
            </w:r>
            <w:proofErr w:type="spellEnd"/>
          </w:p>
        </w:tc>
        <w:tc>
          <w:tcPr>
            <w:tcW w:w="992" w:type="dxa"/>
          </w:tcPr>
          <w:p w14:paraId="37F8B56D" w14:textId="5F76715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5AADF1A1" w14:textId="7824BDD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E1B9CC1" w14:textId="4B6D85DC"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0A78634F"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22967A9" w14:textId="77777777" w:rsidR="00CB1CA5" w:rsidRPr="00A55335" w:rsidRDefault="00CB1CA5" w:rsidP="00CB1CA5">
            <w:pPr>
              <w:pStyle w:val="Tabletext8pt"/>
            </w:pPr>
          </w:p>
        </w:tc>
        <w:tc>
          <w:tcPr>
            <w:tcW w:w="4820" w:type="dxa"/>
            <w:noWrap/>
            <w:hideMark/>
          </w:tcPr>
          <w:p w14:paraId="57EE1A3B" w14:textId="7320F37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Malaria</w:t>
            </w:r>
          </w:p>
        </w:tc>
        <w:tc>
          <w:tcPr>
            <w:tcW w:w="992" w:type="dxa"/>
          </w:tcPr>
          <w:p w14:paraId="19E1C950" w14:textId="5DE75A5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tcPr>
          <w:p w14:paraId="647131CF" w14:textId="3494593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590AD03" w14:textId="43B518F2"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FF2D6F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DCE24FE" w14:textId="77777777" w:rsidR="00CB1CA5" w:rsidRPr="00A55335" w:rsidRDefault="00CB1CA5" w:rsidP="00CB1CA5">
            <w:pPr>
              <w:pStyle w:val="Tabletext8pt"/>
            </w:pPr>
          </w:p>
        </w:tc>
        <w:tc>
          <w:tcPr>
            <w:tcW w:w="4820" w:type="dxa"/>
            <w:noWrap/>
            <w:hideMark/>
          </w:tcPr>
          <w:p w14:paraId="47867A95" w14:textId="103F773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Scabies</w:t>
            </w:r>
          </w:p>
        </w:tc>
        <w:tc>
          <w:tcPr>
            <w:tcW w:w="992" w:type="dxa"/>
          </w:tcPr>
          <w:p w14:paraId="18EB3D5D" w14:textId="0F80C05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0D197867" w14:textId="3A2E968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252CCBD4" w14:textId="158AD575"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79ED5D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325A211" w14:textId="77777777" w:rsidR="00CB1CA5" w:rsidRPr="00A55335" w:rsidRDefault="00CB1CA5" w:rsidP="00CB1CA5">
            <w:pPr>
              <w:pStyle w:val="Tabletext8pt"/>
            </w:pPr>
          </w:p>
        </w:tc>
        <w:tc>
          <w:tcPr>
            <w:tcW w:w="4820" w:type="dxa"/>
            <w:noWrap/>
            <w:hideMark/>
          </w:tcPr>
          <w:p w14:paraId="322D97E6" w14:textId="2227925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Severe sepsis</w:t>
            </w:r>
          </w:p>
        </w:tc>
        <w:tc>
          <w:tcPr>
            <w:tcW w:w="992" w:type="dxa"/>
          </w:tcPr>
          <w:p w14:paraId="5C088E7E" w14:textId="595FF7E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1A29280D" w14:textId="285177D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37F237DD" w14:textId="0A2B9F4E"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475D7AB"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005B18F" w14:textId="77777777" w:rsidR="00CB1CA5" w:rsidRPr="00A55335" w:rsidRDefault="00CB1CA5" w:rsidP="00CB1CA5">
            <w:pPr>
              <w:pStyle w:val="Tabletext8pt"/>
            </w:pPr>
          </w:p>
        </w:tc>
        <w:tc>
          <w:tcPr>
            <w:tcW w:w="4820" w:type="dxa"/>
            <w:noWrap/>
            <w:hideMark/>
          </w:tcPr>
          <w:p w14:paraId="437D64C1" w14:textId="7E7EC2D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Tuberculosis, multi-drug-resistant</w:t>
            </w:r>
          </w:p>
        </w:tc>
        <w:tc>
          <w:tcPr>
            <w:tcW w:w="992" w:type="dxa"/>
          </w:tcPr>
          <w:p w14:paraId="2984DDC0" w14:textId="51B5AC5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3C8F11EF" w14:textId="586F087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7AFE526" w14:textId="468B36D9"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336546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A1C90B4" w14:textId="77777777" w:rsidR="00CB1CA5" w:rsidRPr="00A55335" w:rsidRDefault="00CB1CA5" w:rsidP="00CB1CA5">
            <w:pPr>
              <w:pStyle w:val="Tabletext8pt"/>
            </w:pPr>
          </w:p>
        </w:tc>
        <w:tc>
          <w:tcPr>
            <w:tcW w:w="4820" w:type="dxa"/>
            <w:noWrap/>
            <w:hideMark/>
          </w:tcPr>
          <w:p w14:paraId="77DFA66A" w14:textId="21FFB70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Varicella zoster, acute (treatment) (chicken pox)</w:t>
            </w:r>
          </w:p>
        </w:tc>
        <w:tc>
          <w:tcPr>
            <w:tcW w:w="992" w:type="dxa"/>
          </w:tcPr>
          <w:p w14:paraId="35412A4B" w14:textId="41A1362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5A0034E8" w14:textId="36A467C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4FA809F" w14:textId="65C3EF8E"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9EAFF7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5F8430E" w14:textId="77777777" w:rsidR="00CB1CA5" w:rsidRPr="00A55335" w:rsidRDefault="00CB1CA5" w:rsidP="00CB1CA5">
            <w:pPr>
              <w:pStyle w:val="Tabletext8pt"/>
            </w:pPr>
          </w:p>
        </w:tc>
        <w:tc>
          <w:tcPr>
            <w:tcW w:w="4820" w:type="dxa"/>
            <w:noWrap/>
            <w:hideMark/>
          </w:tcPr>
          <w:p w14:paraId="2650BA27" w14:textId="57662DC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Viral conjunctivitis (prophylaxis)</w:t>
            </w:r>
          </w:p>
        </w:tc>
        <w:tc>
          <w:tcPr>
            <w:tcW w:w="992" w:type="dxa"/>
          </w:tcPr>
          <w:p w14:paraId="4AD7AB68" w14:textId="60A7915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02022FA1" w14:textId="5C2E90D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28E9F594" w14:textId="28CA1ACA"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D794CF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321C01B" w14:textId="77777777" w:rsidR="00CB1CA5" w:rsidRPr="00A55335" w:rsidRDefault="00CB1CA5" w:rsidP="00CB1CA5">
            <w:pPr>
              <w:pStyle w:val="Tabletext8pt"/>
            </w:pPr>
          </w:p>
        </w:tc>
        <w:tc>
          <w:tcPr>
            <w:tcW w:w="4820" w:type="dxa"/>
            <w:noWrap/>
            <w:hideMark/>
          </w:tcPr>
          <w:p w14:paraId="57584642" w14:textId="3F001B7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Warts, common cutaneous or plantar</w:t>
            </w:r>
          </w:p>
        </w:tc>
        <w:tc>
          <w:tcPr>
            <w:tcW w:w="992" w:type="dxa"/>
          </w:tcPr>
          <w:p w14:paraId="2DAE4A84" w14:textId="25160CC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4</w:t>
            </w:r>
          </w:p>
        </w:tc>
        <w:tc>
          <w:tcPr>
            <w:tcW w:w="1134" w:type="dxa"/>
            <w:noWrap/>
          </w:tcPr>
          <w:p w14:paraId="708C48BC" w14:textId="0176730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0CF50AD" w14:textId="3D532D04"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C4FA6C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EDB28E7" w14:textId="1BA97EDC" w:rsidR="00CB1CA5" w:rsidRPr="00A55335" w:rsidRDefault="00CB1CA5" w:rsidP="00CB1CA5">
            <w:pPr>
              <w:pStyle w:val="Tabletext8pt"/>
            </w:pPr>
            <w:r w:rsidRPr="00A55335">
              <w:t>02 Neoplasms</w:t>
            </w:r>
          </w:p>
        </w:tc>
        <w:tc>
          <w:tcPr>
            <w:tcW w:w="992" w:type="dxa"/>
          </w:tcPr>
          <w:p w14:paraId="21A9222A" w14:textId="36B26546" w:rsidR="00CB1CA5" w:rsidRPr="00A55335" w:rsidRDefault="00CB1CA5" w:rsidP="00ED042C">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12</w:t>
            </w:r>
          </w:p>
        </w:tc>
        <w:tc>
          <w:tcPr>
            <w:tcW w:w="1134" w:type="dxa"/>
            <w:noWrap/>
          </w:tcPr>
          <w:p w14:paraId="48BD0A3F" w14:textId="61D2230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173EF50C" w14:textId="7777777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5FF2F920"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6FEF0D5" w14:textId="77777777" w:rsidR="00CB1CA5" w:rsidRPr="00A55335" w:rsidRDefault="00CB1CA5" w:rsidP="00CB1CA5">
            <w:pPr>
              <w:pStyle w:val="Tabletext8pt"/>
            </w:pPr>
          </w:p>
        </w:tc>
        <w:tc>
          <w:tcPr>
            <w:tcW w:w="4820" w:type="dxa"/>
            <w:noWrap/>
            <w:hideMark/>
          </w:tcPr>
          <w:p w14:paraId="36BDF1BE" w14:textId="4CF3FB5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Cancer, any</w:t>
            </w:r>
          </w:p>
        </w:tc>
        <w:tc>
          <w:tcPr>
            <w:tcW w:w="992" w:type="dxa"/>
          </w:tcPr>
          <w:p w14:paraId="695178E5" w14:textId="74E3FF2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2FEFCA82" w14:textId="233E4CB5"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1D38B7D1" w14:textId="2257229A"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032320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F2E2AF2" w14:textId="77777777" w:rsidR="00CB1CA5" w:rsidRPr="00A55335" w:rsidRDefault="00CB1CA5" w:rsidP="00CB1CA5">
            <w:pPr>
              <w:pStyle w:val="Tabletext8pt"/>
            </w:pPr>
          </w:p>
        </w:tc>
        <w:tc>
          <w:tcPr>
            <w:tcW w:w="4820" w:type="dxa"/>
            <w:noWrap/>
            <w:hideMark/>
          </w:tcPr>
          <w:p w14:paraId="074C38F7" w14:textId="51BAFE5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Cancer, breast</w:t>
            </w:r>
            <w:r w:rsidR="00247B40" w:rsidRPr="00A55335">
              <w:t xml:space="preserve"> (survivors and/or undergoing treatment)</w:t>
            </w:r>
          </w:p>
        </w:tc>
        <w:tc>
          <w:tcPr>
            <w:tcW w:w="992" w:type="dxa"/>
          </w:tcPr>
          <w:p w14:paraId="4033F122" w14:textId="291B4ADD" w:rsidR="00CB1CA5"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r w:rsidRPr="00A55335">
              <w:t>7</w:t>
            </w:r>
          </w:p>
        </w:tc>
        <w:tc>
          <w:tcPr>
            <w:tcW w:w="1134" w:type="dxa"/>
            <w:noWrap/>
          </w:tcPr>
          <w:p w14:paraId="12320445" w14:textId="281176E0"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23DA88CF" w14:textId="03D721CD"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9686F9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C16D7F5" w14:textId="77777777" w:rsidR="00CB1CA5" w:rsidRPr="00A55335" w:rsidRDefault="00CB1CA5" w:rsidP="00CB1CA5">
            <w:pPr>
              <w:pStyle w:val="Tabletext8pt"/>
            </w:pPr>
          </w:p>
        </w:tc>
        <w:tc>
          <w:tcPr>
            <w:tcW w:w="4820" w:type="dxa"/>
            <w:noWrap/>
            <w:hideMark/>
          </w:tcPr>
          <w:p w14:paraId="127DB5A9" w14:textId="2F7F276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Cancer, non-small cell lung </w:t>
            </w:r>
          </w:p>
        </w:tc>
        <w:tc>
          <w:tcPr>
            <w:tcW w:w="992" w:type="dxa"/>
          </w:tcPr>
          <w:p w14:paraId="38FC3E7C" w14:textId="04675B3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7BAEC997" w14:textId="410A2EEA"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7B78A4B5" w14:textId="6F385D42"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20F54815"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5E5DADA" w14:textId="77777777" w:rsidR="00CB1CA5" w:rsidRPr="00A55335" w:rsidRDefault="00CB1CA5" w:rsidP="00CB1CA5">
            <w:pPr>
              <w:pStyle w:val="Tabletext8pt"/>
            </w:pPr>
          </w:p>
        </w:tc>
        <w:tc>
          <w:tcPr>
            <w:tcW w:w="4820" w:type="dxa"/>
            <w:noWrap/>
            <w:hideMark/>
          </w:tcPr>
          <w:p w14:paraId="468CD801" w14:textId="600689E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Fibroadenoma, breast</w:t>
            </w:r>
          </w:p>
        </w:tc>
        <w:tc>
          <w:tcPr>
            <w:tcW w:w="992" w:type="dxa"/>
          </w:tcPr>
          <w:p w14:paraId="784FBFB3" w14:textId="0C236A2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tcPr>
          <w:p w14:paraId="24477F66" w14:textId="3EB6A20C"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65EF2825" w14:textId="605E981F"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21E31D60"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6DC13A9" w14:textId="77777777" w:rsidR="00CB1CA5" w:rsidRPr="00A55335" w:rsidRDefault="00CB1CA5" w:rsidP="00CB1CA5">
            <w:pPr>
              <w:pStyle w:val="Tabletext8pt"/>
            </w:pPr>
          </w:p>
        </w:tc>
        <w:tc>
          <w:tcPr>
            <w:tcW w:w="4820" w:type="dxa"/>
            <w:noWrap/>
            <w:hideMark/>
          </w:tcPr>
          <w:p w14:paraId="7CDB2092" w14:textId="1602073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Undergoing stem cell transplant (autologous or allogeneic)</w:t>
            </w:r>
          </w:p>
        </w:tc>
        <w:tc>
          <w:tcPr>
            <w:tcW w:w="992" w:type="dxa"/>
          </w:tcPr>
          <w:p w14:paraId="3D1FD692" w14:textId="7742B693" w:rsidR="00CB1CA5"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tcPr>
          <w:p w14:paraId="7D7D8429" w14:textId="7F73746E"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5344144D" w14:textId="27FED3E0"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247B40" w:rsidRPr="00A55335" w14:paraId="37ECCC04"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65F64D2" w14:textId="06490EE5" w:rsidR="00247B40" w:rsidRPr="00A55335" w:rsidRDefault="00247B40" w:rsidP="00CB1CA5">
            <w:pPr>
              <w:pStyle w:val="Tabletext8pt"/>
            </w:pPr>
            <w:r w:rsidRPr="00A55335">
              <w:t>03 Diseases of the blood or blood-forming organs</w:t>
            </w:r>
          </w:p>
        </w:tc>
        <w:tc>
          <w:tcPr>
            <w:tcW w:w="992" w:type="dxa"/>
          </w:tcPr>
          <w:p w14:paraId="6267A2F0" w14:textId="7544B3FC" w:rsidR="00247B40" w:rsidRPr="00A55335" w:rsidRDefault="00247B40" w:rsidP="00ED042C">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2</w:t>
            </w:r>
          </w:p>
        </w:tc>
        <w:tc>
          <w:tcPr>
            <w:tcW w:w="1134" w:type="dxa"/>
            <w:noWrap/>
            <w:hideMark/>
          </w:tcPr>
          <w:p w14:paraId="54ABB590" w14:textId="6EE138EE"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5A613705" w14:textId="77777777"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5D640188"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D24A810" w14:textId="77777777" w:rsidR="00CB1CA5" w:rsidRPr="00A55335" w:rsidRDefault="00CB1CA5" w:rsidP="00CB1CA5">
            <w:pPr>
              <w:pStyle w:val="Tabletext8pt"/>
            </w:pPr>
          </w:p>
        </w:tc>
        <w:tc>
          <w:tcPr>
            <w:tcW w:w="4820" w:type="dxa"/>
            <w:noWrap/>
            <w:hideMark/>
          </w:tcPr>
          <w:p w14:paraId="125B84A8" w14:textId="2196B18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Anaemia, iron-deficiency </w:t>
            </w:r>
          </w:p>
        </w:tc>
        <w:tc>
          <w:tcPr>
            <w:tcW w:w="992" w:type="dxa"/>
          </w:tcPr>
          <w:p w14:paraId="38D0A7E6" w14:textId="67B9CED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5BFCD448" w14:textId="4B47D365"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0D68B14A" w14:textId="2F14AEDD"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17568C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D57A2F8" w14:textId="77777777" w:rsidR="00CB1CA5" w:rsidRPr="00A55335" w:rsidRDefault="00CB1CA5" w:rsidP="00CB1CA5">
            <w:pPr>
              <w:pStyle w:val="Tabletext8pt"/>
            </w:pPr>
          </w:p>
        </w:tc>
        <w:tc>
          <w:tcPr>
            <w:tcW w:w="4820" w:type="dxa"/>
            <w:noWrap/>
            <w:hideMark/>
          </w:tcPr>
          <w:p w14:paraId="609B94B9" w14:textId="3E5DBE3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Thalassemia</w:t>
            </w:r>
          </w:p>
        </w:tc>
        <w:tc>
          <w:tcPr>
            <w:tcW w:w="992" w:type="dxa"/>
          </w:tcPr>
          <w:p w14:paraId="52F3E90E" w14:textId="5E42127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BA560A3" w14:textId="2D8E6B2C"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2279287B" w14:textId="4785207D" w:rsidR="00CB1CA5" w:rsidRPr="00A55335" w:rsidRDefault="00E1120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247B40" w:rsidRPr="00A55335" w14:paraId="6B63D94B"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041E2BA" w14:textId="18FB9905" w:rsidR="00247B40" w:rsidRPr="00A55335" w:rsidRDefault="00247B40" w:rsidP="00CB1CA5">
            <w:pPr>
              <w:pStyle w:val="Tabletext8pt"/>
            </w:pPr>
            <w:r w:rsidRPr="00A55335">
              <w:t>04 Diseases of the immune system</w:t>
            </w:r>
          </w:p>
        </w:tc>
        <w:tc>
          <w:tcPr>
            <w:tcW w:w="992" w:type="dxa"/>
          </w:tcPr>
          <w:p w14:paraId="1B9D0E12" w14:textId="27CAFD5A" w:rsidR="00247B40" w:rsidRPr="00A55335" w:rsidRDefault="00247B40" w:rsidP="00ED042C">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21</w:t>
            </w:r>
          </w:p>
        </w:tc>
        <w:tc>
          <w:tcPr>
            <w:tcW w:w="1134" w:type="dxa"/>
            <w:noWrap/>
            <w:hideMark/>
          </w:tcPr>
          <w:p w14:paraId="3AA3CF37" w14:textId="42D90B8E"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39513C0F" w14:textId="6AC201C5"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5D37A6B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BDC93FA" w14:textId="77777777" w:rsidR="00CB1CA5" w:rsidRPr="00A55335" w:rsidRDefault="00CB1CA5" w:rsidP="00CB1CA5">
            <w:pPr>
              <w:pStyle w:val="Tabletext8pt"/>
            </w:pPr>
          </w:p>
        </w:tc>
        <w:tc>
          <w:tcPr>
            <w:tcW w:w="4820" w:type="dxa"/>
            <w:noWrap/>
            <w:hideMark/>
          </w:tcPr>
          <w:p w14:paraId="709409C1" w14:textId="0718C22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Hay fever (allergic rhinitis)</w:t>
            </w:r>
          </w:p>
        </w:tc>
        <w:tc>
          <w:tcPr>
            <w:tcW w:w="992" w:type="dxa"/>
          </w:tcPr>
          <w:p w14:paraId="07D98549" w14:textId="55ACA36A"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9</w:t>
            </w:r>
          </w:p>
        </w:tc>
        <w:tc>
          <w:tcPr>
            <w:tcW w:w="1134" w:type="dxa"/>
            <w:noWrap/>
            <w:hideMark/>
          </w:tcPr>
          <w:p w14:paraId="7A472686" w14:textId="5CFBF2DB"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Yes</w:t>
            </w:r>
          </w:p>
        </w:tc>
        <w:tc>
          <w:tcPr>
            <w:tcW w:w="2085" w:type="dxa"/>
            <w:noWrap/>
          </w:tcPr>
          <w:p w14:paraId="169DD4CC" w14:textId="0FCB8998" w:rsidR="00CB1CA5" w:rsidRPr="00A55335" w:rsidRDefault="000B1927" w:rsidP="00CB1CA5">
            <w:pPr>
              <w:pStyle w:val="Tabletext8pt"/>
              <w:cnfStyle w:val="000000000000" w:firstRow="0" w:lastRow="0" w:firstColumn="0" w:lastColumn="0" w:oddVBand="0" w:evenVBand="0" w:oddHBand="0" w:evenHBand="0" w:firstRowFirstColumn="0" w:firstRowLastColumn="0" w:lastRowFirstColumn="0" w:lastRowLastColumn="0"/>
            </w:pPr>
            <w:r w:rsidRPr="00A55335">
              <w:t>9</w:t>
            </w:r>
          </w:p>
        </w:tc>
      </w:tr>
      <w:tr w:rsidR="00CB1CA5" w:rsidRPr="00A55335" w14:paraId="2B6878F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89E38E2" w14:textId="77777777" w:rsidR="00CB1CA5" w:rsidRPr="00A55335" w:rsidRDefault="00CB1CA5" w:rsidP="00CB1CA5">
            <w:pPr>
              <w:pStyle w:val="Tabletext8pt"/>
            </w:pPr>
          </w:p>
        </w:tc>
        <w:tc>
          <w:tcPr>
            <w:tcW w:w="4820" w:type="dxa"/>
            <w:noWrap/>
            <w:hideMark/>
          </w:tcPr>
          <w:p w14:paraId="71E57D60" w14:textId="3E9A82F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Recurrent infection, URTI (incl. otitis media, strep infection, tonsillitis, sinusitis)</w:t>
            </w:r>
          </w:p>
        </w:tc>
        <w:tc>
          <w:tcPr>
            <w:tcW w:w="992" w:type="dxa"/>
          </w:tcPr>
          <w:p w14:paraId="1D9749C1" w14:textId="366EBB5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1</w:t>
            </w:r>
            <w:r w:rsidR="008E1C15" w:rsidRPr="00A55335">
              <w:rPr>
                <w:lang w:eastAsia="en-AU"/>
              </w:rPr>
              <w:t>0</w:t>
            </w:r>
          </w:p>
        </w:tc>
        <w:tc>
          <w:tcPr>
            <w:tcW w:w="1134" w:type="dxa"/>
            <w:noWrap/>
            <w:hideMark/>
          </w:tcPr>
          <w:p w14:paraId="0C07C8C9" w14:textId="2FCADD86"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Yes</w:t>
            </w:r>
          </w:p>
        </w:tc>
        <w:tc>
          <w:tcPr>
            <w:tcW w:w="2085" w:type="dxa"/>
            <w:noWrap/>
          </w:tcPr>
          <w:p w14:paraId="21AE72B4" w14:textId="0E6A40F9" w:rsidR="00CB1CA5" w:rsidRPr="00A55335" w:rsidRDefault="000B1927" w:rsidP="00CB1CA5">
            <w:pPr>
              <w:pStyle w:val="Tabletext8pt"/>
              <w:cnfStyle w:val="000000000000" w:firstRow="0" w:lastRow="0" w:firstColumn="0" w:lastColumn="0" w:oddVBand="0" w:evenVBand="0" w:oddHBand="0" w:evenHBand="0" w:firstRowFirstColumn="0" w:firstRowLastColumn="0" w:lastRowFirstColumn="0" w:lastRowLastColumn="0"/>
            </w:pPr>
            <w:r w:rsidRPr="00A55335">
              <w:t>5</w:t>
            </w:r>
          </w:p>
        </w:tc>
      </w:tr>
      <w:tr w:rsidR="00CB1CA5" w:rsidRPr="00A55335" w14:paraId="56411600"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541158B" w14:textId="77777777" w:rsidR="00CB1CA5" w:rsidRPr="00A55335" w:rsidRDefault="00CB1CA5" w:rsidP="00CB1CA5">
            <w:pPr>
              <w:pStyle w:val="Tabletext8pt"/>
            </w:pPr>
          </w:p>
        </w:tc>
        <w:tc>
          <w:tcPr>
            <w:tcW w:w="4820" w:type="dxa"/>
            <w:noWrap/>
            <w:hideMark/>
          </w:tcPr>
          <w:p w14:paraId="59366AA6" w14:textId="749F7B1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Recurrent infection, UTI</w:t>
            </w:r>
          </w:p>
        </w:tc>
        <w:tc>
          <w:tcPr>
            <w:tcW w:w="992" w:type="dxa"/>
          </w:tcPr>
          <w:p w14:paraId="300EE282" w14:textId="35981214"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2</w:t>
            </w:r>
          </w:p>
        </w:tc>
        <w:tc>
          <w:tcPr>
            <w:tcW w:w="1134" w:type="dxa"/>
            <w:noWrap/>
            <w:hideMark/>
          </w:tcPr>
          <w:p w14:paraId="17A63E3F" w14:textId="652F31EF"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Yes</w:t>
            </w:r>
          </w:p>
        </w:tc>
        <w:tc>
          <w:tcPr>
            <w:tcW w:w="2085" w:type="dxa"/>
            <w:noWrap/>
          </w:tcPr>
          <w:p w14:paraId="5FAEA57E" w14:textId="4F43E876" w:rsidR="00CB1CA5" w:rsidRPr="00A55335" w:rsidRDefault="00912227" w:rsidP="00CB1CA5">
            <w:pPr>
              <w:pStyle w:val="Tabletext8pt"/>
              <w:cnfStyle w:val="000000000000" w:firstRow="0" w:lastRow="0" w:firstColumn="0" w:lastColumn="0" w:oddVBand="0" w:evenVBand="0" w:oddHBand="0" w:evenHBand="0" w:firstRowFirstColumn="0" w:firstRowLastColumn="0" w:lastRowFirstColumn="0" w:lastRowLastColumn="0"/>
            </w:pPr>
            <w:r>
              <w:t>1</w:t>
            </w:r>
          </w:p>
        </w:tc>
      </w:tr>
      <w:tr w:rsidR="00247B40" w:rsidRPr="00A55335" w14:paraId="5546EFD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861080E" w14:textId="275D3D74" w:rsidR="00247B40" w:rsidRPr="00A55335" w:rsidRDefault="00247B40" w:rsidP="00CB1CA5">
            <w:pPr>
              <w:pStyle w:val="Tabletext8pt"/>
            </w:pPr>
            <w:r w:rsidRPr="00A55335">
              <w:t>05 Endocrine, nutritional and metabolic diseases</w:t>
            </w:r>
          </w:p>
        </w:tc>
        <w:tc>
          <w:tcPr>
            <w:tcW w:w="992" w:type="dxa"/>
          </w:tcPr>
          <w:p w14:paraId="289CF208" w14:textId="4B137EE6" w:rsidR="00247B40" w:rsidRPr="00A55335" w:rsidRDefault="00247B40" w:rsidP="00ED042C">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12</w:t>
            </w:r>
          </w:p>
        </w:tc>
        <w:tc>
          <w:tcPr>
            <w:tcW w:w="1134" w:type="dxa"/>
            <w:noWrap/>
            <w:hideMark/>
          </w:tcPr>
          <w:p w14:paraId="4D7ED12F" w14:textId="14A13A4B"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152BD896" w14:textId="77777777"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23C599A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B3ED78D" w14:textId="77777777" w:rsidR="00CB1CA5" w:rsidRPr="00A55335" w:rsidRDefault="00CB1CA5" w:rsidP="00CB1CA5">
            <w:pPr>
              <w:pStyle w:val="Tabletext8pt"/>
            </w:pPr>
          </w:p>
        </w:tc>
        <w:tc>
          <w:tcPr>
            <w:tcW w:w="4820" w:type="dxa"/>
            <w:noWrap/>
            <w:hideMark/>
          </w:tcPr>
          <w:p w14:paraId="1D6D0738" w14:textId="0166AE7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Diabetes, type 1</w:t>
            </w:r>
          </w:p>
        </w:tc>
        <w:tc>
          <w:tcPr>
            <w:tcW w:w="992" w:type="dxa"/>
          </w:tcPr>
          <w:p w14:paraId="5BC0EDCF" w14:textId="45F8197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7ABAB493" w14:textId="2D47B115"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67AE654F" w14:textId="3B3C09C7"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28E3D8BC"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60BBF62" w14:textId="77777777" w:rsidR="00CB1CA5" w:rsidRPr="00A55335" w:rsidRDefault="00CB1CA5" w:rsidP="00CB1CA5">
            <w:pPr>
              <w:pStyle w:val="Tabletext8pt"/>
            </w:pPr>
          </w:p>
        </w:tc>
        <w:tc>
          <w:tcPr>
            <w:tcW w:w="4820" w:type="dxa"/>
            <w:noWrap/>
            <w:hideMark/>
          </w:tcPr>
          <w:p w14:paraId="6EA3867C" w14:textId="59ADA7D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Diabetes, type 2</w:t>
            </w:r>
          </w:p>
        </w:tc>
        <w:tc>
          <w:tcPr>
            <w:tcW w:w="992" w:type="dxa"/>
          </w:tcPr>
          <w:p w14:paraId="745000FE" w14:textId="03CEA342"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6</w:t>
            </w:r>
          </w:p>
        </w:tc>
        <w:tc>
          <w:tcPr>
            <w:tcW w:w="1134" w:type="dxa"/>
            <w:noWrap/>
            <w:hideMark/>
          </w:tcPr>
          <w:p w14:paraId="126B2A73" w14:textId="54F1209E"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34484ABB" w14:textId="5A587D3B"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C2826F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10953D0" w14:textId="77777777" w:rsidR="00CB1CA5" w:rsidRPr="00A55335" w:rsidRDefault="00CB1CA5" w:rsidP="00CB1CA5">
            <w:pPr>
              <w:pStyle w:val="Tabletext8pt"/>
            </w:pPr>
          </w:p>
        </w:tc>
        <w:tc>
          <w:tcPr>
            <w:tcW w:w="4820" w:type="dxa"/>
            <w:noWrap/>
            <w:hideMark/>
          </w:tcPr>
          <w:p w14:paraId="12FDA970" w14:textId="1279ADB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Dyslipidaemia</w:t>
            </w:r>
          </w:p>
        </w:tc>
        <w:tc>
          <w:tcPr>
            <w:tcW w:w="992" w:type="dxa"/>
          </w:tcPr>
          <w:p w14:paraId="567DF760" w14:textId="66E45E4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2859F4F2" w14:textId="79236328"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1E16B7CA" w14:textId="136DCFC3"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21F3CA78"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D04F073" w14:textId="77777777" w:rsidR="00CB1CA5" w:rsidRPr="00A55335" w:rsidRDefault="00CB1CA5" w:rsidP="00CB1CA5">
            <w:pPr>
              <w:pStyle w:val="Tabletext8pt"/>
            </w:pPr>
          </w:p>
        </w:tc>
        <w:tc>
          <w:tcPr>
            <w:tcW w:w="4820" w:type="dxa"/>
            <w:noWrap/>
            <w:hideMark/>
          </w:tcPr>
          <w:p w14:paraId="3B6B2167" w14:textId="4ECB017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Overweight &amp; obese</w:t>
            </w:r>
          </w:p>
        </w:tc>
        <w:tc>
          <w:tcPr>
            <w:tcW w:w="992" w:type="dxa"/>
          </w:tcPr>
          <w:p w14:paraId="13787C68" w14:textId="6200997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7ED4031" w14:textId="5C300437"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03C44E21" w14:textId="76C8271B"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318EE6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7C1A417" w14:textId="77777777" w:rsidR="00CB1CA5" w:rsidRPr="00A55335" w:rsidRDefault="00CB1CA5" w:rsidP="00CB1CA5">
            <w:pPr>
              <w:pStyle w:val="Tabletext8pt"/>
            </w:pPr>
          </w:p>
        </w:tc>
        <w:tc>
          <w:tcPr>
            <w:tcW w:w="4820" w:type="dxa"/>
            <w:noWrap/>
            <w:hideMark/>
          </w:tcPr>
          <w:p w14:paraId="20AB13B2" w14:textId="602071F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Polycystic ovary syndrome (with persistent amenorrhea)</w:t>
            </w:r>
          </w:p>
        </w:tc>
        <w:tc>
          <w:tcPr>
            <w:tcW w:w="992" w:type="dxa"/>
          </w:tcPr>
          <w:p w14:paraId="6BB56692" w14:textId="4C0D1AE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5E1F4CAF" w14:textId="6695CA0D"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71CDB82D" w14:textId="77912AA5"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5226960"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A179387" w14:textId="77777777" w:rsidR="00CB1CA5" w:rsidRPr="00A55335" w:rsidRDefault="00CB1CA5" w:rsidP="00CB1CA5">
            <w:pPr>
              <w:pStyle w:val="Tabletext8pt"/>
            </w:pPr>
          </w:p>
        </w:tc>
        <w:tc>
          <w:tcPr>
            <w:tcW w:w="4820" w:type="dxa"/>
            <w:noWrap/>
            <w:hideMark/>
          </w:tcPr>
          <w:p w14:paraId="4E7E0057" w14:textId="58A1968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Undernutrition (children 1-19 yrs)</w:t>
            </w:r>
          </w:p>
        </w:tc>
        <w:tc>
          <w:tcPr>
            <w:tcW w:w="992" w:type="dxa"/>
          </w:tcPr>
          <w:p w14:paraId="6958D812" w14:textId="2DCD656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52DFE22B" w14:textId="7B56E729" w:rsidR="00CB1CA5" w:rsidRPr="00A55335" w:rsidRDefault="008E1C15" w:rsidP="00CB1CA5">
            <w:pPr>
              <w:pStyle w:val="Tabletext8pt"/>
              <w:cnfStyle w:val="000000000000" w:firstRow="0" w:lastRow="0" w:firstColumn="0" w:lastColumn="0" w:oddVBand="0" w:evenVBand="0" w:oddHBand="0" w:evenHBand="0" w:firstRowFirstColumn="0" w:firstRowLastColumn="0" w:lastRowFirstColumn="0" w:lastRowLastColumn="0"/>
            </w:pPr>
            <w:r w:rsidRPr="00A55335">
              <w:rPr>
                <w:lang w:eastAsia="en-AU"/>
              </w:rPr>
              <w:t>No</w:t>
            </w:r>
          </w:p>
        </w:tc>
        <w:tc>
          <w:tcPr>
            <w:tcW w:w="2085" w:type="dxa"/>
            <w:noWrap/>
            <w:hideMark/>
          </w:tcPr>
          <w:p w14:paraId="71F48048" w14:textId="171DF541"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247B40" w:rsidRPr="00A55335" w14:paraId="3DD05CF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4318F7F" w14:textId="3BC2F6FD" w:rsidR="00247B40" w:rsidRPr="00A55335" w:rsidRDefault="00247B40" w:rsidP="00CB1CA5">
            <w:pPr>
              <w:pStyle w:val="Tabletext8pt"/>
            </w:pPr>
            <w:r w:rsidRPr="00A55335">
              <w:lastRenderedPageBreak/>
              <w:t>06 Mental and behavioural disorders</w:t>
            </w:r>
          </w:p>
        </w:tc>
        <w:tc>
          <w:tcPr>
            <w:tcW w:w="992" w:type="dxa"/>
          </w:tcPr>
          <w:p w14:paraId="78398067" w14:textId="3BB92D8A"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25</w:t>
            </w:r>
          </w:p>
        </w:tc>
        <w:tc>
          <w:tcPr>
            <w:tcW w:w="1134" w:type="dxa"/>
            <w:noWrap/>
          </w:tcPr>
          <w:p w14:paraId="3C5ACC49" w14:textId="70E5A4B0"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tcPr>
          <w:p w14:paraId="025BDB7F" w14:textId="2123AE62"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2ED8354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D4CA58E" w14:textId="77777777" w:rsidR="00CB1CA5" w:rsidRPr="00A55335" w:rsidRDefault="00CB1CA5" w:rsidP="00CB1CA5">
            <w:pPr>
              <w:pStyle w:val="Tabletext8pt"/>
            </w:pPr>
          </w:p>
        </w:tc>
        <w:tc>
          <w:tcPr>
            <w:tcW w:w="4820" w:type="dxa"/>
            <w:noWrap/>
            <w:hideMark/>
          </w:tcPr>
          <w:p w14:paraId="7D8B44FF" w14:textId="0E9EB33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Acute Anxiety (pre-dental</w:t>
            </w:r>
            <w:r w:rsidR="005A7974" w:rsidRPr="00A55335">
              <w:t xml:space="preserve">, </w:t>
            </w:r>
            <w:r w:rsidR="00A927CE" w:rsidRPr="00A55335">
              <w:t>pre-</w:t>
            </w:r>
            <w:r w:rsidR="005A7974" w:rsidRPr="00A55335">
              <w:t>test</w:t>
            </w:r>
            <w:r w:rsidRPr="00A55335">
              <w:t xml:space="preserve">) </w:t>
            </w:r>
          </w:p>
        </w:tc>
        <w:tc>
          <w:tcPr>
            <w:tcW w:w="992" w:type="dxa"/>
          </w:tcPr>
          <w:p w14:paraId="0913CCAD" w14:textId="1CF40072" w:rsidR="00CB1CA5" w:rsidRPr="00A55335" w:rsidRDefault="005A7974"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c>
          <w:tcPr>
            <w:tcW w:w="1134" w:type="dxa"/>
            <w:noWrap/>
            <w:hideMark/>
          </w:tcPr>
          <w:p w14:paraId="62E2DF99" w14:textId="2C9311EE" w:rsidR="00CB1CA5" w:rsidRPr="00A55335" w:rsidRDefault="005A7974"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34A8DF41" w14:textId="0F09CD4B" w:rsidR="00CB1CA5" w:rsidRPr="00A55335" w:rsidRDefault="000F0A64"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r>
      <w:tr w:rsidR="00CB1CA5" w:rsidRPr="00A55335" w14:paraId="4C322EA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8484B5B" w14:textId="77777777" w:rsidR="00CB1CA5" w:rsidRPr="00A55335" w:rsidRDefault="00CB1CA5" w:rsidP="00CB1CA5">
            <w:pPr>
              <w:pStyle w:val="Tabletext8pt"/>
            </w:pPr>
          </w:p>
        </w:tc>
        <w:tc>
          <w:tcPr>
            <w:tcW w:w="4820" w:type="dxa"/>
            <w:noWrap/>
            <w:hideMark/>
          </w:tcPr>
          <w:p w14:paraId="5F6ABE24" w14:textId="5662D31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Attention deficit disorder (with hyperactivity)</w:t>
            </w:r>
          </w:p>
        </w:tc>
        <w:tc>
          <w:tcPr>
            <w:tcW w:w="992" w:type="dxa"/>
          </w:tcPr>
          <w:p w14:paraId="69F1D187" w14:textId="6E2F7E6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6</w:t>
            </w:r>
          </w:p>
        </w:tc>
        <w:tc>
          <w:tcPr>
            <w:tcW w:w="1134" w:type="dxa"/>
            <w:noWrap/>
            <w:hideMark/>
          </w:tcPr>
          <w:p w14:paraId="1D0D5794" w14:textId="04F4484B" w:rsidR="00CB1CA5" w:rsidRPr="00A55335" w:rsidRDefault="005A7974"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23E57CD8" w14:textId="6F8E127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6</w:t>
            </w:r>
          </w:p>
        </w:tc>
      </w:tr>
      <w:tr w:rsidR="00CB1CA5" w:rsidRPr="00A55335" w14:paraId="029DA79F"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DA25DD8" w14:textId="77777777" w:rsidR="00CB1CA5" w:rsidRPr="00A55335" w:rsidRDefault="00CB1CA5" w:rsidP="00CB1CA5">
            <w:pPr>
              <w:pStyle w:val="Tabletext8pt"/>
            </w:pPr>
          </w:p>
        </w:tc>
        <w:tc>
          <w:tcPr>
            <w:tcW w:w="4820" w:type="dxa"/>
            <w:noWrap/>
            <w:hideMark/>
          </w:tcPr>
          <w:p w14:paraId="3C359A6F" w14:textId="0C11457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Depression</w:t>
            </w:r>
          </w:p>
        </w:tc>
        <w:tc>
          <w:tcPr>
            <w:tcW w:w="992" w:type="dxa"/>
          </w:tcPr>
          <w:p w14:paraId="444F1211" w14:textId="2F1248D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4</w:t>
            </w:r>
          </w:p>
        </w:tc>
        <w:tc>
          <w:tcPr>
            <w:tcW w:w="1134" w:type="dxa"/>
            <w:noWrap/>
            <w:hideMark/>
          </w:tcPr>
          <w:p w14:paraId="6F726A44" w14:textId="42346A82" w:rsidR="00CB1CA5" w:rsidRPr="00A55335" w:rsidRDefault="005A7974"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136399A8" w14:textId="38687245" w:rsidR="00CB1CA5" w:rsidRPr="00A55335" w:rsidRDefault="00044A8B"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r>
      <w:tr w:rsidR="00CB1CA5" w:rsidRPr="00A55335" w14:paraId="31D64498"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70B6EA5" w14:textId="77777777" w:rsidR="00CB1CA5" w:rsidRPr="00A55335" w:rsidRDefault="00CB1CA5" w:rsidP="00CB1CA5">
            <w:pPr>
              <w:pStyle w:val="Tabletext8pt"/>
            </w:pPr>
          </w:p>
        </w:tc>
        <w:tc>
          <w:tcPr>
            <w:tcW w:w="4820" w:type="dxa"/>
            <w:noWrap/>
            <w:hideMark/>
          </w:tcPr>
          <w:p w14:paraId="753439BA" w14:textId="0370522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Generalised Anxiety Disorder</w:t>
            </w:r>
          </w:p>
        </w:tc>
        <w:tc>
          <w:tcPr>
            <w:tcW w:w="992" w:type="dxa"/>
          </w:tcPr>
          <w:p w14:paraId="15E63DDB" w14:textId="6B80EB6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6F9792E6" w14:textId="6764D7F1" w:rsidR="00CB1CA5" w:rsidRPr="00A55335" w:rsidRDefault="005A7974"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24EB7BEA" w14:textId="19F49CB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r>
      <w:tr w:rsidR="00CB1CA5" w:rsidRPr="00A55335" w14:paraId="1D9AC07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3F9EECC" w14:textId="77777777" w:rsidR="00CB1CA5" w:rsidRPr="00A55335" w:rsidRDefault="00CB1CA5" w:rsidP="00CB1CA5">
            <w:pPr>
              <w:pStyle w:val="Tabletext8pt"/>
            </w:pPr>
          </w:p>
        </w:tc>
        <w:tc>
          <w:tcPr>
            <w:tcW w:w="4820" w:type="dxa"/>
            <w:noWrap/>
            <w:hideMark/>
          </w:tcPr>
          <w:p w14:paraId="04124E78" w14:textId="101C1CF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Learning </w:t>
            </w:r>
            <w:r w:rsidR="005A7974" w:rsidRPr="00A55335">
              <w:t>disabilities</w:t>
            </w:r>
            <w:r w:rsidRPr="00A55335">
              <w:t xml:space="preserve"> (dyslexia and dysgraphia) </w:t>
            </w:r>
          </w:p>
        </w:tc>
        <w:tc>
          <w:tcPr>
            <w:tcW w:w="992" w:type="dxa"/>
          </w:tcPr>
          <w:p w14:paraId="23C27131" w14:textId="4BD4521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D58FD80" w14:textId="59B3BF1C" w:rsidR="00CB1CA5" w:rsidRPr="00A55335" w:rsidRDefault="005A7974"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6A020245" w14:textId="582C84D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CB1CA5" w:rsidRPr="00A55335" w14:paraId="03E97B3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FA9667E" w14:textId="77777777" w:rsidR="00CB1CA5" w:rsidRPr="00A55335" w:rsidRDefault="00CB1CA5" w:rsidP="00CB1CA5">
            <w:pPr>
              <w:pStyle w:val="Tabletext8pt"/>
            </w:pPr>
          </w:p>
        </w:tc>
        <w:tc>
          <w:tcPr>
            <w:tcW w:w="4820" w:type="dxa"/>
            <w:noWrap/>
            <w:hideMark/>
          </w:tcPr>
          <w:p w14:paraId="54D6B820" w14:textId="06199D0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Neurotic disorder secondary to perinatal trauma (children)</w:t>
            </w:r>
          </w:p>
        </w:tc>
        <w:tc>
          <w:tcPr>
            <w:tcW w:w="992" w:type="dxa"/>
          </w:tcPr>
          <w:p w14:paraId="3D02FD77" w14:textId="2B5F389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C62791E" w14:textId="75319D72"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78CD5766" w14:textId="7731D925"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334FE2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8C0248D" w14:textId="77777777" w:rsidR="00CB1CA5" w:rsidRPr="00A55335" w:rsidRDefault="00CB1CA5" w:rsidP="00CB1CA5">
            <w:pPr>
              <w:pStyle w:val="Tabletext8pt"/>
            </w:pPr>
          </w:p>
        </w:tc>
        <w:tc>
          <w:tcPr>
            <w:tcW w:w="4820" w:type="dxa"/>
            <w:noWrap/>
            <w:hideMark/>
          </w:tcPr>
          <w:p w14:paraId="2F29B265" w14:textId="13A9161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Nocturnal enuresis </w:t>
            </w:r>
          </w:p>
        </w:tc>
        <w:tc>
          <w:tcPr>
            <w:tcW w:w="992" w:type="dxa"/>
          </w:tcPr>
          <w:p w14:paraId="43C65DE8" w14:textId="7F0BD89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DADA15C" w14:textId="303EF0EA"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39142A01" w14:textId="4E644D3D"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788885C"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1FB006C" w14:textId="77777777" w:rsidR="00CB1CA5" w:rsidRPr="00A55335" w:rsidRDefault="00CB1CA5" w:rsidP="00CB1CA5">
            <w:pPr>
              <w:pStyle w:val="Tabletext8pt"/>
            </w:pPr>
          </w:p>
        </w:tc>
        <w:tc>
          <w:tcPr>
            <w:tcW w:w="4820" w:type="dxa"/>
            <w:noWrap/>
            <w:hideMark/>
          </w:tcPr>
          <w:p w14:paraId="0306592A" w14:textId="15E0F3F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Schizophrenia</w:t>
            </w:r>
          </w:p>
        </w:tc>
        <w:tc>
          <w:tcPr>
            <w:tcW w:w="992" w:type="dxa"/>
          </w:tcPr>
          <w:p w14:paraId="57AAAB0A" w14:textId="0480245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25974892" w14:textId="7D7F0FF2"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37C7D83E" w14:textId="78F3ED1B"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0D09BD5B"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7BB2612" w14:textId="77777777" w:rsidR="00CB1CA5" w:rsidRPr="00A55335" w:rsidRDefault="00CB1CA5" w:rsidP="00CB1CA5">
            <w:pPr>
              <w:pStyle w:val="Tabletext8pt"/>
            </w:pPr>
          </w:p>
        </w:tc>
        <w:tc>
          <w:tcPr>
            <w:tcW w:w="4820" w:type="dxa"/>
            <w:noWrap/>
            <w:hideMark/>
          </w:tcPr>
          <w:p w14:paraId="0BE3F1A4" w14:textId="4DBB5BB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Stress</w:t>
            </w:r>
          </w:p>
        </w:tc>
        <w:tc>
          <w:tcPr>
            <w:tcW w:w="992" w:type="dxa"/>
          </w:tcPr>
          <w:p w14:paraId="08AFACA4" w14:textId="42FF0C9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2B9C73E" w14:textId="527A9BF1"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C1D64DF" w14:textId="40DC1DBE"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571F79C"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D6FC6D1" w14:textId="77777777" w:rsidR="00CB1CA5" w:rsidRPr="00A55335" w:rsidRDefault="00CB1CA5" w:rsidP="00CB1CA5">
            <w:pPr>
              <w:pStyle w:val="Tabletext8pt"/>
            </w:pPr>
          </w:p>
        </w:tc>
        <w:tc>
          <w:tcPr>
            <w:tcW w:w="4820" w:type="dxa"/>
            <w:noWrap/>
            <w:hideMark/>
          </w:tcPr>
          <w:p w14:paraId="49B1F3C5" w14:textId="046B7E0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Substance use or addictive behaviour (alcohol</w:t>
            </w:r>
            <w:r w:rsidR="005C4720" w:rsidRPr="00A55335">
              <w:t>, cocaine, opiates</w:t>
            </w:r>
            <w:r w:rsidRPr="00A55335">
              <w:t>)</w:t>
            </w:r>
          </w:p>
        </w:tc>
        <w:tc>
          <w:tcPr>
            <w:tcW w:w="992" w:type="dxa"/>
          </w:tcPr>
          <w:p w14:paraId="55E0E02A" w14:textId="3A357A1F"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5</w:t>
            </w:r>
          </w:p>
        </w:tc>
        <w:tc>
          <w:tcPr>
            <w:tcW w:w="1134" w:type="dxa"/>
            <w:noWrap/>
            <w:hideMark/>
          </w:tcPr>
          <w:p w14:paraId="4AE1B0BF" w14:textId="2A902F88"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4F46639B" w14:textId="576DE274" w:rsidR="00CB1CA5" w:rsidRPr="00A55335" w:rsidRDefault="005C47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247B40" w:rsidRPr="00A55335" w14:paraId="669BBB6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18DD38EF" w14:textId="7FC4B815" w:rsidR="00247B40" w:rsidRPr="00A55335" w:rsidRDefault="00247B40" w:rsidP="00CB1CA5">
            <w:pPr>
              <w:pStyle w:val="Tabletext8pt"/>
            </w:pPr>
            <w:r w:rsidRPr="00A55335">
              <w:t>07 Sleep-wake disorders</w:t>
            </w:r>
          </w:p>
        </w:tc>
        <w:tc>
          <w:tcPr>
            <w:tcW w:w="992" w:type="dxa"/>
          </w:tcPr>
          <w:p w14:paraId="52890D0E" w14:textId="034634E8"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5</w:t>
            </w:r>
          </w:p>
        </w:tc>
        <w:tc>
          <w:tcPr>
            <w:tcW w:w="1134" w:type="dxa"/>
            <w:noWrap/>
          </w:tcPr>
          <w:p w14:paraId="79DDE031" w14:textId="5E153A48"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tcPr>
          <w:p w14:paraId="4FEEC0EB" w14:textId="552741D4"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174076A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7CB3AB8" w14:textId="77777777" w:rsidR="00CB1CA5" w:rsidRPr="00A55335" w:rsidRDefault="00CB1CA5" w:rsidP="00CB1CA5">
            <w:pPr>
              <w:pStyle w:val="Tabletext8pt"/>
            </w:pPr>
          </w:p>
        </w:tc>
        <w:tc>
          <w:tcPr>
            <w:tcW w:w="4820" w:type="dxa"/>
            <w:noWrap/>
            <w:hideMark/>
          </w:tcPr>
          <w:p w14:paraId="7F70B787" w14:textId="54C36A2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Insomnia (chronic)</w:t>
            </w:r>
          </w:p>
        </w:tc>
        <w:tc>
          <w:tcPr>
            <w:tcW w:w="992" w:type="dxa"/>
          </w:tcPr>
          <w:p w14:paraId="781F95AD" w14:textId="6DEE27C5" w:rsidR="00CB1CA5" w:rsidRPr="00A55335" w:rsidRDefault="00975653"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c>
          <w:tcPr>
            <w:tcW w:w="1134" w:type="dxa"/>
            <w:noWrap/>
            <w:hideMark/>
          </w:tcPr>
          <w:p w14:paraId="223DABD5" w14:textId="527B8397" w:rsidR="00CB1CA5" w:rsidRPr="00A55335" w:rsidRDefault="00975653"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32F5D289" w14:textId="01D8038B" w:rsidR="00CB1CA5" w:rsidRPr="00A55335" w:rsidRDefault="00044A8B"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r>
      <w:tr w:rsidR="00CB1CA5" w:rsidRPr="00A55335" w14:paraId="5E008F1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C21D686" w14:textId="77777777" w:rsidR="00CB1CA5" w:rsidRPr="00A55335" w:rsidRDefault="00CB1CA5" w:rsidP="00CB1CA5">
            <w:pPr>
              <w:pStyle w:val="Tabletext8pt"/>
            </w:pPr>
          </w:p>
        </w:tc>
        <w:tc>
          <w:tcPr>
            <w:tcW w:w="4820" w:type="dxa"/>
            <w:noWrap/>
            <w:hideMark/>
          </w:tcPr>
          <w:p w14:paraId="799F8722" w14:textId="1DD33EE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Nocturnal bruxism</w:t>
            </w:r>
          </w:p>
        </w:tc>
        <w:tc>
          <w:tcPr>
            <w:tcW w:w="992" w:type="dxa"/>
          </w:tcPr>
          <w:p w14:paraId="7CD96F5C" w14:textId="69657BD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7810243A" w14:textId="22CEE616" w:rsidR="00CB1CA5" w:rsidRPr="00A55335" w:rsidRDefault="00975653"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tcPr>
          <w:p w14:paraId="1E4AAF19" w14:textId="6B6E4EF5" w:rsidR="00CB1CA5" w:rsidRPr="00A55335" w:rsidRDefault="00044A8B"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2E7C53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E3E5E96" w14:textId="77777777" w:rsidR="00CB1CA5" w:rsidRPr="00A55335" w:rsidRDefault="00CB1CA5" w:rsidP="00CB1CA5">
            <w:pPr>
              <w:pStyle w:val="Tabletext8pt"/>
            </w:pPr>
          </w:p>
        </w:tc>
        <w:tc>
          <w:tcPr>
            <w:tcW w:w="4820" w:type="dxa"/>
            <w:noWrap/>
            <w:hideMark/>
          </w:tcPr>
          <w:p w14:paraId="567D73D7" w14:textId="1D5E1AF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Sleep problems (infants and children up to 6 years)</w:t>
            </w:r>
          </w:p>
        </w:tc>
        <w:tc>
          <w:tcPr>
            <w:tcW w:w="992" w:type="dxa"/>
          </w:tcPr>
          <w:p w14:paraId="22E9E09C" w14:textId="754D138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25D1D1D4" w14:textId="69D2C047" w:rsidR="00CB1CA5" w:rsidRPr="00A55335" w:rsidRDefault="00D95803"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7D6B79DE" w14:textId="6F42ECAC" w:rsidR="00CB1CA5" w:rsidRPr="00A55335" w:rsidRDefault="00CE5815" w:rsidP="00CB1CA5">
            <w:pPr>
              <w:pStyle w:val="Tabletext8pt"/>
              <w:cnfStyle w:val="000000000000" w:firstRow="0" w:lastRow="0" w:firstColumn="0" w:lastColumn="0" w:oddVBand="0" w:evenVBand="0" w:oddHBand="0" w:evenHBand="0" w:firstRowFirstColumn="0" w:firstRowLastColumn="0" w:lastRowFirstColumn="0" w:lastRowLastColumn="0"/>
            </w:pPr>
            <w:r w:rsidRPr="00A55335">
              <w:t>0</w:t>
            </w:r>
          </w:p>
        </w:tc>
      </w:tr>
      <w:tr w:rsidR="00CB1CA5" w:rsidRPr="00A55335" w14:paraId="0D1E440C"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0859DF5" w14:textId="7A190701" w:rsidR="00CB1CA5" w:rsidRPr="00A55335" w:rsidRDefault="00CB1CA5" w:rsidP="00CB1CA5">
            <w:pPr>
              <w:pStyle w:val="Tabletext8pt"/>
            </w:pPr>
            <w:r w:rsidRPr="00A55335">
              <w:t>08 Diseases of the nervous system</w:t>
            </w:r>
          </w:p>
        </w:tc>
        <w:tc>
          <w:tcPr>
            <w:tcW w:w="992" w:type="dxa"/>
          </w:tcPr>
          <w:p w14:paraId="598888CC" w14:textId="28F2871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7</w:t>
            </w:r>
          </w:p>
        </w:tc>
        <w:tc>
          <w:tcPr>
            <w:tcW w:w="1134" w:type="dxa"/>
            <w:noWrap/>
          </w:tcPr>
          <w:p w14:paraId="610984DC" w14:textId="606D9EB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tcPr>
          <w:p w14:paraId="453AE95A" w14:textId="1798EA9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6AE7AC1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574AFF3" w14:textId="77777777" w:rsidR="00CB1CA5" w:rsidRPr="00A55335" w:rsidRDefault="00CB1CA5" w:rsidP="00CB1CA5">
            <w:pPr>
              <w:pStyle w:val="Tabletext8pt"/>
            </w:pPr>
          </w:p>
        </w:tc>
        <w:tc>
          <w:tcPr>
            <w:tcW w:w="4820" w:type="dxa"/>
            <w:noWrap/>
            <w:hideMark/>
          </w:tcPr>
          <w:p w14:paraId="5D2540B9" w14:textId="7DCE7BE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Cerebral palsy</w:t>
            </w:r>
          </w:p>
        </w:tc>
        <w:tc>
          <w:tcPr>
            <w:tcW w:w="992" w:type="dxa"/>
          </w:tcPr>
          <w:p w14:paraId="7C8DDE72" w14:textId="7B34886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7930E1D3" w14:textId="3643AF4E" w:rsidR="00CB1CA5" w:rsidRPr="00A55335" w:rsidRDefault="00D95803"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3544380" w14:textId="5DBEA5B8"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74393F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6437003" w14:textId="77777777" w:rsidR="00CB1CA5" w:rsidRPr="00A55335" w:rsidRDefault="00CB1CA5" w:rsidP="00CB1CA5">
            <w:pPr>
              <w:pStyle w:val="Tabletext8pt"/>
            </w:pPr>
          </w:p>
        </w:tc>
        <w:tc>
          <w:tcPr>
            <w:tcW w:w="4820" w:type="dxa"/>
            <w:noWrap/>
            <w:hideMark/>
          </w:tcPr>
          <w:p w14:paraId="54C220C2" w14:textId="5D00E44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Diabetic distal symmetric polyneuropathy</w:t>
            </w:r>
          </w:p>
        </w:tc>
        <w:tc>
          <w:tcPr>
            <w:tcW w:w="992" w:type="dxa"/>
          </w:tcPr>
          <w:p w14:paraId="051EC7A7" w14:textId="29614FC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366F9F0C" w14:textId="71350A19" w:rsidR="00CB1CA5" w:rsidRPr="00A55335" w:rsidRDefault="00D95803"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733570C3" w14:textId="7301FED5"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2DE07B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5E08643" w14:textId="77777777" w:rsidR="00CB1CA5" w:rsidRPr="00A55335" w:rsidRDefault="00CB1CA5" w:rsidP="00CB1CA5">
            <w:pPr>
              <w:pStyle w:val="Tabletext8pt"/>
            </w:pPr>
          </w:p>
        </w:tc>
        <w:tc>
          <w:tcPr>
            <w:tcW w:w="4820" w:type="dxa"/>
            <w:noWrap/>
            <w:hideMark/>
          </w:tcPr>
          <w:p w14:paraId="368FA5F2" w14:textId="360C1DE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Headache disorder</w:t>
            </w:r>
          </w:p>
        </w:tc>
        <w:tc>
          <w:tcPr>
            <w:tcW w:w="992" w:type="dxa"/>
          </w:tcPr>
          <w:p w14:paraId="14C3AECD" w14:textId="2E230F5C" w:rsidR="00CB1CA5" w:rsidRPr="00A55335" w:rsidRDefault="00D95803"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c>
          <w:tcPr>
            <w:tcW w:w="1134" w:type="dxa"/>
            <w:noWrap/>
            <w:hideMark/>
          </w:tcPr>
          <w:p w14:paraId="3FDE187E" w14:textId="775D7BFC" w:rsidR="00CB1CA5" w:rsidRPr="00A55335" w:rsidRDefault="00D95803"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hideMark/>
          </w:tcPr>
          <w:p w14:paraId="465E82F9" w14:textId="7434CB7E"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r>
      <w:tr w:rsidR="00CB1CA5" w:rsidRPr="00A55335" w14:paraId="570E9AA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B15A52A" w14:textId="77777777" w:rsidR="00CB1CA5" w:rsidRPr="00A55335" w:rsidRDefault="00CB1CA5" w:rsidP="00CB1CA5">
            <w:pPr>
              <w:pStyle w:val="Tabletext8pt"/>
            </w:pPr>
          </w:p>
        </w:tc>
        <w:tc>
          <w:tcPr>
            <w:tcW w:w="4820" w:type="dxa"/>
            <w:noWrap/>
            <w:hideMark/>
          </w:tcPr>
          <w:p w14:paraId="1E97CE3D" w14:textId="7099105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Peripheral neuropathy (plantar cutaneous pain)</w:t>
            </w:r>
          </w:p>
        </w:tc>
        <w:tc>
          <w:tcPr>
            <w:tcW w:w="992" w:type="dxa"/>
          </w:tcPr>
          <w:p w14:paraId="3689821D" w14:textId="42B07DD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0CFC071" w14:textId="77DD3D14" w:rsidR="00CB1CA5" w:rsidRPr="00A55335" w:rsidRDefault="007364C7"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7D16976C" w14:textId="6A450BB4"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8E8CF30"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1D3F95B" w14:textId="77777777" w:rsidR="00CB1CA5" w:rsidRPr="00A55335" w:rsidRDefault="00CB1CA5" w:rsidP="00CB1CA5">
            <w:pPr>
              <w:pStyle w:val="Tabletext8pt"/>
            </w:pPr>
          </w:p>
        </w:tc>
        <w:tc>
          <w:tcPr>
            <w:tcW w:w="4820" w:type="dxa"/>
            <w:noWrap/>
            <w:hideMark/>
          </w:tcPr>
          <w:p w14:paraId="6650CF63" w14:textId="66ACE4D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Stroke recovery, hemiparesis</w:t>
            </w:r>
          </w:p>
        </w:tc>
        <w:tc>
          <w:tcPr>
            <w:tcW w:w="992" w:type="dxa"/>
          </w:tcPr>
          <w:p w14:paraId="7253328B" w14:textId="07D9B0E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531026C" w14:textId="4380EC9F" w:rsidR="00CB1CA5" w:rsidRPr="00A55335" w:rsidRDefault="007364C7"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436D3F0" w14:textId="04C5DE79"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F508D3" w:rsidRPr="00A55335" w14:paraId="690D875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234D05F3" w14:textId="77777777" w:rsidR="00F508D3" w:rsidRPr="00A55335" w:rsidRDefault="00F508D3" w:rsidP="00CB1CA5">
            <w:pPr>
              <w:pStyle w:val="Tabletext8pt"/>
            </w:pPr>
            <w:r w:rsidRPr="00A55335">
              <w:t>09 Disease of the visual system</w:t>
            </w:r>
          </w:p>
        </w:tc>
        <w:tc>
          <w:tcPr>
            <w:tcW w:w="992" w:type="dxa"/>
          </w:tcPr>
          <w:p w14:paraId="5CE9FE43" w14:textId="77777777" w:rsidR="00F508D3" w:rsidRPr="00A55335" w:rsidRDefault="00F508D3"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1</w:t>
            </w:r>
          </w:p>
        </w:tc>
        <w:tc>
          <w:tcPr>
            <w:tcW w:w="1134" w:type="dxa"/>
            <w:noWrap/>
            <w:hideMark/>
          </w:tcPr>
          <w:p w14:paraId="17CC3904" w14:textId="57DCE915" w:rsidR="00F508D3" w:rsidRPr="00A55335" w:rsidRDefault="00F508D3"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10B41EC8" w14:textId="77777777" w:rsidR="00F508D3" w:rsidRPr="00A55335" w:rsidRDefault="00F508D3" w:rsidP="00CB1CA5">
            <w:pPr>
              <w:pStyle w:val="Tabletext8pt"/>
              <w:cnfStyle w:val="000000000000" w:firstRow="0" w:lastRow="0" w:firstColumn="0" w:lastColumn="0" w:oddVBand="0" w:evenVBand="0" w:oddHBand="0" w:evenHBand="0" w:firstRowFirstColumn="0" w:firstRowLastColumn="0" w:lastRowFirstColumn="0" w:lastRowLastColumn="0"/>
            </w:pPr>
          </w:p>
        </w:tc>
      </w:tr>
      <w:tr w:rsidR="00F508D3" w:rsidRPr="00A55335" w14:paraId="3F07BE7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70E06A5" w14:textId="77777777" w:rsidR="00F508D3" w:rsidRPr="00A55335" w:rsidRDefault="00F508D3" w:rsidP="00CB1CA5">
            <w:pPr>
              <w:pStyle w:val="Tabletext8pt"/>
            </w:pPr>
          </w:p>
        </w:tc>
        <w:tc>
          <w:tcPr>
            <w:tcW w:w="4820" w:type="dxa"/>
            <w:noWrap/>
            <w:hideMark/>
          </w:tcPr>
          <w:p w14:paraId="0021D351" w14:textId="77777777" w:rsidR="00F508D3" w:rsidRPr="00A55335" w:rsidRDefault="00F508D3" w:rsidP="00CB1CA5">
            <w:pPr>
              <w:pStyle w:val="Tabletext8pt"/>
              <w:cnfStyle w:val="000000000000" w:firstRow="0" w:lastRow="0" w:firstColumn="0" w:lastColumn="0" w:oddVBand="0" w:evenVBand="0" w:oddHBand="0" w:evenHBand="0" w:firstRowFirstColumn="0" w:firstRowLastColumn="0" w:lastRowFirstColumn="0" w:lastRowLastColumn="0"/>
            </w:pPr>
            <w:r w:rsidRPr="00A55335">
              <w:t>Myopia</w:t>
            </w:r>
          </w:p>
        </w:tc>
        <w:tc>
          <w:tcPr>
            <w:tcW w:w="992" w:type="dxa"/>
          </w:tcPr>
          <w:p w14:paraId="2CB48911" w14:textId="77777777" w:rsidR="00F508D3" w:rsidRPr="00A55335" w:rsidRDefault="00F508D3"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24FB2553" w14:textId="16D07170" w:rsidR="00F508D3" w:rsidRPr="00A55335" w:rsidRDefault="007364C7"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1D3A257" w14:textId="00BCD127" w:rsidR="00F508D3"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247B40" w:rsidRPr="00A55335" w14:paraId="25E806A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6616098" w14:textId="6FA0EDD7" w:rsidR="00247B40" w:rsidRPr="00A55335" w:rsidRDefault="00247B40" w:rsidP="00CB1CA5">
            <w:pPr>
              <w:pStyle w:val="Tabletext8pt"/>
            </w:pPr>
            <w:r w:rsidRPr="00A55335">
              <w:t>10 Diseases of the ear or mastoid process</w:t>
            </w:r>
          </w:p>
        </w:tc>
        <w:tc>
          <w:tcPr>
            <w:tcW w:w="992" w:type="dxa"/>
          </w:tcPr>
          <w:p w14:paraId="179749E2" w14:textId="45653091"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1</w:t>
            </w:r>
          </w:p>
        </w:tc>
        <w:tc>
          <w:tcPr>
            <w:tcW w:w="1134" w:type="dxa"/>
            <w:noWrap/>
            <w:hideMark/>
          </w:tcPr>
          <w:p w14:paraId="20C3803C" w14:textId="417C47D7"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071B4F8C" w14:textId="77777777"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211CB72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A0F6F67" w14:textId="77777777" w:rsidR="00CB1CA5" w:rsidRPr="00A55335" w:rsidRDefault="00CB1CA5" w:rsidP="00CB1CA5">
            <w:pPr>
              <w:pStyle w:val="Tabletext8pt"/>
            </w:pPr>
          </w:p>
        </w:tc>
        <w:tc>
          <w:tcPr>
            <w:tcW w:w="4820" w:type="dxa"/>
            <w:noWrap/>
            <w:hideMark/>
          </w:tcPr>
          <w:p w14:paraId="515473E2" w14:textId="4EAB638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Tinnitus</w:t>
            </w:r>
          </w:p>
        </w:tc>
        <w:tc>
          <w:tcPr>
            <w:tcW w:w="992" w:type="dxa"/>
          </w:tcPr>
          <w:p w14:paraId="62337ABD" w14:textId="5604F48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2FEE93EC" w14:textId="620052FB" w:rsidR="00CB1CA5" w:rsidRPr="00A55335" w:rsidRDefault="007364C7"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EAD9102" w14:textId="2AAAE1B5"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0CF44C0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65AB57A4" w14:textId="54A6198C" w:rsidR="00CB1CA5" w:rsidRPr="00A55335" w:rsidRDefault="00CB1CA5" w:rsidP="00CB1CA5">
            <w:pPr>
              <w:pStyle w:val="Tabletext8pt"/>
            </w:pPr>
            <w:r w:rsidRPr="00A55335">
              <w:t>11 Diseases of the circulatory system</w:t>
            </w:r>
          </w:p>
        </w:tc>
        <w:tc>
          <w:tcPr>
            <w:tcW w:w="992" w:type="dxa"/>
          </w:tcPr>
          <w:p w14:paraId="523AF2CF" w14:textId="1726C92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9</w:t>
            </w:r>
          </w:p>
        </w:tc>
        <w:tc>
          <w:tcPr>
            <w:tcW w:w="1134" w:type="dxa"/>
            <w:noWrap/>
            <w:hideMark/>
          </w:tcPr>
          <w:p w14:paraId="794E0DCF" w14:textId="50E6ACA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4274B93B" w14:textId="7777777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41B57978"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4C2316E" w14:textId="77777777" w:rsidR="00CB1CA5" w:rsidRPr="00A55335" w:rsidRDefault="00CB1CA5" w:rsidP="00CB1CA5">
            <w:pPr>
              <w:pStyle w:val="Tabletext8pt"/>
            </w:pPr>
          </w:p>
        </w:tc>
        <w:tc>
          <w:tcPr>
            <w:tcW w:w="4820" w:type="dxa"/>
            <w:noWrap/>
            <w:hideMark/>
          </w:tcPr>
          <w:p w14:paraId="1315A168" w14:textId="2F8FA53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Hypertensive heart disease</w:t>
            </w:r>
          </w:p>
        </w:tc>
        <w:tc>
          <w:tcPr>
            <w:tcW w:w="992" w:type="dxa"/>
          </w:tcPr>
          <w:p w14:paraId="27E75A0D" w14:textId="623B88C0"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7</w:t>
            </w:r>
          </w:p>
        </w:tc>
        <w:tc>
          <w:tcPr>
            <w:tcW w:w="1134" w:type="dxa"/>
            <w:noWrap/>
            <w:hideMark/>
          </w:tcPr>
          <w:p w14:paraId="3FDDC5BC" w14:textId="6C05238B"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39F7848E" w14:textId="3A6A4B87"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FD76E2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93F2F61" w14:textId="77777777" w:rsidR="00CB1CA5" w:rsidRPr="00A55335" w:rsidRDefault="00CB1CA5" w:rsidP="00CB1CA5">
            <w:pPr>
              <w:pStyle w:val="Tabletext8pt"/>
            </w:pPr>
          </w:p>
        </w:tc>
        <w:tc>
          <w:tcPr>
            <w:tcW w:w="4820" w:type="dxa"/>
            <w:noWrap/>
            <w:hideMark/>
          </w:tcPr>
          <w:p w14:paraId="7872BB92" w14:textId="04C3DE9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Varicose leg ulcer</w:t>
            </w:r>
          </w:p>
        </w:tc>
        <w:tc>
          <w:tcPr>
            <w:tcW w:w="992" w:type="dxa"/>
          </w:tcPr>
          <w:p w14:paraId="4D499DB7" w14:textId="0DEAE8D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492D2F0" w14:textId="7791720A"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FB3279D" w14:textId="1AE03BFC"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5272F5B"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56A8258" w14:textId="77777777" w:rsidR="00CB1CA5" w:rsidRPr="00A55335" w:rsidRDefault="00CB1CA5" w:rsidP="00CB1CA5">
            <w:pPr>
              <w:pStyle w:val="Tabletext8pt"/>
            </w:pPr>
          </w:p>
        </w:tc>
        <w:tc>
          <w:tcPr>
            <w:tcW w:w="4820" w:type="dxa"/>
            <w:noWrap/>
            <w:hideMark/>
          </w:tcPr>
          <w:p w14:paraId="36A99C8B" w14:textId="071756D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Varicose veins</w:t>
            </w:r>
          </w:p>
        </w:tc>
        <w:tc>
          <w:tcPr>
            <w:tcW w:w="992" w:type="dxa"/>
          </w:tcPr>
          <w:p w14:paraId="1C9CA1F5" w14:textId="07F4682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23E75A56" w14:textId="67066425"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7D8166E9" w14:textId="2769E008"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247B40" w:rsidRPr="00A55335" w14:paraId="510F676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0B5088C8" w14:textId="4A352EF0" w:rsidR="00247B40" w:rsidRPr="00A55335" w:rsidRDefault="00247B40" w:rsidP="00CB1CA5">
            <w:pPr>
              <w:pStyle w:val="Tabletext8pt"/>
            </w:pPr>
            <w:r w:rsidRPr="00A55335">
              <w:t>12 Diseases of the respiratory system</w:t>
            </w:r>
          </w:p>
        </w:tc>
        <w:tc>
          <w:tcPr>
            <w:tcW w:w="992" w:type="dxa"/>
          </w:tcPr>
          <w:p w14:paraId="567BC65E" w14:textId="464BD83D"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25</w:t>
            </w:r>
          </w:p>
        </w:tc>
        <w:tc>
          <w:tcPr>
            <w:tcW w:w="1134" w:type="dxa"/>
            <w:noWrap/>
          </w:tcPr>
          <w:p w14:paraId="2B9C2884" w14:textId="158CC04A"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tcPr>
          <w:p w14:paraId="20CB0AD9" w14:textId="645E6D1C"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0CB646D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887C68D" w14:textId="77777777" w:rsidR="00CB1CA5" w:rsidRPr="00A55335" w:rsidRDefault="00CB1CA5" w:rsidP="00CB1CA5">
            <w:pPr>
              <w:pStyle w:val="Tabletext8pt"/>
            </w:pPr>
          </w:p>
        </w:tc>
        <w:tc>
          <w:tcPr>
            <w:tcW w:w="4820" w:type="dxa"/>
            <w:noWrap/>
            <w:hideMark/>
          </w:tcPr>
          <w:p w14:paraId="56FF40D2" w14:textId="28EAF36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Adenoid vegetations</w:t>
            </w:r>
          </w:p>
        </w:tc>
        <w:tc>
          <w:tcPr>
            <w:tcW w:w="992" w:type="dxa"/>
          </w:tcPr>
          <w:p w14:paraId="14E75780" w14:textId="66B3679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966A709" w14:textId="78D1D676" w:rsidR="00CB1CA5" w:rsidRPr="00A55335" w:rsidRDefault="007364C7"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222C995" w14:textId="5FF8BCCD"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C8FF4C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FC6C530" w14:textId="77777777" w:rsidR="00CB1CA5" w:rsidRPr="00A55335" w:rsidRDefault="00CB1CA5" w:rsidP="00CB1CA5">
            <w:pPr>
              <w:pStyle w:val="Tabletext8pt"/>
            </w:pPr>
          </w:p>
        </w:tc>
        <w:tc>
          <w:tcPr>
            <w:tcW w:w="4820" w:type="dxa"/>
            <w:noWrap/>
            <w:hideMark/>
          </w:tcPr>
          <w:p w14:paraId="47C79A97" w14:textId="11763B1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Asthma (allergic)</w:t>
            </w:r>
          </w:p>
        </w:tc>
        <w:tc>
          <w:tcPr>
            <w:tcW w:w="992" w:type="dxa"/>
          </w:tcPr>
          <w:p w14:paraId="77295800" w14:textId="639DCC95"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4F826474" w14:textId="41097E56"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58548890" w14:textId="14F625AE" w:rsidR="00CB1CA5" w:rsidRPr="00A55335" w:rsidRDefault="00D51CD0"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r>
      <w:tr w:rsidR="00CB1CA5" w:rsidRPr="00A55335" w14:paraId="38B0784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73603E7" w14:textId="77777777" w:rsidR="00CB1CA5" w:rsidRPr="00A55335" w:rsidRDefault="00CB1CA5" w:rsidP="00CB1CA5">
            <w:pPr>
              <w:pStyle w:val="Tabletext8pt"/>
            </w:pPr>
          </w:p>
        </w:tc>
        <w:tc>
          <w:tcPr>
            <w:tcW w:w="4820" w:type="dxa"/>
            <w:noWrap/>
            <w:hideMark/>
          </w:tcPr>
          <w:p w14:paraId="5C0B3B4B" w14:textId="5EE58BE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Asthma, bronchial</w:t>
            </w:r>
          </w:p>
        </w:tc>
        <w:tc>
          <w:tcPr>
            <w:tcW w:w="992" w:type="dxa"/>
          </w:tcPr>
          <w:p w14:paraId="5675E984" w14:textId="68D2E532"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4</w:t>
            </w:r>
          </w:p>
        </w:tc>
        <w:tc>
          <w:tcPr>
            <w:tcW w:w="1134" w:type="dxa"/>
            <w:noWrap/>
            <w:hideMark/>
          </w:tcPr>
          <w:p w14:paraId="35EE972B" w14:textId="396F8EA2"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1D2A2E2E" w14:textId="42104E9D" w:rsidR="00CB1CA5" w:rsidRPr="00A55335" w:rsidRDefault="00D51CD0" w:rsidP="00CB1CA5">
            <w:pPr>
              <w:pStyle w:val="Tabletext8pt"/>
              <w:cnfStyle w:val="000000000000" w:firstRow="0" w:lastRow="0" w:firstColumn="0" w:lastColumn="0" w:oddVBand="0" w:evenVBand="0" w:oddHBand="0" w:evenHBand="0" w:firstRowFirstColumn="0" w:firstRowLastColumn="0" w:lastRowFirstColumn="0" w:lastRowLastColumn="0"/>
            </w:pPr>
            <w:r w:rsidRPr="00A55335">
              <w:t>4</w:t>
            </w:r>
          </w:p>
        </w:tc>
      </w:tr>
      <w:tr w:rsidR="00CB1CA5" w:rsidRPr="00A55335" w14:paraId="6608DEDF"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577FE3B" w14:textId="77777777" w:rsidR="00CB1CA5" w:rsidRPr="00A55335" w:rsidRDefault="00CB1CA5" w:rsidP="00CB1CA5">
            <w:pPr>
              <w:pStyle w:val="Tabletext8pt"/>
            </w:pPr>
          </w:p>
        </w:tc>
        <w:tc>
          <w:tcPr>
            <w:tcW w:w="4820" w:type="dxa"/>
            <w:noWrap/>
            <w:hideMark/>
          </w:tcPr>
          <w:p w14:paraId="4C66F9D0" w14:textId="31E3A0F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COPD (with acute exacerbations</w:t>
            </w:r>
            <w:r w:rsidR="003229F6" w:rsidRPr="00A55335">
              <w:t xml:space="preserve"> or acute respiratory failure</w:t>
            </w:r>
            <w:r w:rsidRPr="00A55335">
              <w:t>)</w:t>
            </w:r>
          </w:p>
        </w:tc>
        <w:tc>
          <w:tcPr>
            <w:tcW w:w="992" w:type="dxa"/>
          </w:tcPr>
          <w:p w14:paraId="25627CC2" w14:textId="73891C0E"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258A7143" w14:textId="7C7E34E9"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4B27E2DE" w14:textId="582227EB"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F94B3B8"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D04A0C5" w14:textId="77777777" w:rsidR="00CB1CA5" w:rsidRPr="00A55335" w:rsidRDefault="00CB1CA5" w:rsidP="00CB1CA5">
            <w:pPr>
              <w:pStyle w:val="Tabletext8pt"/>
            </w:pPr>
          </w:p>
        </w:tc>
        <w:tc>
          <w:tcPr>
            <w:tcW w:w="4820" w:type="dxa"/>
            <w:noWrap/>
            <w:hideMark/>
          </w:tcPr>
          <w:p w14:paraId="2356CEF9" w14:textId="15287B0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COVID-19, acute (mild [treatment])</w:t>
            </w:r>
          </w:p>
        </w:tc>
        <w:tc>
          <w:tcPr>
            <w:tcW w:w="992" w:type="dxa"/>
          </w:tcPr>
          <w:p w14:paraId="6E23581C" w14:textId="5C56E9E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544ED955" w14:textId="3C88887F"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FF47887" w14:textId="31623D1C"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619904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5EC91CB" w14:textId="77777777" w:rsidR="00CB1CA5" w:rsidRPr="00A55335" w:rsidRDefault="00CB1CA5" w:rsidP="00CB1CA5">
            <w:pPr>
              <w:pStyle w:val="Tabletext8pt"/>
            </w:pPr>
          </w:p>
        </w:tc>
        <w:tc>
          <w:tcPr>
            <w:tcW w:w="4820" w:type="dxa"/>
            <w:noWrap/>
            <w:hideMark/>
          </w:tcPr>
          <w:p w14:paraId="16BF88BE" w14:textId="190E555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COVID-19, acute (treatment [hospitalised])</w:t>
            </w:r>
          </w:p>
        </w:tc>
        <w:tc>
          <w:tcPr>
            <w:tcW w:w="992" w:type="dxa"/>
          </w:tcPr>
          <w:p w14:paraId="07331E6A" w14:textId="0D58750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CED8DE8" w14:textId="7B88BBD8"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069CF8D" w14:textId="20CF33BD"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05522AB8"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034B834" w14:textId="77777777" w:rsidR="00CB1CA5" w:rsidRPr="00A55335" w:rsidRDefault="00CB1CA5" w:rsidP="00CB1CA5">
            <w:pPr>
              <w:pStyle w:val="Tabletext8pt"/>
            </w:pPr>
          </w:p>
        </w:tc>
        <w:tc>
          <w:tcPr>
            <w:tcW w:w="4820" w:type="dxa"/>
            <w:noWrap/>
            <w:hideMark/>
          </w:tcPr>
          <w:p w14:paraId="0DC002BB" w14:textId="09B858D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Rhinitis (non-allergic)</w:t>
            </w:r>
          </w:p>
        </w:tc>
        <w:tc>
          <w:tcPr>
            <w:tcW w:w="992" w:type="dxa"/>
          </w:tcPr>
          <w:p w14:paraId="35E6EE83" w14:textId="158E434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A356FBE" w14:textId="2B7E3721"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F0C7B28" w14:textId="4800A7F6"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662CCBC"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C935C62" w14:textId="77777777" w:rsidR="00CB1CA5" w:rsidRPr="00A55335" w:rsidRDefault="00CB1CA5" w:rsidP="00CB1CA5">
            <w:pPr>
              <w:pStyle w:val="Tabletext8pt"/>
            </w:pPr>
          </w:p>
        </w:tc>
        <w:tc>
          <w:tcPr>
            <w:tcW w:w="4820" w:type="dxa"/>
            <w:noWrap/>
            <w:hideMark/>
          </w:tcPr>
          <w:p w14:paraId="3C3D8D6A" w14:textId="4337BE7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Rhinosinusitis, chronic</w:t>
            </w:r>
          </w:p>
        </w:tc>
        <w:tc>
          <w:tcPr>
            <w:tcW w:w="992" w:type="dxa"/>
          </w:tcPr>
          <w:p w14:paraId="5DDD8C4B" w14:textId="0DB76A9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2066FAAB" w14:textId="6DCADA9D"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29AB3FD3" w14:textId="5C385B16"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0282E50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72AF75C" w14:textId="77777777" w:rsidR="00CB1CA5" w:rsidRPr="00A55335" w:rsidRDefault="00CB1CA5" w:rsidP="00CB1CA5">
            <w:pPr>
              <w:pStyle w:val="Tabletext8pt"/>
            </w:pPr>
          </w:p>
        </w:tc>
        <w:tc>
          <w:tcPr>
            <w:tcW w:w="4820" w:type="dxa"/>
            <w:noWrap/>
            <w:hideMark/>
          </w:tcPr>
          <w:p w14:paraId="0755268F" w14:textId="4CFE69B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Sinusitis, acute maxillary</w:t>
            </w:r>
          </w:p>
        </w:tc>
        <w:tc>
          <w:tcPr>
            <w:tcW w:w="992" w:type="dxa"/>
          </w:tcPr>
          <w:p w14:paraId="499085DE" w14:textId="5081B38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8B502C1" w14:textId="7F5D192F"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33798E8" w14:textId="790B4935"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BEC46B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2A8474D" w14:textId="77777777" w:rsidR="00CB1CA5" w:rsidRPr="00A55335" w:rsidRDefault="00CB1CA5" w:rsidP="00CB1CA5">
            <w:pPr>
              <w:pStyle w:val="Tabletext8pt"/>
            </w:pPr>
          </w:p>
        </w:tc>
        <w:tc>
          <w:tcPr>
            <w:tcW w:w="4820" w:type="dxa"/>
            <w:noWrap/>
            <w:hideMark/>
          </w:tcPr>
          <w:p w14:paraId="7299C5E1" w14:textId="0AA0240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URTI, acute (cold symptoms</w:t>
            </w:r>
            <w:r w:rsidR="003229F6" w:rsidRPr="00A55335">
              <w:t>, influenza-like illness)</w:t>
            </w:r>
            <w:r w:rsidRPr="00A55335">
              <w:t xml:space="preserve"> </w:t>
            </w:r>
          </w:p>
        </w:tc>
        <w:tc>
          <w:tcPr>
            <w:tcW w:w="992" w:type="dxa"/>
          </w:tcPr>
          <w:p w14:paraId="10ED85C4" w14:textId="0B85FAC1"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6</w:t>
            </w:r>
          </w:p>
        </w:tc>
        <w:tc>
          <w:tcPr>
            <w:tcW w:w="1134" w:type="dxa"/>
            <w:noWrap/>
            <w:hideMark/>
          </w:tcPr>
          <w:p w14:paraId="10493318" w14:textId="4D0DBB6F"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339E806" w14:textId="41047DE0"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3229F6" w:rsidRPr="00A55335" w14:paraId="6417BB4F"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25EDC65" w14:textId="77777777" w:rsidR="003229F6" w:rsidRPr="00A55335" w:rsidRDefault="003229F6" w:rsidP="003229F6">
            <w:pPr>
              <w:pStyle w:val="Tabletext8pt"/>
            </w:pPr>
          </w:p>
        </w:tc>
        <w:tc>
          <w:tcPr>
            <w:tcW w:w="4820" w:type="dxa"/>
            <w:noWrap/>
            <w:hideMark/>
          </w:tcPr>
          <w:p w14:paraId="3C3A11AB" w14:textId="5E680002" w:rsidR="003229F6" w:rsidRPr="00A55335" w:rsidRDefault="003229F6" w:rsidP="003229F6">
            <w:pPr>
              <w:pStyle w:val="Tabletext8pt"/>
              <w:cnfStyle w:val="000000000000" w:firstRow="0" w:lastRow="0" w:firstColumn="0" w:lastColumn="0" w:oddVBand="0" w:evenVBand="0" w:oddHBand="0" w:evenHBand="0" w:firstRowFirstColumn="0" w:firstRowLastColumn="0" w:lastRowFirstColumn="0" w:lastRowLastColumn="0"/>
            </w:pPr>
            <w:r w:rsidRPr="00A55335">
              <w:t>URTI, acute (cough [dry or productive])</w:t>
            </w:r>
          </w:p>
        </w:tc>
        <w:tc>
          <w:tcPr>
            <w:tcW w:w="992" w:type="dxa"/>
          </w:tcPr>
          <w:p w14:paraId="1AC49415" w14:textId="4A241B20" w:rsidR="003229F6" w:rsidRPr="00A55335" w:rsidRDefault="003229F6" w:rsidP="003229F6">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02719DA2" w14:textId="77777777" w:rsidR="003229F6" w:rsidRPr="00A55335" w:rsidRDefault="003229F6" w:rsidP="003229F6">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BB90593" w14:textId="645DCB85" w:rsidR="003229F6" w:rsidRPr="00A55335" w:rsidRDefault="003229F6" w:rsidP="003229F6">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6B35088"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3E02660" w14:textId="77777777" w:rsidR="00CB1CA5" w:rsidRPr="00A55335" w:rsidRDefault="00CB1CA5" w:rsidP="00CB1CA5">
            <w:pPr>
              <w:pStyle w:val="Tabletext8pt"/>
            </w:pPr>
          </w:p>
        </w:tc>
        <w:tc>
          <w:tcPr>
            <w:tcW w:w="4820" w:type="dxa"/>
            <w:noWrap/>
            <w:hideMark/>
          </w:tcPr>
          <w:p w14:paraId="39A2F9E6" w14:textId="5EC482F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URTI, acute (influenza A or B)</w:t>
            </w:r>
          </w:p>
        </w:tc>
        <w:tc>
          <w:tcPr>
            <w:tcW w:w="992" w:type="dxa"/>
          </w:tcPr>
          <w:p w14:paraId="3047F7DA" w14:textId="2002518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3C59C545" w14:textId="64E8198B"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AF1C44D" w14:textId="7D55A2A7"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8BB2C3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8B32D63" w14:textId="77777777" w:rsidR="00CB1CA5" w:rsidRPr="00A55335" w:rsidRDefault="00CB1CA5" w:rsidP="00CB1CA5">
            <w:pPr>
              <w:pStyle w:val="Tabletext8pt"/>
            </w:pPr>
          </w:p>
        </w:tc>
        <w:tc>
          <w:tcPr>
            <w:tcW w:w="4820" w:type="dxa"/>
            <w:noWrap/>
            <w:hideMark/>
          </w:tcPr>
          <w:p w14:paraId="06C05342" w14:textId="2E36185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URTI, acute (viral tonsilitis</w:t>
            </w:r>
            <w:r w:rsidR="003229F6" w:rsidRPr="00A55335">
              <w:t>)</w:t>
            </w:r>
          </w:p>
        </w:tc>
        <w:tc>
          <w:tcPr>
            <w:tcW w:w="992" w:type="dxa"/>
          </w:tcPr>
          <w:p w14:paraId="6A720A68" w14:textId="5D3E4F9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B46C772" w14:textId="55908751"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55E2A4C" w14:textId="594DCBBD"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41A231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5F9B6BAE" w14:textId="491FE500" w:rsidR="00CB1CA5" w:rsidRPr="00A55335" w:rsidRDefault="00CB1CA5" w:rsidP="00CB1CA5">
            <w:pPr>
              <w:pStyle w:val="Tabletext8pt"/>
            </w:pPr>
            <w:r w:rsidRPr="00A55335">
              <w:t>13 Diseases of the digestive system</w:t>
            </w:r>
          </w:p>
        </w:tc>
        <w:tc>
          <w:tcPr>
            <w:tcW w:w="992" w:type="dxa"/>
          </w:tcPr>
          <w:p w14:paraId="486C057F" w14:textId="3A803CD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18</w:t>
            </w:r>
          </w:p>
        </w:tc>
        <w:tc>
          <w:tcPr>
            <w:tcW w:w="1134" w:type="dxa"/>
            <w:noWrap/>
          </w:tcPr>
          <w:p w14:paraId="687ED32A" w14:textId="032AA47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tcPr>
          <w:p w14:paraId="6477F41B" w14:textId="6C5139F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368AF7E0"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8DB8DF1" w14:textId="77777777" w:rsidR="00CB1CA5" w:rsidRPr="00A55335" w:rsidRDefault="00CB1CA5" w:rsidP="00CB1CA5">
            <w:pPr>
              <w:pStyle w:val="Tabletext8pt"/>
            </w:pPr>
          </w:p>
        </w:tc>
        <w:tc>
          <w:tcPr>
            <w:tcW w:w="4820" w:type="dxa"/>
            <w:noWrap/>
            <w:hideMark/>
          </w:tcPr>
          <w:p w14:paraId="29C20C5E" w14:textId="27ED622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Aphthous ulcer</w:t>
            </w:r>
          </w:p>
        </w:tc>
        <w:tc>
          <w:tcPr>
            <w:tcW w:w="992" w:type="dxa"/>
          </w:tcPr>
          <w:p w14:paraId="148B2BFF" w14:textId="64AA943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4613D4E" w14:textId="68B4A1EE"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717993ED" w14:textId="2CA1F750"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0694591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1195EEA" w14:textId="77777777" w:rsidR="00CB1CA5" w:rsidRPr="00A55335" w:rsidRDefault="00CB1CA5" w:rsidP="00CB1CA5">
            <w:pPr>
              <w:pStyle w:val="Tabletext8pt"/>
            </w:pPr>
          </w:p>
        </w:tc>
        <w:tc>
          <w:tcPr>
            <w:tcW w:w="4820" w:type="dxa"/>
            <w:noWrap/>
            <w:hideMark/>
          </w:tcPr>
          <w:p w14:paraId="0C541ECD" w14:textId="79D0FA2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Dentin hypersensitivity</w:t>
            </w:r>
          </w:p>
        </w:tc>
        <w:tc>
          <w:tcPr>
            <w:tcW w:w="992" w:type="dxa"/>
          </w:tcPr>
          <w:p w14:paraId="292B0922" w14:textId="7F04DDD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22E4A75" w14:textId="62415323"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4EB35E2" w14:textId="5C999100" w:rsidR="00CB1CA5" w:rsidRPr="00A55335" w:rsidRDefault="003229F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5882927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A8572AE" w14:textId="77777777" w:rsidR="00CB1CA5" w:rsidRPr="00A55335" w:rsidRDefault="00CB1CA5" w:rsidP="00CB1CA5">
            <w:pPr>
              <w:pStyle w:val="Tabletext8pt"/>
            </w:pPr>
          </w:p>
        </w:tc>
        <w:tc>
          <w:tcPr>
            <w:tcW w:w="4820" w:type="dxa"/>
            <w:noWrap/>
            <w:hideMark/>
          </w:tcPr>
          <w:p w14:paraId="0429DA30" w14:textId="4ABBFFE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Diarrhea, acute childhood </w:t>
            </w:r>
          </w:p>
        </w:tc>
        <w:tc>
          <w:tcPr>
            <w:tcW w:w="992" w:type="dxa"/>
          </w:tcPr>
          <w:p w14:paraId="36968E4E" w14:textId="70BDA210"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4</w:t>
            </w:r>
          </w:p>
        </w:tc>
        <w:tc>
          <w:tcPr>
            <w:tcW w:w="1134" w:type="dxa"/>
            <w:noWrap/>
            <w:hideMark/>
          </w:tcPr>
          <w:p w14:paraId="54A42453" w14:textId="2071D9C4"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38126988" w14:textId="5C7425AE" w:rsidR="00CB1CA5" w:rsidRPr="00A55335" w:rsidRDefault="007F7DF1" w:rsidP="00CB1CA5">
            <w:pPr>
              <w:pStyle w:val="Tabletext8pt"/>
              <w:cnfStyle w:val="000000000000" w:firstRow="0" w:lastRow="0" w:firstColumn="0" w:lastColumn="0" w:oddVBand="0" w:evenVBand="0" w:oddHBand="0" w:evenHBand="0" w:firstRowFirstColumn="0" w:firstRowLastColumn="0" w:lastRowFirstColumn="0" w:lastRowLastColumn="0"/>
            </w:pPr>
            <w:r w:rsidRPr="00A55335">
              <w:t>4</w:t>
            </w:r>
          </w:p>
        </w:tc>
      </w:tr>
      <w:tr w:rsidR="00CB1CA5" w:rsidRPr="00A55335" w14:paraId="617DF64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B4128C9" w14:textId="77777777" w:rsidR="00CB1CA5" w:rsidRPr="00A55335" w:rsidRDefault="00CB1CA5" w:rsidP="00CB1CA5">
            <w:pPr>
              <w:pStyle w:val="Tabletext8pt"/>
            </w:pPr>
          </w:p>
        </w:tc>
        <w:tc>
          <w:tcPr>
            <w:tcW w:w="4820" w:type="dxa"/>
            <w:noWrap/>
            <w:hideMark/>
          </w:tcPr>
          <w:p w14:paraId="720FF03B" w14:textId="579C1E3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Digestive disorder (functional dyspepsia)</w:t>
            </w:r>
          </w:p>
        </w:tc>
        <w:tc>
          <w:tcPr>
            <w:tcW w:w="992" w:type="dxa"/>
          </w:tcPr>
          <w:p w14:paraId="7D168FB2" w14:textId="556176F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87FF6DA" w14:textId="02CB4E54"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102DE6EF" w14:textId="6ED6637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CB1CA5" w:rsidRPr="00A55335" w14:paraId="0B72B42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0CEBF70" w14:textId="77777777" w:rsidR="00CB1CA5" w:rsidRPr="00A55335" w:rsidRDefault="00CB1CA5" w:rsidP="00CB1CA5">
            <w:pPr>
              <w:pStyle w:val="Tabletext8pt"/>
            </w:pPr>
          </w:p>
        </w:tc>
        <w:tc>
          <w:tcPr>
            <w:tcW w:w="4820" w:type="dxa"/>
            <w:noWrap/>
            <w:hideMark/>
          </w:tcPr>
          <w:p w14:paraId="385CFD52" w14:textId="503949B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Digestive disorder (gastroesophageal reflux disease)</w:t>
            </w:r>
          </w:p>
        </w:tc>
        <w:tc>
          <w:tcPr>
            <w:tcW w:w="992" w:type="dxa"/>
          </w:tcPr>
          <w:p w14:paraId="6E4C6083" w14:textId="171E8B9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26F073B" w14:textId="4C889DBE"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58755778" w14:textId="31B1E11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CB1CA5" w:rsidRPr="00A55335" w14:paraId="1161EC3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35A32D4" w14:textId="77777777" w:rsidR="00CB1CA5" w:rsidRPr="00A55335" w:rsidRDefault="00CB1CA5" w:rsidP="00CB1CA5">
            <w:pPr>
              <w:pStyle w:val="Tabletext8pt"/>
            </w:pPr>
          </w:p>
        </w:tc>
        <w:tc>
          <w:tcPr>
            <w:tcW w:w="4820" w:type="dxa"/>
            <w:noWrap/>
            <w:hideMark/>
          </w:tcPr>
          <w:p w14:paraId="4A75D292" w14:textId="46D4F8D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Digestive disorder (infantile colic)</w:t>
            </w:r>
          </w:p>
        </w:tc>
        <w:tc>
          <w:tcPr>
            <w:tcW w:w="992" w:type="dxa"/>
          </w:tcPr>
          <w:p w14:paraId="6C373164" w14:textId="09DD3AB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251C10CB" w14:textId="301868D4"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40BD08D9" w14:textId="6928CFD7" w:rsidR="00CB1CA5" w:rsidRPr="00A55335" w:rsidRDefault="00BF0044" w:rsidP="00CB1CA5">
            <w:pPr>
              <w:pStyle w:val="Tabletext8pt"/>
              <w:cnfStyle w:val="000000000000" w:firstRow="0" w:lastRow="0" w:firstColumn="0" w:lastColumn="0" w:oddVBand="0" w:evenVBand="0" w:oddHBand="0" w:evenHBand="0" w:firstRowFirstColumn="0" w:firstRowLastColumn="0" w:lastRowFirstColumn="0" w:lastRowLastColumn="0"/>
            </w:pPr>
            <w:r w:rsidRPr="00A55335">
              <w:t>0</w:t>
            </w:r>
          </w:p>
        </w:tc>
      </w:tr>
      <w:tr w:rsidR="00CB1CA5" w:rsidRPr="00A55335" w14:paraId="78BCEE1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09A04C0" w14:textId="77777777" w:rsidR="00CB1CA5" w:rsidRPr="00A55335" w:rsidRDefault="00CB1CA5" w:rsidP="00CB1CA5">
            <w:pPr>
              <w:pStyle w:val="Tabletext8pt"/>
            </w:pPr>
          </w:p>
        </w:tc>
        <w:tc>
          <w:tcPr>
            <w:tcW w:w="4820" w:type="dxa"/>
            <w:noWrap/>
            <w:hideMark/>
          </w:tcPr>
          <w:p w14:paraId="0428129C" w14:textId="78FE826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Gum disease (plaque-induced gingivitis</w:t>
            </w:r>
            <w:r w:rsidR="0075322C" w:rsidRPr="00A55335">
              <w:t xml:space="preserve"> and/or</w:t>
            </w:r>
            <w:r w:rsidRPr="00A55335">
              <w:t xml:space="preserve"> periodontitis)</w:t>
            </w:r>
          </w:p>
        </w:tc>
        <w:tc>
          <w:tcPr>
            <w:tcW w:w="992" w:type="dxa"/>
          </w:tcPr>
          <w:p w14:paraId="1BD74C0E" w14:textId="34D1EB1D"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5</w:t>
            </w:r>
          </w:p>
        </w:tc>
        <w:tc>
          <w:tcPr>
            <w:tcW w:w="1134" w:type="dxa"/>
            <w:noWrap/>
            <w:hideMark/>
          </w:tcPr>
          <w:p w14:paraId="105EA86B" w14:textId="3F7E8CF7"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tcPr>
          <w:p w14:paraId="1A6FB7C3" w14:textId="52C5007E" w:rsidR="00CB1CA5" w:rsidRPr="00A55335" w:rsidRDefault="00BF0044"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15BBCEC"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796F94B" w14:textId="77777777" w:rsidR="00CB1CA5" w:rsidRPr="00A55335" w:rsidRDefault="00CB1CA5" w:rsidP="00CB1CA5">
            <w:pPr>
              <w:pStyle w:val="Tabletext8pt"/>
            </w:pPr>
          </w:p>
        </w:tc>
        <w:tc>
          <w:tcPr>
            <w:tcW w:w="4820" w:type="dxa"/>
            <w:noWrap/>
            <w:hideMark/>
          </w:tcPr>
          <w:p w14:paraId="0307F747" w14:textId="22B93E4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Haemorrhoids</w:t>
            </w:r>
          </w:p>
        </w:tc>
        <w:tc>
          <w:tcPr>
            <w:tcW w:w="992" w:type="dxa"/>
          </w:tcPr>
          <w:p w14:paraId="0DE6AD4B" w14:textId="3DC3577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3A6145D" w14:textId="1CDA5DD4"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tcPr>
          <w:p w14:paraId="75682F1E" w14:textId="17D57653" w:rsidR="00CB1CA5" w:rsidRPr="00A55335" w:rsidRDefault="00BF0044"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1EF0B94"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7A05B09" w14:textId="77777777" w:rsidR="00CB1CA5" w:rsidRPr="00A55335" w:rsidRDefault="00CB1CA5" w:rsidP="00CB1CA5">
            <w:pPr>
              <w:pStyle w:val="Tabletext8pt"/>
            </w:pPr>
          </w:p>
        </w:tc>
        <w:tc>
          <w:tcPr>
            <w:tcW w:w="4820" w:type="dxa"/>
            <w:noWrap/>
            <w:hideMark/>
          </w:tcPr>
          <w:p w14:paraId="276B86CC" w14:textId="3659A1C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Irritable bowel syndrome</w:t>
            </w:r>
          </w:p>
        </w:tc>
        <w:tc>
          <w:tcPr>
            <w:tcW w:w="992" w:type="dxa"/>
          </w:tcPr>
          <w:p w14:paraId="63591BE1" w14:textId="09FEA64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31F0A83" w14:textId="543CCC8A"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38E32B97" w14:textId="012B206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CB1CA5" w:rsidRPr="00A55335" w14:paraId="677AE2A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E52DD5C" w14:textId="77777777" w:rsidR="00CB1CA5" w:rsidRPr="00A55335" w:rsidRDefault="00CB1CA5" w:rsidP="00CB1CA5">
            <w:pPr>
              <w:pStyle w:val="Tabletext8pt"/>
            </w:pPr>
          </w:p>
        </w:tc>
        <w:tc>
          <w:tcPr>
            <w:tcW w:w="4820" w:type="dxa"/>
            <w:noWrap/>
            <w:hideMark/>
          </w:tcPr>
          <w:p w14:paraId="3A9BF539" w14:textId="4FFF404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Peptic ulcer disease (H. pylori)</w:t>
            </w:r>
          </w:p>
        </w:tc>
        <w:tc>
          <w:tcPr>
            <w:tcW w:w="992" w:type="dxa"/>
          </w:tcPr>
          <w:p w14:paraId="4967818D" w14:textId="093DC0E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0C1B57FD" w14:textId="638E3FE3"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00B34F1" w14:textId="246ABC60" w:rsidR="00CB1CA5" w:rsidRPr="00A55335" w:rsidRDefault="00D560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F37B1F5"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63AD6E6" w14:textId="77777777" w:rsidR="00CB1CA5" w:rsidRPr="00A55335" w:rsidRDefault="00CB1CA5" w:rsidP="00CB1CA5">
            <w:pPr>
              <w:pStyle w:val="Tabletext8pt"/>
            </w:pPr>
          </w:p>
        </w:tc>
        <w:tc>
          <w:tcPr>
            <w:tcW w:w="4820" w:type="dxa"/>
            <w:noWrap/>
            <w:hideMark/>
          </w:tcPr>
          <w:p w14:paraId="70554434" w14:textId="57258A6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Xerostomia (dry mouth)</w:t>
            </w:r>
          </w:p>
        </w:tc>
        <w:tc>
          <w:tcPr>
            <w:tcW w:w="992" w:type="dxa"/>
          </w:tcPr>
          <w:p w14:paraId="67A18DD4" w14:textId="211ECA0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226798D" w14:textId="20EC5782"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911D709" w14:textId="2350170A" w:rsidR="00CB1CA5" w:rsidRPr="00A55335" w:rsidRDefault="00D56020"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1AB09C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36B2C844" w14:textId="6E4B9269" w:rsidR="00CB1CA5" w:rsidRPr="00A55335" w:rsidRDefault="00CB1CA5" w:rsidP="00CB1CA5">
            <w:pPr>
              <w:pStyle w:val="Tabletext8pt"/>
            </w:pPr>
            <w:r w:rsidRPr="00A55335">
              <w:t>14 Diseases of the skin</w:t>
            </w:r>
          </w:p>
        </w:tc>
        <w:tc>
          <w:tcPr>
            <w:tcW w:w="992" w:type="dxa"/>
          </w:tcPr>
          <w:p w14:paraId="344D931A" w14:textId="3538E2B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12</w:t>
            </w:r>
          </w:p>
        </w:tc>
        <w:tc>
          <w:tcPr>
            <w:tcW w:w="1134" w:type="dxa"/>
            <w:noWrap/>
            <w:hideMark/>
          </w:tcPr>
          <w:p w14:paraId="03B99E64" w14:textId="17A1BD6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02FE12F6" w14:textId="4AAADB0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3511248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8A5E170" w14:textId="77777777" w:rsidR="00CB1CA5" w:rsidRPr="00A55335" w:rsidRDefault="00CB1CA5" w:rsidP="00CB1CA5">
            <w:pPr>
              <w:pStyle w:val="Tabletext8pt"/>
            </w:pPr>
          </w:p>
        </w:tc>
        <w:tc>
          <w:tcPr>
            <w:tcW w:w="4820" w:type="dxa"/>
            <w:noWrap/>
            <w:hideMark/>
          </w:tcPr>
          <w:p w14:paraId="09A2C7ED" w14:textId="56F24DF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Cutaneous insect bite reactions (mosquito)</w:t>
            </w:r>
          </w:p>
        </w:tc>
        <w:tc>
          <w:tcPr>
            <w:tcW w:w="992" w:type="dxa"/>
          </w:tcPr>
          <w:p w14:paraId="6F710D83" w14:textId="625DF8C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44DC7E27" w14:textId="29482960"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9E07AB4" w14:textId="29900441" w:rsidR="00CB1CA5" w:rsidRPr="00A55335" w:rsidRDefault="001C40C9"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0CB41EF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F8E94D2" w14:textId="77777777" w:rsidR="00CB1CA5" w:rsidRPr="00A55335" w:rsidRDefault="00CB1CA5" w:rsidP="00CB1CA5">
            <w:pPr>
              <w:pStyle w:val="Tabletext8pt"/>
            </w:pPr>
          </w:p>
        </w:tc>
        <w:tc>
          <w:tcPr>
            <w:tcW w:w="4820" w:type="dxa"/>
            <w:noWrap/>
            <w:hideMark/>
          </w:tcPr>
          <w:p w14:paraId="2ECCF880" w14:textId="18E475F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Dermatitis, atopic</w:t>
            </w:r>
          </w:p>
        </w:tc>
        <w:tc>
          <w:tcPr>
            <w:tcW w:w="992" w:type="dxa"/>
          </w:tcPr>
          <w:p w14:paraId="4C777942" w14:textId="7FA0C33B"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08660658" w14:textId="557ABF12"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4D0E0827" w14:textId="5D28C901" w:rsidR="00CB1CA5" w:rsidRPr="00A55335" w:rsidRDefault="00C2058F"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r>
      <w:tr w:rsidR="00CB1CA5" w:rsidRPr="00A55335" w14:paraId="11287130"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5C038FE" w14:textId="77777777" w:rsidR="00CB1CA5" w:rsidRPr="00A55335" w:rsidRDefault="00CB1CA5" w:rsidP="00CB1CA5">
            <w:pPr>
              <w:pStyle w:val="Tabletext8pt"/>
            </w:pPr>
          </w:p>
        </w:tc>
        <w:tc>
          <w:tcPr>
            <w:tcW w:w="4820" w:type="dxa"/>
            <w:noWrap/>
            <w:hideMark/>
          </w:tcPr>
          <w:p w14:paraId="7513C9AE" w14:textId="7BFFF75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Dermatitis, irritant (diaper) (3 to 24 months)</w:t>
            </w:r>
          </w:p>
        </w:tc>
        <w:tc>
          <w:tcPr>
            <w:tcW w:w="992" w:type="dxa"/>
          </w:tcPr>
          <w:p w14:paraId="1EE04415" w14:textId="6AE234F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32D1904" w14:textId="13A13D5E"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tcPr>
          <w:p w14:paraId="44256B38" w14:textId="1588E9F2" w:rsidR="00CB1CA5" w:rsidRPr="00A55335" w:rsidRDefault="00C2058F"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AD16A7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E2EBE5A" w14:textId="77777777" w:rsidR="00CB1CA5" w:rsidRPr="00A55335" w:rsidRDefault="00CB1CA5" w:rsidP="00CB1CA5">
            <w:pPr>
              <w:pStyle w:val="Tabletext8pt"/>
            </w:pPr>
          </w:p>
        </w:tc>
        <w:tc>
          <w:tcPr>
            <w:tcW w:w="4820" w:type="dxa"/>
            <w:noWrap/>
            <w:hideMark/>
          </w:tcPr>
          <w:p w14:paraId="578AEE64" w14:textId="7B559B2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Dermatitis, seborrheic</w:t>
            </w:r>
          </w:p>
        </w:tc>
        <w:tc>
          <w:tcPr>
            <w:tcW w:w="992" w:type="dxa"/>
          </w:tcPr>
          <w:p w14:paraId="202BB8C8" w14:textId="031747B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07E855C3" w14:textId="680C4B1E"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tcPr>
          <w:p w14:paraId="772ECEBC" w14:textId="13F6C6CC" w:rsidR="00CB1CA5" w:rsidRPr="00A55335" w:rsidRDefault="00C2058F"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C79866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BD19432" w14:textId="77777777" w:rsidR="00CB1CA5" w:rsidRPr="00A55335" w:rsidRDefault="00CB1CA5" w:rsidP="00CB1CA5">
            <w:pPr>
              <w:pStyle w:val="Tabletext8pt"/>
            </w:pPr>
          </w:p>
        </w:tc>
        <w:tc>
          <w:tcPr>
            <w:tcW w:w="4820" w:type="dxa"/>
            <w:noWrap/>
            <w:hideMark/>
          </w:tcPr>
          <w:p w14:paraId="7EEE59E7" w14:textId="444115D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Eczema, chronic</w:t>
            </w:r>
          </w:p>
        </w:tc>
        <w:tc>
          <w:tcPr>
            <w:tcW w:w="992" w:type="dxa"/>
          </w:tcPr>
          <w:p w14:paraId="66413E3C" w14:textId="2F26284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8FBEABB" w14:textId="0C8BA8D8"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1368CC7F" w14:textId="74FD95F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CB1CA5" w:rsidRPr="00A55335" w14:paraId="22D8B63B"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78728ED" w14:textId="77777777" w:rsidR="00CB1CA5" w:rsidRPr="00A55335" w:rsidRDefault="00CB1CA5" w:rsidP="00CB1CA5">
            <w:pPr>
              <w:pStyle w:val="Tabletext8pt"/>
            </w:pPr>
          </w:p>
        </w:tc>
        <w:tc>
          <w:tcPr>
            <w:tcW w:w="4820" w:type="dxa"/>
            <w:noWrap/>
            <w:hideMark/>
          </w:tcPr>
          <w:p w14:paraId="5D255AE1" w14:textId="336F7FD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Lichen planus, oral</w:t>
            </w:r>
          </w:p>
        </w:tc>
        <w:tc>
          <w:tcPr>
            <w:tcW w:w="992" w:type="dxa"/>
          </w:tcPr>
          <w:p w14:paraId="6AB0C0F6" w14:textId="7D41CD1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7D1C5E8C" w14:textId="761A1EEB" w:rsidR="00CB1CA5" w:rsidRPr="00A55335" w:rsidRDefault="0075322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446427E1" w14:textId="5F1B5197" w:rsidR="00CB1CA5" w:rsidRPr="00A55335" w:rsidRDefault="00D43B7A"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916CC08"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DB39F60" w14:textId="77777777" w:rsidR="00CB1CA5" w:rsidRPr="00A55335" w:rsidRDefault="00CB1CA5" w:rsidP="00CB1CA5">
            <w:pPr>
              <w:pStyle w:val="Tabletext8pt"/>
            </w:pPr>
          </w:p>
        </w:tc>
        <w:tc>
          <w:tcPr>
            <w:tcW w:w="4820" w:type="dxa"/>
            <w:noWrap/>
            <w:hideMark/>
          </w:tcPr>
          <w:p w14:paraId="6ED3B725" w14:textId="5B5CAF0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Psoriasis</w:t>
            </w:r>
          </w:p>
        </w:tc>
        <w:tc>
          <w:tcPr>
            <w:tcW w:w="992" w:type="dxa"/>
          </w:tcPr>
          <w:p w14:paraId="5562A517" w14:textId="211E212C"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4B25EBBE" w14:textId="4819DBA5"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hideMark/>
          </w:tcPr>
          <w:p w14:paraId="08D1C80C" w14:textId="3F6EF4D4" w:rsidR="00CB1CA5" w:rsidRPr="00A55335" w:rsidRDefault="00D43B7A"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r>
      <w:tr w:rsidR="00CB1CA5" w:rsidRPr="00A55335" w14:paraId="6FF74FF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54F0E21" w14:textId="77777777" w:rsidR="00CB1CA5" w:rsidRPr="00A55335" w:rsidRDefault="00CB1CA5" w:rsidP="00CB1CA5">
            <w:pPr>
              <w:pStyle w:val="Tabletext8pt"/>
            </w:pPr>
          </w:p>
        </w:tc>
        <w:tc>
          <w:tcPr>
            <w:tcW w:w="4820" w:type="dxa"/>
            <w:noWrap/>
            <w:hideMark/>
          </w:tcPr>
          <w:p w14:paraId="74A30F79" w14:textId="58BC928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Vitiligo</w:t>
            </w:r>
          </w:p>
        </w:tc>
        <w:tc>
          <w:tcPr>
            <w:tcW w:w="992" w:type="dxa"/>
          </w:tcPr>
          <w:p w14:paraId="0985506D" w14:textId="12EA078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2E959277" w14:textId="31C17B3C"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3B209C4C" w14:textId="033DD421" w:rsidR="00CB1CA5" w:rsidRPr="00A55335" w:rsidRDefault="00D43B7A"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247B40" w:rsidRPr="00A55335" w14:paraId="186EF8BF"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7DC49B29" w14:textId="37EEBD73" w:rsidR="00247B40" w:rsidRPr="00A55335" w:rsidRDefault="00247B40" w:rsidP="00CB1CA5">
            <w:pPr>
              <w:pStyle w:val="Tabletext8pt"/>
            </w:pPr>
            <w:r w:rsidRPr="00A55335">
              <w:t>15 Diseases of the musculoskeletal system or connective tissue</w:t>
            </w:r>
          </w:p>
        </w:tc>
        <w:tc>
          <w:tcPr>
            <w:tcW w:w="992" w:type="dxa"/>
          </w:tcPr>
          <w:p w14:paraId="7F8FDC44" w14:textId="372E9523"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14</w:t>
            </w:r>
          </w:p>
        </w:tc>
        <w:tc>
          <w:tcPr>
            <w:tcW w:w="1134" w:type="dxa"/>
            <w:noWrap/>
          </w:tcPr>
          <w:p w14:paraId="7A8176A4" w14:textId="46AABDD4"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tcPr>
          <w:p w14:paraId="53B1706E" w14:textId="60661118"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7622A62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77B1105" w14:textId="77777777" w:rsidR="00CB1CA5" w:rsidRPr="00A55335" w:rsidRDefault="00CB1CA5" w:rsidP="00CB1CA5">
            <w:pPr>
              <w:pStyle w:val="Tabletext8pt"/>
            </w:pPr>
          </w:p>
        </w:tc>
        <w:tc>
          <w:tcPr>
            <w:tcW w:w="4820" w:type="dxa"/>
            <w:noWrap/>
            <w:hideMark/>
          </w:tcPr>
          <w:p w14:paraId="74497ABF" w14:textId="51B32C7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Arthropathies, osteoarthritis (hand</w:t>
            </w:r>
            <w:r w:rsidR="00D377DD" w:rsidRPr="00A55335">
              <w:t>, hip</w:t>
            </w:r>
            <w:r w:rsidR="0061765B" w:rsidRPr="00A55335">
              <w:t xml:space="preserve"> or</w:t>
            </w:r>
            <w:r w:rsidR="00D377DD" w:rsidRPr="00A55335">
              <w:t xml:space="preserve"> knee</w:t>
            </w:r>
            <w:r w:rsidRPr="00A55335">
              <w:t>)</w:t>
            </w:r>
          </w:p>
        </w:tc>
        <w:tc>
          <w:tcPr>
            <w:tcW w:w="992" w:type="dxa"/>
          </w:tcPr>
          <w:p w14:paraId="00983C36" w14:textId="4383ECC8"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7</w:t>
            </w:r>
          </w:p>
        </w:tc>
        <w:tc>
          <w:tcPr>
            <w:tcW w:w="1134" w:type="dxa"/>
            <w:noWrap/>
            <w:hideMark/>
          </w:tcPr>
          <w:p w14:paraId="41F6D68A" w14:textId="1ECF5E10"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35914E5D" w14:textId="170C2771" w:rsidR="00CB1CA5" w:rsidRPr="00A55335" w:rsidRDefault="00703536"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r>
      <w:tr w:rsidR="00CB1CA5" w:rsidRPr="00A55335" w14:paraId="66048CE5"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98568FC" w14:textId="77777777" w:rsidR="00CB1CA5" w:rsidRPr="00A55335" w:rsidRDefault="00CB1CA5" w:rsidP="00CB1CA5">
            <w:pPr>
              <w:pStyle w:val="Tabletext8pt"/>
            </w:pPr>
          </w:p>
        </w:tc>
        <w:tc>
          <w:tcPr>
            <w:tcW w:w="4820" w:type="dxa"/>
            <w:noWrap/>
            <w:hideMark/>
          </w:tcPr>
          <w:p w14:paraId="5879EE5A" w14:textId="0B063E0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Arthropathies, periarthritis of the shoulder joint </w:t>
            </w:r>
          </w:p>
        </w:tc>
        <w:tc>
          <w:tcPr>
            <w:tcW w:w="992" w:type="dxa"/>
          </w:tcPr>
          <w:p w14:paraId="1343075F" w14:textId="4816CA9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58B9D06E" w14:textId="000B2491"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6B7DEEB7" w14:textId="6467A849" w:rsidR="00CB1CA5" w:rsidRPr="00A55335" w:rsidRDefault="00BB5700" w:rsidP="00CB1CA5">
            <w:pPr>
              <w:pStyle w:val="Tabletext8pt"/>
              <w:cnfStyle w:val="000000000000" w:firstRow="0" w:lastRow="0" w:firstColumn="0" w:lastColumn="0" w:oddVBand="0" w:evenVBand="0" w:oddHBand="0" w:evenHBand="0" w:firstRowFirstColumn="0" w:firstRowLastColumn="0" w:lastRowFirstColumn="0" w:lastRowLastColumn="0"/>
            </w:pPr>
            <w:r w:rsidRPr="00A55335">
              <w:t>0</w:t>
            </w:r>
          </w:p>
        </w:tc>
      </w:tr>
      <w:tr w:rsidR="00CB1CA5" w:rsidRPr="00A55335" w14:paraId="6D5DEEF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AE8B173" w14:textId="77777777" w:rsidR="00CB1CA5" w:rsidRPr="00A55335" w:rsidRDefault="00CB1CA5" w:rsidP="00CB1CA5">
            <w:pPr>
              <w:pStyle w:val="Tabletext8pt"/>
            </w:pPr>
          </w:p>
        </w:tc>
        <w:tc>
          <w:tcPr>
            <w:tcW w:w="4820" w:type="dxa"/>
            <w:noWrap/>
            <w:hideMark/>
          </w:tcPr>
          <w:p w14:paraId="579E089A" w14:textId="0DE37AB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Arthropathies, rheumatoid arthritis</w:t>
            </w:r>
          </w:p>
        </w:tc>
        <w:tc>
          <w:tcPr>
            <w:tcW w:w="992" w:type="dxa"/>
          </w:tcPr>
          <w:p w14:paraId="7EBA687E" w14:textId="2D66864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64BCECDC" w14:textId="46868E97"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3ED7A9DC" w14:textId="1C3EE47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r>
      <w:tr w:rsidR="00CB1CA5" w:rsidRPr="00A55335" w14:paraId="1A2099C5"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AD4DBC3" w14:textId="77777777" w:rsidR="00CB1CA5" w:rsidRPr="00A55335" w:rsidRDefault="00CB1CA5" w:rsidP="00CB1CA5">
            <w:pPr>
              <w:pStyle w:val="Tabletext8pt"/>
            </w:pPr>
          </w:p>
        </w:tc>
        <w:tc>
          <w:tcPr>
            <w:tcW w:w="4820" w:type="dxa"/>
            <w:noWrap/>
            <w:hideMark/>
          </w:tcPr>
          <w:p w14:paraId="47A5D472" w14:textId="15C67DC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Low back pain, acute</w:t>
            </w:r>
          </w:p>
        </w:tc>
        <w:tc>
          <w:tcPr>
            <w:tcW w:w="992" w:type="dxa"/>
          </w:tcPr>
          <w:p w14:paraId="44DE0CC9" w14:textId="513B1F7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3FD3FB58" w14:textId="33190E60"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425E4851" w14:textId="33CF1873" w:rsidR="00CB1CA5" w:rsidRPr="00A55335" w:rsidRDefault="003F1169" w:rsidP="00CB1CA5">
            <w:pPr>
              <w:pStyle w:val="Tabletext8pt"/>
              <w:cnfStyle w:val="000000000000" w:firstRow="0" w:lastRow="0" w:firstColumn="0" w:lastColumn="0" w:oddVBand="0" w:evenVBand="0" w:oddHBand="0" w:evenHBand="0" w:firstRowFirstColumn="0" w:firstRowLastColumn="0" w:lastRowFirstColumn="0" w:lastRowLastColumn="0"/>
            </w:pPr>
            <w:r w:rsidRPr="00A55335">
              <w:t>0</w:t>
            </w:r>
          </w:p>
        </w:tc>
      </w:tr>
      <w:tr w:rsidR="00CB1CA5" w:rsidRPr="00A55335" w14:paraId="7BEF3E1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316E68E" w14:textId="77777777" w:rsidR="00CB1CA5" w:rsidRPr="00A55335" w:rsidRDefault="00CB1CA5" w:rsidP="00CB1CA5">
            <w:pPr>
              <w:pStyle w:val="Tabletext8pt"/>
            </w:pPr>
          </w:p>
        </w:tc>
        <w:tc>
          <w:tcPr>
            <w:tcW w:w="4820" w:type="dxa"/>
            <w:noWrap/>
            <w:hideMark/>
          </w:tcPr>
          <w:p w14:paraId="6FB7E99D" w14:textId="171F9EA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Low back pain, chronic (secondary to osteoarthritis)</w:t>
            </w:r>
          </w:p>
        </w:tc>
        <w:tc>
          <w:tcPr>
            <w:tcW w:w="992" w:type="dxa"/>
          </w:tcPr>
          <w:p w14:paraId="708BDC30" w14:textId="643252B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7D8A1E13" w14:textId="63493FFB"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36B0AA6D" w14:textId="2AE9B33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CB1CA5" w:rsidRPr="00A55335" w14:paraId="5363D134"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B272901" w14:textId="77777777" w:rsidR="00CB1CA5" w:rsidRPr="00A55335" w:rsidRDefault="00CB1CA5" w:rsidP="00CB1CA5">
            <w:pPr>
              <w:pStyle w:val="Tabletext8pt"/>
            </w:pPr>
          </w:p>
        </w:tc>
        <w:tc>
          <w:tcPr>
            <w:tcW w:w="4820" w:type="dxa"/>
            <w:noWrap/>
            <w:hideMark/>
          </w:tcPr>
          <w:p w14:paraId="242F010F" w14:textId="76955D3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Plantar fasciitis</w:t>
            </w:r>
          </w:p>
        </w:tc>
        <w:tc>
          <w:tcPr>
            <w:tcW w:w="992" w:type="dxa"/>
          </w:tcPr>
          <w:p w14:paraId="20FAC645" w14:textId="799B614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3A484F2D" w14:textId="626D7064"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3124A11" w14:textId="6E373355" w:rsidR="00CB1CA5" w:rsidRPr="00A55335" w:rsidRDefault="00D43B7A"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B3C242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6267C9F" w14:textId="77777777" w:rsidR="00CB1CA5" w:rsidRPr="00A55335" w:rsidRDefault="00CB1CA5" w:rsidP="00CB1CA5">
            <w:pPr>
              <w:pStyle w:val="Tabletext8pt"/>
            </w:pPr>
          </w:p>
        </w:tc>
        <w:tc>
          <w:tcPr>
            <w:tcW w:w="4820" w:type="dxa"/>
            <w:noWrap/>
            <w:hideMark/>
          </w:tcPr>
          <w:p w14:paraId="375D9793" w14:textId="369751B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Spondylosis, cervical (mechanical neck pain)</w:t>
            </w:r>
          </w:p>
        </w:tc>
        <w:tc>
          <w:tcPr>
            <w:tcW w:w="992" w:type="dxa"/>
          </w:tcPr>
          <w:p w14:paraId="525FD93F" w14:textId="58F0199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C8CBA85" w14:textId="0609B8D8" w:rsidR="00CB1CA5" w:rsidRPr="00A55335" w:rsidRDefault="00D377DD"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hideMark/>
          </w:tcPr>
          <w:p w14:paraId="5DDC4B2B" w14:textId="1A8969C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247B40" w:rsidRPr="00A55335" w14:paraId="52DD3C1B"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6D4395D3" w14:textId="4E001842" w:rsidR="00247B40" w:rsidRPr="00A55335" w:rsidRDefault="00247B40" w:rsidP="00CB1CA5">
            <w:pPr>
              <w:pStyle w:val="Tabletext8pt"/>
            </w:pPr>
            <w:r w:rsidRPr="00A55335">
              <w:t>16 Diseases of the genitourinary system</w:t>
            </w:r>
          </w:p>
        </w:tc>
        <w:tc>
          <w:tcPr>
            <w:tcW w:w="992" w:type="dxa"/>
          </w:tcPr>
          <w:p w14:paraId="0DD392BC" w14:textId="0E11A6D2"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22</w:t>
            </w:r>
          </w:p>
        </w:tc>
        <w:tc>
          <w:tcPr>
            <w:tcW w:w="1134" w:type="dxa"/>
            <w:noWrap/>
          </w:tcPr>
          <w:p w14:paraId="54D7BF8E" w14:textId="38A335E2"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tcPr>
          <w:p w14:paraId="73DC86D2" w14:textId="08301BB2" w:rsidR="00247B40" w:rsidRPr="00A55335" w:rsidRDefault="00247B4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0CC7A81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6F61F60" w14:textId="77777777" w:rsidR="00CB1CA5" w:rsidRPr="00A55335" w:rsidRDefault="00CB1CA5" w:rsidP="00CB1CA5">
            <w:pPr>
              <w:pStyle w:val="Tabletext8pt"/>
            </w:pPr>
          </w:p>
        </w:tc>
        <w:tc>
          <w:tcPr>
            <w:tcW w:w="4820" w:type="dxa"/>
            <w:noWrap/>
            <w:hideMark/>
          </w:tcPr>
          <w:p w14:paraId="0C57C00A" w14:textId="0EED03D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21 Chronic complaints, </w:t>
            </w:r>
            <w:r w:rsidR="004F45D1" w:rsidRPr="00A55335">
              <w:t>females</w:t>
            </w:r>
            <w:r w:rsidRPr="00A55335">
              <w:t xml:space="preserve"> (anxiety, joint problems, headache, dizziness, hypertension)</w:t>
            </w:r>
          </w:p>
        </w:tc>
        <w:tc>
          <w:tcPr>
            <w:tcW w:w="992" w:type="dxa"/>
          </w:tcPr>
          <w:p w14:paraId="5FEF2F82" w14:textId="5639834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D6EE626" w14:textId="56F887F8"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42800138" w14:textId="57638E3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CB1CA5" w:rsidRPr="00A55335" w14:paraId="7FE5FE0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68A6138" w14:textId="77777777" w:rsidR="00CB1CA5" w:rsidRPr="00A55335" w:rsidRDefault="00CB1CA5" w:rsidP="00CB1CA5">
            <w:pPr>
              <w:pStyle w:val="Tabletext8pt"/>
            </w:pPr>
          </w:p>
        </w:tc>
        <w:tc>
          <w:tcPr>
            <w:tcW w:w="4820" w:type="dxa"/>
            <w:noWrap/>
            <w:hideMark/>
          </w:tcPr>
          <w:p w14:paraId="628781B8" w14:textId="1169E53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 xml:space="preserve">21 Symptoms of menopause </w:t>
            </w:r>
          </w:p>
        </w:tc>
        <w:tc>
          <w:tcPr>
            <w:tcW w:w="992" w:type="dxa"/>
          </w:tcPr>
          <w:p w14:paraId="2785765E" w14:textId="0B408A17"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6</w:t>
            </w:r>
          </w:p>
        </w:tc>
        <w:tc>
          <w:tcPr>
            <w:tcW w:w="1134" w:type="dxa"/>
            <w:noWrap/>
            <w:hideMark/>
          </w:tcPr>
          <w:p w14:paraId="03885F1E" w14:textId="178519E0"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21B5AB43" w14:textId="7128B6F1" w:rsidR="00CB1CA5" w:rsidRPr="00A55335" w:rsidRDefault="00896739" w:rsidP="00CB1CA5">
            <w:pPr>
              <w:pStyle w:val="Tabletext8pt"/>
              <w:cnfStyle w:val="000000000000" w:firstRow="0" w:lastRow="0" w:firstColumn="0" w:lastColumn="0" w:oddVBand="0" w:evenVBand="0" w:oddHBand="0" w:evenHBand="0" w:firstRowFirstColumn="0" w:firstRowLastColumn="0" w:lastRowFirstColumn="0" w:lastRowLastColumn="0"/>
            </w:pPr>
            <w:r w:rsidRPr="00A55335">
              <w:t>6</w:t>
            </w:r>
          </w:p>
        </w:tc>
      </w:tr>
      <w:tr w:rsidR="00CB1CA5" w:rsidRPr="00A55335" w14:paraId="332E8C6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671DF26" w14:textId="77777777" w:rsidR="00CB1CA5" w:rsidRPr="00A55335" w:rsidRDefault="00CB1CA5" w:rsidP="00CB1CA5">
            <w:pPr>
              <w:pStyle w:val="Tabletext8pt"/>
            </w:pPr>
          </w:p>
        </w:tc>
        <w:tc>
          <w:tcPr>
            <w:tcW w:w="4820" w:type="dxa"/>
            <w:noWrap/>
            <w:hideMark/>
          </w:tcPr>
          <w:p w14:paraId="4E615E55" w14:textId="77F67A4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Chronic kidney disease (dialysis-dependent</w:t>
            </w:r>
            <w:r w:rsidR="0061765B" w:rsidRPr="00A55335">
              <w:t xml:space="preserve"> [with/without </w:t>
            </w:r>
            <w:proofErr w:type="spellStart"/>
            <w:r w:rsidR="0061765B" w:rsidRPr="00A55335">
              <w:t>pruritis</w:t>
            </w:r>
            <w:proofErr w:type="spellEnd"/>
            <w:r w:rsidR="0061765B" w:rsidRPr="00A55335">
              <w:t>]</w:t>
            </w:r>
            <w:r w:rsidRPr="00A55335">
              <w:t>)</w:t>
            </w:r>
          </w:p>
        </w:tc>
        <w:tc>
          <w:tcPr>
            <w:tcW w:w="992" w:type="dxa"/>
          </w:tcPr>
          <w:p w14:paraId="41D0839B" w14:textId="3A4FE36D"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086CBD2C" w14:textId="140B571A"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tcPr>
          <w:p w14:paraId="4EA1EFBD" w14:textId="767C1A1A" w:rsidR="00CB1CA5" w:rsidRPr="00A55335" w:rsidRDefault="00896739"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E0028B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4FB3AB1" w14:textId="77777777" w:rsidR="00CB1CA5" w:rsidRPr="00A55335" w:rsidRDefault="00CB1CA5" w:rsidP="00CB1CA5">
            <w:pPr>
              <w:pStyle w:val="Tabletext8pt"/>
            </w:pPr>
          </w:p>
        </w:tc>
        <w:tc>
          <w:tcPr>
            <w:tcW w:w="4820" w:type="dxa"/>
            <w:noWrap/>
            <w:hideMark/>
          </w:tcPr>
          <w:p w14:paraId="5052855F" w14:textId="3162C3B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Endometriosis</w:t>
            </w:r>
          </w:p>
        </w:tc>
        <w:tc>
          <w:tcPr>
            <w:tcW w:w="992" w:type="dxa"/>
          </w:tcPr>
          <w:p w14:paraId="37F743FD" w14:textId="57F0D09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08D37059" w14:textId="477642A2"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3289A9D9" w14:textId="6D79A0D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CB1CA5" w:rsidRPr="00A55335" w14:paraId="1A086BC5"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3AD054B" w14:textId="77777777" w:rsidR="00CB1CA5" w:rsidRPr="00A55335" w:rsidRDefault="00CB1CA5" w:rsidP="00CB1CA5">
            <w:pPr>
              <w:pStyle w:val="Tabletext8pt"/>
            </w:pPr>
          </w:p>
        </w:tc>
        <w:tc>
          <w:tcPr>
            <w:tcW w:w="4820" w:type="dxa"/>
            <w:noWrap/>
            <w:hideMark/>
          </w:tcPr>
          <w:p w14:paraId="0725D975" w14:textId="1D6DADB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Erectile dysfunction</w:t>
            </w:r>
          </w:p>
        </w:tc>
        <w:tc>
          <w:tcPr>
            <w:tcW w:w="992" w:type="dxa"/>
          </w:tcPr>
          <w:p w14:paraId="4E1D276F" w14:textId="63FF1D5E"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52141819" w14:textId="02390ED6"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7ED5291" w14:textId="05A3CA55"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0DD6601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6EC5286" w14:textId="77777777" w:rsidR="00CB1CA5" w:rsidRPr="00A55335" w:rsidRDefault="00CB1CA5" w:rsidP="00CB1CA5">
            <w:pPr>
              <w:pStyle w:val="Tabletext8pt"/>
            </w:pPr>
          </w:p>
        </w:tc>
        <w:tc>
          <w:tcPr>
            <w:tcW w:w="4820" w:type="dxa"/>
            <w:noWrap/>
            <w:hideMark/>
          </w:tcPr>
          <w:p w14:paraId="549993DD" w14:textId="539C1C0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Lower urinary tract symptoms (benign prostate hyperplasia)</w:t>
            </w:r>
          </w:p>
        </w:tc>
        <w:tc>
          <w:tcPr>
            <w:tcW w:w="992" w:type="dxa"/>
          </w:tcPr>
          <w:p w14:paraId="75C8A221" w14:textId="4E27B90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c>
          <w:tcPr>
            <w:tcW w:w="1134" w:type="dxa"/>
            <w:noWrap/>
            <w:hideMark/>
          </w:tcPr>
          <w:p w14:paraId="22CA5696" w14:textId="0680641F"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47686F0A" w14:textId="4963425A"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2855429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984E291" w14:textId="77777777" w:rsidR="00CB1CA5" w:rsidRPr="00A55335" w:rsidRDefault="00CB1CA5" w:rsidP="00CB1CA5">
            <w:pPr>
              <w:pStyle w:val="Tabletext8pt"/>
            </w:pPr>
          </w:p>
        </w:tc>
        <w:tc>
          <w:tcPr>
            <w:tcW w:w="4820" w:type="dxa"/>
            <w:noWrap/>
            <w:hideMark/>
          </w:tcPr>
          <w:p w14:paraId="7431EFC1" w14:textId="4D18551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roofErr w:type="spellStart"/>
            <w:r w:rsidRPr="00A55335">
              <w:t>Mastalgia</w:t>
            </w:r>
            <w:proofErr w:type="spellEnd"/>
            <w:r w:rsidRPr="00A55335">
              <w:t>, cyclic</w:t>
            </w:r>
          </w:p>
        </w:tc>
        <w:tc>
          <w:tcPr>
            <w:tcW w:w="992" w:type="dxa"/>
          </w:tcPr>
          <w:p w14:paraId="4465A696" w14:textId="64F199C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3AC7BA4C" w14:textId="2B8E9CAD"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B42C0C4" w14:textId="011F6972"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790214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0B766FF" w14:textId="77777777" w:rsidR="00CB1CA5" w:rsidRPr="00A55335" w:rsidRDefault="00CB1CA5" w:rsidP="00CB1CA5">
            <w:pPr>
              <w:pStyle w:val="Tabletext8pt"/>
            </w:pPr>
          </w:p>
        </w:tc>
        <w:tc>
          <w:tcPr>
            <w:tcW w:w="4820" w:type="dxa"/>
            <w:noWrap/>
            <w:hideMark/>
          </w:tcPr>
          <w:p w14:paraId="69E8B92D" w14:textId="4464239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Menstrual disorder, primary dysmenorrhea</w:t>
            </w:r>
          </w:p>
        </w:tc>
        <w:tc>
          <w:tcPr>
            <w:tcW w:w="992" w:type="dxa"/>
          </w:tcPr>
          <w:p w14:paraId="09D73959" w14:textId="23A4700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2014EC22" w14:textId="1EE70A82"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5DB3A6B2" w14:textId="6E1B4F8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r>
      <w:tr w:rsidR="00CB1CA5" w:rsidRPr="00A55335" w14:paraId="1BCF0A1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3E2523B" w14:textId="77777777" w:rsidR="00CB1CA5" w:rsidRPr="00A55335" w:rsidRDefault="00CB1CA5" w:rsidP="00CB1CA5">
            <w:pPr>
              <w:pStyle w:val="Tabletext8pt"/>
            </w:pPr>
          </w:p>
        </w:tc>
        <w:tc>
          <w:tcPr>
            <w:tcW w:w="4820" w:type="dxa"/>
            <w:noWrap/>
            <w:hideMark/>
          </w:tcPr>
          <w:p w14:paraId="1F599648" w14:textId="3CD2891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Premenstrual disturbances</w:t>
            </w:r>
          </w:p>
        </w:tc>
        <w:tc>
          <w:tcPr>
            <w:tcW w:w="992" w:type="dxa"/>
          </w:tcPr>
          <w:p w14:paraId="6BE668E8" w14:textId="7669CFF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c>
          <w:tcPr>
            <w:tcW w:w="1134" w:type="dxa"/>
            <w:noWrap/>
            <w:hideMark/>
          </w:tcPr>
          <w:p w14:paraId="4AE71ACD" w14:textId="208AE5E9"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1EFC11BA" w14:textId="28C6297C"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r>
      <w:tr w:rsidR="00CB1CA5" w:rsidRPr="00A55335" w14:paraId="7A73F52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5F686BC" w14:textId="77777777" w:rsidR="00CB1CA5" w:rsidRPr="00A55335" w:rsidRDefault="00CB1CA5" w:rsidP="00CB1CA5">
            <w:pPr>
              <w:pStyle w:val="Tabletext8pt"/>
            </w:pPr>
          </w:p>
        </w:tc>
        <w:tc>
          <w:tcPr>
            <w:tcW w:w="4820" w:type="dxa"/>
            <w:noWrap/>
            <w:hideMark/>
          </w:tcPr>
          <w:p w14:paraId="70C3E575" w14:textId="6A02515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Urolithiasis (kidney stones, radiographically confirmed)</w:t>
            </w:r>
          </w:p>
        </w:tc>
        <w:tc>
          <w:tcPr>
            <w:tcW w:w="992" w:type="dxa"/>
          </w:tcPr>
          <w:p w14:paraId="7A8CB05D" w14:textId="545C55B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26469B10" w14:textId="260BEC0A" w:rsidR="00CB1CA5" w:rsidRPr="00A55335" w:rsidRDefault="0061765B"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7DB77B77" w14:textId="49D39605"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7D0AD0" w:rsidRPr="00A55335" w14:paraId="5A74820E"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D9008B2" w14:textId="525B3BB8" w:rsidR="007D0AD0" w:rsidRPr="00A55335" w:rsidRDefault="007D0AD0" w:rsidP="00CB1CA5">
            <w:pPr>
              <w:pStyle w:val="Tabletext8pt"/>
            </w:pPr>
            <w:r w:rsidRPr="00A55335">
              <w:t>18 Pregnancy, childbirth or the puerperium</w:t>
            </w:r>
          </w:p>
        </w:tc>
        <w:tc>
          <w:tcPr>
            <w:tcW w:w="992" w:type="dxa"/>
          </w:tcPr>
          <w:p w14:paraId="4368221B" w14:textId="7551AB7D"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4</w:t>
            </w:r>
          </w:p>
        </w:tc>
        <w:tc>
          <w:tcPr>
            <w:tcW w:w="1134" w:type="dxa"/>
            <w:noWrap/>
          </w:tcPr>
          <w:p w14:paraId="29AA8270" w14:textId="6F9D1FBC"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0D5ABA23" w14:textId="77777777"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5718908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55F94AC" w14:textId="77777777" w:rsidR="00CB1CA5" w:rsidRPr="00A55335" w:rsidRDefault="00CB1CA5" w:rsidP="00CB1CA5">
            <w:pPr>
              <w:pStyle w:val="Tabletext8pt"/>
            </w:pPr>
          </w:p>
        </w:tc>
        <w:tc>
          <w:tcPr>
            <w:tcW w:w="4820" w:type="dxa"/>
            <w:noWrap/>
            <w:hideMark/>
          </w:tcPr>
          <w:p w14:paraId="42AE3551" w14:textId="32E5AB9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Pregnant women, ≤ 28 wks</w:t>
            </w:r>
            <w:r w:rsidR="00376D7C" w:rsidRPr="00A55335">
              <w:t>.</w:t>
            </w:r>
            <w:r w:rsidRPr="00A55335">
              <w:t xml:space="preserve"> gestation (overweight &amp; neurotic)</w:t>
            </w:r>
          </w:p>
        </w:tc>
        <w:tc>
          <w:tcPr>
            <w:tcW w:w="992" w:type="dxa"/>
          </w:tcPr>
          <w:p w14:paraId="318BC897" w14:textId="592CE25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30404349" w14:textId="2FE1E854"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2C621FB6" w14:textId="145DD94F"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CEF71A5"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6038A16" w14:textId="77777777" w:rsidR="00CB1CA5" w:rsidRPr="00A55335" w:rsidRDefault="00CB1CA5" w:rsidP="00CB1CA5">
            <w:pPr>
              <w:pStyle w:val="Tabletext8pt"/>
            </w:pPr>
          </w:p>
        </w:tc>
        <w:tc>
          <w:tcPr>
            <w:tcW w:w="4820" w:type="dxa"/>
            <w:noWrap/>
            <w:hideMark/>
          </w:tcPr>
          <w:p w14:paraId="646CDDEF" w14:textId="0B3A48B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Pregnant women, early labour (3-6 cm) (singleton)</w:t>
            </w:r>
          </w:p>
        </w:tc>
        <w:tc>
          <w:tcPr>
            <w:tcW w:w="992" w:type="dxa"/>
          </w:tcPr>
          <w:p w14:paraId="2F53D8A3" w14:textId="29F39D8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3F8B0CB1" w14:textId="336B638D"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472A73C" w14:textId="6F6664CB"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75622AF"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7D2CFD5" w14:textId="77777777" w:rsidR="00CB1CA5" w:rsidRPr="00A55335" w:rsidRDefault="00CB1CA5" w:rsidP="00CB1CA5">
            <w:pPr>
              <w:pStyle w:val="Tabletext8pt"/>
            </w:pPr>
          </w:p>
        </w:tc>
        <w:tc>
          <w:tcPr>
            <w:tcW w:w="4820" w:type="dxa"/>
            <w:noWrap/>
            <w:hideMark/>
          </w:tcPr>
          <w:p w14:paraId="48E79FBB" w14:textId="0207299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Pregnant women, primiparous (20 to 35 years) (prevention of PPH)</w:t>
            </w:r>
          </w:p>
        </w:tc>
        <w:tc>
          <w:tcPr>
            <w:tcW w:w="992" w:type="dxa"/>
          </w:tcPr>
          <w:p w14:paraId="1992E050" w14:textId="01EF75A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78E7AC23" w14:textId="02652BC7"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AC3A76F" w14:textId="4635A952"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424AA5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6C7C4FA" w14:textId="77777777" w:rsidR="00CB1CA5" w:rsidRPr="00A55335" w:rsidRDefault="00CB1CA5" w:rsidP="00CB1CA5">
            <w:pPr>
              <w:pStyle w:val="Tabletext8pt"/>
            </w:pPr>
          </w:p>
        </w:tc>
        <w:tc>
          <w:tcPr>
            <w:tcW w:w="4820" w:type="dxa"/>
            <w:noWrap/>
            <w:hideMark/>
          </w:tcPr>
          <w:p w14:paraId="7E7D6F82" w14:textId="7EE01D0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Pregnant women, with uterine contractile function disturbances (high risk of hypotonic labour)</w:t>
            </w:r>
          </w:p>
        </w:tc>
        <w:tc>
          <w:tcPr>
            <w:tcW w:w="992" w:type="dxa"/>
          </w:tcPr>
          <w:p w14:paraId="290916C0" w14:textId="5A80415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2D2BC98F" w14:textId="7132039C"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3E04C31" w14:textId="13AD8615"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7D0AD0" w:rsidRPr="00A55335" w14:paraId="498B689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DA809EC" w14:textId="2D6FF894" w:rsidR="007D0AD0" w:rsidRPr="00A55335" w:rsidRDefault="007D0AD0" w:rsidP="00CB1CA5">
            <w:pPr>
              <w:pStyle w:val="Tabletext8pt"/>
            </w:pPr>
            <w:r w:rsidRPr="00A55335">
              <w:t>21 Symptoms, signs or clinical findings, not elsewhere classified</w:t>
            </w:r>
          </w:p>
        </w:tc>
        <w:tc>
          <w:tcPr>
            <w:tcW w:w="992" w:type="dxa"/>
          </w:tcPr>
          <w:p w14:paraId="56D27F62" w14:textId="05573B4B"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9</w:t>
            </w:r>
          </w:p>
        </w:tc>
        <w:tc>
          <w:tcPr>
            <w:tcW w:w="1134" w:type="dxa"/>
            <w:noWrap/>
          </w:tcPr>
          <w:p w14:paraId="42918AA9" w14:textId="2AF447A7"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tcPr>
          <w:p w14:paraId="64814CC2" w14:textId="204FA832"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0CFCC6BD"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2B9AA19" w14:textId="77777777" w:rsidR="00CB1CA5" w:rsidRPr="00A55335" w:rsidRDefault="00CB1CA5" w:rsidP="00CB1CA5">
            <w:pPr>
              <w:pStyle w:val="Tabletext8pt"/>
            </w:pPr>
          </w:p>
        </w:tc>
        <w:tc>
          <w:tcPr>
            <w:tcW w:w="4820" w:type="dxa"/>
            <w:noWrap/>
            <w:hideMark/>
          </w:tcPr>
          <w:p w14:paraId="04385116" w14:textId="38E7767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Chronic fatigue syndrome</w:t>
            </w:r>
          </w:p>
        </w:tc>
        <w:tc>
          <w:tcPr>
            <w:tcW w:w="992" w:type="dxa"/>
          </w:tcPr>
          <w:p w14:paraId="4E6A9818" w14:textId="7E8A557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7F8B5F80" w14:textId="4DBE78EE" w:rsidR="00CB1CA5" w:rsidRPr="00A55335" w:rsidRDefault="008B4E82"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20DBBFA4" w14:textId="6B6C055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r>
      <w:tr w:rsidR="00CB1CA5" w:rsidRPr="00A55335" w14:paraId="0A44B10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7110EC9" w14:textId="77777777" w:rsidR="00CB1CA5" w:rsidRPr="00A55335" w:rsidRDefault="00CB1CA5" w:rsidP="00CB1CA5">
            <w:pPr>
              <w:pStyle w:val="Tabletext8pt"/>
            </w:pPr>
          </w:p>
        </w:tc>
        <w:tc>
          <w:tcPr>
            <w:tcW w:w="4820" w:type="dxa"/>
            <w:noWrap/>
            <w:hideMark/>
          </w:tcPr>
          <w:p w14:paraId="586103B8" w14:textId="7FB3FD8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Fibromyalgia</w:t>
            </w:r>
          </w:p>
        </w:tc>
        <w:tc>
          <w:tcPr>
            <w:tcW w:w="992" w:type="dxa"/>
          </w:tcPr>
          <w:p w14:paraId="578C224A" w14:textId="1BFD3F9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c>
          <w:tcPr>
            <w:tcW w:w="1134" w:type="dxa"/>
            <w:noWrap/>
            <w:hideMark/>
          </w:tcPr>
          <w:p w14:paraId="1CD8997D" w14:textId="7B6469F8" w:rsidR="00CB1CA5" w:rsidRPr="00A55335" w:rsidRDefault="008B4E82" w:rsidP="00CB1CA5">
            <w:pPr>
              <w:pStyle w:val="Tabletext8pt"/>
              <w:cnfStyle w:val="000000000000" w:firstRow="0" w:lastRow="0" w:firstColumn="0" w:lastColumn="0" w:oddVBand="0" w:evenVBand="0" w:oddHBand="0" w:evenHBand="0" w:firstRowFirstColumn="0" w:firstRowLastColumn="0" w:lastRowFirstColumn="0" w:lastRowLastColumn="0"/>
            </w:pPr>
            <w:r w:rsidRPr="00A55335">
              <w:t>Yes</w:t>
            </w:r>
          </w:p>
        </w:tc>
        <w:tc>
          <w:tcPr>
            <w:tcW w:w="2085" w:type="dxa"/>
            <w:noWrap/>
          </w:tcPr>
          <w:p w14:paraId="3C851C9D" w14:textId="2A157DD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r>
      <w:tr w:rsidR="00CB1CA5" w:rsidRPr="00A55335" w14:paraId="6BC174A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18DF7BE" w14:textId="77777777" w:rsidR="00CB1CA5" w:rsidRPr="00A55335" w:rsidRDefault="00CB1CA5" w:rsidP="00CB1CA5">
            <w:pPr>
              <w:pStyle w:val="Tabletext8pt"/>
            </w:pPr>
          </w:p>
        </w:tc>
        <w:tc>
          <w:tcPr>
            <w:tcW w:w="4820" w:type="dxa"/>
            <w:noWrap/>
            <w:hideMark/>
          </w:tcPr>
          <w:p w14:paraId="084809F3" w14:textId="34EA09F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Sedentary adults</w:t>
            </w:r>
          </w:p>
        </w:tc>
        <w:tc>
          <w:tcPr>
            <w:tcW w:w="992" w:type="dxa"/>
          </w:tcPr>
          <w:p w14:paraId="77C0AB84" w14:textId="5D7D9F2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EB26FCA" w14:textId="11C5D3E4"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2E778149" w14:textId="0BFEC005"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245DA2B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22FBAC3" w14:textId="77777777" w:rsidR="00CB1CA5" w:rsidRPr="00A55335" w:rsidRDefault="00CB1CA5" w:rsidP="00CB1CA5">
            <w:pPr>
              <w:pStyle w:val="Tabletext8pt"/>
            </w:pPr>
          </w:p>
        </w:tc>
        <w:tc>
          <w:tcPr>
            <w:tcW w:w="4820" w:type="dxa"/>
            <w:noWrap/>
            <w:hideMark/>
          </w:tcPr>
          <w:p w14:paraId="77A4F777" w14:textId="3BF2648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Snoring (</w:t>
            </w:r>
            <w:r w:rsidR="00376D7C" w:rsidRPr="00A55335">
              <w:t>non-apnoea</w:t>
            </w:r>
            <w:r w:rsidRPr="00A55335">
              <w:t>)</w:t>
            </w:r>
          </w:p>
        </w:tc>
        <w:tc>
          <w:tcPr>
            <w:tcW w:w="992" w:type="dxa"/>
          </w:tcPr>
          <w:p w14:paraId="4F141B38" w14:textId="3750964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0EB6977B" w14:textId="610F91C5"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DDDF7EB" w14:textId="471946B3"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9EF532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204DF42" w14:textId="77777777" w:rsidR="00CB1CA5" w:rsidRPr="00A55335" w:rsidRDefault="00CB1CA5" w:rsidP="00CB1CA5">
            <w:pPr>
              <w:pStyle w:val="Tabletext8pt"/>
            </w:pPr>
          </w:p>
        </w:tc>
        <w:tc>
          <w:tcPr>
            <w:tcW w:w="4820" w:type="dxa"/>
            <w:noWrap/>
            <w:hideMark/>
          </w:tcPr>
          <w:p w14:paraId="21EC5A79" w14:textId="25F0CD6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Vertigo (vestibular, non-vestibular)</w:t>
            </w:r>
          </w:p>
        </w:tc>
        <w:tc>
          <w:tcPr>
            <w:tcW w:w="992" w:type="dxa"/>
          </w:tcPr>
          <w:p w14:paraId="2923533D" w14:textId="0A95A172"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c>
          <w:tcPr>
            <w:tcW w:w="1134" w:type="dxa"/>
            <w:noWrap/>
            <w:hideMark/>
          </w:tcPr>
          <w:p w14:paraId="0357912D" w14:textId="45F70AF3"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1692E2F" w14:textId="2FBA146D"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7D0AD0" w:rsidRPr="00A55335" w14:paraId="48204B1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7D54E749" w14:textId="68CBD55C" w:rsidR="007D0AD0" w:rsidRPr="00A55335" w:rsidRDefault="007D0AD0" w:rsidP="00CB1CA5">
            <w:pPr>
              <w:pStyle w:val="Tabletext8pt"/>
            </w:pPr>
            <w:r w:rsidRPr="00A55335">
              <w:t>22 Injury, poisoning or certain other consequences of external causes</w:t>
            </w:r>
          </w:p>
        </w:tc>
        <w:tc>
          <w:tcPr>
            <w:tcW w:w="992" w:type="dxa"/>
          </w:tcPr>
          <w:p w14:paraId="685D8B46" w14:textId="0956D71A"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9</w:t>
            </w:r>
          </w:p>
        </w:tc>
        <w:tc>
          <w:tcPr>
            <w:tcW w:w="1134" w:type="dxa"/>
            <w:noWrap/>
            <w:hideMark/>
          </w:tcPr>
          <w:p w14:paraId="3D39D49B" w14:textId="5871E00E"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6E9E062A" w14:textId="77777777"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11764ACB"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57FAED8" w14:textId="77777777" w:rsidR="00CB1CA5" w:rsidRPr="00A55335" w:rsidRDefault="00CB1CA5" w:rsidP="00CB1CA5">
            <w:pPr>
              <w:pStyle w:val="Tabletext8pt"/>
            </w:pPr>
          </w:p>
        </w:tc>
        <w:tc>
          <w:tcPr>
            <w:tcW w:w="4820" w:type="dxa"/>
            <w:noWrap/>
            <w:hideMark/>
          </w:tcPr>
          <w:p w14:paraId="19EDF36C" w14:textId="4B4AF40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Ankle sprain (acute)</w:t>
            </w:r>
          </w:p>
        </w:tc>
        <w:tc>
          <w:tcPr>
            <w:tcW w:w="992" w:type="dxa"/>
          </w:tcPr>
          <w:p w14:paraId="46D5879D" w14:textId="142C6B81"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58A03AF1" w14:textId="352CC7E3"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6021F0C" w14:textId="33518ABB"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DF0AB6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B7B405E" w14:textId="77777777" w:rsidR="00CB1CA5" w:rsidRPr="00A55335" w:rsidRDefault="00CB1CA5" w:rsidP="00CB1CA5">
            <w:pPr>
              <w:pStyle w:val="Tabletext8pt"/>
            </w:pPr>
          </w:p>
        </w:tc>
        <w:tc>
          <w:tcPr>
            <w:tcW w:w="4820" w:type="dxa"/>
            <w:noWrap/>
            <w:hideMark/>
          </w:tcPr>
          <w:p w14:paraId="1C537453" w14:textId="11C69CD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Burns injury (minor)</w:t>
            </w:r>
          </w:p>
        </w:tc>
        <w:tc>
          <w:tcPr>
            <w:tcW w:w="992" w:type="dxa"/>
          </w:tcPr>
          <w:p w14:paraId="6D02A89E" w14:textId="5247BCE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8A24E26" w14:textId="3AEB1B52"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59CD1E9" w14:textId="5A43F0C3"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614C12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4C04C0D5" w14:textId="77777777" w:rsidR="00CB1CA5" w:rsidRPr="00A55335" w:rsidRDefault="00CB1CA5" w:rsidP="00CB1CA5">
            <w:pPr>
              <w:pStyle w:val="Tabletext8pt"/>
            </w:pPr>
          </w:p>
        </w:tc>
        <w:tc>
          <w:tcPr>
            <w:tcW w:w="4820" w:type="dxa"/>
            <w:noWrap/>
            <w:hideMark/>
          </w:tcPr>
          <w:p w14:paraId="54EBC13E" w14:textId="0AD5ED7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Harmful effect of vaccination (fever)</w:t>
            </w:r>
          </w:p>
        </w:tc>
        <w:tc>
          <w:tcPr>
            <w:tcW w:w="992" w:type="dxa"/>
          </w:tcPr>
          <w:p w14:paraId="42CECBC7" w14:textId="2525B37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73613DEA" w14:textId="2AEB660C"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74912467" w14:textId="7B7857F5"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806277C"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615D454" w14:textId="77777777" w:rsidR="00CB1CA5" w:rsidRPr="00A55335" w:rsidRDefault="00CB1CA5" w:rsidP="00CB1CA5">
            <w:pPr>
              <w:pStyle w:val="Tabletext8pt"/>
            </w:pPr>
          </w:p>
        </w:tc>
        <w:tc>
          <w:tcPr>
            <w:tcW w:w="4820" w:type="dxa"/>
            <w:noWrap/>
            <w:hideMark/>
          </w:tcPr>
          <w:p w14:paraId="55434398" w14:textId="4B14553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Harmful effects of arsenic exposure</w:t>
            </w:r>
          </w:p>
        </w:tc>
        <w:tc>
          <w:tcPr>
            <w:tcW w:w="992" w:type="dxa"/>
          </w:tcPr>
          <w:p w14:paraId="73631644" w14:textId="3262D11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085082C" w14:textId="749B10C6"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A972D51" w14:textId="52D33A27" w:rsidR="00CB1CA5" w:rsidRPr="00A55335" w:rsidRDefault="00376D7C"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120940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6ACFB2E" w14:textId="77777777" w:rsidR="00CB1CA5" w:rsidRPr="00A55335" w:rsidRDefault="00CB1CA5" w:rsidP="00CB1CA5">
            <w:pPr>
              <w:pStyle w:val="Tabletext8pt"/>
            </w:pPr>
          </w:p>
        </w:tc>
        <w:tc>
          <w:tcPr>
            <w:tcW w:w="4820" w:type="dxa"/>
            <w:noWrap/>
            <w:hideMark/>
          </w:tcPr>
          <w:p w14:paraId="1F25BC5B" w14:textId="25E8951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Harmful effects of lead exposure</w:t>
            </w:r>
          </w:p>
        </w:tc>
        <w:tc>
          <w:tcPr>
            <w:tcW w:w="992" w:type="dxa"/>
          </w:tcPr>
          <w:p w14:paraId="6722DD30" w14:textId="13FD538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05B7AFBA" w14:textId="45D56B1A"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72DD1CAD" w14:textId="1EEF9BB6"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89693A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2E2CED7" w14:textId="77777777" w:rsidR="00CB1CA5" w:rsidRPr="00A55335" w:rsidRDefault="00CB1CA5" w:rsidP="00CB1CA5">
            <w:pPr>
              <w:pStyle w:val="Tabletext8pt"/>
            </w:pPr>
          </w:p>
        </w:tc>
        <w:tc>
          <w:tcPr>
            <w:tcW w:w="4820" w:type="dxa"/>
            <w:noWrap/>
            <w:hideMark/>
          </w:tcPr>
          <w:p w14:paraId="29DC105C" w14:textId="4EF61DD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Procedural pain (neonates, heel-stick for screening)</w:t>
            </w:r>
          </w:p>
        </w:tc>
        <w:tc>
          <w:tcPr>
            <w:tcW w:w="992" w:type="dxa"/>
          </w:tcPr>
          <w:p w14:paraId="184788E6" w14:textId="787A1D8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7A6C7342" w14:textId="28F70716"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2D8EA303" w14:textId="69355AB9"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2F449DF"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5F49831F" w14:textId="77777777" w:rsidR="00CB1CA5" w:rsidRPr="00A55335" w:rsidRDefault="00CB1CA5" w:rsidP="00CB1CA5">
            <w:pPr>
              <w:pStyle w:val="Tabletext8pt"/>
            </w:pPr>
          </w:p>
        </w:tc>
        <w:tc>
          <w:tcPr>
            <w:tcW w:w="4820" w:type="dxa"/>
            <w:noWrap/>
            <w:hideMark/>
          </w:tcPr>
          <w:p w14:paraId="63AB312D" w14:textId="3B1CE9F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Traumatic brain injury (mild)</w:t>
            </w:r>
          </w:p>
        </w:tc>
        <w:tc>
          <w:tcPr>
            <w:tcW w:w="992" w:type="dxa"/>
          </w:tcPr>
          <w:p w14:paraId="10EB80DC" w14:textId="7FCBF32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398A7E70" w14:textId="15B68EF0"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1216888" w14:textId="3EE66198"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36F697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9903557" w14:textId="77777777" w:rsidR="00CB1CA5" w:rsidRPr="00A55335" w:rsidRDefault="00CB1CA5" w:rsidP="00CB1CA5">
            <w:pPr>
              <w:pStyle w:val="Tabletext8pt"/>
            </w:pPr>
          </w:p>
        </w:tc>
        <w:tc>
          <w:tcPr>
            <w:tcW w:w="4820" w:type="dxa"/>
            <w:noWrap/>
            <w:hideMark/>
          </w:tcPr>
          <w:p w14:paraId="40C2BE3D" w14:textId="6BA08EB9"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Whiplash injury (acute)</w:t>
            </w:r>
          </w:p>
        </w:tc>
        <w:tc>
          <w:tcPr>
            <w:tcW w:w="992" w:type="dxa"/>
          </w:tcPr>
          <w:p w14:paraId="4C7F55D4" w14:textId="4E3BE5AD"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0A08F5EB" w14:textId="4294FD27"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4CEDDFD" w14:textId="273ADDC3"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5C29D6A2"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142E6954" w14:textId="161D3422" w:rsidR="00CB1CA5" w:rsidRPr="00A55335" w:rsidRDefault="00CB1CA5" w:rsidP="00CB1CA5">
            <w:pPr>
              <w:pStyle w:val="Tabletext8pt"/>
            </w:pPr>
            <w:r w:rsidRPr="00A55335">
              <w:t>24 Factors influencing health status or contact with health services</w:t>
            </w:r>
          </w:p>
        </w:tc>
        <w:tc>
          <w:tcPr>
            <w:tcW w:w="992" w:type="dxa"/>
          </w:tcPr>
          <w:p w14:paraId="3998B9D4" w14:textId="6AE6F4D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22</w:t>
            </w:r>
          </w:p>
        </w:tc>
        <w:tc>
          <w:tcPr>
            <w:tcW w:w="1134" w:type="dxa"/>
            <w:noWrap/>
            <w:hideMark/>
          </w:tcPr>
          <w:p w14:paraId="538B86AB" w14:textId="56DA41B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2ABA2F14" w14:textId="7777777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095B8A4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3288871" w14:textId="77777777" w:rsidR="00CB1CA5" w:rsidRPr="00A55335" w:rsidRDefault="00CB1CA5" w:rsidP="00CB1CA5">
            <w:pPr>
              <w:pStyle w:val="Tabletext8pt"/>
            </w:pPr>
          </w:p>
        </w:tc>
        <w:tc>
          <w:tcPr>
            <w:tcW w:w="4820" w:type="dxa"/>
            <w:noWrap/>
            <w:hideMark/>
          </w:tcPr>
          <w:p w14:paraId="4C1BF6AB" w14:textId="2FD2558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(aortic valve replacement)</w:t>
            </w:r>
          </w:p>
        </w:tc>
        <w:tc>
          <w:tcPr>
            <w:tcW w:w="992" w:type="dxa"/>
          </w:tcPr>
          <w:p w14:paraId="68834D88" w14:textId="394BB186"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7D2D496" w14:textId="23D4591B"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E326FDC" w14:textId="4B4E91F1"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BE3C4A9"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7DB84A6E" w14:textId="77777777" w:rsidR="00CB1CA5" w:rsidRPr="00A55335" w:rsidRDefault="00CB1CA5" w:rsidP="00CB1CA5">
            <w:pPr>
              <w:pStyle w:val="Tabletext8pt"/>
            </w:pPr>
          </w:p>
        </w:tc>
        <w:tc>
          <w:tcPr>
            <w:tcW w:w="4820" w:type="dxa"/>
            <w:noWrap/>
            <w:hideMark/>
          </w:tcPr>
          <w:p w14:paraId="48BAE666" w14:textId="0B52ACB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(carpal tunnel syndrome)</w:t>
            </w:r>
          </w:p>
        </w:tc>
        <w:tc>
          <w:tcPr>
            <w:tcW w:w="992" w:type="dxa"/>
          </w:tcPr>
          <w:p w14:paraId="3F6BBB45" w14:textId="2B034434"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4525BB75" w14:textId="3129E5D7"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39560A1" w14:textId="2041B5ED"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5CE0FB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1416DC8" w14:textId="77777777" w:rsidR="00CB1CA5" w:rsidRPr="00A55335" w:rsidRDefault="00CB1CA5" w:rsidP="00CB1CA5">
            <w:pPr>
              <w:pStyle w:val="Tabletext8pt"/>
            </w:pPr>
          </w:p>
        </w:tc>
        <w:tc>
          <w:tcPr>
            <w:tcW w:w="4820" w:type="dxa"/>
            <w:noWrap/>
            <w:hideMark/>
          </w:tcPr>
          <w:p w14:paraId="58809BBA" w14:textId="6D9240B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(dental procedures</w:t>
            </w:r>
            <w:r w:rsidR="00681E06" w:rsidRPr="00A55335">
              <w:t xml:space="preserve"> or oral surgery</w:t>
            </w:r>
            <w:r w:rsidRPr="00A55335">
              <w:t>)</w:t>
            </w:r>
          </w:p>
        </w:tc>
        <w:tc>
          <w:tcPr>
            <w:tcW w:w="992" w:type="dxa"/>
          </w:tcPr>
          <w:p w14:paraId="7ADFC064" w14:textId="05F330DD"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3</w:t>
            </w:r>
          </w:p>
        </w:tc>
        <w:tc>
          <w:tcPr>
            <w:tcW w:w="1134" w:type="dxa"/>
            <w:noWrap/>
            <w:hideMark/>
          </w:tcPr>
          <w:p w14:paraId="58E314FF" w14:textId="0403A667"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1AA96018" w14:textId="13ED03BE"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75F62E9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2FCFBCEB" w14:textId="77777777" w:rsidR="00CB1CA5" w:rsidRPr="00A55335" w:rsidRDefault="00CB1CA5" w:rsidP="00CB1CA5">
            <w:pPr>
              <w:pStyle w:val="Tabletext8pt"/>
            </w:pPr>
          </w:p>
        </w:tc>
        <w:tc>
          <w:tcPr>
            <w:tcW w:w="4820" w:type="dxa"/>
            <w:noWrap/>
            <w:hideMark/>
          </w:tcPr>
          <w:p w14:paraId="7D3DC169" w14:textId="7D653C8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(disc herniation)</w:t>
            </w:r>
          </w:p>
        </w:tc>
        <w:tc>
          <w:tcPr>
            <w:tcW w:w="992" w:type="dxa"/>
          </w:tcPr>
          <w:p w14:paraId="53738E2A" w14:textId="6EFBB29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531C292" w14:textId="56151963"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21022465" w14:textId="06B53DCF"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79F3EF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F7E544B" w14:textId="77777777" w:rsidR="00CB1CA5" w:rsidRPr="00A55335" w:rsidRDefault="00CB1CA5" w:rsidP="00CB1CA5">
            <w:pPr>
              <w:pStyle w:val="Tabletext8pt"/>
            </w:pPr>
          </w:p>
        </w:tc>
        <w:tc>
          <w:tcPr>
            <w:tcW w:w="4820" w:type="dxa"/>
            <w:noWrap/>
            <w:hideMark/>
          </w:tcPr>
          <w:p w14:paraId="00661F64" w14:textId="5E63389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(face lift)</w:t>
            </w:r>
          </w:p>
        </w:tc>
        <w:tc>
          <w:tcPr>
            <w:tcW w:w="992" w:type="dxa"/>
          </w:tcPr>
          <w:p w14:paraId="0EAB0502" w14:textId="48FE23C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8CEEC35" w14:textId="603A1004"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548A5E3" w14:textId="7210E0FF"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1CDB3B3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EF8B087" w14:textId="77777777" w:rsidR="00CB1CA5" w:rsidRPr="00A55335" w:rsidRDefault="00CB1CA5" w:rsidP="00CB1CA5">
            <w:pPr>
              <w:pStyle w:val="Tabletext8pt"/>
            </w:pPr>
          </w:p>
        </w:tc>
        <w:tc>
          <w:tcPr>
            <w:tcW w:w="4820" w:type="dxa"/>
            <w:noWrap/>
            <w:hideMark/>
          </w:tcPr>
          <w:p w14:paraId="733ECD69" w14:textId="4D13E30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(Hallux valgus [bunion])</w:t>
            </w:r>
          </w:p>
        </w:tc>
        <w:tc>
          <w:tcPr>
            <w:tcW w:w="992" w:type="dxa"/>
          </w:tcPr>
          <w:p w14:paraId="1CB39A2C" w14:textId="58AEEDF1"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4B5B2CE1" w14:textId="4C9B3894"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3D597C6" w14:textId="0C949CB0"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F79541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04CE12E" w14:textId="77777777" w:rsidR="00CB1CA5" w:rsidRPr="00A55335" w:rsidRDefault="00CB1CA5" w:rsidP="00CB1CA5">
            <w:pPr>
              <w:pStyle w:val="Tabletext8pt"/>
            </w:pPr>
          </w:p>
        </w:tc>
        <w:tc>
          <w:tcPr>
            <w:tcW w:w="4820" w:type="dxa"/>
            <w:noWrap/>
            <w:hideMark/>
          </w:tcPr>
          <w:p w14:paraId="217B3B12" w14:textId="490FDAE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(knee, after arthroscopy, joint implantations, ligament reconstruction)</w:t>
            </w:r>
          </w:p>
        </w:tc>
        <w:tc>
          <w:tcPr>
            <w:tcW w:w="992" w:type="dxa"/>
          </w:tcPr>
          <w:p w14:paraId="288777BA" w14:textId="36DD4D05"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0F95DAB6" w14:textId="3360297A"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2F4424D" w14:textId="3C4BBDC4"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4404CE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359FC413" w14:textId="77777777" w:rsidR="00CB1CA5" w:rsidRPr="00A55335" w:rsidRDefault="00CB1CA5" w:rsidP="00CB1CA5">
            <w:pPr>
              <w:pStyle w:val="Tabletext8pt"/>
            </w:pPr>
          </w:p>
        </w:tc>
        <w:tc>
          <w:tcPr>
            <w:tcW w:w="4820" w:type="dxa"/>
            <w:noWrap/>
            <w:hideMark/>
          </w:tcPr>
          <w:p w14:paraId="55D7CDD0" w14:textId="724AAB6F"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(mastectomy)</w:t>
            </w:r>
          </w:p>
        </w:tc>
        <w:tc>
          <w:tcPr>
            <w:tcW w:w="992" w:type="dxa"/>
          </w:tcPr>
          <w:p w14:paraId="6859F9A7" w14:textId="3DD8BE23"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52FF909C" w14:textId="713A1671"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315B87AA" w14:textId="40BBDA06"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681E06" w:rsidRPr="00A55335" w14:paraId="39EC48BF"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2ABD83D" w14:textId="77777777" w:rsidR="00681E06" w:rsidRPr="00A55335" w:rsidRDefault="00681E06" w:rsidP="00681E06">
            <w:pPr>
              <w:pStyle w:val="Tabletext8pt"/>
            </w:pPr>
          </w:p>
        </w:tc>
        <w:tc>
          <w:tcPr>
            <w:tcW w:w="4820" w:type="dxa"/>
            <w:noWrap/>
            <w:hideMark/>
          </w:tcPr>
          <w:p w14:paraId="65934512" w14:textId="77777777" w:rsidR="00681E06" w:rsidRPr="00A55335" w:rsidRDefault="00681E06" w:rsidP="00681E06">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(removal of wisdom teeth, impacted)</w:t>
            </w:r>
          </w:p>
        </w:tc>
        <w:tc>
          <w:tcPr>
            <w:tcW w:w="992" w:type="dxa"/>
          </w:tcPr>
          <w:p w14:paraId="5DCDA41F" w14:textId="77777777" w:rsidR="00681E06" w:rsidRPr="00A55335" w:rsidRDefault="00681E06" w:rsidP="00681E06">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351E1846" w14:textId="77777777" w:rsidR="00681E06" w:rsidRPr="00A55335" w:rsidRDefault="00681E06" w:rsidP="00681E06">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5E95F531" w14:textId="01A7FF83" w:rsidR="00681E06" w:rsidRPr="00A55335" w:rsidRDefault="00681E06" w:rsidP="00681E06">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002CE70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B229474" w14:textId="77777777" w:rsidR="00CB1CA5" w:rsidRPr="00A55335" w:rsidRDefault="00CB1CA5" w:rsidP="00CB1CA5">
            <w:pPr>
              <w:pStyle w:val="Tabletext8pt"/>
            </w:pPr>
          </w:p>
        </w:tc>
        <w:tc>
          <w:tcPr>
            <w:tcW w:w="4820" w:type="dxa"/>
            <w:noWrap/>
            <w:hideMark/>
          </w:tcPr>
          <w:p w14:paraId="1C3F2C71" w14:textId="626D6E0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(rhinoplasty)</w:t>
            </w:r>
          </w:p>
        </w:tc>
        <w:tc>
          <w:tcPr>
            <w:tcW w:w="992" w:type="dxa"/>
          </w:tcPr>
          <w:p w14:paraId="706FD363" w14:textId="76E2F1C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3E98AE56" w14:textId="6D168498"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264F76E" w14:textId="2501E436"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43FA77F5"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608E0678" w14:textId="77777777" w:rsidR="00CB1CA5" w:rsidRPr="00A55335" w:rsidRDefault="00CB1CA5" w:rsidP="00CB1CA5">
            <w:pPr>
              <w:pStyle w:val="Tabletext8pt"/>
            </w:pPr>
          </w:p>
        </w:tc>
        <w:tc>
          <w:tcPr>
            <w:tcW w:w="4820" w:type="dxa"/>
            <w:noWrap/>
            <w:hideMark/>
          </w:tcPr>
          <w:p w14:paraId="55A7A5C6" w14:textId="78A156D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(tonsillectomy)</w:t>
            </w:r>
          </w:p>
        </w:tc>
        <w:tc>
          <w:tcPr>
            <w:tcW w:w="992" w:type="dxa"/>
          </w:tcPr>
          <w:p w14:paraId="042AECD4" w14:textId="7B6364F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1B8F798C" w14:textId="086ED3EB"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6A369ED6" w14:textId="549CB81F"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346CFFF7"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BEAA059" w14:textId="77777777" w:rsidR="00CB1CA5" w:rsidRPr="00A55335" w:rsidRDefault="00CB1CA5" w:rsidP="00CB1CA5">
            <w:pPr>
              <w:pStyle w:val="Tabletext8pt"/>
            </w:pPr>
          </w:p>
        </w:tc>
        <w:tc>
          <w:tcPr>
            <w:tcW w:w="4820" w:type="dxa"/>
            <w:noWrap/>
            <w:hideMark/>
          </w:tcPr>
          <w:p w14:paraId="7AD8D01C" w14:textId="2C4C7328"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(total abdominal hysterectomy)</w:t>
            </w:r>
          </w:p>
        </w:tc>
        <w:tc>
          <w:tcPr>
            <w:tcW w:w="992" w:type="dxa"/>
          </w:tcPr>
          <w:p w14:paraId="60773883" w14:textId="2F26598A"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AB4C7C4" w14:textId="77F08E6C"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3460A550" w14:textId="1B504DB3"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CEB2888"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A8A940E" w14:textId="77777777" w:rsidR="00CB1CA5" w:rsidRPr="00A55335" w:rsidRDefault="00CB1CA5" w:rsidP="00CB1CA5">
            <w:pPr>
              <w:pStyle w:val="Tabletext8pt"/>
            </w:pPr>
          </w:p>
        </w:tc>
        <w:tc>
          <w:tcPr>
            <w:tcW w:w="4820" w:type="dxa"/>
            <w:noWrap/>
            <w:hideMark/>
          </w:tcPr>
          <w:p w14:paraId="54A481EB" w14:textId="5871A317"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(upper eyelid blepharoplasty)</w:t>
            </w:r>
          </w:p>
        </w:tc>
        <w:tc>
          <w:tcPr>
            <w:tcW w:w="992" w:type="dxa"/>
          </w:tcPr>
          <w:p w14:paraId="2B2C416F" w14:textId="6D45C0F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2</w:t>
            </w:r>
          </w:p>
        </w:tc>
        <w:tc>
          <w:tcPr>
            <w:tcW w:w="1134" w:type="dxa"/>
            <w:noWrap/>
            <w:hideMark/>
          </w:tcPr>
          <w:p w14:paraId="4618F062" w14:textId="7D67ADE3"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45CABB8A" w14:textId="72C1924F"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2A022C86"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8CFD28C" w14:textId="77777777" w:rsidR="00CB1CA5" w:rsidRPr="00A55335" w:rsidRDefault="00CB1CA5" w:rsidP="00CB1CA5">
            <w:pPr>
              <w:pStyle w:val="Tabletext8pt"/>
            </w:pPr>
          </w:p>
        </w:tc>
        <w:tc>
          <w:tcPr>
            <w:tcW w:w="4820" w:type="dxa"/>
            <w:noWrap/>
            <w:hideMark/>
          </w:tcPr>
          <w:p w14:paraId="147EE87D" w14:textId="71A95932"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Postoperative recovery (varicose vein surgery)</w:t>
            </w:r>
          </w:p>
        </w:tc>
        <w:tc>
          <w:tcPr>
            <w:tcW w:w="992" w:type="dxa"/>
          </w:tcPr>
          <w:p w14:paraId="17C2FDFE" w14:textId="2807FE80"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63A9B948" w14:textId="080CF0CD"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135F001" w14:textId="0716C914"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CB1CA5" w:rsidRPr="00A55335" w14:paraId="65109DCA"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11E16F76" w14:textId="77777777" w:rsidR="00CB1CA5" w:rsidRPr="00A55335" w:rsidRDefault="00CB1CA5" w:rsidP="00CB1CA5">
            <w:pPr>
              <w:pStyle w:val="Tabletext8pt"/>
            </w:pPr>
          </w:p>
        </w:tc>
        <w:tc>
          <w:tcPr>
            <w:tcW w:w="4820" w:type="dxa"/>
            <w:noWrap/>
            <w:hideMark/>
          </w:tcPr>
          <w:p w14:paraId="3072EA55" w14:textId="59905A34"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Postprocedural pain (orthodontic separators)</w:t>
            </w:r>
          </w:p>
        </w:tc>
        <w:tc>
          <w:tcPr>
            <w:tcW w:w="992" w:type="dxa"/>
          </w:tcPr>
          <w:p w14:paraId="7F91EC74" w14:textId="55BB2E45"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3949250" w14:textId="5E1A0974"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35BDD793" w14:textId="102CB8CB"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7D0AD0" w:rsidRPr="00A55335" w14:paraId="49D5B081"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49824BD0" w14:textId="3BD6682A" w:rsidR="007D0AD0" w:rsidRPr="00A55335" w:rsidRDefault="007D0AD0" w:rsidP="00CB1CA5">
            <w:pPr>
              <w:pStyle w:val="Tabletext8pt"/>
            </w:pPr>
            <w:r w:rsidRPr="00A55335">
              <w:t>25 Prevention/ codes for special purposes</w:t>
            </w:r>
          </w:p>
        </w:tc>
        <w:tc>
          <w:tcPr>
            <w:tcW w:w="992" w:type="dxa"/>
          </w:tcPr>
          <w:p w14:paraId="02603471" w14:textId="08EAE8A2"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1</w:t>
            </w:r>
          </w:p>
        </w:tc>
        <w:tc>
          <w:tcPr>
            <w:tcW w:w="1134" w:type="dxa"/>
            <w:noWrap/>
            <w:hideMark/>
          </w:tcPr>
          <w:p w14:paraId="26A346F3" w14:textId="651E0F9E"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pPr>
          </w:p>
        </w:tc>
        <w:tc>
          <w:tcPr>
            <w:tcW w:w="2085" w:type="dxa"/>
            <w:noWrap/>
            <w:hideMark/>
          </w:tcPr>
          <w:p w14:paraId="60E5B0B1" w14:textId="77777777"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pPr>
          </w:p>
        </w:tc>
      </w:tr>
      <w:tr w:rsidR="00CB1CA5" w:rsidRPr="00A55335" w14:paraId="79953653"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704" w:type="dxa"/>
          </w:tcPr>
          <w:p w14:paraId="01B35151" w14:textId="77777777" w:rsidR="00CB1CA5" w:rsidRPr="00A55335" w:rsidRDefault="00CB1CA5" w:rsidP="00CB1CA5">
            <w:pPr>
              <w:pStyle w:val="Tabletext8pt"/>
            </w:pPr>
          </w:p>
        </w:tc>
        <w:tc>
          <w:tcPr>
            <w:tcW w:w="4820" w:type="dxa"/>
            <w:noWrap/>
            <w:hideMark/>
          </w:tcPr>
          <w:p w14:paraId="25E13256" w14:textId="6DE4E85E"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Homeopathy as practice (people presenting to homeopathy clinic)</w:t>
            </w:r>
          </w:p>
        </w:tc>
        <w:tc>
          <w:tcPr>
            <w:tcW w:w="992" w:type="dxa"/>
          </w:tcPr>
          <w:p w14:paraId="42C40133" w14:textId="36EB40FB" w:rsidR="00CB1CA5" w:rsidRPr="00A55335" w:rsidRDefault="00CB1CA5" w:rsidP="00CB1CA5">
            <w:pPr>
              <w:pStyle w:val="Tabletext8pt"/>
              <w:cnfStyle w:val="000000000000" w:firstRow="0" w:lastRow="0" w:firstColumn="0" w:lastColumn="0" w:oddVBand="0" w:evenVBand="0" w:oddHBand="0" w:evenHBand="0" w:firstRowFirstColumn="0" w:firstRowLastColumn="0" w:lastRowFirstColumn="0" w:lastRowLastColumn="0"/>
            </w:pPr>
            <w:r w:rsidRPr="00A55335">
              <w:t>1</w:t>
            </w:r>
          </w:p>
        </w:tc>
        <w:tc>
          <w:tcPr>
            <w:tcW w:w="1134" w:type="dxa"/>
            <w:noWrap/>
            <w:hideMark/>
          </w:tcPr>
          <w:p w14:paraId="4B54CF2E" w14:textId="3979052E" w:rsidR="00CB1CA5" w:rsidRPr="00A55335" w:rsidRDefault="00FB54B4" w:rsidP="00CB1CA5">
            <w:pPr>
              <w:pStyle w:val="Tabletext8pt"/>
              <w:cnfStyle w:val="000000000000" w:firstRow="0" w:lastRow="0" w:firstColumn="0" w:lastColumn="0" w:oddVBand="0" w:evenVBand="0" w:oddHBand="0" w:evenHBand="0" w:firstRowFirstColumn="0" w:firstRowLastColumn="0" w:lastRowFirstColumn="0" w:lastRowLastColumn="0"/>
            </w:pPr>
            <w:r w:rsidRPr="00A55335">
              <w:t>No</w:t>
            </w:r>
          </w:p>
        </w:tc>
        <w:tc>
          <w:tcPr>
            <w:tcW w:w="2085" w:type="dxa"/>
            <w:noWrap/>
            <w:hideMark/>
          </w:tcPr>
          <w:p w14:paraId="0F9CEB8F" w14:textId="3E4E3C2D" w:rsidR="00CB1CA5" w:rsidRPr="00A55335" w:rsidRDefault="00681E06" w:rsidP="00CB1CA5">
            <w:pPr>
              <w:pStyle w:val="Tabletext8pt"/>
              <w:cnfStyle w:val="000000000000" w:firstRow="0" w:lastRow="0" w:firstColumn="0" w:lastColumn="0" w:oddVBand="0" w:evenVBand="0" w:oddHBand="0" w:evenHBand="0" w:firstRowFirstColumn="0" w:firstRowLastColumn="0" w:lastRowFirstColumn="0" w:lastRowLastColumn="0"/>
            </w:pPr>
            <w:r w:rsidRPr="00A55335">
              <w:t>--</w:t>
            </w:r>
          </w:p>
        </w:tc>
      </w:tr>
      <w:tr w:rsidR="007D0AD0" w:rsidRPr="00A55335" w14:paraId="682B8720" w14:textId="77777777" w:rsidTr="001C1650">
        <w:trPr>
          <w:trHeight w:val="170"/>
        </w:trPr>
        <w:tc>
          <w:tcPr>
            <w:cnfStyle w:val="001000000000" w:firstRow="0" w:lastRow="0" w:firstColumn="1" w:lastColumn="0" w:oddVBand="0" w:evenVBand="0" w:oddHBand="0" w:evenHBand="0" w:firstRowFirstColumn="0" w:firstRowLastColumn="0" w:lastRowFirstColumn="0" w:lastRowLastColumn="0"/>
            <w:tcW w:w="5524" w:type="dxa"/>
            <w:gridSpan w:val="2"/>
          </w:tcPr>
          <w:p w14:paraId="39DA1902" w14:textId="0F18AC19" w:rsidR="007D0AD0" w:rsidRPr="00A55335" w:rsidRDefault="007D0AD0" w:rsidP="00CB1CA5">
            <w:pPr>
              <w:pStyle w:val="Tabletext8pt"/>
            </w:pPr>
            <w:r w:rsidRPr="00A55335">
              <w:t>Grand Total</w:t>
            </w:r>
          </w:p>
        </w:tc>
        <w:tc>
          <w:tcPr>
            <w:tcW w:w="992" w:type="dxa"/>
          </w:tcPr>
          <w:p w14:paraId="3F806E2D" w14:textId="147583AB" w:rsidR="007D0AD0" w:rsidRPr="00A55335" w:rsidRDefault="007D0AD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254</w:t>
            </w:r>
          </w:p>
        </w:tc>
        <w:tc>
          <w:tcPr>
            <w:tcW w:w="1134" w:type="dxa"/>
            <w:noWrap/>
            <w:hideMark/>
          </w:tcPr>
          <w:p w14:paraId="7EFE2D7A" w14:textId="18B7FEB5" w:rsidR="007D0AD0" w:rsidRPr="00A55335" w:rsidRDefault="00AD7950"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93</w:t>
            </w:r>
          </w:p>
        </w:tc>
        <w:tc>
          <w:tcPr>
            <w:tcW w:w="2085" w:type="dxa"/>
            <w:noWrap/>
            <w:hideMark/>
          </w:tcPr>
          <w:p w14:paraId="782393A8" w14:textId="05946AE4" w:rsidR="007D0AD0" w:rsidRPr="00A55335" w:rsidRDefault="00D53CC3" w:rsidP="00CB1CA5">
            <w:pPr>
              <w:pStyle w:val="Tabletext8pt"/>
              <w:cnfStyle w:val="000000000000" w:firstRow="0" w:lastRow="0" w:firstColumn="0" w:lastColumn="0" w:oddVBand="0" w:evenVBand="0" w:oddHBand="0" w:evenHBand="0" w:firstRowFirstColumn="0" w:firstRowLastColumn="0" w:lastRowFirstColumn="0" w:lastRowLastColumn="0"/>
              <w:rPr>
                <w:rStyle w:val="Strong"/>
              </w:rPr>
            </w:pPr>
            <w:r w:rsidRPr="00A55335">
              <w:rPr>
                <w:rStyle w:val="Strong"/>
              </w:rPr>
              <w:t>78</w:t>
            </w:r>
          </w:p>
        </w:tc>
      </w:tr>
    </w:tbl>
    <w:p w14:paraId="72025D3B" w14:textId="5FBF87FC" w:rsidR="002B4329" w:rsidRPr="00A55335" w:rsidRDefault="002B4329" w:rsidP="00191B16">
      <w:pPr>
        <w:pStyle w:val="BodyText"/>
      </w:pPr>
      <w:r w:rsidRPr="00A55335">
        <w:br w:type="page"/>
      </w:r>
    </w:p>
    <w:p w14:paraId="7AC1ADB2" w14:textId="7BC6195C" w:rsidR="00DD505D" w:rsidRPr="00A55335" w:rsidRDefault="00DD505D" w:rsidP="00C373A2">
      <w:pPr>
        <w:pStyle w:val="Heading2"/>
      </w:pPr>
      <w:bookmarkStart w:id="79" w:name="_Toc183441303"/>
      <w:bookmarkEnd w:id="78"/>
      <w:r w:rsidRPr="00A55335">
        <w:lastRenderedPageBreak/>
        <w:t>Atopic conditions</w:t>
      </w:r>
      <w:bookmarkEnd w:id="79"/>
    </w:p>
    <w:p w14:paraId="73318A22" w14:textId="37F55495" w:rsidR="00DD505D" w:rsidRPr="00A55335" w:rsidRDefault="00DD505D" w:rsidP="004D433B">
      <w:pPr>
        <w:pStyle w:val="Heading3"/>
      </w:pPr>
      <w:bookmarkStart w:id="80" w:name="_Toc183441304"/>
      <w:r w:rsidRPr="00A55335">
        <w:t>Description of the condition</w:t>
      </w:r>
      <w:bookmarkEnd w:id="80"/>
    </w:p>
    <w:p w14:paraId="40DB342F" w14:textId="6D37D4ED" w:rsidR="00BD1904" w:rsidRPr="00A55335" w:rsidRDefault="00BD1904" w:rsidP="00552FB9">
      <w:pPr>
        <w:pStyle w:val="BodyText"/>
      </w:pPr>
      <w:r w:rsidRPr="00A55335">
        <w:t>Atopic conditions include allergic and hypersensitivity disorders, characterised by an inappropriate or exaggerated immune system response to foreign antigens</w:t>
      </w:r>
      <w:r w:rsidR="00826ED3" w:rsidRPr="00A55335">
        <w:t xml:space="preserve"> </w:t>
      </w:r>
      <w:r w:rsidR="00FA7FAC" w:rsidRPr="00A55335">
        <w:fldChar w:fldCharType="begin"/>
      </w:r>
      <w:r w:rsidR="006952AD">
        <w:instrText xml:space="preserve"> ADDIN EN.CITE &lt;EndNote&gt;&lt;Cite&gt;&lt;Author&gt;Justiz Vaillant AA&lt;/Author&gt;&lt;Year&gt;2023&lt;/Year&gt;&lt;RecNum&gt;680&lt;/RecNum&gt;&lt;DisplayText&gt;(59)&lt;/DisplayText&gt;&lt;record&gt;&lt;rec-number&gt;680&lt;/rec-number&gt;&lt;foreign-keys&gt;&lt;key app="EN" db-id="t5prptatr9sp0we5exbxt9zz20fwp55tdza9" timestamp="1702349718"&gt;680&lt;/key&gt;&lt;/foreign-keys&gt;&lt;ref-type name="Web Page"&gt;12&lt;/ref-type&gt;&lt;contributors&gt;&lt;authors&gt;&lt;author&gt;Justiz Vaillant AA,&lt;/author&gt;&lt;author&gt;Modi P,&lt;/author&gt;&lt;author&gt;Jan A,&lt;/author&gt;&lt;/authors&gt;&lt;/contributors&gt;&lt;titles&gt;&lt;title&gt;Atopy&lt;/title&gt;&lt;secondary-title&gt;StatPearls [Internet]&lt;/secondary-title&gt;&lt;/titles&gt;&lt;number&gt;6th December 2023&lt;/number&gt;&lt;dates&gt;&lt;year&gt;2023&lt;/year&gt;&lt;pub-dates&gt;&lt;date&gt;22/8/2023&lt;/date&gt;&lt;/pub-dates&gt;&lt;/dates&gt;&lt;publisher&gt;StatPearls Publishing&lt;/publisher&gt;&lt;urls&gt;&lt;related-urls&gt;&lt;url&gt;https://www.ncbi.nlm.nih.gov/books/NBK542187/&lt;/url&gt;&lt;/related-urls&gt;&lt;/urls&gt;&lt;/record&gt;&lt;/Cite&gt;&lt;/EndNote&gt;</w:instrText>
      </w:r>
      <w:r w:rsidR="00FA7FAC" w:rsidRPr="00A55335">
        <w:fldChar w:fldCharType="separate"/>
      </w:r>
      <w:r w:rsidR="00FA37A6" w:rsidRPr="00A55335">
        <w:rPr>
          <w:noProof/>
        </w:rPr>
        <w:t>(</w:t>
      </w:r>
      <w:hyperlink w:anchor="_ENREF_59" w:tooltip="Justiz Vaillant AA, 2023 #680" w:history="1">
        <w:r w:rsidR="00EC2769" w:rsidRPr="00A55335">
          <w:rPr>
            <w:noProof/>
          </w:rPr>
          <w:t>59</w:t>
        </w:r>
      </w:hyperlink>
      <w:r w:rsidR="00FA37A6" w:rsidRPr="00A55335">
        <w:rPr>
          <w:noProof/>
        </w:rPr>
        <w:t>)</w:t>
      </w:r>
      <w:r w:rsidR="00FA7FAC" w:rsidRPr="00A55335">
        <w:fldChar w:fldCharType="end"/>
      </w:r>
      <w:r w:rsidRPr="00A55335">
        <w:t xml:space="preserve">. </w:t>
      </w:r>
      <w:r w:rsidR="00E90949" w:rsidRPr="00A55335">
        <w:t>The most common forms of atopy include allergic asthma, allergic rhinitis, and atopic dermatitis</w:t>
      </w:r>
      <w:r w:rsidR="00826ED3" w:rsidRPr="00A55335">
        <w:t xml:space="preserve"> </w:t>
      </w:r>
      <w:r w:rsidR="00FA7FAC" w:rsidRPr="00A55335">
        <w:fldChar w:fldCharType="begin"/>
      </w:r>
      <w:r w:rsidR="006952AD">
        <w:instrText xml:space="preserve"> ADDIN EN.CITE &lt;EndNote&gt;&lt;Cite&gt;&lt;Author&gt;Justiz Vaillant AA&lt;/Author&gt;&lt;Year&gt;2023&lt;/Year&gt;&lt;RecNum&gt;680&lt;/RecNum&gt;&lt;DisplayText&gt;(59)&lt;/DisplayText&gt;&lt;record&gt;&lt;rec-number&gt;680&lt;/rec-number&gt;&lt;foreign-keys&gt;&lt;key app="EN" db-id="t5prptatr9sp0we5exbxt9zz20fwp55tdza9" timestamp="1702349718"&gt;680&lt;/key&gt;&lt;/foreign-keys&gt;&lt;ref-type name="Web Page"&gt;12&lt;/ref-type&gt;&lt;contributors&gt;&lt;authors&gt;&lt;author&gt;Justiz Vaillant AA,&lt;/author&gt;&lt;author&gt;Modi P,&lt;/author&gt;&lt;author&gt;Jan A,&lt;/author&gt;&lt;/authors&gt;&lt;/contributors&gt;&lt;titles&gt;&lt;title&gt;Atopy&lt;/title&gt;&lt;secondary-title&gt;StatPearls [Internet]&lt;/secondary-title&gt;&lt;/titles&gt;&lt;number&gt;6th December 2023&lt;/number&gt;&lt;dates&gt;&lt;year&gt;2023&lt;/year&gt;&lt;pub-dates&gt;&lt;date&gt;22/8/2023&lt;/date&gt;&lt;/pub-dates&gt;&lt;/dates&gt;&lt;publisher&gt;StatPearls Publishing&lt;/publisher&gt;&lt;urls&gt;&lt;related-urls&gt;&lt;url&gt;https://www.ncbi.nlm.nih.gov/books/NBK542187/&lt;/url&gt;&lt;/related-urls&gt;&lt;/urls&gt;&lt;/record&gt;&lt;/Cite&gt;&lt;/EndNote&gt;</w:instrText>
      </w:r>
      <w:r w:rsidR="00FA7FAC" w:rsidRPr="00A55335">
        <w:fldChar w:fldCharType="separate"/>
      </w:r>
      <w:r w:rsidR="00FA37A6" w:rsidRPr="00A55335">
        <w:rPr>
          <w:noProof/>
        </w:rPr>
        <w:t>(</w:t>
      </w:r>
      <w:hyperlink w:anchor="_ENREF_59" w:tooltip="Justiz Vaillant AA, 2023 #680" w:history="1">
        <w:r w:rsidR="00EC2769" w:rsidRPr="00A55335">
          <w:rPr>
            <w:noProof/>
          </w:rPr>
          <w:t>59</w:t>
        </w:r>
      </w:hyperlink>
      <w:r w:rsidR="00FA37A6" w:rsidRPr="00A55335">
        <w:rPr>
          <w:noProof/>
        </w:rPr>
        <w:t>)</w:t>
      </w:r>
      <w:r w:rsidR="00FA7FAC" w:rsidRPr="00A55335">
        <w:fldChar w:fldCharType="end"/>
      </w:r>
      <w:r w:rsidR="00E90949" w:rsidRPr="00A55335">
        <w:t>.</w:t>
      </w:r>
    </w:p>
    <w:p w14:paraId="4C6FB02E" w14:textId="36EDECC1" w:rsidR="002F649F" w:rsidRPr="00A55335" w:rsidRDefault="002F649F" w:rsidP="00552FB9">
      <w:pPr>
        <w:pStyle w:val="Heading4"/>
      </w:pPr>
      <w:r w:rsidRPr="00A55335">
        <w:t>Allergic rhinitis</w:t>
      </w:r>
    </w:p>
    <w:p w14:paraId="0C386252" w14:textId="6BBAB753" w:rsidR="00E81F6D" w:rsidRPr="00A55335" w:rsidRDefault="00DD505D" w:rsidP="00DD505D">
      <w:pPr>
        <w:pStyle w:val="BodyText"/>
      </w:pPr>
      <w:r w:rsidRPr="00A55335">
        <w:t xml:space="preserve">Allergic rhinitis is clinically defined as </w:t>
      </w:r>
      <w:r w:rsidR="00076FB3" w:rsidRPr="00A55335">
        <w:t xml:space="preserve">a </w:t>
      </w:r>
      <w:r w:rsidRPr="00A55335">
        <w:t xml:space="preserve">symptomatic disorder induced by an </w:t>
      </w:r>
      <w:proofErr w:type="spellStart"/>
      <w:r w:rsidRPr="00A55335">
        <w:t>IgE</w:t>
      </w:r>
      <w:proofErr w:type="spellEnd"/>
      <w:r w:rsidRPr="00A55335">
        <w:t>-mediated inflammation after allergen exposure of the membran</w:t>
      </w:r>
      <w:r w:rsidR="008F738F" w:rsidRPr="00A55335">
        <w:t>ou</w:t>
      </w:r>
      <w:r w:rsidRPr="00A55335">
        <w:t>s lining the nose</w:t>
      </w:r>
      <w:r w:rsidR="00926642" w:rsidRPr="00A55335">
        <w:t xml:space="preserve"> </w:t>
      </w:r>
      <w:r w:rsidR="00926642" w:rsidRPr="00A55335">
        <w:fldChar w:fldCharType="begin"/>
      </w:r>
      <w:r w:rsidR="006952AD">
        <w:instrText xml:space="preserve"> ADDIN EN.CITE &lt;EndNote&gt;&lt;Cite&gt;&lt;Author&gt;Bousquet&lt;/Author&gt;&lt;Year&gt;2001&lt;/Year&gt;&lt;RecNum&gt;530&lt;/RecNum&gt;&lt;DisplayText&gt;(60)&lt;/DisplayText&gt;&lt;record&gt;&lt;rec-number&gt;530&lt;/rec-number&gt;&lt;foreign-keys&gt;&lt;key app="EN" db-id="t5prptatr9sp0we5exbxt9zz20fwp55tdza9" timestamp="1700802229"&gt;530&lt;/key&gt;&lt;/foreign-keys&gt;&lt;ref-type name="Journal Article"&gt;17&lt;/ref-type&gt;&lt;contributors&gt;&lt;authors&gt;&lt;author&gt;Bousquet, Jean&lt;/author&gt;&lt;author&gt;Van Cauwenberge, Paul&lt;/author&gt;&lt;author&gt;Khaltaev, Nikolai&lt;/author&gt;&lt;/authors&gt;&lt;/contributors&gt;&lt;titles&gt;&lt;title&gt;Allergic Rhinitis and Its Impact on Asthma&lt;/title&gt;&lt;secondary-title&gt;Journal of Allergy and Clinical Immunology&lt;/secondary-title&gt;&lt;/titles&gt;&lt;periodical&gt;&lt;full-title&gt;Journal of Allergy and Clinical Immunology&lt;/full-title&gt;&lt;/periodical&gt;&lt;pages&gt;S147-S334&lt;/pages&gt;&lt;volume&gt;108&lt;/volume&gt;&lt;number&gt;5&lt;/number&gt;&lt;dates&gt;&lt;year&gt;2001&lt;/year&gt;&lt;/dates&gt;&lt;publisher&gt;Elsevier BV&lt;/publisher&gt;&lt;isbn&gt;0091-6749&lt;/isbn&gt;&lt;urls&gt;&lt;related-urls&gt;&lt;url&gt;https://dx.doi.org/10.1067/mai.2001.118891&lt;/url&gt;&lt;url&gt;https://www.jacionline.org/article/S0091-6749(01)62488-6/pdf&lt;/url&gt;&lt;/related-urls&gt;&lt;/urls&gt;&lt;electronic-resource-num&gt;10.1067/mai.2001.118891&lt;/electronic-resource-num&gt;&lt;/record&gt;&lt;/Cite&gt;&lt;/EndNote&gt;</w:instrText>
      </w:r>
      <w:r w:rsidR="00926642" w:rsidRPr="00A55335">
        <w:fldChar w:fldCharType="separate"/>
      </w:r>
      <w:r w:rsidR="00FA37A6" w:rsidRPr="00A55335">
        <w:rPr>
          <w:noProof/>
        </w:rPr>
        <w:t>(</w:t>
      </w:r>
      <w:hyperlink w:anchor="_ENREF_60" w:tooltip="Bousquet, 2001 #530" w:history="1">
        <w:r w:rsidR="00EC2769" w:rsidRPr="00A55335">
          <w:rPr>
            <w:noProof/>
          </w:rPr>
          <w:t>60</w:t>
        </w:r>
      </w:hyperlink>
      <w:r w:rsidR="00FA37A6" w:rsidRPr="00A55335">
        <w:rPr>
          <w:noProof/>
        </w:rPr>
        <w:t>)</w:t>
      </w:r>
      <w:r w:rsidR="00926642" w:rsidRPr="00A55335">
        <w:fldChar w:fldCharType="end"/>
      </w:r>
      <w:r w:rsidRPr="00A55335">
        <w:t xml:space="preserve">. </w:t>
      </w:r>
      <w:r w:rsidR="00A0130A" w:rsidRPr="00A55335">
        <w:t xml:space="preserve">Common allergic triggers include house dust mites, pollens (from trees, grasses, shrubs and weeds), animal dander or fungi, which occur naturally in the environment. </w:t>
      </w:r>
      <w:r w:rsidR="00343F7C" w:rsidRPr="00A55335">
        <w:t>A</w:t>
      </w:r>
      <w:r w:rsidR="00A0130A" w:rsidRPr="00A55335">
        <w:t xml:space="preserve">llergic rhinitis can </w:t>
      </w:r>
      <w:r w:rsidR="00343F7C" w:rsidRPr="00A55335">
        <w:t xml:space="preserve">also </w:t>
      </w:r>
      <w:r w:rsidR="00A0130A" w:rsidRPr="00A55335">
        <w:t>be caused by triggers to which a person is exposed in the course of their work (occupational exposure)</w:t>
      </w:r>
      <w:r w:rsidR="00A0130A" w:rsidRPr="00A55335">
        <w:fldChar w:fldCharType="begin">
          <w:fldData xml:space="preserve">PEVuZE5vdGU+PENpdGU+PEF1dGhvcj5TY2FkZGluZzwvQXV0aG9yPjxZZWFyPjIwMTc8L1llYXI+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==
</w:fldData>
        </w:fldChar>
      </w:r>
      <w:r w:rsidR="006952AD">
        <w:instrText xml:space="preserve"> ADDIN EN.CITE </w:instrText>
      </w:r>
      <w:r w:rsidR="006952AD">
        <w:fldChar w:fldCharType="begin">
          <w:fldData xml:space="preserve">PEVuZE5vdGU+PENpdGU+PEF1dGhvcj5TY2FkZGluZzwvQXV0aG9yPjxZZWFyPjIwMTc8L1llYXI+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==
</w:fldData>
        </w:fldChar>
      </w:r>
      <w:r w:rsidR="006952AD">
        <w:instrText xml:space="preserve"> ADDIN EN.CITE.DATA </w:instrText>
      </w:r>
      <w:r w:rsidR="006952AD">
        <w:fldChar w:fldCharType="end"/>
      </w:r>
      <w:r w:rsidR="00A0130A" w:rsidRPr="00A55335">
        <w:fldChar w:fldCharType="separate"/>
      </w:r>
      <w:r w:rsidR="00FA37A6" w:rsidRPr="00A55335">
        <w:rPr>
          <w:noProof/>
        </w:rPr>
        <w:t>(</w:t>
      </w:r>
      <w:hyperlink w:anchor="_ENREF_61" w:tooltip="Scadding, 2017 #327" w:history="1">
        <w:r w:rsidR="00EC2769" w:rsidRPr="00A55335">
          <w:rPr>
            <w:noProof/>
          </w:rPr>
          <w:t>61</w:t>
        </w:r>
      </w:hyperlink>
      <w:r w:rsidR="00FA37A6" w:rsidRPr="00A55335">
        <w:rPr>
          <w:noProof/>
        </w:rPr>
        <w:t>)</w:t>
      </w:r>
      <w:r w:rsidR="00A0130A" w:rsidRPr="00A55335">
        <w:fldChar w:fldCharType="end"/>
      </w:r>
      <w:r w:rsidR="00A0130A" w:rsidRPr="00A55335">
        <w:t xml:space="preserve">. These may include vegetable proteins, enzymes and chemicals. </w:t>
      </w:r>
      <w:r w:rsidR="00AF6034" w:rsidRPr="00A55335">
        <w:t>The condition can be</w:t>
      </w:r>
      <w:r w:rsidRPr="00A55335">
        <w:t xml:space="preserve"> subdivided into “intermittent” or “persistent” disease</w:t>
      </w:r>
      <w:r w:rsidR="00AF6034" w:rsidRPr="00A55335">
        <w:t>,</w:t>
      </w:r>
      <w:r w:rsidRPr="00A55335">
        <w:t xml:space="preserve"> which references the </w:t>
      </w:r>
      <w:r w:rsidR="00AF6034" w:rsidRPr="00A55335">
        <w:t>duration</w:t>
      </w:r>
      <w:r w:rsidRPr="00A55335">
        <w:t xml:space="preserve"> symptoms persist. </w:t>
      </w:r>
      <w:r w:rsidR="00B506E5" w:rsidRPr="00A55335">
        <w:t>Persistent</w:t>
      </w:r>
      <w:r w:rsidRPr="00A55335">
        <w:t xml:space="preserve"> allergic rhinitis is diagnosed when symptoms are present more frequently than four days per week and for at least four consecutive weeks </w:t>
      </w:r>
      <w:r w:rsidR="00202837" w:rsidRPr="00A55335">
        <w:fldChar w:fldCharType="begin"/>
      </w:r>
      <w:r w:rsidR="006952AD">
        <w:instrText xml:space="preserve"> ADDIN EN.CITE &lt;EndNote&gt;&lt;Cite&gt;&lt;Author&gt;Bousquet&lt;/Author&gt;&lt;Year&gt;2001&lt;/Year&gt;&lt;RecNum&gt;326&lt;/RecNum&gt;&lt;DisplayText&gt;(62)&lt;/DisplayText&gt;&lt;record&gt;&lt;rec-number&gt;326&lt;/rec-number&gt;&lt;foreign-keys&gt;&lt;key app="EN" db-id="t5prptatr9sp0we5exbxt9zz20fwp55tdza9" timestamp="1700774032"&gt;326&lt;/key&gt;&lt;/foreign-keys&gt;&lt;ref-type name="Journal Article"&gt;17&lt;/ref-type&gt;&lt;contributors&gt;&lt;authors&gt;&lt;author&gt;Bousquet, J.&lt;/author&gt;&lt;author&gt;Van Cauwenberge, P.&lt;/author&gt;&lt;author&gt;Khaltaev, N.&lt;/author&gt;&lt;author&gt;Aria Workshop, Group&lt;/author&gt;&lt;author&gt;World Health, Organization&lt;/author&gt;&lt;/authors&gt;&lt;/contributors&gt;&lt;auth-address&gt;Department of Allergy and Respiratory Diseases, University Hospital and INSERM, Montpellier, France.&lt;/auth-address&gt;&lt;titles&gt;&lt;title&gt;Allergic rhinitis and its impact on asthma&lt;/title&gt;&lt;secondary-title&gt;J Allergy Clin Immunol&lt;/secondary-title&gt;&lt;/titles&gt;&lt;periodical&gt;&lt;full-title&gt;J Allergy Clin Immunol&lt;/full-title&gt;&lt;/periodical&gt;&lt;pages&gt;S147-334&lt;/pages&gt;&lt;volume&gt;108&lt;/volume&gt;&lt;number&gt;5 Suppl&lt;/number&gt;&lt;keywords&gt;&lt;keyword&gt;Allergens/adverse effects&lt;/keyword&gt;&lt;keyword&gt;*Asthma/complications/genetics/immunology/therapy&lt;/keyword&gt;&lt;keyword&gt;Developing Countries&lt;/keyword&gt;&lt;keyword&gt;Disease Management&lt;/keyword&gt;&lt;keyword&gt;Humans&lt;/keyword&gt;&lt;keyword&gt;*Hypersensitivity/complications/genetics/immunology/therapy&lt;/keyword&gt;&lt;keyword&gt;Patient Education as Topic&lt;/keyword&gt;&lt;keyword&gt;Quality of Life&lt;/keyword&gt;&lt;keyword&gt;Research&lt;/keyword&gt;&lt;keyword&gt;*Rhinitis/classification/immunology/therapy&lt;/keyword&gt;&lt;/keywords&gt;&lt;dates&gt;&lt;year&gt;2001&lt;/year&gt;&lt;pub-dates&gt;&lt;date&gt;Nov&lt;/date&gt;&lt;/pub-dates&gt;&lt;/dates&gt;&lt;publisher&gt;Elsevier BV&lt;/publisher&gt;&lt;isbn&gt;0091-6749 (Print)&amp;#xD;0091-6749 (Linking)&lt;/isbn&gt;&lt;accession-num&gt;11707753&lt;/accession-num&gt;&lt;urls&gt;&lt;related-urls&gt;&lt;url&gt;https://www.ncbi.nlm.nih.gov/pubmed/11707753&lt;/url&gt;&lt;/related-urls&gt;&lt;/urls&gt;&lt;electronic-resource-num&gt;10.1067/mai.2001.118891&lt;/electronic-resource-num&gt;&lt;remote-database-name&gt;Medline&lt;/remote-database-name&gt;&lt;remote-database-provider&gt;NLM&lt;/remote-database-provider&gt;&lt;/record&gt;&lt;/Cite&gt;&lt;/EndNote&gt;</w:instrText>
      </w:r>
      <w:r w:rsidR="00202837" w:rsidRPr="00A55335">
        <w:fldChar w:fldCharType="separate"/>
      </w:r>
      <w:r w:rsidR="00FA37A6" w:rsidRPr="00A55335">
        <w:rPr>
          <w:noProof/>
        </w:rPr>
        <w:t>(</w:t>
      </w:r>
      <w:hyperlink w:anchor="_ENREF_62" w:tooltip="Bousquet, 2001 #326" w:history="1">
        <w:r w:rsidR="00EC2769" w:rsidRPr="00A55335">
          <w:rPr>
            <w:noProof/>
          </w:rPr>
          <w:t>62</w:t>
        </w:r>
      </w:hyperlink>
      <w:r w:rsidR="00FA37A6" w:rsidRPr="00A55335">
        <w:rPr>
          <w:noProof/>
        </w:rPr>
        <w:t>)</w:t>
      </w:r>
      <w:r w:rsidR="00202837" w:rsidRPr="00A55335">
        <w:fldChar w:fldCharType="end"/>
      </w:r>
      <w:r w:rsidRPr="00A55335">
        <w:t xml:space="preserve">. </w:t>
      </w:r>
    </w:p>
    <w:p w14:paraId="1BDB2206" w14:textId="06EF8272" w:rsidR="00DD505D" w:rsidRPr="00A55335" w:rsidRDefault="00DD505D" w:rsidP="00DD505D">
      <w:pPr>
        <w:pStyle w:val="BodyText"/>
      </w:pPr>
      <w:r w:rsidRPr="00A55335">
        <w:t xml:space="preserve">Allergic rhinitis is characterised by nasal obstruction, </w:t>
      </w:r>
      <w:r w:rsidR="00B506E5" w:rsidRPr="00A55335">
        <w:t>rhinorrhoea</w:t>
      </w:r>
      <w:r w:rsidR="00FF44B1" w:rsidRPr="00A55335">
        <w:t xml:space="preserve"> (runny nose)</w:t>
      </w:r>
      <w:r w:rsidRPr="00A55335">
        <w:t xml:space="preserve">, sneezing, itching of the nose and/or post-nasal drainage. It is </w:t>
      </w:r>
      <w:r w:rsidR="00FF44B1" w:rsidRPr="00A55335">
        <w:t xml:space="preserve">also </w:t>
      </w:r>
      <w:r w:rsidRPr="00A55335">
        <w:t xml:space="preserve">often associated with ocular symptoms </w:t>
      </w:r>
      <w:r w:rsidR="00202837" w:rsidRPr="00A55335">
        <w:fldChar w:fldCharType="begin"/>
      </w:r>
      <w:r w:rsidR="006952AD">
        <w:instrText xml:space="preserve"> ADDIN EN.CITE &lt;EndNote&gt;&lt;Cite&gt;&lt;Author&gt;Bousquet&lt;/Author&gt;&lt;Year&gt;2001&lt;/Year&gt;&lt;RecNum&gt;326&lt;/RecNum&gt;&lt;DisplayText&gt;(62)&lt;/DisplayText&gt;&lt;record&gt;&lt;rec-number&gt;326&lt;/rec-number&gt;&lt;foreign-keys&gt;&lt;key app="EN" db-id="t5prptatr9sp0we5exbxt9zz20fwp55tdza9" timestamp="1700774032"&gt;326&lt;/key&gt;&lt;/foreign-keys&gt;&lt;ref-type name="Journal Article"&gt;17&lt;/ref-type&gt;&lt;contributors&gt;&lt;authors&gt;&lt;author&gt;Bousquet, J.&lt;/author&gt;&lt;author&gt;Van Cauwenberge, P.&lt;/author&gt;&lt;author&gt;Khaltaev, N.&lt;/author&gt;&lt;author&gt;Aria Workshop, Group&lt;/author&gt;&lt;author&gt;World Health, Organization&lt;/author&gt;&lt;/authors&gt;&lt;/contributors&gt;&lt;auth-address&gt;Department of Allergy and Respiratory Diseases, University Hospital and INSERM, Montpellier, France.&lt;/auth-address&gt;&lt;titles&gt;&lt;title&gt;Allergic rhinitis and its impact on asthma&lt;/title&gt;&lt;secondary-title&gt;J Allergy Clin Immunol&lt;/secondary-title&gt;&lt;/titles&gt;&lt;periodical&gt;&lt;full-title&gt;J Allergy Clin Immunol&lt;/full-title&gt;&lt;/periodical&gt;&lt;pages&gt;S147-334&lt;/pages&gt;&lt;volume&gt;108&lt;/volume&gt;&lt;number&gt;5 Suppl&lt;/number&gt;&lt;keywords&gt;&lt;keyword&gt;Allergens/adverse effects&lt;/keyword&gt;&lt;keyword&gt;*Asthma/complications/genetics/immunology/therapy&lt;/keyword&gt;&lt;keyword&gt;Developing Countries&lt;/keyword&gt;&lt;keyword&gt;Disease Management&lt;/keyword&gt;&lt;keyword&gt;Humans&lt;/keyword&gt;&lt;keyword&gt;*Hypersensitivity/complications/genetics/immunology/therapy&lt;/keyword&gt;&lt;keyword&gt;Patient Education as Topic&lt;/keyword&gt;&lt;keyword&gt;Quality of Life&lt;/keyword&gt;&lt;keyword&gt;Research&lt;/keyword&gt;&lt;keyword&gt;*Rhinitis/classification/immunology/therapy&lt;/keyword&gt;&lt;/keywords&gt;&lt;dates&gt;&lt;year&gt;2001&lt;/year&gt;&lt;pub-dates&gt;&lt;date&gt;Nov&lt;/date&gt;&lt;/pub-dates&gt;&lt;/dates&gt;&lt;publisher&gt;Elsevier BV&lt;/publisher&gt;&lt;isbn&gt;0091-6749 (Print)&amp;#xD;0091-6749 (Linking)&lt;/isbn&gt;&lt;accession-num&gt;11707753&lt;/accession-num&gt;&lt;urls&gt;&lt;related-urls&gt;&lt;url&gt;https://www.ncbi.nlm.nih.gov/pubmed/11707753&lt;/url&gt;&lt;/related-urls&gt;&lt;/urls&gt;&lt;electronic-resource-num&gt;10.1067/mai.2001.118891&lt;/electronic-resource-num&gt;&lt;remote-database-name&gt;Medline&lt;/remote-database-name&gt;&lt;remote-database-provider&gt;NLM&lt;/remote-database-provider&gt;&lt;/record&gt;&lt;/Cite&gt;&lt;/EndNote&gt;</w:instrText>
      </w:r>
      <w:r w:rsidR="00202837" w:rsidRPr="00A55335">
        <w:fldChar w:fldCharType="separate"/>
      </w:r>
      <w:r w:rsidR="00FA37A6" w:rsidRPr="00A55335">
        <w:rPr>
          <w:noProof/>
        </w:rPr>
        <w:t>(</w:t>
      </w:r>
      <w:hyperlink w:anchor="_ENREF_62" w:tooltip="Bousquet, 2001 #326" w:history="1">
        <w:r w:rsidR="00EC2769" w:rsidRPr="00A55335">
          <w:rPr>
            <w:noProof/>
          </w:rPr>
          <w:t>62</w:t>
        </w:r>
      </w:hyperlink>
      <w:r w:rsidR="00FA37A6" w:rsidRPr="00A55335">
        <w:rPr>
          <w:noProof/>
        </w:rPr>
        <w:t>)</w:t>
      </w:r>
      <w:r w:rsidR="00202837" w:rsidRPr="00A55335">
        <w:fldChar w:fldCharType="end"/>
      </w:r>
      <w:r w:rsidRPr="00A55335">
        <w:t>.</w:t>
      </w:r>
      <w:r w:rsidR="00806B75" w:rsidRPr="00A55335">
        <w:t xml:space="preserve"> </w:t>
      </w:r>
      <w:r w:rsidR="00F01367" w:rsidRPr="00A55335">
        <w:t xml:space="preserve">Severe allergic rhinitis has been associated with significant impairments in quality of life, sleep and work performance </w:t>
      </w:r>
      <w:r w:rsidR="00F01367" w:rsidRPr="00A55335">
        <w:fldChar w:fldCharType="begin">
          <w:fldData xml:space="preserve">PEVuZE5vdGU+PENpdGU+PEF1dGhvcj5EeWtld2ljejwvQXV0aG9yPjxZZWFyPjIwMTA8L1llYXI+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</w:fldData>
        </w:fldChar>
      </w:r>
      <w:r w:rsidR="006952AD">
        <w:instrText xml:space="preserve"> ADDIN EN.CITE </w:instrText>
      </w:r>
      <w:r w:rsidR="006952AD">
        <w:fldChar w:fldCharType="begin">
          <w:fldData xml:space="preserve">PEVuZE5vdGU+PENpdGU+PEF1dGhvcj5EeWtld2ljejwvQXV0aG9yPjxZZWFyPjIwMTA8L1llYXI+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</w:fldData>
        </w:fldChar>
      </w:r>
      <w:r w:rsidR="006952AD">
        <w:instrText xml:space="preserve"> ADDIN EN.CITE.DATA </w:instrText>
      </w:r>
      <w:r w:rsidR="006952AD">
        <w:fldChar w:fldCharType="end"/>
      </w:r>
      <w:r w:rsidR="00F01367" w:rsidRPr="00A55335">
        <w:fldChar w:fldCharType="separate"/>
      </w:r>
      <w:r w:rsidR="00FA37A6" w:rsidRPr="00A55335">
        <w:rPr>
          <w:noProof/>
        </w:rPr>
        <w:t>(</w:t>
      </w:r>
      <w:hyperlink w:anchor="_ENREF_63" w:tooltip="Dykewicz, 2010 #328" w:history="1">
        <w:r w:rsidR="00EC2769" w:rsidRPr="00A55335">
          <w:rPr>
            <w:noProof/>
          </w:rPr>
          <w:t>63</w:t>
        </w:r>
      </w:hyperlink>
      <w:r w:rsidR="00FA37A6" w:rsidRPr="00A55335">
        <w:rPr>
          <w:noProof/>
        </w:rPr>
        <w:t>)</w:t>
      </w:r>
      <w:r w:rsidR="00F01367" w:rsidRPr="00A55335">
        <w:fldChar w:fldCharType="end"/>
      </w:r>
      <w:r w:rsidR="00F01367" w:rsidRPr="00A55335">
        <w:t xml:space="preserve">. </w:t>
      </w:r>
      <w:r w:rsidRPr="00A55335">
        <w:t>Based on self-reports</w:t>
      </w:r>
      <w:r w:rsidR="00BD244E" w:rsidRPr="00A55335">
        <w:t>, an estimated 19% of Australians had allergic rhinitis</w:t>
      </w:r>
      <w:r w:rsidR="00EE7443" w:rsidRPr="00A55335">
        <w:t xml:space="preserve"> in 2017–18</w:t>
      </w:r>
      <w:r w:rsidR="00BD244E" w:rsidRPr="00A55335">
        <w:t>;</w:t>
      </w:r>
      <w:r w:rsidRPr="00A55335">
        <w:t xml:space="preserve"> or about </w:t>
      </w:r>
      <w:r w:rsidR="005B011B" w:rsidRPr="00A55335">
        <w:t>4.6</w:t>
      </w:r>
      <w:r w:rsidRPr="00A55335">
        <w:t xml:space="preserve"> million people</w:t>
      </w:r>
      <w:r w:rsidR="003F0EF5" w:rsidRPr="00A55335">
        <w:t xml:space="preserve"> </w:t>
      </w:r>
      <w:r w:rsidR="00064A19" w:rsidRPr="00A55335">
        <w:fldChar w:fldCharType="begin"/>
      </w:r>
      <w:r w:rsidR="006952AD">
        <w:instrText xml:space="preserve"> ADDIN EN.CITE &lt;EndNote&gt;&lt;Cite&gt;&lt;Author&gt;Australian Institute of Health and Welfare&lt;/Author&gt;&lt;Year&gt;25 Aug 2020&lt;/Year&gt;&lt;RecNum&gt;325&lt;/RecNum&gt;&lt;DisplayText&gt;(64)&lt;/DisplayText&gt;&lt;record&gt;&lt;rec-number&gt;325&lt;/rec-number&gt;&lt;foreign-keys&gt;&lt;key app="EN" db-id="t5prptatr9sp0we5exbxt9zz20fwp55tdza9" timestamp="1700720252"&gt;325&lt;/key&gt;&lt;/foreign-keys&gt;&lt;ref-type name="Electronic Article"&gt;43&lt;/ref-type&gt;&lt;contributors&gt;&lt;authors&gt;&lt;author&gt;Australian Institute of Health and Welfare,&lt;/author&gt;&lt;/authors&gt;&lt;/contributors&gt;&lt;titles&gt;&lt;title&gt;Allergic rhinitis (&amp;apos;hay fever&amp;apos;)&lt;/title&gt;&lt;/titles&gt;&lt;dates&gt;&lt;year&gt;25 Aug 2020&lt;/year&gt;&lt;pub-dates&gt;&lt;date&gt;November 2023&lt;/date&gt;&lt;/pub-dates&gt;&lt;/dates&gt;&lt;pub-location&gt;AIHW&lt;/pub-location&gt;&lt;urls&gt;&lt;related-urls&gt;&lt;url&gt;https://www.aihw.gov.au/reports/chronic-respiratory-conditions/allergic-rhinitis-hay-fever/contents&lt;/url&gt;&lt;/related-urls&gt;&lt;/urls&gt;&lt;access-date&gt;23 Nov 2023&lt;/access-date&gt;&lt;/record&gt;&lt;/Cite&gt;&lt;/EndNote&gt;</w:instrText>
      </w:r>
      <w:r w:rsidR="00064A19" w:rsidRPr="00A55335">
        <w:fldChar w:fldCharType="separate"/>
      </w:r>
      <w:r w:rsidR="00FA37A6" w:rsidRPr="00A55335">
        <w:rPr>
          <w:noProof/>
        </w:rPr>
        <w:t>(</w:t>
      </w:r>
      <w:hyperlink w:anchor="_ENREF_64" w:tooltip="Australian Institute of Health and Welfare, 25 Aug 2020 #325" w:history="1">
        <w:r w:rsidR="00EC2769" w:rsidRPr="00A55335">
          <w:rPr>
            <w:noProof/>
          </w:rPr>
          <w:t>64</w:t>
        </w:r>
      </w:hyperlink>
      <w:r w:rsidR="00FA37A6" w:rsidRPr="00A55335">
        <w:rPr>
          <w:noProof/>
        </w:rPr>
        <w:t>)</w:t>
      </w:r>
      <w:r w:rsidR="00064A19" w:rsidRPr="00A55335">
        <w:fldChar w:fldCharType="end"/>
      </w:r>
      <w:r w:rsidRPr="00A55335">
        <w:t xml:space="preserve">. It is </w:t>
      </w:r>
      <w:r w:rsidR="002513B4" w:rsidRPr="00A55335">
        <w:t xml:space="preserve">most common among those aged 35–44 and </w:t>
      </w:r>
      <w:r w:rsidRPr="00A55335">
        <w:t>more commonly reported by females than males</w:t>
      </w:r>
      <w:r w:rsidR="002513B4" w:rsidRPr="00A55335">
        <w:t>.</w:t>
      </w:r>
    </w:p>
    <w:p w14:paraId="40B5045D" w14:textId="24CBAA16" w:rsidR="00DD505D" w:rsidRPr="00A55335" w:rsidRDefault="00F01367" w:rsidP="00DD505D">
      <w:pPr>
        <w:pStyle w:val="BodyText"/>
      </w:pPr>
      <w:r w:rsidRPr="00A55335">
        <w:t xml:space="preserve">Symptoms </w:t>
      </w:r>
      <w:r w:rsidR="004D6393" w:rsidRPr="00A55335">
        <w:t xml:space="preserve">of allergic rhinitis </w:t>
      </w:r>
      <w:r w:rsidRPr="00A55335">
        <w:t xml:space="preserve">may spontaneously resolve or can be alleviated with treatment. </w:t>
      </w:r>
      <w:r w:rsidR="00DD505D" w:rsidRPr="00A55335">
        <w:t xml:space="preserve">There are </w:t>
      </w:r>
      <w:proofErr w:type="gramStart"/>
      <w:r w:rsidR="00DD505D" w:rsidRPr="00A55335">
        <w:t>a number of</w:t>
      </w:r>
      <w:proofErr w:type="gramEnd"/>
      <w:r w:rsidR="00DD505D" w:rsidRPr="00A55335">
        <w:t xml:space="preserve"> options available to manage allergic rhinitis </w:t>
      </w:r>
      <w:r w:rsidRPr="00A55335">
        <w:t>in</w:t>
      </w:r>
      <w:r w:rsidR="00DD505D" w:rsidRPr="00A55335">
        <w:t xml:space="preserve"> the community, </w:t>
      </w:r>
      <w:r w:rsidRPr="00A55335">
        <w:t>which typically</w:t>
      </w:r>
      <w:r w:rsidR="00DD505D" w:rsidRPr="00A55335">
        <w:t xml:space="preserve"> focus on achieving symptom control. In addition to allergen avoidance and non-medicated options </w:t>
      </w:r>
      <w:r w:rsidR="008127BB" w:rsidRPr="00A55335">
        <w:t>(</w:t>
      </w:r>
      <w:r w:rsidR="00DD505D" w:rsidRPr="00A55335">
        <w:t xml:space="preserve">such as saline spray), pharmacological interventions </w:t>
      </w:r>
      <w:r w:rsidR="008127BB" w:rsidRPr="00A55335">
        <w:t>that include</w:t>
      </w:r>
      <w:r w:rsidR="00DD505D" w:rsidRPr="00A55335">
        <w:t xml:space="preserve"> intranasal corticosteroids and intranasal or oral antihistamines are available</w:t>
      </w:r>
      <w:r w:rsidR="008127BB" w:rsidRPr="00A55335">
        <w:t>. I</w:t>
      </w:r>
      <w:r w:rsidR="00DD505D" w:rsidRPr="00A55335">
        <w:t xml:space="preserve">mmunotherapy is also an option for patients with moderate to severe </w:t>
      </w:r>
      <w:r w:rsidR="008127BB" w:rsidRPr="00A55335">
        <w:t>persistent allergic rhinitis that</w:t>
      </w:r>
      <w:r w:rsidR="00DD505D" w:rsidRPr="00A55335">
        <w:t xml:space="preserve"> cannot be managed using other available therapies</w:t>
      </w:r>
      <w:r w:rsidR="008127BB" w:rsidRPr="00A55335">
        <w:t xml:space="preserve"> </w:t>
      </w:r>
      <w:r w:rsidR="008127BB" w:rsidRPr="00A55335">
        <w:fldChar w:fldCharType="begin"/>
      </w:r>
      <w:r w:rsidR="006952AD">
        <w:instrText xml:space="preserve"> ADDIN EN.CITE &lt;EndNote&gt;&lt;Cite&gt;&lt;Author&gt;Australian Institute of Health and Welfare&lt;/Author&gt;&lt;Year&gt;25 Aug 2020&lt;/Year&gt;&lt;RecNum&gt;325&lt;/RecNum&gt;&lt;DisplayText&gt;(64)&lt;/DisplayText&gt;&lt;record&gt;&lt;rec-number&gt;325&lt;/rec-number&gt;&lt;foreign-keys&gt;&lt;key app="EN" db-id="t5prptatr9sp0we5exbxt9zz20fwp55tdza9" timestamp="1700720252"&gt;325&lt;/key&gt;&lt;/foreign-keys&gt;&lt;ref-type name="Electronic Article"&gt;43&lt;/ref-type&gt;&lt;contributors&gt;&lt;authors&gt;&lt;author&gt;Australian Institute of Health and Welfare,&lt;/author&gt;&lt;/authors&gt;&lt;/contributors&gt;&lt;titles&gt;&lt;title&gt;Allergic rhinitis (&amp;apos;hay fever&amp;apos;)&lt;/title&gt;&lt;/titles&gt;&lt;dates&gt;&lt;year&gt;25 Aug 2020&lt;/year&gt;&lt;pub-dates&gt;&lt;date&gt;November 2023&lt;/date&gt;&lt;/pub-dates&gt;&lt;/dates&gt;&lt;pub-location&gt;AIHW&lt;/pub-location&gt;&lt;urls&gt;&lt;related-urls&gt;&lt;url&gt;https://www.aihw.gov.au/reports/chronic-respiratory-conditions/allergic-rhinitis-hay-fever/contents&lt;/url&gt;&lt;/related-urls&gt;&lt;/urls&gt;&lt;access-date&gt;23 Nov 2023&lt;/access-date&gt;&lt;/record&gt;&lt;/Cite&gt;&lt;/EndNote&gt;</w:instrText>
      </w:r>
      <w:r w:rsidR="008127BB" w:rsidRPr="00A55335">
        <w:fldChar w:fldCharType="separate"/>
      </w:r>
      <w:r w:rsidR="00FA37A6" w:rsidRPr="00A55335">
        <w:rPr>
          <w:noProof/>
        </w:rPr>
        <w:t>(</w:t>
      </w:r>
      <w:hyperlink w:anchor="_ENREF_64" w:tooltip="Australian Institute of Health and Welfare, 25 Aug 2020 #325" w:history="1">
        <w:r w:rsidR="00EC2769" w:rsidRPr="00A55335">
          <w:rPr>
            <w:noProof/>
          </w:rPr>
          <w:t>64</w:t>
        </w:r>
      </w:hyperlink>
      <w:r w:rsidR="00FA37A6" w:rsidRPr="00A55335">
        <w:rPr>
          <w:noProof/>
        </w:rPr>
        <w:t>)</w:t>
      </w:r>
      <w:r w:rsidR="008127BB" w:rsidRPr="00A55335">
        <w:fldChar w:fldCharType="end"/>
      </w:r>
      <w:r w:rsidR="00DD505D" w:rsidRPr="00A55335">
        <w:t>.</w:t>
      </w:r>
    </w:p>
    <w:p w14:paraId="04D20B6B" w14:textId="67719FA4" w:rsidR="002F649F" w:rsidRPr="00A55335" w:rsidRDefault="002F649F" w:rsidP="00552FB9">
      <w:pPr>
        <w:pStyle w:val="Heading4"/>
      </w:pPr>
      <w:r w:rsidRPr="00A55335">
        <w:t>Atopic dermatitis</w:t>
      </w:r>
    </w:p>
    <w:p w14:paraId="45B7F9C9" w14:textId="7ECBCBA4" w:rsidR="002F649F" w:rsidRPr="00A55335" w:rsidRDefault="00B4103B" w:rsidP="002F649F">
      <w:pPr>
        <w:pStyle w:val="BodyText"/>
      </w:pPr>
      <w:r w:rsidRPr="00A55335">
        <w:t xml:space="preserve">Atopic dermatitis </w:t>
      </w:r>
      <w:r w:rsidR="004A1DB8" w:rsidRPr="00A55335">
        <w:t>(</w:t>
      </w:r>
      <w:r w:rsidRPr="00A55335">
        <w:t>eczema</w:t>
      </w:r>
      <w:r w:rsidR="004A1DB8" w:rsidRPr="00A55335">
        <w:t>)</w:t>
      </w:r>
      <w:r w:rsidRPr="00A55335">
        <w:t xml:space="preserve"> is a </w:t>
      </w:r>
      <w:r w:rsidR="00AC7836" w:rsidRPr="00A55335">
        <w:t>chronic</w:t>
      </w:r>
      <w:r w:rsidRPr="00A55335">
        <w:t xml:space="preserve"> condition that causes dry, itchy and inflamed skin</w:t>
      </w:r>
      <w:r w:rsidR="00321503" w:rsidRPr="00A55335">
        <w:t xml:space="preserve"> </w:t>
      </w:r>
      <w:r w:rsidR="00FA7FAC" w:rsidRPr="00A55335">
        <w:fldChar w:fldCharType="begin"/>
      </w:r>
      <w:r w:rsidR="006952AD">
        <w:instrText xml:space="preserve"> ADDIN EN.CITE &lt;EndNote&gt;&lt;Cite&gt;&lt;Author&gt;Allergy &amp;amp; Anaphylaxis Australia&lt;/Author&gt;&lt;Year&gt;2023&lt;/Year&gt;&lt;RecNum&gt;681&lt;/RecNum&gt;&lt;DisplayText&gt;(65)&lt;/DisplayText&gt;&lt;record&gt;&lt;rec-number&gt;681&lt;/rec-number&gt;&lt;foreign-keys&gt;&lt;key app="EN" db-id="t5prptatr9sp0we5exbxt9zz20fwp55tdza9" timestamp="1702349718"&gt;681&lt;/key&gt;&lt;/foreign-keys&gt;&lt;ref-type name="Web Page"&gt;12&lt;/ref-type&gt;&lt;contributors&gt;&lt;authors&gt;&lt;author&gt;Allergy &amp;amp; Anaphylaxis Australia,&lt;/author&gt;&lt;/authors&gt;&lt;/contributors&gt;&lt;titles&gt;&lt;title&gt;Eczema (atopic dermatitis)&lt;/title&gt;&lt;/titles&gt;&lt;number&gt;6/12/2023&lt;/number&gt;&lt;dates&gt;&lt;year&gt;2023&lt;/year&gt;&lt;/dates&gt;&lt;urls&gt;&lt;related-urls&gt;&lt;url&gt;https://allergyfacts.org.au/allergy-anaphylaxis/eczema-atopic-dermatitis?gclid=EAIaIQobChMIxIWD9pz5ggMVvA2DAx3VzQ3OEAAYASAAEgLsl_D_BwE&lt;/url&gt;&lt;/related-urls&gt;&lt;/urls&gt;&lt;/record&gt;&lt;/Cite&gt;&lt;/EndNote&gt;</w:instrText>
      </w:r>
      <w:r w:rsidR="00FA7FAC" w:rsidRPr="00A55335">
        <w:fldChar w:fldCharType="separate"/>
      </w:r>
      <w:r w:rsidR="00FA37A6" w:rsidRPr="00A55335">
        <w:rPr>
          <w:noProof/>
        </w:rPr>
        <w:t>(</w:t>
      </w:r>
      <w:hyperlink w:anchor="_ENREF_65" w:tooltip="Allergy &amp; Anaphylaxis Australia, 2023 #681" w:history="1">
        <w:r w:rsidR="00EC2769" w:rsidRPr="00A55335">
          <w:rPr>
            <w:noProof/>
          </w:rPr>
          <w:t>65</w:t>
        </w:r>
      </w:hyperlink>
      <w:r w:rsidR="00FA37A6" w:rsidRPr="00A55335">
        <w:rPr>
          <w:noProof/>
        </w:rPr>
        <w:t>)</w:t>
      </w:r>
      <w:r w:rsidR="00FA7FAC" w:rsidRPr="00A55335">
        <w:fldChar w:fldCharType="end"/>
      </w:r>
      <w:r w:rsidRPr="00A55335">
        <w:t xml:space="preserve">. </w:t>
      </w:r>
      <w:r w:rsidR="00603E4A" w:rsidRPr="00A55335">
        <w:t xml:space="preserve">When eczema worsens, it is called an eczema flare, which can be caused by a range of irritants </w:t>
      </w:r>
      <w:r w:rsidR="00B232F3" w:rsidRPr="00A55335">
        <w:fldChar w:fldCharType="begin"/>
      </w:r>
      <w:r w:rsidR="006952AD">
        <w:instrText xml:space="preserve"> ADDIN EN.CITE &lt;EndNote&gt;&lt;Cite&gt;&lt;Author&gt;Australasian Society of Clinical Immunology and Allergy&lt;/Author&gt;&lt;Year&gt;March 2023&lt;/Year&gt;&lt;RecNum&gt;679&lt;/RecNum&gt;&lt;DisplayText&gt;(66)&lt;/DisplayText&gt;&lt;record&gt;&lt;rec-number&gt;679&lt;/rec-number&gt;&lt;foreign-keys&gt;&lt;key app="EN" db-id="t5prptatr9sp0we5exbxt9zz20fwp55tdza9" timestamp="1702349505"&gt;679&lt;/key&gt;&lt;/foreign-keys&gt;&lt;ref-type name="Web Page"&gt;12&lt;/ref-type&gt;&lt;contributors&gt;&lt;authors&gt;&lt;author&gt;Australasian Society of Clinical Immunology and Allergy,&lt;/author&gt;&lt;/authors&gt;&lt;/contributors&gt;&lt;titles&gt;&lt;title&gt;Eczema (Atopic Dermatitis) Frequently Asked Questions (FAQ)&lt;/title&gt;&lt;/titles&gt;&lt;dates&gt;&lt;year&gt;March 2023&lt;/year&gt;&lt;/dates&gt;&lt;urls&gt;&lt;related-urls&gt;&lt;url&gt;https://www.allergy.org.au/patients/skin-allergy/eczema?highlight=WyJlY3plbWEiXQ==&lt;/url&gt;&lt;/related-urls&gt;&lt;/urls&gt;&lt;custom2&gt;November 2023&lt;/custom2&gt;&lt;/record&gt;&lt;/Cite&gt;&lt;/EndNote&gt;</w:instrText>
      </w:r>
      <w:r w:rsidR="00B232F3" w:rsidRPr="00A55335">
        <w:fldChar w:fldCharType="separate"/>
      </w:r>
      <w:r w:rsidR="00FA37A6" w:rsidRPr="00A55335">
        <w:rPr>
          <w:noProof/>
        </w:rPr>
        <w:t>(</w:t>
      </w:r>
      <w:hyperlink w:anchor="_ENREF_66" w:tooltip="Australasian Society of Clinical Immunology and Allergy, March 2023 #679" w:history="1">
        <w:r w:rsidR="00EC2769" w:rsidRPr="00A55335">
          <w:rPr>
            <w:noProof/>
          </w:rPr>
          <w:t>66</w:t>
        </w:r>
      </w:hyperlink>
      <w:r w:rsidR="00FA37A6" w:rsidRPr="00A55335">
        <w:rPr>
          <w:noProof/>
        </w:rPr>
        <w:t>)</w:t>
      </w:r>
      <w:r w:rsidR="00B232F3" w:rsidRPr="00A55335">
        <w:fldChar w:fldCharType="end"/>
      </w:r>
      <w:r w:rsidR="00603E4A" w:rsidRPr="00A55335">
        <w:t xml:space="preserve">. </w:t>
      </w:r>
      <w:r w:rsidR="004A1DB8" w:rsidRPr="00A55335">
        <w:t>Atopic dermatitis usually affects</w:t>
      </w:r>
      <w:r w:rsidR="00495F44" w:rsidRPr="00A55335">
        <w:t xml:space="preserve"> young children but can affect people at any age </w:t>
      </w:r>
      <w:r w:rsidR="00FA7FAC" w:rsidRPr="00A55335">
        <w:fldChar w:fldCharType="begin"/>
      </w:r>
      <w:r w:rsidR="006952AD">
        <w:instrText xml:space="preserve"> ADDIN EN.CITE &lt;EndNote&gt;&lt;Cite&gt;&lt;Author&gt;Allergy &amp;amp; Anaphylaxis Australia&lt;/Author&gt;&lt;Year&gt;2023&lt;/Year&gt;&lt;RecNum&gt;681&lt;/RecNum&gt;&lt;DisplayText&gt;(65)&lt;/DisplayText&gt;&lt;record&gt;&lt;rec-number&gt;681&lt;/rec-number&gt;&lt;foreign-keys&gt;&lt;key app="EN" db-id="t5prptatr9sp0we5exbxt9zz20fwp55tdza9" timestamp="1702349718"&gt;681&lt;/key&gt;&lt;/foreign-keys&gt;&lt;ref-type name="Web Page"&gt;12&lt;/ref-type&gt;&lt;contributors&gt;&lt;authors&gt;&lt;author&gt;Allergy &amp;amp; Anaphylaxis Australia,&lt;/author&gt;&lt;/authors&gt;&lt;/contributors&gt;&lt;titles&gt;&lt;title&gt;Eczema (atopic dermatitis)&lt;/title&gt;&lt;/titles&gt;&lt;number&gt;6/12/2023&lt;/number&gt;&lt;dates&gt;&lt;year&gt;2023&lt;/year&gt;&lt;/dates&gt;&lt;urls&gt;&lt;related-urls&gt;&lt;url&gt;https://allergyfacts.org.au/allergy-anaphylaxis/eczema-atopic-dermatitis?gclid=EAIaIQobChMIxIWD9pz5ggMVvA2DAx3VzQ3OEAAYASAAEgLsl_D_BwE&lt;/url&gt;&lt;/related-urls&gt;&lt;/urls&gt;&lt;/record&gt;&lt;/Cite&gt;&lt;/EndNote&gt;</w:instrText>
      </w:r>
      <w:r w:rsidR="00FA7FAC" w:rsidRPr="00A55335">
        <w:fldChar w:fldCharType="separate"/>
      </w:r>
      <w:r w:rsidR="00FA37A6" w:rsidRPr="00A55335">
        <w:rPr>
          <w:noProof/>
        </w:rPr>
        <w:t>(</w:t>
      </w:r>
      <w:hyperlink w:anchor="_ENREF_65" w:tooltip="Allergy &amp; Anaphylaxis Australia, 2023 #681" w:history="1">
        <w:r w:rsidR="00EC2769" w:rsidRPr="00A55335">
          <w:rPr>
            <w:noProof/>
          </w:rPr>
          <w:t>65</w:t>
        </w:r>
      </w:hyperlink>
      <w:r w:rsidR="00FA37A6" w:rsidRPr="00A55335">
        <w:rPr>
          <w:noProof/>
        </w:rPr>
        <w:t>)</w:t>
      </w:r>
      <w:r w:rsidR="00FA7FAC" w:rsidRPr="00A55335">
        <w:fldChar w:fldCharType="end"/>
      </w:r>
      <w:r w:rsidR="00495F44" w:rsidRPr="00A55335">
        <w:t xml:space="preserve">. </w:t>
      </w:r>
      <w:r w:rsidR="00776994" w:rsidRPr="00A55335">
        <w:t>There is no cure for atopic dermatitis, however u</w:t>
      </w:r>
      <w:r w:rsidR="00495F44" w:rsidRPr="00A55335">
        <w:t>p to 70% of children with eczema grow out of it</w:t>
      </w:r>
      <w:r w:rsidR="00FA7FAC" w:rsidRPr="00A55335">
        <w:t xml:space="preserve"> </w:t>
      </w:r>
      <w:r w:rsidR="00FA7FAC" w:rsidRPr="00A55335">
        <w:fldChar w:fldCharType="begin"/>
      </w:r>
      <w:r w:rsidR="006952AD">
        <w:instrText xml:space="preserve"> ADDIN EN.CITE &lt;EndNote&gt;&lt;Cite&gt;&lt;Author&gt;Allergy &amp;amp; Anaphylaxis Australia&lt;/Author&gt;&lt;Year&gt;2023&lt;/Year&gt;&lt;RecNum&gt;681&lt;/RecNum&gt;&lt;DisplayText&gt;(65)&lt;/DisplayText&gt;&lt;record&gt;&lt;rec-number&gt;681&lt;/rec-number&gt;&lt;foreign-keys&gt;&lt;key app="EN" db-id="t5prptatr9sp0we5exbxt9zz20fwp55tdza9" timestamp="1702349718"&gt;681&lt;/key&gt;&lt;/foreign-keys&gt;&lt;ref-type name="Web Page"&gt;12&lt;/ref-type&gt;&lt;contributors&gt;&lt;authors&gt;&lt;author&gt;Allergy &amp;amp; Anaphylaxis Australia,&lt;/author&gt;&lt;/authors&gt;&lt;/contributors&gt;&lt;titles&gt;&lt;title&gt;Eczema (atopic dermatitis)&lt;/title&gt;&lt;/titles&gt;&lt;number&gt;6/12/2023&lt;/number&gt;&lt;dates&gt;&lt;year&gt;2023&lt;/year&gt;&lt;/dates&gt;&lt;urls&gt;&lt;related-urls&gt;&lt;url&gt;https://allergyfacts.org.au/allergy-anaphylaxis/eczema-atopic-dermatitis?gclid=EAIaIQobChMIxIWD9pz5ggMVvA2DAx3VzQ3OEAAYASAAEgLsl_D_BwE&lt;/url&gt;&lt;/related-urls&gt;&lt;/urls&gt;&lt;/record&gt;&lt;/Cite&gt;&lt;/EndNote&gt;</w:instrText>
      </w:r>
      <w:r w:rsidR="00FA7FAC" w:rsidRPr="00A55335">
        <w:fldChar w:fldCharType="separate"/>
      </w:r>
      <w:r w:rsidR="00FA37A6" w:rsidRPr="00A55335">
        <w:rPr>
          <w:noProof/>
        </w:rPr>
        <w:t>(</w:t>
      </w:r>
      <w:hyperlink w:anchor="_ENREF_65" w:tooltip="Allergy &amp; Anaphylaxis Australia, 2023 #681" w:history="1">
        <w:r w:rsidR="00EC2769" w:rsidRPr="00A55335">
          <w:rPr>
            <w:noProof/>
          </w:rPr>
          <w:t>65</w:t>
        </w:r>
      </w:hyperlink>
      <w:r w:rsidR="00FA37A6" w:rsidRPr="00A55335">
        <w:rPr>
          <w:noProof/>
        </w:rPr>
        <w:t>)</w:t>
      </w:r>
      <w:r w:rsidR="00FA7FAC" w:rsidRPr="00A55335">
        <w:fldChar w:fldCharType="end"/>
      </w:r>
      <w:r w:rsidR="00495F44" w:rsidRPr="00A55335">
        <w:t xml:space="preserve">. </w:t>
      </w:r>
    </w:p>
    <w:p w14:paraId="26AC6036" w14:textId="2F72E33C" w:rsidR="002F4C19" w:rsidRPr="00A55335" w:rsidRDefault="008642F3" w:rsidP="006A4ED3">
      <w:pPr>
        <w:pStyle w:val="BodyText"/>
      </w:pPr>
      <w:r w:rsidRPr="00A55335">
        <w:t>Atopic dermati</w:t>
      </w:r>
      <w:r w:rsidR="002201CD" w:rsidRPr="00A55335">
        <w:t xml:space="preserve">tis is managed </w:t>
      </w:r>
      <w:r w:rsidR="00534274" w:rsidRPr="00A55335">
        <w:t xml:space="preserve">through maintaining and protecting the skin, avoiding known irritants, </w:t>
      </w:r>
      <w:r w:rsidR="00B2077C" w:rsidRPr="00A55335">
        <w:t xml:space="preserve">treating eczema flares, controlling itching, and preventing and treating infection </w:t>
      </w:r>
      <w:r w:rsidR="00B232F3" w:rsidRPr="00A55335">
        <w:fldChar w:fldCharType="begin"/>
      </w:r>
      <w:r w:rsidR="006952AD">
        <w:instrText xml:space="preserve"> ADDIN EN.CITE &lt;EndNote&gt;&lt;Cite&gt;&lt;Author&gt;Australasian Society of Clinical Immunology and Allergy&lt;/Author&gt;&lt;Year&gt;March 2023&lt;/Year&gt;&lt;RecNum&gt;679&lt;/RecNum&gt;&lt;DisplayText&gt;(66)&lt;/DisplayText&gt;&lt;record&gt;&lt;rec-number&gt;679&lt;/rec-number&gt;&lt;foreign-keys&gt;&lt;key app="EN" db-id="t5prptatr9sp0we5exbxt9zz20fwp55tdza9" timestamp="1702349505"&gt;679&lt;/key&gt;&lt;/foreign-keys&gt;&lt;ref-type name="Web Page"&gt;12&lt;/ref-type&gt;&lt;contributors&gt;&lt;authors&gt;&lt;author&gt;Australasian Society of Clinical Immunology and Allergy,&lt;/author&gt;&lt;/authors&gt;&lt;/contributors&gt;&lt;titles&gt;&lt;title&gt;Eczema (Atopic Dermatitis) Frequently Asked Questions (FAQ)&lt;/title&gt;&lt;/titles&gt;&lt;dates&gt;&lt;year&gt;March 2023&lt;/year&gt;&lt;/dates&gt;&lt;urls&gt;&lt;related-urls&gt;&lt;url&gt;https://www.allergy.org.au/patients/skin-allergy/eczema?highlight=WyJlY3plbWEiXQ==&lt;/url&gt;&lt;/related-urls&gt;&lt;/urls&gt;&lt;custom2&gt;November 2023&lt;/custom2&gt;&lt;/record&gt;&lt;/Cite&gt;&lt;/EndNote&gt;</w:instrText>
      </w:r>
      <w:r w:rsidR="00B232F3" w:rsidRPr="00A55335">
        <w:fldChar w:fldCharType="separate"/>
      </w:r>
      <w:r w:rsidR="00FA37A6" w:rsidRPr="00A55335">
        <w:rPr>
          <w:noProof/>
        </w:rPr>
        <w:t>(</w:t>
      </w:r>
      <w:hyperlink w:anchor="_ENREF_66" w:tooltip="Australasian Society of Clinical Immunology and Allergy, March 2023 #679" w:history="1">
        <w:r w:rsidR="00EC2769" w:rsidRPr="00A55335">
          <w:rPr>
            <w:noProof/>
          </w:rPr>
          <w:t>66</w:t>
        </w:r>
      </w:hyperlink>
      <w:r w:rsidR="00FA37A6" w:rsidRPr="00A55335">
        <w:rPr>
          <w:noProof/>
        </w:rPr>
        <w:t>)</w:t>
      </w:r>
      <w:r w:rsidR="00B232F3" w:rsidRPr="00A55335">
        <w:fldChar w:fldCharType="end"/>
      </w:r>
      <w:r w:rsidR="00B2077C" w:rsidRPr="00A55335">
        <w:t>.</w:t>
      </w:r>
      <w:r w:rsidR="00F83258" w:rsidRPr="00A55335">
        <w:t xml:space="preserve"> Eczema flares are often treated with topical </w:t>
      </w:r>
      <w:r w:rsidR="002967CF" w:rsidRPr="00A55335">
        <w:t xml:space="preserve">corticosteroids or calcineurin inhibitors </w:t>
      </w:r>
      <w:r w:rsidR="00B232F3" w:rsidRPr="00A55335">
        <w:fldChar w:fldCharType="begin"/>
      </w:r>
      <w:r w:rsidR="006952AD">
        <w:instrText xml:space="preserve"> ADDIN EN.CITE &lt;EndNote&gt;&lt;Cite&gt;&lt;Author&gt;Australasian Society of Clinical Immunology and Allergy&lt;/Author&gt;&lt;Year&gt;March 2023&lt;/Year&gt;&lt;RecNum&gt;679&lt;/RecNum&gt;&lt;DisplayText&gt;(66)&lt;/DisplayText&gt;&lt;record&gt;&lt;rec-number&gt;679&lt;/rec-number&gt;&lt;foreign-keys&gt;&lt;key app="EN" db-id="t5prptatr9sp0we5exbxt9zz20fwp55tdza9" timestamp="1702349505"&gt;679&lt;/key&gt;&lt;/foreign-keys&gt;&lt;ref-type name="Web Page"&gt;12&lt;/ref-type&gt;&lt;contributors&gt;&lt;authors&gt;&lt;author&gt;Australasian Society of Clinical Immunology and Allergy,&lt;/author&gt;&lt;/authors&gt;&lt;/contributors&gt;&lt;titles&gt;&lt;title&gt;Eczema (Atopic Dermatitis) Frequently Asked Questions (FAQ)&lt;/title&gt;&lt;/titles&gt;&lt;dates&gt;&lt;year&gt;March 2023&lt;/year&gt;&lt;/dates&gt;&lt;urls&gt;&lt;related-urls&gt;&lt;url&gt;https://www.allergy.org.au/patients/skin-allergy/eczema?highlight=WyJlY3plbWEiXQ==&lt;/url&gt;&lt;/related-urls&gt;&lt;/urls&gt;&lt;custom2&gt;November 2023&lt;/custom2&gt;&lt;/record&gt;&lt;/Cite&gt;&lt;/EndNote&gt;</w:instrText>
      </w:r>
      <w:r w:rsidR="00B232F3" w:rsidRPr="00A55335">
        <w:fldChar w:fldCharType="separate"/>
      </w:r>
      <w:r w:rsidR="00FA37A6" w:rsidRPr="00A55335">
        <w:rPr>
          <w:noProof/>
        </w:rPr>
        <w:t>(</w:t>
      </w:r>
      <w:hyperlink w:anchor="_ENREF_66" w:tooltip="Australasian Society of Clinical Immunology and Allergy, March 2023 #679" w:history="1">
        <w:r w:rsidR="00EC2769" w:rsidRPr="00A55335">
          <w:rPr>
            <w:noProof/>
          </w:rPr>
          <w:t>66</w:t>
        </w:r>
      </w:hyperlink>
      <w:r w:rsidR="00FA37A6" w:rsidRPr="00A55335">
        <w:rPr>
          <w:noProof/>
        </w:rPr>
        <w:t>)</w:t>
      </w:r>
      <w:r w:rsidR="00B232F3" w:rsidRPr="00A55335">
        <w:fldChar w:fldCharType="end"/>
      </w:r>
      <w:r w:rsidR="002967CF" w:rsidRPr="00A55335">
        <w:t>.</w:t>
      </w:r>
    </w:p>
    <w:p w14:paraId="5131F8A0" w14:textId="07AD3B92" w:rsidR="002F4C19" w:rsidRPr="00A55335" w:rsidRDefault="002F4C19" w:rsidP="00552FB9">
      <w:pPr>
        <w:pStyle w:val="Heading3"/>
      </w:pPr>
      <w:bookmarkStart w:id="81" w:name="_Toc183441305"/>
      <w:r w:rsidRPr="00A55335">
        <w:t>Description of the studies</w:t>
      </w:r>
      <w:bookmarkEnd w:id="81"/>
    </w:p>
    <w:p w14:paraId="3069B953" w14:textId="1AC8F606" w:rsidR="007A6E35" w:rsidRPr="00A55335" w:rsidRDefault="00AB3B50" w:rsidP="00DD505D">
      <w:pPr>
        <w:pStyle w:val="BodyText"/>
      </w:pPr>
      <w:r w:rsidRPr="00A55335">
        <w:t xml:space="preserve">There were </w:t>
      </w:r>
      <w:r w:rsidR="00135B1E" w:rsidRPr="00A55335">
        <w:t>1</w:t>
      </w:r>
      <w:r w:rsidR="005D54AB" w:rsidRPr="00A55335">
        <w:t>4</w:t>
      </w:r>
      <w:r w:rsidR="00135B1E" w:rsidRPr="00A55335">
        <w:t xml:space="preserve"> citations</w:t>
      </w:r>
      <w:r w:rsidR="008855AD" w:rsidRPr="00A55335">
        <w:t xml:space="preserve"> </w:t>
      </w:r>
      <w:r w:rsidR="00D50A6B" w:rsidRPr="00A55335">
        <w:fldChar w:fldCharType="begin">
          <w:fldData xml:space="preserve">MyI+OTY2PC9rZXk+PC9mb3JlaWduLWtleXM+PHJlZi10eXBlIG5hbWU9IkpvdXJuYWwgQXJ0aWNs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=
</w:fldData>
        </w:fldChar>
      </w:r>
      <w:r w:rsidR="006952AD">
        <w:instrText xml:space="preserve"> ADDIN EN.CITE </w:instrText>
      </w:r>
      <w:r w:rsidR="006952AD">
        <w:fldChar w:fldCharType="begin">
          <w:fldData xml:space="preserve">PEVuZE5vdGU+PENpdGU+PEF1dGhvcj5BYWJlbDwvQXV0aG9yPjxZZWFyPjIwMDA8L1llYXI+PFJl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==
</w:fldData>
        </w:fldChar>
      </w:r>
      <w:r w:rsidR="006952AD">
        <w:instrText xml:space="preserve"> ADDIN EN.CITE.DATA </w:instrText>
      </w:r>
      <w:r w:rsidR="006952AD">
        <w:fldChar w:fldCharType="end"/>
      </w:r>
      <w:r w:rsidR="006952AD">
        <w:fldChar w:fldCharType="begin">
          <w:fldData xml:space="preserve">MyI+OTY2PC9rZXk+PC9mb3JlaWduLWtleXM+PHJlZi10eXBlIG5hbWU9IkpvdXJuYWwgQXJ0aWNs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=
</w:fldData>
        </w:fldChar>
      </w:r>
      <w:r w:rsidR="006952AD">
        <w:instrText xml:space="preserve"> ADDIN EN.CITE.DATA </w:instrText>
      </w:r>
      <w:r w:rsidR="006952AD">
        <w:fldChar w:fldCharType="end"/>
      </w:r>
      <w:r w:rsidR="00D50A6B" w:rsidRPr="00A55335">
        <w:fldChar w:fldCharType="separate"/>
      </w:r>
      <w:r w:rsidR="00FA37A6" w:rsidRPr="00A55335">
        <w:rPr>
          <w:noProof/>
        </w:rPr>
        <w:t>(</w:t>
      </w:r>
      <w:hyperlink w:anchor="_ENREF_67" w:tooltip="Aabel, 2000 #533" w:history="1">
        <w:r w:rsidR="00EC2769" w:rsidRPr="00A55335">
          <w:rPr>
            <w:noProof/>
          </w:rPr>
          <w:t>67-80</w:t>
        </w:r>
      </w:hyperlink>
      <w:r w:rsidR="00FA37A6" w:rsidRPr="00A55335">
        <w:rPr>
          <w:noProof/>
        </w:rPr>
        <w:t>)</w:t>
      </w:r>
      <w:r w:rsidR="00D50A6B" w:rsidRPr="00A55335">
        <w:fldChar w:fldCharType="end"/>
      </w:r>
      <w:r w:rsidR="00331DA9" w:rsidRPr="00A55335">
        <w:t xml:space="preserve"> corresponding to </w:t>
      </w:r>
      <w:r w:rsidR="00E91F56" w:rsidRPr="00A55335">
        <w:t xml:space="preserve">10 RCTs (Aabel 2000a, Aabel 2000b, Aabel 2001, Dey 2022, Kim 2005, Liu 2013, Naidoo 2013, Reilly 1984, </w:t>
      </w:r>
      <w:r w:rsidR="006A4ED3" w:rsidRPr="00A55335">
        <w:t xml:space="preserve">Taylor 2000, Vickers 2000) identified in the literature search. </w:t>
      </w:r>
      <w:r w:rsidR="002F4C19" w:rsidRPr="00A55335">
        <w:t xml:space="preserve">Two additional studies </w:t>
      </w:r>
      <w:r w:rsidR="00B232F3" w:rsidRPr="00A55335">
        <w:fldChar w:fldCharType="begin">
          <w:fldData xml:space="preserve">PEVuZE5vdGU+PENpdGU+PEF1dGhvcj5DYXJlbGxvPC9BdXRob3I+PFllYXI+MjAxNzwvWWVhcj48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</w:fldData>
        </w:fldChar>
      </w:r>
      <w:r w:rsidR="006952AD">
        <w:instrText xml:space="preserve"> ADDIN EN.CITE </w:instrText>
      </w:r>
      <w:r w:rsidR="006952AD">
        <w:fldChar w:fldCharType="begin">
          <w:fldData xml:space="preserve">PEVuZE5vdGU+PENpdGU+PEF1dGhvcj5DYXJlbGxvPC9BdXRob3I+PFllYXI+MjAxNzwvWWVhcj48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</w:fldData>
        </w:fldChar>
      </w:r>
      <w:r w:rsidR="006952AD">
        <w:instrText xml:space="preserve"> ADDIN EN.CITE.DATA </w:instrText>
      </w:r>
      <w:r w:rsidR="006952AD">
        <w:fldChar w:fldCharType="end"/>
      </w:r>
      <w:r w:rsidR="00B232F3" w:rsidRPr="00A55335">
        <w:fldChar w:fldCharType="separate"/>
      </w:r>
      <w:r w:rsidR="00FA37A6" w:rsidRPr="00A55335">
        <w:rPr>
          <w:noProof/>
        </w:rPr>
        <w:t>(</w:t>
      </w:r>
      <w:hyperlink w:anchor="_ENREF_81" w:tooltip="Carello, 2017 #682" w:history="1">
        <w:r w:rsidR="00EC2769" w:rsidRPr="00A55335">
          <w:rPr>
            <w:noProof/>
          </w:rPr>
          <w:t>81</w:t>
        </w:r>
      </w:hyperlink>
      <w:r w:rsidR="00FA37A6" w:rsidRPr="00A55335">
        <w:rPr>
          <w:noProof/>
        </w:rPr>
        <w:t xml:space="preserve">, </w:t>
      </w:r>
      <w:hyperlink w:anchor="_ENREF_82" w:tooltip="Wiesenauer, 1995 #532" w:history="1">
        <w:r w:rsidR="00EC2769" w:rsidRPr="00A55335">
          <w:rPr>
            <w:noProof/>
          </w:rPr>
          <w:t>82</w:t>
        </w:r>
      </w:hyperlink>
      <w:r w:rsidR="00FA37A6" w:rsidRPr="00A55335">
        <w:rPr>
          <w:noProof/>
        </w:rPr>
        <w:t>)</w:t>
      </w:r>
      <w:r w:rsidR="00B232F3" w:rsidRPr="00A55335">
        <w:fldChar w:fldCharType="end"/>
      </w:r>
      <w:r w:rsidR="001655E1" w:rsidRPr="00A55335">
        <w:t xml:space="preserve"> were identified in the Department’s public call for evidence</w:t>
      </w:r>
      <w:r w:rsidR="00F63067" w:rsidRPr="00A55335">
        <w:t xml:space="preserve"> (Carello 2017, </w:t>
      </w:r>
      <w:proofErr w:type="spellStart"/>
      <w:r w:rsidR="00F63067" w:rsidRPr="00A55335">
        <w:t>Wiesenauer</w:t>
      </w:r>
      <w:proofErr w:type="spellEnd"/>
      <w:r w:rsidR="00F63067" w:rsidRPr="00A55335">
        <w:t xml:space="preserve"> 1995)</w:t>
      </w:r>
      <w:r w:rsidR="001655E1" w:rsidRPr="00A55335">
        <w:t xml:space="preserve">. </w:t>
      </w:r>
      <w:r w:rsidR="00035183" w:rsidRPr="00A55335">
        <w:t xml:space="preserve">There were </w:t>
      </w:r>
      <w:r w:rsidR="00AE0752" w:rsidRPr="00A55335">
        <w:t>11</w:t>
      </w:r>
      <w:r w:rsidR="00035183" w:rsidRPr="00A55335">
        <w:t xml:space="preserve"> </w:t>
      </w:r>
      <w:hyperlink w:anchor="_Ongoing_studies" w:history="1">
        <w:r w:rsidR="00035183" w:rsidRPr="00A55335">
          <w:rPr>
            <w:rStyle w:val="Hyperlink"/>
            <w:rFonts w:cs="Calibri"/>
            <w:color w:val="000000" w:themeColor="text1"/>
            <w:u w:val="none"/>
          </w:rPr>
          <w:t>ongoing studies</w:t>
        </w:r>
      </w:hyperlink>
      <w:r w:rsidR="00035183" w:rsidRPr="00A55335">
        <w:t xml:space="preserve">, and </w:t>
      </w:r>
      <w:r w:rsidR="00123C5F" w:rsidRPr="00A55335">
        <w:t xml:space="preserve">10 </w:t>
      </w:r>
      <w:hyperlink w:anchor="_Studies_awaiting_classification" w:history="1">
        <w:r w:rsidR="00035183" w:rsidRPr="00A55335">
          <w:rPr>
            <w:rStyle w:val="Hyperlink"/>
            <w:rFonts w:cs="Calibri"/>
            <w:color w:val="000000" w:themeColor="text1"/>
            <w:u w:val="none"/>
          </w:rPr>
          <w:t>stud</w:t>
        </w:r>
        <w:r w:rsidR="00520040" w:rsidRPr="00A55335">
          <w:rPr>
            <w:rStyle w:val="Hyperlink"/>
            <w:rFonts w:cs="Calibri"/>
            <w:color w:val="000000" w:themeColor="text1"/>
            <w:u w:val="none"/>
          </w:rPr>
          <w:t>ies</w:t>
        </w:r>
        <w:r w:rsidR="00035183" w:rsidRPr="00A55335">
          <w:rPr>
            <w:rStyle w:val="Hyperlink"/>
            <w:rFonts w:cs="Calibri"/>
            <w:color w:val="000000" w:themeColor="text1"/>
            <w:u w:val="none"/>
          </w:rPr>
          <w:t xml:space="preserve"> awaiting classification</w:t>
        </w:r>
      </w:hyperlink>
      <w:r w:rsidR="00A7127A" w:rsidRPr="00A55335">
        <w:t>, including</w:t>
      </w:r>
      <w:r w:rsidR="00035183" w:rsidRPr="00A55335">
        <w:t xml:space="preserve"> </w:t>
      </w:r>
      <w:r w:rsidR="00BE6C57" w:rsidRPr="00A55335">
        <w:t xml:space="preserve">9 </w:t>
      </w:r>
      <w:r w:rsidR="00A7127A" w:rsidRPr="00A55335">
        <w:t xml:space="preserve">studies not in English. </w:t>
      </w:r>
      <w:r w:rsidR="00035183" w:rsidRPr="00A55335">
        <w:t>An overview of the PICO criteria of included studies is provided in Appendix D1.</w:t>
      </w:r>
      <w:r w:rsidR="0074524F" w:rsidRPr="00A55335">
        <w:t>1.1 (</w:t>
      </w:r>
      <w:r w:rsidR="007A6E35" w:rsidRPr="00A55335">
        <w:t xml:space="preserve">allergic rhinitis) </w:t>
      </w:r>
      <w:r w:rsidR="0074524F" w:rsidRPr="00A55335">
        <w:t>and D1.2.1</w:t>
      </w:r>
      <w:r w:rsidR="007A6E35" w:rsidRPr="00A55335">
        <w:t xml:space="preserve"> (atopic dermatitis)</w:t>
      </w:r>
      <w:r w:rsidR="0074524F" w:rsidRPr="00A55335">
        <w:t>.</w:t>
      </w:r>
    </w:p>
    <w:p w14:paraId="71527589" w14:textId="4B9C9384" w:rsidR="00AC3CF6" w:rsidRPr="00A55335" w:rsidRDefault="003739A0" w:rsidP="00E8629E">
      <w:pPr>
        <w:pStyle w:val="BodyText"/>
      </w:pPr>
      <w:r w:rsidRPr="00A55335">
        <w:lastRenderedPageBreak/>
        <w:t xml:space="preserve">The studies were </w:t>
      </w:r>
      <w:r w:rsidR="002B6259" w:rsidRPr="00A55335">
        <w:t xml:space="preserve">conducted in single- or multi-centre settings in </w:t>
      </w:r>
      <w:r w:rsidR="001B0E12" w:rsidRPr="00A55335">
        <w:t>Germany (</w:t>
      </w:r>
      <w:proofErr w:type="spellStart"/>
      <w:r w:rsidR="001B0E12" w:rsidRPr="00A55335">
        <w:t>Wiesenauer</w:t>
      </w:r>
      <w:proofErr w:type="spellEnd"/>
      <w:r w:rsidR="001B0E12" w:rsidRPr="00A55335">
        <w:t xml:space="preserve"> 1995)</w:t>
      </w:r>
      <w:r w:rsidR="00D8548C" w:rsidRPr="00A55335">
        <w:t>,</w:t>
      </w:r>
      <w:r w:rsidR="001B0E12" w:rsidRPr="00A55335">
        <w:t xml:space="preserve"> India (Dey 2022), Italy (Carello 2017), </w:t>
      </w:r>
      <w:r w:rsidR="000A6C10" w:rsidRPr="00A55335">
        <w:t>Norway (</w:t>
      </w:r>
      <w:r w:rsidR="000A6C10" w:rsidRPr="00BD1A50">
        <w:t xml:space="preserve">Aabel 2000a, Aabel 2000b, Aabel 2001), </w:t>
      </w:r>
      <w:r w:rsidR="008A1B5F" w:rsidRPr="00A55335">
        <w:t xml:space="preserve">South </w:t>
      </w:r>
      <w:r w:rsidR="00CA2EEC" w:rsidRPr="00A55335">
        <w:t>Africa (Naidoo 2013)</w:t>
      </w:r>
      <w:r w:rsidR="001C37A3" w:rsidRPr="00A55335">
        <w:t xml:space="preserve">, </w:t>
      </w:r>
      <w:r w:rsidR="00D8548C" w:rsidRPr="00A55335">
        <w:t xml:space="preserve">Taiwan (Liu 2013), </w:t>
      </w:r>
      <w:r w:rsidR="001B0E12" w:rsidRPr="00A55335">
        <w:t>the U</w:t>
      </w:r>
      <w:r w:rsidR="00D8548C" w:rsidRPr="00A55335">
        <w:t xml:space="preserve">nited </w:t>
      </w:r>
      <w:r w:rsidR="001B0E12" w:rsidRPr="00A55335">
        <w:t>K</w:t>
      </w:r>
      <w:r w:rsidR="00D8548C" w:rsidRPr="00A55335">
        <w:t>ingdom</w:t>
      </w:r>
      <w:r w:rsidR="001B0E12" w:rsidRPr="00A55335">
        <w:t xml:space="preserve"> (Vickers 2000, Reilly 1984, Taylor 2000)</w:t>
      </w:r>
      <w:r w:rsidR="00D8548C" w:rsidRPr="00A55335">
        <w:t xml:space="preserve"> or the United States (Kim 2005)</w:t>
      </w:r>
      <w:r w:rsidR="004104FB">
        <w:t>.</w:t>
      </w:r>
    </w:p>
    <w:p w14:paraId="0494EFAB" w14:textId="4D610EEF" w:rsidR="00BF6E5C" w:rsidRPr="00A55335" w:rsidRDefault="00D8548C" w:rsidP="000A6C10">
      <w:pPr>
        <w:pStyle w:val="BodyText"/>
      </w:pPr>
      <w:r w:rsidRPr="00A55335">
        <w:t>Nine</w:t>
      </w:r>
      <w:r w:rsidR="000A6C10" w:rsidRPr="00A55335">
        <w:t xml:space="preserve"> studies (Aabel 2000a, Aabel 2000b, Aabel 2001, Kim 2005, Liu 2013, Naidoo 2013, Reilly 1984, Taylor 2000, </w:t>
      </w:r>
      <w:proofErr w:type="spellStart"/>
      <w:r w:rsidR="000A6C10" w:rsidRPr="00A55335">
        <w:t>Wiesenauer</w:t>
      </w:r>
      <w:proofErr w:type="spellEnd"/>
      <w:r w:rsidR="000A6C10" w:rsidRPr="00A55335">
        <w:t xml:space="preserve"> 1995) were in people with allergic rhinitis</w:t>
      </w:r>
      <w:r w:rsidR="00BF6E5C" w:rsidRPr="00A55335">
        <w:t xml:space="preserve"> (total 690 participants)</w:t>
      </w:r>
      <w:r w:rsidR="00792A67" w:rsidRPr="00A55335">
        <w:t>. Aabel 2001 enrolled patients who had been included in previous studies conducted by the trialists (Aabel 2000a</w:t>
      </w:r>
      <w:r w:rsidR="000A6C10" w:rsidRPr="00A55335">
        <w:t xml:space="preserve"> and </w:t>
      </w:r>
      <w:r w:rsidR="00792A67" w:rsidRPr="00A55335">
        <w:t>Aabel 2000b). Three</w:t>
      </w:r>
      <w:r w:rsidR="000A6C10" w:rsidRPr="00A55335">
        <w:t xml:space="preserve"> studies (Carello 2017, Dey 2022, Vickers 2000) were in people with atopic dermatitis</w:t>
      </w:r>
      <w:r w:rsidR="00CD1CD9" w:rsidRPr="00A55335">
        <w:t xml:space="preserve"> (total 215 participants)</w:t>
      </w:r>
      <w:r w:rsidR="000A6C10" w:rsidRPr="00A55335">
        <w:t xml:space="preserve">. </w:t>
      </w:r>
      <w:r w:rsidR="00BF6E5C" w:rsidRPr="00A55335">
        <w:t>Total sample size ranged from 30 to 164</w:t>
      </w:r>
      <w:r w:rsidR="00CD1CD9" w:rsidRPr="00A55335">
        <w:t xml:space="preserve"> participants</w:t>
      </w:r>
      <w:r w:rsidR="00BF6E5C" w:rsidRPr="00A55335">
        <w:t>.</w:t>
      </w:r>
    </w:p>
    <w:p w14:paraId="75ED351D" w14:textId="312F91C7" w:rsidR="000A6C10" w:rsidRPr="00A55335" w:rsidRDefault="00BF6E5C" w:rsidP="000A6C10">
      <w:pPr>
        <w:pStyle w:val="BodyText"/>
      </w:pPr>
      <w:r w:rsidRPr="00A55335">
        <w:t xml:space="preserve">All studies examined the effectiveness of homeopathy compared with placebo. </w:t>
      </w:r>
      <w:r w:rsidR="002953A7" w:rsidRPr="00A55335">
        <w:t xml:space="preserve">Three </w:t>
      </w:r>
      <w:r w:rsidR="000A6C10" w:rsidRPr="00A55335">
        <w:t xml:space="preserve">studies used individualised homeopathy (Dey 2022, </w:t>
      </w:r>
      <w:r w:rsidR="002953A7" w:rsidRPr="00A55335">
        <w:t xml:space="preserve">Liu 2013, </w:t>
      </w:r>
      <w:r w:rsidR="000A6C10" w:rsidRPr="00A55335">
        <w:t>Vickers 2000) and the remainder used non-individualised homeopath</w:t>
      </w:r>
      <w:r w:rsidRPr="00A55335">
        <w:t xml:space="preserve">ic </w:t>
      </w:r>
      <w:r w:rsidRPr="00BD1A50">
        <w:t>products</w:t>
      </w:r>
      <w:r w:rsidR="000A6C10" w:rsidRPr="00A55335">
        <w:t>. Most studies had a 4-week intervention period, with the intervention period across all studies ranging from 2 weeks to 8 months.</w:t>
      </w:r>
    </w:p>
    <w:p w14:paraId="5BFA7E1B" w14:textId="635ED7C3" w:rsidR="00DD505D" w:rsidRPr="00A55335" w:rsidRDefault="00DD505D" w:rsidP="00306816">
      <w:pPr>
        <w:pStyle w:val="BodyText"/>
      </w:pPr>
      <w:r w:rsidRPr="00A55335">
        <w:t xml:space="preserve">Results for </w:t>
      </w:r>
      <w:r w:rsidR="00E0730F" w:rsidRPr="00A55335">
        <w:t>the P</w:t>
      </w:r>
      <w:r w:rsidR="006070ED" w:rsidRPr="00A55335">
        <w:t xml:space="preserve">rimary </w:t>
      </w:r>
      <w:r w:rsidR="00E0730F" w:rsidRPr="00A55335">
        <w:t>Comparison</w:t>
      </w:r>
      <w:r w:rsidR="007029C2" w:rsidRPr="00A55335">
        <w:t xml:space="preserve">: </w:t>
      </w:r>
      <w:r w:rsidR="00E0730F" w:rsidRPr="00A55335">
        <w:t xml:space="preserve">homeopathy </w:t>
      </w:r>
      <w:r w:rsidR="007029C2" w:rsidRPr="00A55335">
        <w:t xml:space="preserve">versus placebo </w:t>
      </w:r>
      <w:r w:rsidRPr="00A55335">
        <w:t>are provided in the Summary of Findings table (see</w:t>
      </w:r>
      <w:r w:rsidR="00E8629E" w:rsidRPr="00A55335">
        <w:t xml:space="preserve"> </w:t>
      </w:r>
      <w:r w:rsidR="007029C2" w:rsidRPr="00A55335">
        <w:t xml:space="preserve">section </w:t>
      </w:r>
      <w:r w:rsidR="00E8629E" w:rsidRPr="00A55335">
        <w:fldChar w:fldCharType="begin"/>
      </w:r>
      <w:r w:rsidR="00E8629E" w:rsidRPr="00A55335">
        <w:instrText xml:space="preserve"> REF _Ref151812983 \r \h </w:instrText>
      </w:r>
      <w:r w:rsidR="00E8629E" w:rsidRPr="00A55335">
        <w:fldChar w:fldCharType="separate"/>
      </w:r>
      <w:r w:rsidR="00814B04">
        <w:t>4.2.4.1</w:t>
      </w:r>
      <w:r w:rsidR="00E8629E" w:rsidRPr="00A55335">
        <w:fldChar w:fldCharType="end"/>
      </w:r>
      <w:r w:rsidR="007029C2" w:rsidRPr="00A55335">
        <w:t xml:space="preserve"> )</w:t>
      </w:r>
      <w:r w:rsidR="00E8629E" w:rsidRPr="00A55335">
        <w:t xml:space="preserve">. </w:t>
      </w:r>
      <w:r w:rsidR="00CB46B6" w:rsidRPr="00A55335">
        <w:t xml:space="preserve">There were no studies found for </w:t>
      </w:r>
      <w:r w:rsidR="00E0730F" w:rsidRPr="00A55335">
        <w:t>the S</w:t>
      </w:r>
      <w:r w:rsidR="00CB46B6" w:rsidRPr="00A55335">
        <w:t xml:space="preserve">econdary </w:t>
      </w:r>
      <w:r w:rsidR="00E0730F" w:rsidRPr="00A55335">
        <w:t>Comparison</w:t>
      </w:r>
      <w:r w:rsidR="00CB46B6" w:rsidRPr="00A55335">
        <w:t xml:space="preserve">: </w:t>
      </w:r>
      <w:r w:rsidR="00E0730F" w:rsidRPr="00A55335">
        <w:t xml:space="preserve">homeopathy </w:t>
      </w:r>
      <w:r w:rsidR="00CB46B6" w:rsidRPr="00A55335">
        <w:t>versus inactive control (no intervention, waitlist or usual care)</w:t>
      </w:r>
      <w:r w:rsidR="00823488" w:rsidRPr="00A55335">
        <w:t xml:space="preserve"> or </w:t>
      </w:r>
      <w:r w:rsidR="00E0730F" w:rsidRPr="00A55335">
        <w:t>T</w:t>
      </w:r>
      <w:r w:rsidR="00823488" w:rsidRPr="00A55335">
        <w:t xml:space="preserve">ertiary </w:t>
      </w:r>
      <w:r w:rsidR="00E0730F" w:rsidRPr="00A55335">
        <w:t>C</w:t>
      </w:r>
      <w:r w:rsidR="00823488" w:rsidRPr="00A55335">
        <w:t xml:space="preserve">omparison: </w:t>
      </w:r>
      <w:r w:rsidRPr="00A55335">
        <w:t xml:space="preserve">homeopathy </w:t>
      </w:r>
      <w:r w:rsidR="00823488" w:rsidRPr="00A55335">
        <w:t xml:space="preserve">versus </w:t>
      </w:r>
      <w:r w:rsidRPr="00A55335">
        <w:t>another comparator.</w:t>
      </w:r>
    </w:p>
    <w:p w14:paraId="2F2DAC3E" w14:textId="7D274054" w:rsidR="00D92AC6" w:rsidRPr="00A55335" w:rsidRDefault="00D92AC6" w:rsidP="0030681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23404A2E" w14:textId="389958CB" w:rsidR="008F5C36" w:rsidRPr="00A55335" w:rsidRDefault="00DD505D" w:rsidP="006D12AC">
      <w:pPr>
        <w:pStyle w:val="Heading3"/>
      </w:pPr>
      <w:bookmarkStart w:id="82" w:name="_Toc183441306"/>
      <w:r w:rsidRPr="00A55335">
        <w:t>Risk of bias</w:t>
      </w:r>
      <w:r w:rsidR="00755A82">
        <w:t xml:space="preserve"> </w:t>
      </w:r>
      <w:r w:rsidR="00F6589C">
        <w:t>–</w:t>
      </w:r>
      <w:r w:rsidRPr="00A55335">
        <w:t xml:space="preserve"> summary assessment across studies</w:t>
      </w:r>
      <w:bookmarkEnd w:id="82"/>
    </w:p>
    <w:p w14:paraId="4AF48374" w14:textId="45BE9BDF" w:rsidR="007863ED" w:rsidRPr="00A55335" w:rsidRDefault="008F5C36" w:rsidP="007863ED">
      <w:pPr>
        <w:pStyle w:val="BodyText"/>
      </w:pPr>
      <w:r w:rsidRPr="00A55335">
        <w:t xml:space="preserve">The risk of bias for each item in the </w:t>
      </w:r>
      <w:r w:rsidR="00F56A75" w:rsidRPr="00A55335">
        <w:t xml:space="preserve">included </w:t>
      </w:r>
      <w:r w:rsidRPr="00A55335">
        <w:t xml:space="preserve">RCTs for </w:t>
      </w:r>
      <w:r w:rsidR="005472F5" w:rsidRPr="00A55335">
        <w:t xml:space="preserve">atopic conditions (allergic rhinitis) </w:t>
      </w:r>
      <w:r w:rsidRPr="00A55335">
        <w:t xml:space="preserve">is summarised in </w:t>
      </w:r>
      <w:r w:rsidRPr="00A55335">
        <w:fldChar w:fldCharType="begin"/>
      </w:r>
      <w:r w:rsidRPr="00A55335">
        <w:instrText xml:space="preserve"> REF _Ref151816500 \h </w:instrText>
      </w:r>
      <w:r w:rsidRPr="00A55335">
        <w:fldChar w:fldCharType="separate"/>
      </w:r>
      <w:r w:rsidR="00814B04" w:rsidRPr="00A55335">
        <w:t xml:space="preserve">Figure </w:t>
      </w:r>
      <w:r w:rsidR="00814B04">
        <w:rPr>
          <w:noProof/>
        </w:rPr>
        <w:t>2</w:t>
      </w:r>
      <w:r w:rsidRPr="00A55335">
        <w:fldChar w:fldCharType="end"/>
      </w:r>
      <w:r w:rsidRPr="00A55335">
        <w:t>.</w:t>
      </w:r>
      <w:r w:rsidR="007D007D" w:rsidRPr="00A55335">
        <w:t xml:space="preserve"> Details are provided in Appendix D1.1.2.</w:t>
      </w:r>
    </w:p>
    <w:p w14:paraId="05483049" w14:textId="6F788721" w:rsidR="00307CF3" w:rsidRPr="00A55335" w:rsidRDefault="00307CF3" w:rsidP="00307CF3">
      <w:pPr>
        <w:pStyle w:val="Caption"/>
      </w:pPr>
      <w:bookmarkStart w:id="83" w:name="_Ref151816500"/>
      <w:bookmarkStart w:id="84" w:name="_Toc183520275"/>
      <w:r w:rsidRPr="00A55335">
        <w:t xml:space="preserve">Figure </w:t>
      </w:r>
      <w:r w:rsidRPr="00A55335">
        <w:fldChar w:fldCharType="begin"/>
      </w:r>
      <w:r w:rsidRPr="00A55335">
        <w:instrText xml:space="preserve"> SEQ Figure \* ARABIC </w:instrText>
      </w:r>
      <w:r w:rsidRPr="00A55335">
        <w:fldChar w:fldCharType="separate"/>
      </w:r>
      <w:r w:rsidR="00814B04">
        <w:rPr>
          <w:noProof/>
        </w:rPr>
        <w:t>2</w:t>
      </w:r>
      <w:r w:rsidRPr="00A55335">
        <w:fldChar w:fldCharType="end"/>
      </w:r>
      <w:bookmarkEnd w:id="83"/>
      <w:r w:rsidRPr="00A55335">
        <w:tab/>
        <w:t xml:space="preserve">Risk of bias summary: review authors' judgement about each risk of bias item for each included study: </w:t>
      </w:r>
      <w:r w:rsidR="00E92691" w:rsidRPr="00A55335">
        <w:t>A</w:t>
      </w:r>
      <w:r w:rsidR="00DE1103" w:rsidRPr="00A55335">
        <w:t>topic conditions</w:t>
      </w:r>
      <w:r w:rsidRPr="00A55335">
        <w:t xml:space="preserve"> (allergic rhinitis</w:t>
      </w:r>
      <w:r w:rsidR="00C50A96" w:rsidRPr="009876E6">
        <w:t>)</w:t>
      </w:r>
      <w:bookmarkEnd w:id="84"/>
    </w:p>
    <w:p w14:paraId="383163AD" w14:textId="46FC6ECE" w:rsidR="00962174" w:rsidRPr="00A55335" w:rsidRDefault="00962174" w:rsidP="00962174">
      <w:pPr>
        <w:pStyle w:val="Pic"/>
      </w:pPr>
      <w:r w:rsidRPr="00A55335">
        <w:rPr>
          <w:noProof/>
        </w:rPr>
        <w:drawing>
          <wp:inline distT="0" distB="0" distL="0" distR="0" wp14:anchorId="5D33A190" wp14:editId="6A9CB63E">
            <wp:extent cx="3862316" cy="3423285"/>
            <wp:effectExtent l="0" t="0" r="508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72711" cy="3432498"/>
                    </a:xfrm>
                    <a:prstGeom prst="rect">
                      <a:avLst/>
                    </a:prstGeom>
                    <a:noFill/>
                    <a:ln>
                      <a:noFill/>
                    </a:ln>
                  </pic:spPr>
                </pic:pic>
              </a:graphicData>
            </a:graphic>
          </wp:inline>
        </w:drawing>
      </w:r>
    </w:p>
    <w:p w14:paraId="6CB0AE36" w14:textId="77777777" w:rsidR="00962174" w:rsidRPr="00A55335" w:rsidRDefault="00962174" w:rsidP="00962174">
      <w:pPr>
        <w:pStyle w:val="TableFigNotes18"/>
      </w:pPr>
    </w:p>
    <w:p w14:paraId="033C05C9" w14:textId="2AF504E9" w:rsidR="00DE1103" w:rsidRPr="00A55335" w:rsidRDefault="00981772" w:rsidP="007252A0">
      <w:pPr>
        <w:pStyle w:val="BodyText"/>
      </w:pPr>
      <w:r w:rsidRPr="00A55335">
        <w:lastRenderedPageBreak/>
        <w:t>The risk of bias for each item in the included RCTs for atopic conditions (</w:t>
      </w:r>
      <w:r w:rsidR="00A766CB" w:rsidRPr="00BD1A50">
        <w:t>dermatitis, eczema</w:t>
      </w:r>
      <w:r w:rsidRPr="00BD1A50">
        <w:t xml:space="preserve">) </w:t>
      </w:r>
      <w:r w:rsidRPr="00A55335">
        <w:t xml:space="preserve">is summarised in </w:t>
      </w:r>
      <w:r w:rsidRPr="00A55335">
        <w:fldChar w:fldCharType="begin"/>
      </w:r>
      <w:r w:rsidRPr="00A55335">
        <w:instrText xml:space="preserve"> REF _Ref152753599 \h </w:instrText>
      </w:r>
      <w:r w:rsidRPr="00A55335">
        <w:fldChar w:fldCharType="separate"/>
      </w:r>
      <w:r w:rsidR="00814B04" w:rsidRPr="00A55335">
        <w:t xml:space="preserve">Figure </w:t>
      </w:r>
      <w:r w:rsidR="00814B04">
        <w:rPr>
          <w:noProof/>
        </w:rPr>
        <w:t>3</w:t>
      </w:r>
      <w:r w:rsidRPr="00A55335">
        <w:fldChar w:fldCharType="end"/>
      </w:r>
      <w:r w:rsidRPr="00A55335">
        <w:t>. Details are provided in Appendix D1.2.2.</w:t>
      </w:r>
    </w:p>
    <w:p w14:paraId="30B6B2BF" w14:textId="405D5ACA" w:rsidR="00DE1103" w:rsidRPr="00A55335" w:rsidRDefault="00DE1103" w:rsidP="00DE1103">
      <w:pPr>
        <w:pStyle w:val="Caption"/>
      </w:pPr>
      <w:bookmarkStart w:id="85" w:name="_Ref152753599"/>
      <w:bookmarkStart w:id="86" w:name="_Toc183520276"/>
      <w:r w:rsidRPr="00A55335">
        <w:t xml:space="preserve">Figure </w:t>
      </w:r>
      <w:r w:rsidRPr="00A55335">
        <w:fldChar w:fldCharType="begin"/>
      </w:r>
      <w:r w:rsidRPr="00A55335">
        <w:instrText xml:space="preserve"> SEQ Figure \* ARABIC </w:instrText>
      </w:r>
      <w:r w:rsidRPr="00A55335">
        <w:fldChar w:fldCharType="separate"/>
      </w:r>
      <w:r w:rsidR="00814B04">
        <w:rPr>
          <w:noProof/>
        </w:rPr>
        <w:t>3</w:t>
      </w:r>
      <w:r w:rsidRPr="00A55335">
        <w:fldChar w:fldCharType="end"/>
      </w:r>
      <w:bookmarkEnd w:id="85"/>
      <w:r w:rsidRPr="00A55335">
        <w:tab/>
      </w:r>
      <w:r w:rsidRPr="009876E6">
        <w:t xml:space="preserve">Risk of bias summary: </w:t>
      </w:r>
      <w:r w:rsidRPr="00A55335">
        <w:t xml:space="preserve">review authors' judgement about each risk of bias item for each included study: </w:t>
      </w:r>
      <w:r w:rsidR="00E92691" w:rsidRPr="00A55335">
        <w:t>A</w:t>
      </w:r>
      <w:r w:rsidRPr="00A55335">
        <w:t>topic conditions (</w:t>
      </w:r>
      <w:r w:rsidR="00261B7B" w:rsidRPr="00A55335">
        <w:t>dermatitis, eczema</w:t>
      </w:r>
      <w:r w:rsidRPr="00A55335">
        <w:t>)</w:t>
      </w:r>
      <w:bookmarkEnd w:id="86"/>
    </w:p>
    <w:p w14:paraId="4F2D8780" w14:textId="29BC50F2" w:rsidR="00261B7B" w:rsidRPr="00A55335" w:rsidRDefault="00A044F0" w:rsidP="00261B7B">
      <w:pPr>
        <w:pStyle w:val="Pic"/>
      </w:pPr>
      <w:r w:rsidRPr="00A55335">
        <w:rPr>
          <w:noProof/>
        </w:rPr>
        <w:drawing>
          <wp:inline distT="0" distB="0" distL="0" distR="0" wp14:anchorId="6408959C" wp14:editId="71AA3BBE">
            <wp:extent cx="4617720" cy="24611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46200" cy="2476359"/>
                    </a:xfrm>
                    <a:prstGeom prst="rect">
                      <a:avLst/>
                    </a:prstGeom>
                    <a:noFill/>
                    <a:ln>
                      <a:noFill/>
                    </a:ln>
                  </pic:spPr>
                </pic:pic>
              </a:graphicData>
            </a:graphic>
          </wp:inline>
        </w:drawing>
      </w:r>
    </w:p>
    <w:p w14:paraId="42902375" w14:textId="77777777" w:rsidR="00DD505D" w:rsidRPr="00A55335" w:rsidRDefault="00DD505D" w:rsidP="00261B7B">
      <w:pPr>
        <w:pStyle w:val="TableFigNotes18"/>
      </w:pPr>
    </w:p>
    <w:p w14:paraId="0C6CAE0B" w14:textId="77777777" w:rsidR="00DD505D" w:rsidRPr="00A55335" w:rsidRDefault="00DD505D" w:rsidP="004D433B">
      <w:pPr>
        <w:pStyle w:val="Heading3"/>
      </w:pPr>
      <w:bookmarkStart w:id="87" w:name="_Toc183441307"/>
      <w:r w:rsidRPr="00A55335">
        <w:t>Summary of findings and evidence statements</w:t>
      </w:r>
      <w:bookmarkEnd w:id="87"/>
    </w:p>
    <w:p w14:paraId="21A6C478" w14:textId="5B95593C" w:rsidR="00980CA0" w:rsidRPr="00A55335" w:rsidRDefault="006070ED" w:rsidP="00980CA0">
      <w:pPr>
        <w:pStyle w:val="Heading4"/>
      </w:pPr>
      <w:bookmarkStart w:id="88" w:name="_Ref151812983"/>
      <w:r w:rsidRPr="00A55335">
        <w:t>Primary Comparison</w:t>
      </w:r>
      <w:r w:rsidR="00980CA0" w:rsidRPr="00A55335">
        <w:t xml:space="preserve"> (vs placebo)</w:t>
      </w:r>
      <w:bookmarkEnd w:id="88"/>
    </w:p>
    <w:p w14:paraId="02FA44BD" w14:textId="53440619" w:rsidR="00A1378C" w:rsidRPr="00A55335" w:rsidRDefault="00D42F42" w:rsidP="002D2366">
      <w:pPr>
        <w:pStyle w:val="Heading5"/>
        <w:rPr>
          <w:lang w:val="en-AU"/>
        </w:rPr>
      </w:pPr>
      <w:r w:rsidRPr="00A55335">
        <w:rPr>
          <w:lang w:val="en-AU"/>
        </w:rPr>
        <w:t>Allergic rhinitis</w:t>
      </w:r>
    </w:p>
    <w:tbl>
      <w:tblPr>
        <w:tblW w:w="5000" w:type="pct"/>
        <w:tblLayout w:type="fixed"/>
        <w:tblCellMar>
          <w:top w:w="57" w:type="dxa"/>
          <w:left w:w="57" w:type="dxa"/>
          <w:bottom w:w="57" w:type="dxa"/>
          <w:right w:w="57" w:type="dxa"/>
        </w:tblCellMar>
        <w:tblLook w:val="04A0" w:firstRow="1" w:lastRow="0" w:firstColumn="1" w:lastColumn="0" w:noHBand="0" w:noVBand="1"/>
      </w:tblPr>
      <w:tblGrid>
        <w:gridCol w:w="1990"/>
        <w:gridCol w:w="1242"/>
        <w:gridCol w:w="1448"/>
        <w:gridCol w:w="850"/>
        <w:gridCol w:w="1134"/>
        <w:gridCol w:w="1132"/>
        <w:gridCol w:w="1949"/>
      </w:tblGrid>
      <w:tr w:rsidR="00681977" w:rsidRPr="00A55335" w14:paraId="19B4E594" w14:textId="77777777" w:rsidTr="007252A0">
        <w:trPr>
          <w:cantSplit/>
          <w:tblHeader/>
        </w:trPr>
        <w:tc>
          <w:tcPr>
            <w:tcW w:w="5000" w:type="pct"/>
            <w:gridSpan w:val="7"/>
            <w:tcBorders>
              <w:top w:val="single" w:sz="12" w:space="0" w:color="000000"/>
              <w:left w:val="nil"/>
              <w:bottom w:val="single" w:sz="12" w:space="0" w:color="000000"/>
              <w:right w:val="nil"/>
            </w:tcBorders>
            <w:vAlign w:val="center"/>
            <w:hideMark/>
          </w:tcPr>
          <w:p w14:paraId="0B8F762A" w14:textId="668F70DA" w:rsidR="009516FF" w:rsidRPr="00A55335" w:rsidRDefault="009516FF" w:rsidP="007252A0">
            <w:pPr>
              <w:pStyle w:val="TableH1"/>
              <w:rPr>
                <w:lang w:val="en-AU"/>
              </w:rPr>
            </w:pPr>
            <w:r w:rsidRPr="00A55335">
              <w:rPr>
                <w:lang w:val="en-AU"/>
              </w:rPr>
              <w:t xml:space="preserve">Homeopathy compared to placebo for </w:t>
            </w:r>
            <w:r w:rsidR="002D2366" w:rsidRPr="00A55335">
              <w:rPr>
                <w:lang w:val="en-AU"/>
              </w:rPr>
              <w:t>A</w:t>
            </w:r>
            <w:r w:rsidRPr="00A55335">
              <w:rPr>
                <w:lang w:val="en-AU"/>
              </w:rPr>
              <w:t>llergic rhinitis</w:t>
            </w:r>
          </w:p>
        </w:tc>
      </w:tr>
      <w:tr w:rsidR="00681977" w:rsidRPr="00A55335" w14:paraId="1ED13604" w14:textId="77777777" w:rsidTr="007252A0">
        <w:trPr>
          <w:cantSplit/>
          <w:tblHeader/>
        </w:trPr>
        <w:tc>
          <w:tcPr>
            <w:tcW w:w="5000" w:type="pct"/>
            <w:gridSpan w:val="7"/>
            <w:tcBorders>
              <w:top w:val="single" w:sz="12" w:space="0" w:color="000000"/>
              <w:left w:val="nil"/>
              <w:bottom w:val="single" w:sz="12" w:space="0" w:color="000000"/>
              <w:right w:val="nil"/>
            </w:tcBorders>
            <w:vAlign w:val="center"/>
            <w:hideMark/>
          </w:tcPr>
          <w:p w14:paraId="4BD81AB5" w14:textId="427A1FF7" w:rsidR="009516FF" w:rsidRPr="00A55335" w:rsidRDefault="009516FF" w:rsidP="007252A0">
            <w:pPr>
              <w:pStyle w:val="Tabletext9pt"/>
            </w:pPr>
            <w:r w:rsidRPr="00A55335">
              <w:rPr>
                <w:rStyle w:val="Strong"/>
              </w:rPr>
              <w:t xml:space="preserve">Patient or population: </w:t>
            </w:r>
            <w:r w:rsidRPr="00A55335">
              <w:t xml:space="preserve">Allergic rhinitis </w:t>
            </w:r>
          </w:p>
          <w:p w14:paraId="3C857795" w14:textId="77777777" w:rsidR="009516FF" w:rsidRPr="00A55335" w:rsidRDefault="009516FF" w:rsidP="007252A0">
            <w:pPr>
              <w:pStyle w:val="Tabletext9pt"/>
            </w:pPr>
            <w:r w:rsidRPr="00A55335">
              <w:rPr>
                <w:rStyle w:val="Strong"/>
              </w:rPr>
              <w:t xml:space="preserve">Setting: </w:t>
            </w:r>
            <w:r w:rsidRPr="00A55335">
              <w:t xml:space="preserve">Community </w:t>
            </w:r>
          </w:p>
          <w:p w14:paraId="67496332" w14:textId="77777777" w:rsidR="009516FF" w:rsidRPr="00A55335" w:rsidRDefault="009516FF" w:rsidP="007252A0">
            <w:pPr>
              <w:pStyle w:val="Tabletext9pt"/>
            </w:pPr>
            <w:r w:rsidRPr="00A55335">
              <w:rPr>
                <w:rStyle w:val="Strong"/>
              </w:rPr>
              <w:t xml:space="preserve">Intervention: </w:t>
            </w:r>
            <w:r w:rsidRPr="00A55335">
              <w:t xml:space="preserve">Homeopathy </w:t>
            </w:r>
          </w:p>
          <w:p w14:paraId="056F6DBA" w14:textId="77777777" w:rsidR="009516FF" w:rsidRPr="00A55335" w:rsidRDefault="009516FF" w:rsidP="007252A0">
            <w:pPr>
              <w:pStyle w:val="Tabletext9pt"/>
            </w:pPr>
            <w:r w:rsidRPr="00A55335">
              <w:rPr>
                <w:rStyle w:val="Strong"/>
              </w:rPr>
              <w:t xml:space="preserve">Comparison: </w:t>
            </w:r>
            <w:r w:rsidRPr="00A55335">
              <w:t xml:space="preserve">Placebo </w:t>
            </w:r>
          </w:p>
        </w:tc>
      </w:tr>
      <w:tr w:rsidR="009E1172" w:rsidRPr="00A55335" w14:paraId="5ED55529" w14:textId="77777777" w:rsidTr="009E1172">
        <w:trPr>
          <w:cantSplit/>
          <w:tblHeader/>
        </w:trPr>
        <w:tc>
          <w:tcPr>
            <w:tcW w:w="1021" w:type="pct"/>
            <w:vMerge w:val="restart"/>
            <w:tcBorders>
              <w:top w:val="nil"/>
              <w:left w:val="nil"/>
              <w:bottom w:val="nil"/>
              <w:right w:val="single" w:sz="6" w:space="0" w:color="EFEFEF"/>
            </w:tcBorders>
            <w:shd w:val="clear" w:color="auto" w:fill="006579" w:themeFill="accent2"/>
            <w:vAlign w:val="bottom"/>
            <w:hideMark/>
          </w:tcPr>
          <w:p w14:paraId="5B11E8D4" w14:textId="77777777" w:rsidR="009516FF" w:rsidRPr="00A55335" w:rsidRDefault="009516FF" w:rsidP="007252A0">
            <w:pPr>
              <w:pStyle w:val="Tabletext8pt"/>
              <w:rPr>
                <w:b/>
                <w:bCs/>
                <w:color w:val="F9F9F9" w:themeColor="background1"/>
              </w:rPr>
            </w:pPr>
            <w:r w:rsidRPr="00A55335">
              <w:rPr>
                <w:b/>
                <w:bCs/>
                <w:color w:val="F9F9F9" w:themeColor="background1"/>
              </w:rPr>
              <w:t>Outcomes</w:t>
            </w:r>
          </w:p>
        </w:tc>
        <w:tc>
          <w:tcPr>
            <w:tcW w:w="1380" w:type="pct"/>
            <w:gridSpan w:val="2"/>
            <w:tcBorders>
              <w:top w:val="single" w:sz="6" w:space="0" w:color="EFEFEF"/>
              <w:left w:val="nil"/>
              <w:bottom w:val="nil"/>
              <w:right w:val="single" w:sz="6" w:space="0" w:color="EFEFEF"/>
            </w:tcBorders>
            <w:shd w:val="clear" w:color="auto" w:fill="E0E0E0"/>
            <w:vAlign w:val="bottom"/>
            <w:hideMark/>
          </w:tcPr>
          <w:p w14:paraId="591E01C1" w14:textId="77777777" w:rsidR="009516FF" w:rsidRPr="00A55335" w:rsidRDefault="009516FF" w:rsidP="007252A0">
            <w:pPr>
              <w:pStyle w:val="Tabletext8pt"/>
              <w:rPr>
                <w:b/>
                <w:bCs/>
              </w:rPr>
            </w:pPr>
            <w:r w:rsidRPr="00A55335">
              <w:rPr>
                <w:rStyle w:val="Strong"/>
              </w:rPr>
              <w:t>Anticipated absolute effects</w:t>
            </w:r>
            <w:r w:rsidRPr="00A55335">
              <w:t>*</w:t>
            </w:r>
            <w:r w:rsidRPr="00A55335">
              <w:rPr>
                <w:rStyle w:val="Strong"/>
              </w:rPr>
              <w:t xml:space="preserve"> (95% CI)</w:t>
            </w:r>
          </w:p>
        </w:tc>
        <w:tc>
          <w:tcPr>
            <w:tcW w:w="436" w:type="pct"/>
            <w:vMerge w:val="restart"/>
            <w:tcBorders>
              <w:top w:val="nil"/>
              <w:left w:val="nil"/>
              <w:bottom w:val="nil"/>
              <w:right w:val="single" w:sz="6" w:space="0" w:color="EFEFEF"/>
            </w:tcBorders>
            <w:shd w:val="clear" w:color="auto" w:fill="006579" w:themeFill="accent2"/>
            <w:vAlign w:val="bottom"/>
            <w:hideMark/>
          </w:tcPr>
          <w:p w14:paraId="6F3622CD" w14:textId="77777777" w:rsidR="009516FF" w:rsidRPr="00A55335" w:rsidRDefault="009516FF" w:rsidP="007252A0">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2" w:type="pct"/>
            <w:vMerge w:val="restart"/>
            <w:tcBorders>
              <w:top w:val="nil"/>
              <w:left w:val="nil"/>
              <w:bottom w:val="nil"/>
              <w:right w:val="single" w:sz="6" w:space="0" w:color="EFEFEF"/>
            </w:tcBorders>
            <w:shd w:val="clear" w:color="auto" w:fill="006579" w:themeFill="accent2"/>
            <w:vAlign w:val="bottom"/>
            <w:hideMark/>
          </w:tcPr>
          <w:p w14:paraId="0AE1FC93" w14:textId="77777777" w:rsidR="009516FF" w:rsidRPr="00A55335" w:rsidRDefault="009516FF" w:rsidP="007252A0">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1" w:type="pct"/>
            <w:vMerge w:val="restart"/>
            <w:tcBorders>
              <w:top w:val="nil"/>
              <w:left w:val="nil"/>
              <w:bottom w:val="nil"/>
              <w:right w:val="single" w:sz="6" w:space="0" w:color="EFEFEF"/>
            </w:tcBorders>
            <w:shd w:val="clear" w:color="auto" w:fill="006579" w:themeFill="accent2"/>
            <w:vAlign w:val="bottom"/>
            <w:hideMark/>
          </w:tcPr>
          <w:p w14:paraId="1AA34EAC" w14:textId="77777777" w:rsidR="009516FF" w:rsidRPr="00A55335" w:rsidRDefault="009516FF" w:rsidP="007252A0">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00" w:type="pct"/>
            <w:vMerge w:val="restart"/>
            <w:tcBorders>
              <w:top w:val="nil"/>
              <w:left w:val="nil"/>
              <w:bottom w:val="nil"/>
              <w:right w:val="single" w:sz="6" w:space="0" w:color="EFEFEF"/>
            </w:tcBorders>
            <w:shd w:val="clear" w:color="auto" w:fill="006579" w:themeFill="accent2"/>
            <w:vAlign w:val="bottom"/>
            <w:hideMark/>
          </w:tcPr>
          <w:p w14:paraId="060DE9F7" w14:textId="7B44AC57" w:rsidR="009516FF" w:rsidRPr="00A55335" w:rsidRDefault="009516FF" w:rsidP="007252A0">
            <w:pPr>
              <w:pStyle w:val="Tabletext8pt"/>
              <w:rPr>
                <w:b/>
                <w:bCs/>
                <w:color w:val="F9F9F9" w:themeColor="background1"/>
              </w:rPr>
            </w:pPr>
            <w:r w:rsidRPr="00A55335">
              <w:rPr>
                <w:b/>
                <w:bCs/>
                <w:color w:val="F9F9F9" w:themeColor="background1"/>
              </w:rPr>
              <w:t>Evidence statement</w:t>
            </w:r>
          </w:p>
        </w:tc>
      </w:tr>
      <w:tr w:rsidR="004479A4" w:rsidRPr="00A55335" w14:paraId="1F5718C3" w14:textId="77777777" w:rsidTr="007252A0">
        <w:trPr>
          <w:cantSplit/>
          <w:tblHeader/>
        </w:trPr>
        <w:tc>
          <w:tcPr>
            <w:tcW w:w="1021" w:type="pct"/>
            <w:vMerge/>
            <w:tcBorders>
              <w:top w:val="nil"/>
              <w:left w:val="nil"/>
              <w:bottom w:val="nil"/>
              <w:right w:val="single" w:sz="6" w:space="0" w:color="EFEFEF"/>
            </w:tcBorders>
            <w:shd w:val="clear" w:color="auto" w:fill="006579" w:themeFill="accent2"/>
            <w:vAlign w:val="center"/>
            <w:hideMark/>
          </w:tcPr>
          <w:p w14:paraId="3930FB15" w14:textId="77777777" w:rsidR="009516FF" w:rsidRPr="00A55335" w:rsidRDefault="009516FF" w:rsidP="007252A0">
            <w:pPr>
              <w:pStyle w:val="Tabletext8pt"/>
            </w:pPr>
          </w:p>
        </w:tc>
        <w:tc>
          <w:tcPr>
            <w:tcW w:w="637" w:type="pct"/>
            <w:tcBorders>
              <w:top w:val="single" w:sz="6" w:space="0" w:color="EFEFEF"/>
              <w:left w:val="nil"/>
              <w:bottom w:val="nil"/>
              <w:right w:val="single" w:sz="6" w:space="0" w:color="EFEFEF"/>
            </w:tcBorders>
            <w:shd w:val="clear" w:color="auto" w:fill="E0E0E0"/>
            <w:vAlign w:val="bottom"/>
            <w:hideMark/>
          </w:tcPr>
          <w:p w14:paraId="271D31C4" w14:textId="77777777" w:rsidR="009516FF" w:rsidRPr="00A55335" w:rsidRDefault="009516FF" w:rsidP="007252A0">
            <w:pPr>
              <w:pStyle w:val="Tabletext8pt"/>
              <w:rPr>
                <w:rStyle w:val="Strong"/>
              </w:rPr>
            </w:pPr>
            <w:r w:rsidRPr="00A55335">
              <w:rPr>
                <w:rStyle w:val="Strong"/>
              </w:rPr>
              <w:t>Risk with Placebo</w:t>
            </w:r>
          </w:p>
        </w:tc>
        <w:tc>
          <w:tcPr>
            <w:tcW w:w="743" w:type="pct"/>
            <w:tcBorders>
              <w:top w:val="single" w:sz="6" w:space="0" w:color="EFEFEF"/>
              <w:left w:val="nil"/>
              <w:bottom w:val="nil"/>
              <w:right w:val="single" w:sz="6" w:space="0" w:color="EFEFEF"/>
            </w:tcBorders>
            <w:shd w:val="clear" w:color="auto" w:fill="E0E0E0"/>
            <w:vAlign w:val="bottom"/>
            <w:hideMark/>
          </w:tcPr>
          <w:p w14:paraId="260AFD94" w14:textId="77777777" w:rsidR="009516FF" w:rsidRPr="00A55335" w:rsidRDefault="009516FF" w:rsidP="007252A0">
            <w:pPr>
              <w:pStyle w:val="Tabletext8pt"/>
              <w:rPr>
                <w:rStyle w:val="Strong"/>
              </w:rPr>
            </w:pPr>
            <w:r w:rsidRPr="00A55335">
              <w:rPr>
                <w:rStyle w:val="Strong"/>
              </w:rPr>
              <w:t>Risk with Homeopathy</w:t>
            </w:r>
          </w:p>
        </w:tc>
        <w:tc>
          <w:tcPr>
            <w:tcW w:w="436" w:type="pct"/>
            <w:vMerge/>
            <w:tcBorders>
              <w:top w:val="nil"/>
              <w:left w:val="nil"/>
              <w:bottom w:val="nil"/>
              <w:right w:val="single" w:sz="6" w:space="0" w:color="EFEFEF"/>
            </w:tcBorders>
            <w:shd w:val="clear" w:color="auto" w:fill="006579" w:themeFill="accent2"/>
            <w:vAlign w:val="center"/>
            <w:hideMark/>
          </w:tcPr>
          <w:p w14:paraId="0EAED449" w14:textId="77777777" w:rsidR="009516FF" w:rsidRPr="00A55335" w:rsidRDefault="009516FF" w:rsidP="007252A0">
            <w:pPr>
              <w:pStyle w:val="Tabletext8pt"/>
            </w:pPr>
          </w:p>
        </w:tc>
        <w:tc>
          <w:tcPr>
            <w:tcW w:w="582" w:type="pct"/>
            <w:vMerge/>
            <w:tcBorders>
              <w:top w:val="nil"/>
              <w:left w:val="nil"/>
              <w:bottom w:val="nil"/>
              <w:right w:val="single" w:sz="6" w:space="0" w:color="EFEFEF"/>
            </w:tcBorders>
            <w:shd w:val="clear" w:color="auto" w:fill="006579" w:themeFill="accent2"/>
            <w:vAlign w:val="center"/>
            <w:hideMark/>
          </w:tcPr>
          <w:p w14:paraId="6412ACDD" w14:textId="77777777" w:rsidR="009516FF" w:rsidRPr="00A55335" w:rsidRDefault="009516FF" w:rsidP="007252A0">
            <w:pPr>
              <w:pStyle w:val="Tabletext8pt"/>
            </w:pPr>
          </w:p>
        </w:tc>
        <w:tc>
          <w:tcPr>
            <w:tcW w:w="581" w:type="pct"/>
            <w:vMerge/>
            <w:tcBorders>
              <w:top w:val="nil"/>
              <w:left w:val="nil"/>
              <w:bottom w:val="nil"/>
              <w:right w:val="single" w:sz="6" w:space="0" w:color="EFEFEF"/>
            </w:tcBorders>
            <w:shd w:val="clear" w:color="auto" w:fill="006579" w:themeFill="accent2"/>
            <w:vAlign w:val="center"/>
            <w:hideMark/>
          </w:tcPr>
          <w:p w14:paraId="3B7E8AE7" w14:textId="77777777" w:rsidR="009516FF" w:rsidRPr="00A55335" w:rsidRDefault="009516FF" w:rsidP="007252A0">
            <w:pPr>
              <w:pStyle w:val="Tabletext8pt"/>
            </w:pPr>
          </w:p>
        </w:tc>
        <w:tc>
          <w:tcPr>
            <w:tcW w:w="1000" w:type="pct"/>
            <w:vMerge/>
            <w:tcBorders>
              <w:top w:val="nil"/>
              <w:left w:val="nil"/>
              <w:bottom w:val="nil"/>
              <w:right w:val="single" w:sz="6" w:space="0" w:color="EFEFEF"/>
            </w:tcBorders>
            <w:shd w:val="clear" w:color="auto" w:fill="006579" w:themeFill="accent2"/>
            <w:vAlign w:val="center"/>
            <w:hideMark/>
          </w:tcPr>
          <w:p w14:paraId="00A399FC" w14:textId="77777777" w:rsidR="009516FF" w:rsidRPr="00A55335" w:rsidRDefault="009516FF" w:rsidP="007252A0">
            <w:pPr>
              <w:pStyle w:val="Tabletext8pt"/>
            </w:pPr>
          </w:p>
        </w:tc>
      </w:tr>
      <w:tr w:rsidR="009E1172" w:rsidRPr="00A55335" w14:paraId="653F99F8" w14:textId="77777777" w:rsidTr="009E1172">
        <w:trPr>
          <w:cantSplit/>
        </w:trPr>
        <w:tc>
          <w:tcPr>
            <w:tcW w:w="1021" w:type="pct"/>
            <w:tcBorders>
              <w:top w:val="single" w:sz="6" w:space="0" w:color="000000"/>
              <w:left w:val="nil"/>
              <w:bottom w:val="single" w:sz="6" w:space="0" w:color="000000"/>
              <w:right w:val="nil"/>
            </w:tcBorders>
            <w:vAlign w:val="center"/>
            <w:hideMark/>
          </w:tcPr>
          <w:p w14:paraId="6B5DBDDD" w14:textId="77777777" w:rsidR="009516FF" w:rsidRPr="00A55335" w:rsidRDefault="009516FF" w:rsidP="007252A0">
            <w:pPr>
              <w:pStyle w:val="Tabletext8pt"/>
            </w:pPr>
            <w:r w:rsidRPr="00A55335">
              <w:t>Symptom severity</w:t>
            </w:r>
            <w:r w:rsidRPr="00A55335">
              <w:br/>
              <w:t>assessed with: VAS, NRS, TNSS</w:t>
            </w:r>
            <w:r w:rsidRPr="00A55335">
              <w:br/>
              <w:t>follow-up: range 10 days to 3 months</w:t>
            </w:r>
          </w:p>
        </w:tc>
        <w:tc>
          <w:tcPr>
            <w:tcW w:w="637" w:type="pct"/>
            <w:tcBorders>
              <w:top w:val="single" w:sz="6" w:space="0" w:color="000000"/>
              <w:left w:val="nil"/>
              <w:bottom w:val="single" w:sz="6" w:space="0" w:color="000000"/>
              <w:right w:val="nil"/>
            </w:tcBorders>
            <w:shd w:val="clear" w:color="auto" w:fill="EBEBEB"/>
            <w:vAlign w:val="center"/>
            <w:hideMark/>
          </w:tcPr>
          <w:p w14:paraId="0649C881" w14:textId="77777777" w:rsidR="009516FF" w:rsidRPr="00A55335" w:rsidRDefault="009516FF" w:rsidP="007252A0">
            <w:pPr>
              <w:pStyle w:val="Tabletext8pt"/>
              <w:jc w:val="center"/>
            </w:pPr>
            <w:r w:rsidRPr="00A55335">
              <w:t>-</w:t>
            </w:r>
          </w:p>
        </w:tc>
        <w:tc>
          <w:tcPr>
            <w:tcW w:w="743" w:type="pct"/>
            <w:tcBorders>
              <w:top w:val="single" w:sz="6" w:space="0" w:color="000000"/>
              <w:left w:val="nil"/>
              <w:bottom w:val="single" w:sz="6" w:space="0" w:color="000000"/>
              <w:right w:val="nil"/>
            </w:tcBorders>
            <w:shd w:val="clear" w:color="auto" w:fill="EBEBEB"/>
            <w:hideMark/>
          </w:tcPr>
          <w:p w14:paraId="579DA673" w14:textId="77777777" w:rsidR="009516FF" w:rsidRPr="00A55335" w:rsidRDefault="009516FF" w:rsidP="007252A0">
            <w:pPr>
              <w:pStyle w:val="Tabletext8pt"/>
              <w:jc w:val="center"/>
            </w:pPr>
            <w:r w:rsidRPr="00A55335">
              <w:t>SMD</w:t>
            </w:r>
            <w:r w:rsidRPr="00A55335">
              <w:rPr>
                <w:rStyle w:val="Strong"/>
              </w:rPr>
              <w:t xml:space="preserve"> 0.32 SD lower</w:t>
            </w:r>
            <w:r w:rsidRPr="00A55335">
              <w:rPr>
                <w:rStyle w:val="Strong"/>
              </w:rPr>
              <w:br/>
            </w:r>
            <w:r w:rsidRPr="00A55335">
              <w:t>(0.6 lower to 0.03 lower)</w:t>
            </w:r>
          </w:p>
        </w:tc>
        <w:tc>
          <w:tcPr>
            <w:tcW w:w="436" w:type="pct"/>
            <w:tcBorders>
              <w:top w:val="single" w:sz="6" w:space="0" w:color="000000"/>
              <w:left w:val="nil"/>
              <w:bottom w:val="single" w:sz="6" w:space="0" w:color="000000"/>
              <w:right w:val="nil"/>
            </w:tcBorders>
            <w:vAlign w:val="center"/>
            <w:hideMark/>
          </w:tcPr>
          <w:p w14:paraId="56075C59" w14:textId="77777777" w:rsidR="009516FF" w:rsidRPr="00A55335" w:rsidRDefault="009516FF" w:rsidP="007252A0">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736EA29D" w14:textId="4FA3F7E8" w:rsidR="009516FF" w:rsidRPr="00A55335" w:rsidRDefault="009516FF" w:rsidP="007252A0">
            <w:pPr>
              <w:pStyle w:val="Tabletext8pt"/>
              <w:jc w:val="center"/>
            </w:pPr>
            <w:r w:rsidRPr="00A55335">
              <w:rPr>
                <w:rFonts w:cs="Montserrat"/>
                <w:color w:val="000000"/>
              </w:rPr>
              <w:t>194</w:t>
            </w:r>
            <w:r w:rsidRPr="00A55335">
              <w:rPr>
                <w:rFonts w:cs="Montserrat"/>
                <w:color w:val="000000"/>
              </w:rPr>
              <w:br/>
              <w:t>(3 RCTs)</w:t>
            </w:r>
            <w:r w:rsidR="009E1172" w:rsidRPr="00A55335">
              <w:rPr>
                <w:rFonts w:cs="Montserrat"/>
                <w:color w:val="000000"/>
              </w:rPr>
              <w:t xml:space="preserve"> </w:t>
            </w:r>
            <w:r w:rsidR="00BE61FC" w:rsidRPr="00A55335">
              <w:rPr>
                <w:rFonts w:cs="Montserrat"/>
                <w:color w:val="000000"/>
              </w:rPr>
              <w:t>†</w:t>
            </w:r>
          </w:p>
        </w:tc>
        <w:tc>
          <w:tcPr>
            <w:tcW w:w="581" w:type="pct"/>
            <w:tcBorders>
              <w:top w:val="single" w:sz="6" w:space="0" w:color="000000"/>
              <w:left w:val="nil"/>
              <w:bottom w:val="single" w:sz="6" w:space="0" w:color="000000"/>
              <w:right w:val="nil"/>
            </w:tcBorders>
            <w:vAlign w:val="center"/>
            <w:hideMark/>
          </w:tcPr>
          <w:p w14:paraId="76614A88" w14:textId="256868AD" w:rsidR="009516FF" w:rsidRPr="00A55335" w:rsidRDefault="009516FF" w:rsidP="008D0C2A">
            <w:pPr>
              <w:pStyle w:val="Tabletext8pt"/>
              <w:jc w:val="center"/>
            </w:pPr>
            <w:r w:rsidRPr="00A55335">
              <w:rPr>
                <w:rFonts w:ascii="Cambria Math" w:eastAsia="Cambria Math" w:hAnsi="Cambria Math" w:cs="Cambria Math"/>
                <w:color w:val="000000"/>
              </w:rPr>
              <w:t>⨁</w:t>
            </w:r>
            <w:r w:rsidR="004554DD" w:rsidRPr="00A55335">
              <w:rPr>
                <w:rFonts w:ascii="Cambria Math" w:eastAsia="Cambria Math" w:hAnsi="Cambria Math" w:cs="Cambria Math"/>
                <w:color w:val="000000"/>
              </w:rPr>
              <w:t>◯</w:t>
            </w:r>
            <w:r w:rsidRPr="00A55335">
              <w:rPr>
                <w:rFonts w:ascii="Cambria Math" w:eastAsia="Cambria Math" w:hAnsi="Cambria Math" w:cs="Cambria Math"/>
                <w:color w:val="000000"/>
              </w:rPr>
              <w:t>◯◯</w:t>
            </w:r>
            <w:r w:rsidRPr="00A55335">
              <w:rPr>
                <w:rFonts w:cs="Montserrat"/>
                <w:color w:val="000000"/>
              </w:rPr>
              <w:br/>
            </w:r>
            <w:sdt>
              <w:sdtPr>
                <w:tag w:val="goog_rdk_8"/>
                <w:id w:val="-503897088"/>
              </w:sdtPr>
              <w:sdtContent/>
            </w:sdt>
            <w:r w:rsidR="004554DD" w:rsidRPr="00A55335">
              <w:rPr>
                <w:rFonts w:cs="Montserrat"/>
                <w:color w:val="000000"/>
              </w:rPr>
              <w:t xml:space="preserve">VERY </w:t>
            </w:r>
            <w:r w:rsidRPr="00A55335">
              <w:rPr>
                <w:rFonts w:cs="Montserrat"/>
                <w:color w:val="000000"/>
              </w:rPr>
              <w:t xml:space="preserve">LOW </w:t>
            </w:r>
            <w:proofErr w:type="spellStart"/>
            <w:r w:rsidRPr="00A55335">
              <w:rPr>
                <w:rFonts w:cs="Montserrat"/>
                <w:color w:val="000000"/>
                <w:vertAlign w:val="superscript"/>
              </w:rPr>
              <w:t>a,</w:t>
            </w:r>
            <w:sdt>
              <w:sdtPr>
                <w:tag w:val="goog_rdk_9"/>
                <w:id w:val="-358733247"/>
              </w:sdtPr>
              <w:sdtContent/>
            </w:sdt>
            <w:proofErr w:type="gramStart"/>
            <w:r w:rsidRPr="00A55335">
              <w:rPr>
                <w:rFonts w:cs="Montserrat"/>
                <w:color w:val="000000"/>
                <w:vertAlign w:val="superscript"/>
              </w:rPr>
              <w:t>b</w:t>
            </w:r>
            <w:r w:rsidR="004554DD" w:rsidRPr="00A55335">
              <w:rPr>
                <w:rFonts w:cs="Montserrat"/>
                <w:color w:val="000000"/>
                <w:vertAlign w:val="superscript"/>
              </w:rPr>
              <w:t>,c</w:t>
            </w:r>
            <w:proofErr w:type="gramEnd"/>
            <w:r w:rsidR="00653466" w:rsidRPr="00A55335">
              <w:rPr>
                <w:rFonts w:cs="Montserrat"/>
                <w:color w:val="000000"/>
                <w:vertAlign w:val="superscript"/>
              </w:rPr>
              <w:t>,d,e</w:t>
            </w:r>
            <w:proofErr w:type="spellEnd"/>
          </w:p>
        </w:tc>
        <w:tc>
          <w:tcPr>
            <w:tcW w:w="1000" w:type="pct"/>
            <w:tcBorders>
              <w:top w:val="single" w:sz="6" w:space="0" w:color="000000"/>
              <w:left w:val="nil"/>
              <w:bottom w:val="single" w:sz="6" w:space="0" w:color="000000"/>
              <w:right w:val="nil"/>
            </w:tcBorders>
            <w:vAlign w:val="center"/>
            <w:hideMark/>
          </w:tcPr>
          <w:p w14:paraId="0D753A05" w14:textId="60D7EDF3" w:rsidR="009516FF" w:rsidRPr="00A55335" w:rsidRDefault="008E0553" w:rsidP="007252A0">
            <w:pPr>
              <w:pStyle w:val="Tabletext8pt"/>
            </w:pPr>
            <w:r w:rsidRPr="00A55335">
              <w:t xml:space="preserve">The evidence is very uncertain about the effect of homeopathy on symptom severity in people with allergic </w:t>
            </w:r>
            <w:r w:rsidRPr="00A55335">
              <w:rPr>
                <w:rFonts w:cs="Montserrat"/>
                <w:color w:val="000000"/>
              </w:rPr>
              <w:t>rhinitis</w:t>
            </w:r>
            <w:r w:rsidR="00E0735B">
              <w:rPr>
                <w:rFonts w:cs="Montserrat"/>
                <w:color w:val="000000"/>
              </w:rPr>
              <w:t xml:space="preserve"> </w:t>
            </w:r>
            <w:r w:rsidR="00AA7D0D">
              <w:rPr>
                <w:rFonts w:cs="Montserrat"/>
                <w:color w:val="000000"/>
              </w:rPr>
              <w:t>**</w:t>
            </w:r>
          </w:p>
        </w:tc>
      </w:tr>
      <w:tr w:rsidR="009E1172" w:rsidRPr="00A55335" w14:paraId="63B280A9" w14:textId="77777777" w:rsidTr="009E1172">
        <w:trPr>
          <w:cantSplit/>
        </w:trPr>
        <w:tc>
          <w:tcPr>
            <w:tcW w:w="1021" w:type="pct"/>
            <w:tcBorders>
              <w:top w:val="single" w:sz="6" w:space="0" w:color="000000"/>
              <w:left w:val="nil"/>
              <w:bottom w:val="single" w:sz="6" w:space="0" w:color="000000"/>
              <w:right w:val="nil"/>
            </w:tcBorders>
            <w:vAlign w:val="center"/>
            <w:hideMark/>
          </w:tcPr>
          <w:p w14:paraId="5402BC39" w14:textId="2290D4EA" w:rsidR="009516FF" w:rsidRPr="00A55335" w:rsidRDefault="009516FF" w:rsidP="007252A0">
            <w:pPr>
              <w:pStyle w:val="Tabletext8pt"/>
            </w:pPr>
            <w:r w:rsidRPr="00A55335">
              <w:t>Health-related quality of life</w:t>
            </w:r>
            <w:r w:rsidRPr="00A55335">
              <w:br/>
              <w:t xml:space="preserve">assessed with: </w:t>
            </w:r>
            <w:proofErr w:type="spellStart"/>
            <w:r w:rsidRPr="00A55335">
              <w:t>Rhinoconjunctivitis</w:t>
            </w:r>
            <w:proofErr w:type="spellEnd"/>
            <w:r w:rsidRPr="00A55335">
              <w:t xml:space="preserve"> </w:t>
            </w:r>
            <w:r w:rsidR="00653466" w:rsidRPr="00A55335">
              <w:t>QLQ</w:t>
            </w:r>
            <w:r w:rsidRPr="00A55335">
              <w:br/>
              <w:t>Scale from: 0 to 6</w:t>
            </w:r>
            <w:r w:rsidRPr="00A55335">
              <w:br/>
              <w:t>follow-up: 4 weeks</w:t>
            </w:r>
          </w:p>
        </w:tc>
        <w:tc>
          <w:tcPr>
            <w:tcW w:w="637" w:type="pct"/>
            <w:tcBorders>
              <w:top w:val="single" w:sz="6" w:space="0" w:color="000000"/>
              <w:left w:val="nil"/>
              <w:bottom w:val="single" w:sz="6" w:space="0" w:color="000000"/>
              <w:right w:val="nil"/>
            </w:tcBorders>
            <w:shd w:val="clear" w:color="auto" w:fill="EBEBEB"/>
            <w:vAlign w:val="center"/>
            <w:hideMark/>
          </w:tcPr>
          <w:p w14:paraId="07FBBD96" w14:textId="59A8FCD7" w:rsidR="009516FF" w:rsidRPr="00A55335" w:rsidRDefault="009516FF" w:rsidP="007252A0">
            <w:pPr>
              <w:pStyle w:val="Tabletext8pt"/>
              <w:jc w:val="center"/>
            </w:pPr>
            <w:r w:rsidRPr="00A55335">
              <w:t xml:space="preserve">The mean </w:t>
            </w:r>
            <w:r w:rsidR="00653466" w:rsidRPr="00A55335">
              <w:t>QLQ score</w:t>
            </w:r>
            <w:r w:rsidRPr="00A55335">
              <w:t xml:space="preserve"> was </w:t>
            </w:r>
            <w:r w:rsidRPr="00A55335">
              <w:rPr>
                <w:rStyle w:val="Strong"/>
              </w:rPr>
              <w:t xml:space="preserve">2.25 </w:t>
            </w:r>
          </w:p>
        </w:tc>
        <w:tc>
          <w:tcPr>
            <w:tcW w:w="743" w:type="pct"/>
            <w:tcBorders>
              <w:top w:val="single" w:sz="6" w:space="0" w:color="000000"/>
              <w:left w:val="nil"/>
              <w:bottom w:val="single" w:sz="6" w:space="0" w:color="000000"/>
              <w:right w:val="nil"/>
            </w:tcBorders>
            <w:shd w:val="clear" w:color="auto" w:fill="EBEBEB"/>
            <w:hideMark/>
          </w:tcPr>
          <w:p w14:paraId="5FA4E607" w14:textId="77777777" w:rsidR="009516FF" w:rsidRPr="00A55335" w:rsidRDefault="009516FF" w:rsidP="007252A0">
            <w:pPr>
              <w:pStyle w:val="Tabletext8pt"/>
              <w:jc w:val="center"/>
            </w:pPr>
            <w:r w:rsidRPr="00A55335">
              <w:t xml:space="preserve">MD </w:t>
            </w:r>
            <w:r w:rsidRPr="00A55335">
              <w:rPr>
                <w:rStyle w:val="Strong"/>
              </w:rPr>
              <w:t>0.4 points lower</w:t>
            </w:r>
            <w:r w:rsidRPr="00A55335">
              <w:br/>
              <w:t>(1.1 lower to 0.3 higher)</w:t>
            </w:r>
          </w:p>
        </w:tc>
        <w:tc>
          <w:tcPr>
            <w:tcW w:w="436" w:type="pct"/>
            <w:tcBorders>
              <w:top w:val="single" w:sz="6" w:space="0" w:color="000000"/>
              <w:left w:val="nil"/>
              <w:bottom w:val="single" w:sz="6" w:space="0" w:color="000000"/>
              <w:right w:val="nil"/>
            </w:tcBorders>
            <w:vAlign w:val="center"/>
            <w:hideMark/>
          </w:tcPr>
          <w:p w14:paraId="54197FC5" w14:textId="77777777" w:rsidR="009516FF" w:rsidRPr="00A55335" w:rsidRDefault="009516FF" w:rsidP="007252A0">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7147919D" w14:textId="77777777" w:rsidR="009516FF" w:rsidRPr="00A55335" w:rsidRDefault="009516FF" w:rsidP="007252A0">
            <w:pPr>
              <w:pStyle w:val="Tabletext8pt"/>
              <w:jc w:val="center"/>
            </w:pPr>
            <w:r w:rsidRPr="00A55335">
              <w:t>34</w:t>
            </w:r>
            <w:r w:rsidRPr="00A55335">
              <w:br/>
              <w:t>(1 RCT)</w:t>
            </w:r>
          </w:p>
        </w:tc>
        <w:tc>
          <w:tcPr>
            <w:tcW w:w="581" w:type="pct"/>
            <w:tcBorders>
              <w:top w:val="single" w:sz="6" w:space="0" w:color="000000"/>
              <w:left w:val="nil"/>
              <w:bottom w:val="single" w:sz="6" w:space="0" w:color="000000"/>
              <w:right w:val="nil"/>
            </w:tcBorders>
            <w:vAlign w:val="center"/>
            <w:hideMark/>
          </w:tcPr>
          <w:p w14:paraId="61AA2733" w14:textId="6C93280F" w:rsidR="009516FF" w:rsidRPr="00A55335" w:rsidRDefault="009516FF" w:rsidP="008D0C2A">
            <w:pPr>
              <w:pStyle w:val="Tabletext8pt"/>
              <w:jc w:val="center"/>
            </w:pPr>
            <w:r w:rsidRPr="00A55335">
              <w:rPr>
                <w:rFonts w:ascii="Cambria Math" w:eastAsia="Cambria Math" w:hAnsi="Cambria Math" w:cs="Cambria Math"/>
                <w:color w:val="000000"/>
              </w:rPr>
              <w:t>⨁◯◯◯</w:t>
            </w:r>
            <w:r w:rsidRPr="00A55335">
              <w:rPr>
                <w:rFonts w:cs="Montserrat"/>
                <w:color w:val="000000"/>
              </w:rPr>
              <w:br/>
              <w:t xml:space="preserve">VERY LOW </w:t>
            </w:r>
            <w:proofErr w:type="spellStart"/>
            <w:proofErr w:type="gramStart"/>
            <w:r w:rsidR="00DF7C7D" w:rsidRPr="00A55335">
              <w:rPr>
                <w:rFonts w:cs="Montserrat"/>
                <w:color w:val="000000"/>
                <w:vertAlign w:val="superscript"/>
              </w:rPr>
              <w:t>c</w:t>
            </w:r>
            <w:r w:rsidR="004554DD" w:rsidRPr="00A55335">
              <w:rPr>
                <w:rFonts w:cs="Montserrat"/>
                <w:color w:val="000000"/>
                <w:vertAlign w:val="superscript"/>
              </w:rPr>
              <w:t>,e</w:t>
            </w:r>
            <w:proofErr w:type="gramEnd"/>
            <w:r w:rsidR="00DF7C7D" w:rsidRPr="00A55335">
              <w:rPr>
                <w:rFonts w:cs="Montserrat"/>
                <w:color w:val="000000"/>
                <w:vertAlign w:val="superscript"/>
              </w:rPr>
              <w:t>,</w:t>
            </w:r>
            <w:sdt>
              <w:sdtPr>
                <w:tag w:val="goog_rdk_11"/>
                <w:id w:val="-2089372429"/>
              </w:sdtPr>
              <w:sdtContent/>
            </w:sdt>
            <w:r w:rsidR="00DF7C7D" w:rsidRPr="00A55335">
              <w:rPr>
                <w:rFonts w:cs="Montserrat"/>
                <w:color w:val="000000"/>
                <w:vertAlign w:val="superscript"/>
              </w:rPr>
              <w:t>f,g,h</w:t>
            </w:r>
            <w:proofErr w:type="spellEnd"/>
          </w:p>
        </w:tc>
        <w:tc>
          <w:tcPr>
            <w:tcW w:w="1000" w:type="pct"/>
            <w:tcBorders>
              <w:top w:val="single" w:sz="6" w:space="0" w:color="000000"/>
              <w:left w:val="nil"/>
              <w:bottom w:val="single" w:sz="6" w:space="0" w:color="000000"/>
              <w:right w:val="nil"/>
            </w:tcBorders>
            <w:vAlign w:val="center"/>
            <w:hideMark/>
          </w:tcPr>
          <w:p w14:paraId="57AEB069" w14:textId="35E3F8C2" w:rsidR="009516FF" w:rsidRPr="00A55335" w:rsidRDefault="00B8165B" w:rsidP="007252A0">
            <w:pPr>
              <w:pStyle w:val="Tabletext8pt"/>
            </w:pPr>
            <w:r w:rsidRPr="00A55335">
              <w:t xml:space="preserve">The evidence is very uncertain about the effect of homeopathy on quality of life in people with allergic </w:t>
            </w:r>
            <w:r w:rsidR="00E0735B" w:rsidRPr="00A55335">
              <w:t>rhinitis</w:t>
            </w:r>
            <w:r w:rsidR="00E0735B">
              <w:t xml:space="preserve"> *</w:t>
            </w:r>
            <w:r w:rsidR="0076358D">
              <w:t>*</w:t>
            </w:r>
            <w:r w:rsidR="00E0735B">
              <w:t>*</w:t>
            </w:r>
          </w:p>
        </w:tc>
      </w:tr>
      <w:tr w:rsidR="009E1172" w:rsidRPr="00A55335" w14:paraId="1935EC44" w14:textId="77777777" w:rsidTr="009E1172">
        <w:trPr>
          <w:cantSplit/>
        </w:trPr>
        <w:tc>
          <w:tcPr>
            <w:tcW w:w="1021" w:type="pct"/>
            <w:tcBorders>
              <w:top w:val="single" w:sz="6" w:space="0" w:color="000000"/>
              <w:left w:val="nil"/>
              <w:bottom w:val="single" w:sz="6" w:space="0" w:color="000000"/>
              <w:right w:val="nil"/>
            </w:tcBorders>
            <w:vAlign w:val="center"/>
            <w:hideMark/>
          </w:tcPr>
          <w:p w14:paraId="51FECF66" w14:textId="18746F54" w:rsidR="009516FF" w:rsidRPr="00A55335" w:rsidRDefault="009516FF" w:rsidP="007252A0">
            <w:pPr>
              <w:pStyle w:val="Tabletext8pt"/>
            </w:pPr>
            <w:r w:rsidRPr="00A55335">
              <w:rPr>
                <w:rFonts w:cs="Montserrat"/>
                <w:color w:val="000000"/>
              </w:rPr>
              <w:lastRenderedPageBreak/>
              <w:t>Medication use</w:t>
            </w:r>
            <w:r w:rsidRPr="00A55335">
              <w:rPr>
                <w:rFonts w:cs="Montserrat"/>
                <w:color w:val="000000"/>
              </w:rPr>
              <w:br/>
              <w:t xml:space="preserve">assessed with: </w:t>
            </w:r>
            <w:r w:rsidR="00754A9F" w:rsidRPr="00A55335">
              <w:rPr>
                <w:rFonts w:cs="Montserrat"/>
                <w:color w:val="000000"/>
              </w:rPr>
              <w:t>Total number of a</w:t>
            </w:r>
            <w:r w:rsidRPr="00A55335">
              <w:rPr>
                <w:rFonts w:cs="Montserrat"/>
                <w:color w:val="000000"/>
              </w:rPr>
              <w:t>ntihistamine tablets taken</w:t>
            </w:r>
            <w:r w:rsidRPr="00A55335">
              <w:rPr>
                <w:rFonts w:cs="Montserrat"/>
                <w:color w:val="000000"/>
              </w:rPr>
              <w:br/>
              <w:t>follow-up: 5 weeks</w:t>
            </w:r>
          </w:p>
        </w:tc>
        <w:tc>
          <w:tcPr>
            <w:tcW w:w="637" w:type="pct"/>
            <w:tcBorders>
              <w:top w:val="single" w:sz="6" w:space="0" w:color="000000"/>
              <w:left w:val="nil"/>
              <w:bottom w:val="single" w:sz="6" w:space="0" w:color="000000"/>
              <w:right w:val="nil"/>
            </w:tcBorders>
            <w:shd w:val="clear" w:color="auto" w:fill="EBEBEB"/>
            <w:vAlign w:val="center"/>
            <w:hideMark/>
          </w:tcPr>
          <w:p w14:paraId="37676D7F" w14:textId="77777777" w:rsidR="009516FF" w:rsidRPr="00A55335" w:rsidRDefault="009516FF" w:rsidP="007252A0">
            <w:pPr>
              <w:pStyle w:val="Tabletext8pt"/>
              <w:jc w:val="center"/>
            </w:pPr>
            <w:r w:rsidRPr="00A55335">
              <w:t xml:space="preserve">The mean medication use was </w:t>
            </w:r>
            <w:r w:rsidRPr="00A55335">
              <w:rPr>
                <w:rStyle w:val="Strong"/>
              </w:rPr>
              <w:t>19.7 tablets taken</w:t>
            </w:r>
          </w:p>
        </w:tc>
        <w:tc>
          <w:tcPr>
            <w:tcW w:w="743" w:type="pct"/>
            <w:tcBorders>
              <w:top w:val="single" w:sz="6" w:space="0" w:color="000000"/>
              <w:left w:val="nil"/>
              <w:bottom w:val="single" w:sz="6" w:space="0" w:color="000000"/>
              <w:right w:val="nil"/>
            </w:tcBorders>
            <w:shd w:val="clear" w:color="auto" w:fill="EBEBEB"/>
            <w:hideMark/>
          </w:tcPr>
          <w:p w14:paraId="15E07B21" w14:textId="0D3C425F" w:rsidR="009516FF" w:rsidRPr="00A55335" w:rsidRDefault="009516FF" w:rsidP="007252A0">
            <w:pPr>
              <w:pStyle w:val="Tabletext8pt"/>
              <w:jc w:val="center"/>
            </w:pPr>
            <w:r w:rsidRPr="00A55335">
              <w:t>MD</w:t>
            </w:r>
            <w:r w:rsidRPr="00A55335">
              <w:rPr>
                <w:rStyle w:val="Strong"/>
              </w:rPr>
              <w:t xml:space="preserve"> 8.5 </w:t>
            </w:r>
            <w:r w:rsidR="000970B9" w:rsidRPr="00A55335">
              <w:rPr>
                <w:rStyle w:val="Strong"/>
              </w:rPr>
              <w:t>fewer</w:t>
            </w:r>
            <w:r w:rsidR="000970B9" w:rsidRPr="00A55335">
              <w:t xml:space="preserve"> </w:t>
            </w:r>
            <w:r w:rsidRPr="00A55335">
              <w:t>(14.67 fewer to 2.33 fewer)</w:t>
            </w:r>
          </w:p>
        </w:tc>
        <w:tc>
          <w:tcPr>
            <w:tcW w:w="436" w:type="pct"/>
            <w:tcBorders>
              <w:top w:val="single" w:sz="6" w:space="0" w:color="000000"/>
              <w:left w:val="nil"/>
              <w:bottom w:val="single" w:sz="6" w:space="0" w:color="000000"/>
              <w:right w:val="nil"/>
            </w:tcBorders>
            <w:vAlign w:val="center"/>
            <w:hideMark/>
          </w:tcPr>
          <w:p w14:paraId="5FE05A3B" w14:textId="77777777" w:rsidR="009516FF" w:rsidRPr="00A55335" w:rsidRDefault="009516FF" w:rsidP="007252A0">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3CF280F2" w14:textId="72E561F6" w:rsidR="009516FF" w:rsidRPr="00A55335" w:rsidRDefault="009516FF" w:rsidP="007252A0">
            <w:pPr>
              <w:pStyle w:val="Tabletext8pt"/>
              <w:jc w:val="center"/>
            </w:pPr>
            <w:r w:rsidRPr="00A55335">
              <w:rPr>
                <w:rFonts w:cs="Montserrat"/>
                <w:color w:val="000000"/>
              </w:rPr>
              <w:t>108</w:t>
            </w:r>
            <w:r w:rsidRPr="00A55335">
              <w:rPr>
                <w:rFonts w:cs="Montserrat"/>
                <w:color w:val="000000"/>
              </w:rPr>
              <w:br/>
              <w:t>(1 RCT)</w:t>
            </w:r>
            <w:r w:rsidR="00A372E3" w:rsidRPr="00A55335">
              <w:rPr>
                <w:rFonts w:cs="Montserrat"/>
                <w:color w:val="000000"/>
              </w:rPr>
              <w:t xml:space="preserve"> </w:t>
            </w:r>
            <w:r w:rsidR="00EC6C22" w:rsidRPr="00A55335">
              <w:rPr>
                <w:rFonts w:cs="Montserrat"/>
                <w:color w:val="000000"/>
              </w:rPr>
              <w:t>†</w:t>
            </w:r>
            <w:r w:rsidR="00A372E3" w:rsidRPr="00A55335">
              <w:rPr>
                <w:rFonts w:cs="Montserrat"/>
                <w:color w:val="000000"/>
              </w:rPr>
              <w:t>†</w:t>
            </w:r>
          </w:p>
        </w:tc>
        <w:tc>
          <w:tcPr>
            <w:tcW w:w="581" w:type="pct"/>
            <w:tcBorders>
              <w:top w:val="single" w:sz="6" w:space="0" w:color="000000"/>
              <w:left w:val="nil"/>
              <w:bottom w:val="single" w:sz="6" w:space="0" w:color="000000"/>
              <w:right w:val="nil"/>
            </w:tcBorders>
            <w:vAlign w:val="center"/>
            <w:hideMark/>
          </w:tcPr>
          <w:p w14:paraId="3E4992E4" w14:textId="7DB2C9D4" w:rsidR="009516FF" w:rsidRPr="00A55335" w:rsidRDefault="009516FF" w:rsidP="008D0C2A">
            <w:pPr>
              <w:pStyle w:val="Tabletext8pt"/>
              <w:jc w:val="center"/>
            </w:pPr>
            <w:r w:rsidRPr="00A55335">
              <w:rPr>
                <w:rFonts w:ascii="Cambria Math" w:hAnsi="Cambria Math" w:cs="Cambria Math"/>
              </w:rPr>
              <w:t>⨁⨁◯◯</w:t>
            </w:r>
            <w:r w:rsidRPr="00A55335">
              <w:br/>
              <w:t xml:space="preserve">LOW </w:t>
            </w:r>
            <w:proofErr w:type="spellStart"/>
            <w:r w:rsidR="003A0436" w:rsidRPr="00A55335">
              <w:rPr>
                <w:rStyle w:val="FootnoteReference"/>
              </w:rPr>
              <w:t>c,f,h</w:t>
            </w:r>
            <w:r w:rsidR="00861A62" w:rsidRPr="000449CA">
              <w:rPr>
                <w:rStyle w:val="FootnoteReference"/>
              </w:rPr>
              <w:t>,i</w:t>
            </w:r>
            <w:r w:rsidR="00506DC9" w:rsidRPr="000449CA">
              <w:rPr>
                <w:rStyle w:val="FootnoteReference"/>
              </w:rPr>
              <w:t>,</w:t>
            </w:r>
            <w:r w:rsidR="00506DC9" w:rsidRPr="000449CA">
              <w:rPr>
                <w:vertAlign w:val="superscript"/>
              </w:rPr>
              <w:t>j</w:t>
            </w:r>
            <w:proofErr w:type="spellEnd"/>
          </w:p>
        </w:tc>
        <w:tc>
          <w:tcPr>
            <w:tcW w:w="1000" w:type="pct"/>
            <w:tcBorders>
              <w:top w:val="single" w:sz="6" w:space="0" w:color="000000"/>
              <w:left w:val="nil"/>
              <w:bottom w:val="single" w:sz="6" w:space="0" w:color="000000"/>
              <w:right w:val="nil"/>
            </w:tcBorders>
            <w:vAlign w:val="center"/>
            <w:hideMark/>
          </w:tcPr>
          <w:p w14:paraId="2794F98A" w14:textId="4CE26347" w:rsidR="009516FF" w:rsidRPr="00A55335" w:rsidRDefault="00915322" w:rsidP="007252A0">
            <w:pPr>
              <w:pStyle w:val="Tabletext8pt"/>
            </w:pPr>
            <w:r w:rsidRPr="00A55335">
              <w:t>H</w:t>
            </w:r>
            <w:r w:rsidR="00B11682" w:rsidRPr="00A55335">
              <w:t xml:space="preserve">omeopathy </w:t>
            </w:r>
            <w:r w:rsidR="000970B9" w:rsidRPr="00A55335">
              <w:t xml:space="preserve">may </w:t>
            </w:r>
            <w:r w:rsidR="00A372E3" w:rsidRPr="00A55335">
              <w:t>reduce</w:t>
            </w:r>
            <w:r w:rsidR="000970B9" w:rsidRPr="00A55335">
              <w:t xml:space="preserve"> the number of antihistamine tablets taken in people with allergic </w:t>
            </w:r>
            <w:proofErr w:type="gramStart"/>
            <w:r w:rsidR="000970B9" w:rsidRPr="00A55335">
              <w:t>rhinitis.</w:t>
            </w:r>
            <w:r w:rsidR="00A86A10">
              <w:t>*</w:t>
            </w:r>
            <w:proofErr w:type="gramEnd"/>
            <w:r w:rsidR="00A86A10">
              <w:t>*</w:t>
            </w:r>
          </w:p>
        </w:tc>
      </w:tr>
      <w:tr w:rsidR="00250F60" w:rsidRPr="00A55335" w14:paraId="086CC3C3" w14:textId="77777777" w:rsidTr="007252A0">
        <w:trPr>
          <w:cantSplit/>
        </w:trPr>
        <w:tc>
          <w:tcPr>
            <w:tcW w:w="5000" w:type="pct"/>
            <w:gridSpan w:val="7"/>
            <w:tcBorders>
              <w:top w:val="single" w:sz="6" w:space="0" w:color="000000"/>
              <w:left w:val="nil"/>
              <w:bottom w:val="single" w:sz="6" w:space="0" w:color="000000"/>
              <w:right w:val="nil"/>
            </w:tcBorders>
            <w:vAlign w:val="center"/>
            <w:hideMark/>
          </w:tcPr>
          <w:p w14:paraId="186C1E49" w14:textId="2A19FEEC" w:rsidR="00E0735B" w:rsidRDefault="00DF66D4" w:rsidP="00B9544C">
            <w:pPr>
              <w:pStyle w:val="TableFigNotes18"/>
            </w:pPr>
            <w:r w:rsidRPr="00B9544C">
              <w:t>*</w:t>
            </w:r>
            <w:r w:rsidRPr="00BD1A50">
              <w:rPr>
                <w:rStyle w:val="Strong"/>
              </w:rPr>
              <w:t>The risk in the intervention group</w:t>
            </w:r>
            <w:r w:rsidRPr="00B9544C">
              <w:t xml:space="preserve"> (and its 95% confidence interval) is based on the assumed risk in the comparison group and the </w:t>
            </w:r>
            <w:r w:rsidRPr="00BD1A50">
              <w:rPr>
                <w:rStyle w:val="Strong"/>
              </w:rPr>
              <w:t>relative effect</w:t>
            </w:r>
            <w:r w:rsidRPr="00B9544C">
              <w:t xml:space="preserve"> of the intervention (and its 95% CI).</w:t>
            </w:r>
            <w:r w:rsidR="00B9544C" w:rsidRPr="00B9544C">
              <w:br/>
            </w:r>
            <w:r w:rsidR="00461118" w:rsidRPr="00A55335">
              <w:t xml:space="preserve">** As a rule of thumb, an SMD of 0.2 is considered a small difference, 0.5 is considered medium, and 0.8 is considered large </w:t>
            </w:r>
            <w:r w:rsidR="00461118"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00461118" w:rsidRPr="00A55335">
              <w:fldChar w:fldCharType="separate"/>
            </w:r>
            <w:r w:rsidR="00461118" w:rsidRPr="00A55335">
              <w:rPr>
                <w:noProof/>
              </w:rPr>
              <w:t>(</w:t>
            </w:r>
            <w:hyperlink w:anchor="_ENREF_83" w:tooltip="Faraone, 2008 #165" w:history="1">
              <w:r w:rsidR="00EC2769" w:rsidRPr="00A55335">
                <w:rPr>
                  <w:noProof/>
                </w:rPr>
                <w:t>83</w:t>
              </w:r>
            </w:hyperlink>
            <w:r w:rsidR="00461118" w:rsidRPr="00A55335">
              <w:rPr>
                <w:noProof/>
              </w:rPr>
              <w:t>)</w:t>
            </w:r>
            <w:r w:rsidR="00461118" w:rsidRPr="00A55335">
              <w:fldChar w:fldCharType="end"/>
            </w:r>
            <w:r w:rsidR="00461118" w:rsidRPr="00A55335">
              <w:t>.</w:t>
            </w:r>
          </w:p>
          <w:p w14:paraId="1FD8B953" w14:textId="6A5836A3" w:rsidR="00E0735B" w:rsidRPr="00A55335" w:rsidRDefault="00A86A10" w:rsidP="00E0735B">
            <w:pPr>
              <w:pStyle w:val="TableFigNotes18"/>
            </w:pPr>
            <w:r>
              <w:t>*</w:t>
            </w:r>
            <w:r w:rsidR="00E0735B" w:rsidRPr="00A55335">
              <w:t>** Effect estimates were considered on 3 levels: small (MD &lt;10% of the scale), moderate (MD between 10% to 20% of the scale) or large (MD more than 20% of the scale).</w:t>
            </w:r>
          </w:p>
          <w:p w14:paraId="3B856540" w14:textId="22AB2D2A" w:rsidR="00DF66D4" w:rsidRDefault="00DF66D4" w:rsidP="00C51BE8">
            <w:pPr>
              <w:pStyle w:val="TableFigNotes0"/>
              <w:rPr>
                <w:rStyle w:val="TableFigNotes18Char"/>
              </w:rPr>
            </w:pPr>
            <w:r w:rsidRPr="00A55335">
              <w:rPr>
                <w:rStyle w:val="TableFigNotes18Char"/>
              </w:rPr>
              <w:t xml:space="preserve">† Missing data from 4 studies (310 participants) not able to be included in the meta-analysis due to the reporting format of the study authors. Results from all 4 studies </w:t>
            </w:r>
            <w:r w:rsidR="004834ED" w:rsidRPr="00A55335">
              <w:rPr>
                <w:rStyle w:val="TableFigNotes18Char"/>
              </w:rPr>
              <w:t xml:space="preserve">suggest </w:t>
            </w:r>
            <w:r w:rsidRPr="00A55335">
              <w:rPr>
                <w:rStyle w:val="TableFigNotes18Char"/>
              </w:rPr>
              <w:t xml:space="preserve">no </w:t>
            </w:r>
            <w:r w:rsidR="00EF55B6">
              <w:rPr>
                <w:rStyle w:val="TableFigNotes18Char"/>
              </w:rPr>
              <w:t>important</w:t>
            </w:r>
            <w:r w:rsidR="00B04798" w:rsidRPr="00A55335">
              <w:rPr>
                <w:rStyle w:val="TableFigNotes18Char"/>
              </w:rPr>
              <w:t xml:space="preserve"> </w:t>
            </w:r>
            <w:r w:rsidRPr="00A55335">
              <w:rPr>
                <w:rStyle w:val="TableFigNotes18Char"/>
              </w:rPr>
              <w:t xml:space="preserve">difference between homeopathy and placebo in symptom severity. </w:t>
            </w:r>
            <w:r w:rsidR="006B79EB" w:rsidRPr="00A55335">
              <w:rPr>
                <w:rStyle w:val="TableFigNotes18Char"/>
              </w:rPr>
              <w:t xml:space="preserve">Point estimates </w:t>
            </w:r>
            <w:r w:rsidR="00461118" w:rsidRPr="00A55335">
              <w:rPr>
                <w:rStyle w:val="TableFigNotes18Char"/>
              </w:rPr>
              <w:t>for measure of effect are not reported by the trialists.</w:t>
            </w:r>
            <w:r w:rsidRPr="00A55335">
              <w:rPr>
                <w:rStyle w:val="TableFigNotes18Char"/>
              </w:rPr>
              <w:t xml:space="preserve"> In one of these studies, homeopathy was shown to result in a significant improvement in ocular</w:t>
            </w:r>
            <w:r w:rsidR="004834ED" w:rsidRPr="00A55335">
              <w:rPr>
                <w:rStyle w:val="TableFigNotes18Char"/>
              </w:rPr>
              <w:t>,</w:t>
            </w:r>
            <w:r w:rsidRPr="00A55335">
              <w:rPr>
                <w:rStyle w:val="TableFigNotes18Char"/>
              </w:rPr>
              <w:t xml:space="preserve"> but not nasal</w:t>
            </w:r>
            <w:r w:rsidR="004834ED" w:rsidRPr="00A55335">
              <w:rPr>
                <w:rStyle w:val="TableFigNotes18Char"/>
              </w:rPr>
              <w:t>,</w:t>
            </w:r>
            <w:r w:rsidRPr="00A55335">
              <w:rPr>
                <w:rStyle w:val="TableFigNotes18Char"/>
              </w:rPr>
              <w:t xml:space="preserve"> symptoms.</w:t>
            </w:r>
          </w:p>
          <w:p w14:paraId="5FD11B24" w14:textId="145B8E12" w:rsidR="00DA3B1F" w:rsidRPr="00A55335" w:rsidRDefault="00C62C43" w:rsidP="00DA3B1F">
            <w:pPr>
              <w:pStyle w:val="TableFigNotes18"/>
              <w:rPr>
                <w:rStyle w:val="Strong"/>
              </w:rPr>
            </w:pPr>
            <w:r w:rsidRPr="00A55335">
              <w:t>†</w:t>
            </w:r>
            <w:r w:rsidR="00A372E3" w:rsidRPr="00A55335">
              <w:t>†</w:t>
            </w:r>
            <w:r w:rsidR="005D7139" w:rsidRPr="00A55335">
              <w:t xml:space="preserve"> </w:t>
            </w:r>
            <w:r w:rsidR="00DA3B1F" w:rsidRPr="00A55335">
              <w:t xml:space="preserve">Missing data from </w:t>
            </w:r>
            <w:r w:rsidR="005D7139" w:rsidRPr="00A55335">
              <w:t>4 RCTs (</w:t>
            </w:r>
            <w:r w:rsidR="008B1D83" w:rsidRPr="00A55335">
              <w:t xml:space="preserve">240 participants) </w:t>
            </w:r>
            <w:r w:rsidR="00DA3B1F" w:rsidRPr="00A55335">
              <w:t xml:space="preserve">that </w:t>
            </w:r>
            <w:r w:rsidR="00D83F92" w:rsidRPr="00A55335">
              <w:t xml:space="preserve">measured medication use but </w:t>
            </w:r>
            <w:r w:rsidR="00FE639D" w:rsidRPr="00A55335">
              <w:t xml:space="preserve">either </w:t>
            </w:r>
            <w:r w:rsidR="00D83F92" w:rsidRPr="00A55335">
              <w:t>did not report it in a format that could be extracted for meta-analysis</w:t>
            </w:r>
            <w:r w:rsidR="008949D6" w:rsidRPr="00A55335">
              <w:t xml:space="preserve"> (1</w:t>
            </w:r>
            <w:r w:rsidR="001D7989" w:rsidRPr="00A55335">
              <w:t>8</w:t>
            </w:r>
            <w:r w:rsidR="008949D6" w:rsidRPr="00A55335">
              <w:t>9 participants</w:t>
            </w:r>
            <w:r w:rsidR="007849ED" w:rsidRPr="00A55335">
              <w:t>) or</w:t>
            </w:r>
            <w:r w:rsidR="00D83F92" w:rsidRPr="00A55335">
              <w:t xml:space="preserve"> did not report it at all</w:t>
            </w:r>
            <w:r w:rsidR="008949D6" w:rsidRPr="00A55335">
              <w:t xml:space="preserve"> (</w:t>
            </w:r>
            <w:r w:rsidR="001D7989" w:rsidRPr="00A55335">
              <w:t>5</w:t>
            </w:r>
            <w:r w:rsidR="008949D6" w:rsidRPr="00A55335">
              <w:t>1 participants)</w:t>
            </w:r>
            <w:r w:rsidR="00D83F92" w:rsidRPr="00A55335">
              <w:t xml:space="preserve">. </w:t>
            </w:r>
            <w:r w:rsidR="001D7989" w:rsidRPr="00A55335">
              <w:t>For studies that did not report results in an extractable format, the studies either did not report SD or only reported number of people using antihistamines but not the total volume of medication received.</w:t>
            </w:r>
            <w:r w:rsidR="00AE2698" w:rsidRPr="00A55335">
              <w:t xml:space="preserve"> In one study that was not included in the meta-analysis, study authors report no </w:t>
            </w:r>
            <w:r w:rsidR="00EF55B6">
              <w:t xml:space="preserve">important </w:t>
            </w:r>
            <w:r w:rsidR="00AE2698" w:rsidRPr="00A55335">
              <w:t>difference between homeopathy and placebo (p = 0.58). The remaining studies do not report estimate</w:t>
            </w:r>
            <w:r w:rsidR="008002DE">
              <w:t>s of effect</w:t>
            </w:r>
            <w:r w:rsidR="00AE2698" w:rsidRPr="00A55335">
              <w:t>.</w:t>
            </w:r>
          </w:p>
          <w:p w14:paraId="44B5AAF8" w14:textId="60D17DB9" w:rsidR="009516FF" w:rsidRPr="00A55335" w:rsidRDefault="009516FF" w:rsidP="007252A0">
            <w:pPr>
              <w:pStyle w:val="TableFigNotes0"/>
            </w:pPr>
            <w:r w:rsidRPr="00A55335">
              <w:rPr>
                <w:rStyle w:val="Strong"/>
              </w:rPr>
              <w:t>CI:</w:t>
            </w:r>
            <w:r w:rsidRPr="00A55335">
              <w:t xml:space="preserve"> confidence interval; </w:t>
            </w:r>
            <w:r w:rsidRPr="00A55335">
              <w:rPr>
                <w:rStyle w:val="Strong"/>
              </w:rPr>
              <w:t>MD:</w:t>
            </w:r>
            <w:r w:rsidRPr="00A55335">
              <w:t xml:space="preserve"> mean difference; </w:t>
            </w:r>
            <w:r w:rsidR="00653466" w:rsidRPr="00A55335">
              <w:rPr>
                <w:rStyle w:val="Strong"/>
              </w:rPr>
              <w:t>QLQ:</w:t>
            </w:r>
            <w:r w:rsidR="00653466" w:rsidRPr="00A55335">
              <w:t xml:space="preserve"> Quality of Life Questionnaire; </w:t>
            </w:r>
            <w:r w:rsidRPr="00A55335">
              <w:rPr>
                <w:rStyle w:val="Strong"/>
              </w:rPr>
              <w:t xml:space="preserve">SMD: </w:t>
            </w:r>
            <w:r w:rsidRPr="00A55335">
              <w:t>standardised mean difference</w:t>
            </w:r>
          </w:p>
        </w:tc>
      </w:tr>
      <w:tr w:rsidR="00250F60" w:rsidRPr="00A55335" w14:paraId="1BB469B3" w14:textId="77777777" w:rsidTr="007252A0">
        <w:trPr>
          <w:cantSplit/>
        </w:trPr>
        <w:tc>
          <w:tcPr>
            <w:tcW w:w="5000" w:type="pct"/>
            <w:gridSpan w:val="7"/>
            <w:tcBorders>
              <w:top w:val="single" w:sz="6" w:space="0" w:color="000000"/>
              <w:left w:val="nil"/>
              <w:bottom w:val="single" w:sz="6" w:space="0" w:color="000000"/>
              <w:right w:val="nil"/>
            </w:tcBorders>
            <w:vAlign w:val="center"/>
            <w:hideMark/>
          </w:tcPr>
          <w:p w14:paraId="4F9ED73F" w14:textId="77777777" w:rsidR="009516FF" w:rsidRPr="00A55335" w:rsidRDefault="009516FF" w:rsidP="007252A0">
            <w:pPr>
              <w:pStyle w:val="TableFigNotes0"/>
            </w:pPr>
            <w:r w:rsidRPr="00A55335">
              <w:rPr>
                <w:rStyle w:val="Strong"/>
              </w:rPr>
              <w:t>GRADE Working Group grades of evidence</w:t>
            </w:r>
            <w:r w:rsidRPr="00A55335">
              <w:rPr>
                <w:rStyle w:val="Strong"/>
              </w:rPr>
              <w:b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7347BB63" w14:textId="77777777" w:rsidR="009516FF" w:rsidRPr="00A55335" w:rsidRDefault="009516FF" w:rsidP="007252A0">
      <w:pPr>
        <w:pStyle w:val="Heading5a"/>
        <w:rPr>
          <w:lang w:val="en-AU"/>
        </w:rPr>
      </w:pPr>
      <w:r w:rsidRPr="00A55335">
        <w:rPr>
          <w:lang w:val="en-AU"/>
        </w:rPr>
        <w:t>Explanations</w:t>
      </w:r>
    </w:p>
    <w:p w14:paraId="21ECAA1F" w14:textId="1765FF04" w:rsidR="009516FF" w:rsidRPr="00A55335" w:rsidRDefault="009516FF" w:rsidP="009E1172">
      <w:pPr>
        <w:pStyle w:val="Footnote"/>
      </w:pPr>
      <w:r w:rsidRPr="00A55335">
        <w:t xml:space="preserve">a. </w:t>
      </w:r>
      <w:proofErr w:type="gramStart"/>
      <w:r w:rsidRPr="00A55335">
        <w:t>Serious</w:t>
      </w:r>
      <w:proofErr w:type="gramEnd"/>
      <w:r w:rsidRPr="00A55335">
        <w:t xml:space="preserve"> risk of bias. Two studies contributing over 70% of the data </w:t>
      </w:r>
      <w:r w:rsidR="00E6404D" w:rsidRPr="00A55335">
        <w:t xml:space="preserve">were </w:t>
      </w:r>
      <w:r w:rsidRPr="00A55335">
        <w:t>at high risk of bias. In a sensitivity analysis examining the impact of these studies, the effect size decreased</w:t>
      </w:r>
      <w:r w:rsidR="004834ED" w:rsidRPr="00A55335">
        <w:t xml:space="preserve"> and show little to no effect</w:t>
      </w:r>
      <w:r w:rsidRPr="009876E6">
        <w:t xml:space="preserve">. </w:t>
      </w:r>
      <w:r w:rsidRPr="00A55335">
        <w:t>Certainty of evidence downgraded.</w:t>
      </w:r>
    </w:p>
    <w:p w14:paraId="6709D18D" w14:textId="7733237A" w:rsidR="001023BE" w:rsidRPr="00A55335" w:rsidRDefault="001023BE" w:rsidP="001023BE">
      <w:pPr>
        <w:pStyle w:val="Footnote"/>
      </w:pPr>
      <w:r w:rsidRPr="00A55335">
        <w:t xml:space="preserve">b. </w:t>
      </w:r>
      <w:r w:rsidR="00C0588B" w:rsidRPr="00A55335">
        <w:t xml:space="preserve">No </w:t>
      </w:r>
      <w:r w:rsidR="00CC6DFF" w:rsidRPr="00A55335">
        <w:t>s</w:t>
      </w:r>
      <w:r w:rsidRPr="00A55335">
        <w:t xml:space="preserve">erious </w:t>
      </w:r>
      <w:r w:rsidR="00CC6DFF" w:rsidRPr="00A55335">
        <w:t>inconsistency</w:t>
      </w:r>
      <w:r w:rsidRPr="00A55335">
        <w:t xml:space="preserve">. Four studies (310 participants) reported data in a format that was not extractable for meta-analysis. These studies report no difference between homeopathy and placebo. Certainty of evidence </w:t>
      </w:r>
      <w:r w:rsidR="004A187C" w:rsidRPr="00A55335">
        <w:t xml:space="preserve">not </w:t>
      </w:r>
      <w:r w:rsidRPr="00A55335">
        <w:t>downgraded.</w:t>
      </w:r>
    </w:p>
    <w:p w14:paraId="0A32F106" w14:textId="68FDB91A" w:rsidR="004C0F29" w:rsidRPr="00A55335" w:rsidRDefault="001023BE" w:rsidP="009E1172">
      <w:pPr>
        <w:pStyle w:val="Footnote"/>
      </w:pPr>
      <w:r w:rsidRPr="00A55335">
        <w:t>c. No serious indirectness. The available evidence is in people with allergic rhinitis and is applicable to the Australian population</w:t>
      </w:r>
      <w:r w:rsidR="007E4F19">
        <w:t xml:space="preserve"> with some caveats</w:t>
      </w:r>
      <w:r w:rsidRPr="00A55335">
        <w:t xml:space="preserve">. </w:t>
      </w:r>
      <w:r w:rsidR="00321604">
        <w:t>Many of t</w:t>
      </w:r>
      <w:r w:rsidR="007E4F19">
        <w:t>he studies</w:t>
      </w:r>
      <w:r w:rsidR="00321604">
        <w:t xml:space="preserve"> were conducted prior to</w:t>
      </w:r>
      <w:r w:rsidR="00641C7A">
        <w:t xml:space="preserve"> </w:t>
      </w:r>
      <w:r w:rsidR="00B772ED">
        <w:t>2005</w:t>
      </w:r>
      <w:r w:rsidR="00E863F2">
        <w:t xml:space="preserve">. It is unclear if </w:t>
      </w:r>
      <w:r w:rsidR="00D05793">
        <w:t>change</w:t>
      </w:r>
      <w:r w:rsidR="00E863F2">
        <w:t xml:space="preserve">s </w:t>
      </w:r>
      <w:r w:rsidR="00D05793">
        <w:t xml:space="preserve">in </w:t>
      </w:r>
      <w:r w:rsidR="00E863F2">
        <w:t xml:space="preserve">usual </w:t>
      </w:r>
      <w:r w:rsidR="00D05793">
        <w:t>care or practi</w:t>
      </w:r>
      <w:r w:rsidR="00E863F2">
        <w:t>c</w:t>
      </w:r>
      <w:r w:rsidR="00D05793">
        <w:t>e</w:t>
      </w:r>
      <w:r w:rsidR="00321604">
        <w:t xml:space="preserve"> </w:t>
      </w:r>
      <w:r w:rsidR="00E863F2">
        <w:t>would influence the results.</w:t>
      </w:r>
      <w:r w:rsidR="007E4F19">
        <w:t xml:space="preserve"> </w:t>
      </w:r>
      <w:r w:rsidRPr="00A55335">
        <w:t>Certainty of evidence</w:t>
      </w:r>
      <w:r w:rsidR="00FD5677" w:rsidRPr="00A55335">
        <w:t xml:space="preserve"> not</w:t>
      </w:r>
      <w:r w:rsidRPr="00A55335">
        <w:t xml:space="preserve"> downgraded</w:t>
      </w:r>
      <w:r w:rsidR="00FD5677" w:rsidRPr="00A55335">
        <w:t>.</w:t>
      </w:r>
    </w:p>
    <w:p w14:paraId="042A14C4" w14:textId="29C52E02" w:rsidR="00FD5677" w:rsidRPr="00A55335" w:rsidRDefault="00FD5677" w:rsidP="00FD5677">
      <w:pPr>
        <w:pStyle w:val="Footnote"/>
      </w:pPr>
      <w:r w:rsidRPr="00A55335">
        <w:t xml:space="preserve">d. </w:t>
      </w:r>
      <w:proofErr w:type="gramStart"/>
      <w:r w:rsidRPr="00A55335">
        <w:t>Serious</w:t>
      </w:r>
      <w:proofErr w:type="gramEnd"/>
      <w:r w:rsidRPr="00A55335">
        <w:t xml:space="preserve"> </w:t>
      </w:r>
      <w:r w:rsidR="00CC6DFF" w:rsidRPr="00A55335">
        <w:t xml:space="preserve">imprecision. Wide confidence intervals (upper and lower </w:t>
      </w:r>
      <w:r w:rsidR="004A187C" w:rsidRPr="00A55335">
        <w:t>bounds overlap with both important and no important benefit). Certainty of evidence downgraded.</w:t>
      </w:r>
    </w:p>
    <w:p w14:paraId="0F472322" w14:textId="7D764D31" w:rsidR="009516FF" w:rsidRPr="00A55335" w:rsidRDefault="001023BE" w:rsidP="007252A0">
      <w:pPr>
        <w:pStyle w:val="Footnote"/>
      </w:pPr>
      <w:r w:rsidRPr="00A55335">
        <w:lastRenderedPageBreak/>
        <w:t>e</w:t>
      </w:r>
      <w:r w:rsidR="009516FF" w:rsidRPr="00A55335">
        <w:t xml:space="preserve">. </w:t>
      </w:r>
      <w:r w:rsidR="009516FF" w:rsidRPr="009876E6">
        <w:t xml:space="preserve">Publication bias strongly suspected. </w:t>
      </w:r>
      <w:r w:rsidR="009516FF" w:rsidRPr="00A55335">
        <w:t xml:space="preserve">Several studies ongoing and awaiting classification that could have contributed data to this outcome. Non-reporting </w:t>
      </w:r>
      <w:proofErr w:type="gramStart"/>
      <w:r w:rsidR="009516FF" w:rsidRPr="00A55335">
        <w:t>is considered to be</w:t>
      </w:r>
      <w:proofErr w:type="gramEnd"/>
      <w:r w:rsidR="009516FF" w:rsidRPr="00A55335">
        <w:t xml:space="preserve"> likely due to the p-value, direction or magnitude of effect. Certainty of evidence downgraded.</w:t>
      </w:r>
    </w:p>
    <w:p w14:paraId="371B87D9" w14:textId="7FE4F52E" w:rsidR="009516FF" w:rsidRPr="00A55335" w:rsidRDefault="00F85A38" w:rsidP="007252A0">
      <w:pPr>
        <w:pStyle w:val="Footnote"/>
      </w:pPr>
      <w:r w:rsidRPr="00A55335">
        <w:t>f</w:t>
      </w:r>
      <w:r w:rsidR="009516FF" w:rsidRPr="00A55335">
        <w:t xml:space="preserve">. </w:t>
      </w:r>
      <w:proofErr w:type="gramStart"/>
      <w:r w:rsidR="009516FF" w:rsidRPr="00A55335">
        <w:t>Serious</w:t>
      </w:r>
      <w:proofErr w:type="gramEnd"/>
      <w:r w:rsidR="009516FF" w:rsidRPr="00A55335">
        <w:t xml:space="preserve"> risk of bias. One study contributing 100% of the data was considered at high risk of bias. Certainty of evidence downgraded.</w:t>
      </w:r>
    </w:p>
    <w:p w14:paraId="348F85F9" w14:textId="25E4028B" w:rsidR="0027210A" w:rsidRPr="00A55335" w:rsidRDefault="00F85A38" w:rsidP="009E1172">
      <w:pPr>
        <w:pStyle w:val="Footnote"/>
      </w:pPr>
      <w:r w:rsidRPr="00A55335">
        <w:t>g</w:t>
      </w:r>
      <w:r w:rsidR="009516FF" w:rsidRPr="00A55335">
        <w:t xml:space="preserve">. </w:t>
      </w:r>
      <w:proofErr w:type="gramStart"/>
      <w:r w:rsidR="009516FF" w:rsidRPr="00A55335">
        <w:t>Serious</w:t>
      </w:r>
      <w:proofErr w:type="gramEnd"/>
      <w:r w:rsidR="009516FF" w:rsidRPr="00A55335">
        <w:t xml:space="preserve"> imprecision. One </w:t>
      </w:r>
      <w:r w:rsidR="00D93416" w:rsidRPr="00A55335">
        <w:t xml:space="preserve">small </w:t>
      </w:r>
      <w:r w:rsidR="009516FF" w:rsidRPr="00A55335">
        <w:t xml:space="preserve">study </w:t>
      </w:r>
      <w:r w:rsidRPr="00A55335">
        <w:t>with wide c</w:t>
      </w:r>
      <w:r w:rsidR="009516FF" w:rsidRPr="00A55335">
        <w:t xml:space="preserve">onfidence intervals </w:t>
      </w:r>
      <w:r w:rsidRPr="00A55335">
        <w:t>(lower bounds overlap with both important and no important benefit)</w:t>
      </w:r>
      <w:r w:rsidR="009516FF" w:rsidRPr="00A55335">
        <w:t>. Certainty of evidence downgraded.</w:t>
      </w:r>
    </w:p>
    <w:p w14:paraId="79A819B9" w14:textId="19F596CF" w:rsidR="00DF7C7D" w:rsidRPr="00A55335" w:rsidRDefault="00DF7C7D" w:rsidP="007252A0">
      <w:pPr>
        <w:pStyle w:val="Footnote"/>
      </w:pPr>
      <w:r w:rsidRPr="00A55335">
        <w:t>h. Single study. Inconsistency not assessed. Certainty of evidence not downgraded.</w:t>
      </w:r>
    </w:p>
    <w:p w14:paraId="71B3F862" w14:textId="77777777" w:rsidR="00861A62" w:rsidRDefault="00861A62" w:rsidP="00861A62">
      <w:pPr>
        <w:pStyle w:val="Footnote"/>
      </w:pPr>
      <w:proofErr w:type="spellStart"/>
      <w:r w:rsidRPr="00A55335">
        <w:t>i</w:t>
      </w:r>
      <w:proofErr w:type="spellEnd"/>
      <w:r w:rsidRPr="00A55335">
        <w:t xml:space="preserve">. Publication bias strongly suspected. Several studies that measured this outcome did not report a result. Several studies ongoing and awaiting classification that could have contributed data to this outcome. Non-reporting </w:t>
      </w:r>
      <w:proofErr w:type="gramStart"/>
      <w:r w:rsidRPr="00A55335">
        <w:t>is considered to be</w:t>
      </w:r>
      <w:proofErr w:type="gramEnd"/>
      <w:r w:rsidRPr="00A55335">
        <w:t xml:space="preserve"> likely due to the p-value, direction or magnitude of effect. Certainty of evidence downgraded.</w:t>
      </w:r>
    </w:p>
    <w:p w14:paraId="5D32EAA1" w14:textId="3943596D" w:rsidR="009628E7" w:rsidRPr="00A55335" w:rsidRDefault="009628E7" w:rsidP="00861A62">
      <w:pPr>
        <w:pStyle w:val="Footnote"/>
      </w:pPr>
      <w:r>
        <w:t>j. No serious imprecision.</w:t>
      </w:r>
      <w:r w:rsidR="003E47FA" w:rsidRPr="003E47FA">
        <w:t xml:space="preserve"> The </w:t>
      </w:r>
      <w:r w:rsidR="003E47FA">
        <w:t xml:space="preserve">upper and lower bounds of the </w:t>
      </w:r>
      <w:r w:rsidR="003E47FA" w:rsidRPr="003E47FA">
        <w:t xml:space="preserve">95% confidence interval </w:t>
      </w:r>
      <w:r w:rsidR="000D77F5">
        <w:t>suggest benefit</w:t>
      </w:r>
      <w:r w:rsidR="0055223E">
        <w:t xml:space="preserve"> </w:t>
      </w:r>
      <w:r w:rsidR="00AD6E7B">
        <w:t>(</w:t>
      </w:r>
      <w:r w:rsidR="00AD6E7B" w:rsidRPr="00A55335">
        <w:t>14.67 fewer</w:t>
      </w:r>
      <w:r w:rsidR="000D77F5">
        <w:t xml:space="preserve"> to </w:t>
      </w:r>
      <w:r w:rsidR="00AD6E7B" w:rsidRPr="00A55335">
        <w:t>2.33 fewer</w:t>
      </w:r>
      <w:r w:rsidR="00AD6E7B">
        <w:t xml:space="preserve">). </w:t>
      </w:r>
      <w:r w:rsidR="00B91AB1">
        <w:t xml:space="preserve">In the absence of </w:t>
      </w:r>
      <w:r w:rsidR="00047654">
        <w:t xml:space="preserve">a CI that indicates </w:t>
      </w:r>
      <w:r w:rsidR="00314F5D">
        <w:t xml:space="preserve">important </w:t>
      </w:r>
      <w:r w:rsidR="00047654">
        <w:t>harm, a</w:t>
      </w:r>
      <w:r w:rsidR="00B84FC8">
        <w:t xml:space="preserve"> conservative</w:t>
      </w:r>
      <w:r w:rsidR="00047654">
        <w:t xml:space="preserve"> judgement has been made</w:t>
      </w:r>
      <w:r w:rsidR="00314F5D">
        <w:t>.</w:t>
      </w:r>
      <w:r w:rsidR="00576755">
        <w:t xml:space="preserve"> </w:t>
      </w:r>
      <w:r w:rsidR="009F57B9">
        <w:t>Certainty of evidence not downgraded</w:t>
      </w:r>
      <w:r w:rsidR="00506DC9" w:rsidRPr="00506DC9">
        <w:t xml:space="preserve">. </w:t>
      </w:r>
    </w:p>
    <w:p w14:paraId="13E50776" w14:textId="204CB958" w:rsidR="00861A62" w:rsidRPr="00A55335" w:rsidRDefault="00861A62" w:rsidP="007252A0">
      <w:pPr>
        <w:pStyle w:val="Footnote"/>
      </w:pPr>
    </w:p>
    <w:p w14:paraId="1DB89BF2" w14:textId="0061EBE8" w:rsidR="00D42F42" w:rsidRPr="00A55335" w:rsidRDefault="00D42F42" w:rsidP="00D42F42">
      <w:pPr>
        <w:pStyle w:val="Heading5"/>
        <w:rPr>
          <w:lang w:val="en-AU"/>
        </w:rPr>
      </w:pPr>
      <w:r w:rsidRPr="00A55335">
        <w:rPr>
          <w:lang w:val="en-AU"/>
        </w:rPr>
        <w:t>Atopic dermatitis</w:t>
      </w:r>
    </w:p>
    <w:tbl>
      <w:tblPr>
        <w:tblW w:w="5000" w:type="pct"/>
        <w:tblLayout w:type="fixed"/>
        <w:tblCellMar>
          <w:top w:w="57" w:type="dxa"/>
          <w:left w:w="57" w:type="dxa"/>
          <w:bottom w:w="57" w:type="dxa"/>
          <w:right w:w="57" w:type="dxa"/>
        </w:tblCellMar>
        <w:tblLook w:val="04A0" w:firstRow="1" w:lastRow="0" w:firstColumn="1" w:lastColumn="0" w:noHBand="0" w:noVBand="1"/>
      </w:tblPr>
      <w:tblGrid>
        <w:gridCol w:w="1846"/>
        <w:gridCol w:w="1132"/>
        <w:gridCol w:w="1417"/>
        <w:gridCol w:w="850"/>
        <w:gridCol w:w="1134"/>
        <w:gridCol w:w="994"/>
        <w:gridCol w:w="2372"/>
      </w:tblGrid>
      <w:tr w:rsidR="00275579" w:rsidRPr="00A55335" w14:paraId="4F9867A8" w14:textId="77777777" w:rsidTr="0089726B">
        <w:trPr>
          <w:cantSplit/>
          <w:tblHeader/>
        </w:trPr>
        <w:tc>
          <w:tcPr>
            <w:tcW w:w="5000" w:type="pct"/>
            <w:gridSpan w:val="7"/>
            <w:tcBorders>
              <w:top w:val="single" w:sz="12" w:space="0" w:color="000000"/>
              <w:left w:val="nil"/>
              <w:bottom w:val="single" w:sz="12" w:space="0" w:color="000000"/>
              <w:right w:val="nil"/>
            </w:tcBorders>
            <w:vAlign w:val="center"/>
            <w:hideMark/>
          </w:tcPr>
          <w:p w14:paraId="12CFF937" w14:textId="213ECAD5" w:rsidR="005C2FA6" w:rsidRPr="00A55335" w:rsidRDefault="005C2FA6" w:rsidP="007252A0">
            <w:pPr>
              <w:pStyle w:val="TableH1"/>
              <w:rPr>
                <w:lang w:val="en-AU"/>
              </w:rPr>
            </w:pPr>
            <w:r w:rsidRPr="00A55335">
              <w:rPr>
                <w:lang w:val="en-AU"/>
              </w:rPr>
              <w:t xml:space="preserve">Homeopathy compared to placebo for </w:t>
            </w:r>
            <w:r w:rsidR="00DB057E">
              <w:rPr>
                <w:lang w:val="en-AU"/>
              </w:rPr>
              <w:t>A</w:t>
            </w:r>
            <w:r w:rsidRPr="00A55335">
              <w:rPr>
                <w:lang w:val="en-AU"/>
              </w:rPr>
              <w:t>topic dermatitis</w:t>
            </w:r>
          </w:p>
        </w:tc>
      </w:tr>
      <w:tr w:rsidR="00275579" w:rsidRPr="00A55335" w14:paraId="579AE9D3" w14:textId="77777777" w:rsidTr="0089726B">
        <w:trPr>
          <w:cantSplit/>
          <w:tblHeader/>
        </w:trPr>
        <w:tc>
          <w:tcPr>
            <w:tcW w:w="5000" w:type="pct"/>
            <w:gridSpan w:val="7"/>
            <w:tcBorders>
              <w:top w:val="single" w:sz="12" w:space="0" w:color="000000"/>
              <w:left w:val="nil"/>
              <w:bottom w:val="single" w:sz="12" w:space="0" w:color="000000"/>
              <w:right w:val="nil"/>
            </w:tcBorders>
            <w:vAlign w:val="center"/>
            <w:hideMark/>
          </w:tcPr>
          <w:p w14:paraId="24CD661C" w14:textId="77777777" w:rsidR="005C2FA6" w:rsidRPr="00A55335" w:rsidRDefault="005C2FA6" w:rsidP="007252A0">
            <w:pPr>
              <w:pStyle w:val="Tabletext9pt"/>
            </w:pPr>
            <w:r w:rsidRPr="00A55335">
              <w:rPr>
                <w:rStyle w:val="Strong"/>
              </w:rPr>
              <w:t>Patient or population:</w:t>
            </w:r>
            <w:r w:rsidRPr="00A55335">
              <w:t xml:space="preserve"> Atopic dermatitis</w:t>
            </w:r>
          </w:p>
          <w:p w14:paraId="76D2FDFC" w14:textId="77777777" w:rsidR="005C2FA6" w:rsidRPr="00A55335" w:rsidRDefault="005C2FA6" w:rsidP="007252A0">
            <w:pPr>
              <w:pStyle w:val="Tabletext8pt"/>
            </w:pPr>
            <w:r w:rsidRPr="00A55335">
              <w:rPr>
                <w:rStyle w:val="Strong"/>
              </w:rPr>
              <w:t>Setting:</w:t>
            </w:r>
            <w:r w:rsidRPr="00A55335">
              <w:t xml:space="preserve"> Community</w:t>
            </w:r>
          </w:p>
          <w:p w14:paraId="1766A722" w14:textId="77777777" w:rsidR="005C2FA6" w:rsidRPr="00A55335" w:rsidRDefault="005C2FA6" w:rsidP="007252A0">
            <w:pPr>
              <w:pStyle w:val="Tabletext8pt"/>
            </w:pPr>
            <w:r w:rsidRPr="00A55335">
              <w:rPr>
                <w:rStyle w:val="Strong"/>
              </w:rPr>
              <w:t xml:space="preserve">Intervention: </w:t>
            </w:r>
            <w:r w:rsidRPr="00A55335">
              <w:t>Homeopathy</w:t>
            </w:r>
          </w:p>
          <w:p w14:paraId="58267D1F" w14:textId="77777777" w:rsidR="005C2FA6" w:rsidRPr="00A55335" w:rsidRDefault="005C2FA6" w:rsidP="007252A0">
            <w:pPr>
              <w:pStyle w:val="Tabletext8pt"/>
            </w:pPr>
            <w:r w:rsidRPr="00A55335">
              <w:rPr>
                <w:rStyle w:val="Strong"/>
              </w:rPr>
              <w:t>Comparison:</w:t>
            </w:r>
            <w:r w:rsidRPr="00A55335">
              <w:t xml:space="preserve"> Placebo</w:t>
            </w:r>
          </w:p>
        </w:tc>
      </w:tr>
      <w:tr w:rsidR="002B7358" w:rsidRPr="00A55335" w14:paraId="4CADC6C5" w14:textId="77777777" w:rsidTr="002B7358">
        <w:trPr>
          <w:cantSplit/>
          <w:tblHeader/>
        </w:trPr>
        <w:tc>
          <w:tcPr>
            <w:tcW w:w="947" w:type="pct"/>
            <w:vMerge w:val="restart"/>
            <w:tcBorders>
              <w:right w:val="single" w:sz="6" w:space="0" w:color="EFEFEF"/>
            </w:tcBorders>
            <w:shd w:val="clear" w:color="auto" w:fill="006579" w:themeFill="accent2"/>
            <w:vAlign w:val="bottom"/>
            <w:hideMark/>
          </w:tcPr>
          <w:p w14:paraId="6D091C24" w14:textId="77777777" w:rsidR="005C2FA6" w:rsidRPr="00A55335" w:rsidRDefault="005C2FA6" w:rsidP="007252A0">
            <w:pPr>
              <w:pStyle w:val="Tabletext8pt"/>
              <w:rPr>
                <w:b/>
                <w:bCs/>
                <w:color w:val="F9F9F9" w:themeColor="background1"/>
              </w:rPr>
            </w:pPr>
            <w:r w:rsidRPr="00A55335">
              <w:rPr>
                <w:b/>
                <w:bCs/>
                <w:color w:val="F9F9F9" w:themeColor="background1"/>
              </w:rPr>
              <w:t>Outcomes</w:t>
            </w:r>
          </w:p>
        </w:tc>
        <w:tc>
          <w:tcPr>
            <w:tcW w:w="1308" w:type="pct"/>
            <w:gridSpan w:val="2"/>
            <w:tcBorders>
              <w:top w:val="single" w:sz="6" w:space="0" w:color="EFEFEF"/>
              <w:right w:val="single" w:sz="6" w:space="0" w:color="EFEFEF"/>
            </w:tcBorders>
            <w:shd w:val="clear" w:color="auto" w:fill="E0E0E0"/>
            <w:vAlign w:val="bottom"/>
            <w:hideMark/>
          </w:tcPr>
          <w:p w14:paraId="11897EC7" w14:textId="77777777" w:rsidR="005C2FA6" w:rsidRPr="00A55335" w:rsidRDefault="005C2FA6" w:rsidP="007252A0">
            <w:pPr>
              <w:pStyle w:val="Tabletext8pt"/>
              <w:rPr>
                <w:b/>
                <w:bCs/>
              </w:rPr>
            </w:pPr>
            <w:r w:rsidRPr="00A55335">
              <w:rPr>
                <w:rStyle w:val="Strong"/>
              </w:rPr>
              <w:t>Anticipated absolute effects</w:t>
            </w:r>
            <w:r w:rsidRPr="00A55335">
              <w:t>*</w:t>
            </w:r>
            <w:r w:rsidRPr="00A55335">
              <w:rPr>
                <w:rStyle w:val="Strong"/>
              </w:rPr>
              <w:t xml:space="preserve"> (95% CI)</w:t>
            </w:r>
          </w:p>
        </w:tc>
        <w:tc>
          <w:tcPr>
            <w:tcW w:w="436" w:type="pct"/>
            <w:vMerge w:val="restart"/>
            <w:tcBorders>
              <w:right w:val="single" w:sz="6" w:space="0" w:color="EFEFEF"/>
            </w:tcBorders>
            <w:shd w:val="clear" w:color="auto" w:fill="006579" w:themeFill="accent2"/>
            <w:vAlign w:val="bottom"/>
            <w:hideMark/>
          </w:tcPr>
          <w:p w14:paraId="62D148C5" w14:textId="77777777" w:rsidR="005C2FA6" w:rsidRPr="00A55335" w:rsidRDefault="005C2FA6" w:rsidP="007252A0">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2" w:type="pct"/>
            <w:vMerge w:val="restart"/>
            <w:tcBorders>
              <w:right w:val="single" w:sz="6" w:space="0" w:color="EFEFEF"/>
            </w:tcBorders>
            <w:shd w:val="clear" w:color="auto" w:fill="006579" w:themeFill="accent2"/>
            <w:vAlign w:val="bottom"/>
            <w:hideMark/>
          </w:tcPr>
          <w:p w14:paraId="11E19B6A" w14:textId="77777777" w:rsidR="005C2FA6" w:rsidRPr="00A55335" w:rsidRDefault="005C2FA6" w:rsidP="007252A0">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10" w:type="pct"/>
            <w:vMerge w:val="restart"/>
            <w:tcBorders>
              <w:right w:val="single" w:sz="6" w:space="0" w:color="EFEFEF"/>
            </w:tcBorders>
            <w:shd w:val="clear" w:color="auto" w:fill="006579" w:themeFill="accent2"/>
            <w:vAlign w:val="bottom"/>
            <w:hideMark/>
          </w:tcPr>
          <w:p w14:paraId="1713EFED" w14:textId="77777777" w:rsidR="005C2FA6" w:rsidRPr="00A55335" w:rsidRDefault="005C2FA6" w:rsidP="007252A0">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217" w:type="pct"/>
            <w:vMerge w:val="restart"/>
            <w:tcBorders>
              <w:right w:val="single" w:sz="6" w:space="0" w:color="EFEFEF"/>
            </w:tcBorders>
            <w:shd w:val="clear" w:color="auto" w:fill="006579" w:themeFill="accent2"/>
            <w:vAlign w:val="bottom"/>
            <w:hideMark/>
          </w:tcPr>
          <w:p w14:paraId="72E81656" w14:textId="131F2A00" w:rsidR="005C2FA6" w:rsidRPr="00A55335" w:rsidRDefault="009A2406" w:rsidP="007252A0">
            <w:pPr>
              <w:pStyle w:val="Tabletext8pt"/>
              <w:rPr>
                <w:b/>
                <w:bCs/>
                <w:color w:val="F9F9F9" w:themeColor="background1"/>
              </w:rPr>
            </w:pPr>
            <w:r w:rsidRPr="00A55335">
              <w:rPr>
                <w:b/>
                <w:bCs/>
                <w:color w:val="F9F9F9" w:themeColor="background1"/>
              </w:rPr>
              <w:t>Evidence statement</w:t>
            </w:r>
          </w:p>
        </w:tc>
      </w:tr>
      <w:tr w:rsidR="002B7358" w:rsidRPr="00A55335" w14:paraId="4EA8EA4E" w14:textId="77777777" w:rsidTr="002B7358">
        <w:trPr>
          <w:cantSplit/>
          <w:tblHeader/>
        </w:trPr>
        <w:tc>
          <w:tcPr>
            <w:tcW w:w="947" w:type="pct"/>
            <w:vMerge/>
            <w:tcBorders>
              <w:right w:val="single" w:sz="6" w:space="0" w:color="EFEFEF"/>
            </w:tcBorders>
            <w:shd w:val="clear" w:color="auto" w:fill="006579" w:themeFill="accent2"/>
            <w:vAlign w:val="center"/>
            <w:hideMark/>
          </w:tcPr>
          <w:p w14:paraId="41AF5233" w14:textId="77777777" w:rsidR="005C2FA6" w:rsidRPr="00A55335" w:rsidRDefault="005C2FA6" w:rsidP="007252A0">
            <w:pPr>
              <w:pStyle w:val="Tabletext8pt"/>
            </w:pPr>
          </w:p>
        </w:tc>
        <w:tc>
          <w:tcPr>
            <w:tcW w:w="581" w:type="pct"/>
            <w:tcBorders>
              <w:top w:val="single" w:sz="6" w:space="0" w:color="EFEFEF"/>
              <w:right w:val="single" w:sz="6" w:space="0" w:color="EFEFEF"/>
            </w:tcBorders>
            <w:shd w:val="clear" w:color="auto" w:fill="E0E0E0"/>
            <w:vAlign w:val="bottom"/>
            <w:hideMark/>
          </w:tcPr>
          <w:p w14:paraId="7DF1582C" w14:textId="77777777" w:rsidR="005C2FA6" w:rsidRPr="00A55335" w:rsidRDefault="005C2FA6" w:rsidP="007252A0">
            <w:pPr>
              <w:pStyle w:val="Tabletext8pt"/>
              <w:rPr>
                <w:rStyle w:val="Strong"/>
              </w:rPr>
            </w:pPr>
            <w:r w:rsidRPr="00A55335">
              <w:rPr>
                <w:rStyle w:val="Strong"/>
              </w:rPr>
              <w:t>Risk with Placebo</w:t>
            </w:r>
          </w:p>
        </w:tc>
        <w:tc>
          <w:tcPr>
            <w:tcW w:w="727" w:type="pct"/>
            <w:tcBorders>
              <w:top w:val="single" w:sz="6" w:space="0" w:color="EFEFEF"/>
              <w:right w:val="single" w:sz="6" w:space="0" w:color="EFEFEF"/>
            </w:tcBorders>
            <w:shd w:val="clear" w:color="auto" w:fill="E0E0E0"/>
            <w:vAlign w:val="bottom"/>
            <w:hideMark/>
          </w:tcPr>
          <w:p w14:paraId="2ED09489" w14:textId="77777777" w:rsidR="005C2FA6" w:rsidRPr="00A55335" w:rsidRDefault="005C2FA6" w:rsidP="007252A0">
            <w:pPr>
              <w:pStyle w:val="Tabletext8pt"/>
              <w:rPr>
                <w:rStyle w:val="Strong"/>
              </w:rPr>
            </w:pPr>
            <w:r w:rsidRPr="00A55335">
              <w:rPr>
                <w:rStyle w:val="Strong"/>
              </w:rPr>
              <w:t>Risk with Homeopathy</w:t>
            </w:r>
          </w:p>
        </w:tc>
        <w:tc>
          <w:tcPr>
            <w:tcW w:w="436" w:type="pct"/>
            <w:vMerge/>
            <w:tcBorders>
              <w:right w:val="single" w:sz="6" w:space="0" w:color="EFEFEF"/>
            </w:tcBorders>
            <w:shd w:val="clear" w:color="auto" w:fill="006579" w:themeFill="accent2"/>
            <w:vAlign w:val="center"/>
            <w:hideMark/>
          </w:tcPr>
          <w:p w14:paraId="12DF0BB0" w14:textId="77777777" w:rsidR="005C2FA6" w:rsidRPr="00A55335" w:rsidRDefault="005C2FA6" w:rsidP="007252A0">
            <w:pPr>
              <w:pStyle w:val="Tabletext8pt"/>
            </w:pPr>
          </w:p>
        </w:tc>
        <w:tc>
          <w:tcPr>
            <w:tcW w:w="582" w:type="pct"/>
            <w:vMerge/>
            <w:tcBorders>
              <w:right w:val="single" w:sz="6" w:space="0" w:color="EFEFEF"/>
            </w:tcBorders>
            <w:shd w:val="clear" w:color="auto" w:fill="006579" w:themeFill="accent2"/>
            <w:vAlign w:val="center"/>
            <w:hideMark/>
          </w:tcPr>
          <w:p w14:paraId="11D01018" w14:textId="77777777" w:rsidR="005C2FA6" w:rsidRPr="00A55335" w:rsidRDefault="005C2FA6" w:rsidP="007252A0">
            <w:pPr>
              <w:pStyle w:val="Tabletext8pt"/>
            </w:pPr>
          </w:p>
        </w:tc>
        <w:tc>
          <w:tcPr>
            <w:tcW w:w="510" w:type="pct"/>
            <w:vMerge/>
            <w:tcBorders>
              <w:right w:val="single" w:sz="6" w:space="0" w:color="EFEFEF"/>
            </w:tcBorders>
            <w:shd w:val="clear" w:color="auto" w:fill="006579" w:themeFill="accent2"/>
            <w:vAlign w:val="center"/>
            <w:hideMark/>
          </w:tcPr>
          <w:p w14:paraId="76062230" w14:textId="77777777" w:rsidR="005C2FA6" w:rsidRPr="00A55335" w:rsidRDefault="005C2FA6" w:rsidP="007252A0">
            <w:pPr>
              <w:pStyle w:val="Tabletext8pt"/>
            </w:pPr>
          </w:p>
        </w:tc>
        <w:tc>
          <w:tcPr>
            <w:tcW w:w="1217" w:type="pct"/>
            <w:vMerge/>
            <w:tcBorders>
              <w:right w:val="single" w:sz="6" w:space="0" w:color="EFEFEF"/>
            </w:tcBorders>
            <w:shd w:val="clear" w:color="auto" w:fill="006579" w:themeFill="accent2"/>
            <w:vAlign w:val="center"/>
            <w:hideMark/>
          </w:tcPr>
          <w:p w14:paraId="645A717D" w14:textId="77777777" w:rsidR="005C2FA6" w:rsidRPr="00A55335" w:rsidRDefault="005C2FA6" w:rsidP="007252A0">
            <w:pPr>
              <w:pStyle w:val="Tabletext8pt"/>
            </w:pPr>
          </w:p>
        </w:tc>
      </w:tr>
      <w:tr w:rsidR="002B7358" w:rsidRPr="00A55335" w14:paraId="6793897A" w14:textId="77777777" w:rsidTr="002B7358">
        <w:trPr>
          <w:cantSplit/>
        </w:trPr>
        <w:tc>
          <w:tcPr>
            <w:tcW w:w="947" w:type="pct"/>
            <w:tcBorders>
              <w:top w:val="single" w:sz="6" w:space="0" w:color="000000"/>
              <w:left w:val="nil"/>
              <w:bottom w:val="single" w:sz="6" w:space="0" w:color="000000"/>
              <w:right w:val="nil"/>
            </w:tcBorders>
            <w:vAlign w:val="center"/>
            <w:hideMark/>
          </w:tcPr>
          <w:p w14:paraId="0767A88B" w14:textId="77777777" w:rsidR="005C2FA6" w:rsidRPr="00A55335" w:rsidRDefault="005C2FA6" w:rsidP="007252A0">
            <w:pPr>
              <w:pStyle w:val="Tabletext8pt"/>
            </w:pPr>
            <w:r w:rsidRPr="00A55335">
              <w:t>Disease severity</w:t>
            </w:r>
            <w:r w:rsidRPr="00A55335">
              <w:br/>
              <w:t>assessed with: SCORAD or VAS</w:t>
            </w:r>
            <w:r w:rsidRPr="00A55335">
              <w:br/>
              <w:t>follow-up: range 3 months to 8 months</w:t>
            </w:r>
          </w:p>
        </w:tc>
        <w:tc>
          <w:tcPr>
            <w:tcW w:w="581" w:type="pct"/>
            <w:tcBorders>
              <w:top w:val="single" w:sz="6" w:space="0" w:color="000000"/>
              <w:left w:val="nil"/>
              <w:bottom w:val="single" w:sz="6" w:space="0" w:color="000000"/>
              <w:right w:val="nil"/>
            </w:tcBorders>
            <w:shd w:val="clear" w:color="auto" w:fill="auto"/>
            <w:vAlign w:val="center"/>
            <w:hideMark/>
          </w:tcPr>
          <w:p w14:paraId="2EB992F8" w14:textId="77777777" w:rsidR="005C2FA6" w:rsidRPr="00A55335" w:rsidRDefault="005C2FA6" w:rsidP="007252A0">
            <w:pPr>
              <w:pStyle w:val="Tabletext8pt"/>
              <w:jc w:val="center"/>
            </w:pPr>
            <w:r w:rsidRPr="00A55335">
              <w:t>-</w:t>
            </w:r>
          </w:p>
        </w:tc>
        <w:tc>
          <w:tcPr>
            <w:tcW w:w="727" w:type="pct"/>
            <w:tcBorders>
              <w:top w:val="single" w:sz="6" w:space="0" w:color="000000"/>
              <w:left w:val="nil"/>
              <w:bottom w:val="single" w:sz="6" w:space="0" w:color="000000"/>
              <w:right w:val="nil"/>
            </w:tcBorders>
            <w:shd w:val="clear" w:color="auto" w:fill="EBEBEB"/>
            <w:hideMark/>
          </w:tcPr>
          <w:p w14:paraId="20480FF5" w14:textId="50FCB1FD" w:rsidR="005C2FA6" w:rsidRPr="00A55335" w:rsidRDefault="005C2FA6" w:rsidP="007252A0">
            <w:pPr>
              <w:pStyle w:val="Tabletext8pt"/>
              <w:jc w:val="center"/>
            </w:pPr>
            <w:r w:rsidRPr="00A55335">
              <w:rPr>
                <w:rFonts w:cs="Montserrat"/>
                <w:color w:val="000000"/>
              </w:rPr>
              <w:t xml:space="preserve">SMD </w:t>
            </w:r>
            <w:r w:rsidRPr="00A55335">
              <w:rPr>
                <w:rFonts w:cs="Montserrat"/>
                <w:b/>
                <w:color w:val="000000"/>
              </w:rPr>
              <w:t>0.</w:t>
            </w:r>
            <w:r w:rsidR="00AE72C4" w:rsidRPr="00A55335">
              <w:rPr>
                <w:rFonts w:cs="Montserrat"/>
                <w:b/>
                <w:color w:val="000000"/>
              </w:rPr>
              <w:t>29</w:t>
            </w:r>
            <w:r w:rsidRPr="00A55335">
              <w:rPr>
                <w:rFonts w:cs="Montserrat"/>
                <w:b/>
                <w:color w:val="000000"/>
              </w:rPr>
              <w:t xml:space="preserve"> SD lower</w:t>
            </w:r>
            <w:r w:rsidRPr="00A55335">
              <w:rPr>
                <w:rFonts w:cs="Montserrat"/>
                <w:b/>
                <w:color w:val="000000"/>
              </w:rPr>
              <w:br/>
            </w:r>
            <w:sdt>
              <w:sdtPr>
                <w:tag w:val="goog_rdk_15"/>
                <w:id w:val="-1921478439"/>
              </w:sdtPr>
              <w:sdtContent/>
            </w:sdt>
            <w:r w:rsidRPr="00A55335">
              <w:rPr>
                <w:rFonts w:cs="Montserrat"/>
                <w:color w:val="000000"/>
              </w:rPr>
              <w:t>(0.6</w:t>
            </w:r>
            <w:r w:rsidR="00AE72C4" w:rsidRPr="00A55335">
              <w:rPr>
                <w:rFonts w:cs="Montserrat"/>
                <w:color w:val="000000"/>
              </w:rPr>
              <w:t>1</w:t>
            </w:r>
            <w:r w:rsidRPr="00A55335">
              <w:rPr>
                <w:rFonts w:cs="Montserrat"/>
                <w:color w:val="000000"/>
              </w:rPr>
              <w:t xml:space="preserve"> lower to 0.03 lower)</w:t>
            </w:r>
          </w:p>
        </w:tc>
        <w:tc>
          <w:tcPr>
            <w:tcW w:w="436" w:type="pct"/>
            <w:tcBorders>
              <w:top w:val="single" w:sz="6" w:space="0" w:color="000000"/>
              <w:left w:val="nil"/>
              <w:bottom w:val="single" w:sz="6" w:space="0" w:color="000000"/>
              <w:right w:val="nil"/>
            </w:tcBorders>
            <w:vAlign w:val="center"/>
            <w:hideMark/>
          </w:tcPr>
          <w:p w14:paraId="0798F802" w14:textId="77777777" w:rsidR="005C2FA6" w:rsidRPr="00A55335" w:rsidRDefault="005C2FA6" w:rsidP="007252A0">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126F1B94" w14:textId="68B3001F" w:rsidR="005C2FA6" w:rsidRPr="00A55335" w:rsidRDefault="005C2FA6" w:rsidP="007252A0">
            <w:pPr>
              <w:pStyle w:val="Tabletext8pt"/>
              <w:jc w:val="center"/>
            </w:pPr>
            <w:r w:rsidRPr="00A55335">
              <w:t>1</w:t>
            </w:r>
            <w:r w:rsidR="004C631F">
              <w:t>53</w:t>
            </w:r>
            <w:r w:rsidRPr="00A55335">
              <w:br/>
              <w:t>(3 RCTs)</w:t>
            </w:r>
          </w:p>
        </w:tc>
        <w:tc>
          <w:tcPr>
            <w:tcW w:w="510" w:type="pct"/>
            <w:tcBorders>
              <w:top w:val="single" w:sz="6" w:space="0" w:color="000000"/>
              <w:left w:val="nil"/>
              <w:bottom w:val="single" w:sz="6" w:space="0" w:color="000000"/>
              <w:right w:val="nil"/>
            </w:tcBorders>
            <w:vAlign w:val="center"/>
            <w:hideMark/>
          </w:tcPr>
          <w:p w14:paraId="4B81AEBE" w14:textId="7FEAF45A" w:rsidR="005C2FA6" w:rsidRPr="00A55335" w:rsidRDefault="005C2FA6" w:rsidP="008D0C2A">
            <w:pPr>
              <w:pStyle w:val="Tabletext8pt"/>
              <w:jc w:val="center"/>
            </w:pPr>
            <w:r w:rsidRPr="00A55335">
              <w:rPr>
                <w:rFonts w:ascii="Cambria Math" w:hAnsi="Cambria Math" w:cs="Cambria Math"/>
              </w:rPr>
              <w:t>⨁⨁◯◯</w:t>
            </w:r>
            <w:r w:rsidRPr="00A55335">
              <w:br/>
            </w:r>
            <w:r w:rsidR="00B22B6C" w:rsidRPr="00A55335">
              <w:t xml:space="preserve">LOW </w:t>
            </w:r>
            <w:proofErr w:type="spellStart"/>
            <w:r w:rsidRPr="00A55335">
              <w:rPr>
                <w:rStyle w:val="FootnoteReference"/>
              </w:rPr>
              <w:t>a,</w:t>
            </w:r>
            <w:r w:rsidR="00096424">
              <w:rPr>
                <w:rStyle w:val="FootnoteReference"/>
              </w:rPr>
              <w:t>b,</w:t>
            </w:r>
            <w:r w:rsidR="00CE5A31" w:rsidRPr="00A55335">
              <w:rPr>
                <w:rStyle w:val="FootnoteReference"/>
              </w:rPr>
              <w:t>c</w:t>
            </w:r>
            <w:r w:rsidR="00C56C7F" w:rsidRPr="00A55335">
              <w:rPr>
                <w:rStyle w:val="FootnoteReference"/>
              </w:rPr>
              <w:t>,</w:t>
            </w:r>
            <w:proofErr w:type="gramStart"/>
            <w:r w:rsidR="00C83B62" w:rsidRPr="00A55335">
              <w:rPr>
                <w:vertAlign w:val="superscript"/>
              </w:rPr>
              <w:t>d,e</w:t>
            </w:r>
            <w:proofErr w:type="spellEnd"/>
            <w:proofErr w:type="gramEnd"/>
          </w:p>
        </w:tc>
        <w:tc>
          <w:tcPr>
            <w:tcW w:w="1217" w:type="pct"/>
            <w:tcBorders>
              <w:top w:val="single" w:sz="6" w:space="0" w:color="000000"/>
              <w:left w:val="nil"/>
              <w:bottom w:val="single" w:sz="6" w:space="0" w:color="000000"/>
              <w:right w:val="nil"/>
            </w:tcBorders>
            <w:vAlign w:val="center"/>
            <w:hideMark/>
          </w:tcPr>
          <w:p w14:paraId="49198EC8" w14:textId="36899402" w:rsidR="005C2FA6" w:rsidRPr="00A55335" w:rsidRDefault="005C2FA6" w:rsidP="007252A0">
            <w:pPr>
              <w:pStyle w:val="Tabletext8pt"/>
            </w:pPr>
            <w:r w:rsidRPr="00A55335">
              <w:t xml:space="preserve">Homeopathy may reduce disease severity slightly in people with atopic </w:t>
            </w:r>
            <w:proofErr w:type="gramStart"/>
            <w:r w:rsidRPr="00A55335">
              <w:t>dermatitis.</w:t>
            </w:r>
            <w:r w:rsidR="000A0921">
              <w:t>*</w:t>
            </w:r>
            <w:proofErr w:type="gramEnd"/>
            <w:r w:rsidR="000A0921">
              <w:t>*</w:t>
            </w:r>
          </w:p>
        </w:tc>
      </w:tr>
      <w:tr w:rsidR="002B7358" w:rsidRPr="00A55335" w14:paraId="33A9116A" w14:textId="77777777" w:rsidTr="002B7358">
        <w:trPr>
          <w:cantSplit/>
        </w:trPr>
        <w:tc>
          <w:tcPr>
            <w:tcW w:w="947" w:type="pct"/>
            <w:tcBorders>
              <w:top w:val="single" w:sz="6" w:space="0" w:color="000000"/>
              <w:left w:val="nil"/>
              <w:bottom w:val="single" w:sz="6" w:space="0" w:color="000000"/>
              <w:right w:val="nil"/>
            </w:tcBorders>
            <w:vAlign w:val="center"/>
            <w:hideMark/>
          </w:tcPr>
          <w:p w14:paraId="0A89D8C2" w14:textId="3742614B" w:rsidR="005C2FA6" w:rsidRPr="00A55335" w:rsidRDefault="00E87092" w:rsidP="007252A0">
            <w:pPr>
              <w:pStyle w:val="Tabletext8pt"/>
            </w:pPr>
            <w:r w:rsidRPr="00A55335">
              <w:t>Q</w:t>
            </w:r>
            <w:r w:rsidR="005C2FA6" w:rsidRPr="00A55335">
              <w:t>uality of life</w:t>
            </w:r>
            <w:r w:rsidR="005C2FA6" w:rsidRPr="00A55335">
              <w:br/>
              <w:t>assessed with: Dermatology Life Quality Index</w:t>
            </w:r>
            <w:r w:rsidR="005C2FA6" w:rsidRPr="00A55335">
              <w:br/>
              <w:t>Scale from: 0 to 30</w:t>
            </w:r>
            <w:r w:rsidR="005C2FA6" w:rsidRPr="00A55335">
              <w:br/>
              <w:t>follow-up: mean 3 months</w:t>
            </w:r>
          </w:p>
        </w:tc>
        <w:tc>
          <w:tcPr>
            <w:tcW w:w="581" w:type="pct"/>
            <w:tcBorders>
              <w:top w:val="single" w:sz="6" w:space="0" w:color="000000"/>
              <w:left w:val="nil"/>
              <w:bottom w:val="single" w:sz="6" w:space="0" w:color="000000"/>
              <w:right w:val="nil"/>
            </w:tcBorders>
            <w:shd w:val="clear" w:color="auto" w:fill="EBEBEB"/>
            <w:vAlign w:val="center"/>
            <w:hideMark/>
          </w:tcPr>
          <w:p w14:paraId="654D4FEF" w14:textId="77777777" w:rsidR="005C2FA6" w:rsidRPr="00A55335" w:rsidRDefault="005C2FA6" w:rsidP="007252A0">
            <w:pPr>
              <w:pStyle w:val="Tabletext8pt"/>
              <w:jc w:val="center"/>
            </w:pPr>
          </w:p>
        </w:tc>
        <w:tc>
          <w:tcPr>
            <w:tcW w:w="727" w:type="pct"/>
            <w:tcBorders>
              <w:top w:val="single" w:sz="6" w:space="0" w:color="000000"/>
              <w:left w:val="nil"/>
              <w:bottom w:val="single" w:sz="6" w:space="0" w:color="000000"/>
              <w:right w:val="nil"/>
            </w:tcBorders>
            <w:shd w:val="clear" w:color="auto" w:fill="EBEBEB"/>
            <w:hideMark/>
          </w:tcPr>
          <w:p w14:paraId="62006C46" w14:textId="714DDC68" w:rsidR="005C2FA6" w:rsidRPr="00A55335" w:rsidRDefault="005C2FA6" w:rsidP="007252A0">
            <w:pPr>
              <w:pStyle w:val="Tabletext8pt"/>
              <w:jc w:val="center"/>
            </w:pPr>
            <w:r w:rsidRPr="00A55335">
              <w:t xml:space="preserve">MD </w:t>
            </w:r>
            <w:r w:rsidRPr="00A55335">
              <w:rPr>
                <w:rStyle w:val="Strong"/>
              </w:rPr>
              <w:t>0.</w:t>
            </w:r>
            <w:r w:rsidR="00CF0521" w:rsidRPr="00A55335">
              <w:rPr>
                <w:rStyle w:val="Strong"/>
              </w:rPr>
              <w:t>55</w:t>
            </w:r>
            <w:r w:rsidRPr="00A55335">
              <w:rPr>
                <w:rStyle w:val="Strong"/>
              </w:rPr>
              <w:t xml:space="preserve"> points lower</w:t>
            </w:r>
            <w:r w:rsidRPr="00A55335">
              <w:rPr>
                <w:rStyle w:val="Strong"/>
              </w:rPr>
              <w:br/>
            </w:r>
            <w:r w:rsidRPr="00A55335">
              <w:t>(</w:t>
            </w:r>
            <w:r w:rsidR="00CF0521" w:rsidRPr="00A55335">
              <w:t>2.02</w:t>
            </w:r>
            <w:r w:rsidRPr="00A55335">
              <w:t xml:space="preserve"> lower to 0.</w:t>
            </w:r>
            <w:r w:rsidR="00CF0521" w:rsidRPr="00A55335">
              <w:t>93</w:t>
            </w:r>
            <w:r w:rsidRPr="00A55335">
              <w:t xml:space="preserve"> higher)</w:t>
            </w:r>
          </w:p>
        </w:tc>
        <w:tc>
          <w:tcPr>
            <w:tcW w:w="436" w:type="pct"/>
            <w:tcBorders>
              <w:top w:val="single" w:sz="6" w:space="0" w:color="000000"/>
              <w:left w:val="nil"/>
              <w:bottom w:val="single" w:sz="6" w:space="0" w:color="000000"/>
              <w:right w:val="nil"/>
            </w:tcBorders>
            <w:vAlign w:val="center"/>
            <w:hideMark/>
          </w:tcPr>
          <w:p w14:paraId="45469B36" w14:textId="77777777" w:rsidR="005C2FA6" w:rsidRPr="00A55335" w:rsidRDefault="005C2FA6" w:rsidP="007252A0">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40BD4208" w14:textId="361891C2" w:rsidR="005C2FA6" w:rsidRPr="00A55335" w:rsidRDefault="00496610" w:rsidP="007252A0">
            <w:pPr>
              <w:pStyle w:val="Tabletext8pt"/>
              <w:jc w:val="center"/>
            </w:pPr>
            <w:r>
              <w:t>87</w:t>
            </w:r>
            <w:r w:rsidR="005C2FA6" w:rsidRPr="00A55335">
              <w:br/>
              <w:t>(2 RCTs)</w:t>
            </w:r>
          </w:p>
        </w:tc>
        <w:tc>
          <w:tcPr>
            <w:tcW w:w="510" w:type="pct"/>
            <w:tcBorders>
              <w:top w:val="single" w:sz="6" w:space="0" w:color="000000"/>
              <w:left w:val="nil"/>
              <w:bottom w:val="single" w:sz="6" w:space="0" w:color="000000"/>
              <w:right w:val="nil"/>
            </w:tcBorders>
            <w:vAlign w:val="center"/>
            <w:hideMark/>
          </w:tcPr>
          <w:p w14:paraId="379AF776" w14:textId="5E4CFB34" w:rsidR="005C2FA6" w:rsidRPr="00A55335" w:rsidRDefault="005C2FA6" w:rsidP="008D0C2A">
            <w:pPr>
              <w:pStyle w:val="Tabletext8pt"/>
              <w:jc w:val="center"/>
            </w:pPr>
            <w:r w:rsidRPr="00A55335">
              <w:rPr>
                <w:rFonts w:ascii="Cambria Math" w:eastAsia="Cambria Math" w:hAnsi="Cambria Math" w:cs="Cambria Math"/>
                <w:color w:val="000000"/>
              </w:rPr>
              <w:t>⨁⨁◯◯</w:t>
            </w:r>
            <w:r w:rsidRPr="00A55335">
              <w:rPr>
                <w:rFonts w:cs="Montserrat"/>
                <w:color w:val="000000"/>
              </w:rPr>
              <w:br/>
            </w:r>
            <w:r w:rsidR="00B22B6C" w:rsidRPr="00A55335">
              <w:rPr>
                <w:rFonts w:cs="Montserrat"/>
                <w:color w:val="000000"/>
              </w:rPr>
              <w:t xml:space="preserve">LOW </w:t>
            </w:r>
            <w:proofErr w:type="spellStart"/>
            <w:proofErr w:type="gramStart"/>
            <w:r w:rsidRPr="00825E97">
              <w:rPr>
                <w:rFonts w:cs="Montserrat"/>
                <w:color w:val="000000"/>
                <w:vertAlign w:val="superscript"/>
              </w:rPr>
              <w:t>a</w:t>
            </w:r>
            <w:r w:rsidRPr="00A55335">
              <w:rPr>
                <w:rFonts w:cs="Montserrat"/>
                <w:color w:val="000000"/>
                <w:vertAlign w:val="superscript"/>
              </w:rPr>
              <w:t>,b</w:t>
            </w:r>
            <w:proofErr w:type="gramEnd"/>
            <w:r w:rsidR="00811F70" w:rsidRPr="00A55335">
              <w:rPr>
                <w:rFonts w:cs="Montserrat"/>
                <w:color w:val="000000"/>
                <w:vertAlign w:val="superscript"/>
              </w:rPr>
              <w:t>,c,e</w:t>
            </w:r>
            <w:r w:rsidR="00150638" w:rsidRPr="00A55335">
              <w:rPr>
                <w:rFonts w:cs="Montserrat"/>
                <w:color w:val="000000"/>
                <w:vertAlign w:val="superscript"/>
              </w:rPr>
              <w:t>,</w:t>
            </w:r>
            <w:r w:rsidR="00150638" w:rsidRPr="007E02F0">
              <w:rPr>
                <w:rFonts w:cs="Montserrat"/>
                <w:color w:val="000000"/>
                <w:vertAlign w:val="superscript"/>
              </w:rPr>
              <w:t>i</w:t>
            </w:r>
            <w:proofErr w:type="spellEnd"/>
          </w:p>
        </w:tc>
        <w:tc>
          <w:tcPr>
            <w:tcW w:w="1217" w:type="pct"/>
            <w:tcBorders>
              <w:top w:val="single" w:sz="6" w:space="0" w:color="000000"/>
              <w:left w:val="nil"/>
              <w:bottom w:val="single" w:sz="6" w:space="0" w:color="000000"/>
              <w:right w:val="nil"/>
            </w:tcBorders>
            <w:vAlign w:val="center"/>
            <w:hideMark/>
          </w:tcPr>
          <w:p w14:paraId="4F143971" w14:textId="4A8D60FB" w:rsidR="005C2FA6" w:rsidRPr="00A55335" w:rsidRDefault="00F9308A" w:rsidP="007252A0">
            <w:pPr>
              <w:pStyle w:val="Tabletext8pt"/>
            </w:pPr>
            <w:r w:rsidRPr="00A55335">
              <w:t>H</w:t>
            </w:r>
            <w:r w:rsidR="00A24AFE" w:rsidRPr="00A55335">
              <w:t xml:space="preserve">omeopathy </w:t>
            </w:r>
            <w:r w:rsidR="005C2FA6" w:rsidRPr="00A55335">
              <w:t xml:space="preserve">may result in little to no </w:t>
            </w:r>
            <w:r w:rsidR="005C2FA6" w:rsidRPr="00A55335">
              <w:rPr>
                <w:rFonts w:cs="Montserrat"/>
                <w:color w:val="000000"/>
              </w:rPr>
              <w:t>difference</w:t>
            </w:r>
            <w:r w:rsidR="00965CD7" w:rsidRPr="00A55335">
              <w:rPr>
                <w:rFonts w:cs="Montserrat"/>
                <w:color w:val="000000"/>
              </w:rPr>
              <w:t xml:space="preserve"> </w:t>
            </w:r>
            <w:r w:rsidR="005C2FA6" w:rsidRPr="00A55335">
              <w:rPr>
                <w:rFonts w:cs="Montserrat"/>
                <w:color w:val="000000"/>
              </w:rPr>
              <w:t xml:space="preserve">in </w:t>
            </w:r>
            <w:r w:rsidR="005C2FA6" w:rsidRPr="00A55335">
              <w:t>health-related quality of life in people with atopic dermatitis.</w:t>
            </w:r>
            <w:r w:rsidR="00A11921" w:rsidRPr="00A55335">
              <w:t xml:space="preserve"> </w:t>
            </w:r>
            <w:r w:rsidR="00A11921" w:rsidRPr="00046149">
              <w:rPr>
                <w:vertAlign w:val="superscript"/>
              </w:rPr>
              <w:t>#</w:t>
            </w:r>
          </w:p>
        </w:tc>
      </w:tr>
      <w:tr w:rsidR="002B7358" w:rsidRPr="00A55335" w14:paraId="05E53A4D" w14:textId="77777777" w:rsidTr="002B7358">
        <w:trPr>
          <w:cantSplit/>
        </w:trPr>
        <w:tc>
          <w:tcPr>
            <w:tcW w:w="947" w:type="pct"/>
            <w:tcBorders>
              <w:top w:val="single" w:sz="6" w:space="0" w:color="000000"/>
              <w:left w:val="nil"/>
              <w:bottom w:val="single" w:sz="6" w:space="0" w:color="000000"/>
              <w:right w:val="nil"/>
            </w:tcBorders>
            <w:vAlign w:val="center"/>
            <w:hideMark/>
          </w:tcPr>
          <w:p w14:paraId="6C16ABF7" w14:textId="77777777" w:rsidR="005C2FA6" w:rsidRPr="00A55335" w:rsidRDefault="005C2FA6" w:rsidP="007252A0">
            <w:pPr>
              <w:pStyle w:val="Tabletext8pt"/>
            </w:pPr>
            <w:r w:rsidRPr="00A55335">
              <w:t>Medication use</w:t>
            </w:r>
            <w:r w:rsidRPr="00A55335">
              <w:br/>
              <w:t>assessed with: Use of topical steroids</w:t>
            </w:r>
            <w:r w:rsidRPr="00A55335">
              <w:br/>
              <w:t>follow-up: 12 weeks</w:t>
            </w:r>
          </w:p>
        </w:tc>
        <w:tc>
          <w:tcPr>
            <w:tcW w:w="581" w:type="pct"/>
            <w:tcBorders>
              <w:top w:val="single" w:sz="6" w:space="0" w:color="000000"/>
              <w:left w:val="nil"/>
              <w:bottom w:val="single" w:sz="6" w:space="0" w:color="000000"/>
              <w:right w:val="nil"/>
            </w:tcBorders>
            <w:shd w:val="clear" w:color="auto" w:fill="auto"/>
            <w:vAlign w:val="center"/>
            <w:hideMark/>
          </w:tcPr>
          <w:p w14:paraId="3CD00A5B" w14:textId="77777777" w:rsidR="005C2FA6" w:rsidRPr="00A55335" w:rsidRDefault="005C2FA6" w:rsidP="007252A0">
            <w:pPr>
              <w:pStyle w:val="Tabletext8pt"/>
              <w:jc w:val="center"/>
            </w:pPr>
            <w:r w:rsidRPr="00A55335">
              <w:t>-</w:t>
            </w:r>
          </w:p>
        </w:tc>
        <w:tc>
          <w:tcPr>
            <w:tcW w:w="727" w:type="pct"/>
            <w:tcBorders>
              <w:top w:val="single" w:sz="6" w:space="0" w:color="000000"/>
              <w:left w:val="nil"/>
              <w:bottom w:val="single" w:sz="6" w:space="0" w:color="000000"/>
              <w:right w:val="nil"/>
            </w:tcBorders>
            <w:shd w:val="clear" w:color="auto" w:fill="EBEBEB"/>
            <w:hideMark/>
          </w:tcPr>
          <w:p w14:paraId="142A26FE" w14:textId="1D70C01F" w:rsidR="005C2FA6" w:rsidRPr="00A55335" w:rsidRDefault="005C2FA6" w:rsidP="007252A0">
            <w:pPr>
              <w:pStyle w:val="Tabletext8pt"/>
              <w:jc w:val="center"/>
            </w:pPr>
            <w:r w:rsidRPr="00A55335">
              <w:rPr>
                <w:rFonts w:cs="Montserrat"/>
                <w:color w:val="000000"/>
              </w:rPr>
              <w:t xml:space="preserve">SMD </w:t>
            </w:r>
            <w:r w:rsidRPr="00A55335">
              <w:rPr>
                <w:rFonts w:cs="Montserrat"/>
                <w:b/>
                <w:color w:val="000000"/>
              </w:rPr>
              <w:t>0.2</w:t>
            </w:r>
            <w:r w:rsidR="00CF0521" w:rsidRPr="00A55335">
              <w:rPr>
                <w:rFonts w:cs="Montserrat"/>
                <w:b/>
                <w:color w:val="000000"/>
              </w:rPr>
              <w:t>3</w:t>
            </w:r>
            <w:r w:rsidRPr="00A55335">
              <w:rPr>
                <w:rFonts w:cs="Montserrat"/>
                <w:b/>
                <w:color w:val="000000"/>
              </w:rPr>
              <w:t xml:space="preserve"> SD lower</w:t>
            </w:r>
            <w:r w:rsidRPr="00A55335">
              <w:rPr>
                <w:rFonts w:cs="Montserrat"/>
                <w:color w:val="000000"/>
              </w:rPr>
              <w:br/>
              <w:t>(0.</w:t>
            </w:r>
            <w:r w:rsidR="00CF0521" w:rsidRPr="00A55335">
              <w:rPr>
                <w:rFonts w:cs="Montserrat"/>
                <w:color w:val="000000"/>
              </w:rPr>
              <w:t>53</w:t>
            </w:r>
            <w:r w:rsidRPr="00A55335">
              <w:rPr>
                <w:rFonts w:cs="Montserrat"/>
                <w:color w:val="000000"/>
              </w:rPr>
              <w:t xml:space="preserve"> lower to 0.</w:t>
            </w:r>
            <w:r w:rsidR="00CF0521" w:rsidRPr="00A55335">
              <w:rPr>
                <w:rFonts w:cs="Montserrat"/>
                <w:color w:val="000000"/>
              </w:rPr>
              <w:t>99</w:t>
            </w:r>
            <w:r w:rsidRPr="00A55335">
              <w:rPr>
                <w:rFonts w:cs="Montserrat"/>
                <w:color w:val="000000"/>
              </w:rPr>
              <w:t xml:space="preserve"> higher</w:t>
            </w:r>
            <w:r w:rsidRPr="00A55335">
              <w:t>)</w:t>
            </w:r>
          </w:p>
        </w:tc>
        <w:tc>
          <w:tcPr>
            <w:tcW w:w="436" w:type="pct"/>
            <w:tcBorders>
              <w:top w:val="single" w:sz="6" w:space="0" w:color="000000"/>
              <w:left w:val="nil"/>
              <w:bottom w:val="single" w:sz="6" w:space="0" w:color="000000"/>
              <w:right w:val="nil"/>
            </w:tcBorders>
            <w:vAlign w:val="center"/>
            <w:hideMark/>
          </w:tcPr>
          <w:p w14:paraId="3026A143" w14:textId="77777777" w:rsidR="005C2FA6" w:rsidRPr="00A55335" w:rsidRDefault="005C2FA6" w:rsidP="007252A0">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550549A7" w14:textId="77777777" w:rsidR="005C2FA6" w:rsidRPr="00A55335" w:rsidRDefault="005C2FA6" w:rsidP="007252A0">
            <w:pPr>
              <w:pStyle w:val="Tabletext8pt"/>
              <w:jc w:val="center"/>
            </w:pPr>
            <w:r w:rsidRPr="00A55335">
              <w:t>46</w:t>
            </w:r>
            <w:r w:rsidRPr="00A55335">
              <w:br/>
              <w:t>(1 RCT)</w:t>
            </w:r>
          </w:p>
        </w:tc>
        <w:tc>
          <w:tcPr>
            <w:tcW w:w="510" w:type="pct"/>
            <w:tcBorders>
              <w:top w:val="single" w:sz="6" w:space="0" w:color="000000"/>
              <w:left w:val="nil"/>
              <w:bottom w:val="single" w:sz="6" w:space="0" w:color="000000"/>
              <w:right w:val="nil"/>
            </w:tcBorders>
            <w:vAlign w:val="center"/>
            <w:hideMark/>
          </w:tcPr>
          <w:p w14:paraId="46E75BFE" w14:textId="32F090BC" w:rsidR="005C2FA6" w:rsidRPr="00A55335" w:rsidRDefault="005C2FA6" w:rsidP="008D0C2A">
            <w:pPr>
              <w:pStyle w:val="Tabletext8pt"/>
              <w:jc w:val="center"/>
            </w:pPr>
            <w:r w:rsidRPr="00A55335">
              <w:rPr>
                <w:rFonts w:ascii="Cambria Math" w:hAnsi="Cambria Math" w:cs="Cambria Math"/>
              </w:rPr>
              <w:t>⨁◯◯◯</w:t>
            </w:r>
            <w:r w:rsidRPr="00A55335">
              <w:br/>
            </w:r>
            <w:r w:rsidR="00B22B6C" w:rsidRPr="00A55335">
              <w:t xml:space="preserve">VERY LOW </w:t>
            </w:r>
            <w:proofErr w:type="spellStart"/>
            <w:proofErr w:type="gramStart"/>
            <w:r w:rsidR="00A32583" w:rsidRPr="00A55335">
              <w:rPr>
                <w:rFonts w:cs="Montserrat"/>
                <w:color w:val="000000"/>
                <w:vertAlign w:val="superscript"/>
              </w:rPr>
              <w:t>c,f</w:t>
            </w:r>
            <w:proofErr w:type="gramEnd"/>
            <w:r w:rsidR="00A32583" w:rsidRPr="00A55335">
              <w:rPr>
                <w:rFonts w:cs="Montserrat"/>
                <w:color w:val="000000"/>
                <w:vertAlign w:val="superscript"/>
              </w:rPr>
              <w:t>,g,h</w:t>
            </w:r>
            <w:r w:rsidR="00150638" w:rsidRPr="00A55335">
              <w:rPr>
                <w:rFonts w:cs="Montserrat"/>
                <w:color w:val="000000"/>
                <w:vertAlign w:val="superscript"/>
              </w:rPr>
              <w:t>,</w:t>
            </w:r>
            <w:r w:rsidR="00150638" w:rsidRPr="00006B82">
              <w:rPr>
                <w:rFonts w:cs="Montserrat"/>
                <w:color w:val="000000"/>
                <w:vertAlign w:val="superscript"/>
              </w:rPr>
              <w:t>j</w:t>
            </w:r>
            <w:proofErr w:type="spellEnd"/>
          </w:p>
        </w:tc>
        <w:tc>
          <w:tcPr>
            <w:tcW w:w="1217" w:type="pct"/>
            <w:tcBorders>
              <w:top w:val="single" w:sz="6" w:space="0" w:color="000000"/>
              <w:left w:val="nil"/>
              <w:bottom w:val="single" w:sz="6" w:space="0" w:color="000000"/>
              <w:right w:val="nil"/>
            </w:tcBorders>
            <w:vAlign w:val="center"/>
            <w:hideMark/>
          </w:tcPr>
          <w:p w14:paraId="34C0EE53" w14:textId="000AD409" w:rsidR="005C2FA6" w:rsidRPr="00A55335" w:rsidRDefault="005C2FA6" w:rsidP="007252A0">
            <w:pPr>
              <w:pStyle w:val="Tabletext8pt"/>
            </w:pPr>
            <w:r w:rsidRPr="00A55335">
              <w:t>The evidence is very uncertain about the effect of homeopathy on medication use in people with atopic dermatitis.</w:t>
            </w:r>
            <w:r w:rsidR="00A11921" w:rsidRPr="00A55335">
              <w:t xml:space="preserve"> </w:t>
            </w:r>
            <w:r w:rsidR="00A11921" w:rsidRPr="00046149">
              <w:rPr>
                <w:vertAlign w:val="superscript"/>
              </w:rPr>
              <w:t>##</w:t>
            </w:r>
          </w:p>
        </w:tc>
      </w:tr>
      <w:tr w:rsidR="002B7358" w:rsidRPr="00A55335" w14:paraId="251A2289" w14:textId="77777777" w:rsidTr="002B7358">
        <w:trPr>
          <w:cantSplit/>
        </w:trPr>
        <w:tc>
          <w:tcPr>
            <w:tcW w:w="947" w:type="pct"/>
            <w:tcBorders>
              <w:top w:val="single" w:sz="6" w:space="0" w:color="000000"/>
              <w:left w:val="nil"/>
              <w:bottom w:val="single" w:sz="6" w:space="0" w:color="000000"/>
              <w:right w:val="nil"/>
            </w:tcBorders>
            <w:vAlign w:val="center"/>
            <w:hideMark/>
          </w:tcPr>
          <w:p w14:paraId="1F49FD64" w14:textId="30A84E4F" w:rsidR="005C2FA6" w:rsidRPr="00A55335" w:rsidRDefault="005C2FA6" w:rsidP="007252A0">
            <w:pPr>
              <w:pStyle w:val="Tabletext8pt"/>
            </w:pPr>
            <w:r w:rsidRPr="00A55335">
              <w:t>Itching</w:t>
            </w:r>
            <w:r w:rsidR="007A64BE" w:rsidRPr="00A55335">
              <w:t xml:space="preserve"> – not reported</w:t>
            </w:r>
          </w:p>
        </w:tc>
        <w:tc>
          <w:tcPr>
            <w:tcW w:w="581" w:type="pct"/>
            <w:tcBorders>
              <w:top w:val="single" w:sz="6" w:space="0" w:color="000000"/>
              <w:left w:val="nil"/>
              <w:bottom w:val="single" w:sz="6" w:space="0" w:color="000000"/>
              <w:right w:val="nil"/>
            </w:tcBorders>
            <w:shd w:val="clear" w:color="auto" w:fill="EBEBEB"/>
            <w:vAlign w:val="center"/>
            <w:hideMark/>
          </w:tcPr>
          <w:p w14:paraId="748AA3F7" w14:textId="77777777" w:rsidR="005C2FA6" w:rsidRPr="00A55335" w:rsidRDefault="005C2FA6" w:rsidP="007252A0">
            <w:pPr>
              <w:pStyle w:val="Tabletext8pt"/>
              <w:jc w:val="center"/>
            </w:pPr>
            <w:r w:rsidRPr="00A55335">
              <w:t>-</w:t>
            </w:r>
          </w:p>
        </w:tc>
        <w:tc>
          <w:tcPr>
            <w:tcW w:w="727" w:type="pct"/>
            <w:tcBorders>
              <w:top w:val="single" w:sz="6" w:space="0" w:color="000000"/>
              <w:left w:val="nil"/>
              <w:bottom w:val="single" w:sz="6" w:space="0" w:color="000000"/>
              <w:right w:val="nil"/>
            </w:tcBorders>
            <w:shd w:val="clear" w:color="auto" w:fill="EBEBEB"/>
            <w:hideMark/>
          </w:tcPr>
          <w:p w14:paraId="05C1353E" w14:textId="7710FF52" w:rsidR="005C2FA6" w:rsidRPr="00A55335" w:rsidRDefault="00D12938" w:rsidP="007252A0">
            <w:pPr>
              <w:pStyle w:val="Tabletext8pt"/>
              <w:jc w:val="center"/>
            </w:pPr>
            <w:r w:rsidRPr="00A55335">
              <w:t>-</w:t>
            </w:r>
          </w:p>
        </w:tc>
        <w:tc>
          <w:tcPr>
            <w:tcW w:w="436" w:type="pct"/>
            <w:tcBorders>
              <w:top w:val="single" w:sz="6" w:space="0" w:color="000000"/>
              <w:left w:val="nil"/>
              <w:bottom w:val="single" w:sz="6" w:space="0" w:color="000000"/>
              <w:right w:val="nil"/>
            </w:tcBorders>
            <w:vAlign w:val="center"/>
            <w:hideMark/>
          </w:tcPr>
          <w:p w14:paraId="60243E66" w14:textId="77777777" w:rsidR="005C2FA6" w:rsidRPr="00A55335" w:rsidRDefault="005C2FA6" w:rsidP="007252A0">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697AB5B4" w14:textId="372AB5CE" w:rsidR="005C2FA6" w:rsidRPr="00A55335" w:rsidRDefault="00D12938" w:rsidP="007252A0">
            <w:pPr>
              <w:pStyle w:val="Tabletext8pt"/>
              <w:jc w:val="center"/>
            </w:pPr>
            <w:r w:rsidRPr="00A55335">
              <w:t>- ^</w:t>
            </w:r>
          </w:p>
        </w:tc>
        <w:tc>
          <w:tcPr>
            <w:tcW w:w="510" w:type="pct"/>
            <w:tcBorders>
              <w:top w:val="single" w:sz="6" w:space="0" w:color="000000"/>
              <w:left w:val="nil"/>
              <w:bottom w:val="single" w:sz="6" w:space="0" w:color="000000"/>
              <w:right w:val="nil"/>
            </w:tcBorders>
            <w:vAlign w:val="center"/>
            <w:hideMark/>
          </w:tcPr>
          <w:p w14:paraId="2399B4C0" w14:textId="668FA69E" w:rsidR="005C2FA6" w:rsidRPr="00A55335" w:rsidRDefault="00D12938" w:rsidP="008D0C2A">
            <w:pPr>
              <w:pStyle w:val="Tabletext8pt"/>
              <w:jc w:val="center"/>
              <w:rPr>
                <w:rFonts w:ascii="Cambria Math" w:hAnsi="Cambria Math"/>
              </w:rPr>
            </w:pPr>
            <w:r w:rsidRPr="00A55335">
              <w:rPr>
                <w:rFonts w:ascii="Cambria Math" w:hAnsi="Cambria Math" w:cs="Cambria Math"/>
              </w:rPr>
              <w:t>-</w:t>
            </w:r>
          </w:p>
        </w:tc>
        <w:tc>
          <w:tcPr>
            <w:tcW w:w="1217" w:type="pct"/>
            <w:tcBorders>
              <w:top w:val="single" w:sz="6" w:space="0" w:color="000000"/>
              <w:left w:val="nil"/>
              <w:bottom w:val="single" w:sz="6" w:space="0" w:color="000000"/>
              <w:right w:val="nil"/>
            </w:tcBorders>
            <w:vAlign w:val="center"/>
            <w:hideMark/>
          </w:tcPr>
          <w:p w14:paraId="5AB7F4FA" w14:textId="4B2A1448" w:rsidR="005C2FA6" w:rsidRPr="00A55335" w:rsidRDefault="00D12938" w:rsidP="007252A0">
            <w:pPr>
              <w:pStyle w:val="Tabletext8pt"/>
            </w:pPr>
            <w:r w:rsidRPr="00A55335">
              <w:t xml:space="preserve">The effect of homeopathy on </w:t>
            </w:r>
            <w:r w:rsidR="0093797E" w:rsidRPr="00A55335">
              <w:rPr>
                <w:rFonts w:cs="Montserrat"/>
                <w:color w:val="000000"/>
              </w:rPr>
              <w:t xml:space="preserve">itching in </w:t>
            </w:r>
            <w:r w:rsidRPr="00A55335">
              <w:t>people with atopic dermatitis is unknown.</w:t>
            </w:r>
          </w:p>
        </w:tc>
      </w:tr>
      <w:tr w:rsidR="002B7358" w:rsidRPr="00A55335" w14:paraId="2710E4DD" w14:textId="77777777" w:rsidTr="002B7358">
        <w:trPr>
          <w:cantSplit/>
        </w:trPr>
        <w:tc>
          <w:tcPr>
            <w:tcW w:w="947" w:type="pct"/>
            <w:tcBorders>
              <w:top w:val="single" w:sz="6" w:space="0" w:color="000000"/>
              <w:left w:val="nil"/>
              <w:bottom w:val="single" w:sz="6" w:space="0" w:color="000000"/>
              <w:right w:val="nil"/>
            </w:tcBorders>
            <w:vAlign w:val="center"/>
            <w:hideMark/>
          </w:tcPr>
          <w:p w14:paraId="0BFC30C2" w14:textId="03DF0801" w:rsidR="00D12938" w:rsidRPr="00A55335" w:rsidRDefault="00D12938" w:rsidP="007252A0">
            <w:pPr>
              <w:pStyle w:val="Tabletext8pt"/>
            </w:pPr>
            <w:r w:rsidRPr="00A55335">
              <w:t>Skin condition – not reported</w:t>
            </w:r>
          </w:p>
        </w:tc>
        <w:tc>
          <w:tcPr>
            <w:tcW w:w="581" w:type="pct"/>
            <w:tcBorders>
              <w:top w:val="single" w:sz="6" w:space="0" w:color="000000"/>
              <w:left w:val="nil"/>
              <w:bottom w:val="single" w:sz="6" w:space="0" w:color="000000"/>
              <w:right w:val="nil"/>
            </w:tcBorders>
            <w:shd w:val="clear" w:color="auto" w:fill="EBEBEB"/>
            <w:vAlign w:val="center"/>
            <w:hideMark/>
          </w:tcPr>
          <w:p w14:paraId="64E72E02" w14:textId="69DE8D32" w:rsidR="00D12938" w:rsidRPr="00A55335" w:rsidRDefault="00D12938" w:rsidP="007252A0">
            <w:pPr>
              <w:pStyle w:val="Tabletext8pt"/>
              <w:jc w:val="center"/>
            </w:pPr>
            <w:r w:rsidRPr="00A55335">
              <w:t>-</w:t>
            </w:r>
          </w:p>
        </w:tc>
        <w:tc>
          <w:tcPr>
            <w:tcW w:w="727" w:type="pct"/>
            <w:tcBorders>
              <w:top w:val="single" w:sz="6" w:space="0" w:color="000000"/>
              <w:left w:val="nil"/>
              <w:bottom w:val="single" w:sz="6" w:space="0" w:color="000000"/>
              <w:right w:val="nil"/>
            </w:tcBorders>
            <w:shd w:val="clear" w:color="auto" w:fill="EBEBEB"/>
            <w:hideMark/>
          </w:tcPr>
          <w:p w14:paraId="13DCF106" w14:textId="3EB1BC03" w:rsidR="00D12938" w:rsidRPr="00A55335" w:rsidRDefault="00D12938" w:rsidP="007252A0">
            <w:pPr>
              <w:pStyle w:val="Tabletext8pt"/>
              <w:jc w:val="center"/>
            </w:pPr>
            <w:r w:rsidRPr="00A55335">
              <w:t>-</w:t>
            </w:r>
          </w:p>
        </w:tc>
        <w:tc>
          <w:tcPr>
            <w:tcW w:w="436" w:type="pct"/>
            <w:tcBorders>
              <w:top w:val="single" w:sz="6" w:space="0" w:color="000000"/>
              <w:left w:val="nil"/>
              <w:bottom w:val="single" w:sz="6" w:space="0" w:color="000000"/>
              <w:right w:val="nil"/>
            </w:tcBorders>
            <w:vAlign w:val="center"/>
            <w:hideMark/>
          </w:tcPr>
          <w:p w14:paraId="1E17350B" w14:textId="77777777" w:rsidR="00D12938" w:rsidRPr="00A55335" w:rsidRDefault="00D12938" w:rsidP="007252A0">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7B5AB3DF" w14:textId="4859BF9D" w:rsidR="00D12938" w:rsidRPr="00A55335" w:rsidRDefault="00D12938" w:rsidP="007252A0">
            <w:pPr>
              <w:pStyle w:val="Tabletext8pt"/>
              <w:jc w:val="center"/>
            </w:pPr>
            <w:r w:rsidRPr="00A55335">
              <w:t>- †</w:t>
            </w:r>
          </w:p>
        </w:tc>
        <w:tc>
          <w:tcPr>
            <w:tcW w:w="510" w:type="pct"/>
            <w:tcBorders>
              <w:top w:val="single" w:sz="6" w:space="0" w:color="000000"/>
              <w:left w:val="nil"/>
              <w:bottom w:val="single" w:sz="6" w:space="0" w:color="000000"/>
              <w:right w:val="nil"/>
            </w:tcBorders>
            <w:vAlign w:val="center"/>
            <w:hideMark/>
          </w:tcPr>
          <w:p w14:paraId="61B359C9" w14:textId="1A43EC3A" w:rsidR="00D12938" w:rsidRPr="00A55335" w:rsidRDefault="00D12938" w:rsidP="008D0C2A">
            <w:pPr>
              <w:pStyle w:val="Tabletext8pt"/>
              <w:jc w:val="center"/>
              <w:rPr>
                <w:rFonts w:ascii="Cambria Math" w:hAnsi="Cambria Math"/>
              </w:rPr>
            </w:pPr>
            <w:r w:rsidRPr="00A55335">
              <w:rPr>
                <w:rFonts w:ascii="Cambria Math" w:hAnsi="Cambria Math" w:cs="Cambria Math"/>
              </w:rPr>
              <w:t>-</w:t>
            </w:r>
          </w:p>
        </w:tc>
        <w:tc>
          <w:tcPr>
            <w:tcW w:w="1217" w:type="pct"/>
            <w:tcBorders>
              <w:top w:val="single" w:sz="6" w:space="0" w:color="000000"/>
              <w:left w:val="nil"/>
              <w:bottom w:val="single" w:sz="6" w:space="0" w:color="000000"/>
              <w:right w:val="nil"/>
            </w:tcBorders>
            <w:vAlign w:val="center"/>
            <w:hideMark/>
          </w:tcPr>
          <w:p w14:paraId="388863E3" w14:textId="6D9B8274" w:rsidR="00D12938" w:rsidRPr="00A55335" w:rsidRDefault="00D12938" w:rsidP="007252A0">
            <w:pPr>
              <w:pStyle w:val="Tabletext8pt"/>
            </w:pPr>
            <w:r w:rsidRPr="00A55335">
              <w:t xml:space="preserve">The effect of homeopathy on </w:t>
            </w:r>
            <w:r w:rsidR="00BA3E4D" w:rsidRPr="00A55335">
              <w:t xml:space="preserve">skin condition </w:t>
            </w:r>
            <w:r w:rsidRPr="00A55335">
              <w:t>in people with atopic dermatitis is unknown.</w:t>
            </w:r>
          </w:p>
        </w:tc>
      </w:tr>
      <w:tr w:rsidR="00275579" w:rsidRPr="00A55335" w14:paraId="33A2BC83" w14:textId="77777777" w:rsidTr="0089726B">
        <w:trPr>
          <w:cantSplit/>
        </w:trPr>
        <w:tc>
          <w:tcPr>
            <w:tcW w:w="5000" w:type="pct"/>
            <w:gridSpan w:val="7"/>
            <w:tcBorders>
              <w:top w:val="single" w:sz="6" w:space="0" w:color="000000"/>
              <w:left w:val="nil"/>
              <w:bottom w:val="single" w:sz="6" w:space="0" w:color="000000"/>
              <w:right w:val="nil"/>
            </w:tcBorders>
            <w:vAlign w:val="center"/>
            <w:hideMark/>
          </w:tcPr>
          <w:p w14:paraId="7754654F" w14:textId="77777777" w:rsidR="00D12938" w:rsidRPr="00A55335" w:rsidRDefault="005C2FA6" w:rsidP="0089726B">
            <w:pPr>
              <w:pStyle w:val="TableFigNotes18"/>
            </w:pPr>
            <w:r w:rsidRPr="00A55335">
              <w:lastRenderedPageBreak/>
              <w:t xml:space="preserve">*The </w:t>
            </w:r>
            <w:r w:rsidRPr="00A55335">
              <w:rPr>
                <w:rStyle w:val="Strong"/>
              </w:rPr>
              <w:t>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6C3E5D9C" w14:textId="633B3388" w:rsidR="00E87092" w:rsidRPr="00A55335" w:rsidRDefault="00E87092" w:rsidP="00E87092">
            <w:pPr>
              <w:pStyle w:val="TableFigNotes18"/>
            </w:pPr>
            <w:r w:rsidRPr="00A55335">
              <w:t xml:space="preserve">** As a rule of thumb, an SMD of 0.2 represents a small difference, 0.5 is moderate, and 0.8 is a large difference </w:t>
            </w:r>
            <w:r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Pr="00A55335">
              <w:fldChar w:fldCharType="separate"/>
            </w:r>
            <w:r w:rsidR="00FA37A6" w:rsidRPr="00A55335">
              <w:rPr>
                <w:noProof/>
              </w:rPr>
              <w:t>(</w:t>
            </w:r>
            <w:hyperlink w:anchor="_ENREF_83" w:tooltip="Faraone, 2008 #165" w:history="1">
              <w:r w:rsidR="00EC2769" w:rsidRPr="00A55335">
                <w:rPr>
                  <w:noProof/>
                </w:rPr>
                <w:t>83</w:t>
              </w:r>
            </w:hyperlink>
            <w:r w:rsidR="00FA37A6" w:rsidRPr="00A55335">
              <w:rPr>
                <w:noProof/>
              </w:rPr>
              <w:t>)</w:t>
            </w:r>
            <w:r w:rsidRPr="00A55335">
              <w:fldChar w:fldCharType="end"/>
            </w:r>
            <w:r w:rsidR="004927FA" w:rsidRPr="00A55335">
              <w:t>.</w:t>
            </w:r>
          </w:p>
          <w:p w14:paraId="5D882F1B" w14:textId="77777777" w:rsidR="00596819" w:rsidRPr="00A55335" w:rsidRDefault="00596819" w:rsidP="00596819">
            <w:pPr>
              <w:pStyle w:val="TableFigNotes18"/>
            </w:pPr>
          </w:p>
          <w:p w14:paraId="68CAA577" w14:textId="12DE3C1A" w:rsidR="00596819" w:rsidRPr="00A55335" w:rsidRDefault="00596819" w:rsidP="00596819">
            <w:pPr>
              <w:pStyle w:val="TableFigNotes18"/>
            </w:pPr>
            <w:r w:rsidRPr="00A55335">
              <w:t xml:space="preserve"># </w:t>
            </w:r>
            <w:r w:rsidR="00A11921" w:rsidRPr="00A55335">
              <w:t xml:space="preserve">Studies assessing the MCID for the DLQI have varied from 3 to 5 points </w:t>
            </w:r>
            <w:r w:rsidR="00A11921" w:rsidRPr="00A55335">
              <w:fldChar w:fldCharType="begin"/>
            </w:r>
            <w:r w:rsidR="006952AD">
              <w:instrText xml:space="preserve"> ADDIN EN.CITE &lt;EndNote&gt;&lt;Cite&gt;&lt;Author&gt;Basra&lt;/Author&gt;&lt;Year&gt;2015&lt;/Year&gt;&lt;RecNum&gt;716&lt;/RecNum&gt;&lt;DisplayText&gt;(84)&lt;/DisplayText&gt;&lt;record&gt;&lt;rec-number&gt;716&lt;/rec-number&gt;&lt;foreign-keys&gt;&lt;key app="EN" db-id="t5prptatr9sp0we5exbxt9zz20fwp55tdza9" timestamp="1702513281"&gt;716&lt;/key&gt;&lt;/foreign-keys&gt;&lt;ref-type name="Journal Article"&gt;17&lt;/ref-type&gt;&lt;contributors&gt;&lt;authors&gt;&lt;author&gt;Basra, M. K.&lt;/author&gt;&lt;author&gt;Salek, M. S.&lt;/author&gt;&lt;author&gt;Camilleri, L.&lt;/author&gt;&lt;author&gt;Sturkey, R.&lt;/author&gt;&lt;author&gt;Finlay, A. Y.&lt;/author&gt;&lt;/authors&gt;&lt;/contributors&gt;&lt;auth-address&gt;Department of Dermatology, Derriford Hospital, Plymouth, UK.&lt;/auth-address&gt;&lt;titles&gt;&lt;title&gt;Determining the minimal clinically important difference and responsiveness of the Dermatology Life Quality Index (DLQI): further data&lt;/title&gt;&lt;secondary-title&gt;Dermatology&lt;/secondary-title&gt;&lt;/titles&gt;&lt;periodical&gt;&lt;full-title&gt;Dermatology&lt;/full-title&gt;&lt;/periodical&gt;&lt;pages&gt;27-33&lt;/pages&gt;&lt;volume&gt;230&lt;/volume&gt;&lt;number&gt;1&lt;/number&gt;&lt;edition&gt;20150120&lt;/edition&gt;&lt;keywords&gt;&lt;keyword&gt;Adolescent&lt;/keyword&gt;&lt;keyword&gt;Adult&lt;/keyword&gt;&lt;keyword&gt;Aged&lt;/keyword&gt;&lt;keyword&gt;Aged, 80 and over&lt;/keyword&gt;&lt;keyword&gt;Dermatology&lt;/keyword&gt;&lt;keyword&gt;Female&lt;/keyword&gt;&lt;keyword&gt;Humans&lt;/keyword&gt;&lt;keyword&gt;Longitudinal Studies&lt;/keyword&gt;&lt;keyword&gt;Male&lt;/keyword&gt;&lt;keyword&gt;Middle Aged&lt;/keyword&gt;&lt;keyword&gt;*Quality of Life&lt;/keyword&gt;&lt;keyword&gt;*Skin Diseases&lt;/keyword&gt;&lt;keyword&gt;Surveys and Questionnaires&lt;/keyword&gt;&lt;keyword&gt;Young Adult&lt;/keyword&gt;&lt;/keywords&gt;&lt;dates&gt;&lt;year&gt;2015&lt;/year&gt;&lt;/dates&gt;&lt;isbn&gt;1018-8665&lt;/isbn&gt;&lt;accession-num&gt;25613671&lt;/accession-num&gt;&lt;urls&gt;&lt;/urls&gt;&lt;electronic-resource-num&gt;10.1159/000365390&lt;/electronic-resource-num&gt;&lt;remote-database-provider&gt;NLM&lt;/remote-database-provider&gt;&lt;language&gt;eng&lt;/language&gt;&lt;/record&gt;&lt;/Cite&gt;&lt;/EndNote&gt;</w:instrText>
            </w:r>
            <w:r w:rsidR="00A11921" w:rsidRPr="00A55335">
              <w:fldChar w:fldCharType="separate"/>
            </w:r>
            <w:r w:rsidR="00067842">
              <w:rPr>
                <w:noProof/>
              </w:rPr>
              <w:t>(</w:t>
            </w:r>
            <w:hyperlink w:anchor="_ENREF_84" w:tooltip="Basra, 2015 #716" w:history="1">
              <w:r w:rsidR="00EC2769">
                <w:rPr>
                  <w:noProof/>
                </w:rPr>
                <w:t>84</w:t>
              </w:r>
            </w:hyperlink>
            <w:r w:rsidR="00067842">
              <w:rPr>
                <w:noProof/>
              </w:rPr>
              <w:t>)</w:t>
            </w:r>
            <w:r w:rsidR="00A11921" w:rsidRPr="00A55335">
              <w:fldChar w:fldCharType="end"/>
            </w:r>
            <w:r w:rsidR="00A11921" w:rsidRPr="00A55335">
              <w:t>.</w:t>
            </w:r>
          </w:p>
          <w:p w14:paraId="61EEE531" w14:textId="070A7137" w:rsidR="00A11921" w:rsidRPr="00A55335" w:rsidRDefault="00A11921" w:rsidP="00A11921">
            <w:pPr>
              <w:pStyle w:val="TableFigNotes18"/>
            </w:pPr>
            <w:r w:rsidRPr="00A55335">
              <w:t>## Results reported as SMD due to measure of effect used (clinical diary) which does not have a clear scale or MCID.</w:t>
            </w:r>
          </w:p>
          <w:p w14:paraId="3BA5BCC9" w14:textId="77777777" w:rsidR="00FC09AB" w:rsidRPr="00A55335" w:rsidRDefault="00FC09AB" w:rsidP="0089726B">
            <w:pPr>
              <w:pStyle w:val="TableFigNotes18"/>
            </w:pPr>
          </w:p>
          <w:p w14:paraId="3E0643CB" w14:textId="74C81A4C" w:rsidR="001E4760" w:rsidRPr="00A55335" w:rsidRDefault="00D12938" w:rsidP="0089726B">
            <w:pPr>
              <w:pStyle w:val="TableFigNotes18"/>
            </w:pPr>
            <w:r w:rsidRPr="00A55335">
              <w:t>^ Results from 2 studies (</w:t>
            </w:r>
            <w:r w:rsidR="006B135E" w:rsidRPr="00A55335">
              <w:t xml:space="preserve">90 participants) are not included in the meta-analysis as the study authors do not define </w:t>
            </w:r>
            <w:r w:rsidR="00426C43" w:rsidRPr="00A55335">
              <w:t>outcome measure used</w:t>
            </w:r>
            <w:r w:rsidR="001E4760" w:rsidRPr="00A55335">
              <w:t>, including the direction of effect, limiting interpretation of the results</w:t>
            </w:r>
            <w:r w:rsidR="00426C43" w:rsidRPr="00A55335">
              <w:t xml:space="preserve">. </w:t>
            </w:r>
            <w:r w:rsidR="005C2FA6" w:rsidRPr="00A55335">
              <w:br/>
            </w:r>
            <w:r w:rsidR="001E4760" w:rsidRPr="00A55335">
              <w:t>† Results from 1 study (</w:t>
            </w:r>
            <w:r w:rsidR="00983DA9" w:rsidRPr="00A55335">
              <w:t>46</w:t>
            </w:r>
            <w:r w:rsidR="001E4760" w:rsidRPr="00A55335">
              <w:t xml:space="preserve"> participants) are not included in the meta-analysis as the study authors do not define outcome measure used, including the direction of effect, limiting interpretation of the results.</w:t>
            </w:r>
          </w:p>
          <w:p w14:paraId="6256B676" w14:textId="07746009" w:rsidR="005C2FA6" w:rsidRPr="00A55335" w:rsidRDefault="005C2FA6" w:rsidP="007252A0">
            <w:pPr>
              <w:pStyle w:val="TableFigNotes0"/>
            </w:pPr>
            <w:r w:rsidRPr="00A55335">
              <w:rPr>
                <w:rStyle w:val="Strong"/>
              </w:rPr>
              <w:t>CI:</w:t>
            </w:r>
            <w:r w:rsidRPr="00A55335">
              <w:t xml:space="preserve"> confidence interval; </w:t>
            </w:r>
            <w:r w:rsidRPr="00A55335">
              <w:rPr>
                <w:rStyle w:val="Strong"/>
              </w:rPr>
              <w:t>MD:</w:t>
            </w:r>
            <w:r w:rsidRPr="00A55335">
              <w:t xml:space="preserve"> mean difference; </w:t>
            </w:r>
            <w:r w:rsidRPr="00A55335">
              <w:rPr>
                <w:rStyle w:val="Strong"/>
              </w:rPr>
              <w:t>SMD</w:t>
            </w:r>
            <w:r w:rsidRPr="00A55335">
              <w:t>: standardised mean difference</w:t>
            </w:r>
          </w:p>
        </w:tc>
      </w:tr>
      <w:tr w:rsidR="00275579" w:rsidRPr="00A55335" w14:paraId="39B2702C" w14:textId="77777777" w:rsidTr="0089726B">
        <w:trPr>
          <w:cantSplit/>
        </w:trPr>
        <w:tc>
          <w:tcPr>
            <w:tcW w:w="5000" w:type="pct"/>
            <w:gridSpan w:val="7"/>
            <w:tcBorders>
              <w:top w:val="single" w:sz="6" w:space="0" w:color="000000"/>
              <w:left w:val="nil"/>
              <w:bottom w:val="single" w:sz="6" w:space="0" w:color="000000"/>
              <w:right w:val="nil"/>
            </w:tcBorders>
            <w:vAlign w:val="center"/>
            <w:hideMark/>
          </w:tcPr>
          <w:p w14:paraId="0526B9CC" w14:textId="4C67ECB4" w:rsidR="005C2FA6" w:rsidRPr="00A55335" w:rsidRDefault="0089726B" w:rsidP="007252A0">
            <w:pPr>
              <w:pStyle w:val="TableFigNotes0"/>
            </w:pPr>
            <w:r w:rsidRPr="00A55335">
              <w:rPr>
                <w:rStyle w:val="Strong"/>
              </w:rPr>
              <w:t>GRADE Working Group grades of evidence</w:t>
            </w:r>
            <w:r w:rsidRPr="00A55335">
              <w:br/>
            </w:r>
            <w:r w:rsidRPr="00A55335">
              <w:rPr>
                <w:rStyle w:val="Strong"/>
              </w:rPr>
              <w:t>High certainty</w:t>
            </w:r>
            <w:r w:rsidRPr="00A55335">
              <w:t>: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5AACBC31" w14:textId="1B271222" w:rsidR="006D039E" w:rsidRPr="007E3F7E" w:rsidRDefault="006D039E" w:rsidP="00FF0ED8">
      <w:pPr>
        <w:pStyle w:val="Heading5a"/>
        <w:rPr>
          <w:rStyle w:val="Heading5aChar"/>
        </w:rPr>
      </w:pPr>
      <w:r w:rsidRPr="00A55335">
        <w:t>Explanations</w:t>
      </w:r>
    </w:p>
    <w:p w14:paraId="31E956B1" w14:textId="78F896E9" w:rsidR="00CE5A31" w:rsidRPr="00A55335" w:rsidRDefault="00513CA6" w:rsidP="007252A0">
      <w:pPr>
        <w:pStyle w:val="Footnote"/>
      </w:pPr>
      <w:r w:rsidRPr="009876E6">
        <w:t xml:space="preserve">a. </w:t>
      </w:r>
      <w:r w:rsidR="00CE5A31" w:rsidRPr="00A55335">
        <w:t xml:space="preserve">No serious risk of bias. One study contributing </w:t>
      </w:r>
      <w:r w:rsidR="00150638" w:rsidRPr="00A55335">
        <w:t>data</w:t>
      </w:r>
      <w:r w:rsidR="00CE5A31" w:rsidRPr="00A55335">
        <w:t xml:space="preserve"> </w:t>
      </w:r>
      <w:r w:rsidR="00815E87">
        <w:t xml:space="preserve">is </w:t>
      </w:r>
      <w:r w:rsidR="00A44177" w:rsidRPr="00A55335">
        <w:t>at high risk of bias. In a sensitivity analysis examining the impact of this study, the result did not meaningfully change. Certainty of evidence not downgraded.</w:t>
      </w:r>
    </w:p>
    <w:p w14:paraId="64E4348F" w14:textId="4E26D60A" w:rsidR="005371A4" w:rsidRPr="00A55335" w:rsidRDefault="005371A4" w:rsidP="005371A4">
      <w:pPr>
        <w:pStyle w:val="Footnote"/>
      </w:pPr>
      <w:r w:rsidRPr="00A55335">
        <w:t>b.</w:t>
      </w:r>
      <w:r w:rsidR="00150638" w:rsidRPr="00A55335">
        <w:t xml:space="preserve"> </w:t>
      </w:r>
      <w:r w:rsidR="009C7C5E" w:rsidRPr="00A55335">
        <w:t xml:space="preserve">No serious </w:t>
      </w:r>
      <w:r w:rsidR="00096424" w:rsidRPr="00A55335">
        <w:t>i</w:t>
      </w:r>
      <w:r w:rsidR="00096424">
        <w:t>nconsistency</w:t>
      </w:r>
      <w:r w:rsidRPr="00A55335">
        <w:t xml:space="preserve">. </w:t>
      </w:r>
      <w:r w:rsidR="009771AD" w:rsidRPr="00A55335">
        <w:t>Certainty of evidence not downgraded.</w:t>
      </w:r>
    </w:p>
    <w:p w14:paraId="21C14258" w14:textId="0E1F0733" w:rsidR="005371A4" w:rsidRPr="00A55335" w:rsidRDefault="005371A4" w:rsidP="005371A4">
      <w:pPr>
        <w:pStyle w:val="Footnote"/>
      </w:pPr>
      <w:r w:rsidRPr="00A55335">
        <w:t>c. No serious indirectness. The available evidence is in people with atopic dermatitis and is directly applicable to the Australian health care context with few caveats.</w:t>
      </w:r>
      <w:r w:rsidR="00CF56B9">
        <w:t xml:space="preserve"> </w:t>
      </w:r>
      <w:r w:rsidR="00CF56B9" w:rsidRPr="00A55335">
        <w:t>Certainty of evidence not downgraded.</w:t>
      </w:r>
    </w:p>
    <w:p w14:paraId="6B260BD8" w14:textId="1F144F61" w:rsidR="005C2FA6" w:rsidRPr="00A55335" w:rsidRDefault="005371A4" w:rsidP="007252A0">
      <w:pPr>
        <w:pStyle w:val="Footnote"/>
      </w:pPr>
      <w:r w:rsidRPr="00A55335">
        <w:t>d</w:t>
      </w:r>
      <w:r w:rsidR="005C2FA6" w:rsidRPr="00A55335">
        <w:t xml:space="preserve">. </w:t>
      </w:r>
      <w:proofErr w:type="gramStart"/>
      <w:r w:rsidR="005C2FA6" w:rsidRPr="00A55335">
        <w:t>Serious</w:t>
      </w:r>
      <w:proofErr w:type="gramEnd"/>
      <w:r w:rsidR="005C2FA6" w:rsidRPr="00A55335">
        <w:t xml:space="preserve"> imprecision. </w:t>
      </w:r>
      <w:r w:rsidR="00920D6A">
        <w:t>The 95% c</w:t>
      </w:r>
      <w:r w:rsidR="00150638" w:rsidRPr="009876E6">
        <w:t xml:space="preserve">onfidence interval </w:t>
      </w:r>
      <w:r w:rsidR="005C2FA6" w:rsidRPr="00A55335">
        <w:t xml:space="preserve">includes both benefit </w:t>
      </w:r>
      <w:r w:rsidR="002A618D">
        <w:t xml:space="preserve">(SMD –0.61) </w:t>
      </w:r>
      <w:r w:rsidR="005C2FA6" w:rsidRPr="00A55335">
        <w:t>and no important difference</w:t>
      </w:r>
      <w:r w:rsidR="002A618D">
        <w:t xml:space="preserve"> (SMD 0.03)</w:t>
      </w:r>
      <w:r w:rsidR="005C2FA6" w:rsidRPr="00A55335">
        <w:t>. Certainty of evidence downgraded.</w:t>
      </w:r>
    </w:p>
    <w:p w14:paraId="2DA14459" w14:textId="2AB13BC7" w:rsidR="005C2FA6" w:rsidRPr="00A55335" w:rsidRDefault="00F516AA" w:rsidP="007252A0">
      <w:pPr>
        <w:pStyle w:val="Footnote"/>
      </w:pPr>
      <w:r w:rsidRPr="00A55335">
        <w:t>e</w:t>
      </w:r>
      <w:r w:rsidR="005C2FA6" w:rsidRPr="00A55335">
        <w:t xml:space="preserve">. Publication bias strongly suspected. </w:t>
      </w:r>
      <w:r w:rsidR="0089726B" w:rsidRPr="00A55335">
        <w:t>One</w:t>
      </w:r>
      <w:r w:rsidR="005C2FA6" w:rsidRPr="00A55335">
        <w:t xml:space="preserve"> study awaiting classification and 2 ongoing studies </w:t>
      </w:r>
      <w:r w:rsidR="00924726">
        <w:t>that</w:t>
      </w:r>
      <w:r w:rsidR="005C2FA6" w:rsidRPr="00A55335">
        <w:t xml:space="preserve"> are complete with results not published (</w:t>
      </w:r>
      <w:r w:rsidR="002B7358">
        <w:t xml:space="preserve">more than </w:t>
      </w:r>
      <w:r w:rsidR="005C2FA6" w:rsidRPr="00A55335">
        <w:t xml:space="preserve">140 </w:t>
      </w:r>
      <w:r w:rsidR="002B7358">
        <w:t xml:space="preserve">total </w:t>
      </w:r>
      <w:r w:rsidR="005C2FA6" w:rsidRPr="00A55335">
        <w:t>participants) could have contributed data to this comparison. Non-publication of results is considered likely to be due to the p-value, direction or magnitude of effect. Certainty of evidence downgraded.</w:t>
      </w:r>
    </w:p>
    <w:p w14:paraId="1EC7CCF2" w14:textId="36E5B6BA" w:rsidR="005C2FA6" w:rsidRPr="00A55335" w:rsidRDefault="00F516AA" w:rsidP="007252A0">
      <w:pPr>
        <w:pStyle w:val="Footnote"/>
      </w:pPr>
      <w:r w:rsidRPr="00A55335">
        <w:t>f</w:t>
      </w:r>
      <w:r w:rsidR="005C2FA6" w:rsidRPr="00A55335">
        <w:t xml:space="preserve">. </w:t>
      </w:r>
      <w:proofErr w:type="gramStart"/>
      <w:r w:rsidR="005C2FA6" w:rsidRPr="00A55335">
        <w:t>Serious</w:t>
      </w:r>
      <w:proofErr w:type="gramEnd"/>
      <w:r w:rsidR="005C2FA6" w:rsidRPr="00A55335">
        <w:t xml:space="preserve"> risk of bias. One study at high risk of bias contributing 100% of the data for this comparison. Certainty of evidence downgraded.</w:t>
      </w:r>
    </w:p>
    <w:p w14:paraId="720E25BF" w14:textId="09416864" w:rsidR="005C2FA6" w:rsidRPr="00A55335" w:rsidRDefault="00F516AA" w:rsidP="007252A0">
      <w:pPr>
        <w:pStyle w:val="Footnote"/>
      </w:pPr>
      <w:r w:rsidRPr="00A55335">
        <w:t>g</w:t>
      </w:r>
      <w:r w:rsidR="005C2FA6" w:rsidRPr="00A55335">
        <w:t xml:space="preserve">. </w:t>
      </w:r>
      <w:r w:rsidR="00E40730" w:rsidRPr="00A55335">
        <w:t>Very s</w:t>
      </w:r>
      <w:r w:rsidR="005C2FA6" w:rsidRPr="00A55335">
        <w:t>erious imprecision. One small study contributing data</w:t>
      </w:r>
      <w:r w:rsidR="00150638" w:rsidRPr="00A55335">
        <w:t xml:space="preserve"> (sample size less than optimal)</w:t>
      </w:r>
      <w:r w:rsidR="005C2FA6" w:rsidRPr="00A55335">
        <w:t xml:space="preserve">. </w:t>
      </w:r>
      <w:r w:rsidR="002B7358">
        <w:t>95% c</w:t>
      </w:r>
      <w:r w:rsidR="005C2FA6" w:rsidRPr="00A55335">
        <w:t>onfidence interval include</w:t>
      </w:r>
      <w:r w:rsidR="002B7358">
        <w:t>s</w:t>
      </w:r>
      <w:r w:rsidR="005C2FA6" w:rsidRPr="00A55335">
        <w:t xml:space="preserve"> both </w:t>
      </w:r>
      <w:r w:rsidR="00150638" w:rsidRPr="00A55335">
        <w:t xml:space="preserve">important </w:t>
      </w:r>
      <w:r w:rsidR="009E1C65" w:rsidRPr="009876E6">
        <w:t>benefit and harm.</w:t>
      </w:r>
      <w:r w:rsidR="005C2FA6" w:rsidRPr="00A55335">
        <w:t xml:space="preserve"> Certainty of evidence downgraded</w:t>
      </w:r>
      <w:r w:rsidR="00CE535F" w:rsidRPr="00A55335">
        <w:t xml:space="preserve"> 2 levels</w:t>
      </w:r>
      <w:r w:rsidR="005C2FA6" w:rsidRPr="00A55335">
        <w:t>.</w:t>
      </w:r>
    </w:p>
    <w:p w14:paraId="23CAF551" w14:textId="2D05E1CB" w:rsidR="005C2FA6" w:rsidRPr="00A55335" w:rsidRDefault="00F516AA" w:rsidP="007252A0">
      <w:pPr>
        <w:pStyle w:val="Footnote"/>
      </w:pPr>
      <w:r w:rsidRPr="00A55335">
        <w:t>h</w:t>
      </w:r>
      <w:r w:rsidR="005C2FA6" w:rsidRPr="00A55335">
        <w:t xml:space="preserve">. </w:t>
      </w:r>
      <w:r w:rsidR="00D87572" w:rsidRPr="009876E6">
        <w:t xml:space="preserve">Publication bias not suspected. </w:t>
      </w:r>
      <w:r w:rsidR="00E82E59" w:rsidRPr="009876E6">
        <w:t>One study reported results that are not included in the meta-analysis due to incomplete reporting. Trialists report no difference between groups. Result is not considered likely to alter the interpretation of results.</w:t>
      </w:r>
      <w:r w:rsidR="00D87572" w:rsidRPr="009876E6">
        <w:t xml:space="preserve"> </w:t>
      </w:r>
      <w:r w:rsidR="0089726B" w:rsidRPr="00A55335">
        <w:t>One</w:t>
      </w:r>
      <w:r w:rsidR="005C2FA6" w:rsidRPr="00A55335">
        <w:t xml:space="preserve"> study awaiting classification and 2 ongoing studies which are complete with results not published (over 140 participants total). It is unclear whether these studies could have contributed results to this comparison. Certainty of evidence </w:t>
      </w:r>
      <w:r w:rsidR="00635EAE" w:rsidRPr="00A55335">
        <w:t xml:space="preserve">not </w:t>
      </w:r>
      <w:r w:rsidR="005C2FA6" w:rsidRPr="00A55335">
        <w:t>do</w:t>
      </w:r>
      <w:r w:rsidR="00905D78" w:rsidRPr="00A55335">
        <w:t>w</w:t>
      </w:r>
      <w:r w:rsidR="005C2FA6" w:rsidRPr="00A55335">
        <w:t>ngraded</w:t>
      </w:r>
      <w:r w:rsidR="00716971" w:rsidRPr="00A55335">
        <w:t>.</w:t>
      </w:r>
    </w:p>
    <w:p w14:paraId="084BF7FB" w14:textId="379C0999" w:rsidR="00150638" w:rsidRPr="00A55335" w:rsidRDefault="00150638" w:rsidP="007252A0">
      <w:pPr>
        <w:pStyle w:val="Footnote"/>
      </w:pPr>
      <w:proofErr w:type="spellStart"/>
      <w:r w:rsidRPr="00A55335">
        <w:t>i</w:t>
      </w:r>
      <w:proofErr w:type="spellEnd"/>
      <w:r w:rsidRPr="00A55335">
        <w:t xml:space="preserve">. </w:t>
      </w:r>
      <w:proofErr w:type="gramStart"/>
      <w:r w:rsidR="00AC33BD">
        <w:t>S</w:t>
      </w:r>
      <w:r w:rsidRPr="00A55335">
        <w:t>erious</w:t>
      </w:r>
      <w:proofErr w:type="gramEnd"/>
      <w:r w:rsidRPr="00A55335">
        <w:t xml:space="preserve"> </w:t>
      </w:r>
      <w:r w:rsidR="00096424">
        <w:t>imprecision</w:t>
      </w:r>
      <w:r w:rsidRPr="00A55335">
        <w:t xml:space="preserve">. </w:t>
      </w:r>
      <w:r w:rsidR="00920D6A" w:rsidRPr="00920D6A">
        <w:t>The 95% confidence interval is compatible with</w:t>
      </w:r>
      <w:r w:rsidR="00895441">
        <w:t xml:space="preserve"> both </w:t>
      </w:r>
      <w:r w:rsidR="00920D6A" w:rsidRPr="00920D6A">
        <w:t xml:space="preserve">benefit (MD </w:t>
      </w:r>
      <w:r w:rsidR="00895441">
        <w:t>–2.02</w:t>
      </w:r>
      <w:r w:rsidR="00920D6A" w:rsidRPr="00920D6A">
        <w:t xml:space="preserve">) and </w:t>
      </w:r>
      <w:r w:rsidR="00895441">
        <w:t>harms</w:t>
      </w:r>
      <w:r w:rsidR="00920D6A" w:rsidRPr="00920D6A">
        <w:t xml:space="preserve"> (MD </w:t>
      </w:r>
      <w:r w:rsidR="00895441">
        <w:t>0.93</w:t>
      </w:r>
      <w:r w:rsidR="00920D6A" w:rsidRPr="00920D6A">
        <w:t xml:space="preserve">). </w:t>
      </w:r>
      <w:r w:rsidRPr="00A55335">
        <w:t>Certainty of evidence</w:t>
      </w:r>
      <w:r w:rsidR="007347A4">
        <w:t xml:space="preserve"> </w:t>
      </w:r>
      <w:r w:rsidRPr="00A55335">
        <w:t>downgraded.</w:t>
      </w:r>
    </w:p>
    <w:p w14:paraId="22501EFC" w14:textId="50725502" w:rsidR="002B7358" w:rsidRPr="00A55335" w:rsidRDefault="00150638" w:rsidP="007252A0">
      <w:pPr>
        <w:pStyle w:val="Footnote"/>
      </w:pPr>
      <w:r w:rsidRPr="00A55335">
        <w:t>j. Single study. Inconsistency not assessed. Certainty of evidence not downgraded.</w:t>
      </w:r>
    </w:p>
    <w:p w14:paraId="075199A0" w14:textId="08554075" w:rsidR="00980CA0" w:rsidRPr="00A55335" w:rsidRDefault="006070ED" w:rsidP="002D0D29">
      <w:pPr>
        <w:pStyle w:val="Heading4"/>
      </w:pPr>
      <w:bookmarkStart w:id="89" w:name="_Ref151812973"/>
      <w:r w:rsidRPr="00A55335">
        <w:lastRenderedPageBreak/>
        <w:t>Secondary Comparison</w:t>
      </w:r>
      <w:r w:rsidR="00980CA0" w:rsidRPr="00A55335">
        <w:t xml:space="preserve"> (vs </w:t>
      </w:r>
      <w:r w:rsidR="004C7562" w:rsidRPr="00A55335">
        <w:t xml:space="preserve">inactive </w:t>
      </w:r>
      <w:r w:rsidR="00980CA0" w:rsidRPr="00A55335">
        <w:t>control)</w:t>
      </w:r>
      <w:bookmarkEnd w:id="89"/>
    </w:p>
    <w:p w14:paraId="68727AFA" w14:textId="595EEFF6" w:rsidR="007103DA" w:rsidRPr="00A55335" w:rsidRDefault="000338B2" w:rsidP="007252A0">
      <w:pPr>
        <w:pStyle w:val="BodyText"/>
      </w:pPr>
      <w:r w:rsidRPr="00A55335">
        <w:t xml:space="preserve">There were no studies identified </w:t>
      </w:r>
      <w:r w:rsidR="001B3E0C">
        <w:t>that</w:t>
      </w:r>
      <w:r w:rsidRPr="00A55335">
        <w:t xml:space="preserve"> compared homeopathy to </w:t>
      </w:r>
      <w:r w:rsidR="004C7562" w:rsidRPr="00A55335">
        <w:t xml:space="preserve">inactive </w:t>
      </w:r>
      <w:r w:rsidRPr="00A55335">
        <w:t>control (no intervention, usual care or waitlist) in people with atopic conditions. The effect of homeopathy compared to inactive control is unknown.</w:t>
      </w:r>
    </w:p>
    <w:p w14:paraId="405DA547" w14:textId="77777777" w:rsidR="00DD505D" w:rsidRPr="00A55335" w:rsidRDefault="00DD505D" w:rsidP="004D433B">
      <w:pPr>
        <w:pStyle w:val="Heading3"/>
      </w:pPr>
      <w:bookmarkStart w:id="90" w:name="_Toc183441308"/>
      <w:r w:rsidRPr="00A55335">
        <w:t>Forest plots</w:t>
      </w:r>
      <w:bookmarkEnd w:id="90"/>
    </w:p>
    <w:p w14:paraId="639A60FE" w14:textId="414ACE58" w:rsidR="00DD505D" w:rsidRPr="00A55335" w:rsidRDefault="00890172" w:rsidP="007252A0">
      <w:pPr>
        <w:pStyle w:val="Heading4"/>
      </w:pPr>
      <w:r w:rsidRPr="00A55335">
        <w:t>Allergic rhinitis</w:t>
      </w:r>
    </w:p>
    <w:p w14:paraId="5948222C" w14:textId="736630E3" w:rsidR="0010623A" w:rsidRPr="00A55335" w:rsidRDefault="00AC5EF3" w:rsidP="007252A0">
      <w:pPr>
        <w:pStyle w:val="BodyText"/>
      </w:pPr>
      <w:r w:rsidRPr="00A55335">
        <w:t xml:space="preserve">Outcome results related </w:t>
      </w:r>
      <w:r w:rsidR="009D62B4" w:rsidRPr="00A55335">
        <w:t>to</w:t>
      </w:r>
      <w:r w:rsidRPr="00A55335">
        <w:t xml:space="preserve"> </w:t>
      </w:r>
      <w:r w:rsidR="00FA3A9D" w:rsidRPr="00A55335">
        <w:t>the p</w:t>
      </w:r>
      <w:r w:rsidR="006070ED" w:rsidRPr="00A55335">
        <w:t xml:space="preserve">rimary </w:t>
      </w:r>
      <w:r w:rsidR="00FA3A9D" w:rsidRPr="00A55335">
        <w:t>c</w:t>
      </w:r>
      <w:r w:rsidR="006070ED" w:rsidRPr="00A55335">
        <w:t>omparison</w:t>
      </w:r>
      <w:r w:rsidRPr="00A55335">
        <w:t xml:space="preserve"> (homeopathy vs placebo) in people with </w:t>
      </w:r>
      <w:r w:rsidR="008976C0" w:rsidRPr="00A55335">
        <w:t>allergic rhinitis</w:t>
      </w:r>
      <w:r w:rsidRPr="00A55335">
        <w:t xml:space="preserve"> are presented in </w:t>
      </w:r>
      <w:r w:rsidR="00AA0A35" w:rsidRPr="00A55335">
        <w:fldChar w:fldCharType="begin"/>
      </w:r>
      <w:r w:rsidR="00AA0A35" w:rsidRPr="00A55335">
        <w:instrText xml:space="preserve"> REF _Ref152923718 \h </w:instrText>
      </w:r>
      <w:r w:rsidR="00AA0A35" w:rsidRPr="00A55335">
        <w:fldChar w:fldCharType="separate"/>
      </w:r>
      <w:r w:rsidR="00814B04" w:rsidRPr="00A55335">
        <w:t>Figure</w:t>
      </w:r>
      <w:r w:rsidR="00814B04">
        <w:t xml:space="preserve"> </w:t>
      </w:r>
      <w:r w:rsidR="00CC0BB5">
        <w:rPr>
          <w:noProof/>
        </w:rPr>
        <w:t>4</w:t>
      </w:r>
      <w:r w:rsidR="00AA0A35" w:rsidRPr="00A55335">
        <w:fldChar w:fldCharType="end"/>
      </w:r>
      <w:r w:rsidR="00AA0A35" w:rsidRPr="00A55335">
        <w:t xml:space="preserve"> (symptom severity), </w:t>
      </w:r>
      <w:r w:rsidR="00814B04" w:rsidRPr="00A55335">
        <w:fldChar w:fldCharType="begin"/>
      </w:r>
      <w:r w:rsidR="00814B04" w:rsidRPr="00A55335">
        <w:instrText xml:space="preserve"> REF _Ref152923720 \h </w:instrText>
      </w:r>
      <w:r w:rsidR="00814B04" w:rsidRPr="00A55335">
        <w:fldChar w:fldCharType="separate"/>
      </w:r>
      <w:r w:rsidR="00814B04" w:rsidRPr="00A55335">
        <w:t xml:space="preserve">Figure </w:t>
      </w:r>
      <w:r w:rsidR="00CC0BB5">
        <w:rPr>
          <w:noProof/>
        </w:rPr>
        <w:t>5</w:t>
      </w:r>
      <w:r w:rsidR="00814B04" w:rsidRPr="00A55335">
        <w:fldChar w:fldCharType="end"/>
      </w:r>
      <w:r w:rsidR="00814B04" w:rsidRPr="00A55335">
        <w:t xml:space="preserve"> </w:t>
      </w:r>
      <w:r w:rsidR="00AA0A35" w:rsidRPr="00A55335">
        <w:t xml:space="preserve">(quality of life), and </w:t>
      </w:r>
      <w:r w:rsidR="00AA0A35" w:rsidRPr="00A55335">
        <w:fldChar w:fldCharType="begin"/>
      </w:r>
      <w:r w:rsidR="00AA0A35" w:rsidRPr="00A55335">
        <w:instrText xml:space="preserve"> REF _Ref152923720 \h </w:instrText>
      </w:r>
      <w:r w:rsidR="00AA0A35" w:rsidRPr="00A55335">
        <w:fldChar w:fldCharType="separate"/>
      </w:r>
      <w:r w:rsidR="00814B04" w:rsidRPr="00A55335">
        <w:t xml:space="preserve">Figure </w:t>
      </w:r>
      <w:r w:rsidR="00814B04">
        <w:rPr>
          <w:noProof/>
        </w:rPr>
        <w:t>6</w:t>
      </w:r>
      <w:r w:rsidR="00AA0A35" w:rsidRPr="00A55335">
        <w:fldChar w:fldCharType="end"/>
      </w:r>
      <w:r w:rsidR="00AA0A35" w:rsidRPr="00A55335">
        <w:t xml:space="preserve"> (medication use).</w:t>
      </w:r>
    </w:p>
    <w:p w14:paraId="1A36EAD3" w14:textId="5F48DB5E" w:rsidR="00611205" w:rsidRPr="00A16266" w:rsidRDefault="00611205" w:rsidP="00A16266">
      <w:pPr>
        <w:pStyle w:val="Caption"/>
      </w:pPr>
      <w:bookmarkStart w:id="91" w:name="_Toc183520277"/>
      <w:r w:rsidRPr="00A16266">
        <w:t xml:space="preserve">Figure </w:t>
      </w:r>
      <w:r w:rsidR="007E0F4B" w:rsidRPr="00A55335">
        <w:fldChar w:fldCharType="begin"/>
      </w:r>
      <w:r w:rsidR="007E0F4B" w:rsidRPr="00A55335">
        <w:instrText xml:space="preserve"> SEQ Figure \* ARABIC </w:instrText>
      </w:r>
      <w:r w:rsidR="007E0F4B" w:rsidRPr="00A55335">
        <w:fldChar w:fldCharType="separate"/>
      </w:r>
      <w:r w:rsidR="00814B04">
        <w:rPr>
          <w:noProof/>
        </w:rPr>
        <w:t>4</w:t>
      </w:r>
      <w:r w:rsidR="007E0F4B" w:rsidRPr="00A55335">
        <w:fldChar w:fldCharType="end"/>
      </w:r>
      <w:r w:rsidRPr="00A16266">
        <w:t xml:space="preserve"> </w:t>
      </w:r>
      <w:r w:rsidRPr="00A16266">
        <w:tab/>
        <w:t xml:space="preserve">Forest plot of </w:t>
      </w:r>
      <w:r w:rsidR="0085316D" w:rsidRPr="00A16266">
        <w:t xml:space="preserve">primary </w:t>
      </w:r>
      <w:r w:rsidRPr="00A16266">
        <w:t>comparison: Homeopathy vs placebo: Allergic rhinitis – symptom severity</w:t>
      </w:r>
      <w:bookmarkEnd w:id="91"/>
    </w:p>
    <w:p w14:paraId="73C7A686" w14:textId="17B75690" w:rsidR="00CD5A90" w:rsidRPr="00A55335" w:rsidRDefault="00A26E5B" w:rsidP="0010623A">
      <w:pPr>
        <w:pStyle w:val="Pic"/>
      </w:pPr>
      <w:r w:rsidRPr="00A55335">
        <w:rPr>
          <w:noProof/>
        </w:rPr>
        <w:drawing>
          <wp:inline distT="0" distB="0" distL="0" distR="0" wp14:anchorId="61EDA13E" wp14:editId="2E660A75">
            <wp:extent cx="6184900" cy="493458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4900" cy="4934585"/>
                    </a:xfrm>
                    <a:prstGeom prst="rect">
                      <a:avLst/>
                    </a:prstGeom>
                    <a:noFill/>
                    <a:ln>
                      <a:noFill/>
                    </a:ln>
                  </pic:spPr>
                </pic:pic>
              </a:graphicData>
            </a:graphic>
          </wp:inline>
        </w:drawing>
      </w:r>
    </w:p>
    <w:p w14:paraId="7A1CFCD6" w14:textId="77777777" w:rsidR="00166E21" w:rsidRPr="00A55335" w:rsidRDefault="00166E21" w:rsidP="00166E21">
      <w:pPr>
        <w:pStyle w:val="TableFigNotes18"/>
      </w:pPr>
    </w:p>
    <w:p w14:paraId="222C94EE" w14:textId="494B2104" w:rsidR="00AA0A35" w:rsidRPr="00A55335" w:rsidRDefault="00AA0A35" w:rsidP="00AA0A35">
      <w:pPr>
        <w:pStyle w:val="Caption"/>
      </w:pPr>
      <w:bookmarkStart w:id="92" w:name="_Ref152923718"/>
      <w:bookmarkStart w:id="93" w:name="_Toc183520278"/>
      <w:r w:rsidRPr="00A55335">
        <w:lastRenderedPageBreak/>
        <w:t>Figure</w:t>
      </w:r>
      <w:r w:rsidR="007E0F4B">
        <w:t xml:space="preserve"> </w:t>
      </w:r>
      <w:r w:rsidR="007E0F4B" w:rsidRPr="00A55335">
        <w:fldChar w:fldCharType="begin"/>
      </w:r>
      <w:r w:rsidR="007E0F4B" w:rsidRPr="00A55335">
        <w:instrText xml:space="preserve"> SEQ Figure \* ARABIC </w:instrText>
      </w:r>
      <w:r w:rsidR="007E0F4B" w:rsidRPr="00A55335">
        <w:fldChar w:fldCharType="separate"/>
      </w:r>
      <w:r w:rsidR="00814B04">
        <w:rPr>
          <w:noProof/>
        </w:rPr>
        <w:t>5</w:t>
      </w:r>
      <w:r w:rsidR="007E0F4B" w:rsidRPr="00A55335">
        <w:fldChar w:fldCharType="end"/>
      </w:r>
      <w:bookmarkEnd w:id="92"/>
      <w:r w:rsidRPr="00A55335">
        <w:tab/>
        <w:t xml:space="preserve">Forest plot of </w:t>
      </w:r>
      <w:r w:rsidR="0085316D" w:rsidRPr="00A55335">
        <w:t xml:space="preserve">primary </w:t>
      </w:r>
      <w:r w:rsidRPr="00A55335">
        <w:t xml:space="preserve">comparison: Homeopathy vs placebo: Allergic rhinitis – </w:t>
      </w:r>
      <w:r w:rsidR="00B54C67" w:rsidRPr="009876E6">
        <w:t>quality of life</w:t>
      </w:r>
      <w:bookmarkEnd w:id="93"/>
    </w:p>
    <w:p w14:paraId="3930B5C8" w14:textId="34A23052" w:rsidR="006E75B9" w:rsidRPr="00A55335" w:rsidRDefault="004A72F7">
      <w:pPr>
        <w:pStyle w:val="Pic"/>
      </w:pPr>
      <w:r w:rsidRPr="00A55335">
        <w:rPr>
          <w:noProof/>
        </w:rPr>
        <w:drawing>
          <wp:inline distT="0" distB="0" distL="0" distR="0" wp14:anchorId="02C02093" wp14:editId="78AA14EE">
            <wp:extent cx="5595861" cy="289560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3120" cy="2904531"/>
                    </a:xfrm>
                    <a:prstGeom prst="rect">
                      <a:avLst/>
                    </a:prstGeom>
                    <a:noFill/>
                    <a:ln>
                      <a:noFill/>
                    </a:ln>
                  </pic:spPr>
                </pic:pic>
              </a:graphicData>
            </a:graphic>
          </wp:inline>
        </w:drawing>
      </w:r>
    </w:p>
    <w:p w14:paraId="76E9B2F7" w14:textId="77777777" w:rsidR="00166E21" w:rsidRPr="00A55335" w:rsidRDefault="00166E21" w:rsidP="007252A0">
      <w:pPr>
        <w:pStyle w:val="TableFigNotes18"/>
      </w:pPr>
    </w:p>
    <w:p w14:paraId="6208D341" w14:textId="7C932782" w:rsidR="006E75B9" w:rsidRDefault="006E75B9" w:rsidP="00192C6F">
      <w:pPr>
        <w:pStyle w:val="Caption"/>
      </w:pPr>
      <w:bookmarkStart w:id="94" w:name="_Ref152923720"/>
      <w:bookmarkStart w:id="95" w:name="_Toc183520279"/>
      <w:r w:rsidRPr="00A55335">
        <w:t xml:space="preserve">Figure </w:t>
      </w:r>
      <w:r w:rsidR="00AA0A35" w:rsidRPr="00A55335">
        <w:fldChar w:fldCharType="begin"/>
      </w:r>
      <w:r w:rsidR="00AA0A35" w:rsidRPr="00A55335">
        <w:instrText xml:space="preserve"> SEQ Figure \* ARABIC </w:instrText>
      </w:r>
      <w:r w:rsidR="00AA0A35" w:rsidRPr="00A55335">
        <w:fldChar w:fldCharType="separate"/>
      </w:r>
      <w:r w:rsidR="00814B04">
        <w:rPr>
          <w:noProof/>
        </w:rPr>
        <w:t>6</w:t>
      </w:r>
      <w:r w:rsidR="00AA0A35" w:rsidRPr="00A55335">
        <w:fldChar w:fldCharType="end"/>
      </w:r>
      <w:bookmarkEnd w:id="94"/>
      <w:r w:rsidRPr="00A55335">
        <w:t xml:space="preserve"> </w:t>
      </w:r>
      <w:r w:rsidRPr="00A55335">
        <w:tab/>
        <w:t xml:space="preserve">Forest plot of </w:t>
      </w:r>
      <w:r w:rsidR="00620726" w:rsidRPr="00A55335">
        <w:t xml:space="preserve">primary </w:t>
      </w:r>
      <w:r w:rsidRPr="00A55335">
        <w:t xml:space="preserve">comparison: Homeopathy vs placebo: Allergic rhinitis </w:t>
      </w:r>
      <w:r w:rsidR="00D428C9" w:rsidRPr="009876E6">
        <w:t xml:space="preserve">– </w:t>
      </w:r>
      <w:r w:rsidR="0027059A">
        <w:t>t</w:t>
      </w:r>
      <w:r w:rsidR="00991F87" w:rsidRPr="009876E6">
        <w:t>otal m</w:t>
      </w:r>
      <w:r w:rsidR="00D428C9" w:rsidRPr="009876E6">
        <w:t>edication use</w:t>
      </w:r>
      <w:r w:rsidR="002A2A10">
        <w:t xml:space="preserve"> (see 2 </w:t>
      </w:r>
      <w:r w:rsidR="005B5AE3">
        <w:t>forest plots below)</w:t>
      </w:r>
    </w:p>
    <w:bookmarkEnd w:id="95"/>
    <w:p w14:paraId="6E4F1307" w14:textId="7AE8F819" w:rsidR="00AD1E07" w:rsidRDefault="00325AF3" w:rsidP="00AD1E07">
      <w:pPr>
        <w:pStyle w:val="Pic"/>
      </w:pPr>
      <w:r>
        <w:rPr>
          <w:noProof/>
        </w:rPr>
        <w:drawing>
          <wp:inline distT="0" distB="0" distL="0" distR="0" wp14:anchorId="5682CFF1" wp14:editId="3C9294F4">
            <wp:extent cx="5859304" cy="4136066"/>
            <wp:effectExtent l="0" t="0" r="8255" b="0"/>
            <wp:docPr id="10087446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65825" cy="4140669"/>
                    </a:xfrm>
                    <a:prstGeom prst="rect">
                      <a:avLst/>
                    </a:prstGeom>
                    <a:noFill/>
                    <a:ln>
                      <a:noFill/>
                    </a:ln>
                  </pic:spPr>
                </pic:pic>
              </a:graphicData>
            </a:graphic>
          </wp:inline>
        </w:drawing>
      </w:r>
    </w:p>
    <w:p w14:paraId="5DC23EE0" w14:textId="151FECFE" w:rsidR="00BF773F" w:rsidRPr="00BF773F" w:rsidRDefault="00BF773F" w:rsidP="00BF773F">
      <w:pPr>
        <w:pStyle w:val="TableFigNotes18"/>
      </w:pPr>
    </w:p>
    <w:p w14:paraId="2B5E40FA" w14:textId="30109ED9" w:rsidR="006E75B9" w:rsidRPr="00A55335" w:rsidRDefault="00AA0A35">
      <w:pPr>
        <w:pStyle w:val="Pic"/>
      </w:pPr>
      <w:r w:rsidRPr="00A55335">
        <w:rPr>
          <w:noProof/>
        </w:rPr>
        <w:lastRenderedPageBreak/>
        <w:drawing>
          <wp:inline distT="0" distB="0" distL="0" distR="0" wp14:anchorId="08AAC9C5" wp14:editId="0A836D9A">
            <wp:extent cx="5697465" cy="4561367"/>
            <wp:effectExtent l="0" t="0" r="0" b="0"/>
            <wp:docPr id="274018487" name="Picture 27401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05228" cy="4567582"/>
                    </a:xfrm>
                    <a:prstGeom prst="rect">
                      <a:avLst/>
                    </a:prstGeom>
                    <a:noFill/>
                    <a:ln>
                      <a:noFill/>
                    </a:ln>
                  </pic:spPr>
                </pic:pic>
              </a:graphicData>
            </a:graphic>
          </wp:inline>
        </w:drawing>
      </w:r>
    </w:p>
    <w:p w14:paraId="22237133" w14:textId="77777777" w:rsidR="00166E21" w:rsidRPr="00A55335" w:rsidRDefault="00166E21" w:rsidP="007252A0">
      <w:pPr>
        <w:pStyle w:val="TableFigNotes18"/>
      </w:pPr>
    </w:p>
    <w:p w14:paraId="7996AAA9" w14:textId="2108747F" w:rsidR="00890172" w:rsidRPr="00A55335" w:rsidRDefault="00890172">
      <w:pPr>
        <w:pStyle w:val="Heading4"/>
      </w:pPr>
      <w:r w:rsidRPr="00A55335">
        <w:t>Atopic dermatitis</w:t>
      </w:r>
    </w:p>
    <w:p w14:paraId="620FFF51" w14:textId="7E20CB49" w:rsidR="00CF5F07" w:rsidRPr="00A55335" w:rsidRDefault="00CF5F07" w:rsidP="00CF5F07">
      <w:pPr>
        <w:pStyle w:val="BodyText"/>
      </w:pPr>
      <w:r w:rsidRPr="00A55335">
        <w:t xml:space="preserve">Outcome results related </w:t>
      </w:r>
      <w:r w:rsidR="009D62B4" w:rsidRPr="00A55335">
        <w:t>to</w:t>
      </w:r>
      <w:r w:rsidRPr="00A55335">
        <w:t xml:space="preserve"> </w:t>
      </w:r>
      <w:r w:rsidR="00620726" w:rsidRPr="00A55335">
        <w:t>the p</w:t>
      </w:r>
      <w:r w:rsidR="006070ED" w:rsidRPr="00A55335">
        <w:t xml:space="preserve">rimary </w:t>
      </w:r>
      <w:r w:rsidR="00620726" w:rsidRPr="00A55335">
        <w:t>c</w:t>
      </w:r>
      <w:r w:rsidR="006070ED" w:rsidRPr="00A55335">
        <w:t>omparison</w:t>
      </w:r>
      <w:r w:rsidRPr="00A55335">
        <w:t xml:space="preserve"> (homeopathy vs placebo) in people with atopic dermatitis are presented in </w:t>
      </w:r>
      <w:r w:rsidR="00C71D52" w:rsidRPr="00A55335">
        <w:fldChar w:fldCharType="begin"/>
      </w:r>
      <w:r w:rsidR="00C71D52" w:rsidRPr="00A55335">
        <w:instrText xml:space="preserve"> REF _Ref153189479 \h </w:instrText>
      </w:r>
      <w:r w:rsidR="00C71D52" w:rsidRPr="00A55335">
        <w:fldChar w:fldCharType="separate"/>
      </w:r>
      <w:r w:rsidR="00814B04" w:rsidRPr="00A55335">
        <w:t xml:space="preserve">Figure </w:t>
      </w:r>
      <w:r w:rsidR="00814B04">
        <w:rPr>
          <w:noProof/>
        </w:rPr>
        <w:t>7</w:t>
      </w:r>
      <w:r w:rsidR="00C71D52" w:rsidRPr="00A55335">
        <w:fldChar w:fldCharType="end"/>
      </w:r>
      <w:r w:rsidR="00C71D52" w:rsidRPr="00A55335">
        <w:t xml:space="preserve"> </w:t>
      </w:r>
      <w:r w:rsidRPr="00A55335">
        <w:t xml:space="preserve">(disease severity), </w:t>
      </w:r>
      <w:r w:rsidR="00C71D52" w:rsidRPr="00A55335">
        <w:fldChar w:fldCharType="begin"/>
      </w:r>
      <w:r w:rsidR="00C71D52" w:rsidRPr="00A55335">
        <w:instrText xml:space="preserve"> REF _Ref153189484 \h </w:instrText>
      </w:r>
      <w:r w:rsidR="00C71D52" w:rsidRPr="00A55335">
        <w:fldChar w:fldCharType="separate"/>
      </w:r>
      <w:r w:rsidR="00814B04" w:rsidRPr="00A55335">
        <w:t xml:space="preserve">Figure </w:t>
      </w:r>
      <w:r w:rsidR="00814B04">
        <w:rPr>
          <w:noProof/>
        </w:rPr>
        <w:t>8</w:t>
      </w:r>
      <w:r w:rsidR="00C71D52" w:rsidRPr="00A55335">
        <w:fldChar w:fldCharType="end"/>
      </w:r>
      <w:r w:rsidR="00C71D52" w:rsidRPr="00A55335">
        <w:t xml:space="preserve"> </w:t>
      </w:r>
      <w:r w:rsidRPr="00A55335">
        <w:t xml:space="preserve">(quality of life), </w:t>
      </w:r>
      <w:r w:rsidR="00EF3F32" w:rsidRPr="00A55335">
        <w:fldChar w:fldCharType="begin"/>
      </w:r>
      <w:r w:rsidR="00EF3F32" w:rsidRPr="00A55335">
        <w:instrText xml:space="preserve"> REF _Ref158309493 \h </w:instrText>
      </w:r>
      <w:r w:rsidR="00EF3F32" w:rsidRPr="00A55335">
        <w:fldChar w:fldCharType="separate"/>
      </w:r>
      <w:r w:rsidR="00814B04" w:rsidRPr="00A55335">
        <w:t xml:space="preserve">Figure </w:t>
      </w:r>
      <w:r w:rsidR="00814B04">
        <w:rPr>
          <w:noProof/>
        </w:rPr>
        <w:t>9</w:t>
      </w:r>
      <w:r w:rsidR="00EF3F32" w:rsidRPr="00A55335">
        <w:fldChar w:fldCharType="end"/>
      </w:r>
      <w:r w:rsidR="00C71D52" w:rsidRPr="00A55335">
        <w:t xml:space="preserve"> </w:t>
      </w:r>
      <w:r w:rsidRPr="00A55335">
        <w:t>(medication use).</w:t>
      </w:r>
    </w:p>
    <w:p w14:paraId="2F223EE3" w14:textId="5C77E37B" w:rsidR="00C71D52" w:rsidRDefault="00C71D52" w:rsidP="00C71D52">
      <w:pPr>
        <w:pStyle w:val="Caption"/>
      </w:pPr>
      <w:bookmarkStart w:id="96" w:name="_Ref153189479"/>
      <w:bookmarkStart w:id="97" w:name="_Toc183520280"/>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7</w:t>
      </w:r>
      <w:r w:rsidRPr="00A55335">
        <w:fldChar w:fldCharType="end"/>
      </w:r>
      <w:bookmarkEnd w:id="96"/>
      <w:r w:rsidRPr="00A55335">
        <w:t xml:space="preserve"> </w:t>
      </w:r>
      <w:r w:rsidRPr="00A55335">
        <w:tab/>
      </w:r>
      <w:r w:rsidR="009527D3" w:rsidRPr="009876E6">
        <w:t xml:space="preserve">Forest plot </w:t>
      </w:r>
      <w:r w:rsidRPr="00A55335">
        <w:t xml:space="preserve">of </w:t>
      </w:r>
      <w:r w:rsidR="00620726" w:rsidRPr="00A55335">
        <w:t xml:space="preserve">primary </w:t>
      </w:r>
      <w:r w:rsidRPr="00A55335">
        <w:t xml:space="preserve">comparison: Homeopathy vs placebo: Atopic dermatitis – </w:t>
      </w:r>
      <w:r w:rsidR="00DC4ECC" w:rsidRPr="00A55335">
        <w:t>d</w:t>
      </w:r>
      <w:r w:rsidRPr="00A55335">
        <w:t>isease severity</w:t>
      </w:r>
      <w:bookmarkEnd w:id="97"/>
    </w:p>
    <w:p w14:paraId="46CA9380" w14:textId="072AAF29" w:rsidR="00DC4ECC" w:rsidRDefault="00AB308D" w:rsidP="005232A1">
      <w:pPr>
        <w:pStyle w:val="Pic"/>
      </w:pPr>
      <w:r w:rsidRPr="00A55335">
        <w:rPr>
          <w:noProof/>
        </w:rPr>
        <w:drawing>
          <wp:inline distT="0" distB="0" distL="0" distR="0" wp14:anchorId="395BB5D6" wp14:editId="0E5B9C53">
            <wp:extent cx="5796915" cy="283781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6915" cy="2837815"/>
                    </a:xfrm>
                    <a:prstGeom prst="rect">
                      <a:avLst/>
                    </a:prstGeom>
                    <a:noFill/>
                    <a:ln>
                      <a:noFill/>
                    </a:ln>
                  </pic:spPr>
                </pic:pic>
              </a:graphicData>
            </a:graphic>
          </wp:inline>
        </w:drawing>
      </w:r>
    </w:p>
    <w:p w14:paraId="6A0594B2" w14:textId="77777777" w:rsidR="00387A8A" w:rsidRPr="00387A8A" w:rsidRDefault="00387A8A" w:rsidP="00387A8A">
      <w:pPr>
        <w:pStyle w:val="TableFigNotes18"/>
      </w:pPr>
    </w:p>
    <w:p w14:paraId="7FC21286" w14:textId="02C8EE35" w:rsidR="00C71D52" w:rsidRPr="00A55335" w:rsidRDefault="00C71D52" w:rsidP="00DC4ECC">
      <w:pPr>
        <w:pStyle w:val="Caption"/>
      </w:pPr>
      <w:bookmarkStart w:id="98" w:name="_Ref153189484"/>
      <w:bookmarkStart w:id="99" w:name="_Toc183520281"/>
      <w:r w:rsidRPr="00A55335">
        <w:t xml:space="preserve">Figure </w:t>
      </w:r>
      <w:r w:rsidRPr="00A55335">
        <w:fldChar w:fldCharType="begin"/>
      </w:r>
      <w:r w:rsidRPr="00A55335">
        <w:instrText xml:space="preserve"> SEQ Figure \* ARABIC </w:instrText>
      </w:r>
      <w:r w:rsidRPr="00A55335">
        <w:fldChar w:fldCharType="separate"/>
      </w:r>
      <w:r w:rsidR="00814B04">
        <w:rPr>
          <w:noProof/>
        </w:rPr>
        <w:t>8</w:t>
      </w:r>
      <w:r w:rsidRPr="00A55335">
        <w:fldChar w:fldCharType="end"/>
      </w:r>
      <w:bookmarkEnd w:id="98"/>
      <w:r w:rsidRPr="00A55335">
        <w:t xml:space="preserve"> </w:t>
      </w:r>
      <w:r w:rsidRPr="00A55335">
        <w:tab/>
        <w:t xml:space="preserve">Forest plot of </w:t>
      </w:r>
      <w:r w:rsidR="00620726" w:rsidRPr="00A55335">
        <w:t xml:space="preserve">primary </w:t>
      </w:r>
      <w:r w:rsidRPr="00A55335">
        <w:t>comparison: Homeopathy vs placebo: Atopic dermatitis – Health-related quality of life</w:t>
      </w:r>
      <w:bookmarkEnd w:id="99"/>
    </w:p>
    <w:p w14:paraId="23C5A2C8" w14:textId="022D7E09" w:rsidR="00F45039" w:rsidRDefault="00DB648D" w:rsidP="005232A1">
      <w:pPr>
        <w:pStyle w:val="Pic"/>
      </w:pPr>
      <w:r w:rsidRPr="00A55335">
        <w:rPr>
          <w:noProof/>
        </w:rPr>
        <w:drawing>
          <wp:inline distT="0" distB="0" distL="0" distR="0" wp14:anchorId="5C2859A4" wp14:editId="0160AFFD">
            <wp:extent cx="5745480" cy="2846705"/>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5480" cy="2846705"/>
                    </a:xfrm>
                    <a:prstGeom prst="rect">
                      <a:avLst/>
                    </a:prstGeom>
                    <a:noFill/>
                    <a:ln>
                      <a:noFill/>
                    </a:ln>
                  </pic:spPr>
                </pic:pic>
              </a:graphicData>
            </a:graphic>
          </wp:inline>
        </w:drawing>
      </w:r>
    </w:p>
    <w:p w14:paraId="04E0BBF6" w14:textId="77777777" w:rsidR="00387A8A" w:rsidRPr="00387A8A" w:rsidRDefault="00387A8A" w:rsidP="00387A8A">
      <w:pPr>
        <w:pStyle w:val="TableFigNotes18"/>
      </w:pPr>
    </w:p>
    <w:p w14:paraId="45954963" w14:textId="1E49A550" w:rsidR="00C71D52" w:rsidRDefault="00C71D52" w:rsidP="00C71D52">
      <w:pPr>
        <w:pStyle w:val="Caption"/>
      </w:pPr>
      <w:bookmarkStart w:id="100" w:name="_Ref158309493"/>
      <w:bookmarkStart w:id="101" w:name="_Toc183520282"/>
      <w:r w:rsidRPr="00A55335">
        <w:lastRenderedPageBreak/>
        <w:t xml:space="preserve">Figure </w:t>
      </w:r>
      <w:bookmarkStart w:id="102" w:name="_Ref153189489"/>
      <w:r w:rsidRPr="00A55335">
        <w:fldChar w:fldCharType="begin"/>
      </w:r>
      <w:r w:rsidRPr="00A55335">
        <w:instrText xml:space="preserve"> SEQ Figure \* ARABIC </w:instrText>
      </w:r>
      <w:r w:rsidRPr="00A55335">
        <w:fldChar w:fldCharType="separate"/>
      </w:r>
      <w:r w:rsidR="00814B04">
        <w:rPr>
          <w:noProof/>
        </w:rPr>
        <w:t>9</w:t>
      </w:r>
      <w:r w:rsidRPr="00A55335">
        <w:fldChar w:fldCharType="end"/>
      </w:r>
      <w:bookmarkEnd w:id="100"/>
      <w:bookmarkEnd w:id="102"/>
      <w:r w:rsidRPr="00A55335">
        <w:t xml:space="preserve"> </w:t>
      </w:r>
      <w:r w:rsidRPr="00A55335">
        <w:tab/>
        <w:t xml:space="preserve">Forest plot of </w:t>
      </w:r>
      <w:r w:rsidR="00620726" w:rsidRPr="00A55335">
        <w:t xml:space="preserve">primary </w:t>
      </w:r>
      <w:r w:rsidRPr="00A55335">
        <w:t>comparison: Homeopathy vs placebo: Atopic dermatitis – Medication use</w:t>
      </w:r>
      <w:bookmarkEnd w:id="101"/>
    </w:p>
    <w:p w14:paraId="3326D7B0" w14:textId="1317E44A" w:rsidR="00D52BA2" w:rsidRPr="00D52BA2" w:rsidRDefault="00720A95" w:rsidP="00D52BA2">
      <w:pPr>
        <w:pStyle w:val="Pic"/>
      </w:pPr>
      <w:r>
        <w:rPr>
          <w:noProof/>
        </w:rPr>
        <w:drawing>
          <wp:inline distT="0" distB="0" distL="0" distR="0" wp14:anchorId="169DAB06" wp14:editId="7B67C92A">
            <wp:extent cx="6188075" cy="3253740"/>
            <wp:effectExtent l="0" t="0" r="3175" b="3810"/>
            <wp:docPr id="8708027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02714" name="Picture 870802714"/>
                    <pic:cNvPicPr/>
                  </pic:nvPicPr>
                  <pic:blipFill>
                    <a:blip r:embed="rId28"/>
                    <a:stretch>
                      <a:fillRect/>
                    </a:stretch>
                  </pic:blipFill>
                  <pic:spPr>
                    <a:xfrm>
                      <a:off x="0" y="0"/>
                      <a:ext cx="6188075" cy="3253740"/>
                    </a:xfrm>
                    <a:prstGeom prst="rect">
                      <a:avLst/>
                    </a:prstGeom>
                  </pic:spPr>
                </pic:pic>
              </a:graphicData>
            </a:graphic>
          </wp:inline>
        </w:drawing>
      </w:r>
    </w:p>
    <w:p w14:paraId="7E7C5325" w14:textId="77777777" w:rsidR="005B228C" w:rsidRPr="00A55335" w:rsidRDefault="005B228C" w:rsidP="00DC4ECC">
      <w:pPr>
        <w:pStyle w:val="TableFigNotes18"/>
      </w:pPr>
    </w:p>
    <w:p w14:paraId="278EB1BC" w14:textId="5C34AB1A" w:rsidR="00DC4ECC" w:rsidRPr="00A55335" w:rsidRDefault="00DC4ECC" w:rsidP="00DC4ECC">
      <w:pPr>
        <w:pStyle w:val="BodyText"/>
      </w:pPr>
      <w:r w:rsidRPr="00A55335">
        <w:br w:type="page"/>
      </w:r>
    </w:p>
    <w:p w14:paraId="7134D9F4" w14:textId="25F9780D" w:rsidR="00DD505D" w:rsidRPr="00A55335" w:rsidRDefault="00DD505D" w:rsidP="00C373A2">
      <w:pPr>
        <w:pStyle w:val="Heading2"/>
      </w:pPr>
      <w:bookmarkStart w:id="103" w:name="_Toc183441309"/>
      <w:r w:rsidRPr="00A55335">
        <w:lastRenderedPageBreak/>
        <w:t>Recurrent infections (childhood otitis media)</w:t>
      </w:r>
      <w:bookmarkEnd w:id="103"/>
    </w:p>
    <w:p w14:paraId="139A4EB1" w14:textId="77777777" w:rsidR="00DD505D" w:rsidRPr="00A55335" w:rsidRDefault="00DD505D" w:rsidP="004D433B">
      <w:pPr>
        <w:pStyle w:val="Heading3"/>
      </w:pPr>
      <w:bookmarkStart w:id="104" w:name="_Toc183441310"/>
      <w:r w:rsidRPr="00A55335">
        <w:t>Description of the condition</w:t>
      </w:r>
      <w:bookmarkEnd w:id="104"/>
    </w:p>
    <w:p w14:paraId="21C9A941" w14:textId="1E0FA8CD" w:rsidR="00DD505D" w:rsidRPr="00A55335" w:rsidRDefault="00DD505D" w:rsidP="00DD505D">
      <w:pPr>
        <w:pStyle w:val="BodyText"/>
      </w:pPr>
      <w:r w:rsidRPr="00A55335">
        <w:t xml:space="preserve">Otitis media is a complex condition defined as inflammation and infection in the middle ear </w:t>
      </w:r>
      <w:r w:rsidR="00635FCD" w:rsidRPr="00A55335">
        <w:fldChar w:fldCharType="begin"/>
      </w:r>
      <w:r w:rsidR="006952AD">
        <w:instrText xml:space="preserve"> ADDIN EN.CITE &lt;EndNote&gt;&lt;Cite&gt;&lt;Author&gt;Leach&lt;/Author&gt;&lt;Year&gt;2021&lt;/Year&gt;&lt;RecNum&gt;344&lt;/RecNum&gt;&lt;DisplayText&gt;(85)&lt;/DisplayText&gt;&lt;record&gt;&lt;rec-number&gt;344&lt;/rec-number&gt;&lt;foreign-keys&gt;&lt;key app="EN" db-id="t5prptatr9sp0we5exbxt9zz20fwp55tdza9" timestamp="1700774032"&gt;344&lt;/key&gt;&lt;/foreign-keys&gt;&lt;ref-type name="Report"&gt;27&lt;/ref-type&gt;&lt;contributors&gt;&lt;authors&gt;&lt;author&gt;Leach, AJ. &lt;/author&gt;&lt;author&gt;Morris, P.&lt;/author&gt;&lt;author&gt;Coates, HLC.&lt;/author&gt;&lt;/authors&gt;&lt;/contributors&gt;&lt;titles&gt;&lt;title&gt;Otitis media guidelines for Australian Aboriginal and Torres Strait Islander children: summary of recommendations&lt;/title&gt;&lt;/titles&gt;&lt;dates&gt;&lt;year&gt;2021&lt;/year&gt;&lt;/dates&gt;&lt;publisher&gt;Menzies School of Health Research &lt;/publisher&gt;&lt;urls&gt;&lt;/urls&gt;&lt;/record&gt;&lt;/Cite&gt;&lt;/EndNote&gt;</w:instrText>
      </w:r>
      <w:r w:rsidR="00635FCD" w:rsidRPr="00A55335">
        <w:fldChar w:fldCharType="separate"/>
      </w:r>
      <w:r w:rsidR="00067842">
        <w:rPr>
          <w:noProof/>
        </w:rPr>
        <w:t>(</w:t>
      </w:r>
      <w:hyperlink w:anchor="_ENREF_85" w:tooltip="Leach, 2021 #344" w:history="1">
        <w:r w:rsidR="00EC2769">
          <w:rPr>
            <w:noProof/>
          </w:rPr>
          <w:t>85</w:t>
        </w:r>
      </w:hyperlink>
      <w:r w:rsidR="00067842">
        <w:rPr>
          <w:noProof/>
        </w:rPr>
        <w:t>)</w:t>
      </w:r>
      <w:r w:rsidR="00635FCD" w:rsidRPr="00A55335">
        <w:fldChar w:fldCharType="end"/>
      </w:r>
      <w:r w:rsidRPr="00A55335">
        <w:t xml:space="preserve">. The condition ranges in severity and encompasses a spectrum of diseases including acute otitis media, chronic suppurative otitis media and otitis media with effusion </w:t>
      </w:r>
      <w:r w:rsidR="00635FCD" w:rsidRPr="00A55335">
        <w:fldChar w:fldCharType="begin"/>
      </w:r>
      <w:r w:rsidR="006952AD">
        <w:instrText xml:space="preserve"> ADDIN EN.CITE &lt;EndNote&gt;&lt;Cite&gt;&lt;Author&gt;Danishyar&lt;/Author&gt;&lt;Year&gt;2023&lt;/Year&gt;&lt;RecNum&gt;345&lt;/RecNum&gt;&lt;DisplayText&gt;(86)&lt;/DisplayText&gt;&lt;record&gt;&lt;rec-number&gt;345&lt;/rec-number&gt;&lt;foreign-keys&gt;&lt;key app="EN" db-id="t5prptatr9sp0we5exbxt9zz20fwp55tdza9" timestamp="1700774032"&gt;345&lt;/key&gt;&lt;/foreign-keys&gt;&lt;ref-type name="Web Page"&gt;12&lt;/ref-type&gt;&lt;contributors&gt;&lt;authors&gt;&lt;author&gt;Danishyar, A.&lt;/author&gt;&lt;author&gt;Ashurst, JV.&lt;/author&gt;&lt;/authors&gt;&lt;/contributors&gt;&lt;titles&gt;&lt;title&gt;StatPearls [Internet]&lt;/title&gt;&lt;secondary-title&gt;Acute otitis media&lt;/secondary-title&gt;&lt;/titles&gt;&lt;volume&gt;2023&lt;/volume&gt;&lt;number&gt;18 September&lt;/number&gt;&lt;dates&gt;&lt;year&gt;2023&lt;/year&gt;&lt;/dates&gt;&lt;pub-location&gt;Treasure Island (FL)&lt;/pub-location&gt;&lt;publisher&gt;StatPearls Publishing&lt;/publisher&gt;&lt;urls&gt;&lt;related-urls&gt;&lt;url&gt;https://www.ncbi.nlm.nih.gov/books/NBK470332/&lt;/url&gt;&lt;/related-urls&gt;&lt;/urls&gt;&lt;custom1&gt;2023&lt;/custom1&gt;&lt;custom2&gt;18 September&lt;/custom2&gt;&lt;/record&gt;&lt;/Cite&gt;&lt;/EndNote&gt;</w:instrText>
      </w:r>
      <w:r w:rsidR="00635FCD" w:rsidRPr="00A55335">
        <w:fldChar w:fldCharType="separate"/>
      </w:r>
      <w:r w:rsidR="00067842">
        <w:rPr>
          <w:noProof/>
        </w:rPr>
        <w:t>(</w:t>
      </w:r>
      <w:hyperlink w:anchor="_ENREF_86" w:tooltip="Danishyar, 2023 #345" w:history="1">
        <w:r w:rsidR="00EC2769">
          <w:rPr>
            <w:noProof/>
          </w:rPr>
          <w:t>86</w:t>
        </w:r>
      </w:hyperlink>
      <w:r w:rsidR="00067842">
        <w:rPr>
          <w:noProof/>
        </w:rPr>
        <w:t>)</w:t>
      </w:r>
      <w:r w:rsidR="00635FCD" w:rsidRPr="00A55335">
        <w:fldChar w:fldCharType="end"/>
      </w:r>
      <w:r w:rsidRPr="00A55335">
        <w:t xml:space="preserve">. It can affect any age group but is most commonly seen in children aged 6 to 24 months, with approximately 80% of children experiencing otitis media in their lifetime </w:t>
      </w:r>
      <w:r w:rsidR="00635FCD" w:rsidRPr="00A55335">
        <w:fldChar w:fldCharType="begin"/>
      </w:r>
      <w:r w:rsidR="006952AD">
        <w:instrText xml:space="preserve"> ADDIN EN.CITE &lt;EndNote&gt;&lt;Cite&gt;&lt;Author&gt;Danishyar&lt;/Author&gt;&lt;Year&gt;2023&lt;/Year&gt;&lt;RecNum&gt;345&lt;/RecNum&gt;&lt;DisplayText&gt;(86)&lt;/DisplayText&gt;&lt;record&gt;&lt;rec-number&gt;345&lt;/rec-number&gt;&lt;foreign-keys&gt;&lt;key app="EN" db-id="t5prptatr9sp0we5exbxt9zz20fwp55tdza9" timestamp="1700774032"&gt;345&lt;/key&gt;&lt;/foreign-keys&gt;&lt;ref-type name="Web Page"&gt;12&lt;/ref-type&gt;&lt;contributors&gt;&lt;authors&gt;&lt;author&gt;Danishyar, A.&lt;/author&gt;&lt;author&gt;Ashurst, JV.&lt;/author&gt;&lt;/authors&gt;&lt;/contributors&gt;&lt;titles&gt;&lt;title&gt;StatPearls [Internet]&lt;/title&gt;&lt;secondary-title&gt;Acute otitis media&lt;/secondary-title&gt;&lt;/titles&gt;&lt;volume&gt;2023&lt;/volume&gt;&lt;number&gt;18 September&lt;/number&gt;&lt;dates&gt;&lt;year&gt;2023&lt;/year&gt;&lt;/dates&gt;&lt;pub-location&gt;Treasure Island (FL)&lt;/pub-location&gt;&lt;publisher&gt;StatPearls Publishing&lt;/publisher&gt;&lt;urls&gt;&lt;related-urls&gt;&lt;url&gt;https://www.ncbi.nlm.nih.gov/books/NBK470332/&lt;/url&gt;&lt;/related-urls&gt;&lt;/urls&gt;&lt;custom1&gt;2023&lt;/custom1&gt;&lt;custom2&gt;18 September&lt;/custom2&gt;&lt;/record&gt;&lt;/Cite&gt;&lt;/EndNote&gt;</w:instrText>
      </w:r>
      <w:r w:rsidR="00635FCD" w:rsidRPr="00A55335">
        <w:fldChar w:fldCharType="separate"/>
      </w:r>
      <w:r w:rsidR="00067842">
        <w:rPr>
          <w:noProof/>
        </w:rPr>
        <w:t>(</w:t>
      </w:r>
      <w:hyperlink w:anchor="_ENREF_86" w:tooltip="Danishyar, 2023 #345" w:history="1">
        <w:r w:rsidR="00EC2769">
          <w:rPr>
            <w:noProof/>
          </w:rPr>
          <w:t>86</w:t>
        </w:r>
      </w:hyperlink>
      <w:r w:rsidR="00067842">
        <w:rPr>
          <w:noProof/>
        </w:rPr>
        <w:t>)</w:t>
      </w:r>
      <w:r w:rsidR="00635FCD" w:rsidRPr="00A55335">
        <w:fldChar w:fldCharType="end"/>
      </w:r>
      <w:r w:rsidRPr="00A55335">
        <w:t xml:space="preserve">. Although most infections resolve spontaneously with no lasting effects, some children can experience recurrent infections and complications </w:t>
      </w:r>
      <w:r w:rsidR="00635FCD" w:rsidRPr="00A55335">
        <w:fldChar w:fldCharType="begin"/>
      </w:r>
      <w:r w:rsidR="006952AD">
        <w:instrText xml:space="preserve"> ADDIN EN.CITE &lt;EndNote&gt;&lt;Cite&gt;&lt;Author&gt;Brennan-Jones&lt;/Author&gt;&lt;Year&gt;2020&lt;/Year&gt;&lt;RecNum&gt;346&lt;/RecNum&gt;&lt;DisplayText&gt;(87)&lt;/DisplayText&gt;&lt;record&gt;&lt;rec-number&gt;346&lt;/rec-number&gt;&lt;foreign-keys&gt;&lt;key app="EN" db-id="t5prptatr9sp0we5exbxt9zz20fwp55tdza9" timestamp="1700774032"&gt;346&lt;/key&gt;&lt;/foreign-keys&gt;&lt;ref-type name="Journal Article"&gt;17&lt;/ref-type&gt;&lt;contributors&gt;&lt;authors&gt;&lt;author&gt;Brennan-Jones, Christopher G.&lt;/author&gt;&lt;author&gt;Hakeem, Hrehan H.&lt;/author&gt;&lt;author&gt;Costa, Cheryl Da&lt;/author&gt;&lt;author&gt;Weng, Weijie&lt;/author&gt;&lt;author&gt;Whitehouse, Andrew J. O.&lt;/author&gt;&lt;author&gt;Jamieson, Sarra E.&lt;/author&gt;&lt;author&gt;Eikelboom, Robert H.&lt;/author&gt;&lt;/authors&gt;&lt;/contributors&gt;&lt;titles&gt;&lt;title&gt;Cross-sectional prevalence and risk factors for otitis media and hearing loss in Australian children aged 5 to 7 years: a prospective cohort study&lt;/title&gt;&lt;secondary-title&gt;Australian Journal of Otolaryngology&lt;/secondary-title&gt;&lt;short-title&gt;Cross-sectional prevalence and risk factors for otitis media and hearing loss in Australian children aged 5 to 7 years: a prospective cohort study&lt;/short-title&gt;&lt;/titles&gt;&lt;periodical&gt;&lt;full-title&gt;Australian Journal of Otolaryngology&lt;/full-title&gt;&lt;/periodical&gt;&lt;volume&gt;3&lt;/volume&gt;&lt;dates&gt;&lt;year&gt;2020&lt;/year&gt;&lt;/dates&gt;&lt;isbn&gt;2616-2792&lt;/isbn&gt;&lt;urls&gt;&lt;related-urls&gt;&lt;url&gt;https://www.theajo.com/article/view/4259&lt;/url&gt;&lt;/related-urls&gt;&lt;/urls&gt;&lt;/record&gt;&lt;/Cite&gt;&lt;/EndNote&gt;</w:instrText>
      </w:r>
      <w:r w:rsidR="00635FCD" w:rsidRPr="00A55335">
        <w:fldChar w:fldCharType="separate"/>
      </w:r>
      <w:r w:rsidR="00067842">
        <w:rPr>
          <w:noProof/>
        </w:rPr>
        <w:t>(</w:t>
      </w:r>
      <w:hyperlink w:anchor="_ENREF_87" w:tooltip="Brennan-Jones, 2020 #346" w:history="1">
        <w:r w:rsidR="00EC2769">
          <w:rPr>
            <w:noProof/>
          </w:rPr>
          <w:t>87</w:t>
        </w:r>
      </w:hyperlink>
      <w:r w:rsidR="00067842">
        <w:rPr>
          <w:noProof/>
        </w:rPr>
        <w:t>)</w:t>
      </w:r>
      <w:r w:rsidR="00635FCD" w:rsidRPr="00A55335">
        <w:fldChar w:fldCharType="end"/>
      </w:r>
      <w:r w:rsidRPr="00A55335">
        <w:t xml:space="preserve">. Otitis media can cause temporary hearing loss, which can significantly impact a child’s speech and language development, particularly if affected by recurrent episodes during school age </w:t>
      </w:r>
      <w:r w:rsidR="00635FCD" w:rsidRPr="00A55335">
        <w:fldChar w:fldCharType="begin"/>
      </w:r>
      <w:r w:rsidR="006952AD">
        <w:instrText xml:space="preserve"> ADDIN EN.CITE &lt;EndNote&gt;&lt;Cite&gt;&lt;Author&gt;Brennan-Jones&lt;/Author&gt;&lt;Year&gt;2020&lt;/Year&gt;&lt;RecNum&gt;346&lt;/RecNum&gt;&lt;DisplayText&gt;(87)&lt;/DisplayText&gt;&lt;record&gt;&lt;rec-number&gt;346&lt;/rec-number&gt;&lt;foreign-keys&gt;&lt;key app="EN" db-id="t5prptatr9sp0we5exbxt9zz20fwp55tdza9" timestamp="1700774032"&gt;346&lt;/key&gt;&lt;/foreign-keys&gt;&lt;ref-type name="Journal Article"&gt;17&lt;/ref-type&gt;&lt;contributors&gt;&lt;authors&gt;&lt;author&gt;Brennan-Jones, Christopher G.&lt;/author&gt;&lt;author&gt;Hakeem, Hrehan H.&lt;/author&gt;&lt;author&gt;Costa, Cheryl Da&lt;/author&gt;&lt;author&gt;Weng, Weijie&lt;/author&gt;&lt;author&gt;Whitehouse, Andrew J. O.&lt;/author&gt;&lt;author&gt;Jamieson, Sarra E.&lt;/author&gt;&lt;author&gt;Eikelboom, Robert H.&lt;/author&gt;&lt;/authors&gt;&lt;/contributors&gt;&lt;titles&gt;&lt;title&gt;Cross-sectional prevalence and risk factors for otitis media and hearing loss in Australian children aged 5 to 7 years: a prospective cohort study&lt;/title&gt;&lt;secondary-title&gt;Australian Journal of Otolaryngology&lt;/secondary-title&gt;&lt;short-title&gt;Cross-sectional prevalence and risk factors for otitis media and hearing loss in Australian children aged 5 to 7 years: a prospective cohort study&lt;/short-title&gt;&lt;/titles&gt;&lt;periodical&gt;&lt;full-title&gt;Australian Journal of Otolaryngology&lt;/full-title&gt;&lt;/periodical&gt;&lt;volume&gt;3&lt;/volume&gt;&lt;dates&gt;&lt;year&gt;2020&lt;/year&gt;&lt;/dates&gt;&lt;isbn&gt;2616-2792&lt;/isbn&gt;&lt;urls&gt;&lt;related-urls&gt;&lt;url&gt;https://www.theajo.com/article/view/4259&lt;/url&gt;&lt;/related-urls&gt;&lt;/urls&gt;&lt;/record&gt;&lt;/Cite&gt;&lt;/EndNote&gt;</w:instrText>
      </w:r>
      <w:r w:rsidR="00635FCD" w:rsidRPr="00A55335">
        <w:fldChar w:fldCharType="separate"/>
      </w:r>
      <w:r w:rsidR="00067842">
        <w:rPr>
          <w:noProof/>
        </w:rPr>
        <w:t>(</w:t>
      </w:r>
      <w:hyperlink w:anchor="_ENREF_87" w:tooltip="Brennan-Jones, 2020 #346" w:history="1">
        <w:r w:rsidR="00EC2769">
          <w:rPr>
            <w:noProof/>
          </w:rPr>
          <w:t>87</w:t>
        </w:r>
      </w:hyperlink>
      <w:r w:rsidR="00067842">
        <w:rPr>
          <w:noProof/>
        </w:rPr>
        <w:t>)</w:t>
      </w:r>
      <w:r w:rsidR="00635FCD" w:rsidRPr="00A55335">
        <w:fldChar w:fldCharType="end"/>
      </w:r>
      <w:r w:rsidRPr="00A55335">
        <w:t xml:space="preserve">. </w:t>
      </w:r>
    </w:p>
    <w:p w14:paraId="506EEAFE" w14:textId="4E344584" w:rsidR="00DD505D" w:rsidRPr="00A55335" w:rsidRDefault="00DD505D" w:rsidP="00DD505D">
      <w:pPr>
        <w:pStyle w:val="BodyText"/>
      </w:pPr>
      <w:r w:rsidRPr="00A55335">
        <w:t xml:space="preserve">Otitis media is often associated with acute ear pain and may be accompanied by a fever and cold and flu symptoms </w:t>
      </w:r>
      <w:r w:rsidR="00635FCD" w:rsidRPr="00A55335">
        <w:fldChar w:fldCharType="begin"/>
      </w:r>
      <w:r w:rsidR="006952AD">
        <w:instrText xml:space="preserve"> ADDIN EN.CITE &lt;EndNote&gt;&lt;Cite ExcludeAuth="1"&gt;&lt;Year&gt;2018&lt;/Year&gt;&lt;RecNum&gt;347&lt;/RecNum&gt;&lt;DisplayText&gt;(88)&lt;/DisplayText&gt;&lt;record&gt;&lt;rec-number&gt;347&lt;/rec-number&gt;&lt;foreign-keys&gt;&lt;key app="EN" db-id="t5prptatr9sp0we5exbxt9zz20fwp55tdza9" timestamp="1700774032"&gt;347&lt;/key&gt;&lt;/foreign-keys&gt;&lt;ref-type name="Web Page"&gt;12&lt;/ref-type&gt;&lt;contributors&gt;&lt;/contributors&gt;&lt;titles&gt;&lt;title&gt;Ear infections and glue ear&lt;/title&gt;&lt;/titles&gt;&lt;volume&gt;2023&lt;/volume&gt;&lt;number&gt;18 September&lt;/number&gt;&lt;dates&gt;&lt;year&gt;2018&lt;/year&gt;&lt;/dates&gt;&lt;publisher&gt;The Royal Children&amp;apos;s Hospital Melbourne&lt;/publisher&gt;&lt;urls&gt;&lt;related-urls&gt;&lt;url&gt;https://www.rch.org.au/kidsinfo/fact_sheets/ear_infections_and_otitis_media/&lt;/url&gt;&lt;/related-urls&gt;&lt;/urls&gt;&lt;custom1&gt;2023&lt;/custom1&gt;&lt;custom2&gt;18 September&lt;/custom2&gt;&lt;/record&gt;&lt;/Cite&gt;&lt;/EndNote&gt;</w:instrText>
      </w:r>
      <w:r w:rsidR="00635FCD" w:rsidRPr="00A55335">
        <w:fldChar w:fldCharType="separate"/>
      </w:r>
      <w:r w:rsidR="00067842">
        <w:rPr>
          <w:noProof/>
        </w:rPr>
        <w:t>(</w:t>
      </w:r>
      <w:hyperlink w:anchor="_ENREF_88" w:tooltip=", 2018 #347" w:history="1">
        <w:r w:rsidR="00EC2769">
          <w:rPr>
            <w:noProof/>
          </w:rPr>
          <w:t>88</w:t>
        </w:r>
      </w:hyperlink>
      <w:r w:rsidR="00067842">
        <w:rPr>
          <w:noProof/>
        </w:rPr>
        <w:t>)</w:t>
      </w:r>
      <w:r w:rsidR="00635FCD" w:rsidRPr="00A55335">
        <w:fldChar w:fldCharType="end"/>
      </w:r>
      <w:r w:rsidRPr="00A55335">
        <w:t xml:space="preserve">. It is diagnosed by physical examination, usually with an otoscope. Otitis media with effusion is the most common form of otitis media and is characterised by the presence of fluid in the middle ear that does not accompany an acute infection </w:t>
      </w:r>
      <w:r w:rsidR="00635FCD" w:rsidRPr="00A55335">
        <w:fldChar w:fldCharType="begin"/>
      </w:r>
      <w:r w:rsidR="006952AD">
        <w:instrText xml:space="preserve"> ADDIN EN.CITE &lt;EndNote&gt;&lt;Cite&gt;&lt;Author&gt;Searight&lt;/Author&gt;&lt;Year&gt;2023&lt;/Year&gt;&lt;RecNum&gt;348&lt;/RecNum&gt;&lt;DisplayText&gt;(89)&lt;/DisplayText&gt;&lt;record&gt;&lt;rec-number&gt;348&lt;/rec-number&gt;&lt;foreign-keys&gt;&lt;key app="EN" db-id="t5prptatr9sp0we5exbxt9zz20fwp55tdza9" timestamp="1700774032"&gt;348&lt;/key&gt;&lt;/foreign-keys&gt;&lt;ref-type name="Web Page"&gt;12&lt;/ref-type&gt;&lt;contributors&gt;&lt;authors&gt;&lt;author&gt;Searight, F.&lt;/author&gt;&lt;author&gt;Singh, R. &lt;/author&gt;&lt;author&gt;Peterson, D.&lt;/author&gt;&lt;/authors&gt;&lt;/contributors&gt;&lt;titles&gt;&lt;title&gt;Otitis Media With Effusion&lt;/title&gt;&lt;/titles&gt;&lt;volume&gt;2023&lt;/volume&gt;&lt;number&gt;18 September&lt;/number&gt;&lt;dates&gt;&lt;year&gt;2023&lt;/year&gt;&lt;/dates&gt;&lt;pub-location&gt;Treasure Island (FL)&lt;/pub-location&gt;&lt;publisher&gt;StatPearls Publishing&lt;/publisher&gt;&lt;urls&gt;&lt;related-urls&gt;&lt;url&gt;https://www.ncbi.nlm.nih.gov/books/NBK538293/&lt;/url&gt;&lt;/related-urls&gt;&lt;/urls&gt;&lt;custom1&gt;2023&lt;/custom1&gt;&lt;custom2&gt;18 September&lt;/custom2&gt;&lt;/record&gt;&lt;/Cite&gt;&lt;/EndNote&gt;</w:instrText>
      </w:r>
      <w:r w:rsidR="00635FCD" w:rsidRPr="00A55335">
        <w:fldChar w:fldCharType="separate"/>
      </w:r>
      <w:r w:rsidR="00067842">
        <w:rPr>
          <w:noProof/>
        </w:rPr>
        <w:t>(</w:t>
      </w:r>
      <w:hyperlink w:anchor="_ENREF_89" w:tooltip="Searight, 2023 #348" w:history="1">
        <w:r w:rsidR="00EC2769">
          <w:rPr>
            <w:noProof/>
          </w:rPr>
          <w:t>89</w:t>
        </w:r>
      </w:hyperlink>
      <w:r w:rsidR="00067842">
        <w:rPr>
          <w:noProof/>
        </w:rPr>
        <w:t>)</w:t>
      </w:r>
      <w:r w:rsidR="00635FCD" w:rsidRPr="00A55335">
        <w:fldChar w:fldCharType="end"/>
      </w:r>
      <w:r w:rsidRPr="00A55335">
        <w:t xml:space="preserve">. The condition will generally resolve without treatment, however in serious chronic cases may require insertion of a tube to allow ventilation and prevention of fluid accumulation </w:t>
      </w:r>
      <w:r w:rsidR="00635FCD" w:rsidRPr="00A55335">
        <w:fldChar w:fldCharType="begin"/>
      </w:r>
      <w:r w:rsidR="006952AD">
        <w:instrText xml:space="preserve"> ADDIN EN.CITE &lt;EndNote&gt;&lt;Cite&gt;&lt;Author&gt;Searight&lt;/Author&gt;&lt;Year&gt;2023&lt;/Year&gt;&lt;RecNum&gt;348&lt;/RecNum&gt;&lt;DisplayText&gt;(89)&lt;/DisplayText&gt;&lt;record&gt;&lt;rec-number&gt;348&lt;/rec-number&gt;&lt;foreign-keys&gt;&lt;key app="EN" db-id="t5prptatr9sp0we5exbxt9zz20fwp55tdza9" timestamp="1700774032"&gt;348&lt;/key&gt;&lt;/foreign-keys&gt;&lt;ref-type name="Web Page"&gt;12&lt;/ref-type&gt;&lt;contributors&gt;&lt;authors&gt;&lt;author&gt;Searight, F.&lt;/author&gt;&lt;author&gt;Singh, R. &lt;/author&gt;&lt;author&gt;Peterson, D.&lt;/author&gt;&lt;/authors&gt;&lt;/contributors&gt;&lt;titles&gt;&lt;title&gt;Otitis Media With Effusion&lt;/title&gt;&lt;/titles&gt;&lt;volume&gt;2023&lt;/volume&gt;&lt;number&gt;18 September&lt;/number&gt;&lt;dates&gt;&lt;year&gt;2023&lt;/year&gt;&lt;/dates&gt;&lt;pub-location&gt;Treasure Island (FL)&lt;/pub-location&gt;&lt;publisher&gt;StatPearls Publishing&lt;/publisher&gt;&lt;urls&gt;&lt;related-urls&gt;&lt;url&gt;https://www.ncbi.nlm.nih.gov/books/NBK538293/&lt;/url&gt;&lt;/related-urls&gt;&lt;/urls&gt;&lt;custom1&gt;2023&lt;/custom1&gt;&lt;custom2&gt;18 September&lt;/custom2&gt;&lt;/record&gt;&lt;/Cite&gt;&lt;/EndNote&gt;</w:instrText>
      </w:r>
      <w:r w:rsidR="00635FCD" w:rsidRPr="00A55335">
        <w:fldChar w:fldCharType="separate"/>
      </w:r>
      <w:r w:rsidR="00067842">
        <w:rPr>
          <w:noProof/>
        </w:rPr>
        <w:t>(</w:t>
      </w:r>
      <w:hyperlink w:anchor="_ENREF_89" w:tooltip="Searight, 2023 #348" w:history="1">
        <w:r w:rsidR="00EC2769">
          <w:rPr>
            <w:noProof/>
          </w:rPr>
          <w:t>89</w:t>
        </w:r>
      </w:hyperlink>
      <w:r w:rsidR="00067842">
        <w:rPr>
          <w:noProof/>
        </w:rPr>
        <w:t>)</w:t>
      </w:r>
      <w:r w:rsidR="00635FCD" w:rsidRPr="00A55335">
        <w:fldChar w:fldCharType="end"/>
      </w:r>
      <w:r w:rsidRPr="00A55335">
        <w:t xml:space="preserve">. </w:t>
      </w:r>
    </w:p>
    <w:p w14:paraId="4A39FDF2" w14:textId="0772BE24" w:rsidR="00DD505D" w:rsidRPr="00A55335" w:rsidRDefault="00DD505D" w:rsidP="00DD505D">
      <w:pPr>
        <w:pStyle w:val="BodyText"/>
      </w:pPr>
      <w:r w:rsidRPr="00A55335">
        <w:t xml:space="preserve">Acute otitis media can be caused by a viral or bacterial infection, or a combination of both. These infections usually resolve on their own and are recommended to be managed with </w:t>
      </w:r>
      <w:r w:rsidR="00967443" w:rsidRPr="00A55335">
        <w:t>analgesics</w:t>
      </w:r>
      <w:r w:rsidRPr="00A55335">
        <w:t xml:space="preserve"> unless the patient is at high risk, or a bacterial infection is strongly suspected </w:t>
      </w:r>
      <w:r w:rsidR="00635FCD" w:rsidRPr="00A55335">
        <w:fldChar w:fldCharType="begin"/>
      </w:r>
      <w:r w:rsidR="006952AD">
        <w:instrText xml:space="preserve"> ADDIN EN.CITE &lt;EndNote&gt;&lt;Cite ExcludeAuth="1"&gt;&lt;Year&gt;2021&lt;/Year&gt;&lt;RecNum&gt;349&lt;/RecNum&gt;&lt;DisplayText&gt;(90)&lt;/DisplayText&gt;&lt;record&gt;&lt;rec-number&gt;349&lt;/rec-number&gt;&lt;foreign-keys&gt;&lt;key app="EN" db-id="t5prptatr9sp0we5exbxt9zz20fwp55tdza9" timestamp="1700774032"&gt;349&lt;/key&gt;&lt;/foreign-keys&gt;&lt;ref-type name="Web Page"&gt;12&lt;/ref-type&gt;&lt;contributors&gt;&lt;/contributors&gt;&lt;titles&gt;&lt;title&gt;Clinical pratice guidlines: acute otitis media&lt;/title&gt;&lt;/titles&gt;&lt;volume&gt;2023&lt;/volume&gt;&lt;number&gt;18 September&lt;/number&gt;&lt;dates&gt;&lt;year&gt;2021&lt;/year&gt;&lt;/dates&gt;&lt;publisher&gt;The Royal Children&amp;apos;s Hospital Melbourne&lt;/publisher&gt;&lt;urls&gt;&lt;related-urls&gt;&lt;url&gt;https://www.rch.org.au/clinicalguide/guideline_index/acute_otitis_media/&lt;/url&gt;&lt;/related-urls&gt;&lt;/urls&gt;&lt;custom1&gt;2023&lt;/custom1&gt;&lt;custom2&gt;18 September&lt;/custom2&gt;&lt;/record&gt;&lt;/Cite&gt;&lt;/EndNote&gt;</w:instrText>
      </w:r>
      <w:r w:rsidR="00635FCD" w:rsidRPr="00A55335">
        <w:fldChar w:fldCharType="separate"/>
      </w:r>
      <w:r w:rsidR="00067842">
        <w:rPr>
          <w:noProof/>
        </w:rPr>
        <w:t>(</w:t>
      </w:r>
      <w:hyperlink w:anchor="_ENREF_90" w:tooltip=", 2021 #349" w:history="1">
        <w:r w:rsidR="00EC2769">
          <w:rPr>
            <w:noProof/>
          </w:rPr>
          <w:t>90</w:t>
        </w:r>
      </w:hyperlink>
      <w:r w:rsidR="00067842">
        <w:rPr>
          <w:noProof/>
        </w:rPr>
        <w:t>)</w:t>
      </w:r>
      <w:r w:rsidR="00635FCD" w:rsidRPr="00A55335">
        <w:fldChar w:fldCharType="end"/>
      </w:r>
      <w:r w:rsidRPr="00A55335">
        <w:t xml:space="preserve">. Chronic suppurative otitis media is a progression of an otitis media infection that is characterised by ongoing infection with a perforated tympanic membrane and persistent drainage </w:t>
      </w:r>
      <w:r w:rsidR="00635FCD" w:rsidRPr="00A55335">
        <w:fldChar w:fldCharType="begin"/>
      </w:r>
      <w:r w:rsidR="006952AD">
        <w:instrText xml:space="preserve"> ADDIN EN.CITE &lt;EndNote&gt;&lt;Cite&gt;&lt;Author&gt;Rosario.&lt;/Author&gt;&lt;Year&gt;2023&lt;/Year&gt;&lt;RecNum&gt;350&lt;/RecNum&gt;&lt;DisplayText&gt;(91)&lt;/DisplayText&gt;&lt;record&gt;&lt;rec-number&gt;350&lt;/rec-number&gt;&lt;foreign-keys&gt;&lt;key app="EN" db-id="t5prptatr9sp0we5exbxt9zz20fwp55tdza9" timestamp="1700774032"&gt;350&lt;/key&gt;&lt;/foreign-keys&gt;&lt;ref-type name="Web Page"&gt;12&lt;/ref-type&gt;&lt;contributors&gt;&lt;authors&gt;&lt;author&gt;Digna Rosario.&lt;/author&gt;&lt;author&gt;Magda Mendez.&lt;/author&gt;&lt;/authors&gt;&lt;/contributors&gt;&lt;titles&gt;&lt;title&gt;StatPearls [Internet]. Chronic Suppurative Otitis&lt;/title&gt;&lt;/titles&gt;&lt;volume&gt;2023&lt;/volume&gt;&lt;number&gt;18 September&lt;/number&gt;&lt;dates&gt;&lt;year&gt;2023&lt;/year&gt;&lt;/dates&gt;&lt;pub-location&gt;Treasure Island (FL)&lt;/pub-location&gt;&lt;publisher&gt;StatPearls Publishing&lt;/publisher&gt;&lt;urls&gt;&lt;related-urls&gt;&lt;url&gt;https://www.ncbi.nlm.nih.gov/books/NBK554592/&lt;/url&gt;&lt;/related-urls&gt;&lt;/urls&gt;&lt;custom1&gt;2023&lt;/custom1&gt;&lt;custom2&gt;18 September&lt;/custom2&gt;&lt;/record&gt;&lt;/Cite&gt;&lt;/EndNote&gt;</w:instrText>
      </w:r>
      <w:r w:rsidR="00635FCD" w:rsidRPr="00A55335">
        <w:fldChar w:fldCharType="separate"/>
      </w:r>
      <w:r w:rsidR="00067842">
        <w:rPr>
          <w:noProof/>
        </w:rPr>
        <w:t>(</w:t>
      </w:r>
      <w:hyperlink w:anchor="_ENREF_91" w:tooltip="Rosario., 2023 #350" w:history="1">
        <w:r w:rsidR="00EC2769">
          <w:rPr>
            <w:noProof/>
          </w:rPr>
          <w:t>91</w:t>
        </w:r>
      </w:hyperlink>
      <w:r w:rsidR="00067842">
        <w:rPr>
          <w:noProof/>
        </w:rPr>
        <w:t>)</w:t>
      </w:r>
      <w:r w:rsidR="00635FCD" w:rsidRPr="00A55335">
        <w:fldChar w:fldCharType="end"/>
      </w:r>
      <w:r w:rsidRPr="00A55335">
        <w:t xml:space="preserve">. </w:t>
      </w:r>
    </w:p>
    <w:p w14:paraId="2DD0076E" w14:textId="01EE5E5F" w:rsidR="00DD505D" w:rsidRPr="00A55335" w:rsidRDefault="00DD505D" w:rsidP="00DD505D">
      <w:pPr>
        <w:pStyle w:val="BodyText"/>
      </w:pPr>
      <w:r w:rsidRPr="00A55335">
        <w:t>Recurrent otitis media is defined as 3 or more episodes of acute otitis media in 6 months</w:t>
      </w:r>
      <w:r w:rsidR="00F05C84" w:rsidRPr="00A55335">
        <w:t>,</w:t>
      </w:r>
      <w:r w:rsidRPr="00A55335">
        <w:t xml:space="preserve"> or 4 or more episodes in</w:t>
      </w:r>
      <w:r w:rsidR="00980CA0" w:rsidRPr="00A55335">
        <w:t xml:space="preserve"> one </w:t>
      </w:r>
      <w:r w:rsidRPr="00A55335">
        <w:t xml:space="preserve">year </w:t>
      </w:r>
      <w:r w:rsidR="00635FCD" w:rsidRPr="00A55335">
        <w:fldChar w:fldCharType="begin"/>
      </w:r>
      <w:r w:rsidR="006952AD">
        <w:instrText xml:space="preserve"> ADDIN EN.CITE &lt;EndNote&gt;&lt;Cite&gt;&lt;Author&gt;Randall&lt;/Author&gt;&lt;Year&gt;1992&lt;/Year&gt;&lt;RecNum&gt;351&lt;/RecNum&gt;&lt;DisplayText&gt;(92)&lt;/DisplayText&gt;&lt;record&gt;&lt;rec-number&gt;351&lt;/rec-number&gt;&lt;foreign-keys&gt;&lt;key app="EN" db-id="t5prptatr9sp0we5exbxt9zz20fwp55tdza9" timestamp="1700774032"&gt;351&lt;/key&gt;&lt;/foreign-keys&gt;&lt;ref-type name="Journal Article"&gt;17&lt;/ref-type&gt;&lt;contributors&gt;&lt;authors&gt;&lt;author&gt;Randall, D. A.&lt;/author&gt;&lt;author&gt;Fornadley, J. A.&lt;/author&gt;&lt;author&gt;Kennedy, K. S.&lt;/author&gt;&lt;/authors&gt;&lt;/contributors&gt;&lt;auth-address&gt;Naval Hospital, San Diego, California.&lt;/auth-address&gt;&lt;titles&gt;&lt;title&gt;Management of recurrent otitis media&lt;/title&gt;&lt;secondary-title&gt;Am Fam Physician&lt;/secondary-title&gt;&lt;/titles&gt;&lt;periodical&gt;&lt;full-title&gt;Am Fam Physician&lt;/full-title&gt;&lt;/periodical&gt;&lt;pages&gt;2117-23&lt;/pages&gt;&lt;volume&gt;45&lt;/volume&gt;&lt;number&gt;5&lt;/number&gt;&lt;keywords&gt;&lt;keyword&gt;Acute Disease&lt;/keyword&gt;&lt;keyword&gt;Anti-Bacterial Agents/therapeutic use&lt;/keyword&gt;&lt;keyword&gt;Child&lt;/keyword&gt;&lt;keyword&gt;Child, Preschool&lt;/keyword&gt;&lt;keyword&gt;Humans&lt;/keyword&gt;&lt;keyword&gt;Infant&lt;/keyword&gt;&lt;keyword&gt;Otitis Media/etiology/*therapy&lt;/keyword&gt;&lt;keyword&gt;Recurrence&lt;/keyword&gt;&lt;keyword&gt;Risk Factors&lt;/keyword&gt;&lt;/keywords&gt;&lt;dates&gt;&lt;year&gt;1992&lt;/year&gt;&lt;pub-dates&gt;&lt;date&gt;May&lt;/date&gt;&lt;/pub-dates&gt;&lt;/dates&gt;&lt;isbn&gt;0002-838X (Print)&amp;#xD;0002-838X (Linking)&lt;/isbn&gt;&lt;accession-num&gt;1575107&lt;/accession-num&gt;&lt;urls&gt;&lt;related-urls&gt;&lt;url&gt;https://www.ncbi.nlm.nih.gov/pubmed/1575107&lt;/url&gt;&lt;/related-urls&gt;&lt;/urls&gt;&lt;remote-database-name&gt;Medline&lt;/remote-database-name&gt;&lt;remote-database-provider&gt;NLM&lt;/remote-database-provider&gt;&lt;language&gt;eng&lt;/language&gt;&lt;/record&gt;&lt;/Cite&gt;&lt;/EndNote&gt;</w:instrText>
      </w:r>
      <w:r w:rsidR="00635FCD" w:rsidRPr="00A55335">
        <w:fldChar w:fldCharType="separate"/>
      </w:r>
      <w:r w:rsidR="00067842">
        <w:rPr>
          <w:noProof/>
        </w:rPr>
        <w:t>(</w:t>
      </w:r>
      <w:hyperlink w:anchor="_ENREF_92" w:tooltip="Randall, 1992 #351" w:history="1">
        <w:r w:rsidR="00EC2769">
          <w:rPr>
            <w:noProof/>
          </w:rPr>
          <w:t>92</w:t>
        </w:r>
      </w:hyperlink>
      <w:r w:rsidR="00067842">
        <w:rPr>
          <w:noProof/>
        </w:rPr>
        <w:t>)</w:t>
      </w:r>
      <w:r w:rsidR="00635FCD" w:rsidRPr="00A55335">
        <w:fldChar w:fldCharType="end"/>
      </w:r>
      <w:r w:rsidRPr="00A55335">
        <w:t xml:space="preserve">. Children who have their first episode of otitis media prior to 12 months of age are at greater risk of developing recurrent otitis media </w:t>
      </w:r>
      <w:r w:rsidR="00635FCD" w:rsidRPr="00A55335">
        <w:fldChar w:fldCharType="begin"/>
      </w:r>
      <w:r w:rsidR="006952AD">
        <w:instrText xml:space="preserve"> ADDIN EN.CITE &lt;EndNote&gt;&lt;Cite&gt;&lt;Author&gt;Wald&lt;/Author&gt;&lt;Year&gt;2021&lt;/Year&gt;&lt;RecNum&gt;352&lt;/RecNum&gt;&lt;DisplayText&gt;(93)&lt;/DisplayText&gt;&lt;record&gt;&lt;rec-number&gt;352&lt;/rec-number&gt;&lt;foreign-keys&gt;&lt;key app="EN" db-id="t5prptatr9sp0we5exbxt9zz20fwp55tdza9" timestamp="1700774032"&gt;352&lt;/key&gt;&lt;/foreign-keys&gt;&lt;ref-type name="Journal Article"&gt;17&lt;/ref-type&gt;&lt;contributors&gt;&lt;authors&gt;&lt;author&gt;Wald, E. R.&lt;/author&gt;&lt;/authors&gt;&lt;/contributors&gt;&lt;auth-address&gt;From the Department of Pediatrics, University of Wisconsin School of Medicine and Public Health, Madison.&lt;/auth-address&gt;&lt;titles&gt;&lt;title&gt;Management of Recurrent Acute Otitis Media&lt;/title&gt;&lt;secondary-title&gt;N Engl J Med&lt;/secondary-title&gt;&lt;/titles&gt;&lt;pages&gt;1859-1860&lt;/pages&gt;&lt;volume&gt;384&lt;/volume&gt;&lt;number&gt;19&lt;/number&gt;&lt;keywords&gt;&lt;keyword&gt;Humans&lt;/keyword&gt;&lt;keyword&gt;Middle Ear Ventilation&lt;/keyword&gt;&lt;keyword&gt;*Otitis Media/drug therapy&lt;/keyword&gt;&lt;keyword&gt;*Otitis Media with Effusion&lt;/keyword&gt;&lt;/keywords&gt;&lt;dates&gt;&lt;year&gt;2021&lt;/year&gt;&lt;pub-dates&gt;&lt;date&gt;May 13&lt;/date&gt;&lt;/pub-dates&gt;&lt;/dates&gt;&lt;isbn&gt;1533-4406 (Electronic)&amp;#xD;0028-4793 (Linking)&lt;/isbn&gt;&lt;accession-num&gt;33979493&lt;/accession-num&gt;&lt;urls&gt;&lt;related-urls&gt;&lt;url&gt;https://www.ncbi.nlm.nih.gov/pubmed/33979493&lt;/url&gt;&lt;/related-urls&gt;&lt;/urls&gt;&lt;electronic-resource-num&gt;10.1056/NEJMe2104952&lt;/electronic-resource-num&gt;&lt;remote-database-name&gt;Medline&lt;/remote-database-name&gt;&lt;remote-database-provider&gt;NLM&lt;/remote-database-provider&gt;&lt;/record&gt;&lt;/Cite&gt;&lt;/EndNote&gt;</w:instrText>
      </w:r>
      <w:r w:rsidR="00635FCD" w:rsidRPr="00A55335">
        <w:fldChar w:fldCharType="separate"/>
      </w:r>
      <w:r w:rsidR="00067842">
        <w:rPr>
          <w:noProof/>
        </w:rPr>
        <w:t>(</w:t>
      </w:r>
      <w:hyperlink w:anchor="_ENREF_93" w:tooltip="Wald, 2021 #352" w:history="1">
        <w:r w:rsidR="00EC2769">
          <w:rPr>
            <w:noProof/>
          </w:rPr>
          <w:t>93</w:t>
        </w:r>
      </w:hyperlink>
      <w:r w:rsidR="00067842">
        <w:rPr>
          <w:noProof/>
        </w:rPr>
        <w:t>)</w:t>
      </w:r>
      <w:r w:rsidR="00635FCD" w:rsidRPr="00A55335">
        <w:fldChar w:fldCharType="end"/>
      </w:r>
      <w:r w:rsidRPr="00A55335">
        <w:t xml:space="preserve">. Treatment options for recurrent otitis media can be limited, as antibiotics are only effective for bacterial infections and are not always recommended. While most cases of otitis media will resolve spontaneously, the symptoms can be uncomfortable and unresolving with simple analgesics. Complementary and alternative therapies such as homeopathy are suggested to be able to relieve symptoms and prevent recurrence.  </w:t>
      </w:r>
    </w:p>
    <w:p w14:paraId="20B9CAA0" w14:textId="77777777" w:rsidR="00DD505D" w:rsidRPr="00A55335" w:rsidRDefault="00DD505D" w:rsidP="004D433B">
      <w:pPr>
        <w:pStyle w:val="Heading3"/>
      </w:pPr>
      <w:bookmarkStart w:id="105" w:name="_Toc183441311"/>
      <w:r w:rsidRPr="00A55335">
        <w:t>Description of studies</w:t>
      </w:r>
      <w:bookmarkEnd w:id="105"/>
      <w:r w:rsidRPr="00A55335">
        <w:t xml:space="preserve"> </w:t>
      </w:r>
    </w:p>
    <w:p w14:paraId="129F106E" w14:textId="54B943B0" w:rsidR="00DD505D" w:rsidRPr="00A55335" w:rsidRDefault="001221A6" w:rsidP="00DD505D">
      <w:pPr>
        <w:pStyle w:val="BodyText"/>
      </w:pPr>
      <w:r w:rsidRPr="00A55335">
        <w:t>There were 8</w:t>
      </w:r>
      <w:r w:rsidR="00DD505D" w:rsidRPr="00A55335">
        <w:t xml:space="preserve"> citations </w:t>
      </w:r>
      <w:r w:rsidR="00A64F90" w:rsidRPr="00A55335">
        <w:fldChar w:fldCharType="begin">
          <w:fldData xml:space="preserve">PEVuZE5vdGU+PENpdGU+PEF1dGhvcj5IYXJyaXNvbjwvQXV0aG9yPjxZZWFyPjE5OTk8L1llYXI+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</w:fldData>
        </w:fldChar>
      </w:r>
      <w:r w:rsidR="006952AD">
        <w:instrText xml:space="preserve"> ADDIN EN.CITE </w:instrText>
      </w:r>
      <w:r w:rsidR="006952AD">
        <w:fldChar w:fldCharType="begin">
          <w:fldData xml:space="preserve">PEVuZE5vdGU+PENpdGU+PEF1dGhvcj5IYXJyaXNvbjwvQXV0aG9yPjxZZWFyPjE5OTk8L1llYXI+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</w:fldData>
        </w:fldChar>
      </w:r>
      <w:r w:rsidR="006952AD">
        <w:instrText xml:space="preserve"> ADDIN EN.CITE.DATA </w:instrText>
      </w:r>
      <w:r w:rsidR="006952AD">
        <w:fldChar w:fldCharType="end"/>
      </w:r>
      <w:r w:rsidR="00A64F90" w:rsidRPr="00A55335">
        <w:fldChar w:fldCharType="separate"/>
      </w:r>
      <w:r w:rsidR="00067842">
        <w:rPr>
          <w:noProof/>
        </w:rPr>
        <w:t>(</w:t>
      </w:r>
      <w:hyperlink w:anchor="_ENREF_94" w:tooltip="Harrison, 1999 #543" w:history="1">
        <w:r w:rsidR="00EC2769">
          <w:rPr>
            <w:noProof/>
          </w:rPr>
          <w:t>94-101</w:t>
        </w:r>
      </w:hyperlink>
      <w:r w:rsidR="00067842">
        <w:rPr>
          <w:noProof/>
        </w:rPr>
        <w:t>)</w:t>
      </w:r>
      <w:r w:rsidR="00A64F90" w:rsidRPr="00A55335">
        <w:fldChar w:fldCharType="end"/>
      </w:r>
      <w:r w:rsidR="00817C8E" w:rsidRPr="00A55335">
        <w:t xml:space="preserve"> </w:t>
      </w:r>
      <w:r w:rsidR="00DD505D" w:rsidRPr="00A55335">
        <w:t>corresponding to 5 RCTs (Jacobs 2001, Pedrero-Escalas 2016, Sinha 2012, Taylor 2011 and Taylor 2014) and</w:t>
      </w:r>
      <w:r w:rsidR="00980CA0" w:rsidRPr="00A55335">
        <w:t xml:space="preserve"> one </w:t>
      </w:r>
      <w:r w:rsidR="00DD505D" w:rsidRPr="00A55335">
        <w:t>quasi RCT (Harrison 1999) identified in the literature</w:t>
      </w:r>
      <w:r w:rsidRPr="00A55335">
        <w:t xml:space="preserve"> search</w:t>
      </w:r>
      <w:r w:rsidR="00DD505D" w:rsidRPr="00A55335">
        <w:t xml:space="preserve">. </w:t>
      </w:r>
      <w:r w:rsidR="007447E1" w:rsidRPr="00A55335">
        <w:t xml:space="preserve">No studies were identified in the Department’s public call for evidence. </w:t>
      </w:r>
      <w:r w:rsidR="00DD505D" w:rsidRPr="00A55335">
        <w:t xml:space="preserve">There </w:t>
      </w:r>
      <w:r w:rsidR="00A87048" w:rsidRPr="00A55335">
        <w:t>were 2</w:t>
      </w:r>
      <w:r w:rsidR="00980CA0" w:rsidRPr="00A55335">
        <w:t xml:space="preserve"> </w:t>
      </w:r>
      <w:hyperlink w:anchor="_Ongoing_studies" w:history="1">
        <w:r w:rsidR="00DD505D" w:rsidRPr="00A55335">
          <w:rPr>
            <w:rStyle w:val="Hyperlink"/>
          </w:rPr>
          <w:t>ongoing stud</w:t>
        </w:r>
        <w:r w:rsidR="00A87048" w:rsidRPr="00A55335">
          <w:rPr>
            <w:rStyle w:val="Hyperlink"/>
          </w:rPr>
          <w:t>ies</w:t>
        </w:r>
      </w:hyperlink>
      <w:r w:rsidR="00DD505D" w:rsidRPr="00A55335">
        <w:t xml:space="preserve">, and </w:t>
      </w:r>
      <w:r w:rsidR="007447E1" w:rsidRPr="00A55335">
        <w:t>one</w:t>
      </w:r>
      <w:r w:rsidR="00DD505D" w:rsidRPr="00A55335">
        <w:t xml:space="preserve"> </w:t>
      </w:r>
      <w:hyperlink w:anchor="_Studies_awaiting_classification" w:history="1">
        <w:r w:rsidR="00DD505D" w:rsidRPr="00A55335">
          <w:rPr>
            <w:rStyle w:val="Hyperlink"/>
          </w:rPr>
          <w:t>stud</w:t>
        </w:r>
        <w:r w:rsidR="007447E1" w:rsidRPr="00A55335">
          <w:rPr>
            <w:rStyle w:val="Hyperlink"/>
          </w:rPr>
          <w:t>y</w:t>
        </w:r>
        <w:r w:rsidR="00DD505D" w:rsidRPr="00A55335">
          <w:rPr>
            <w:rStyle w:val="Hyperlink"/>
          </w:rPr>
          <w:t xml:space="preserve"> awaiting classification</w:t>
        </w:r>
      </w:hyperlink>
      <w:r w:rsidR="00DD505D" w:rsidRPr="00A55335">
        <w:t>. An overview of the PICO criteria of included studies is provided in Appendix D1.</w:t>
      </w:r>
      <w:r w:rsidR="009131E1" w:rsidRPr="00A55335">
        <w:t>3</w:t>
      </w:r>
      <w:r w:rsidR="00DD505D" w:rsidRPr="00A55335">
        <w:t>.1</w:t>
      </w:r>
      <w:r w:rsidR="009131E1" w:rsidRPr="00A55335">
        <w:t>.</w:t>
      </w:r>
    </w:p>
    <w:p w14:paraId="7B45F731" w14:textId="39C90539" w:rsidR="00DD505D" w:rsidRPr="00A55335" w:rsidRDefault="00DD505D" w:rsidP="00DD505D">
      <w:pPr>
        <w:pStyle w:val="BodyText"/>
      </w:pPr>
      <w:r w:rsidRPr="00A55335">
        <w:t>Five studies (Jacobs 2001, Pedrero-Escalas 2016, Sinha 2012, Taylor 2011 and Taylor 2014) were set in outpatient clinics in various international</w:t>
      </w:r>
      <w:r w:rsidR="004B54BC" w:rsidRPr="00A55335">
        <w:t xml:space="preserve"> locations</w:t>
      </w:r>
      <w:r w:rsidR="006D7D18" w:rsidRPr="00A55335">
        <w:t xml:space="preserve"> including </w:t>
      </w:r>
      <w:r w:rsidR="00F1779D" w:rsidRPr="00A55335">
        <w:t>India (Sinha 2012)</w:t>
      </w:r>
      <w:r w:rsidR="00CE63E0" w:rsidRPr="00A55335">
        <w:t xml:space="preserve"> Spain (Pedrero-Escalas 2016) and </w:t>
      </w:r>
      <w:r w:rsidR="006D7D18" w:rsidRPr="00A55335">
        <w:t>the United States</w:t>
      </w:r>
      <w:r w:rsidRPr="00A55335">
        <w:t xml:space="preserve"> (Jacobs 2001, Taylor 2011</w:t>
      </w:r>
      <w:r w:rsidR="00CE63E0" w:rsidRPr="00A55335">
        <w:t>,</w:t>
      </w:r>
      <w:r w:rsidRPr="00A55335">
        <w:t xml:space="preserve"> Taylor 2014). One study (Harrison 1999) was set in general practices in 2 locations in England. </w:t>
      </w:r>
    </w:p>
    <w:p w14:paraId="46290B96" w14:textId="250D398E" w:rsidR="00DD505D" w:rsidRPr="00A55335" w:rsidRDefault="00DD505D" w:rsidP="00DD505D">
      <w:pPr>
        <w:pStyle w:val="BodyText"/>
      </w:pPr>
      <w:r w:rsidRPr="00A55335">
        <w:t>Four studies (Jacobs 2001, Sinha 2012, Taylor 2011</w:t>
      </w:r>
      <w:r w:rsidR="00CB4279" w:rsidRPr="00A55335">
        <w:t xml:space="preserve">, </w:t>
      </w:r>
      <w:r w:rsidRPr="00A55335">
        <w:t xml:space="preserve">Taylor 2014) </w:t>
      </w:r>
      <w:r w:rsidR="0062628A" w:rsidRPr="00A55335">
        <w:t>enrolled</w:t>
      </w:r>
      <w:r w:rsidRPr="00A55335">
        <w:t xml:space="preserve"> children with acute otitis media, with sample sizes ranging from 75 to 210 (total 486</w:t>
      </w:r>
      <w:r w:rsidR="00CE63E0" w:rsidRPr="00A55335">
        <w:t xml:space="preserve"> participants</w:t>
      </w:r>
      <w:r w:rsidRPr="00A55335">
        <w:t xml:space="preserve">). </w:t>
      </w:r>
      <w:r w:rsidR="0059754F" w:rsidRPr="00A55335">
        <w:t xml:space="preserve">The other 2 </w:t>
      </w:r>
      <w:r w:rsidRPr="00A55335">
        <w:t>studies (Harrison 1999</w:t>
      </w:r>
      <w:r w:rsidR="00707BE1" w:rsidRPr="00A55335">
        <w:t xml:space="preserve">, </w:t>
      </w:r>
      <w:r w:rsidRPr="00A55335">
        <w:t xml:space="preserve">Pedrero-Escalas 2016) </w:t>
      </w:r>
      <w:r w:rsidR="0062628A" w:rsidRPr="00A55335">
        <w:t xml:space="preserve">enrolled </w:t>
      </w:r>
      <w:r w:rsidRPr="00A55335">
        <w:t>children with otitis media with effusion, with sample sizes ranging from 33 to 96 (total 129</w:t>
      </w:r>
      <w:r w:rsidR="00CE63E0" w:rsidRPr="00A55335">
        <w:t xml:space="preserve"> participants</w:t>
      </w:r>
      <w:r w:rsidRPr="00A55335">
        <w:t>)</w:t>
      </w:r>
    </w:p>
    <w:p w14:paraId="2FAE4BD7" w14:textId="7A0B4A5A" w:rsidR="00DD505D" w:rsidRPr="00A55335" w:rsidRDefault="00DD505D" w:rsidP="00DD505D">
      <w:pPr>
        <w:pStyle w:val="BodyText"/>
      </w:pPr>
      <w:r w:rsidRPr="00A55335">
        <w:lastRenderedPageBreak/>
        <w:t>Two studies (Jacobs 2091</w:t>
      </w:r>
      <w:r w:rsidR="00707BE1" w:rsidRPr="00A55335">
        <w:t>,</w:t>
      </w:r>
      <w:r w:rsidRPr="00A55335">
        <w:t xml:space="preserve"> Pedrero-Escalas 2016) compared homeopathy with placebo. In Jacobs 2001, participants from both treatment groups met with a homeopath. Participants in the homeopathy group received individualised homeopathy, and those in the placebo group received an identical placebo. Treatments were administered orally 3 times daily for 5 days or until improvement occurred. In Perero-Escalas 2016, non-individualised homeopathy was used, consisting of </w:t>
      </w:r>
      <w:proofErr w:type="spellStart"/>
      <w:r w:rsidRPr="00A55335">
        <w:t>Agraphis</w:t>
      </w:r>
      <w:proofErr w:type="spellEnd"/>
      <w:r w:rsidRPr="00A55335">
        <w:t xml:space="preserve"> nutans 5CH and Thuya Occidentalis 5CH, taken orally once daily and Kalium muriaticum 9CH and </w:t>
      </w:r>
      <w:proofErr w:type="spellStart"/>
      <w:r w:rsidRPr="00A55335">
        <w:t>Arsenicum</w:t>
      </w:r>
      <w:proofErr w:type="spellEnd"/>
      <w:r w:rsidRPr="00A55335">
        <w:t xml:space="preserve"> </w:t>
      </w:r>
      <w:proofErr w:type="spellStart"/>
      <w:r w:rsidRPr="00A55335">
        <w:t>iodatum</w:t>
      </w:r>
      <w:proofErr w:type="spellEnd"/>
      <w:r w:rsidRPr="00A55335">
        <w:t xml:space="preserve"> 9CH taken twice daily. Participants in the placebo group received a placebo treatment under the same regimen, with both groups receiving a co-intervention consisting of corticosteroids and mucolytics.</w:t>
      </w:r>
    </w:p>
    <w:p w14:paraId="4CA0427C" w14:textId="66C009A7" w:rsidR="00DD505D" w:rsidRPr="00A55335" w:rsidRDefault="006812BE" w:rsidP="00DD505D">
      <w:pPr>
        <w:pStyle w:val="BodyText"/>
      </w:pPr>
      <w:r w:rsidRPr="00A55335">
        <w:t>There were 3</w:t>
      </w:r>
      <w:r w:rsidR="00DD505D" w:rsidRPr="00A55335">
        <w:t xml:space="preserve"> studies (Harrison 1999, Taylor 2011</w:t>
      </w:r>
      <w:r w:rsidR="00511D4E" w:rsidRPr="00A55335">
        <w:t>,</w:t>
      </w:r>
      <w:r w:rsidR="00DD505D" w:rsidRPr="00A55335">
        <w:t xml:space="preserve"> Taylor 2014) </w:t>
      </w:r>
      <w:r w:rsidRPr="00A55335">
        <w:t xml:space="preserve">that </w:t>
      </w:r>
      <w:r w:rsidR="00DD505D" w:rsidRPr="00A55335">
        <w:t xml:space="preserve">compared homeopathy </w:t>
      </w:r>
      <w:r w:rsidR="00511D4E" w:rsidRPr="00A55335">
        <w:t>with</w:t>
      </w:r>
      <w:r w:rsidR="00DD505D" w:rsidRPr="00A55335">
        <w:t xml:space="preserve"> no intervention</w:t>
      </w:r>
      <w:r w:rsidR="000D5BD0" w:rsidRPr="00A55335">
        <w:t>, delivered as an adjunct to standard care</w:t>
      </w:r>
      <w:r w:rsidR="00DD505D" w:rsidRPr="00A55335">
        <w:t>. Of these,</w:t>
      </w:r>
      <w:r w:rsidRPr="00A55335">
        <w:t xml:space="preserve"> 2 studies (</w:t>
      </w:r>
      <w:r w:rsidR="00DD505D" w:rsidRPr="00A55335">
        <w:t>Taylor 2011</w:t>
      </w:r>
      <w:r w:rsidRPr="00A55335">
        <w:t>,</w:t>
      </w:r>
      <w:r w:rsidR="00DD505D" w:rsidRPr="00A55335">
        <w:t xml:space="preserve"> Taylor 2014</w:t>
      </w:r>
      <w:r w:rsidRPr="00A55335">
        <w:t>)</w:t>
      </w:r>
      <w:r w:rsidR="00DD505D" w:rsidRPr="00A55335">
        <w:t xml:space="preserve"> </w:t>
      </w:r>
      <w:r w:rsidR="008D5995" w:rsidRPr="00A55335">
        <w:t xml:space="preserve">administered </w:t>
      </w:r>
      <w:r w:rsidR="00DD505D" w:rsidRPr="00A55335">
        <w:t xml:space="preserve">homeopathic </w:t>
      </w:r>
      <w:r w:rsidR="0092390F" w:rsidRPr="00A55335">
        <w:t>ear drops</w:t>
      </w:r>
      <w:r w:rsidR="00DD505D" w:rsidRPr="00A55335">
        <w:t xml:space="preserve">, consisting of </w:t>
      </w:r>
      <w:r w:rsidR="00286D51" w:rsidRPr="00A55335">
        <w:t>6</w:t>
      </w:r>
      <w:r w:rsidR="004259E8" w:rsidRPr="00A55335">
        <w:t xml:space="preserve"> </w:t>
      </w:r>
      <w:r w:rsidR="005C657F" w:rsidRPr="00A55335">
        <w:t>products</w:t>
      </w:r>
      <w:r w:rsidR="004259E8" w:rsidRPr="00A55335">
        <w:t xml:space="preserve"> at 30c potency</w:t>
      </w:r>
      <w:r w:rsidR="00DD505D" w:rsidRPr="00A55335">
        <w:t>,</w:t>
      </w:r>
      <w:r w:rsidR="008D5995" w:rsidRPr="00A55335">
        <w:t xml:space="preserve"> </w:t>
      </w:r>
      <w:r w:rsidR="005C657F" w:rsidRPr="00A55335">
        <w:t xml:space="preserve">to relieve symptoms </w:t>
      </w:r>
      <w:r w:rsidR="00DD505D" w:rsidRPr="00A55335">
        <w:t>up to 3 times daily. Standard care consist</w:t>
      </w:r>
      <w:r w:rsidR="000D5BD0" w:rsidRPr="00A55335">
        <w:t>ed</w:t>
      </w:r>
      <w:r w:rsidR="00DD505D" w:rsidRPr="00A55335">
        <w:t xml:space="preserve"> of analgesics and antibiotics. One study (Harrison 1999) used individualised homeopathy</w:t>
      </w:r>
      <w:r w:rsidR="00066088" w:rsidRPr="00A55335">
        <w:t xml:space="preserve">, </w:t>
      </w:r>
      <w:r w:rsidR="00142720" w:rsidRPr="00A55335">
        <w:t xml:space="preserve">where </w:t>
      </w:r>
      <w:r w:rsidR="00066088" w:rsidRPr="00A55335">
        <w:t>p</w:t>
      </w:r>
      <w:r w:rsidR="00DD505D" w:rsidRPr="00A55335">
        <w:t>articipants in the homeopathy group receiv</w:t>
      </w:r>
      <w:r w:rsidR="00142720" w:rsidRPr="00A55335">
        <w:t>ed</w:t>
      </w:r>
      <w:r w:rsidR="00DD505D" w:rsidRPr="00A55335">
        <w:t xml:space="preserve"> consultations with a homeopath and were prescribed treatments based on the totality of symptoms. Participants in both groups received standard care, consisting of GP visits and antibiotics as required. </w:t>
      </w:r>
    </w:p>
    <w:p w14:paraId="3B235E8C" w14:textId="77777777" w:rsidR="00DD505D" w:rsidRPr="00A55335" w:rsidRDefault="00DD505D" w:rsidP="00DD505D">
      <w:pPr>
        <w:pStyle w:val="BodyText"/>
      </w:pPr>
      <w:r w:rsidRPr="00A55335">
        <w:t>One study (Sinha 2012) compared individualised homeopathy with an active control. Participants in the homeopathy group received consultations with a homeopath and were prescribed an individualised treatment based on the totality of symptoms. Participants in the active control group received analgesic, anti-inflammatory and antipyretic medications. If less than a 50% improvement was observed in the first 3 days of treatment in both groups, antibiotics were prescribed.</w:t>
      </w:r>
    </w:p>
    <w:p w14:paraId="56EEEFFC" w14:textId="1303BD05" w:rsidR="00DD505D" w:rsidRPr="00A55335" w:rsidRDefault="00DD505D" w:rsidP="00DD505D">
      <w:pPr>
        <w:pStyle w:val="BodyText"/>
      </w:pPr>
      <w:r w:rsidRPr="00A55335">
        <w:t xml:space="preserve">Results for </w:t>
      </w:r>
      <w:r w:rsidR="00E0730F" w:rsidRPr="00A55335">
        <w:t>the P</w:t>
      </w:r>
      <w:r w:rsidR="006070ED" w:rsidRPr="00A55335">
        <w:t xml:space="preserve">rimary </w:t>
      </w:r>
      <w:r w:rsidR="00E0730F" w:rsidRPr="00A55335">
        <w:t>Comparison</w:t>
      </w:r>
      <w:r w:rsidR="00F73318" w:rsidRPr="00A55335">
        <w:t xml:space="preserve">: </w:t>
      </w:r>
      <w:r w:rsidR="00E0730F" w:rsidRPr="00A55335">
        <w:t>h</w:t>
      </w:r>
      <w:r w:rsidR="00F73318" w:rsidRPr="00A55335">
        <w:t xml:space="preserve">omeopathy </w:t>
      </w:r>
      <w:r w:rsidRPr="00A55335">
        <w:t xml:space="preserve">versus </w:t>
      </w:r>
      <w:r w:rsidR="00561188" w:rsidRPr="00A55335">
        <w:t xml:space="preserve">placebo </w:t>
      </w:r>
      <w:r w:rsidR="0022321F" w:rsidRPr="00A55335">
        <w:t xml:space="preserve">and </w:t>
      </w:r>
      <w:r w:rsidR="00E0730F" w:rsidRPr="00A55335">
        <w:t>the S</w:t>
      </w:r>
      <w:r w:rsidR="006070ED" w:rsidRPr="00A55335">
        <w:t xml:space="preserve">econdary </w:t>
      </w:r>
      <w:r w:rsidR="00E0730F" w:rsidRPr="00A55335">
        <w:t>C</w:t>
      </w:r>
      <w:r w:rsidR="006070ED" w:rsidRPr="00A55335">
        <w:t>omparison</w:t>
      </w:r>
      <w:r w:rsidR="00F73318" w:rsidRPr="00A55335">
        <w:t xml:space="preserve">: </w:t>
      </w:r>
      <w:r w:rsidR="00E0730F" w:rsidRPr="00A55335">
        <w:t>h</w:t>
      </w:r>
      <w:r w:rsidR="00F73318" w:rsidRPr="00A55335">
        <w:t xml:space="preserve">omeopathy </w:t>
      </w:r>
      <w:r w:rsidR="0022321F" w:rsidRPr="00A55335">
        <w:t xml:space="preserve">versus </w:t>
      </w:r>
      <w:r w:rsidR="008F5C36" w:rsidRPr="00A55335">
        <w:t xml:space="preserve">inactive control (no intervention, waitlist or usual care) </w:t>
      </w:r>
      <w:r w:rsidRPr="00A55335">
        <w:t>are provided in the Summary of Findings table</w:t>
      </w:r>
      <w:r w:rsidR="0022321F" w:rsidRPr="00A55335">
        <w:t>s</w:t>
      </w:r>
      <w:r w:rsidRPr="00A55335">
        <w:t xml:space="preserve"> (see</w:t>
      </w:r>
      <w:r w:rsidR="006B4592" w:rsidRPr="00A55335">
        <w:t xml:space="preserve"> </w:t>
      </w:r>
      <w:r w:rsidR="008F5C36" w:rsidRPr="00A55335">
        <w:t xml:space="preserve">Section </w:t>
      </w:r>
      <w:r w:rsidR="008F5C36" w:rsidRPr="00A55335">
        <w:fldChar w:fldCharType="begin"/>
      </w:r>
      <w:r w:rsidR="008F5C36" w:rsidRPr="00A55335">
        <w:instrText xml:space="preserve"> REF _Ref151816619 \r \h </w:instrText>
      </w:r>
      <w:r w:rsidR="008F5C36" w:rsidRPr="00A55335">
        <w:fldChar w:fldCharType="separate"/>
      </w:r>
      <w:r w:rsidR="00814B04">
        <w:t>4.3.4</w:t>
      </w:r>
      <w:r w:rsidR="008F5C36" w:rsidRPr="00A55335">
        <w:fldChar w:fldCharType="end"/>
      </w:r>
      <w:r w:rsidRPr="00A55335">
        <w:t>). Results of studies that compared homeopathy with another comparator</w:t>
      </w:r>
      <w:r w:rsidR="008C42CA" w:rsidRPr="00A55335">
        <w:t xml:space="preserve"> (Tertiary Comparison)</w:t>
      </w:r>
      <w:r w:rsidRPr="00A55335">
        <w:t xml:space="preserve"> are presented in Appendix F2.</w:t>
      </w:r>
    </w:p>
    <w:p w14:paraId="578CD106" w14:textId="48DA4D5D" w:rsidR="00D92AC6" w:rsidRPr="00A55335" w:rsidRDefault="00D92AC6" w:rsidP="00DD505D">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27796932" w14:textId="77777777" w:rsidR="00DD505D" w:rsidRPr="00A55335" w:rsidRDefault="00DD505D" w:rsidP="004D433B">
      <w:pPr>
        <w:pStyle w:val="Heading3"/>
      </w:pPr>
      <w:bookmarkStart w:id="106" w:name="_Toc183441312"/>
      <w:r w:rsidRPr="00A55335">
        <w:t>Risk of bias – summary assessment across studies</w:t>
      </w:r>
      <w:bookmarkEnd w:id="106"/>
      <w:r w:rsidRPr="00A55335">
        <w:t xml:space="preserve"> </w:t>
      </w:r>
    </w:p>
    <w:p w14:paraId="429DE247" w14:textId="02693047" w:rsidR="007863ED" w:rsidRPr="00A55335" w:rsidRDefault="008F5C36" w:rsidP="00E24F84">
      <w:pPr>
        <w:pStyle w:val="BodyText"/>
      </w:pPr>
      <w:r w:rsidRPr="00A55335">
        <w:t xml:space="preserve">The risk of bias for each item in the </w:t>
      </w:r>
      <w:r w:rsidR="00F56A75" w:rsidRPr="00A55335">
        <w:t xml:space="preserve">included </w:t>
      </w:r>
      <w:r w:rsidRPr="00A55335">
        <w:t xml:space="preserve">RCTs for recurrent </w:t>
      </w:r>
      <w:r w:rsidR="005472F5" w:rsidRPr="00A55335">
        <w:t>infections (</w:t>
      </w:r>
      <w:r w:rsidR="00446A85" w:rsidRPr="00A55335">
        <w:t>otitis media</w:t>
      </w:r>
      <w:r w:rsidR="005472F5" w:rsidRPr="00A55335">
        <w:t>)</w:t>
      </w:r>
      <w:r w:rsidRPr="00A55335">
        <w:t xml:space="preserve"> is summarised in </w:t>
      </w:r>
      <w:r w:rsidRPr="00A55335">
        <w:fldChar w:fldCharType="begin"/>
      </w:r>
      <w:r w:rsidRPr="00A55335">
        <w:instrText xml:space="preserve"> REF _Ref151816564 \h </w:instrText>
      </w:r>
      <w:r w:rsidRPr="00A55335">
        <w:fldChar w:fldCharType="separate"/>
      </w:r>
      <w:r w:rsidR="00814B04" w:rsidRPr="00A55335">
        <w:t xml:space="preserve">Figure </w:t>
      </w:r>
      <w:r w:rsidR="00814B04">
        <w:rPr>
          <w:noProof/>
        </w:rPr>
        <w:t>10</w:t>
      </w:r>
      <w:r w:rsidRPr="00A55335">
        <w:fldChar w:fldCharType="end"/>
      </w:r>
      <w:r w:rsidRPr="00A55335">
        <w:t>.</w:t>
      </w:r>
      <w:r w:rsidR="00E24F84" w:rsidRPr="00A55335">
        <w:t xml:space="preserve"> Details are provided in Appendix D1.3.2.</w:t>
      </w:r>
      <w:r w:rsidR="007863ED" w:rsidRPr="00A55335">
        <w:t xml:space="preserve"> No studies were judged to be at overall low risk of bias. </w:t>
      </w:r>
    </w:p>
    <w:p w14:paraId="77C5640D" w14:textId="6AEDD5C8" w:rsidR="00DD505D" w:rsidRPr="00A55335" w:rsidRDefault="00DD505D" w:rsidP="008F5C36">
      <w:pPr>
        <w:pStyle w:val="Caption"/>
      </w:pPr>
      <w:bookmarkStart w:id="107" w:name="_Ref151816564"/>
      <w:bookmarkStart w:id="108" w:name="_Toc183520283"/>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10</w:t>
      </w:r>
      <w:r w:rsidRPr="00A55335">
        <w:fldChar w:fldCharType="end"/>
      </w:r>
      <w:bookmarkEnd w:id="107"/>
      <w:r w:rsidR="00C71D52" w:rsidRPr="00A55335">
        <w:t xml:space="preserve"> </w:t>
      </w:r>
      <w:r w:rsidR="00C71D52" w:rsidRPr="00A55335">
        <w:tab/>
      </w:r>
      <w:r w:rsidRPr="00A55335">
        <w:t xml:space="preserve">Risk of bias summary: review authors' judgement about each risk of bias item for each included study: </w:t>
      </w:r>
      <w:r w:rsidR="00E92691" w:rsidRPr="00A55335">
        <w:t>R</w:t>
      </w:r>
      <w:r w:rsidR="0070559C" w:rsidRPr="00A55335">
        <w:t>ecurrent infections (otitis media)</w:t>
      </w:r>
      <w:bookmarkEnd w:id="108"/>
    </w:p>
    <w:p w14:paraId="7A970597" w14:textId="01070D42" w:rsidR="00A676F5" w:rsidRPr="00A55335" w:rsidRDefault="00A676F5" w:rsidP="00A676F5">
      <w:pPr>
        <w:pStyle w:val="Pic"/>
      </w:pPr>
      <w:r w:rsidRPr="00A55335">
        <w:rPr>
          <w:noProof/>
        </w:rPr>
        <w:drawing>
          <wp:inline distT="0" distB="0" distL="0" distR="0" wp14:anchorId="06945D6B" wp14:editId="06F49FFC">
            <wp:extent cx="4135755" cy="2599982"/>
            <wp:effectExtent l="0" t="0" r="0" b="0"/>
            <wp:docPr id="1151039402" name="Picture 1151039402" descr="A chart with red green and yellow circles and cro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39402" name="Picture 1151039402" descr="A chart with red green and yellow circles and crosses&#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76160" cy="2625383"/>
                    </a:xfrm>
                    <a:prstGeom prst="rect">
                      <a:avLst/>
                    </a:prstGeom>
                    <a:noFill/>
                    <a:ln>
                      <a:noFill/>
                    </a:ln>
                  </pic:spPr>
                </pic:pic>
              </a:graphicData>
            </a:graphic>
          </wp:inline>
        </w:drawing>
      </w:r>
    </w:p>
    <w:p w14:paraId="41C05750" w14:textId="77777777" w:rsidR="00DD505D" w:rsidRPr="00A55335" w:rsidRDefault="00DD505D" w:rsidP="00A676F5">
      <w:pPr>
        <w:pStyle w:val="TableFigNotes18"/>
      </w:pPr>
    </w:p>
    <w:p w14:paraId="404300F8" w14:textId="77777777" w:rsidR="00DD505D" w:rsidRPr="00A55335" w:rsidRDefault="00DD505D" w:rsidP="004D433B">
      <w:pPr>
        <w:pStyle w:val="Heading3"/>
      </w:pPr>
      <w:bookmarkStart w:id="109" w:name="_Ref151816619"/>
      <w:bookmarkStart w:id="110" w:name="_Toc183441313"/>
      <w:r w:rsidRPr="00A55335">
        <w:t>Summary of findings and evidence statements</w:t>
      </w:r>
      <w:bookmarkEnd w:id="109"/>
      <w:bookmarkEnd w:id="110"/>
    </w:p>
    <w:p w14:paraId="38C5EBF9" w14:textId="7C23DD48" w:rsidR="00314EF6" w:rsidRPr="00A55335" w:rsidRDefault="006070ED" w:rsidP="00314EF6">
      <w:pPr>
        <w:pStyle w:val="Heading4"/>
      </w:pPr>
      <w:bookmarkStart w:id="111" w:name="_Ref151385091"/>
      <w:r w:rsidRPr="00A55335">
        <w:t>Primary Comparison</w:t>
      </w:r>
      <w:r w:rsidR="00314EF6" w:rsidRPr="00A55335">
        <w:t xml:space="preserve"> (vs placebo)</w:t>
      </w:r>
      <w:bookmarkEnd w:id="111"/>
      <w:r w:rsidR="00314EF6" w:rsidRPr="00A55335">
        <w:t xml:space="preserve"> </w:t>
      </w:r>
    </w:p>
    <w:p w14:paraId="0AA038DD" w14:textId="37EB154B" w:rsidR="00D43272" w:rsidRPr="00A55335" w:rsidRDefault="00D43272" w:rsidP="00D43272">
      <w:pPr>
        <w:pStyle w:val="BodyText"/>
      </w:pPr>
      <w:r w:rsidRPr="00A55335">
        <w:t xml:space="preserve">Two RCTS (Jacobs 2001, Pedrero-Escalas 2016) comparing homeopathy with placebo in children with recurrent otitis media were eligible for this comparison. </w:t>
      </w:r>
    </w:p>
    <w:tbl>
      <w:tblPr>
        <w:tblW w:w="5000" w:type="pct"/>
        <w:tblLayout w:type="fixed"/>
        <w:tblCellMar>
          <w:top w:w="60" w:type="dxa"/>
          <w:left w:w="60" w:type="dxa"/>
          <w:bottom w:w="60" w:type="dxa"/>
          <w:right w:w="60" w:type="dxa"/>
        </w:tblCellMar>
        <w:tblLook w:val="04A0" w:firstRow="1" w:lastRow="0" w:firstColumn="1" w:lastColumn="0" w:noHBand="0" w:noVBand="1"/>
      </w:tblPr>
      <w:tblGrid>
        <w:gridCol w:w="1843"/>
        <w:gridCol w:w="1275"/>
        <w:gridCol w:w="1277"/>
        <w:gridCol w:w="850"/>
        <w:gridCol w:w="1277"/>
        <w:gridCol w:w="1132"/>
        <w:gridCol w:w="2091"/>
      </w:tblGrid>
      <w:tr w:rsidR="00D36010" w:rsidRPr="00A55335" w14:paraId="23F3FFD4" w14:textId="77777777" w:rsidTr="00DA6848">
        <w:trPr>
          <w:cantSplit/>
          <w:tblHeader/>
        </w:trPr>
        <w:tc>
          <w:tcPr>
            <w:tcW w:w="5000" w:type="pct"/>
            <w:gridSpan w:val="7"/>
            <w:tcBorders>
              <w:top w:val="single" w:sz="12" w:space="0" w:color="auto"/>
              <w:bottom w:val="single" w:sz="12" w:space="0" w:color="auto"/>
            </w:tcBorders>
            <w:shd w:val="clear" w:color="auto" w:fill="auto"/>
            <w:vAlign w:val="bottom"/>
          </w:tcPr>
          <w:p w14:paraId="0B1AF349" w14:textId="3448FEAB" w:rsidR="00D36010" w:rsidRPr="00A55335" w:rsidRDefault="00D36010" w:rsidP="00A9120A">
            <w:pPr>
              <w:pStyle w:val="TableH1"/>
              <w:rPr>
                <w:color w:val="FFFFFF" w:themeColor="background2"/>
                <w:lang w:val="en-AU"/>
              </w:rPr>
            </w:pPr>
            <w:r w:rsidRPr="00A55335">
              <w:rPr>
                <w:lang w:val="en-AU"/>
              </w:rPr>
              <w:t xml:space="preserve">Homeopathy compared to placebo for </w:t>
            </w:r>
            <w:r w:rsidR="002014D7" w:rsidRPr="00A55335">
              <w:rPr>
                <w:lang w:val="en-AU"/>
              </w:rPr>
              <w:t>R</w:t>
            </w:r>
            <w:r w:rsidRPr="00A55335">
              <w:rPr>
                <w:lang w:val="en-AU"/>
              </w:rPr>
              <w:t>ecurrent infections (otitis media)</w:t>
            </w:r>
          </w:p>
        </w:tc>
      </w:tr>
      <w:tr w:rsidR="00D36010" w:rsidRPr="00A55335" w14:paraId="0581E352" w14:textId="77777777" w:rsidTr="00DA6848">
        <w:trPr>
          <w:cantSplit/>
          <w:tblHeader/>
        </w:trPr>
        <w:tc>
          <w:tcPr>
            <w:tcW w:w="5000" w:type="pct"/>
            <w:gridSpan w:val="7"/>
            <w:tcBorders>
              <w:top w:val="single" w:sz="12" w:space="0" w:color="auto"/>
              <w:bottom w:val="single" w:sz="12" w:space="0" w:color="auto"/>
            </w:tcBorders>
            <w:shd w:val="clear" w:color="auto" w:fill="auto"/>
            <w:vAlign w:val="bottom"/>
          </w:tcPr>
          <w:p w14:paraId="0A5E218D" w14:textId="759B7756" w:rsidR="00D36010" w:rsidRPr="00A55335" w:rsidRDefault="00D36010" w:rsidP="00C71E87">
            <w:pPr>
              <w:pStyle w:val="Tabletext9pt"/>
              <w:rPr>
                <w:rStyle w:val="Strong"/>
              </w:rPr>
            </w:pPr>
            <w:r w:rsidRPr="00A55335">
              <w:rPr>
                <w:rStyle w:val="Strong"/>
              </w:rPr>
              <w:t xml:space="preserve">Patient or population: </w:t>
            </w:r>
            <w:r w:rsidRPr="00A55335">
              <w:rPr>
                <w:rStyle w:val="Tabletext9ptChar"/>
              </w:rPr>
              <w:t xml:space="preserve">Recurrent </w:t>
            </w:r>
            <w:r w:rsidRPr="00A55335">
              <w:t>infections (otitis media)</w:t>
            </w:r>
          </w:p>
          <w:p w14:paraId="5839D6CB" w14:textId="77777777" w:rsidR="00D36010" w:rsidRPr="00A55335" w:rsidRDefault="00D36010" w:rsidP="00C71E87">
            <w:pPr>
              <w:pStyle w:val="Tabletext9pt"/>
            </w:pPr>
            <w:r w:rsidRPr="00A55335">
              <w:rPr>
                <w:rStyle w:val="Strong"/>
              </w:rPr>
              <w:t xml:space="preserve">Setting: </w:t>
            </w:r>
            <w:r w:rsidRPr="00A55335">
              <w:t>Outpatient clinics</w:t>
            </w:r>
          </w:p>
          <w:p w14:paraId="3DF208E8" w14:textId="77777777" w:rsidR="00D36010" w:rsidRPr="00A55335" w:rsidRDefault="00D36010" w:rsidP="00C71E87">
            <w:pPr>
              <w:pStyle w:val="Tabletext9pt"/>
              <w:rPr>
                <w:rStyle w:val="Strong"/>
              </w:rPr>
            </w:pPr>
            <w:r w:rsidRPr="00A55335">
              <w:rPr>
                <w:rStyle w:val="Strong"/>
              </w:rPr>
              <w:t xml:space="preserve">Intervention: </w:t>
            </w:r>
            <w:r w:rsidRPr="00A55335">
              <w:t>Homeopathy</w:t>
            </w:r>
          </w:p>
          <w:p w14:paraId="613691BD" w14:textId="094C79FC" w:rsidR="00D36010" w:rsidRPr="00A55335" w:rsidRDefault="00D36010" w:rsidP="00C71E87">
            <w:pPr>
              <w:pStyle w:val="Tabletext9pt"/>
              <w:rPr>
                <w:color w:val="FFFFFF" w:themeColor="background2"/>
              </w:rPr>
            </w:pPr>
            <w:r w:rsidRPr="00A55335">
              <w:rPr>
                <w:rStyle w:val="Strong"/>
              </w:rPr>
              <w:t xml:space="preserve">Comparison: </w:t>
            </w:r>
            <w:r w:rsidRPr="00A55335">
              <w:t>Placebo</w:t>
            </w:r>
          </w:p>
        </w:tc>
      </w:tr>
      <w:tr w:rsidR="00B8274D" w:rsidRPr="00A55335" w14:paraId="7C7881DE" w14:textId="77777777" w:rsidTr="00D1600D">
        <w:trPr>
          <w:cantSplit/>
          <w:tblHeader/>
        </w:trPr>
        <w:tc>
          <w:tcPr>
            <w:tcW w:w="946" w:type="pct"/>
            <w:vMerge w:val="restart"/>
            <w:tcBorders>
              <w:top w:val="single" w:sz="12" w:space="0" w:color="auto"/>
              <w:right w:val="single" w:sz="6" w:space="0" w:color="EFEFEF"/>
            </w:tcBorders>
            <w:shd w:val="clear" w:color="auto" w:fill="006579" w:themeFill="accent2"/>
            <w:vAlign w:val="bottom"/>
            <w:hideMark/>
          </w:tcPr>
          <w:p w14:paraId="65890787" w14:textId="77777777" w:rsidR="00DD505D" w:rsidRPr="00A55335" w:rsidRDefault="00DD505D" w:rsidP="003C48C8">
            <w:pPr>
              <w:pStyle w:val="Tabletext8pt"/>
              <w:rPr>
                <w:rFonts w:eastAsiaTheme="minorEastAsia"/>
                <w:b/>
                <w:bCs/>
                <w:color w:val="F9F9F9" w:themeColor="background1"/>
              </w:rPr>
            </w:pPr>
            <w:r w:rsidRPr="00A55335">
              <w:rPr>
                <w:b/>
                <w:bCs/>
                <w:color w:val="F9F9F9" w:themeColor="background1"/>
              </w:rPr>
              <w:t>Outcomes</w:t>
            </w:r>
          </w:p>
        </w:tc>
        <w:tc>
          <w:tcPr>
            <w:tcW w:w="1309" w:type="pct"/>
            <w:gridSpan w:val="2"/>
            <w:tcBorders>
              <w:top w:val="single" w:sz="12" w:space="0" w:color="auto"/>
              <w:right w:val="single" w:sz="6" w:space="0" w:color="EFEFEF"/>
            </w:tcBorders>
            <w:shd w:val="clear" w:color="auto" w:fill="ECECEC" w:themeFill="background1" w:themeFillShade="F2"/>
            <w:vAlign w:val="bottom"/>
            <w:hideMark/>
          </w:tcPr>
          <w:p w14:paraId="54F2B34A" w14:textId="77777777" w:rsidR="00DD505D" w:rsidRPr="00A55335" w:rsidRDefault="00DD505D" w:rsidP="00B8274D">
            <w:pPr>
              <w:pStyle w:val="Tabletext8pt"/>
              <w:rPr>
                <w:b/>
                <w:bCs/>
                <w:color w:val="auto"/>
              </w:rPr>
            </w:pPr>
            <w:r w:rsidRPr="00A55335">
              <w:rPr>
                <w:rStyle w:val="Strong"/>
              </w:rPr>
              <w:t>Anticipated absolute effects* (95% CI)</w:t>
            </w:r>
          </w:p>
        </w:tc>
        <w:tc>
          <w:tcPr>
            <w:tcW w:w="436" w:type="pct"/>
            <w:vMerge w:val="restart"/>
            <w:tcBorders>
              <w:top w:val="single" w:sz="12" w:space="0" w:color="auto"/>
              <w:right w:val="single" w:sz="6" w:space="0" w:color="EFEFEF"/>
            </w:tcBorders>
            <w:shd w:val="clear" w:color="auto" w:fill="006579" w:themeFill="accent2"/>
            <w:vAlign w:val="bottom"/>
            <w:hideMark/>
          </w:tcPr>
          <w:p w14:paraId="7DD4F146" w14:textId="77777777" w:rsidR="00DD505D" w:rsidRPr="00A55335" w:rsidRDefault="00DD505D" w:rsidP="008439E9">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655" w:type="pct"/>
            <w:vMerge w:val="restart"/>
            <w:tcBorders>
              <w:top w:val="single" w:sz="12" w:space="0" w:color="auto"/>
              <w:right w:val="single" w:sz="6" w:space="0" w:color="EFEFEF"/>
            </w:tcBorders>
            <w:shd w:val="clear" w:color="auto" w:fill="006579" w:themeFill="accent2"/>
            <w:vAlign w:val="bottom"/>
            <w:hideMark/>
          </w:tcPr>
          <w:p w14:paraId="6D391100" w14:textId="77777777" w:rsidR="00DD505D" w:rsidRPr="00A55335" w:rsidRDefault="00DD505D" w:rsidP="008439E9">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1" w:type="pct"/>
            <w:vMerge w:val="restart"/>
            <w:tcBorders>
              <w:top w:val="single" w:sz="12" w:space="0" w:color="auto"/>
              <w:right w:val="single" w:sz="6" w:space="0" w:color="EFEFEF"/>
            </w:tcBorders>
            <w:shd w:val="clear" w:color="auto" w:fill="006579" w:themeFill="accent2"/>
            <w:vAlign w:val="bottom"/>
            <w:hideMark/>
          </w:tcPr>
          <w:p w14:paraId="414E0F88" w14:textId="77777777" w:rsidR="00DD505D" w:rsidRPr="00A55335" w:rsidRDefault="00DD505D" w:rsidP="008439E9">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73" w:type="pct"/>
            <w:vMerge w:val="restart"/>
            <w:tcBorders>
              <w:top w:val="single" w:sz="12" w:space="0" w:color="auto"/>
              <w:right w:val="single" w:sz="6" w:space="0" w:color="EFEFEF"/>
            </w:tcBorders>
            <w:shd w:val="clear" w:color="auto" w:fill="006579" w:themeFill="accent2"/>
            <w:vAlign w:val="bottom"/>
            <w:hideMark/>
          </w:tcPr>
          <w:p w14:paraId="6AB6A8D9" w14:textId="31988AB7" w:rsidR="00DD505D" w:rsidRPr="00A55335" w:rsidRDefault="00593FBD" w:rsidP="003C48C8">
            <w:pPr>
              <w:pStyle w:val="Tabletext8pt"/>
              <w:rPr>
                <w:b/>
                <w:bCs/>
                <w:color w:val="F9F9F9" w:themeColor="background1"/>
              </w:rPr>
            </w:pPr>
            <w:r w:rsidRPr="00A55335">
              <w:rPr>
                <w:b/>
                <w:bCs/>
                <w:color w:val="F9F9F9" w:themeColor="background1"/>
              </w:rPr>
              <w:t>Evidence Statement</w:t>
            </w:r>
          </w:p>
        </w:tc>
      </w:tr>
      <w:tr w:rsidR="00010779" w:rsidRPr="00A55335" w14:paraId="58FF0F5C" w14:textId="77777777" w:rsidTr="00D1600D">
        <w:trPr>
          <w:cantSplit/>
          <w:tblHeader/>
        </w:trPr>
        <w:tc>
          <w:tcPr>
            <w:tcW w:w="946" w:type="pct"/>
            <w:vMerge/>
            <w:tcBorders>
              <w:right w:val="single" w:sz="6" w:space="0" w:color="EFEFEF"/>
            </w:tcBorders>
            <w:shd w:val="clear" w:color="auto" w:fill="006579" w:themeFill="accent2"/>
            <w:vAlign w:val="center"/>
            <w:hideMark/>
          </w:tcPr>
          <w:p w14:paraId="361B1736" w14:textId="77777777" w:rsidR="00DD505D" w:rsidRPr="00A55335" w:rsidRDefault="00DD505D" w:rsidP="00B8274D">
            <w:pPr>
              <w:pStyle w:val="Tabletext8pt"/>
              <w:rPr>
                <w:rFonts w:eastAsiaTheme="minorEastAsia"/>
              </w:rPr>
            </w:pPr>
          </w:p>
        </w:tc>
        <w:tc>
          <w:tcPr>
            <w:tcW w:w="654" w:type="pct"/>
            <w:tcBorders>
              <w:top w:val="single" w:sz="6" w:space="0" w:color="EFEFEF"/>
              <w:right w:val="single" w:sz="6" w:space="0" w:color="EFEFEF"/>
            </w:tcBorders>
            <w:shd w:val="clear" w:color="auto" w:fill="ECECEC" w:themeFill="background1" w:themeFillShade="F2"/>
            <w:vAlign w:val="center"/>
            <w:hideMark/>
          </w:tcPr>
          <w:p w14:paraId="48564C4E" w14:textId="77777777" w:rsidR="00DD505D" w:rsidRPr="00A55335" w:rsidRDefault="00DD505D" w:rsidP="008439E9">
            <w:pPr>
              <w:pStyle w:val="Tabletext8pt"/>
              <w:rPr>
                <w:rStyle w:val="Strong"/>
              </w:rPr>
            </w:pPr>
            <w:r w:rsidRPr="00A55335">
              <w:rPr>
                <w:rStyle w:val="Strong"/>
              </w:rPr>
              <w:t>Risk with Placebo</w:t>
            </w:r>
          </w:p>
        </w:tc>
        <w:tc>
          <w:tcPr>
            <w:tcW w:w="655" w:type="pct"/>
            <w:tcBorders>
              <w:top w:val="single" w:sz="6" w:space="0" w:color="EFEFEF"/>
              <w:right w:val="single" w:sz="6" w:space="0" w:color="EFEFEF"/>
            </w:tcBorders>
            <w:shd w:val="clear" w:color="auto" w:fill="ECECEC" w:themeFill="background1" w:themeFillShade="F2"/>
            <w:hideMark/>
          </w:tcPr>
          <w:p w14:paraId="31BA3670" w14:textId="77777777" w:rsidR="00DD505D" w:rsidRPr="00A55335" w:rsidRDefault="00DD505D" w:rsidP="008439E9">
            <w:pPr>
              <w:pStyle w:val="Tabletext8pt"/>
              <w:rPr>
                <w:rStyle w:val="Strong"/>
              </w:rPr>
            </w:pPr>
            <w:r w:rsidRPr="00A55335">
              <w:rPr>
                <w:rStyle w:val="Strong"/>
              </w:rPr>
              <w:t>Risk with Homeopathy</w:t>
            </w:r>
          </w:p>
        </w:tc>
        <w:tc>
          <w:tcPr>
            <w:tcW w:w="436" w:type="pct"/>
            <w:vMerge/>
            <w:tcBorders>
              <w:right w:val="single" w:sz="6" w:space="0" w:color="EFEFEF"/>
            </w:tcBorders>
            <w:shd w:val="clear" w:color="auto" w:fill="006579" w:themeFill="accent2"/>
            <w:vAlign w:val="center"/>
            <w:hideMark/>
          </w:tcPr>
          <w:p w14:paraId="4FC721F5" w14:textId="77777777" w:rsidR="00DD505D" w:rsidRPr="00A55335" w:rsidRDefault="00DD505D" w:rsidP="008439E9">
            <w:pPr>
              <w:pStyle w:val="Tabletext8pt"/>
              <w:jc w:val="center"/>
              <w:rPr>
                <w:rFonts w:eastAsiaTheme="minorEastAsia"/>
                <w:color w:val="FFFFFF" w:themeColor="background2"/>
              </w:rPr>
            </w:pPr>
          </w:p>
        </w:tc>
        <w:tc>
          <w:tcPr>
            <w:tcW w:w="655" w:type="pct"/>
            <w:vMerge/>
            <w:tcBorders>
              <w:right w:val="single" w:sz="6" w:space="0" w:color="EFEFEF"/>
            </w:tcBorders>
            <w:shd w:val="clear" w:color="auto" w:fill="006579" w:themeFill="accent2"/>
            <w:vAlign w:val="center"/>
            <w:hideMark/>
          </w:tcPr>
          <w:p w14:paraId="256E817B" w14:textId="77777777" w:rsidR="00DD505D" w:rsidRPr="00A55335" w:rsidRDefault="00DD505D" w:rsidP="008439E9">
            <w:pPr>
              <w:pStyle w:val="Tabletext8pt"/>
              <w:jc w:val="center"/>
              <w:rPr>
                <w:rFonts w:eastAsiaTheme="minorEastAsia"/>
                <w:color w:val="FFFFFF" w:themeColor="background2"/>
              </w:rPr>
            </w:pPr>
          </w:p>
        </w:tc>
        <w:tc>
          <w:tcPr>
            <w:tcW w:w="581" w:type="pct"/>
            <w:vMerge/>
            <w:tcBorders>
              <w:right w:val="single" w:sz="6" w:space="0" w:color="EFEFEF"/>
            </w:tcBorders>
            <w:shd w:val="clear" w:color="auto" w:fill="006579" w:themeFill="accent2"/>
            <w:vAlign w:val="center"/>
            <w:hideMark/>
          </w:tcPr>
          <w:p w14:paraId="1B6A1E7B" w14:textId="77777777" w:rsidR="00DD505D" w:rsidRPr="00A55335" w:rsidRDefault="00DD505D" w:rsidP="008439E9">
            <w:pPr>
              <w:pStyle w:val="Tabletext8pt"/>
              <w:jc w:val="center"/>
              <w:rPr>
                <w:rFonts w:eastAsiaTheme="minorEastAsia"/>
                <w:color w:val="FFFFFF" w:themeColor="background2"/>
              </w:rPr>
            </w:pPr>
          </w:p>
        </w:tc>
        <w:tc>
          <w:tcPr>
            <w:tcW w:w="1073" w:type="pct"/>
            <w:vMerge/>
            <w:tcBorders>
              <w:right w:val="single" w:sz="6" w:space="0" w:color="EFEFEF"/>
            </w:tcBorders>
            <w:shd w:val="clear" w:color="auto" w:fill="006579" w:themeFill="accent2"/>
            <w:vAlign w:val="center"/>
            <w:hideMark/>
          </w:tcPr>
          <w:p w14:paraId="51202382" w14:textId="77777777" w:rsidR="00DD505D" w:rsidRPr="00A55335" w:rsidRDefault="00DD505D" w:rsidP="00B8274D">
            <w:pPr>
              <w:pStyle w:val="Tabletext8pt"/>
              <w:rPr>
                <w:rFonts w:eastAsiaTheme="minorEastAsia"/>
                <w:color w:val="FFFFFF" w:themeColor="background2"/>
              </w:rPr>
            </w:pPr>
          </w:p>
        </w:tc>
      </w:tr>
      <w:tr w:rsidR="008439E9" w:rsidRPr="00A55335" w14:paraId="2EF274EE" w14:textId="77777777" w:rsidTr="00D1600D">
        <w:trPr>
          <w:cantSplit/>
        </w:trPr>
        <w:tc>
          <w:tcPr>
            <w:tcW w:w="946" w:type="pct"/>
            <w:tcBorders>
              <w:top w:val="single" w:sz="6" w:space="0" w:color="000000"/>
              <w:left w:val="nil"/>
              <w:bottom w:val="single" w:sz="6" w:space="0" w:color="000000"/>
              <w:right w:val="nil"/>
            </w:tcBorders>
            <w:vAlign w:val="center"/>
          </w:tcPr>
          <w:p w14:paraId="5B17175A" w14:textId="592D57DD" w:rsidR="00C17780" w:rsidRPr="00A55335" w:rsidRDefault="00AB545D" w:rsidP="00C17780">
            <w:pPr>
              <w:pStyle w:val="Tabletext8pt"/>
            </w:pPr>
            <w:r w:rsidRPr="00A55335">
              <w:rPr>
                <w:rFonts w:cs="Montserrat"/>
                <w:color w:val="000000"/>
              </w:rPr>
              <w:t>Infection frequency</w:t>
            </w:r>
            <w:r w:rsidR="00C17780" w:rsidRPr="00A55335">
              <w:br/>
              <w:t>assessed with:</w:t>
            </w:r>
            <w:r w:rsidR="00C17780" w:rsidRPr="00A55335">
              <w:br/>
              <w:t xml:space="preserve">Number who experience </w:t>
            </w:r>
            <w:r w:rsidR="007732EE" w:rsidRPr="00A55335">
              <w:t xml:space="preserve">at least one </w:t>
            </w:r>
            <w:r w:rsidR="00C17780" w:rsidRPr="00A55335">
              <w:t>episode of AOM</w:t>
            </w:r>
            <w:r w:rsidR="00C17780" w:rsidRPr="00A55335">
              <w:br/>
              <w:t>follow-up: 3 months</w:t>
            </w:r>
          </w:p>
        </w:tc>
        <w:tc>
          <w:tcPr>
            <w:tcW w:w="654" w:type="pct"/>
            <w:tcBorders>
              <w:top w:val="single" w:sz="6" w:space="0" w:color="000000"/>
              <w:left w:val="nil"/>
              <w:bottom w:val="single" w:sz="6" w:space="0" w:color="000000"/>
              <w:right w:val="nil"/>
            </w:tcBorders>
            <w:shd w:val="clear" w:color="auto" w:fill="ECECEC" w:themeFill="background1" w:themeFillShade="F2"/>
            <w:vAlign w:val="center"/>
          </w:tcPr>
          <w:p w14:paraId="1FE7B67B" w14:textId="6F3B3C78" w:rsidR="00C17780" w:rsidRPr="00A55335" w:rsidRDefault="00C17780" w:rsidP="008439E9">
            <w:pPr>
              <w:pStyle w:val="Tabletext8pt"/>
              <w:jc w:val="center"/>
              <w:rPr>
                <w:rStyle w:val="Strong"/>
              </w:rPr>
            </w:pPr>
            <w:r w:rsidRPr="00A55335">
              <w:t>280 per 1,000</w:t>
            </w:r>
          </w:p>
        </w:tc>
        <w:tc>
          <w:tcPr>
            <w:tcW w:w="655" w:type="pct"/>
            <w:tcBorders>
              <w:top w:val="single" w:sz="6" w:space="0" w:color="000000"/>
              <w:left w:val="nil"/>
              <w:bottom w:val="single" w:sz="6" w:space="0" w:color="000000"/>
              <w:right w:val="nil"/>
            </w:tcBorders>
            <w:shd w:val="clear" w:color="auto" w:fill="ECECEC" w:themeFill="background1" w:themeFillShade="F2"/>
          </w:tcPr>
          <w:p w14:paraId="17505DE9" w14:textId="2DB5D6E4" w:rsidR="00C17780" w:rsidRPr="00A55335" w:rsidRDefault="00BE1D43" w:rsidP="008439E9">
            <w:pPr>
              <w:pStyle w:val="Tabletext8pt"/>
              <w:jc w:val="center"/>
              <w:rPr>
                <w:rStyle w:val="Strong"/>
              </w:rPr>
            </w:pPr>
            <w:r w:rsidRPr="00A55335">
              <w:rPr>
                <w:rFonts w:cs="Montserrat"/>
                <w:b/>
                <w:color w:val="000000"/>
              </w:rPr>
              <w:t>218 per 1,000</w:t>
            </w:r>
            <w:r w:rsidRPr="00A55335">
              <w:rPr>
                <w:rFonts w:cs="Montserrat"/>
                <w:color w:val="000000"/>
              </w:rPr>
              <w:br/>
              <w:t xml:space="preserve">(106 to </w:t>
            </w:r>
            <w:proofErr w:type="gramStart"/>
            <w:r w:rsidRPr="00A55335">
              <w:rPr>
                <w:rFonts w:cs="Montserrat"/>
                <w:color w:val="000000"/>
              </w:rPr>
              <w:t>440)</w:t>
            </w:r>
            <w:r w:rsidR="002374FF">
              <w:rPr>
                <w:rFonts w:cs="Montserrat"/>
                <w:color w:val="000000"/>
                <w:vertAlign w:val="superscript"/>
              </w:rPr>
              <w:t>^</w:t>
            </w:r>
            <w:proofErr w:type="gramEnd"/>
          </w:p>
        </w:tc>
        <w:tc>
          <w:tcPr>
            <w:tcW w:w="436" w:type="pct"/>
            <w:tcBorders>
              <w:top w:val="single" w:sz="6" w:space="0" w:color="000000"/>
              <w:left w:val="nil"/>
              <w:bottom w:val="single" w:sz="6" w:space="0" w:color="000000"/>
              <w:right w:val="nil"/>
            </w:tcBorders>
            <w:vAlign w:val="center"/>
          </w:tcPr>
          <w:p w14:paraId="012F633A" w14:textId="2B95C2FC" w:rsidR="00C17780" w:rsidRPr="00A55335" w:rsidRDefault="00C17780" w:rsidP="008439E9">
            <w:pPr>
              <w:pStyle w:val="Tabletext8pt"/>
              <w:jc w:val="center"/>
              <w:rPr>
                <w:rStyle w:val="Strong"/>
              </w:rPr>
            </w:pPr>
            <w:r w:rsidRPr="00A55335">
              <w:rPr>
                <w:rStyle w:val="Strong"/>
              </w:rPr>
              <w:t>RR 0.78</w:t>
            </w:r>
            <w:r w:rsidRPr="00A55335">
              <w:br/>
              <w:t>(0.38 to 1.57)</w:t>
            </w:r>
          </w:p>
        </w:tc>
        <w:tc>
          <w:tcPr>
            <w:tcW w:w="655" w:type="pct"/>
            <w:tcBorders>
              <w:top w:val="single" w:sz="6" w:space="0" w:color="000000"/>
              <w:left w:val="nil"/>
              <w:bottom w:val="single" w:sz="6" w:space="0" w:color="000000"/>
              <w:right w:val="nil"/>
            </w:tcBorders>
            <w:vAlign w:val="center"/>
          </w:tcPr>
          <w:p w14:paraId="11FE68A9" w14:textId="7AAAB4BB" w:rsidR="00C17780" w:rsidRPr="00A55335" w:rsidRDefault="00C17780" w:rsidP="008439E9">
            <w:pPr>
              <w:pStyle w:val="Tabletext8pt"/>
              <w:jc w:val="center"/>
              <w:rPr>
                <w:rFonts w:eastAsia="Times New Roman"/>
              </w:rPr>
            </w:pPr>
            <w:r w:rsidRPr="00A55335">
              <w:rPr>
                <w:rFonts w:eastAsia="Times New Roman"/>
              </w:rPr>
              <w:t>96</w:t>
            </w:r>
            <w:r w:rsidRPr="00A55335">
              <w:rPr>
                <w:rFonts w:eastAsia="Times New Roman"/>
              </w:rPr>
              <w:br/>
              <w:t>(1 RCT)</w:t>
            </w:r>
          </w:p>
        </w:tc>
        <w:tc>
          <w:tcPr>
            <w:tcW w:w="581" w:type="pct"/>
            <w:tcBorders>
              <w:top w:val="single" w:sz="6" w:space="0" w:color="000000"/>
              <w:left w:val="nil"/>
              <w:bottom w:val="single" w:sz="6" w:space="0" w:color="000000"/>
              <w:right w:val="nil"/>
            </w:tcBorders>
            <w:vAlign w:val="center"/>
          </w:tcPr>
          <w:p w14:paraId="6801E4E6" w14:textId="7CA2FC44" w:rsidR="00C17780" w:rsidRPr="00A55335" w:rsidRDefault="00C17780" w:rsidP="008439E9">
            <w:pPr>
              <w:pStyle w:val="Tabletext8pt"/>
              <w:jc w:val="center"/>
              <w:rPr>
                <w:rStyle w:val="quality-sign"/>
                <w:rFonts w:ascii="Cambria Math" w:hAnsi="Cambria Math"/>
              </w:rPr>
            </w:pPr>
            <w:r w:rsidRPr="00A55335">
              <w:rPr>
                <w:rStyle w:val="quality-sign"/>
                <w:rFonts w:ascii="Cambria Math" w:hAnsi="Cambria Math"/>
              </w:rPr>
              <w:t>⨁⨁◯◯</w:t>
            </w:r>
            <w:r w:rsidRPr="00A55335">
              <w:rPr>
                <w:rFonts w:eastAsia="Times New Roman"/>
              </w:rPr>
              <w:br/>
            </w:r>
            <w:r w:rsidRPr="00A55335">
              <w:rPr>
                <w:rStyle w:val="QualitytextChar"/>
              </w:rPr>
              <w:t>Low</w:t>
            </w:r>
            <w:r w:rsidRPr="00A55335">
              <w:t xml:space="preserve"> </w:t>
            </w:r>
            <w:proofErr w:type="spellStart"/>
            <w:r w:rsidRPr="00A55335">
              <w:rPr>
                <w:rStyle w:val="FootnoteReference"/>
              </w:rPr>
              <w:t>a,b,c,d,e</w:t>
            </w:r>
            <w:proofErr w:type="spellEnd"/>
          </w:p>
        </w:tc>
        <w:tc>
          <w:tcPr>
            <w:tcW w:w="1073" w:type="pct"/>
            <w:tcBorders>
              <w:top w:val="single" w:sz="6" w:space="0" w:color="000000"/>
              <w:left w:val="nil"/>
              <w:bottom w:val="single" w:sz="6" w:space="0" w:color="000000"/>
              <w:right w:val="nil"/>
            </w:tcBorders>
            <w:vAlign w:val="center"/>
          </w:tcPr>
          <w:p w14:paraId="2BB7382A" w14:textId="23B5958B" w:rsidR="00C17780" w:rsidRPr="00A55335" w:rsidRDefault="00227AD6" w:rsidP="00C17780">
            <w:pPr>
              <w:pStyle w:val="Tabletext8pt"/>
              <w:rPr>
                <w:rFonts w:eastAsia="Times New Roman"/>
              </w:rPr>
            </w:pPr>
            <w:r w:rsidRPr="00A55335">
              <w:rPr>
                <w:rFonts w:eastAsia="Times New Roman"/>
              </w:rPr>
              <w:t>H</w:t>
            </w:r>
            <w:r w:rsidR="0086366F" w:rsidRPr="00A55335">
              <w:rPr>
                <w:rFonts w:eastAsia="Times New Roman"/>
              </w:rPr>
              <w:t xml:space="preserve">omeopathy </w:t>
            </w:r>
            <w:r w:rsidR="00C17780" w:rsidRPr="00A55335">
              <w:rPr>
                <w:rFonts w:eastAsia="Times New Roman"/>
              </w:rPr>
              <w:t xml:space="preserve">may result in little to no difference in the number of episodes of acute otitis media in children with </w:t>
            </w:r>
            <w:r w:rsidR="00C17780" w:rsidRPr="00A55335">
              <w:rPr>
                <w:szCs w:val="18"/>
              </w:rPr>
              <w:t>recurrent</w:t>
            </w:r>
            <w:r w:rsidR="00C17780" w:rsidRPr="00A55335">
              <w:rPr>
                <w:rFonts w:eastAsia="Times New Roman"/>
              </w:rPr>
              <w:t xml:space="preserve"> otitis media</w:t>
            </w:r>
            <w:r w:rsidR="008439E9" w:rsidRPr="00A55335">
              <w:rPr>
                <w:rFonts w:eastAsia="Times New Roman"/>
              </w:rPr>
              <w:t xml:space="preserve"> **</w:t>
            </w:r>
          </w:p>
        </w:tc>
      </w:tr>
      <w:tr w:rsidR="008439E9" w:rsidRPr="00A55335" w14:paraId="09803239" w14:textId="77777777" w:rsidTr="00D1600D">
        <w:trPr>
          <w:cantSplit/>
        </w:trPr>
        <w:tc>
          <w:tcPr>
            <w:tcW w:w="946" w:type="pct"/>
            <w:tcBorders>
              <w:top w:val="single" w:sz="6" w:space="0" w:color="000000"/>
              <w:left w:val="nil"/>
              <w:bottom w:val="single" w:sz="6" w:space="0" w:color="000000"/>
              <w:right w:val="nil"/>
            </w:tcBorders>
            <w:vAlign w:val="center"/>
            <w:hideMark/>
          </w:tcPr>
          <w:p w14:paraId="4BFD3428" w14:textId="47534AB6" w:rsidR="00C17780" w:rsidRPr="00A55335" w:rsidRDefault="00C17780" w:rsidP="00C17780">
            <w:pPr>
              <w:pStyle w:val="Tabletext8pt"/>
            </w:pPr>
            <w:r w:rsidRPr="00A55335">
              <w:t>Infection frequency</w:t>
            </w:r>
            <w:r w:rsidRPr="00A55335">
              <w:br/>
              <w:t>assessed with: Number who experience recurrent OME</w:t>
            </w:r>
            <w:r w:rsidRPr="00A55335">
              <w:br/>
              <w:t>follow-up: 3 months</w:t>
            </w:r>
          </w:p>
        </w:tc>
        <w:tc>
          <w:tcPr>
            <w:tcW w:w="654" w:type="pct"/>
            <w:tcBorders>
              <w:top w:val="single" w:sz="6" w:space="0" w:color="000000"/>
              <w:left w:val="nil"/>
              <w:bottom w:val="single" w:sz="6" w:space="0" w:color="000000"/>
              <w:right w:val="nil"/>
            </w:tcBorders>
            <w:shd w:val="clear" w:color="auto" w:fill="ECECEC" w:themeFill="background1" w:themeFillShade="F2"/>
            <w:vAlign w:val="center"/>
            <w:hideMark/>
          </w:tcPr>
          <w:p w14:paraId="4BC6C669" w14:textId="2E040C13" w:rsidR="00C17780" w:rsidRPr="00A55335" w:rsidRDefault="00C420ED" w:rsidP="008439E9">
            <w:pPr>
              <w:pStyle w:val="Tabletext8pt"/>
              <w:jc w:val="center"/>
            </w:pPr>
            <w:r w:rsidRPr="00A55335">
              <w:t xml:space="preserve">100 </w:t>
            </w:r>
            <w:r w:rsidR="00C17780" w:rsidRPr="00A55335">
              <w:t>per 1,000</w:t>
            </w:r>
          </w:p>
        </w:tc>
        <w:tc>
          <w:tcPr>
            <w:tcW w:w="655" w:type="pct"/>
            <w:tcBorders>
              <w:top w:val="single" w:sz="6" w:space="0" w:color="000000"/>
              <w:left w:val="nil"/>
              <w:bottom w:val="single" w:sz="6" w:space="0" w:color="000000"/>
              <w:right w:val="nil"/>
            </w:tcBorders>
            <w:shd w:val="clear" w:color="auto" w:fill="ECECEC" w:themeFill="background1" w:themeFillShade="F2"/>
            <w:hideMark/>
          </w:tcPr>
          <w:p w14:paraId="23B688DB" w14:textId="7A12F735" w:rsidR="00C17780" w:rsidRPr="00A55335" w:rsidRDefault="00E7105D" w:rsidP="008439E9">
            <w:pPr>
              <w:pStyle w:val="Tabletext8pt"/>
              <w:jc w:val="center"/>
            </w:pPr>
            <w:r w:rsidRPr="00A55335">
              <w:rPr>
                <w:rFonts w:cs="Montserrat"/>
                <w:b/>
                <w:color w:val="000000"/>
              </w:rPr>
              <w:t>43 per 1,000</w:t>
            </w:r>
            <w:r w:rsidRPr="00A55335">
              <w:rPr>
                <w:rFonts w:cs="Montserrat"/>
                <w:color w:val="000000"/>
              </w:rPr>
              <w:br/>
              <w:t xml:space="preserve">(9 to </w:t>
            </w:r>
            <w:proofErr w:type="gramStart"/>
            <w:r w:rsidRPr="00A55335">
              <w:rPr>
                <w:rFonts w:cs="Montserrat"/>
                <w:color w:val="000000"/>
              </w:rPr>
              <w:t>213)</w:t>
            </w:r>
            <w:r w:rsidR="002374FF">
              <w:rPr>
                <w:rFonts w:cs="Montserrat"/>
                <w:color w:val="000000"/>
                <w:vertAlign w:val="superscript"/>
              </w:rPr>
              <w:t>^</w:t>
            </w:r>
            <w:proofErr w:type="gramEnd"/>
            <w:r w:rsidR="002374FF">
              <w:rPr>
                <w:rFonts w:cs="Montserrat"/>
                <w:color w:val="000000"/>
                <w:vertAlign w:val="superscript"/>
              </w:rPr>
              <w:t>^</w:t>
            </w:r>
          </w:p>
        </w:tc>
        <w:tc>
          <w:tcPr>
            <w:tcW w:w="436" w:type="pct"/>
            <w:tcBorders>
              <w:top w:val="single" w:sz="6" w:space="0" w:color="000000"/>
              <w:left w:val="nil"/>
              <w:bottom w:val="single" w:sz="6" w:space="0" w:color="000000"/>
              <w:right w:val="nil"/>
            </w:tcBorders>
            <w:vAlign w:val="center"/>
            <w:hideMark/>
          </w:tcPr>
          <w:p w14:paraId="2CAD03D0" w14:textId="07EC7962" w:rsidR="00C17780" w:rsidRPr="00A55335" w:rsidRDefault="00C17780" w:rsidP="008439E9">
            <w:pPr>
              <w:pStyle w:val="Tabletext8pt"/>
              <w:jc w:val="center"/>
            </w:pPr>
            <w:r w:rsidRPr="00A55335">
              <w:rPr>
                <w:rStyle w:val="Strong"/>
              </w:rPr>
              <w:t>RR 0.43</w:t>
            </w:r>
            <w:r w:rsidRPr="00A55335">
              <w:br/>
              <w:t>(0.09 to 2.13)</w:t>
            </w:r>
          </w:p>
        </w:tc>
        <w:tc>
          <w:tcPr>
            <w:tcW w:w="655" w:type="pct"/>
            <w:tcBorders>
              <w:top w:val="single" w:sz="6" w:space="0" w:color="000000"/>
              <w:left w:val="nil"/>
              <w:bottom w:val="single" w:sz="6" w:space="0" w:color="000000"/>
              <w:right w:val="nil"/>
            </w:tcBorders>
            <w:vAlign w:val="center"/>
            <w:hideMark/>
          </w:tcPr>
          <w:p w14:paraId="04781CA1" w14:textId="2655C512" w:rsidR="00C17780" w:rsidRPr="00A55335" w:rsidRDefault="00C17780" w:rsidP="008439E9">
            <w:pPr>
              <w:pStyle w:val="Tabletext8pt"/>
              <w:jc w:val="center"/>
              <w:rPr>
                <w:rFonts w:eastAsia="Times New Roman"/>
              </w:rPr>
            </w:pPr>
            <w:r w:rsidRPr="00A55335">
              <w:rPr>
                <w:rFonts w:eastAsia="Times New Roman"/>
              </w:rPr>
              <w:t>96</w:t>
            </w:r>
            <w:r w:rsidRPr="00A55335">
              <w:rPr>
                <w:rFonts w:eastAsia="Times New Roman"/>
              </w:rPr>
              <w:br/>
              <w:t>(1 RCT)</w:t>
            </w:r>
          </w:p>
        </w:tc>
        <w:tc>
          <w:tcPr>
            <w:tcW w:w="581" w:type="pct"/>
            <w:tcBorders>
              <w:top w:val="single" w:sz="6" w:space="0" w:color="000000"/>
              <w:left w:val="nil"/>
              <w:bottom w:val="single" w:sz="6" w:space="0" w:color="000000"/>
              <w:right w:val="nil"/>
            </w:tcBorders>
            <w:vAlign w:val="center"/>
            <w:hideMark/>
          </w:tcPr>
          <w:p w14:paraId="0EEF0CB5" w14:textId="46E2E0F4" w:rsidR="00C17780" w:rsidRPr="00A55335" w:rsidRDefault="00C17780" w:rsidP="008439E9">
            <w:pPr>
              <w:pStyle w:val="Tabletext8pt"/>
              <w:jc w:val="center"/>
              <w:rPr>
                <w:rFonts w:eastAsia="Times New Roman"/>
              </w:rPr>
            </w:pPr>
            <w:r w:rsidRPr="00A55335">
              <w:rPr>
                <w:rStyle w:val="quality-sign"/>
                <w:rFonts w:ascii="Cambria Math" w:hAnsi="Cambria Math"/>
              </w:rPr>
              <w:t>⨁⨁◯◯</w:t>
            </w:r>
            <w:r w:rsidRPr="00A55335">
              <w:rPr>
                <w:rFonts w:eastAsia="Times New Roman"/>
              </w:rPr>
              <w:br/>
            </w:r>
            <w:r w:rsidRPr="00A55335">
              <w:rPr>
                <w:rStyle w:val="QualitytextChar"/>
              </w:rPr>
              <w:t>Low</w:t>
            </w:r>
            <w:r w:rsidRPr="00A55335">
              <w:t xml:space="preserve"> </w:t>
            </w:r>
            <w:proofErr w:type="spellStart"/>
            <w:r w:rsidRPr="00A55335">
              <w:rPr>
                <w:rStyle w:val="FootnoteReference"/>
              </w:rPr>
              <w:t>a,b,c,d,e</w:t>
            </w:r>
            <w:proofErr w:type="spellEnd"/>
          </w:p>
        </w:tc>
        <w:tc>
          <w:tcPr>
            <w:tcW w:w="1073" w:type="pct"/>
            <w:tcBorders>
              <w:top w:val="single" w:sz="6" w:space="0" w:color="000000"/>
              <w:left w:val="nil"/>
              <w:bottom w:val="single" w:sz="6" w:space="0" w:color="000000"/>
              <w:right w:val="nil"/>
            </w:tcBorders>
            <w:vAlign w:val="center"/>
            <w:hideMark/>
          </w:tcPr>
          <w:p w14:paraId="03C7226C" w14:textId="7312F392" w:rsidR="00C17780" w:rsidRPr="00A55335" w:rsidRDefault="00227AD6" w:rsidP="00C17780">
            <w:pPr>
              <w:pStyle w:val="Tabletext8pt"/>
              <w:rPr>
                <w:rFonts w:eastAsia="Times New Roman"/>
              </w:rPr>
            </w:pPr>
            <w:r w:rsidRPr="00A55335">
              <w:rPr>
                <w:rFonts w:eastAsia="Times New Roman"/>
              </w:rPr>
              <w:t>H</w:t>
            </w:r>
            <w:r w:rsidR="0086366F" w:rsidRPr="00A55335">
              <w:rPr>
                <w:rFonts w:eastAsia="Times New Roman"/>
              </w:rPr>
              <w:t xml:space="preserve">omeopathy </w:t>
            </w:r>
            <w:r w:rsidR="00C17780" w:rsidRPr="00A55335">
              <w:rPr>
                <w:rFonts w:eastAsia="Times New Roman"/>
              </w:rPr>
              <w:t xml:space="preserve">may result in little to no difference in the recurrence of otitis media with effusion in children with </w:t>
            </w:r>
            <w:r w:rsidR="00C17780" w:rsidRPr="00A55335">
              <w:rPr>
                <w:szCs w:val="18"/>
              </w:rPr>
              <w:t>recurrent</w:t>
            </w:r>
            <w:r w:rsidR="00C17780" w:rsidRPr="00A55335">
              <w:rPr>
                <w:rFonts w:eastAsia="Times New Roman"/>
              </w:rPr>
              <w:t xml:space="preserve"> otitis media</w:t>
            </w:r>
            <w:r w:rsidR="00AE5CF9">
              <w:rPr>
                <w:rFonts w:eastAsia="Times New Roman"/>
              </w:rPr>
              <w:t xml:space="preserve"> </w:t>
            </w:r>
            <w:r w:rsidR="008439E9" w:rsidRPr="00A55335">
              <w:rPr>
                <w:rFonts w:eastAsia="Times New Roman"/>
              </w:rPr>
              <w:t>**</w:t>
            </w:r>
          </w:p>
        </w:tc>
      </w:tr>
      <w:tr w:rsidR="008439E9" w:rsidRPr="00A55335" w14:paraId="16E52AFF" w14:textId="77777777" w:rsidTr="00D1600D">
        <w:trPr>
          <w:cantSplit/>
        </w:trPr>
        <w:tc>
          <w:tcPr>
            <w:tcW w:w="946" w:type="pct"/>
            <w:tcBorders>
              <w:top w:val="single" w:sz="6" w:space="0" w:color="000000"/>
              <w:left w:val="nil"/>
              <w:bottom w:val="single" w:sz="6" w:space="0" w:color="000000"/>
              <w:right w:val="nil"/>
            </w:tcBorders>
            <w:vAlign w:val="center"/>
            <w:hideMark/>
          </w:tcPr>
          <w:p w14:paraId="161375E6" w14:textId="3D8F586B" w:rsidR="00C17780" w:rsidRPr="00A55335" w:rsidRDefault="00C17780" w:rsidP="00C17780">
            <w:pPr>
              <w:pStyle w:val="Tabletext8pt"/>
            </w:pPr>
            <w:r w:rsidRPr="00A55335">
              <w:lastRenderedPageBreak/>
              <w:t>Symptom severity</w:t>
            </w:r>
            <w:r w:rsidRPr="00A55335">
              <w:br/>
            </w:r>
            <w:r w:rsidR="00535DF3" w:rsidRPr="00A55335">
              <w:t>assessed with: Symptom diary</w:t>
            </w:r>
            <w:r w:rsidR="00535DF3" w:rsidRPr="00A55335">
              <w:br/>
            </w:r>
            <w:r w:rsidRPr="00A55335">
              <w:t>Scale from: 0 to 9</w:t>
            </w:r>
            <w:r w:rsidR="00F46387" w:rsidRPr="00A55335">
              <w:t xml:space="preserve"> (higher is worse)</w:t>
            </w:r>
            <w:r w:rsidRPr="00A55335">
              <w:br/>
              <w:t>follow-up: 72 hours</w:t>
            </w:r>
          </w:p>
        </w:tc>
        <w:tc>
          <w:tcPr>
            <w:tcW w:w="1309" w:type="pct"/>
            <w:gridSpan w:val="2"/>
            <w:tcBorders>
              <w:top w:val="single" w:sz="6" w:space="0" w:color="000000"/>
              <w:left w:val="nil"/>
              <w:bottom w:val="single" w:sz="6" w:space="0" w:color="000000"/>
              <w:right w:val="nil"/>
            </w:tcBorders>
            <w:shd w:val="clear" w:color="auto" w:fill="ECECEC" w:themeFill="background1" w:themeFillShade="F2"/>
            <w:vAlign w:val="center"/>
            <w:hideMark/>
          </w:tcPr>
          <w:p w14:paraId="039EAD15" w14:textId="419D2CFE" w:rsidR="00C17780" w:rsidRPr="00A55335" w:rsidRDefault="00C17780" w:rsidP="008439E9">
            <w:pPr>
              <w:pStyle w:val="Tabletext8pt"/>
              <w:jc w:val="center"/>
            </w:pPr>
            <w:r w:rsidRPr="00A55335">
              <w:t xml:space="preserve">The authors did not provide </w:t>
            </w:r>
            <w:r w:rsidR="00235F4C" w:rsidRPr="00A55335">
              <w:t xml:space="preserve">usable </w:t>
            </w:r>
            <w:r w:rsidRPr="00A55335">
              <w:t>data</w:t>
            </w:r>
            <w:r w:rsidR="00426D56" w:rsidRPr="00A55335">
              <w:t>^</w:t>
            </w:r>
            <w:r w:rsidR="002374FF">
              <w:t>^^</w:t>
            </w:r>
            <w:r w:rsidR="00235F4C" w:rsidRPr="00A55335">
              <w:t xml:space="preserve"> </w:t>
            </w:r>
          </w:p>
        </w:tc>
        <w:tc>
          <w:tcPr>
            <w:tcW w:w="436" w:type="pct"/>
            <w:tcBorders>
              <w:top w:val="single" w:sz="6" w:space="0" w:color="000000"/>
              <w:left w:val="nil"/>
              <w:bottom w:val="single" w:sz="6" w:space="0" w:color="000000"/>
              <w:right w:val="nil"/>
            </w:tcBorders>
            <w:vAlign w:val="center"/>
            <w:hideMark/>
          </w:tcPr>
          <w:p w14:paraId="7962BEC4" w14:textId="77777777" w:rsidR="00C17780" w:rsidRPr="00A55335" w:rsidRDefault="00C17780" w:rsidP="008439E9">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5C3D519F" w14:textId="0544276D" w:rsidR="00C17780" w:rsidRPr="00A55335" w:rsidRDefault="00D85ABC" w:rsidP="008439E9">
            <w:pPr>
              <w:pStyle w:val="Tabletext8pt"/>
              <w:jc w:val="center"/>
              <w:rPr>
                <w:rFonts w:eastAsia="Times New Roman"/>
              </w:rPr>
            </w:pPr>
            <w:r w:rsidRPr="00A55335">
              <w:rPr>
                <w:rFonts w:eastAsia="Times New Roman"/>
              </w:rPr>
              <w:t>75</w:t>
            </w:r>
            <w:r w:rsidR="00C17780" w:rsidRPr="00A55335">
              <w:rPr>
                <w:rFonts w:eastAsia="Times New Roman"/>
              </w:rPr>
              <w:br/>
              <w:t>(1 RCT)</w:t>
            </w:r>
          </w:p>
        </w:tc>
        <w:tc>
          <w:tcPr>
            <w:tcW w:w="581" w:type="pct"/>
            <w:tcBorders>
              <w:top w:val="single" w:sz="6" w:space="0" w:color="000000"/>
              <w:left w:val="nil"/>
              <w:bottom w:val="single" w:sz="6" w:space="0" w:color="000000"/>
              <w:right w:val="nil"/>
            </w:tcBorders>
            <w:vAlign w:val="center"/>
            <w:hideMark/>
          </w:tcPr>
          <w:p w14:paraId="37713AAC" w14:textId="12F02D0D" w:rsidR="00C17780" w:rsidRPr="00A55335" w:rsidRDefault="00C17780" w:rsidP="008439E9">
            <w:pPr>
              <w:pStyle w:val="Tabletext8pt"/>
              <w:jc w:val="center"/>
            </w:pPr>
            <w:r w:rsidRPr="00A55335">
              <w:rPr>
                <w:rStyle w:val="quality-sign"/>
                <w:rFonts w:ascii="Cambria Math" w:hAnsi="Cambria Math"/>
              </w:rPr>
              <w:t>⨁</w:t>
            </w:r>
            <w:r w:rsidR="00196BB0" w:rsidRPr="00A55335">
              <w:rPr>
                <w:rStyle w:val="quality-sign"/>
                <w:rFonts w:ascii="Cambria Math" w:hAnsi="Cambria Math"/>
              </w:rPr>
              <w:t>◯</w:t>
            </w:r>
            <w:r w:rsidRPr="00A55335">
              <w:rPr>
                <w:rStyle w:val="quality-sign"/>
                <w:rFonts w:ascii="Cambria Math" w:hAnsi="Cambria Math"/>
              </w:rPr>
              <w:t>◯◯</w:t>
            </w:r>
            <w:r w:rsidRPr="00A55335">
              <w:br/>
            </w:r>
            <w:r w:rsidR="00196BB0" w:rsidRPr="00A55335">
              <w:rPr>
                <w:rStyle w:val="QualitytextChar"/>
              </w:rPr>
              <w:t xml:space="preserve">Very </w:t>
            </w:r>
            <w:r w:rsidRPr="00A55335">
              <w:rPr>
                <w:rStyle w:val="QualitytextChar"/>
              </w:rPr>
              <w:t xml:space="preserve">Low </w:t>
            </w:r>
            <w:proofErr w:type="spellStart"/>
            <w:r w:rsidR="00196BB0" w:rsidRPr="00A55335">
              <w:rPr>
                <w:rStyle w:val="FootnoteReference"/>
              </w:rPr>
              <w:t>a,b,e,f</w:t>
            </w:r>
            <w:r w:rsidR="00AC59D1" w:rsidRPr="00A55335">
              <w:rPr>
                <w:rStyle w:val="FootnoteReference"/>
              </w:rPr>
              <w:t>,g</w:t>
            </w:r>
            <w:proofErr w:type="spellEnd"/>
          </w:p>
        </w:tc>
        <w:tc>
          <w:tcPr>
            <w:tcW w:w="1073" w:type="pct"/>
            <w:tcBorders>
              <w:top w:val="single" w:sz="6" w:space="0" w:color="000000"/>
              <w:left w:val="nil"/>
              <w:bottom w:val="single" w:sz="6" w:space="0" w:color="000000"/>
              <w:right w:val="nil"/>
            </w:tcBorders>
            <w:vAlign w:val="center"/>
            <w:hideMark/>
          </w:tcPr>
          <w:p w14:paraId="0DE4A045" w14:textId="0370F918" w:rsidR="00C17780" w:rsidRPr="00A55335" w:rsidRDefault="00BF275B" w:rsidP="00C17780">
            <w:pPr>
              <w:pStyle w:val="Tabletext8pt"/>
              <w:rPr>
                <w:rFonts w:eastAsia="Times New Roman"/>
              </w:rPr>
            </w:pPr>
            <w:r w:rsidRPr="00A55335">
              <w:rPr>
                <w:rFonts w:eastAsia="Times New Roman"/>
              </w:rPr>
              <w:t>The evidence is very uncertain about the effect of homeopathy on</w:t>
            </w:r>
            <w:r w:rsidR="00C17780" w:rsidRPr="00A55335">
              <w:rPr>
                <w:rFonts w:eastAsia="Times New Roman"/>
              </w:rPr>
              <w:t xml:space="preserve"> symptom severity in children with </w:t>
            </w:r>
            <w:r w:rsidR="00C17780" w:rsidRPr="00A55335">
              <w:rPr>
                <w:szCs w:val="18"/>
              </w:rPr>
              <w:t>recurrent</w:t>
            </w:r>
            <w:r w:rsidR="00C17780" w:rsidRPr="00A55335">
              <w:rPr>
                <w:rFonts w:eastAsia="Times New Roman"/>
              </w:rPr>
              <w:t xml:space="preserve"> otitis media</w:t>
            </w:r>
          </w:p>
        </w:tc>
      </w:tr>
      <w:tr w:rsidR="008439E9" w:rsidRPr="00A55335" w14:paraId="308F13F1" w14:textId="77777777" w:rsidTr="00D1600D">
        <w:trPr>
          <w:cantSplit/>
        </w:trPr>
        <w:tc>
          <w:tcPr>
            <w:tcW w:w="946" w:type="pct"/>
            <w:tcBorders>
              <w:top w:val="single" w:sz="6" w:space="0" w:color="000000"/>
              <w:left w:val="nil"/>
              <w:bottom w:val="single" w:sz="6" w:space="0" w:color="000000"/>
              <w:right w:val="nil"/>
            </w:tcBorders>
            <w:vAlign w:val="center"/>
            <w:hideMark/>
          </w:tcPr>
          <w:p w14:paraId="70AF2764" w14:textId="3B491826" w:rsidR="00C17780" w:rsidRPr="00A55335" w:rsidRDefault="00C17780" w:rsidP="00C17780">
            <w:pPr>
              <w:pStyle w:val="Tabletext8pt"/>
            </w:pPr>
            <w:r w:rsidRPr="00A55335">
              <w:t>Infection duration - not reported</w:t>
            </w:r>
          </w:p>
        </w:tc>
        <w:tc>
          <w:tcPr>
            <w:tcW w:w="654" w:type="pct"/>
            <w:tcBorders>
              <w:top w:val="single" w:sz="6" w:space="0" w:color="000000"/>
              <w:left w:val="nil"/>
              <w:bottom w:val="single" w:sz="6" w:space="0" w:color="000000"/>
              <w:right w:val="nil"/>
            </w:tcBorders>
            <w:shd w:val="clear" w:color="auto" w:fill="ECECEC" w:themeFill="background1" w:themeFillShade="F2"/>
            <w:vAlign w:val="center"/>
            <w:hideMark/>
          </w:tcPr>
          <w:p w14:paraId="0A870E5C" w14:textId="77777777" w:rsidR="00C17780" w:rsidRPr="00A55335" w:rsidRDefault="00C17780" w:rsidP="008439E9">
            <w:pPr>
              <w:pStyle w:val="Tabletext8pt"/>
              <w:jc w:val="center"/>
            </w:pPr>
            <w:r w:rsidRPr="00A55335">
              <w:t>-</w:t>
            </w:r>
          </w:p>
        </w:tc>
        <w:tc>
          <w:tcPr>
            <w:tcW w:w="655" w:type="pct"/>
            <w:tcBorders>
              <w:top w:val="single" w:sz="6" w:space="0" w:color="000000"/>
              <w:left w:val="nil"/>
              <w:bottom w:val="single" w:sz="6" w:space="0" w:color="000000"/>
              <w:right w:val="nil"/>
            </w:tcBorders>
            <w:shd w:val="clear" w:color="auto" w:fill="ECECEC" w:themeFill="background1" w:themeFillShade="F2"/>
            <w:hideMark/>
          </w:tcPr>
          <w:p w14:paraId="7A3E899A" w14:textId="77777777" w:rsidR="00C17780" w:rsidRPr="00A55335" w:rsidRDefault="00C17780" w:rsidP="008439E9">
            <w:pPr>
              <w:pStyle w:val="Tabletext8pt"/>
              <w:jc w:val="center"/>
            </w:pPr>
            <w:r w:rsidRPr="00A55335">
              <w:t>-</w:t>
            </w:r>
          </w:p>
        </w:tc>
        <w:tc>
          <w:tcPr>
            <w:tcW w:w="436" w:type="pct"/>
            <w:tcBorders>
              <w:top w:val="single" w:sz="6" w:space="0" w:color="000000"/>
              <w:left w:val="nil"/>
              <w:bottom w:val="single" w:sz="6" w:space="0" w:color="000000"/>
              <w:right w:val="nil"/>
            </w:tcBorders>
            <w:vAlign w:val="center"/>
            <w:hideMark/>
          </w:tcPr>
          <w:p w14:paraId="4C31E343" w14:textId="77777777" w:rsidR="00C17780" w:rsidRPr="00A55335" w:rsidRDefault="00C17780" w:rsidP="008439E9">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30E8672B" w14:textId="48333925" w:rsidR="00C17780" w:rsidRPr="00A55335" w:rsidRDefault="00C17780" w:rsidP="008439E9">
            <w:pPr>
              <w:pStyle w:val="Tabletext8pt"/>
              <w:jc w:val="center"/>
            </w:pPr>
            <w:r w:rsidRPr="00A55335">
              <w:t>(0 studies)</w:t>
            </w:r>
          </w:p>
        </w:tc>
        <w:tc>
          <w:tcPr>
            <w:tcW w:w="581" w:type="pct"/>
            <w:tcBorders>
              <w:top w:val="single" w:sz="6" w:space="0" w:color="000000"/>
              <w:left w:val="nil"/>
              <w:bottom w:val="single" w:sz="6" w:space="0" w:color="000000"/>
              <w:right w:val="nil"/>
            </w:tcBorders>
            <w:vAlign w:val="center"/>
            <w:hideMark/>
          </w:tcPr>
          <w:p w14:paraId="5ECAB0B0" w14:textId="77777777" w:rsidR="00C17780" w:rsidRPr="00A55335" w:rsidRDefault="00C17780" w:rsidP="008439E9">
            <w:pPr>
              <w:pStyle w:val="Qualitytext"/>
            </w:pPr>
            <w:r w:rsidRPr="00A55335">
              <w:t>-</w:t>
            </w:r>
          </w:p>
        </w:tc>
        <w:tc>
          <w:tcPr>
            <w:tcW w:w="1073" w:type="pct"/>
            <w:tcBorders>
              <w:top w:val="single" w:sz="6" w:space="0" w:color="000000"/>
              <w:left w:val="nil"/>
              <w:bottom w:val="single" w:sz="6" w:space="0" w:color="000000"/>
              <w:right w:val="nil"/>
            </w:tcBorders>
            <w:vAlign w:val="center"/>
            <w:hideMark/>
          </w:tcPr>
          <w:p w14:paraId="20E94880" w14:textId="4B1D991B" w:rsidR="00C17780" w:rsidRPr="00A55335" w:rsidRDefault="00C17780" w:rsidP="00C17780">
            <w:pPr>
              <w:pStyle w:val="Tabletext8pt"/>
              <w:rPr>
                <w:rFonts w:eastAsia="Times New Roman"/>
              </w:rPr>
            </w:pPr>
            <w:r w:rsidRPr="00A55335">
              <w:rPr>
                <w:szCs w:val="18"/>
              </w:rPr>
              <w:t xml:space="preserve">The effect of homeopathy on infection duration in children with </w:t>
            </w:r>
            <w:r w:rsidR="00316BDF" w:rsidRPr="00A55335">
              <w:rPr>
                <w:szCs w:val="18"/>
              </w:rPr>
              <w:t xml:space="preserve">recurrent </w:t>
            </w:r>
            <w:r w:rsidRPr="00A55335">
              <w:rPr>
                <w:szCs w:val="18"/>
              </w:rPr>
              <w:t>otitis media is unknown</w:t>
            </w:r>
          </w:p>
        </w:tc>
      </w:tr>
      <w:tr w:rsidR="008439E9" w:rsidRPr="00A55335" w14:paraId="0DAB4D78" w14:textId="77777777" w:rsidTr="00D1600D">
        <w:trPr>
          <w:cantSplit/>
        </w:trPr>
        <w:tc>
          <w:tcPr>
            <w:tcW w:w="946" w:type="pct"/>
            <w:tcBorders>
              <w:top w:val="single" w:sz="6" w:space="0" w:color="000000"/>
              <w:left w:val="nil"/>
              <w:bottom w:val="single" w:sz="6" w:space="0" w:color="000000"/>
              <w:right w:val="nil"/>
            </w:tcBorders>
            <w:vAlign w:val="center"/>
            <w:hideMark/>
          </w:tcPr>
          <w:p w14:paraId="7BFCDC4A" w14:textId="77777777" w:rsidR="00C17780" w:rsidRPr="00A55335" w:rsidRDefault="00C17780" w:rsidP="00C17780">
            <w:pPr>
              <w:pStyle w:val="Tabletext8pt"/>
            </w:pPr>
            <w:r w:rsidRPr="00A55335">
              <w:t>Quality of life - not reported</w:t>
            </w:r>
          </w:p>
        </w:tc>
        <w:tc>
          <w:tcPr>
            <w:tcW w:w="654" w:type="pct"/>
            <w:tcBorders>
              <w:top w:val="single" w:sz="6" w:space="0" w:color="000000"/>
              <w:left w:val="nil"/>
              <w:bottom w:val="single" w:sz="6" w:space="0" w:color="000000"/>
              <w:right w:val="nil"/>
            </w:tcBorders>
            <w:shd w:val="clear" w:color="auto" w:fill="ECECEC" w:themeFill="background1" w:themeFillShade="F2"/>
            <w:vAlign w:val="center"/>
            <w:hideMark/>
          </w:tcPr>
          <w:p w14:paraId="2E9BF79F" w14:textId="77777777" w:rsidR="00C17780" w:rsidRPr="00A55335" w:rsidRDefault="00C17780" w:rsidP="008439E9">
            <w:pPr>
              <w:pStyle w:val="Tabletext8pt"/>
              <w:jc w:val="center"/>
            </w:pPr>
            <w:r w:rsidRPr="00A55335">
              <w:t>-</w:t>
            </w:r>
          </w:p>
        </w:tc>
        <w:tc>
          <w:tcPr>
            <w:tcW w:w="655" w:type="pct"/>
            <w:tcBorders>
              <w:top w:val="single" w:sz="6" w:space="0" w:color="000000"/>
              <w:left w:val="nil"/>
              <w:bottom w:val="single" w:sz="6" w:space="0" w:color="000000"/>
              <w:right w:val="nil"/>
            </w:tcBorders>
            <w:shd w:val="clear" w:color="auto" w:fill="ECECEC" w:themeFill="background1" w:themeFillShade="F2"/>
            <w:hideMark/>
          </w:tcPr>
          <w:p w14:paraId="3077689A" w14:textId="77777777" w:rsidR="00C17780" w:rsidRPr="00A55335" w:rsidRDefault="00C17780" w:rsidP="008439E9">
            <w:pPr>
              <w:pStyle w:val="Tabletext8pt"/>
              <w:jc w:val="center"/>
            </w:pPr>
            <w:r w:rsidRPr="00A55335">
              <w:t>-</w:t>
            </w:r>
          </w:p>
        </w:tc>
        <w:tc>
          <w:tcPr>
            <w:tcW w:w="436" w:type="pct"/>
            <w:tcBorders>
              <w:top w:val="single" w:sz="6" w:space="0" w:color="000000"/>
              <w:left w:val="nil"/>
              <w:bottom w:val="single" w:sz="6" w:space="0" w:color="000000"/>
              <w:right w:val="nil"/>
            </w:tcBorders>
            <w:vAlign w:val="center"/>
            <w:hideMark/>
          </w:tcPr>
          <w:p w14:paraId="6FF4AD9D" w14:textId="77777777" w:rsidR="00C17780" w:rsidRPr="00A55335" w:rsidRDefault="00C17780" w:rsidP="008439E9">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18B55FCA" w14:textId="7631C621" w:rsidR="00C17780" w:rsidRPr="00A55335" w:rsidRDefault="00C17780" w:rsidP="008439E9">
            <w:pPr>
              <w:pStyle w:val="Tabletext8pt"/>
              <w:jc w:val="center"/>
            </w:pPr>
            <w:r w:rsidRPr="00A55335">
              <w:t>(0 studies)</w:t>
            </w:r>
          </w:p>
        </w:tc>
        <w:tc>
          <w:tcPr>
            <w:tcW w:w="581" w:type="pct"/>
            <w:tcBorders>
              <w:top w:val="single" w:sz="6" w:space="0" w:color="000000"/>
              <w:left w:val="nil"/>
              <w:bottom w:val="single" w:sz="6" w:space="0" w:color="000000"/>
              <w:right w:val="nil"/>
            </w:tcBorders>
            <w:vAlign w:val="center"/>
            <w:hideMark/>
          </w:tcPr>
          <w:p w14:paraId="012896B0" w14:textId="77777777" w:rsidR="00C17780" w:rsidRPr="00A55335" w:rsidRDefault="00C17780" w:rsidP="008439E9">
            <w:pPr>
              <w:pStyle w:val="Qualitytext"/>
            </w:pPr>
            <w:r w:rsidRPr="00A55335">
              <w:t>-</w:t>
            </w:r>
          </w:p>
        </w:tc>
        <w:tc>
          <w:tcPr>
            <w:tcW w:w="1073" w:type="pct"/>
            <w:tcBorders>
              <w:top w:val="single" w:sz="6" w:space="0" w:color="000000"/>
              <w:left w:val="nil"/>
              <w:bottom w:val="single" w:sz="6" w:space="0" w:color="000000"/>
              <w:right w:val="nil"/>
            </w:tcBorders>
            <w:vAlign w:val="center"/>
            <w:hideMark/>
          </w:tcPr>
          <w:p w14:paraId="0D298A4C" w14:textId="47B27240" w:rsidR="00C17780" w:rsidRPr="00A55335" w:rsidRDefault="00C17780" w:rsidP="00C17780">
            <w:pPr>
              <w:pStyle w:val="Tabletext8pt"/>
              <w:rPr>
                <w:rFonts w:eastAsia="Times New Roman"/>
              </w:rPr>
            </w:pPr>
            <w:r w:rsidRPr="00A55335">
              <w:rPr>
                <w:szCs w:val="18"/>
              </w:rPr>
              <w:t>The effect of homeopathy on quality of life in children with recurrent otitis media is unknown</w:t>
            </w:r>
          </w:p>
        </w:tc>
      </w:tr>
      <w:tr w:rsidR="00C17780" w:rsidRPr="00A55335" w14:paraId="2C5D5B8F" w14:textId="77777777" w:rsidTr="00DA6848">
        <w:trPr>
          <w:cantSplit/>
        </w:trPr>
        <w:tc>
          <w:tcPr>
            <w:tcW w:w="5000" w:type="pct"/>
            <w:gridSpan w:val="7"/>
            <w:tcBorders>
              <w:top w:val="single" w:sz="6" w:space="0" w:color="000000"/>
              <w:left w:val="nil"/>
              <w:bottom w:val="single" w:sz="6" w:space="0" w:color="000000"/>
              <w:right w:val="nil"/>
            </w:tcBorders>
            <w:vAlign w:val="center"/>
            <w:hideMark/>
          </w:tcPr>
          <w:p w14:paraId="6D7B5F2A" w14:textId="77777777" w:rsidR="00C17780" w:rsidRPr="00A55335" w:rsidRDefault="00C17780" w:rsidP="00C17780">
            <w:pPr>
              <w:pStyle w:val="TableFigNotes18"/>
            </w:pP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 </w:t>
            </w:r>
          </w:p>
          <w:p w14:paraId="0EE1B293" w14:textId="32D96B64" w:rsidR="009D131A" w:rsidRDefault="00C17780" w:rsidP="00BC53A3">
            <w:pPr>
              <w:pStyle w:val="TableFigNotes18"/>
            </w:pPr>
            <w:r w:rsidRPr="00A55335">
              <w:t>** A 25% relative reduction was considered important (i.e. RR &lt; 0.75).</w:t>
            </w:r>
            <w:r w:rsidR="00030429">
              <w:t xml:space="preserve"> </w:t>
            </w:r>
            <w:r w:rsidR="00FB4A38">
              <w:t xml:space="preserve">Where </w:t>
            </w:r>
            <w:r w:rsidR="00CA3345">
              <w:t>absolute risk (ARD) was available this was also considered</w:t>
            </w:r>
            <w:r w:rsidR="00145B57">
              <w:t>. Less than 10% ARD was con</w:t>
            </w:r>
            <w:r w:rsidR="0006316A">
              <w:t xml:space="preserve">sidered small. </w:t>
            </w:r>
            <w:r w:rsidR="00CA3345">
              <w:t xml:space="preserve"> </w:t>
            </w:r>
          </w:p>
          <w:p w14:paraId="084DCAE8" w14:textId="05F7B437" w:rsidR="00D1600D" w:rsidRDefault="004D0431" w:rsidP="00D1600D">
            <w:pPr>
              <w:pStyle w:val="TableFigNotes18"/>
            </w:pPr>
            <w:r>
              <w:br/>
            </w:r>
            <w:r w:rsidR="002374FF">
              <w:t>^</w:t>
            </w:r>
            <w:r w:rsidR="00D1600D">
              <w:t xml:space="preserve"> </w:t>
            </w:r>
            <w:r w:rsidR="00D1600D" w:rsidRPr="00DC72CF">
              <w:t>The ARD is 62 fewer per 1</w:t>
            </w:r>
            <w:r w:rsidR="005B2DC4">
              <w:t>0</w:t>
            </w:r>
            <w:r w:rsidR="00D1600D" w:rsidRPr="00DC72CF">
              <w:t xml:space="preserve">00 </w:t>
            </w:r>
            <w:r w:rsidR="000F01E4">
              <w:t xml:space="preserve">(from 174 fewer to 160 more) i.e. </w:t>
            </w:r>
            <w:r w:rsidR="00BF779E">
              <w:t xml:space="preserve">6.2% </w:t>
            </w:r>
            <w:r w:rsidR="00A975C7">
              <w:t>reduction</w:t>
            </w:r>
            <w:r w:rsidR="00D1600D">
              <w:t xml:space="preserve">. </w:t>
            </w:r>
          </w:p>
          <w:p w14:paraId="2B6DCFB8" w14:textId="384B925D" w:rsidR="00D1600D" w:rsidRPr="00BC53A3" w:rsidRDefault="002374FF" w:rsidP="00D1600D">
            <w:pPr>
              <w:pStyle w:val="TableFigNotes18"/>
            </w:pPr>
            <w:r>
              <w:t>^^</w:t>
            </w:r>
            <w:r w:rsidR="00D1600D">
              <w:t xml:space="preserve"> </w:t>
            </w:r>
            <w:r w:rsidR="00D1600D" w:rsidRPr="00BC53A3">
              <w:t>The ARD is 57 fewer per 100</w:t>
            </w:r>
            <w:r w:rsidR="00A975C7">
              <w:t>0</w:t>
            </w:r>
            <w:r w:rsidR="00D1600D" w:rsidRPr="00BC53A3">
              <w:t xml:space="preserve"> (</w:t>
            </w:r>
            <w:r w:rsidR="000F01E4">
              <w:t xml:space="preserve">from 91 fewer to 113 more) i.e. </w:t>
            </w:r>
            <w:r w:rsidR="00A975C7">
              <w:t>5.7% reduction</w:t>
            </w:r>
            <w:r w:rsidR="00D1600D">
              <w:t xml:space="preserve">. </w:t>
            </w:r>
          </w:p>
          <w:p w14:paraId="1C84F102" w14:textId="68A0254F" w:rsidR="00C17780" w:rsidRPr="00A55335" w:rsidRDefault="002374FF" w:rsidP="00C17780">
            <w:pPr>
              <w:pStyle w:val="TableFigNotes18"/>
            </w:pPr>
            <w:r>
              <w:t>^^</w:t>
            </w:r>
            <w:r w:rsidR="00426D56" w:rsidRPr="00A55335">
              <w:t xml:space="preserve">^ </w:t>
            </w:r>
            <w:r w:rsidR="00316BDF" w:rsidRPr="00A55335">
              <w:t xml:space="preserve">Data were presented in a line graph, but the authors </w:t>
            </w:r>
            <w:r w:rsidR="00426D56" w:rsidRPr="00A55335">
              <w:t xml:space="preserve">did not </w:t>
            </w:r>
            <w:r w:rsidR="00316BDF" w:rsidRPr="00A55335">
              <w:t>provide</w:t>
            </w:r>
            <w:r w:rsidR="00426D56" w:rsidRPr="00A55335">
              <w:t xml:space="preserve"> means, SD, or 95% confidence intervals.</w:t>
            </w:r>
          </w:p>
          <w:p w14:paraId="7FC7BAFC" w14:textId="6228CB4F" w:rsidR="00C17780" w:rsidRPr="00A55335" w:rsidRDefault="00C17780" w:rsidP="00C17780">
            <w:pPr>
              <w:pStyle w:val="TableFigNotes0"/>
            </w:pPr>
            <w:r w:rsidRPr="00A55335">
              <w:rPr>
                <w:rStyle w:val="Strong"/>
              </w:rPr>
              <w:t xml:space="preserve">AOM: </w:t>
            </w:r>
            <w:r w:rsidRPr="00A55335">
              <w:t xml:space="preserve">acute otitis media; </w:t>
            </w:r>
            <w:r w:rsidR="00DC72CF">
              <w:rPr>
                <w:rStyle w:val="Strong"/>
              </w:rPr>
              <w:t>ARD:</w:t>
            </w:r>
            <w:r w:rsidR="00DC72CF" w:rsidRPr="00DC72CF">
              <w:rPr>
                <w:rStyle w:val="Strong"/>
                <w:b w:val="0"/>
                <w:bCs w:val="0"/>
              </w:rPr>
              <w:t xml:space="preserve"> absolute risk difference</w:t>
            </w:r>
            <w:r w:rsidR="00DC72CF">
              <w:rPr>
                <w:rStyle w:val="Strong"/>
                <w:b w:val="0"/>
                <w:bCs w:val="0"/>
              </w:rPr>
              <w:t>;</w:t>
            </w:r>
            <w:r w:rsidR="00DC72CF" w:rsidRPr="00DC72CF">
              <w:rPr>
                <w:rStyle w:val="Strong"/>
                <w:b w:val="0"/>
                <w:bCs w:val="0"/>
              </w:rPr>
              <w:t xml:space="preserve"> </w:t>
            </w:r>
            <w:r w:rsidRPr="00A55335">
              <w:rPr>
                <w:rStyle w:val="Strong"/>
              </w:rPr>
              <w:t>CI:</w:t>
            </w:r>
            <w:r w:rsidRPr="00A55335">
              <w:t xml:space="preserve"> confidence interval; </w:t>
            </w:r>
            <w:r w:rsidRPr="00A55335">
              <w:rPr>
                <w:rStyle w:val="Strong"/>
              </w:rPr>
              <w:t xml:space="preserve">OME: </w:t>
            </w:r>
            <w:r w:rsidRPr="00A55335">
              <w:t xml:space="preserve">otitis media with effusion; </w:t>
            </w:r>
            <w:r w:rsidRPr="00A55335">
              <w:rPr>
                <w:rStyle w:val="Strong"/>
              </w:rPr>
              <w:t>RR:</w:t>
            </w:r>
            <w:r w:rsidRPr="00A55335">
              <w:t xml:space="preserve"> risk ratio</w:t>
            </w:r>
          </w:p>
        </w:tc>
      </w:tr>
      <w:tr w:rsidR="00C17780" w:rsidRPr="00A55335" w14:paraId="3000FEF5" w14:textId="77777777" w:rsidTr="00DA6848">
        <w:trPr>
          <w:cantSplit/>
        </w:trPr>
        <w:tc>
          <w:tcPr>
            <w:tcW w:w="5000" w:type="pct"/>
            <w:gridSpan w:val="7"/>
            <w:tcBorders>
              <w:top w:val="single" w:sz="6" w:space="0" w:color="000000"/>
              <w:left w:val="nil"/>
              <w:bottom w:val="single" w:sz="6" w:space="0" w:color="000000"/>
              <w:right w:val="nil"/>
            </w:tcBorders>
            <w:vAlign w:val="center"/>
            <w:hideMark/>
          </w:tcPr>
          <w:p w14:paraId="148E3E84" w14:textId="33A8B811" w:rsidR="00C17780" w:rsidRPr="00A55335" w:rsidRDefault="00C17780" w:rsidP="00C17780">
            <w:pPr>
              <w:pStyle w:val="TableFigNotes0"/>
            </w:pPr>
            <w:r w:rsidRPr="00A55335">
              <w:rPr>
                <w:rStyle w:val="Strong"/>
              </w:rPr>
              <w:t>GRADE Working Group grades of evidence</w:t>
            </w:r>
            <w:r w:rsidRPr="00A55335">
              <w:br/>
            </w:r>
            <w:r w:rsidRPr="00A55335">
              <w:rPr>
                <w:rStyle w:val="Strong"/>
              </w:rPr>
              <w:t>High certainty</w:t>
            </w:r>
            <w:r w:rsidRPr="00A55335">
              <w:t>: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3141CEE7" w14:textId="77777777" w:rsidR="00DD505D" w:rsidRPr="00A55335" w:rsidRDefault="00E35087" w:rsidP="00E35087">
      <w:pPr>
        <w:pStyle w:val="Heading5a"/>
        <w:rPr>
          <w:lang w:val="en-AU"/>
        </w:rPr>
      </w:pPr>
      <w:r w:rsidRPr="00A55335">
        <w:rPr>
          <w:lang w:val="en-AU"/>
        </w:rPr>
        <w:t>Explanations</w:t>
      </w:r>
    </w:p>
    <w:p w14:paraId="44AB3BD9" w14:textId="2A6B6C8F" w:rsidR="00DD505D" w:rsidRPr="00A55335" w:rsidRDefault="00DD505D" w:rsidP="003C76AA">
      <w:pPr>
        <w:pStyle w:val="Footnote"/>
      </w:pPr>
      <w:r w:rsidRPr="00A55335">
        <w:t xml:space="preserve">a. </w:t>
      </w:r>
      <w:proofErr w:type="gramStart"/>
      <w:r w:rsidR="004B20B0" w:rsidRPr="00A55335">
        <w:t>Serious</w:t>
      </w:r>
      <w:proofErr w:type="gramEnd"/>
      <w:r w:rsidR="004B20B0" w:rsidRPr="00A55335">
        <w:t xml:space="preserve"> risk of bias. One RCT contributing 100% of data was at high risk of bias</w:t>
      </w:r>
      <w:r w:rsidRPr="00A55335">
        <w:t>.</w:t>
      </w:r>
      <w:r w:rsidR="007A4434" w:rsidRPr="00A55335">
        <w:t xml:space="preserve"> Certainty of evidence downgraded.</w:t>
      </w:r>
    </w:p>
    <w:p w14:paraId="1817AC8A" w14:textId="77777777" w:rsidR="00627919" w:rsidRPr="00A55335" w:rsidRDefault="00DD505D" w:rsidP="00627919">
      <w:pPr>
        <w:pStyle w:val="Footnote"/>
      </w:pPr>
      <w:r w:rsidRPr="00A55335">
        <w:t xml:space="preserve">b. </w:t>
      </w:r>
      <w:r w:rsidR="00627919" w:rsidRPr="00A55335">
        <w:t>Single study. Inconsistency not assessed. Certainty of evidence not downgraded.</w:t>
      </w:r>
    </w:p>
    <w:p w14:paraId="46258930" w14:textId="45E9B175" w:rsidR="0006570C" w:rsidRPr="00A55335" w:rsidRDefault="0006570C" w:rsidP="0006570C">
      <w:pPr>
        <w:pStyle w:val="Footnote"/>
      </w:pPr>
      <w:r w:rsidRPr="00A55335">
        <w:t xml:space="preserve">c. </w:t>
      </w:r>
      <w:r w:rsidR="00782B69" w:rsidRPr="00A55335">
        <w:t>N</w:t>
      </w:r>
      <w:r w:rsidRPr="00A55335">
        <w:t>o</w:t>
      </w:r>
      <w:r w:rsidR="00782B69" w:rsidRPr="00A55335">
        <w:t xml:space="preserve"> serious </w:t>
      </w:r>
      <w:r w:rsidRPr="00A55335">
        <w:t xml:space="preserve">indirectness. </w:t>
      </w:r>
      <w:r w:rsidR="00AE7F44" w:rsidRPr="00A55335">
        <w:t xml:space="preserve">The evidence is directly generalisable to the Australian population with few caveats. </w:t>
      </w:r>
      <w:r w:rsidRPr="00A55335">
        <w:t>The available evidence is in children with otitis media with effusion. Certainty of evidence not downgraded.</w:t>
      </w:r>
    </w:p>
    <w:p w14:paraId="1AF74FE4" w14:textId="5A93CAEA" w:rsidR="00782B69" w:rsidRPr="00A55335" w:rsidRDefault="0006570C" w:rsidP="003C76AA">
      <w:pPr>
        <w:pStyle w:val="Footnote"/>
      </w:pPr>
      <w:r w:rsidRPr="00A55335">
        <w:t>d</w:t>
      </w:r>
      <w:r w:rsidR="00782B69" w:rsidRPr="00A55335">
        <w:t xml:space="preserve">. </w:t>
      </w:r>
      <w:proofErr w:type="gramStart"/>
      <w:r w:rsidR="006D067D" w:rsidRPr="00A55335">
        <w:t>S</w:t>
      </w:r>
      <w:r w:rsidR="007A4434" w:rsidRPr="00A55335">
        <w:t>erious</w:t>
      </w:r>
      <w:proofErr w:type="gramEnd"/>
      <w:r w:rsidR="007A4434" w:rsidRPr="00A55335">
        <w:t xml:space="preserve"> imprecision. </w:t>
      </w:r>
      <w:r w:rsidR="00DD505D" w:rsidRPr="00A55335">
        <w:t xml:space="preserve">One study with wide confidence intervals </w:t>
      </w:r>
      <w:r w:rsidR="00421F79" w:rsidRPr="00A55335">
        <w:t>(upper and low</w:t>
      </w:r>
      <w:r w:rsidR="002F1BDF">
        <w:t>er</w:t>
      </w:r>
      <w:r w:rsidR="00421F79" w:rsidRPr="00A55335">
        <w:t xml:space="preserve"> bounds overlap with both an important and</w:t>
      </w:r>
      <w:r w:rsidR="00DD505D" w:rsidRPr="00A55335">
        <w:t xml:space="preserve"> no important </w:t>
      </w:r>
      <w:r w:rsidR="00421F79" w:rsidRPr="00A55335">
        <w:t>difference)</w:t>
      </w:r>
      <w:r w:rsidR="00DD505D" w:rsidRPr="00A55335">
        <w:t>.</w:t>
      </w:r>
      <w:r w:rsidR="007A4434" w:rsidRPr="00A55335">
        <w:t xml:space="preserve"> Certainty of evidence downgraded.</w:t>
      </w:r>
    </w:p>
    <w:p w14:paraId="068817E6" w14:textId="6E0D1D8E" w:rsidR="00EC1FD7" w:rsidRPr="00A55335" w:rsidRDefault="00EC1FD7" w:rsidP="00EC1FD7">
      <w:pPr>
        <w:pStyle w:val="Footnote"/>
      </w:pPr>
      <w:r w:rsidRPr="00A55335">
        <w:t xml:space="preserve">e. Publication bias not suspected. Certainty of evidence not </w:t>
      </w:r>
      <w:r w:rsidR="0027162A" w:rsidRPr="009876E6">
        <w:t>downgraded.</w:t>
      </w:r>
    </w:p>
    <w:p w14:paraId="133F2A6C" w14:textId="2D4ADC26" w:rsidR="00CF3E22" w:rsidRPr="00A55335" w:rsidRDefault="00C06933" w:rsidP="00CF3E22">
      <w:pPr>
        <w:pStyle w:val="Footnote"/>
      </w:pPr>
      <w:r w:rsidRPr="00A55335">
        <w:lastRenderedPageBreak/>
        <w:t>f</w:t>
      </w:r>
      <w:r w:rsidR="00DD505D" w:rsidRPr="00A55335">
        <w:t xml:space="preserve">. </w:t>
      </w:r>
      <w:r w:rsidR="00CF3E22" w:rsidRPr="00A55335">
        <w:t>No serious indirectness. The available evidence is in children with otitis media</w:t>
      </w:r>
      <w:r w:rsidR="002A48ED" w:rsidRPr="00A55335">
        <w:t xml:space="preserve"> and is directly generalisable to the Australian population</w:t>
      </w:r>
      <w:r w:rsidR="00CF3E22" w:rsidRPr="00A55335">
        <w:t>. Certainty of evidence not downgraded.</w:t>
      </w:r>
    </w:p>
    <w:p w14:paraId="5EFB2A3F" w14:textId="7EEA9393" w:rsidR="00E66668" w:rsidRPr="00A55335" w:rsidRDefault="002A48ED" w:rsidP="003C76AA">
      <w:pPr>
        <w:pStyle w:val="Footnote"/>
      </w:pPr>
      <w:r w:rsidRPr="00A55335">
        <w:t xml:space="preserve">g. </w:t>
      </w:r>
      <w:r w:rsidR="00C06933" w:rsidRPr="00A55335">
        <w:t xml:space="preserve">Very serious imprecision. </w:t>
      </w:r>
      <w:r w:rsidR="00DD505D" w:rsidRPr="00A55335">
        <w:t xml:space="preserve">One study </w:t>
      </w:r>
      <w:r w:rsidR="00C06933" w:rsidRPr="00A55335">
        <w:t>suggest</w:t>
      </w:r>
      <w:r w:rsidR="00BF275B" w:rsidRPr="00A55335">
        <w:t xml:space="preserve">ed </w:t>
      </w:r>
      <w:r w:rsidR="00C06933" w:rsidRPr="00A55335">
        <w:t>no importance difference between treatment groups</w:t>
      </w:r>
      <w:r w:rsidR="00BF275B" w:rsidRPr="00A55335">
        <w:t xml:space="preserve"> but did not provide</w:t>
      </w:r>
      <w:r w:rsidR="007A284A" w:rsidRPr="00A55335">
        <w:t xml:space="preserve"> data</w:t>
      </w:r>
      <w:r w:rsidR="00DD505D" w:rsidRPr="00A55335">
        <w:t xml:space="preserve">. </w:t>
      </w:r>
      <w:r w:rsidR="00196BB0" w:rsidRPr="00A55335">
        <w:t>Certainty of evidence downgraded 2 levels.</w:t>
      </w:r>
    </w:p>
    <w:p w14:paraId="559E61B4" w14:textId="77777777" w:rsidR="00B03DDB" w:rsidRPr="00A55335" w:rsidRDefault="00B03DDB" w:rsidP="003C76AA">
      <w:pPr>
        <w:pStyle w:val="Footnote"/>
      </w:pPr>
    </w:p>
    <w:p w14:paraId="76BF791D" w14:textId="089AD4F7" w:rsidR="007F1EE9" w:rsidRPr="00A55335" w:rsidRDefault="006070ED" w:rsidP="007F1EE9">
      <w:pPr>
        <w:pStyle w:val="Heading4"/>
      </w:pPr>
      <w:bookmarkStart w:id="112" w:name="_Ref151789722"/>
      <w:r w:rsidRPr="00A55335">
        <w:t>Secondary Comparison</w:t>
      </w:r>
      <w:r w:rsidR="007F1EE9" w:rsidRPr="00A55335">
        <w:t xml:space="preserve"> (vs </w:t>
      </w:r>
      <w:r w:rsidR="00C04595" w:rsidRPr="00A55335">
        <w:t xml:space="preserve">inactive </w:t>
      </w:r>
      <w:r w:rsidR="007F1EE9" w:rsidRPr="00A55335">
        <w:t>control)</w:t>
      </w:r>
      <w:bookmarkEnd w:id="112"/>
      <w:r w:rsidR="007F1EE9" w:rsidRPr="00A55335">
        <w:t xml:space="preserve"> </w:t>
      </w:r>
    </w:p>
    <w:p w14:paraId="451B44BE" w14:textId="1660D80C" w:rsidR="00B13C98" w:rsidRPr="00A55335" w:rsidRDefault="00B13C98" w:rsidP="00B13C98">
      <w:pPr>
        <w:pStyle w:val="BodyText"/>
      </w:pPr>
      <w:r w:rsidRPr="00A55335">
        <w:t xml:space="preserve">There were 3 studies (Taylor 2011, Taylor 2014, Harrison 1999) comparing homeopathy with an inactive control (no intervention) in children with recurrent otitis media that were eligible for this comparison. Two studies (Taylor 2011, Taylor 2014) contributed data to one outcome considered critical or important for this review. One study (Harrison 1999) did not report any outcomes that were considered critical or important for this review. </w:t>
      </w:r>
    </w:p>
    <w:tbl>
      <w:tblPr>
        <w:tblW w:w="5000" w:type="pct"/>
        <w:tblLayout w:type="fixed"/>
        <w:tblCellMar>
          <w:top w:w="60" w:type="dxa"/>
          <w:left w:w="60" w:type="dxa"/>
          <w:bottom w:w="60" w:type="dxa"/>
          <w:right w:w="60" w:type="dxa"/>
        </w:tblCellMar>
        <w:tblLook w:val="04A0" w:firstRow="1" w:lastRow="0" w:firstColumn="1" w:lastColumn="0" w:noHBand="0" w:noVBand="1"/>
      </w:tblPr>
      <w:tblGrid>
        <w:gridCol w:w="1843"/>
        <w:gridCol w:w="1347"/>
        <w:gridCol w:w="1347"/>
        <w:gridCol w:w="852"/>
        <w:gridCol w:w="1275"/>
        <w:gridCol w:w="990"/>
        <w:gridCol w:w="2091"/>
      </w:tblGrid>
      <w:tr w:rsidR="007A5491" w:rsidRPr="00A55335" w14:paraId="3DF1E1CF" w14:textId="77777777">
        <w:trPr>
          <w:cantSplit/>
          <w:tblHeader/>
        </w:trPr>
        <w:tc>
          <w:tcPr>
            <w:tcW w:w="5000" w:type="pct"/>
            <w:gridSpan w:val="7"/>
            <w:tcBorders>
              <w:top w:val="single" w:sz="12" w:space="0" w:color="auto"/>
              <w:bottom w:val="single" w:sz="12" w:space="0" w:color="auto"/>
            </w:tcBorders>
            <w:shd w:val="clear" w:color="auto" w:fill="auto"/>
            <w:vAlign w:val="bottom"/>
          </w:tcPr>
          <w:p w14:paraId="73812EEB" w14:textId="5B7DE968" w:rsidR="007A5491" w:rsidRPr="00A55335" w:rsidRDefault="007A5491">
            <w:pPr>
              <w:pStyle w:val="TableH1"/>
              <w:rPr>
                <w:color w:val="FFFFFF" w:themeColor="background2"/>
                <w:lang w:val="en-AU"/>
              </w:rPr>
            </w:pPr>
            <w:r w:rsidRPr="00A55335">
              <w:rPr>
                <w:lang w:val="en-AU"/>
              </w:rPr>
              <w:t xml:space="preserve">Homeopathy compared to </w:t>
            </w:r>
            <w:r w:rsidR="00C04595" w:rsidRPr="00A55335">
              <w:rPr>
                <w:lang w:val="en-AU"/>
              </w:rPr>
              <w:t xml:space="preserve">inactive </w:t>
            </w:r>
            <w:r w:rsidR="00914CE9" w:rsidRPr="00A55335">
              <w:rPr>
                <w:lang w:val="en-AU"/>
              </w:rPr>
              <w:t>c</w:t>
            </w:r>
            <w:r w:rsidRPr="00A55335">
              <w:rPr>
                <w:lang w:val="en-AU"/>
              </w:rPr>
              <w:t>ontrol (no intervention) for Recurrent infections (otitis media)</w:t>
            </w:r>
          </w:p>
        </w:tc>
      </w:tr>
      <w:tr w:rsidR="007A5491" w:rsidRPr="00A55335" w14:paraId="54418085" w14:textId="77777777">
        <w:trPr>
          <w:cantSplit/>
          <w:tblHeader/>
        </w:trPr>
        <w:tc>
          <w:tcPr>
            <w:tcW w:w="5000" w:type="pct"/>
            <w:gridSpan w:val="7"/>
            <w:tcBorders>
              <w:top w:val="single" w:sz="12" w:space="0" w:color="auto"/>
              <w:bottom w:val="single" w:sz="12" w:space="0" w:color="auto"/>
            </w:tcBorders>
            <w:shd w:val="clear" w:color="auto" w:fill="auto"/>
            <w:vAlign w:val="bottom"/>
          </w:tcPr>
          <w:p w14:paraId="0370A688" w14:textId="77777777" w:rsidR="007A5491" w:rsidRPr="00A55335" w:rsidRDefault="007A5491">
            <w:pPr>
              <w:pStyle w:val="Tabletext9pt"/>
              <w:rPr>
                <w:rStyle w:val="Strong"/>
              </w:rPr>
            </w:pPr>
            <w:r w:rsidRPr="00A55335">
              <w:rPr>
                <w:rStyle w:val="Strong"/>
              </w:rPr>
              <w:t xml:space="preserve">Patient or population: </w:t>
            </w:r>
            <w:r w:rsidRPr="00A55335">
              <w:rPr>
                <w:rStyle w:val="Tabletext9ptChar"/>
              </w:rPr>
              <w:t xml:space="preserve">Recurrent </w:t>
            </w:r>
            <w:r w:rsidRPr="00A55335">
              <w:t>infections (otitis media)</w:t>
            </w:r>
          </w:p>
          <w:p w14:paraId="13B16B34" w14:textId="77777777" w:rsidR="007A5491" w:rsidRPr="00A55335" w:rsidRDefault="007A5491">
            <w:pPr>
              <w:pStyle w:val="Tabletext9pt"/>
            </w:pPr>
            <w:r w:rsidRPr="00A55335">
              <w:rPr>
                <w:rStyle w:val="Strong"/>
              </w:rPr>
              <w:t xml:space="preserve">Setting: </w:t>
            </w:r>
            <w:r w:rsidRPr="00A55335">
              <w:t>Outpatient clinics</w:t>
            </w:r>
          </w:p>
          <w:p w14:paraId="186A5B6C" w14:textId="77777777" w:rsidR="007A5491" w:rsidRPr="00A55335" w:rsidRDefault="007A5491">
            <w:pPr>
              <w:pStyle w:val="Tabletext9pt"/>
              <w:rPr>
                <w:rStyle w:val="Strong"/>
              </w:rPr>
            </w:pPr>
            <w:r w:rsidRPr="00A55335">
              <w:rPr>
                <w:rStyle w:val="Strong"/>
              </w:rPr>
              <w:t xml:space="preserve">Intervention: </w:t>
            </w:r>
            <w:r w:rsidRPr="00A55335">
              <w:t>Homeopathy</w:t>
            </w:r>
          </w:p>
          <w:p w14:paraId="4341F42F" w14:textId="393E992D" w:rsidR="007A5491" w:rsidRPr="00A55335" w:rsidRDefault="007A5491">
            <w:pPr>
              <w:pStyle w:val="Tabletext9pt"/>
              <w:rPr>
                <w:color w:val="FFFFFF" w:themeColor="background2"/>
              </w:rPr>
            </w:pPr>
            <w:r w:rsidRPr="00A55335">
              <w:rPr>
                <w:rStyle w:val="Strong"/>
              </w:rPr>
              <w:t xml:space="preserve">Comparison: </w:t>
            </w:r>
            <w:r w:rsidR="00C04595" w:rsidRPr="00A55335">
              <w:t xml:space="preserve">Inactive control </w:t>
            </w:r>
            <w:r w:rsidR="00914CE9" w:rsidRPr="00A55335">
              <w:t>(no intervention)</w:t>
            </w:r>
          </w:p>
        </w:tc>
      </w:tr>
      <w:tr w:rsidR="007A5491" w:rsidRPr="00A55335" w14:paraId="1B55CE96" w14:textId="77777777" w:rsidTr="00D77FBA">
        <w:trPr>
          <w:cantSplit/>
          <w:tblHeader/>
        </w:trPr>
        <w:tc>
          <w:tcPr>
            <w:tcW w:w="946" w:type="pct"/>
            <w:vMerge w:val="restart"/>
            <w:tcBorders>
              <w:top w:val="single" w:sz="12" w:space="0" w:color="auto"/>
              <w:right w:val="single" w:sz="6" w:space="0" w:color="EFEFEF"/>
            </w:tcBorders>
            <w:shd w:val="clear" w:color="auto" w:fill="006579" w:themeFill="accent2"/>
            <w:vAlign w:val="bottom"/>
            <w:hideMark/>
          </w:tcPr>
          <w:p w14:paraId="6FEC5929" w14:textId="77777777" w:rsidR="007A5491" w:rsidRPr="00A55335" w:rsidRDefault="007A5491">
            <w:pPr>
              <w:pStyle w:val="Tabletext8pt"/>
              <w:rPr>
                <w:rFonts w:eastAsiaTheme="minorEastAsia"/>
                <w:b/>
                <w:bCs/>
                <w:color w:val="F9F9F9" w:themeColor="background1"/>
              </w:rPr>
            </w:pPr>
            <w:r w:rsidRPr="00A55335">
              <w:rPr>
                <w:b/>
                <w:bCs/>
                <w:color w:val="F9F9F9" w:themeColor="background1"/>
              </w:rPr>
              <w:t>Outcomes</w:t>
            </w:r>
          </w:p>
        </w:tc>
        <w:tc>
          <w:tcPr>
            <w:tcW w:w="1382" w:type="pct"/>
            <w:gridSpan w:val="2"/>
            <w:tcBorders>
              <w:top w:val="single" w:sz="12" w:space="0" w:color="auto"/>
              <w:right w:val="single" w:sz="6" w:space="0" w:color="EFEFEF"/>
            </w:tcBorders>
            <w:shd w:val="clear" w:color="auto" w:fill="ECECEC" w:themeFill="background1" w:themeFillShade="F2"/>
            <w:vAlign w:val="bottom"/>
            <w:hideMark/>
          </w:tcPr>
          <w:p w14:paraId="59257AD8" w14:textId="77777777" w:rsidR="007A5491" w:rsidRPr="00A55335" w:rsidRDefault="007A5491">
            <w:pPr>
              <w:pStyle w:val="Tabletext8pt"/>
              <w:rPr>
                <w:b/>
                <w:bCs/>
                <w:color w:val="auto"/>
              </w:rPr>
            </w:pPr>
            <w:r w:rsidRPr="00A55335">
              <w:rPr>
                <w:rStyle w:val="Strong"/>
              </w:rPr>
              <w:t>Anticipated absolute effects* (95% CI)</w:t>
            </w:r>
          </w:p>
        </w:tc>
        <w:tc>
          <w:tcPr>
            <w:tcW w:w="437" w:type="pct"/>
            <w:vMerge w:val="restart"/>
            <w:tcBorders>
              <w:top w:val="single" w:sz="12" w:space="0" w:color="auto"/>
              <w:right w:val="single" w:sz="6" w:space="0" w:color="EFEFEF"/>
            </w:tcBorders>
            <w:shd w:val="clear" w:color="auto" w:fill="006579" w:themeFill="accent2"/>
            <w:vAlign w:val="bottom"/>
            <w:hideMark/>
          </w:tcPr>
          <w:p w14:paraId="0DE6A18A" w14:textId="77777777" w:rsidR="007A5491" w:rsidRPr="00A55335" w:rsidRDefault="007A5491">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654" w:type="pct"/>
            <w:vMerge w:val="restart"/>
            <w:tcBorders>
              <w:top w:val="single" w:sz="12" w:space="0" w:color="auto"/>
              <w:right w:val="single" w:sz="6" w:space="0" w:color="EFEFEF"/>
            </w:tcBorders>
            <w:shd w:val="clear" w:color="auto" w:fill="006579" w:themeFill="accent2"/>
            <w:vAlign w:val="bottom"/>
            <w:hideMark/>
          </w:tcPr>
          <w:p w14:paraId="63CFE247" w14:textId="77777777" w:rsidR="007A5491" w:rsidRPr="00A55335" w:rsidRDefault="007A5491">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08" w:type="pct"/>
            <w:vMerge w:val="restart"/>
            <w:tcBorders>
              <w:top w:val="single" w:sz="12" w:space="0" w:color="auto"/>
              <w:right w:val="single" w:sz="6" w:space="0" w:color="EFEFEF"/>
            </w:tcBorders>
            <w:shd w:val="clear" w:color="auto" w:fill="006579" w:themeFill="accent2"/>
            <w:vAlign w:val="bottom"/>
            <w:hideMark/>
          </w:tcPr>
          <w:p w14:paraId="3928B202" w14:textId="77777777" w:rsidR="007A5491" w:rsidRPr="00A55335" w:rsidRDefault="007A5491">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73" w:type="pct"/>
            <w:vMerge w:val="restart"/>
            <w:tcBorders>
              <w:top w:val="single" w:sz="12" w:space="0" w:color="auto"/>
              <w:right w:val="single" w:sz="6" w:space="0" w:color="EFEFEF"/>
            </w:tcBorders>
            <w:shd w:val="clear" w:color="auto" w:fill="006579" w:themeFill="accent2"/>
            <w:vAlign w:val="bottom"/>
            <w:hideMark/>
          </w:tcPr>
          <w:p w14:paraId="6941C600" w14:textId="77777777" w:rsidR="007A5491" w:rsidRPr="00A55335" w:rsidRDefault="007A5491">
            <w:pPr>
              <w:pStyle w:val="Tabletext8pt"/>
              <w:rPr>
                <w:b/>
                <w:bCs/>
                <w:color w:val="F9F9F9" w:themeColor="background1"/>
              </w:rPr>
            </w:pPr>
            <w:r w:rsidRPr="00A55335">
              <w:rPr>
                <w:b/>
                <w:bCs/>
                <w:color w:val="F9F9F9" w:themeColor="background1"/>
              </w:rPr>
              <w:t>Evidence Statement</w:t>
            </w:r>
          </w:p>
        </w:tc>
      </w:tr>
      <w:tr w:rsidR="007A5491" w:rsidRPr="00A55335" w14:paraId="1302A499" w14:textId="77777777" w:rsidTr="00D77FBA">
        <w:trPr>
          <w:cantSplit/>
          <w:tblHeader/>
        </w:trPr>
        <w:tc>
          <w:tcPr>
            <w:tcW w:w="946" w:type="pct"/>
            <w:vMerge/>
            <w:tcBorders>
              <w:right w:val="single" w:sz="6" w:space="0" w:color="EFEFEF"/>
            </w:tcBorders>
            <w:shd w:val="clear" w:color="auto" w:fill="006579" w:themeFill="accent2"/>
            <w:vAlign w:val="center"/>
            <w:hideMark/>
          </w:tcPr>
          <w:p w14:paraId="45E30923" w14:textId="77777777" w:rsidR="007A5491" w:rsidRPr="00A55335" w:rsidRDefault="007A5491">
            <w:pPr>
              <w:pStyle w:val="Tabletext8pt"/>
              <w:rPr>
                <w:rFonts w:eastAsiaTheme="minorEastAsia"/>
              </w:rPr>
            </w:pPr>
          </w:p>
        </w:tc>
        <w:tc>
          <w:tcPr>
            <w:tcW w:w="691" w:type="pct"/>
            <w:tcBorders>
              <w:top w:val="single" w:sz="6" w:space="0" w:color="EFEFEF"/>
              <w:right w:val="single" w:sz="6" w:space="0" w:color="EFEFEF"/>
            </w:tcBorders>
            <w:shd w:val="clear" w:color="auto" w:fill="ECECEC" w:themeFill="background1" w:themeFillShade="F2"/>
            <w:vAlign w:val="center"/>
            <w:hideMark/>
          </w:tcPr>
          <w:p w14:paraId="31E269D8" w14:textId="119A7D74" w:rsidR="007A5491" w:rsidRPr="00A55335" w:rsidRDefault="007A5491">
            <w:pPr>
              <w:pStyle w:val="Tabletext8pt"/>
              <w:rPr>
                <w:rStyle w:val="Strong"/>
              </w:rPr>
            </w:pPr>
            <w:r w:rsidRPr="00A55335">
              <w:rPr>
                <w:rStyle w:val="Strong"/>
              </w:rPr>
              <w:t xml:space="preserve">Risk with </w:t>
            </w:r>
            <w:r w:rsidR="00384977">
              <w:rPr>
                <w:rStyle w:val="Strong"/>
              </w:rPr>
              <w:t>Control</w:t>
            </w:r>
          </w:p>
        </w:tc>
        <w:tc>
          <w:tcPr>
            <w:tcW w:w="691" w:type="pct"/>
            <w:tcBorders>
              <w:top w:val="single" w:sz="6" w:space="0" w:color="EFEFEF"/>
              <w:right w:val="single" w:sz="6" w:space="0" w:color="EFEFEF"/>
            </w:tcBorders>
            <w:shd w:val="clear" w:color="auto" w:fill="ECECEC" w:themeFill="background1" w:themeFillShade="F2"/>
            <w:hideMark/>
          </w:tcPr>
          <w:p w14:paraId="56034D0C" w14:textId="77777777" w:rsidR="007A5491" w:rsidRPr="00A55335" w:rsidRDefault="007A5491">
            <w:pPr>
              <w:pStyle w:val="Tabletext8pt"/>
              <w:rPr>
                <w:rStyle w:val="Strong"/>
              </w:rPr>
            </w:pPr>
            <w:r w:rsidRPr="00A55335">
              <w:rPr>
                <w:rStyle w:val="Strong"/>
              </w:rPr>
              <w:t>Risk with Homeopathy</w:t>
            </w:r>
          </w:p>
        </w:tc>
        <w:tc>
          <w:tcPr>
            <w:tcW w:w="437" w:type="pct"/>
            <w:vMerge/>
            <w:tcBorders>
              <w:right w:val="single" w:sz="6" w:space="0" w:color="EFEFEF"/>
            </w:tcBorders>
            <w:shd w:val="clear" w:color="auto" w:fill="006579" w:themeFill="accent2"/>
            <w:vAlign w:val="center"/>
            <w:hideMark/>
          </w:tcPr>
          <w:p w14:paraId="57AFAD6F" w14:textId="77777777" w:rsidR="007A5491" w:rsidRPr="00A55335" w:rsidRDefault="007A5491">
            <w:pPr>
              <w:pStyle w:val="Tabletext8pt"/>
              <w:jc w:val="center"/>
              <w:rPr>
                <w:rFonts w:eastAsiaTheme="minorEastAsia"/>
                <w:color w:val="FFFFFF" w:themeColor="background2"/>
              </w:rPr>
            </w:pPr>
          </w:p>
        </w:tc>
        <w:tc>
          <w:tcPr>
            <w:tcW w:w="654" w:type="pct"/>
            <w:vMerge/>
            <w:tcBorders>
              <w:right w:val="single" w:sz="6" w:space="0" w:color="EFEFEF"/>
            </w:tcBorders>
            <w:shd w:val="clear" w:color="auto" w:fill="006579" w:themeFill="accent2"/>
            <w:vAlign w:val="center"/>
            <w:hideMark/>
          </w:tcPr>
          <w:p w14:paraId="099D60A2" w14:textId="77777777" w:rsidR="007A5491" w:rsidRPr="00A55335" w:rsidRDefault="007A5491">
            <w:pPr>
              <w:pStyle w:val="Tabletext8pt"/>
              <w:jc w:val="center"/>
              <w:rPr>
                <w:rFonts w:eastAsiaTheme="minorEastAsia"/>
                <w:color w:val="FFFFFF" w:themeColor="background2"/>
              </w:rPr>
            </w:pPr>
          </w:p>
        </w:tc>
        <w:tc>
          <w:tcPr>
            <w:tcW w:w="508" w:type="pct"/>
            <w:vMerge/>
            <w:tcBorders>
              <w:right w:val="single" w:sz="6" w:space="0" w:color="EFEFEF"/>
            </w:tcBorders>
            <w:shd w:val="clear" w:color="auto" w:fill="006579" w:themeFill="accent2"/>
            <w:vAlign w:val="center"/>
            <w:hideMark/>
          </w:tcPr>
          <w:p w14:paraId="7590CA24" w14:textId="77777777" w:rsidR="007A5491" w:rsidRPr="00A55335" w:rsidRDefault="007A5491">
            <w:pPr>
              <w:pStyle w:val="Tabletext8pt"/>
              <w:jc w:val="center"/>
              <w:rPr>
                <w:rFonts w:eastAsiaTheme="minorEastAsia"/>
                <w:color w:val="FFFFFF" w:themeColor="background2"/>
              </w:rPr>
            </w:pPr>
          </w:p>
        </w:tc>
        <w:tc>
          <w:tcPr>
            <w:tcW w:w="1073" w:type="pct"/>
            <w:vMerge/>
            <w:tcBorders>
              <w:right w:val="single" w:sz="6" w:space="0" w:color="EFEFEF"/>
            </w:tcBorders>
            <w:shd w:val="clear" w:color="auto" w:fill="006579" w:themeFill="accent2"/>
            <w:vAlign w:val="center"/>
            <w:hideMark/>
          </w:tcPr>
          <w:p w14:paraId="4EA7B61F" w14:textId="77777777" w:rsidR="007A5491" w:rsidRPr="00A55335" w:rsidRDefault="007A5491">
            <w:pPr>
              <w:pStyle w:val="Tabletext8pt"/>
              <w:rPr>
                <w:rFonts w:eastAsiaTheme="minorEastAsia"/>
                <w:color w:val="FFFFFF" w:themeColor="background2"/>
              </w:rPr>
            </w:pPr>
          </w:p>
        </w:tc>
      </w:tr>
      <w:tr w:rsidR="0094686A" w:rsidRPr="00A55335" w14:paraId="5F91458F" w14:textId="77777777" w:rsidTr="00D77FBA">
        <w:trPr>
          <w:cantSplit/>
        </w:trPr>
        <w:tc>
          <w:tcPr>
            <w:tcW w:w="946" w:type="pct"/>
            <w:tcBorders>
              <w:top w:val="single" w:sz="6" w:space="0" w:color="000000"/>
              <w:left w:val="nil"/>
              <w:bottom w:val="single" w:sz="6" w:space="0" w:color="000000"/>
              <w:right w:val="nil"/>
            </w:tcBorders>
            <w:vAlign w:val="center"/>
          </w:tcPr>
          <w:p w14:paraId="6771332F" w14:textId="407838BC" w:rsidR="0094686A" w:rsidRPr="00A55335" w:rsidRDefault="0094686A" w:rsidP="0094686A">
            <w:pPr>
              <w:pStyle w:val="Tabletext8pt"/>
            </w:pPr>
            <w:r w:rsidRPr="00A55335">
              <w:t>Infection frequency</w:t>
            </w:r>
            <w:r w:rsidRPr="00A55335">
              <w:br/>
              <w:t>assessed with:</w:t>
            </w:r>
            <w:r w:rsidRPr="00A55335">
              <w:br/>
              <w:t>Number episode</w:t>
            </w:r>
            <w:r w:rsidR="00B13C98" w:rsidRPr="00A55335">
              <w:t>s</w:t>
            </w:r>
            <w:r w:rsidRPr="00A55335">
              <w:t xml:space="preserve"> of AOM</w:t>
            </w:r>
            <w:r w:rsidRPr="00A55335">
              <w:br/>
              <w:t>follow-up: 3 months</w:t>
            </w:r>
          </w:p>
        </w:tc>
        <w:tc>
          <w:tcPr>
            <w:tcW w:w="691" w:type="pct"/>
            <w:tcBorders>
              <w:top w:val="single" w:sz="6" w:space="0" w:color="000000"/>
              <w:left w:val="nil"/>
              <w:bottom w:val="single" w:sz="6" w:space="0" w:color="000000"/>
              <w:right w:val="nil"/>
            </w:tcBorders>
            <w:shd w:val="clear" w:color="auto" w:fill="ECECEC" w:themeFill="background1" w:themeFillShade="F2"/>
            <w:vAlign w:val="center"/>
          </w:tcPr>
          <w:p w14:paraId="7CC5755A" w14:textId="2D71E44D" w:rsidR="0094686A" w:rsidRPr="00A55335" w:rsidRDefault="0094686A" w:rsidP="0094686A">
            <w:pPr>
              <w:pStyle w:val="Tabletext8pt"/>
              <w:jc w:val="center"/>
              <w:rPr>
                <w:rStyle w:val="Strong"/>
              </w:rPr>
            </w:pPr>
            <w:r w:rsidRPr="00A55335">
              <w:t>-</w:t>
            </w:r>
          </w:p>
        </w:tc>
        <w:tc>
          <w:tcPr>
            <w:tcW w:w="691" w:type="pct"/>
            <w:tcBorders>
              <w:top w:val="single" w:sz="6" w:space="0" w:color="000000"/>
              <w:left w:val="nil"/>
              <w:bottom w:val="single" w:sz="6" w:space="0" w:color="000000"/>
              <w:right w:val="nil"/>
            </w:tcBorders>
            <w:shd w:val="clear" w:color="auto" w:fill="ECECEC" w:themeFill="background1" w:themeFillShade="F2"/>
          </w:tcPr>
          <w:p w14:paraId="3E33F163" w14:textId="055030EC" w:rsidR="0094686A" w:rsidRPr="00A55335" w:rsidRDefault="0094686A" w:rsidP="0094686A">
            <w:pPr>
              <w:pStyle w:val="Tabletext8pt"/>
              <w:jc w:val="center"/>
              <w:rPr>
                <w:rStyle w:val="Strong"/>
              </w:rPr>
            </w:pPr>
            <w:r w:rsidRPr="00A55335">
              <w:t>-</w:t>
            </w:r>
          </w:p>
        </w:tc>
        <w:tc>
          <w:tcPr>
            <w:tcW w:w="437" w:type="pct"/>
            <w:tcBorders>
              <w:top w:val="single" w:sz="6" w:space="0" w:color="000000"/>
              <w:left w:val="nil"/>
              <w:bottom w:val="single" w:sz="6" w:space="0" w:color="000000"/>
              <w:right w:val="nil"/>
            </w:tcBorders>
            <w:vAlign w:val="center"/>
          </w:tcPr>
          <w:p w14:paraId="69C027D2" w14:textId="70718421" w:rsidR="0094686A" w:rsidRPr="00A55335" w:rsidRDefault="0094686A" w:rsidP="0094686A">
            <w:pPr>
              <w:pStyle w:val="Tabletext8pt"/>
              <w:jc w:val="center"/>
              <w:rPr>
                <w:rStyle w:val="Strong"/>
              </w:rPr>
            </w:pPr>
            <w:r w:rsidRPr="00A55335">
              <w:t>-</w:t>
            </w:r>
          </w:p>
        </w:tc>
        <w:tc>
          <w:tcPr>
            <w:tcW w:w="654" w:type="pct"/>
            <w:tcBorders>
              <w:top w:val="single" w:sz="6" w:space="0" w:color="000000"/>
              <w:left w:val="nil"/>
              <w:bottom w:val="single" w:sz="6" w:space="0" w:color="000000"/>
              <w:right w:val="nil"/>
            </w:tcBorders>
            <w:vAlign w:val="center"/>
          </w:tcPr>
          <w:p w14:paraId="0BC4A0B9" w14:textId="7DA175C0" w:rsidR="0094686A" w:rsidRPr="00A55335" w:rsidRDefault="0094686A" w:rsidP="0094686A">
            <w:pPr>
              <w:pStyle w:val="Tabletext8pt"/>
              <w:jc w:val="center"/>
              <w:rPr>
                <w:rFonts w:eastAsia="Times New Roman"/>
              </w:rPr>
            </w:pPr>
            <w:r w:rsidRPr="00A55335">
              <w:t>(0 studies)</w:t>
            </w:r>
          </w:p>
        </w:tc>
        <w:tc>
          <w:tcPr>
            <w:tcW w:w="508" w:type="pct"/>
            <w:tcBorders>
              <w:top w:val="single" w:sz="6" w:space="0" w:color="000000"/>
              <w:left w:val="nil"/>
              <w:bottom w:val="single" w:sz="6" w:space="0" w:color="000000"/>
              <w:right w:val="nil"/>
            </w:tcBorders>
            <w:vAlign w:val="center"/>
          </w:tcPr>
          <w:p w14:paraId="11568F3C" w14:textId="362F3499" w:rsidR="0094686A" w:rsidRPr="00A55335" w:rsidRDefault="0094686A" w:rsidP="0094686A">
            <w:pPr>
              <w:pStyle w:val="Tabletext8pt"/>
              <w:jc w:val="center"/>
              <w:rPr>
                <w:rStyle w:val="quality-sign"/>
                <w:rFonts w:ascii="Cambria Math" w:hAnsi="Cambria Math"/>
              </w:rPr>
            </w:pPr>
            <w:r w:rsidRPr="00A55335">
              <w:t>-</w:t>
            </w:r>
          </w:p>
        </w:tc>
        <w:tc>
          <w:tcPr>
            <w:tcW w:w="1073" w:type="pct"/>
            <w:tcBorders>
              <w:top w:val="single" w:sz="6" w:space="0" w:color="000000"/>
              <w:left w:val="nil"/>
              <w:bottom w:val="single" w:sz="6" w:space="0" w:color="000000"/>
              <w:right w:val="nil"/>
            </w:tcBorders>
            <w:vAlign w:val="center"/>
          </w:tcPr>
          <w:p w14:paraId="40C1A2D9" w14:textId="16A8B429" w:rsidR="0094686A" w:rsidRPr="00A55335" w:rsidRDefault="0094686A" w:rsidP="0094686A">
            <w:pPr>
              <w:pStyle w:val="Tabletext8pt"/>
              <w:rPr>
                <w:rFonts w:eastAsia="Times New Roman"/>
              </w:rPr>
            </w:pPr>
            <w:r w:rsidRPr="00A55335">
              <w:rPr>
                <w:szCs w:val="18"/>
              </w:rPr>
              <w:t>The effect of homeopathy on infection frequency in children with recurrent otitis media is unknown</w:t>
            </w:r>
          </w:p>
        </w:tc>
      </w:tr>
      <w:tr w:rsidR="0094686A" w:rsidRPr="00A55335" w14:paraId="5D9D4464" w14:textId="77777777" w:rsidTr="00D77FBA">
        <w:trPr>
          <w:cantSplit/>
        </w:trPr>
        <w:tc>
          <w:tcPr>
            <w:tcW w:w="946" w:type="pct"/>
            <w:tcBorders>
              <w:top w:val="single" w:sz="6" w:space="0" w:color="000000"/>
              <w:left w:val="nil"/>
              <w:bottom w:val="single" w:sz="6" w:space="0" w:color="000000"/>
              <w:right w:val="nil"/>
            </w:tcBorders>
            <w:vAlign w:val="center"/>
            <w:hideMark/>
          </w:tcPr>
          <w:p w14:paraId="65BE826E" w14:textId="1266CC68" w:rsidR="0094686A" w:rsidRPr="00A55335" w:rsidRDefault="0094686A" w:rsidP="0094686A">
            <w:pPr>
              <w:pStyle w:val="Tabletext8pt"/>
            </w:pPr>
            <w:r w:rsidRPr="00A55335">
              <w:t>Symptom severity</w:t>
            </w:r>
            <w:r w:rsidRPr="00A55335">
              <w:br/>
              <w:t>assessed with: ETG-5</w:t>
            </w:r>
            <w:r w:rsidRPr="00A55335">
              <w:br/>
              <w:t>Scale from: 0 to 35 (higher is worse)</w:t>
            </w:r>
            <w:r w:rsidRPr="00A55335">
              <w:br/>
              <w:t xml:space="preserve">follow-up: </w:t>
            </w:r>
            <w:r w:rsidR="00720360" w:rsidRPr="00A55335">
              <w:t>5 to 7 days</w:t>
            </w:r>
          </w:p>
        </w:tc>
        <w:tc>
          <w:tcPr>
            <w:tcW w:w="691" w:type="pct"/>
            <w:tcBorders>
              <w:top w:val="single" w:sz="6" w:space="0" w:color="000000"/>
              <w:left w:val="nil"/>
              <w:bottom w:val="single" w:sz="6" w:space="0" w:color="000000"/>
              <w:right w:val="nil"/>
            </w:tcBorders>
            <w:shd w:val="clear" w:color="auto" w:fill="ECECEC" w:themeFill="background1" w:themeFillShade="F2"/>
            <w:vAlign w:val="center"/>
            <w:hideMark/>
          </w:tcPr>
          <w:p w14:paraId="19F0EA74" w14:textId="68271F45" w:rsidR="0094686A" w:rsidRPr="00A55335" w:rsidRDefault="0094686A" w:rsidP="0094686A">
            <w:pPr>
              <w:pStyle w:val="Tabletext8pt"/>
              <w:jc w:val="center"/>
            </w:pPr>
            <w:r w:rsidRPr="00A55335">
              <w:t xml:space="preserve">The mean ETG-5 score was </w:t>
            </w:r>
            <w:r w:rsidR="00720360" w:rsidRPr="00A55335">
              <w:rPr>
                <w:rStyle w:val="Strong"/>
              </w:rPr>
              <w:t>3.3</w:t>
            </w:r>
          </w:p>
        </w:tc>
        <w:tc>
          <w:tcPr>
            <w:tcW w:w="691" w:type="pct"/>
            <w:tcBorders>
              <w:top w:val="single" w:sz="6" w:space="0" w:color="000000"/>
              <w:left w:val="nil"/>
              <w:bottom w:val="single" w:sz="6" w:space="0" w:color="000000"/>
              <w:right w:val="nil"/>
            </w:tcBorders>
            <w:shd w:val="clear" w:color="auto" w:fill="ECECEC" w:themeFill="background1" w:themeFillShade="F2"/>
          </w:tcPr>
          <w:p w14:paraId="589E9A97" w14:textId="531FF7F8" w:rsidR="0094686A" w:rsidRPr="00A55335" w:rsidRDefault="0094686A" w:rsidP="0094686A">
            <w:pPr>
              <w:pStyle w:val="Tabletext8pt"/>
              <w:jc w:val="center"/>
            </w:pPr>
            <w:r w:rsidRPr="00A55335">
              <w:rPr>
                <w:rStyle w:val="Strong"/>
              </w:rPr>
              <w:t xml:space="preserve">MD </w:t>
            </w:r>
            <w:r w:rsidR="00A16668" w:rsidRPr="00A55335">
              <w:rPr>
                <w:rStyle w:val="Strong"/>
              </w:rPr>
              <w:t>1.3</w:t>
            </w:r>
            <w:r w:rsidRPr="00A55335">
              <w:t xml:space="preserve"> </w:t>
            </w:r>
            <w:r w:rsidRPr="00A55335">
              <w:br/>
              <w:t>(</w:t>
            </w:r>
            <w:r w:rsidR="00A16668" w:rsidRPr="00A55335">
              <w:t>0.</w:t>
            </w:r>
            <w:r w:rsidR="003C790D" w:rsidRPr="00A55335">
              <w:t>11</w:t>
            </w:r>
            <w:r w:rsidRPr="00A55335">
              <w:t xml:space="preserve"> lower to </w:t>
            </w:r>
            <w:r w:rsidR="00A16668" w:rsidRPr="00A55335">
              <w:t>2.</w:t>
            </w:r>
            <w:r w:rsidR="003C790D" w:rsidRPr="00A55335">
              <w:t>71</w:t>
            </w:r>
            <w:r w:rsidRPr="00A55335">
              <w:t xml:space="preserve"> higher)</w:t>
            </w:r>
          </w:p>
        </w:tc>
        <w:tc>
          <w:tcPr>
            <w:tcW w:w="437" w:type="pct"/>
            <w:tcBorders>
              <w:top w:val="single" w:sz="6" w:space="0" w:color="000000"/>
              <w:left w:val="nil"/>
              <w:bottom w:val="single" w:sz="6" w:space="0" w:color="000000"/>
              <w:right w:val="nil"/>
            </w:tcBorders>
            <w:vAlign w:val="center"/>
            <w:hideMark/>
          </w:tcPr>
          <w:p w14:paraId="579D6A85" w14:textId="5F482B26" w:rsidR="0094686A" w:rsidRPr="00A55335" w:rsidRDefault="0094686A" w:rsidP="0094686A">
            <w:pPr>
              <w:pStyle w:val="Tabletext8pt"/>
              <w:jc w:val="center"/>
            </w:pPr>
            <w:r w:rsidRPr="00A55335">
              <w:t>-</w:t>
            </w:r>
          </w:p>
        </w:tc>
        <w:tc>
          <w:tcPr>
            <w:tcW w:w="654" w:type="pct"/>
            <w:tcBorders>
              <w:top w:val="single" w:sz="6" w:space="0" w:color="000000"/>
              <w:left w:val="nil"/>
              <w:bottom w:val="single" w:sz="6" w:space="0" w:color="000000"/>
              <w:right w:val="nil"/>
            </w:tcBorders>
            <w:vAlign w:val="center"/>
            <w:hideMark/>
          </w:tcPr>
          <w:p w14:paraId="4D0C5E16" w14:textId="3C9D36F1" w:rsidR="0094686A" w:rsidRPr="00A55335" w:rsidRDefault="001D2760" w:rsidP="0094686A">
            <w:pPr>
              <w:pStyle w:val="Tabletext8pt"/>
              <w:jc w:val="center"/>
              <w:rPr>
                <w:rFonts w:eastAsia="Times New Roman"/>
              </w:rPr>
            </w:pPr>
            <w:r w:rsidRPr="00A55335">
              <w:t>2</w:t>
            </w:r>
            <w:r w:rsidR="00312591" w:rsidRPr="00A55335">
              <w:t>10</w:t>
            </w:r>
            <w:r w:rsidR="0094686A" w:rsidRPr="00A55335">
              <w:br/>
              <w:t>(1 RCT)</w:t>
            </w:r>
            <w:r w:rsidR="00D117C6" w:rsidRPr="00A55335">
              <w:t xml:space="preserve"> </w:t>
            </w:r>
            <w:r w:rsidR="00312591" w:rsidRPr="00A55335">
              <w:t>^</w:t>
            </w:r>
          </w:p>
        </w:tc>
        <w:tc>
          <w:tcPr>
            <w:tcW w:w="508" w:type="pct"/>
            <w:tcBorders>
              <w:top w:val="single" w:sz="6" w:space="0" w:color="000000"/>
              <w:left w:val="nil"/>
              <w:bottom w:val="single" w:sz="6" w:space="0" w:color="000000"/>
              <w:right w:val="nil"/>
            </w:tcBorders>
            <w:vAlign w:val="center"/>
            <w:hideMark/>
          </w:tcPr>
          <w:p w14:paraId="6E824FCD" w14:textId="37B55E4A" w:rsidR="0094686A" w:rsidRPr="00A55335" w:rsidRDefault="0094686A" w:rsidP="0094686A">
            <w:pPr>
              <w:pStyle w:val="Tabletext8pt"/>
              <w:jc w:val="center"/>
            </w:pPr>
            <w:r w:rsidRPr="00A55335">
              <w:rPr>
                <w:rStyle w:val="quality-sign"/>
                <w:rFonts w:ascii="Cambria Math" w:hAnsi="Cambria Math"/>
              </w:rPr>
              <w:t>⨁⨁</w:t>
            </w:r>
            <w:r w:rsidR="00794817" w:rsidRPr="00A55335">
              <w:rPr>
                <w:rStyle w:val="quality-sign"/>
                <w:rFonts w:ascii="Cambria Math" w:hAnsi="Cambria Math"/>
              </w:rPr>
              <w:t>◯</w:t>
            </w:r>
            <w:r w:rsidRPr="00A55335">
              <w:rPr>
                <w:rStyle w:val="quality-sign"/>
                <w:rFonts w:ascii="Cambria Math" w:hAnsi="Cambria Math"/>
              </w:rPr>
              <w:t>◯</w:t>
            </w:r>
            <w:r w:rsidRPr="00A55335">
              <w:br/>
            </w:r>
            <w:r w:rsidR="00794817" w:rsidRPr="00A55335">
              <w:rPr>
                <w:rStyle w:val="QualitytextChar"/>
              </w:rPr>
              <w:t>LOW</w:t>
            </w:r>
            <w:r w:rsidRPr="00A55335">
              <w:t xml:space="preserve"> </w:t>
            </w:r>
            <w:proofErr w:type="spellStart"/>
            <w:r w:rsidR="00D117C6" w:rsidRPr="00A55335">
              <w:rPr>
                <w:rStyle w:val="FootnoteReference"/>
              </w:rPr>
              <w:t>a,b</w:t>
            </w:r>
            <w:r w:rsidRPr="00A55335">
              <w:rPr>
                <w:rStyle w:val="FootnoteReference"/>
              </w:rPr>
              <w:t>,</w:t>
            </w:r>
            <w:r w:rsidR="00D117C6" w:rsidRPr="00A55335">
              <w:rPr>
                <w:rStyle w:val="FootnoteReference"/>
              </w:rPr>
              <w:t>c</w:t>
            </w:r>
            <w:r w:rsidR="00D77FBA" w:rsidRPr="00A55335">
              <w:rPr>
                <w:rStyle w:val="FootnoteReference"/>
              </w:rPr>
              <w:t>,d,e</w:t>
            </w:r>
            <w:proofErr w:type="spellEnd"/>
          </w:p>
        </w:tc>
        <w:tc>
          <w:tcPr>
            <w:tcW w:w="1073" w:type="pct"/>
            <w:tcBorders>
              <w:top w:val="single" w:sz="6" w:space="0" w:color="000000"/>
              <w:left w:val="nil"/>
              <w:bottom w:val="single" w:sz="6" w:space="0" w:color="000000"/>
              <w:right w:val="nil"/>
            </w:tcBorders>
            <w:vAlign w:val="center"/>
            <w:hideMark/>
          </w:tcPr>
          <w:p w14:paraId="183C5533" w14:textId="5D171859" w:rsidR="0094686A" w:rsidRPr="00A55335" w:rsidRDefault="00571E64" w:rsidP="0094686A">
            <w:pPr>
              <w:pStyle w:val="Tabletext8pt"/>
              <w:rPr>
                <w:rFonts w:eastAsia="Times New Roman"/>
              </w:rPr>
            </w:pPr>
            <w:r w:rsidRPr="00A55335">
              <w:rPr>
                <w:rFonts w:eastAsia="Times New Roman"/>
              </w:rPr>
              <w:t>H</w:t>
            </w:r>
            <w:r w:rsidR="0094686A" w:rsidRPr="00A55335">
              <w:rPr>
                <w:rFonts w:eastAsia="Times New Roman"/>
              </w:rPr>
              <w:t xml:space="preserve">omeopathy </w:t>
            </w:r>
            <w:r w:rsidR="0029258E" w:rsidRPr="00A55335">
              <w:rPr>
                <w:rFonts w:eastAsia="Times New Roman"/>
              </w:rPr>
              <w:t xml:space="preserve">may </w:t>
            </w:r>
            <w:r w:rsidR="005F2EC8" w:rsidRPr="00A55335">
              <w:rPr>
                <w:rFonts w:eastAsia="Times New Roman"/>
              </w:rPr>
              <w:t>result in</w:t>
            </w:r>
            <w:r w:rsidR="0029258E" w:rsidRPr="00A55335">
              <w:rPr>
                <w:rFonts w:eastAsia="Times New Roman"/>
              </w:rPr>
              <w:t xml:space="preserve"> little to no difference </w:t>
            </w:r>
            <w:r w:rsidR="0094686A" w:rsidRPr="00A55335">
              <w:rPr>
                <w:rFonts w:eastAsia="Times New Roman"/>
              </w:rPr>
              <w:t xml:space="preserve">on symptom severity in children with </w:t>
            </w:r>
            <w:r w:rsidR="0094686A" w:rsidRPr="00A55335">
              <w:rPr>
                <w:szCs w:val="18"/>
              </w:rPr>
              <w:t>recurrent</w:t>
            </w:r>
            <w:r w:rsidR="0094686A" w:rsidRPr="00A55335">
              <w:rPr>
                <w:rFonts w:eastAsia="Times New Roman"/>
              </w:rPr>
              <w:t xml:space="preserve"> otitis media</w:t>
            </w:r>
            <w:r w:rsidR="00AD1E07">
              <w:rPr>
                <w:rFonts w:eastAsia="Times New Roman"/>
              </w:rPr>
              <w:t xml:space="preserve"> </w:t>
            </w:r>
            <w:r w:rsidR="007C116E">
              <w:rPr>
                <w:rFonts w:eastAsia="Times New Roman"/>
              </w:rPr>
              <w:t>**</w:t>
            </w:r>
          </w:p>
        </w:tc>
      </w:tr>
      <w:tr w:rsidR="0094686A" w:rsidRPr="00A55335" w14:paraId="1E1FBBB2" w14:textId="77777777" w:rsidTr="00D77FBA">
        <w:trPr>
          <w:cantSplit/>
        </w:trPr>
        <w:tc>
          <w:tcPr>
            <w:tcW w:w="946" w:type="pct"/>
            <w:tcBorders>
              <w:top w:val="single" w:sz="6" w:space="0" w:color="000000"/>
              <w:left w:val="nil"/>
              <w:bottom w:val="single" w:sz="6" w:space="0" w:color="000000"/>
              <w:right w:val="nil"/>
            </w:tcBorders>
            <w:vAlign w:val="center"/>
            <w:hideMark/>
          </w:tcPr>
          <w:p w14:paraId="75559960" w14:textId="77777777" w:rsidR="0094686A" w:rsidRPr="00A55335" w:rsidRDefault="0094686A" w:rsidP="0094686A">
            <w:pPr>
              <w:pStyle w:val="Tabletext8pt"/>
            </w:pPr>
            <w:r w:rsidRPr="00A55335">
              <w:t>Infection duration - not reported</w:t>
            </w:r>
          </w:p>
        </w:tc>
        <w:tc>
          <w:tcPr>
            <w:tcW w:w="691" w:type="pct"/>
            <w:tcBorders>
              <w:top w:val="single" w:sz="6" w:space="0" w:color="000000"/>
              <w:left w:val="nil"/>
              <w:bottom w:val="single" w:sz="6" w:space="0" w:color="000000"/>
              <w:right w:val="nil"/>
            </w:tcBorders>
            <w:shd w:val="clear" w:color="auto" w:fill="ECECEC" w:themeFill="background1" w:themeFillShade="F2"/>
            <w:vAlign w:val="center"/>
            <w:hideMark/>
          </w:tcPr>
          <w:p w14:paraId="6FE9EB0A" w14:textId="77777777" w:rsidR="0094686A" w:rsidRPr="00A55335" w:rsidRDefault="0094686A" w:rsidP="0094686A">
            <w:pPr>
              <w:pStyle w:val="Tabletext8pt"/>
              <w:jc w:val="center"/>
            </w:pPr>
            <w:r w:rsidRPr="00A55335">
              <w:t>-</w:t>
            </w:r>
          </w:p>
        </w:tc>
        <w:tc>
          <w:tcPr>
            <w:tcW w:w="691" w:type="pct"/>
            <w:tcBorders>
              <w:top w:val="single" w:sz="6" w:space="0" w:color="000000"/>
              <w:left w:val="nil"/>
              <w:bottom w:val="single" w:sz="6" w:space="0" w:color="000000"/>
              <w:right w:val="nil"/>
            </w:tcBorders>
            <w:shd w:val="clear" w:color="auto" w:fill="ECECEC" w:themeFill="background1" w:themeFillShade="F2"/>
            <w:hideMark/>
          </w:tcPr>
          <w:p w14:paraId="7BEABF83" w14:textId="77777777" w:rsidR="0094686A" w:rsidRPr="00A55335" w:rsidRDefault="0094686A" w:rsidP="0094686A">
            <w:pPr>
              <w:pStyle w:val="Tabletext8pt"/>
              <w:jc w:val="center"/>
            </w:pPr>
            <w:r w:rsidRPr="00A55335">
              <w:t>-</w:t>
            </w:r>
          </w:p>
        </w:tc>
        <w:tc>
          <w:tcPr>
            <w:tcW w:w="437" w:type="pct"/>
            <w:tcBorders>
              <w:top w:val="single" w:sz="6" w:space="0" w:color="000000"/>
              <w:left w:val="nil"/>
              <w:bottom w:val="single" w:sz="6" w:space="0" w:color="000000"/>
              <w:right w:val="nil"/>
            </w:tcBorders>
            <w:vAlign w:val="center"/>
            <w:hideMark/>
          </w:tcPr>
          <w:p w14:paraId="77C1FF8B" w14:textId="77777777" w:rsidR="0094686A" w:rsidRPr="00A55335" w:rsidRDefault="0094686A" w:rsidP="0094686A">
            <w:pPr>
              <w:pStyle w:val="Tabletext8pt"/>
              <w:jc w:val="center"/>
            </w:pPr>
            <w:r w:rsidRPr="00A55335">
              <w:t>-</w:t>
            </w:r>
          </w:p>
        </w:tc>
        <w:tc>
          <w:tcPr>
            <w:tcW w:w="654" w:type="pct"/>
            <w:tcBorders>
              <w:top w:val="single" w:sz="6" w:space="0" w:color="000000"/>
              <w:left w:val="nil"/>
              <w:bottom w:val="single" w:sz="6" w:space="0" w:color="000000"/>
              <w:right w:val="nil"/>
            </w:tcBorders>
            <w:vAlign w:val="center"/>
            <w:hideMark/>
          </w:tcPr>
          <w:p w14:paraId="68757A8B" w14:textId="77777777" w:rsidR="0094686A" w:rsidRPr="00A55335" w:rsidRDefault="0094686A" w:rsidP="0094686A">
            <w:pPr>
              <w:pStyle w:val="Tabletext8pt"/>
              <w:jc w:val="center"/>
            </w:pPr>
            <w:r w:rsidRPr="00A55335">
              <w:t>(0 studies)</w:t>
            </w:r>
          </w:p>
        </w:tc>
        <w:tc>
          <w:tcPr>
            <w:tcW w:w="508" w:type="pct"/>
            <w:tcBorders>
              <w:top w:val="single" w:sz="6" w:space="0" w:color="000000"/>
              <w:left w:val="nil"/>
              <w:bottom w:val="single" w:sz="6" w:space="0" w:color="000000"/>
              <w:right w:val="nil"/>
            </w:tcBorders>
            <w:vAlign w:val="center"/>
            <w:hideMark/>
          </w:tcPr>
          <w:p w14:paraId="7DEB1ADB" w14:textId="77777777" w:rsidR="0094686A" w:rsidRPr="00A55335" w:rsidRDefault="0094686A" w:rsidP="0094686A">
            <w:pPr>
              <w:pStyle w:val="Qualitytext"/>
            </w:pPr>
            <w:r w:rsidRPr="00A55335">
              <w:t>-</w:t>
            </w:r>
          </w:p>
        </w:tc>
        <w:tc>
          <w:tcPr>
            <w:tcW w:w="1073" w:type="pct"/>
            <w:tcBorders>
              <w:top w:val="single" w:sz="6" w:space="0" w:color="000000"/>
              <w:left w:val="nil"/>
              <w:bottom w:val="single" w:sz="6" w:space="0" w:color="000000"/>
              <w:right w:val="nil"/>
            </w:tcBorders>
            <w:vAlign w:val="center"/>
            <w:hideMark/>
          </w:tcPr>
          <w:p w14:paraId="3F724722" w14:textId="77777777" w:rsidR="0094686A" w:rsidRPr="00A55335" w:rsidRDefault="0094686A" w:rsidP="0094686A">
            <w:pPr>
              <w:pStyle w:val="Tabletext8pt"/>
              <w:rPr>
                <w:rFonts w:eastAsia="Times New Roman"/>
              </w:rPr>
            </w:pPr>
            <w:r w:rsidRPr="00A55335">
              <w:rPr>
                <w:szCs w:val="18"/>
              </w:rPr>
              <w:t>The effect of homeopathy on infection duration in children with recurrent otitis media is unknown</w:t>
            </w:r>
          </w:p>
        </w:tc>
      </w:tr>
      <w:tr w:rsidR="0094686A" w:rsidRPr="00A55335" w14:paraId="756C0427" w14:textId="77777777" w:rsidTr="00D77FBA">
        <w:trPr>
          <w:cantSplit/>
        </w:trPr>
        <w:tc>
          <w:tcPr>
            <w:tcW w:w="946" w:type="pct"/>
            <w:tcBorders>
              <w:top w:val="single" w:sz="6" w:space="0" w:color="000000"/>
              <w:left w:val="nil"/>
              <w:bottom w:val="single" w:sz="6" w:space="0" w:color="000000"/>
              <w:right w:val="nil"/>
            </w:tcBorders>
            <w:vAlign w:val="center"/>
            <w:hideMark/>
          </w:tcPr>
          <w:p w14:paraId="4270550F" w14:textId="77777777" w:rsidR="0094686A" w:rsidRPr="00A55335" w:rsidRDefault="0094686A" w:rsidP="0094686A">
            <w:pPr>
              <w:pStyle w:val="Tabletext8pt"/>
            </w:pPr>
            <w:r w:rsidRPr="00A55335">
              <w:t>Quality of life - not reported</w:t>
            </w:r>
          </w:p>
        </w:tc>
        <w:tc>
          <w:tcPr>
            <w:tcW w:w="691" w:type="pct"/>
            <w:tcBorders>
              <w:top w:val="single" w:sz="6" w:space="0" w:color="000000"/>
              <w:left w:val="nil"/>
              <w:bottom w:val="single" w:sz="6" w:space="0" w:color="000000"/>
              <w:right w:val="nil"/>
            </w:tcBorders>
            <w:shd w:val="clear" w:color="auto" w:fill="ECECEC" w:themeFill="background1" w:themeFillShade="F2"/>
            <w:vAlign w:val="center"/>
            <w:hideMark/>
          </w:tcPr>
          <w:p w14:paraId="6A7BFF88" w14:textId="77777777" w:rsidR="0094686A" w:rsidRPr="00A55335" w:rsidRDefault="0094686A" w:rsidP="0094686A">
            <w:pPr>
              <w:pStyle w:val="Tabletext8pt"/>
              <w:jc w:val="center"/>
            </w:pPr>
            <w:r w:rsidRPr="00A55335">
              <w:t>-</w:t>
            </w:r>
          </w:p>
        </w:tc>
        <w:tc>
          <w:tcPr>
            <w:tcW w:w="691" w:type="pct"/>
            <w:tcBorders>
              <w:top w:val="single" w:sz="6" w:space="0" w:color="000000"/>
              <w:left w:val="nil"/>
              <w:bottom w:val="single" w:sz="6" w:space="0" w:color="000000"/>
              <w:right w:val="nil"/>
            </w:tcBorders>
            <w:shd w:val="clear" w:color="auto" w:fill="ECECEC" w:themeFill="background1" w:themeFillShade="F2"/>
            <w:hideMark/>
          </w:tcPr>
          <w:p w14:paraId="3206F181" w14:textId="77777777" w:rsidR="0094686A" w:rsidRPr="00A55335" w:rsidRDefault="0094686A" w:rsidP="0094686A">
            <w:pPr>
              <w:pStyle w:val="Tabletext8pt"/>
              <w:jc w:val="center"/>
            </w:pPr>
            <w:r w:rsidRPr="00A55335">
              <w:t>-</w:t>
            </w:r>
          </w:p>
        </w:tc>
        <w:tc>
          <w:tcPr>
            <w:tcW w:w="437" w:type="pct"/>
            <w:tcBorders>
              <w:top w:val="single" w:sz="6" w:space="0" w:color="000000"/>
              <w:left w:val="nil"/>
              <w:bottom w:val="single" w:sz="6" w:space="0" w:color="000000"/>
              <w:right w:val="nil"/>
            </w:tcBorders>
            <w:vAlign w:val="center"/>
            <w:hideMark/>
          </w:tcPr>
          <w:p w14:paraId="4F6BA752" w14:textId="77777777" w:rsidR="0094686A" w:rsidRPr="00A55335" w:rsidRDefault="0094686A" w:rsidP="0094686A">
            <w:pPr>
              <w:pStyle w:val="Tabletext8pt"/>
              <w:jc w:val="center"/>
            </w:pPr>
            <w:r w:rsidRPr="00A55335">
              <w:t>-</w:t>
            </w:r>
          </w:p>
        </w:tc>
        <w:tc>
          <w:tcPr>
            <w:tcW w:w="654" w:type="pct"/>
            <w:tcBorders>
              <w:top w:val="single" w:sz="6" w:space="0" w:color="000000"/>
              <w:left w:val="nil"/>
              <w:bottom w:val="single" w:sz="6" w:space="0" w:color="000000"/>
              <w:right w:val="nil"/>
            </w:tcBorders>
            <w:vAlign w:val="center"/>
            <w:hideMark/>
          </w:tcPr>
          <w:p w14:paraId="6FFEDD3D" w14:textId="77777777" w:rsidR="0094686A" w:rsidRPr="00A55335" w:rsidRDefault="0094686A" w:rsidP="0094686A">
            <w:pPr>
              <w:pStyle w:val="Tabletext8pt"/>
              <w:jc w:val="center"/>
            </w:pPr>
            <w:r w:rsidRPr="00A55335">
              <w:t>(0 studies)</w:t>
            </w:r>
          </w:p>
        </w:tc>
        <w:tc>
          <w:tcPr>
            <w:tcW w:w="508" w:type="pct"/>
            <w:tcBorders>
              <w:top w:val="single" w:sz="6" w:space="0" w:color="000000"/>
              <w:left w:val="nil"/>
              <w:bottom w:val="single" w:sz="6" w:space="0" w:color="000000"/>
              <w:right w:val="nil"/>
            </w:tcBorders>
            <w:vAlign w:val="center"/>
            <w:hideMark/>
          </w:tcPr>
          <w:p w14:paraId="1F7A4EF2" w14:textId="77777777" w:rsidR="0094686A" w:rsidRPr="00A55335" w:rsidRDefault="0094686A" w:rsidP="0094686A">
            <w:pPr>
              <w:pStyle w:val="Qualitytext"/>
            </w:pPr>
            <w:r w:rsidRPr="00A55335">
              <w:t>-</w:t>
            </w:r>
          </w:p>
        </w:tc>
        <w:tc>
          <w:tcPr>
            <w:tcW w:w="1073" w:type="pct"/>
            <w:tcBorders>
              <w:top w:val="single" w:sz="6" w:space="0" w:color="000000"/>
              <w:left w:val="nil"/>
              <w:bottom w:val="single" w:sz="6" w:space="0" w:color="000000"/>
              <w:right w:val="nil"/>
            </w:tcBorders>
            <w:vAlign w:val="center"/>
            <w:hideMark/>
          </w:tcPr>
          <w:p w14:paraId="32334F0A" w14:textId="77777777" w:rsidR="0094686A" w:rsidRPr="00A55335" w:rsidRDefault="0094686A" w:rsidP="0094686A">
            <w:pPr>
              <w:pStyle w:val="Tabletext8pt"/>
              <w:rPr>
                <w:rFonts w:eastAsia="Times New Roman"/>
              </w:rPr>
            </w:pPr>
            <w:r w:rsidRPr="00A55335">
              <w:rPr>
                <w:szCs w:val="18"/>
              </w:rPr>
              <w:t>The effect of homeopathy on quality of life in children with recurrent otitis media is unknown</w:t>
            </w:r>
          </w:p>
        </w:tc>
      </w:tr>
      <w:tr w:rsidR="0094686A" w:rsidRPr="00A55335" w14:paraId="3DBFAA9D" w14:textId="77777777">
        <w:trPr>
          <w:cantSplit/>
        </w:trPr>
        <w:tc>
          <w:tcPr>
            <w:tcW w:w="5000" w:type="pct"/>
            <w:gridSpan w:val="7"/>
            <w:tcBorders>
              <w:top w:val="single" w:sz="6" w:space="0" w:color="000000"/>
              <w:left w:val="nil"/>
              <w:bottom w:val="single" w:sz="6" w:space="0" w:color="000000"/>
              <w:right w:val="nil"/>
            </w:tcBorders>
            <w:vAlign w:val="center"/>
            <w:hideMark/>
          </w:tcPr>
          <w:p w14:paraId="23D8DED7" w14:textId="77777777" w:rsidR="0033054F" w:rsidRDefault="0094686A" w:rsidP="0033054F">
            <w:pPr>
              <w:pStyle w:val="TableFigNotes18"/>
            </w:pP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0F75B7E3" w14:textId="79988E9E" w:rsidR="0033054F" w:rsidRPr="00A55335" w:rsidRDefault="0033054F" w:rsidP="0033054F">
            <w:pPr>
              <w:pStyle w:val="TableFigNotes18"/>
            </w:pPr>
            <w:r w:rsidRPr="00A55335">
              <w:t>** Effect estimates were considered on 3 levels: small (MD &lt;10% of the scale), moderate (MD between 10% to 20% of the scale) or large (MD more than 20% of the scale).</w:t>
            </w:r>
          </w:p>
          <w:p w14:paraId="4BE83DFC" w14:textId="061371E4" w:rsidR="0094686A" w:rsidRDefault="0033054F" w:rsidP="000B5CA8">
            <w:pPr>
              <w:pStyle w:val="TableFigNotes18"/>
              <w:spacing w:after="0"/>
            </w:pPr>
            <w:r>
              <w:br/>
            </w:r>
            <w:r w:rsidR="00AC20C4" w:rsidRPr="00A55335">
              <w:t>^ Missing data from 1 RCT (1</w:t>
            </w:r>
            <w:r w:rsidR="00956A7F" w:rsidRPr="00A55335">
              <w:t xml:space="preserve">19 </w:t>
            </w:r>
            <w:r w:rsidR="00AC20C4" w:rsidRPr="00A55335">
              <w:t>participants) that reported no difference between groups at</w:t>
            </w:r>
            <w:r w:rsidR="00D117C6" w:rsidRPr="00A55335">
              <w:t xml:space="preserve"> the end of treatment.</w:t>
            </w:r>
            <w:r w:rsidR="00AC20C4" w:rsidRPr="00A55335">
              <w:t xml:space="preserve"> </w:t>
            </w:r>
            <w:r>
              <w:br/>
            </w:r>
          </w:p>
          <w:p w14:paraId="28B8346B" w14:textId="0B3E711A" w:rsidR="0094686A" w:rsidRPr="00A55335" w:rsidRDefault="0094686A" w:rsidP="0094686A">
            <w:pPr>
              <w:pStyle w:val="TableFigNotes0"/>
            </w:pPr>
            <w:r w:rsidRPr="00A55335">
              <w:rPr>
                <w:rStyle w:val="Strong"/>
              </w:rPr>
              <w:t xml:space="preserve">AOM: </w:t>
            </w:r>
            <w:r w:rsidRPr="00A55335">
              <w:t xml:space="preserve">acute otitis media; </w:t>
            </w:r>
            <w:r w:rsidRPr="00A55335">
              <w:rPr>
                <w:rStyle w:val="Strong"/>
              </w:rPr>
              <w:t>CI:</w:t>
            </w:r>
            <w:r w:rsidRPr="00A55335">
              <w:t xml:space="preserve"> confidence interval; </w:t>
            </w:r>
            <w:r w:rsidRPr="00A55335">
              <w:rPr>
                <w:rStyle w:val="Strong"/>
              </w:rPr>
              <w:t>ETG-5:</w:t>
            </w:r>
            <w:r w:rsidRPr="00A55335">
              <w:t xml:space="preserve"> ear treatment group symptom questionnaire; </w:t>
            </w:r>
            <w:r w:rsidRPr="00A55335">
              <w:rPr>
                <w:rStyle w:val="Strong"/>
              </w:rPr>
              <w:t>RR:</w:t>
            </w:r>
            <w:r w:rsidRPr="00A55335">
              <w:t xml:space="preserve"> risk ratio</w:t>
            </w:r>
          </w:p>
        </w:tc>
      </w:tr>
      <w:tr w:rsidR="0094686A" w:rsidRPr="00A55335" w14:paraId="2DC0D2C6" w14:textId="77777777">
        <w:trPr>
          <w:cantSplit/>
        </w:trPr>
        <w:tc>
          <w:tcPr>
            <w:tcW w:w="5000" w:type="pct"/>
            <w:gridSpan w:val="7"/>
            <w:tcBorders>
              <w:top w:val="single" w:sz="6" w:space="0" w:color="000000"/>
              <w:left w:val="nil"/>
              <w:bottom w:val="single" w:sz="6" w:space="0" w:color="000000"/>
              <w:right w:val="nil"/>
            </w:tcBorders>
            <w:vAlign w:val="center"/>
            <w:hideMark/>
          </w:tcPr>
          <w:p w14:paraId="7D011648" w14:textId="77777777" w:rsidR="0094686A" w:rsidRPr="00A55335" w:rsidRDefault="0094686A" w:rsidP="0094686A">
            <w:pPr>
              <w:pStyle w:val="TableFigNotes0"/>
            </w:pPr>
            <w:r w:rsidRPr="00A55335">
              <w:rPr>
                <w:rStyle w:val="Strong"/>
              </w:rPr>
              <w:lastRenderedPageBreak/>
              <w:t>GRADE Working Group grades of evidence</w:t>
            </w:r>
            <w:r w:rsidRPr="00A55335">
              <w:br/>
            </w:r>
            <w:r w:rsidRPr="00A55335">
              <w:rPr>
                <w:rStyle w:val="Strong"/>
              </w:rPr>
              <w:t>High certainty</w:t>
            </w:r>
            <w:r w:rsidRPr="00A55335">
              <w:t>: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3F98799D" w14:textId="77777777" w:rsidR="002A0288" w:rsidRPr="00A55335" w:rsidRDefault="002A0288" w:rsidP="002A0288">
      <w:pPr>
        <w:pStyle w:val="Heading5a"/>
        <w:rPr>
          <w:lang w:val="en-AU"/>
        </w:rPr>
      </w:pPr>
      <w:r w:rsidRPr="00A55335">
        <w:rPr>
          <w:lang w:val="en-AU"/>
        </w:rPr>
        <w:t>Explanations</w:t>
      </w:r>
    </w:p>
    <w:p w14:paraId="577E45C3" w14:textId="77777777" w:rsidR="002A0288" w:rsidRPr="00A55335" w:rsidRDefault="002A0288" w:rsidP="002A0288">
      <w:pPr>
        <w:pStyle w:val="Footnote"/>
      </w:pPr>
      <w:r w:rsidRPr="00A55335">
        <w:t xml:space="preserve">a. </w:t>
      </w:r>
      <w:proofErr w:type="gramStart"/>
      <w:r w:rsidRPr="00A55335">
        <w:t>Serious</w:t>
      </w:r>
      <w:proofErr w:type="gramEnd"/>
      <w:r w:rsidRPr="00A55335">
        <w:t xml:space="preserve"> risk of bias. One RCT contributing 100% of data was at high risk of bias. Certainty of evidence downgraded.</w:t>
      </w:r>
    </w:p>
    <w:p w14:paraId="22473FDB" w14:textId="77777777" w:rsidR="002A0288" w:rsidRPr="00A55335" w:rsidRDefault="002A0288" w:rsidP="002A0288">
      <w:pPr>
        <w:pStyle w:val="Footnote"/>
      </w:pPr>
      <w:r w:rsidRPr="00A55335">
        <w:t>b. Single study. Inconsistency not assessed. Certainty of evidence not downgraded.</w:t>
      </w:r>
    </w:p>
    <w:p w14:paraId="22696B42" w14:textId="024746E7" w:rsidR="002A0288" w:rsidRPr="00A55335" w:rsidRDefault="002A0288" w:rsidP="002A0288">
      <w:pPr>
        <w:pStyle w:val="Footnote"/>
      </w:pPr>
      <w:r w:rsidRPr="00A55335">
        <w:t>c. No serious indirectness. The evidence is directly generalisable to the Australian population with few caveats. The available evidence is in children with otitis media. Certainty of evidence not downgraded.</w:t>
      </w:r>
    </w:p>
    <w:p w14:paraId="41448D61" w14:textId="5977C666" w:rsidR="002A0288" w:rsidRPr="00A55335" w:rsidRDefault="002A0288" w:rsidP="002A0288">
      <w:pPr>
        <w:pStyle w:val="Footnote"/>
      </w:pPr>
      <w:r w:rsidRPr="00A55335">
        <w:t xml:space="preserve">d. </w:t>
      </w:r>
      <w:proofErr w:type="gramStart"/>
      <w:r w:rsidR="0029258E" w:rsidRPr="00A55335">
        <w:t>S</w:t>
      </w:r>
      <w:r w:rsidRPr="00A55335">
        <w:t>erious</w:t>
      </w:r>
      <w:proofErr w:type="gramEnd"/>
      <w:r w:rsidRPr="00A55335">
        <w:t xml:space="preserve"> imprecision. One study with wide confidence intervals (upper and low</w:t>
      </w:r>
      <w:r w:rsidR="007217E7">
        <w:t>er</w:t>
      </w:r>
      <w:r w:rsidRPr="00A55335">
        <w:t xml:space="preserve"> bounds overlap with both an important and no important difference). Certainty of evidence downgraded.</w:t>
      </w:r>
    </w:p>
    <w:p w14:paraId="7DF0AA3C" w14:textId="77777777" w:rsidR="002A0288" w:rsidRPr="00A55335" w:rsidRDefault="002A0288" w:rsidP="002A0288">
      <w:pPr>
        <w:pStyle w:val="Footnote"/>
      </w:pPr>
      <w:r w:rsidRPr="00A55335">
        <w:t>e. Publication bias not suspected. Certainty of evidence downgraded not downgraded.</w:t>
      </w:r>
    </w:p>
    <w:p w14:paraId="359486A2" w14:textId="77777777" w:rsidR="00DD505D" w:rsidRPr="00A55335" w:rsidRDefault="00DD505D" w:rsidP="004D433B">
      <w:pPr>
        <w:pStyle w:val="Heading3"/>
      </w:pPr>
      <w:bookmarkStart w:id="113" w:name="_Toc152843541"/>
      <w:bookmarkStart w:id="114" w:name="_Toc153460978"/>
      <w:bookmarkStart w:id="115" w:name="_Toc153464188"/>
      <w:bookmarkStart w:id="116" w:name="_Toc153530284"/>
      <w:bookmarkStart w:id="117" w:name="_Toc153549788"/>
      <w:bookmarkStart w:id="118" w:name="_Toc153807805"/>
      <w:bookmarkStart w:id="119" w:name="_Toc153894230"/>
      <w:bookmarkStart w:id="120" w:name="_Toc153915110"/>
      <w:bookmarkStart w:id="121" w:name="_Toc153970364"/>
      <w:bookmarkStart w:id="122" w:name="_Toc183441314"/>
      <w:bookmarkEnd w:id="113"/>
      <w:bookmarkEnd w:id="114"/>
      <w:bookmarkEnd w:id="115"/>
      <w:bookmarkEnd w:id="116"/>
      <w:bookmarkEnd w:id="117"/>
      <w:bookmarkEnd w:id="118"/>
      <w:bookmarkEnd w:id="119"/>
      <w:bookmarkEnd w:id="120"/>
      <w:bookmarkEnd w:id="121"/>
      <w:r w:rsidRPr="00A55335">
        <w:t>Forest plots</w:t>
      </w:r>
      <w:bookmarkEnd w:id="122"/>
    </w:p>
    <w:p w14:paraId="47F76852" w14:textId="69F6E8F0" w:rsidR="00192357" w:rsidRPr="00A55335" w:rsidRDefault="00DD505D" w:rsidP="00DD505D">
      <w:pPr>
        <w:pStyle w:val="BodyText"/>
      </w:pPr>
      <w:r w:rsidRPr="00A55335">
        <w:t xml:space="preserve">Outcome results </w:t>
      </w:r>
      <w:r w:rsidR="00E6419B" w:rsidRPr="00A55335">
        <w:t xml:space="preserve">related to </w:t>
      </w:r>
      <w:r w:rsidR="001715A0" w:rsidRPr="00A55335">
        <w:t>the p</w:t>
      </w:r>
      <w:r w:rsidR="006070ED" w:rsidRPr="00A55335">
        <w:t xml:space="preserve">rimary </w:t>
      </w:r>
      <w:r w:rsidR="00F65CC2" w:rsidRPr="00A55335">
        <w:t xml:space="preserve">comparison </w:t>
      </w:r>
      <w:r w:rsidR="00E6419B" w:rsidRPr="00A55335">
        <w:t>(</w:t>
      </w:r>
      <w:r w:rsidR="00DC0AB3" w:rsidRPr="00A55335">
        <w:t xml:space="preserve">homeopathy </w:t>
      </w:r>
      <w:r w:rsidR="00E6419B" w:rsidRPr="00A55335">
        <w:t>vs</w:t>
      </w:r>
      <w:r w:rsidR="00DC0AB3" w:rsidRPr="00A55335">
        <w:t xml:space="preserve"> placebo</w:t>
      </w:r>
      <w:r w:rsidR="00E6419B" w:rsidRPr="00A55335">
        <w:t>)</w:t>
      </w:r>
      <w:r w:rsidR="00DC0AB3" w:rsidRPr="00A55335">
        <w:t xml:space="preserve"> in</w:t>
      </w:r>
      <w:r w:rsidRPr="00A55335">
        <w:t xml:space="preserve"> </w:t>
      </w:r>
      <w:r w:rsidR="00DC0AB3" w:rsidRPr="00A55335">
        <w:rPr>
          <w:rFonts w:eastAsia="Times New Roman"/>
        </w:rPr>
        <w:t xml:space="preserve">children with </w:t>
      </w:r>
      <w:r w:rsidR="00DC0AB3" w:rsidRPr="00A55335">
        <w:rPr>
          <w:szCs w:val="18"/>
        </w:rPr>
        <w:t>recurrent</w:t>
      </w:r>
      <w:r w:rsidR="00DC0AB3" w:rsidRPr="00A55335">
        <w:rPr>
          <w:rFonts w:eastAsia="Times New Roman"/>
        </w:rPr>
        <w:t xml:space="preserve"> otitis media</w:t>
      </w:r>
      <w:r w:rsidR="00DC0AB3" w:rsidRPr="00A55335">
        <w:t xml:space="preserve"> are presented in </w:t>
      </w:r>
      <w:r w:rsidR="00DC0AB3" w:rsidRPr="00A55335">
        <w:fldChar w:fldCharType="begin"/>
      </w:r>
      <w:r w:rsidR="00DC0AB3" w:rsidRPr="00A55335">
        <w:instrText xml:space="preserve"> REF _Ref145946998 \h </w:instrText>
      </w:r>
      <w:r w:rsidR="00DC0AB3" w:rsidRPr="00A55335">
        <w:fldChar w:fldCharType="separate"/>
      </w:r>
      <w:r w:rsidR="00814B04" w:rsidRPr="00A55335">
        <w:t xml:space="preserve">Figure </w:t>
      </w:r>
      <w:r w:rsidR="00814B04">
        <w:rPr>
          <w:noProof/>
        </w:rPr>
        <w:t>11</w:t>
      </w:r>
      <w:r w:rsidR="00DC0AB3" w:rsidRPr="00A55335">
        <w:fldChar w:fldCharType="end"/>
      </w:r>
      <w:r w:rsidR="00DC0AB3" w:rsidRPr="00A55335">
        <w:t xml:space="preserve"> (</w:t>
      </w:r>
      <w:r w:rsidRPr="00A55335">
        <w:t>infection frequency</w:t>
      </w:r>
      <w:r w:rsidR="00C20F41" w:rsidRPr="00A55335">
        <w:t>)</w:t>
      </w:r>
      <w:r w:rsidR="00192357" w:rsidRPr="00A55335">
        <w:t>.</w:t>
      </w:r>
    </w:p>
    <w:p w14:paraId="459BAA70" w14:textId="1F3C1BAB" w:rsidR="00DD505D" w:rsidRPr="00A55335" w:rsidRDefault="00192357" w:rsidP="00DD505D">
      <w:pPr>
        <w:pStyle w:val="BodyText"/>
      </w:pPr>
      <w:r w:rsidRPr="00A55335">
        <w:t xml:space="preserve">Outcome results related to </w:t>
      </w:r>
      <w:r w:rsidR="001715A0" w:rsidRPr="00A55335">
        <w:t>the s</w:t>
      </w:r>
      <w:r w:rsidR="006070ED" w:rsidRPr="00A55335">
        <w:t xml:space="preserve">econdary </w:t>
      </w:r>
      <w:r w:rsidR="00F65CC2" w:rsidRPr="00A55335">
        <w:t xml:space="preserve">comparison </w:t>
      </w:r>
      <w:r w:rsidRPr="00A55335">
        <w:t>(homeopathy vs inactive control) are presented in</w:t>
      </w:r>
      <w:r w:rsidR="00F17367" w:rsidRPr="00A55335">
        <w:t xml:space="preserve"> </w:t>
      </w:r>
      <w:r w:rsidR="00DD505D" w:rsidRPr="00A55335">
        <w:fldChar w:fldCharType="begin"/>
      </w:r>
      <w:r w:rsidR="00DD505D" w:rsidRPr="00A55335">
        <w:instrText xml:space="preserve"> REF _Ref145947068 \h </w:instrText>
      </w:r>
      <w:r w:rsidR="00DD505D" w:rsidRPr="00A55335">
        <w:fldChar w:fldCharType="separate"/>
      </w:r>
      <w:r w:rsidR="00814B04" w:rsidRPr="00A55335">
        <w:t xml:space="preserve">Figure </w:t>
      </w:r>
      <w:r w:rsidR="00814B04">
        <w:rPr>
          <w:noProof/>
        </w:rPr>
        <w:t>12</w:t>
      </w:r>
      <w:r w:rsidR="00DD505D" w:rsidRPr="00A55335">
        <w:fldChar w:fldCharType="end"/>
      </w:r>
      <w:r w:rsidR="00F17367" w:rsidRPr="00A55335">
        <w:t xml:space="preserve"> (</w:t>
      </w:r>
      <w:r w:rsidR="00DC0AB3" w:rsidRPr="00A55335">
        <w:t>symptom severity</w:t>
      </w:r>
      <w:r w:rsidR="00F17367" w:rsidRPr="00A55335">
        <w:t>).</w:t>
      </w:r>
    </w:p>
    <w:p w14:paraId="7FE6578F" w14:textId="29D35A25" w:rsidR="00DD505D" w:rsidRPr="00A55335" w:rsidRDefault="00DD505D" w:rsidP="00DD505D">
      <w:pPr>
        <w:pStyle w:val="Caption"/>
      </w:pPr>
      <w:bookmarkStart w:id="123" w:name="_Ref145946998"/>
      <w:bookmarkStart w:id="124" w:name="_Toc183520284"/>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11</w:t>
      </w:r>
      <w:r w:rsidRPr="00A55335">
        <w:fldChar w:fldCharType="end"/>
      </w:r>
      <w:bookmarkEnd w:id="123"/>
      <w:r w:rsidR="0044178C" w:rsidRPr="00A55335">
        <w:tab/>
      </w:r>
      <w:r w:rsidRPr="00A55335">
        <w:t xml:space="preserve">Forest plot of </w:t>
      </w:r>
      <w:r w:rsidR="00485B05" w:rsidRPr="00A55335">
        <w:t xml:space="preserve">primary </w:t>
      </w:r>
      <w:r w:rsidRPr="00A55335">
        <w:t xml:space="preserve">comparison: Homeopathy vs placebo: </w:t>
      </w:r>
      <w:r w:rsidR="00386204" w:rsidRPr="00A55335">
        <w:t>R</w:t>
      </w:r>
      <w:r w:rsidRPr="00A55335">
        <w:t>ecurrent</w:t>
      </w:r>
      <w:r w:rsidR="00570BD7" w:rsidRPr="00A55335">
        <w:t xml:space="preserve"> infections (childhood</w:t>
      </w:r>
      <w:r w:rsidRPr="00A55335">
        <w:t xml:space="preserve"> otitis media</w:t>
      </w:r>
      <w:r w:rsidR="00570BD7" w:rsidRPr="00A55335">
        <w:t>)</w:t>
      </w:r>
      <w:r w:rsidRPr="00A55335">
        <w:t xml:space="preserve"> – infection frequency</w:t>
      </w:r>
      <w:bookmarkEnd w:id="124"/>
    </w:p>
    <w:p w14:paraId="42D6FC3E" w14:textId="0F8B2558" w:rsidR="00F17367" w:rsidRPr="00A55335" w:rsidRDefault="00C20F41" w:rsidP="00F17367">
      <w:pPr>
        <w:pStyle w:val="Pic"/>
      </w:pPr>
      <w:r w:rsidRPr="00A55335">
        <w:rPr>
          <w:noProof/>
        </w:rPr>
        <w:drawing>
          <wp:inline distT="0" distB="0" distL="0" distR="0" wp14:anchorId="3A77C91C" wp14:editId="5E32F94D">
            <wp:extent cx="5572125" cy="3791679"/>
            <wp:effectExtent l="0" t="0" r="0" b="0"/>
            <wp:docPr id="1945093007" name="Picture 194509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93092" cy="3805946"/>
                    </a:xfrm>
                    <a:prstGeom prst="rect">
                      <a:avLst/>
                    </a:prstGeom>
                    <a:noFill/>
                    <a:ln>
                      <a:noFill/>
                    </a:ln>
                  </pic:spPr>
                </pic:pic>
              </a:graphicData>
            </a:graphic>
          </wp:inline>
        </w:drawing>
      </w:r>
    </w:p>
    <w:p w14:paraId="6FA2B9D5" w14:textId="77777777" w:rsidR="00F17367" w:rsidRPr="00A55335" w:rsidRDefault="00F17367" w:rsidP="00F17367">
      <w:pPr>
        <w:pStyle w:val="TableFigNotes18"/>
      </w:pPr>
    </w:p>
    <w:p w14:paraId="30516B65" w14:textId="010D781D" w:rsidR="00FD3731" w:rsidRPr="00A55335" w:rsidRDefault="00DD505D" w:rsidP="008B6E72">
      <w:pPr>
        <w:pStyle w:val="Caption"/>
      </w:pPr>
      <w:bookmarkStart w:id="125" w:name="_Ref145947068"/>
      <w:bookmarkStart w:id="126" w:name="_Toc183520285"/>
      <w:r w:rsidRPr="00A55335">
        <w:t xml:space="preserve">Figure </w:t>
      </w:r>
      <w:r w:rsidRPr="00A55335">
        <w:fldChar w:fldCharType="begin"/>
      </w:r>
      <w:r w:rsidRPr="00A55335">
        <w:instrText xml:space="preserve"> SEQ Figure \* ARABIC </w:instrText>
      </w:r>
      <w:r w:rsidRPr="00A55335">
        <w:fldChar w:fldCharType="separate"/>
      </w:r>
      <w:r w:rsidR="00814B04">
        <w:rPr>
          <w:noProof/>
        </w:rPr>
        <w:t>12</w:t>
      </w:r>
      <w:r w:rsidRPr="00A55335">
        <w:fldChar w:fldCharType="end"/>
      </w:r>
      <w:bookmarkEnd w:id="125"/>
      <w:r w:rsidR="00A676F5" w:rsidRPr="00A55335">
        <w:tab/>
      </w:r>
      <w:r w:rsidR="004366BB" w:rsidRPr="009876E6">
        <w:t xml:space="preserve">Forest plot </w:t>
      </w:r>
      <w:r w:rsidRPr="00A55335">
        <w:t xml:space="preserve">of </w:t>
      </w:r>
      <w:r w:rsidR="00F65CC2" w:rsidRPr="00A55335">
        <w:t xml:space="preserve">secondary </w:t>
      </w:r>
      <w:r w:rsidRPr="00A55335">
        <w:t xml:space="preserve">comparison: Homeopathy vs </w:t>
      </w:r>
      <w:r w:rsidR="00084BE5" w:rsidRPr="00A55335">
        <w:t xml:space="preserve">inactive </w:t>
      </w:r>
      <w:r w:rsidR="008B6E72" w:rsidRPr="00A55335">
        <w:t>control</w:t>
      </w:r>
      <w:r w:rsidRPr="00A55335">
        <w:t xml:space="preserve">: </w:t>
      </w:r>
      <w:r w:rsidR="00F16150" w:rsidRPr="00A55335">
        <w:t>R</w:t>
      </w:r>
      <w:r w:rsidRPr="00A55335">
        <w:t>ecurrent infections (childhood otitis media) – symptom severity</w:t>
      </w:r>
      <w:r w:rsidR="007A5491" w:rsidRPr="00A55335">
        <w:t xml:space="preserve"> (ETG-5)</w:t>
      </w:r>
      <w:bookmarkEnd w:id="126"/>
    </w:p>
    <w:p w14:paraId="1CC76246" w14:textId="5D782172" w:rsidR="00565E69" w:rsidRPr="00A55335" w:rsidRDefault="00565E69" w:rsidP="003133FE">
      <w:pPr>
        <w:pStyle w:val="Pic"/>
      </w:pPr>
      <w:r w:rsidRPr="00A55335">
        <w:rPr>
          <w:noProof/>
        </w:rPr>
        <w:drawing>
          <wp:inline distT="0" distB="0" distL="0" distR="0" wp14:anchorId="38F316DD" wp14:editId="3581A40D">
            <wp:extent cx="5937855" cy="2105246"/>
            <wp:effectExtent l="0" t="0" r="6350" b="9525"/>
            <wp:docPr id="20028716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6732" cy="2108393"/>
                    </a:xfrm>
                    <a:prstGeom prst="rect">
                      <a:avLst/>
                    </a:prstGeom>
                    <a:noFill/>
                    <a:ln>
                      <a:noFill/>
                    </a:ln>
                  </pic:spPr>
                </pic:pic>
              </a:graphicData>
            </a:graphic>
          </wp:inline>
        </w:drawing>
      </w:r>
    </w:p>
    <w:p w14:paraId="073B94BB" w14:textId="1AE3F1FC" w:rsidR="008B6E72" w:rsidRPr="00A55335" w:rsidRDefault="008B6E72" w:rsidP="00A74E91">
      <w:pPr>
        <w:pStyle w:val="Pic"/>
      </w:pPr>
    </w:p>
    <w:p w14:paraId="152D4AD2" w14:textId="77777777" w:rsidR="004D499A" w:rsidRPr="00A55335" w:rsidRDefault="004D499A" w:rsidP="009F16EB">
      <w:pPr>
        <w:pStyle w:val="TableFigNotes18"/>
      </w:pPr>
    </w:p>
    <w:p w14:paraId="4893221B" w14:textId="06264D42" w:rsidR="002C5DFE" w:rsidRPr="00A55335" w:rsidRDefault="002C5DFE" w:rsidP="00645730">
      <w:pPr>
        <w:pStyle w:val="BodyText"/>
      </w:pPr>
      <w:r w:rsidRPr="00A55335">
        <w:br w:type="page"/>
      </w:r>
    </w:p>
    <w:p w14:paraId="23651AD9" w14:textId="77777777" w:rsidR="00DD505D" w:rsidRPr="00A55335" w:rsidRDefault="00DD505D" w:rsidP="00C373A2">
      <w:pPr>
        <w:pStyle w:val="Heading2"/>
      </w:pPr>
      <w:bookmarkStart w:id="127" w:name="_Toc183441315"/>
      <w:r w:rsidRPr="00A55335">
        <w:lastRenderedPageBreak/>
        <w:t>Recurrent infections (upper respiratory tract infection)</w:t>
      </w:r>
      <w:bookmarkEnd w:id="127"/>
    </w:p>
    <w:p w14:paraId="78C3AF53" w14:textId="77777777" w:rsidR="00DD505D" w:rsidRPr="00A55335" w:rsidRDefault="00DD505D" w:rsidP="004D433B">
      <w:pPr>
        <w:pStyle w:val="Heading3"/>
      </w:pPr>
      <w:bookmarkStart w:id="128" w:name="_Toc183441316"/>
      <w:r w:rsidRPr="00A55335">
        <w:t>Description of the condition</w:t>
      </w:r>
      <w:bookmarkEnd w:id="128"/>
      <w:r w:rsidRPr="00A55335">
        <w:t xml:space="preserve"> </w:t>
      </w:r>
    </w:p>
    <w:p w14:paraId="062A01B6" w14:textId="2537AA08" w:rsidR="00DD505D" w:rsidRPr="00A55335" w:rsidRDefault="00DD505D" w:rsidP="00DD505D">
      <w:pPr>
        <w:pStyle w:val="BodyText"/>
      </w:pPr>
      <w:r w:rsidRPr="00A55335">
        <w:t xml:space="preserve">Upper respiratory tract infections (URTIs) are self-limiting infections of the nose, sinuses, pharynx, larynx and upper airways that can be caused by a virus or bacteria </w:t>
      </w:r>
      <w:r w:rsidR="00635FCD" w:rsidRPr="00A55335">
        <w:fldChar w:fldCharType="begin"/>
      </w:r>
      <w:r w:rsidR="006952AD">
        <w:instrText xml:space="preserve"> ADDIN EN.CITE &lt;EndNote&gt;&lt;Cite&gt;&lt;Author&gt;Thomas&lt;/Author&gt;&lt;Year&gt;2023&lt;/Year&gt;&lt;RecNum&gt;362&lt;/RecNum&gt;&lt;DisplayText&gt;(102)&lt;/DisplayText&gt;&lt;record&gt;&lt;rec-number&gt;362&lt;/rec-number&gt;&lt;foreign-keys&gt;&lt;key app="EN" db-id="t5prptatr9sp0we5exbxt9zz20fwp55tdza9" timestamp="1700774032"&gt;362&lt;/key&gt;&lt;/foreign-keys&gt;&lt;ref-type name="Web Page"&gt;12&lt;/ref-type&gt;&lt;contributors&gt;&lt;authors&gt;&lt;author&gt;Micah Thomas&lt;/author&gt;&lt;author&gt;Paul A. Bomar&lt;/author&gt;&lt;/authors&gt;&lt;/contributors&gt;&lt;titles&gt;&lt;title&gt;Upper Respiratory Tract Infection&lt;/title&gt;&lt;/titles&gt;&lt;volume&gt;2023&lt;/volume&gt;&lt;number&gt;10 September&lt;/number&gt;&lt;dates&gt;&lt;year&gt;2023&lt;/year&gt;&lt;/dates&gt;&lt;pub-location&gt;StatPearls [Internet]. &lt;/pub-location&gt;&lt;urls&gt;&lt;related-urls&gt;&lt;url&gt;https://www.ncbi.nlm.nih.gov/books/NBK532961/&lt;/url&gt;&lt;/related-urls&gt;&lt;/urls&gt;&lt;custom1&gt;2023&lt;/custom1&gt;&lt;custom2&gt;10 September&lt;/custom2&gt;&lt;/record&gt;&lt;/Cite&gt;&lt;/EndNote&gt;</w:instrText>
      </w:r>
      <w:r w:rsidR="00635FCD" w:rsidRPr="00A55335">
        <w:fldChar w:fldCharType="separate"/>
      </w:r>
      <w:r w:rsidR="00067842">
        <w:rPr>
          <w:noProof/>
        </w:rPr>
        <w:t>(</w:t>
      </w:r>
      <w:hyperlink w:anchor="_ENREF_102" w:tooltip="Thomas, 2023 #362" w:history="1">
        <w:r w:rsidR="00EC2769">
          <w:rPr>
            <w:noProof/>
          </w:rPr>
          <w:t>102</w:t>
        </w:r>
      </w:hyperlink>
      <w:r w:rsidR="00067842">
        <w:rPr>
          <w:noProof/>
        </w:rPr>
        <w:t>)</w:t>
      </w:r>
      <w:r w:rsidR="00635FCD" w:rsidRPr="00A55335">
        <w:fldChar w:fldCharType="end"/>
      </w:r>
      <w:r w:rsidRPr="00A55335">
        <w:t xml:space="preserve">. One of the most common viral causes of URTIs is rhinovirus, often referred to as the common cold. Other viruses such as influenza, adenovirus, enterovirus, respiratory syncytial virus and coronaviruses are also frequently seen </w:t>
      </w:r>
      <w:r w:rsidR="00635FCD" w:rsidRPr="00A55335">
        <w:fldChar w:fldCharType="begin"/>
      </w:r>
      <w:r w:rsidR="006952AD">
        <w:instrText xml:space="preserve"> ADDIN EN.CITE &lt;EndNote&gt;&lt;Cite&gt;&lt;Author&gt;Thomas&lt;/Author&gt;&lt;Year&gt;2023&lt;/Year&gt;&lt;RecNum&gt;362&lt;/RecNum&gt;&lt;DisplayText&gt;(102)&lt;/DisplayText&gt;&lt;record&gt;&lt;rec-number&gt;362&lt;/rec-number&gt;&lt;foreign-keys&gt;&lt;key app="EN" db-id="t5prptatr9sp0we5exbxt9zz20fwp55tdza9" timestamp="1700774032"&gt;362&lt;/key&gt;&lt;/foreign-keys&gt;&lt;ref-type name="Web Page"&gt;12&lt;/ref-type&gt;&lt;contributors&gt;&lt;authors&gt;&lt;author&gt;Micah Thomas&lt;/author&gt;&lt;author&gt;Paul A. Bomar&lt;/author&gt;&lt;/authors&gt;&lt;/contributors&gt;&lt;titles&gt;&lt;title&gt;Upper Respiratory Tract Infection&lt;/title&gt;&lt;/titles&gt;&lt;volume&gt;2023&lt;/volume&gt;&lt;number&gt;10 September&lt;/number&gt;&lt;dates&gt;&lt;year&gt;2023&lt;/year&gt;&lt;/dates&gt;&lt;pub-location&gt;StatPearls [Internet]. &lt;/pub-location&gt;&lt;urls&gt;&lt;related-urls&gt;&lt;url&gt;https://www.ncbi.nlm.nih.gov/books/NBK532961/&lt;/url&gt;&lt;/related-urls&gt;&lt;/urls&gt;&lt;custom1&gt;2023&lt;/custom1&gt;&lt;custom2&gt;10 September&lt;/custom2&gt;&lt;/record&gt;&lt;/Cite&gt;&lt;/EndNote&gt;</w:instrText>
      </w:r>
      <w:r w:rsidR="00635FCD" w:rsidRPr="00A55335">
        <w:fldChar w:fldCharType="separate"/>
      </w:r>
      <w:r w:rsidR="00067842">
        <w:rPr>
          <w:noProof/>
        </w:rPr>
        <w:t>(</w:t>
      </w:r>
      <w:hyperlink w:anchor="_ENREF_102" w:tooltip="Thomas, 2023 #362" w:history="1">
        <w:r w:rsidR="00EC2769">
          <w:rPr>
            <w:noProof/>
          </w:rPr>
          <w:t>102</w:t>
        </w:r>
      </w:hyperlink>
      <w:r w:rsidR="00067842">
        <w:rPr>
          <w:noProof/>
        </w:rPr>
        <w:t>)</w:t>
      </w:r>
      <w:r w:rsidR="00635FCD" w:rsidRPr="00A55335">
        <w:fldChar w:fldCharType="end"/>
      </w:r>
      <w:r w:rsidRPr="00A55335">
        <w:t xml:space="preserve">. Bacterial upper respiratory tract infections, although accounting for a relatively small proportion of infections, are often caused by </w:t>
      </w:r>
      <w:r w:rsidR="00E8629E" w:rsidRPr="00A55335">
        <w:rPr>
          <w:rStyle w:val="Emphasis"/>
        </w:rPr>
        <w:t>S</w:t>
      </w:r>
      <w:r w:rsidRPr="00A55335">
        <w:rPr>
          <w:rStyle w:val="Emphasis"/>
        </w:rPr>
        <w:t xml:space="preserve">treptococci </w:t>
      </w:r>
      <w:r w:rsidRPr="00A55335">
        <w:t xml:space="preserve">species </w:t>
      </w:r>
      <w:r w:rsidR="00635FCD" w:rsidRPr="00A55335">
        <w:fldChar w:fldCharType="begin"/>
      </w:r>
      <w:r w:rsidR="006952AD">
        <w:instrText xml:space="preserve"> ADDIN EN.CITE &lt;EndNote&gt;&lt;Cite&gt;&lt;Author&gt;Thomas&lt;/Author&gt;&lt;Year&gt;2023&lt;/Year&gt;&lt;RecNum&gt;362&lt;/RecNum&gt;&lt;DisplayText&gt;(102)&lt;/DisplayText&gt;&lt;record&gt;&lt;rec-number&gt;362&lt;/rec-number&gt;&lt;foreign-keys&gt;&lt;key app="EN" db-id="t5prptatr9sp0we5exbxt9zz20fwp55tdza9" timestamp="1700774032"&gt;362&lt;/key&gt;&lt;/foreign-keys&gt;&lt;ref-type name="Web Page"&gt;12&lt;/ref-type&gt;&lt;contributors&gt;&lt;authors&gt;&lt;author&gt;Micah Thomas&lt;/author&gt;&lt;author&gt;Paul A. Bomar&lt;/author&gt;&lt;/authors&gt;&lt;/contributors&gt;&lt;titles&gt;&lt;title&gt;Upper Respiratory Tract Infection&lt;/title&gt;&lt;/titles&gt;&lt;volume&gt;2023&lt;/volume&gt;&lt;number&gt;10 September&lt;/number&gt;&lt;dates&gt;&lt;year&gt;2023&lt;/year&gt;&lt;/dates&gt;&lt;pub-location&gt;StatPearls [Internet]. &lt;/pub-location&gt;&lt;urls&gt;&lt;related-urls&gt;&lt;url&gt;https://www.ncbi.nlm.nih.gov/books/NBK532961/&lt;/url&gt;&lt;/related-urls&gt;&lt;/urls&gt;&lt;custom1&gt;2023&lt;/custom1&gt;&lt;custom2&gt;10 September&lt;/custom2&gt;&lt;/record&gt;&lt;/Cite&gt;&lt;/EndNote&gt;</w:instrText>
      </w:r>
      <w:r w:rsidR="00635FCD" w:rsidRPr="00A55335">
        <w:fldChar w:fldCharType="separate"/>
      </w:r>
      <w:r w:rsidR="00067842">
        <w:rPr>
          <w:noProof/>
        </w:rPr>
        <w:t>(</w:t>
      </w:r>
      <w:hyperlink w:anchor="_ENREF_102" w:tooltip="Thomas, 2023 #362" w:history="1">
        <w:r w:rsidR="00EC2769">
          <w:rPr>
            <w:noProof/>
          </w:rPr>
          <w:t>102</w:t>
        </w:r>
      </w:hyperlink>
      <w:r w:rsidR="00067842">
        <w:rPr>
          <w:noProof/>
        </w:rPr>
        <w:t>)</w:t>
      </w:r>
      <w:r w:rsidR="00635FCD" w:rsidRPr="00A55335">
        <w:fldChar w:fldCharType="end"/>
      </w:r>
      <w:r w:rsidRPr="00A55335">
        <w:t xml:space="preserve">. </w:t>
      </w:r>
    </w:p>
    <w:p w14:paraId="14904EA7" w14:textId="7E02119A" w:rsidR="00DD505D" w:rsidRPr="00A55335" w:rsidRDefault="00DD505D" w:rsidP="00DD505D">
      <w:pPr>
        <w:pStyle w:val="BodyText"/>
      </w:pPr>
      <w:r w:rsidRPr="00A55335">
        <w:t xml:space="preserve">URTIs are characterised by swelling or irritation of the upper airway mucosa and often present with symptoms such as cough, sore throat, running nose, headache, and fever </w:t>
      </w:r>
      <w:r w:rsidR="00635FCD" w:rsidRPr="00A55335">
        <w:fldChar w:fldCharType="begin"/>
      </w:r>
      <w:r w:rsidR="006952AD">
        <w:instrText xml:space="preserve"> ADDIN EN.CITE &lt;EndNote&gt;&lt;Cite&gt;&lt;Author&gt;Thomas&lt;/Author&gt;&lt;Year&gt;2023&lt;/Year&gt;&lt;RecNum&gt;362&lt;/RecNum&gt;&lt;DisplayText&gt;(102)&lt;/DisplayText&gt;&lt;record&gt;&lt;rec-number&gt;362&lt;/rec-number&gt;&lt;foreign-keys&gt;&lt;key app="EN" db-id="t5prptatr9sp0we5exbxt9zz20fwp55tdza9" timestamp="1700774032"&gt;362&lt;/key&gt;&lt;/foreign-keys&gt;&lt;ref-type name="Web Page"&gt;12&lt;/ref-type&gt;&lt;contributors&gt;&lt;authors&gt;&lt;author&gt;Micah Thomas&lt;/author&gt;&lt;author&gt;Paul A. Bomar&lt;/author&gt;&lt;/authors&gt;&lt;/contributors&gt;&lt;titles&gt;&lt;title&gt;Upper Respiratory Tract Infection&lt;/title&gt;&lt;/titles&gt;&lt;volume&gt;2023&lt;/volume&gt;&lt;number&gt;10 September&lt;/number&gt;&lt;dates&gt;&lt;year&gt;2023&lt;/year&gt;&lt;/dates&gt;&lt;pub-location&gt;StatPearls [Internet]. &lt;/pub-location&gt;&lt;urls&gt;&lt;related-urls&gt;&lt;url&gt;https://www.ncbi.nlm.nih.gov/books/NBK532961/&lt;/url&gt;&lt;/related-urls&gt;&lt;/urls&gt;&lt;custom1&gt;2023&lt;/custom1&gt;&lt;custom2&gt;10 September&lt;/custom2&gt;&lt;/record&gt;&lt;/Cite&gt;&lt;/EndNote&gt;</w:instrText>
      </w:r>
      <w:r w:rsidR="00635FCD" w:rsidRPr="00A55335">
        <w:fldChar w:fldCharType="separate"/>
      </w:r>
      <w:r w:rsidR="00067842">
        <w:rPr>
          <w:noProof/>
        </w:rPr>
        <w:t>(</w:t>
      </w:r>
      <w:hyperlink w:anchor="_ENREF_102" w:tooltip="Thomas, 2023 #362" w:history="1">
        <w:r w:rsidR="00EC2769">
          <w:rPr>
            <w:noProof/>
          </w:rPr>
          <w:t>102</w:t>
        </w:r>
      </w:hyperlink>
      <w:r w:rsidR="00067842">
        <w:rPr>
          <w:noProof/>
        </w:rPr>
        <w:t>)</w:t>
      </w:r>
      <w:r w:rsidR="00635FCD" w:rsidRPr="00A55335">
        <w:fldChar w:fldCharType="end"/>
      </w:r>
      <w:r w:rsidRPr="00A55335">
        <w:t xml:space="preserve">. A diagnosis can be made by a medical professional based on symptom presentation, with laboratory confirmation </w:t>
      </w:r>
      <w:r w:rsidR="00E8629E" w:rsidRPr="00A55335">
        <w:t xml:space="preserve">often </w:t>
      </w:r>
      <w:r w:rsidRPr="00A55335">
        <w:t xml:space="preserve">not </w:t>
      </w:r>
      <w:r w:rsidR="00E8629E" w:rsidRPr="00A55335">
        <w:t>performed</w:t>
      </w:r>
      <w:r w:rsidRPr="00A55335">
        <w:t xml:space="preserve"> </w:t>
      </w:r>
      <w:r w:rsidR="00635FCD" w:rsidRPr="00A55335">
        <w:fldChar w:fldCharType="begin"/>
      </w:r>
      <w:r w:rsidR="006952AD">
        <w:instrText xml:space="preserve"> ADDIN EN.CITE &lt;EndNote&gt;&lt;Cite&gt;&lt;Author&gt;Heikkinen&lt;/Author&gt;&lt;Year&gt;2003&lt;/Year&gt;&lt;RecNum&gt;546&lt;/RecNum&gt;&lt;DisplayText&gt;(103)&lt;/DisplayText&gt;&lt;record&gt;&lt;rec-number&gt;546&lt;/rec-number&gt;&lt;foreign-keys&gt;&lt;key app="EN" db-id="t5prptatr9sp0we5exbxt9zz20fwp55tdza9" timestamp="1700802230"&gt;546&lt;/key&gt;&lt;/foreign-keys&gt;&lt;ref-type name="Journal Article"&gt;17&lt;/ref-type&gt;&lt;contributors&gt;&lt;authors&gt;&lt;author&gt;Heikkinen, Terho&lt;/author&gt;&lt;author&gt;Järvinen, Asko&lt;/author&gt;&lt;/authors&gt;&lt;/contributors&gt;&lt;titles&gt;&lt;title&gt;The common cold&lt;/title&gt;&lt;secondary-title&gt;The Lancet&lt;/secondary-title&gt;&lt;/titles&gt;&lt;periodical&gt;&lt;full-title&gt;The Lancet&lt;/full-title&gt;&lt;/periodical&gt;&lt;pages&gt;51-59&lt;/pages&gt;&lt;volume&gt;361&lt;/volume&gt;&lt;number&gt;9351&lt;/number&gt;&lt;dates&gt;&lt;year&gt;2003&lt;/year&gt;&lt;/dates&gt;&lt;publisher&gt;Elsevier&lt;/publisher&gt;&lt;isbn&gt;0140-6736&lt;/isbn&gt;&lt;urls&gt;&lt;related-urls&gt;&lt;url&gt;https://doi.org/10.1016/S0140-6736(03)12162-9&lt;/url&gt;&lt;/related-urls&gt;&lt;/urls&gt;&lt;electronic-resource-num&gt;10.1016/S0140-6736(03)12162-9&lt;/electronic-resource-num&gt;&lt;access-date&gt;2023/10/25&lt;/access-date&gt;&lt;/record&gt;&lt;/Cite&gt;&lt;/EndNote&gt;</w:instrText>
      </w:r>
      <w:r w:rsidR="00635FCD" w:rsidRPr="00A55335">
        <w:fldChar w:fldCharType="separate"/>
      </w:r>
      <w:r w:rsidR="00067842">
        <w:rPr>
          <w:noProof/>
        </w:rPr>
        <w:t>(</w:t>
      </w:r>
      <w:hyperlink w:anchor="_ENREF_103" w:tooltip="Heikkinen, 2003 #546" w:history="1">
        <w:r w:rsidR="00EC2769">
          <w:rPr>
            <w:noProof/>
          </w:rPr>
          <w:t>103</w:t>
        </w:r>
      </w:hyperlink>
      <w:r w:rsidR="00067842">
        <w:rPr>
          <w:noProof/>
        </w:rPr>
        <w:t>)</w:t>
      </w:r>
      <w:r w:rsidR="00635FCD" w:rsidRPr="00A55335">
        <w:fldChar w:fldCharType="end"/>
      </w:r>
      <w:r w:rsidRPr="00A55335">
        <w:t xml:space="preserve">. URTIs are amongst the most common conditions managed by general practitioners in Australia, representing a considerable burden on the health system </w:t>
      </w:r>
      <w:r w:rsidR="00635FCD" w:rsidRPr="00A55335">
        <w:fldChar w:fldCharType="begin">
          <w:fldData xml:space="preserve">PEVuZE5vdGU+PENpdGU+PEF1dGhvcj5Mb25nPC9BdXRob3I+PFllYXI+MjAxOTwvWWVhcj48UmVj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</w:fldData>
        </w:fldChar>
      </w:r>
      <w:r w:rsidR="006952AD">
        <w:instrText xml:space="preserve"> ADDIN EN.CITE </w:instrText>
      </w:r>
      <w:r w:rsidR="006952AD">
        <w:fldChar w:fldCharType="begin">
          <w:fldData xml:space="preserve">PEVuZE5vdGU+PENpdGU+PEF1dGhvcj5Mb25nPC9BdXRob3I+PFllYXI+MjAxOTwvWWVhcj48UmVj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</w:fldData>
        </w:fldChar>
      </w:r>
      <w:r w:rsidR="006952AD">
        <w:instrText xml:space="preserve"> ADDIN EN.CITE.DATA </w:instrText>
      </w:r>
      <w:r w:rsidR="006952AD">
        <w:fldChar w:fldCharType="end"/>
      </w:r>
      <w:r w:rsidR="00635FCD" w:rsidRPr="00A55335">
        <w:fldChar w:fldCharType="separate"/>
      </w:r>
      <w:r w:rsidR="00067842">
        <w:rPr>
          <w:noProof/>
        </w:rPr>
        <w:t>(</w:t>
      </w:r>
      <w:hyperlink w:anchor="_ENREF_104" w:tooltip="Long, 2019 #364" w:history="1">
        <w:r w:rsidR="00EC2769">
          <w:rPr>
            <w:noProof/>
          </w:rPr>
          <w:t>104</w:t>
        </w:r>
      </w:hyperlink>
      <w:r w:rsidR="00067842">
        <w:rPr>
          <w:noProof/>
        </w:rPr>
        <w:t>)</w:t>
      </w:r>
      <w:r w:rsidR="00635FCD" w:rsidRPr="00A55335">
        <w:fldChar w:fldCharType="end"/>
      </w:r>
      <w:r w:rsidRPr="00A55335">
        <w:t xml:space="preserve">. A significant proportion (31%) of these presentations are estimated to belong to children under 15 years of age </w:t>
      </w:r>
      <w:r w:rsidR="00635FCD" w:rsidRPr="00A55335">
        <w:fldChar w:fldCharType="begin">
          <w:fldData xml:space="preserve">PEVuZE5vdGU+PENpdGU+PEF1dGhvcj5Mb25nPC9BdXRob3I+PFllYXI+MjAxOTwvWWVhcj48UmVj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</w:fldData>
        </w:fldChar>
      </w:r>
      <w:r w:rsidR="006952AD">
        <w:instrText xml:space="preserve"> ADDIN EN.CITE </w:instrText>
      </w:r>
      <w:r w:rsidR="006952AD">
        <w:fldChar w:fldCharType="begin">
          <w:fldData xml:space="preserve">PEVuZE5vdGU+PENpdGU+PEF1dGhvcj5Mb25nPC9BdXRob3I+PFllYXI+MjAxOTwvWWVhcj48UmVj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</w:fldData>
        </w:fldChar>
      </w:r>
      <w:r w:rsidR="006952AD">
        <w:instrText xml:space="preserve"> ADDIN EN.CITE.DATA </w:instrText>
      </w:r>
      <w:r w:rsidR="006952AD">
        <w:fldChar w:fldCharType="end"/>
      </w:r>
      <w:r w:rsidR="00635FCD" w:rsidRPr="00A55335">
        <w:fldChar w:fldCharType="separate"/>
      </w:r>
      <w:r w:rsidR="00067842">
        <w:rPr>
          <w:noProof/>
        </w:rPr>
        <w:t>(</w:t>
      </w:r>
      <w:hyperlink w:anchor="_ENREF_104" w:tooltip="Long, 2019 #364" w:history="1">
        <w:r w:rsidR="00EC2769">
          <w:rPr>
            <w:noProof/>
          </w:rPr>
          <w:t>104</w:t>
        </w:r>
      </w:hyperlink>
      <w:r w:rsidR="00067842">
        <w:rPr>
          <w:noProof/>
        </w:rPr>
        <w:t>)</w:t>
      </w:r>
      <w:r w:rsidR="00635FCD" w:rsidRPr="00A55335">
        <w:fldChar w:fldCharType="end"/>
      </w:r>
      <w:r w:rsidRPr="00A55335">
        <w:t xml:space="preserve">. </w:t>
      </w:r>
    </w:p>
    <w:p w14:paraId="7F262498" w14:textId="7CC50E81" w:rsidR="00DD505D" w:rsidRPr="00A55335" w:rsidRDefault="00DD505D" w:rsidP="00DD505D">
      <w:pPr>
        <w:pStyle w:val="BodyText"/>
      </w:pPr>
      <w:r w:rsidRPr="00A55335">
        <w:t xml:space="preserve">Recurrent URTIs are common in children, with sources estimating an average frequency as high as 6 to 8 infections per year </w:t>
      </w:r>
      <w:r w:rsidR="00635FCD" w:rsidRPr="00A55335">
        <w:fldChar w:fldCharType="begin">
          <w:fldData xml:space="preserve">PEVuZE5vdGU+PENpdGU+PEF1dGhvcj5IZWlra2luZW48L0F1dGhvcj48WWVhcj4yMDA2PC9ZZWFy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</w:fldData>
        </w:fldChar>
      </w:r>
      <w:r w:rsidR="006952AD">
        <w:instrText xml:space="preserve"> ADDIN EN.CITE </w:instrText>
      </w:r>
      <w:r w:rsidR="006952AD">
        <w:fldChar w:fldCharType="begin">
          <w:fldData xml:space="preserve">PEVuZE5vdGU+PENpdGU+PEF1dGhvcj5IZWlra2luZW48L0F1dGhvcj48WWVhcj4yMDA2PC9ZZWFy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</w:fldData>
        </w:fldChar>
      </w:r>
      <w:r w:rsidR="006952AD">
        <w:instrText xml:space="preserve"> ADDIN EN.CITE.DATA </w:instrText>
      </w:r>
      <w:r w:rsidR="006952AD">
        <w:fldChar w:fldCharType="end"/>
      </w:r>
      <w:r w:rsidR="00635FCD" w:rsidRPr="00A55335">
        <w:fldChar w:fldCharType="separate"/>
      </w:r>
      <w:r w:rsidR="00067842">
        <w:rPr>
          <w:noProof/>
        </w:rPr>
        <w:t>(</w:t>
      </w:r>
      <w:hyperlink w:anchor="_ENREF_105" w:tooltip="Heikkinen, 2006 #365" w:history="1">
        <w:r w:rsidR="00EC2769">
          <w:rPr>
            <w:noProof/>
          </w:rPr>
          <w:t>105-107</w:t>
        </w:r>
      </w:hyperlink>
      <w:r w:rsidR="00067842">
        <w:rPr>
          <w:noProof/>
        </w:rPr>
        <w:t>)</w:t>
      </w:r>
      <w:r w:rsidR="00635FCD" w:rsidRPr="00A55335">
        <w:fldChar w:fldCharType="end"/>
      </w:r>
      <w:r w:rsidRPr="00A55335">
        <w:t xml:space="preserve">. Risk factors for recurrent episodes in children include close contact in settings such as daycares and schools, medical conditions such as asthma or those that make the individual immunocompromised </w:t>
      </w:r>
      <w:r w:rsidR="00635FCD" w:rsidRPr="00A55335">
        <w:fldChar w:fldCharType="begin"/>
      </w:r>
      <w:r w:rsidR="006952AD">
        <w:instrText xml:space="preserve"> ADDIN EN.CITE &lt;EndNote&gt;&lt;Cite&gt;&lt;Author&gt;Thomas&lt;/Author&gt;&lt;Year&gt;2023&lt;/Year&gt;&lt;RecNum&gt;362&lt;/RecNum&gt;&lt;DisplayText&gt;(102)&lt;/DisplayText&gt;&lt;record&gt;&lt;rec-number&gt;362&lt;/rec-number&gt;&lt;foreign-keys&gt;&lt;key app="EN" db-id="t5prptatr9sp0we5exbxt9zz20fwp55tdza9" timestamp="1700774032"&gt;362&lt;/key&gt;&lt;/foreign-keys&gt;&lt;ref-type name="Web Page"&gt;12&lt;/ref-type&gt;&lt;contributors&gt;&lt;authors&gt;&lt;author&gt;Micah Thomas&lt;/author&gt;&lt;author&gt;Paul A. Bomar&lt;/author&gt;&lt;/authors&gt;&lt;/contributors&gt;&lt;titles&gt;&lt;title&gt;Upper Respiratory Tract Infection&lt;/title&gt;&lt;/titles&gt;&lt;volume&gt;2023&lt;/volume&gt;&lt;number&gt;10 September&lt;/number&gt;&lt;dates&gt;&lt;year&gt;2023&lt;/year&gt;&lt;/dates&gt;&lt;pub-location&gt;StatPearls [Internet]. &lt;/pub-location&gt;&lt;urls&gt;&lt;related-urls&gt;&lt;url&gt;https://www.ncbi.nlm.nih.gov/books/NBK532961/&lt;/url&gt;&lt;/related-urls&gt;&lt;/urls&gt;&lt;custom1&gt;2023&lt;/custom1&gt;&lt;custom2&gt;10 September&lt;/custom2&gt;&lt;/record&gt;&lt;/Cite&gt;&lt;/EndNote&gt;</w:instrText>
      </w:r>
      <w:r w:rsidR="00635FCD" w:rsidRPr="00A55335">
        <w:fldChar w:fldCharType="separate"/>
      </w:r>
      <w:r w:rsidR="00067842">
        <w:rPr>
          <w:noProof/>
        </w:rPr>
        <w:t>(</w:t>
      </w:r>
      <w:hyperlink w:anchor="_ENREF_102" w:tooltip="Thomas, 2023 #362" w:history="1">
        <w:r w:rsidR="00EC2769">
          <w:rPr>
            <w:noProof/>
          </w:rPr>
          <w:t>102</w:t>
        </w:r>
      </w:hyperlink>
      <w:r w:rsidR="00067842">
        <w:rPr>
          <w:noProof/>
        </w:rPr>
        <w:t>)</w:t>
      </w:r>
      <w:r w:rsidR="00635FCD" w:rsidRPr="00A55335">
        <w:fldChar w:fldCharType="end"/>
      </w:r>
      <w:r w:rsidRPr="00A55335">
        <w:t>. As most infections are mild and uncomplicated, they can be self-managed</w:t>
      </w:r>
      <w:r w:rsidR="00FC19C4" w:rsidRPr="00A55335">
        <w:t xml:space="preserve">; which is typically centred on </w:t>
      </w:r>
      <w:r w:rsidRPr="00A55335">
        <w:t>symptom relief</w:t>
      </w:r>
      <w:r w:rsidR="00FC19C4" w:rsidRPr="00A55335">
        <w:t xml:space="preserve"> </w:t>
      </w:r>
      <w:r w:rsidR="00FC19C4" w:rsidRPr="00A55335">
        <w:fldChar w:fldCharType="begin"/>
      </w:r>
      <w:r w:rsidR="006952AD">
        <w:instrText xml:space="preserve"> ADDIN EN.CITE &lt;EndNote&gt;&lt;Cite&gt;&lt;Author&gt;Thomas&lt;/Author&gt;&lt;Year&gt;2023&lt;/Year&gt;&lt;RecNum&gt;362&lt;/RecNum&gt;&lt;DisplayText&gt;(102)&lt;/DisplayText&gt;&lt;record&gt;&lt;rec-number&gt;362&lt;/rec-number&gt;&lt;foreign-keys&gt;&lt;key app="EN" db-id="t5prptatr9sp0we5exbxt9zz20fwp55tdza9" timestamp="1700774032"&gt;362&lt;/key&gt;&lt;/foreign-keys&gt;&lt;ref-type name="Web Page"&gt;12&lt;/ref-type&gt;&lt;contributors&gt;&lt;authors&gt;&lt;author&gt;Micah Thomas&lt;/author&gt;&lt;author&gt;Paul A. Bomar&lt;/author&gt;&lt;/authors&gt;&lt;/contributors&gt;&lt;titles&gt;&lt;title&gt;Upper Respiratory Tract Infection&lt;/title&gt;&lt;/titles&gt;&lt;volume&gt;2023&lt;/volume&gt;&lt;number&gt;10 September&lt;/number&gt;&lt;dates&gt;&lt;year&gt;2023&lt;/year&gt;&lt;/dates&gt;&lt;pub-location&gt;StatPearls [Internet]. &lt;/pub-location&gt;&lt;urls&gt;&lt;related-urls&gt;&lt;url&gt;https://www.ncbi.nlm.nih.gov/books/NBK532961/&lt;/url&gt;&lt;/related-urls&gt;&lt;/urls&gt;&lt;custom1&gt;2023&lt;/custom1&gt;&lt;custom2&gt;10 September&lt;/custom2&gt;&lt;/record&gt;&lt;/Cite&gt;&lt;/EndNote&gt;</w:instrText>
      </w:r>
      <w:r w:rsidR="00FC19C4" w:rsidRPr="00A55335">
        <w:fldChar w:fldCharType="separate"/>
      </w:r>
      <w:r w:rsidR="00067842">
        <w:rPr>
          <w:noProof/>
        </w:rPr>
        <w:t>(</w:t>
      </w:r>
      <w:hyperlink w:anchor="_ENREF_102" w:tooltip="Thomas, 2023 #362" w:history="1">
        <w:r w:rsidR="00EC2769">
          <w:rPr>
            <w:noProof/>
          </w:rPr>
          <w:t>102</w:t>
        </w:r>
      </w:hyperlink>
      <w:r w:rsidR="00067842">
        <w:rPr>
          <w:noProof/>
        </w:rPr>
        <w:t>)</w:t>
      </w:r>
      <w:r w:rsidR="00FC19C4" w:rsidRPr="00A55335">
        <w:fldChar w:fldCharType="end"/>
      </w:r>
      <w:r w:rsidR="00FC19C4" w:rsidRPr="00A55335">
        <w:t>. P</w:t>
      </w:r>
      <w:r w:rsidRPr="00A55335">
        <w:t xml:space="preserve">harmacological interventions </w:t>
      </w:r>
      <w:r w:rsidR="00FC19C4" w:rsidRPr="00A55335">
        <w:t xml:space="preserve">may </w:t>
      </w:r>
      <w:r w:rsidRPr="00A55335">
        <w:t>include analgesics, anti-inflammatory and decongestant medications</w:t>
      </w:r>
      <w:r w:rsidR="00FC19C4" w:rsidRPr="00A55335">
        <w:t>. If the</w:t>
      </w:r>
      <w:r w:rsidRPr="00A55335">
        <w:t xml:space="preserve"> infection is caused by bacteria</w:t>
      </w:r>
      <w:r w:rsidR="006B191A" w:rsidRPr="00A55335">
        <w:t>, antibiotics may be prescribed</w:t>
      </w:r>
      <w:r w:rsidR="008E5DD1" w:rsidRPr="00A55335">
        <w:t>; noting that, i</w:t>
      </w:r>
      <w:r w:rsidRPr="00A55335">
        <w:t xml:space="preserve">n Australia, antibiotics are often prescribed to treat </w:t>
      </w:r>
      <w:r w:rsidR="008E5DD1" w:rsidRPr="00A55335">
        <w:t>URTI</w:t>
      </w:r>
      <w:r w:rsidR="009D3EE1" w:rsidRPr="00A55335">
        <w:t>s</w:t>
      </w:r>
      <w:r w:rsidRPr="00A55335">
        <w:t xml:space="preserve">, despite the cause of most </w:t>
      </w:r>
      <w:r w:rsidR="009D3EE1" w:rsidRPr="00A55335">
        <w:t>URTIs</w:t>
      </w:r>
      <w:r w:rsidRPr="00A55335">
        <w:t xml:space="preserve"> being viral pathogens </w:t>
      </w:r>
      <w:r w:rsidR="00635FCD" w:rsidRPr="00A55335">
        <w:fldChar w:fldCharType="begin"/>
      </w:r>
      <w:r w:rsidR="006952AD">
        <w:instrText xml:space="preserve"> ADDIN EN.CITE &lt;EndNote&gt;&lt;Cite&gt;&lt;Author&gt;King&lt;/Author&gt;&lt;Year&gt;2022&lt;/Year&gt;&lt;RecNum&gt;368&lt;/RecNum&gt;&lt;DisplayText&gt;(108)&lt;/DisplayText&gt;&lt;record&gt;&lt;rec-number&gt;368&lt;/rec-number&gt;&lt;foreign-keys&gt;&lt;key app="EN" db-id="t5prptatr9sp0we5exbxt9zz20fwp55tdza9" timestamp="1700774033"&gt;368&lt;/key&gt;&lt;/foreign-keys&gt;&lt;ref-type name="Journal Article"&gt;17&lt;/ref-type&gt;&lt;contributors&gt;&lt;authors&gt;&lt;author&gt;King, D.&lt;/author&gt;&lt;/authors&gt;&lt;/contributors&gt;&lt;auth-address&gt;MBBS, MPH, FRACGP, Senior Lecturer, General Practice Clinical Unit, Medical School, The University of Queensland, Herston, Qld.&lt;/auth-address&gt;&lt;titles&gt;&lt;title&gt;Viral infections and persistent cough: Evidence for treatment options&lt;/title&gt;&lt;secondary-title&gt;Aust J Gen Pract&lt;/secondary-title&gt;&lt;/titles&gt;&lt;pages&gt;924-927&lt;/pages&gt;&lt;volume&gt;51&lt;/volume&gt;&lt;number&gt;12&lt;/number&gt;&lt;keywords&gt;&lt;keyword&gt;Humans&lt;/keyword&gt;&lt;keyword&gt;Cough/etiology/therapy&lt;/keyword&gt;&lt;keyword&gt;*COVID-19/complications&lt;/keyword&gt;&lt;keyword&gt;Australia&lt;/keyword&gt;&lt;keyword&gt;SARS-CoV-2&lt;/keyword&gt;&lt;keyword&gt;*Virus Diseases&lt;/keyword&gt;&lt;/keywords&gt;&lt;dates&gt;&lt;year&gt;2022&lt;/year&gt;&lt;pub-dates&gt;&lt;date&gt;Dec&lt;/date&gt;&lt;/pub-dates&gt;&lt;/dates&gt;&lt;publisher&gt;The Royal Australian College of General Practitioners (RACGP)&lt;/publisher&gt;&lt;isbn&gt;2208-7958 (Electronic)&lt;/isbn&gt;&lt;accession-num&gt;36451323&lt;/accession-num&gt;&lt;urls&gt;&lt;related-urls&gt;&lt;url&gt;https://www.ncbi.nlm.nih.gov/pubmed/36451323&lt;/url&gt;&lt;/related-urls&gt;&lt;/urls&gt;&lt;electronic-resource-num&gt;10.31128/AJGP-05-22-6446&lt;/electronic-resource-num&gt;&lt;remote-database-name&gt;Medline&lt;/remote-database-name&gt;&lt;remote-database-provider&gt;NLM&lt;/remote-database-provider&gt;&lt;/record&gt;&lt;/Cite&gt;&lt;/EndNote&gt;</w:instrText>
      </w:r>
      <w:r w:rsidR="00635FCD" w:rsidRPr="00A55335">
        <w:fldChar w:fldCharType="separate"/>
      </w:r>
      <w:r w:rsidR="00067842">
        <w:rPr>
          <w:noProof/>
        </w:rPr>
        <w:t>(</w:t>
      </w:r>
      <w:hyperlink w:anchor="_ENREF_108" w:tooltip="King, 2022 #368" w:history="1">
        <w:r w:rsidR="00EC2769">
          <w:rPr>
            <w:noProof/>
          </w:rPr>
          <w:t>108</w:t>
        </w:r>
      </w:hyperlink>
      <w:r w:rsidR="00067842">
        <w:rPr>
          <w:noProof/>
        </w:rPr>
        <w:t>)</w:t>
      </w:r>
      <w:r w:rsidR="00635FCD" w:rsidRPr="00A55335">
        <w:fldChar w:fldCharType="end"/>
      </w:r>
      <w:r w:rsidRPr="00A55335">
        <w:t xml:space="preserve">. </w:t>
      </w:r>
    </w:p>
    <w:p w14:paraId="7556E9CE" w14:textId="2574A89E" w:rsidR="00DD505D" w:rsidRPr="00A55335" w:rsidRDefault="00DD505D" w:rsidP="00DD505D">
      <w:pPr>
        <w:pStyle w:val="BodyText"/>
      </w:pPr>
      <w:r w:rsidRPr="00A55335">
        <w:t xml:space="preserve">Complementary or alternative medicines such as homeopathy have gained popularity due to the belief in their potential to treat symptoms as well as prevent the recurrence of infections </w:t>
      </w:r>
      <w:r w:rsidR="00635FCD" w:rsidRPr="00A55335">
        <w:fldChar w:fldCharType="begin">
          <w:fldData xml:space="preserve">PEVuZE5vdGU+PENpdGU+PEF1dGhvcj5IYXdrZTwvQXV0aG9yPjxZZWFyPjIwMjI8L1llYXI+PFJl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</w:fldData>
        </w:fldChar>
      </w:r>
      <w:r w:rsidR="006952AD">
        <w:instrText xml:space="preserve"> ADDIN EN.CITE </w:instrText>
      </w:r>
      <w:r w:rsidR="006952AD">
        <w:fldChar w:fldCharType="begin">
          <w:fldData xml:space="preserve">PEVuZE5vdGU+PENpdGU+PEF1dGhvcj5IYXdrZTwvQXV0aG9yPjxZZWFyPjIwMjI8L1llYXI+PFJl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</w:fldData>
        </w:fldChar>
      </w:r>
      <w:r w:rsidR="006952AD">
        <w:instrText xml:space="preserve"> ADDIN EN.CITE.DATA </w:instrText>
      </w:r>
      <w:r w:rsidR="006952AD">
        <w:fldChar w:fldCharType="end"/>
      </w:r>
      <w:r w:rsidR="00635FCD" w:rsidRPr="00A55335">
        <w:fldChar w:fldCharType="separate"/>
      </w:r>
      <w:r w:rsidR="00067842">
        <w:rPr>
          <w:noProof/>
        </w:rPr>
        <w:t>(</w:t>
      </w:r>
      <w:hyperlink w:anchor="_ENREF_109" w:tooltip="Hawke, 2022 #369" w:history="1">
        <w:r w:rsidR="00EC2769">
          <w:rPr>
            <w:noProof/>
          </w:rPr>
          <w:t>109</w:t>
        </w:r>
      </w:hyperlink>
      <w:r w:rsidR="00067842">
        <w:rPr>
          <w:noProof/>
        </w:rPr>
        <w:t>)</w:t>
      </w:r>
      <w:r w:rsidR="00635FCD" w:rsidRPr="00A55335">
        <w:fldChar w:fldCharType="end"/>
      </w:r>
      <w:r w:rsidRPr="00A55335">
        <w:t xml:space="preserve">. </w:t>
      </w:r>
    </w:p>
    <w:p w14:paraId="22547727" w14:textId="77777777" w:rsidR="00DD505D" w:rsidRPr="00A55335" w:rsidRDefault="00DD505D" w:rsidP="004D433B">
      <w:pPr>
        <w:pStyle w:val="Heading3"/>
      </w:pPr>
      <w:bookmarkStart w:id="129" w:name="_Toc183441317"/>
      <w:r w:rsidRPr="00A55335">
        <w:t>Description of studies</w:t>
      </w:r>
      <w:bookmarkEnd w:id="129"/>
      <w:r w:rsidRPr="00A55335">
        <w:t xml:space="preserve"> </w:t>
      </w:r>
    </w:p>
    <w:p w14:paraId="1D6BDBA0" w14:textId="3A859CAB" w:rsidR="00DD505D" w:rsidRPr="00A55335" w:rsidRDefault="001221A6" w:rsidP="00DD505D">
      <w:pPr>
        <w:pStyle w:val="BodyText"/>
      </w:pPr>
      <w:r w:rsidRPr="00A55335">
        <w:t>There were 9</w:t>
      </w:r>
      <w:r w:rsidR="00DD505D" w:rsidRPr="00A55335">
        <w:t xml:space="preserve"> citations </w:t>
      </w:r>
      <w:r w:rsidR="00A64F90" w:rsidRPr="00A55335">
        <w:fldChar w:fldCharType="begin">
          <w:fldData xml:space="preserve">PEVuZE5vdGU+PENpdGU+PEF1dGhvcj5EZSBMYW5nZSBEZSBLbGVyazwvQXV0aG9yPjxZZWFyPjE5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==
</w:fldData>
        </w:fldChar>
      </w:r>
      <w:r w:rsidR="006952AD">
        <w:instrText xml:space="preserve"> ADDIN EN.CITE </w:instrText>
      </w:r>
      <w:r w:rsidR="006952AD">
        <w:fldChar w:fldCharType="begin">
          <w:fldData xml:space="preserve">PEVuZE5vdGU+PENpdGU+PEF1dGhvcj5EZSBMYW5nZSBEZSBLbGVyazwvQXV0aG9yPjxZZWFyPjE5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==
</w:fldData>
        </w:fldChar>
      </w:r>
      <w:r w:rsidR="006952AD">
        <w:instrText xml:space="preserve"> ADDIN EN.CITE.DATA </w:instrText>
      </w:r>
      <w:r w:rsidR="006952AD">
        <w:fldChar w:fldCharType="end"/>
      </w:r>
      <w:r w:rsidR="00A64F90" w:rsidRPr="00A55335">
        <w:fldChar w:fldCharType="separate"/>
      </w:r>
      <w:r w:rsidR="00067842">
        <w:rPr>
          <w:noProof/>
        </w:rPr>
        <w:t>(</w:t>
      </w:r>
      <w:hyperlink w:anchor="_ENREF_110" w:tooltip="De Lange De Klerk, 1996 #370" w:history="1">
        <w:r w:rsidR="00EC2769">
          <w:rPr>
            <w:noProof/>
          </w:rPr>
          <w:t>110-118</w:t>
        </w:r>
      </w:hyperlink>
      <w:r w:rsidR="00067842">
        <w:rPr>
          <w:noProof/>
        </w:rPr>
        <w:t>)</w:t>
      </w:r>
      <w:r w:rsidR="00A64F90" w:rsidRPr="00A55335">
        <w:fldChar w:fldCharType="end"/>
      </w:r>
      <w:r w:rsidR="00DD505D" w:rsidRPr="00A55335">
        <w:t xml:space="preserve"> corresponding to 3 RCTs (De Lange de Klerk 1993, Palm 2017</w:t>
      </w:r>
      <w:r w:rsidR="00560ADF" w:rsidRPr="00A55335">
        <w:t>,</w:t>
      </w:r>
      <w:r w:rsidR="00DD505D" w:rsidRPr="00A55335">
        <w:t xml:space="preserve"> </w:t>
      </w:r>
      <w:proofErr w:type="spellStart"/>
      <w:r w:rsidR="00DD505D" w:rsidRPr="00A55335">
        <w:t>Steinsbekk</w:t>
      </w:r>
      <w:proofErr w:type="spellEnd"/>
      <w:r w:rsidR="00DD505D" w:rsidRPr="00A55335">
        <w:t xml:space="preserve"> 2004) and</w:t>
      </w:r>
      <w:r w:rsidR="00980CA0" w:rsidRPr="00A55335">
        <w:t xml:space="preserve"> one </w:t>
      </w:r>
      <w:r w:rsidR="00DD505D" w:rsidRPr="00A55335">
        <w:t xml:space="preserve">quasi RCT (Furuta 2017) </w:t>
      </w:r>
      <w:r w:rsidRPr="00A55335">
        <w:t>identified in the literature search</w:t>
      </w:r>
      <w:r w:rsidR="00DD505D" w:rsidRPr="00A55335">
        <w:t xml:space="preserve">. </w:t>
      </w:r>
      <w:r w:rsidR="00560ADF" w:rsidRPr="00A55335">
        <w:t xml:space="preserve">No additional studies were identified in the Department’s public call for evidence. </w:t>
      </w:r>
      <w:r w:rsidR="00DD505D" w:rsidRPr="00A55335">
        <w:t xml:space="preserve">There were </w:t>
      </w:r>
      <w:r w:rsidR="00CF6487" w:rsidRPr="00A55335">
        <w:t xml:space="preserve">6 </w:t>
      </w:r>
      <w:hyperlink w:anchor="_Ongoing_studies" w:history="1">
        <w:r w:rsidR="00DD505D" w:rsidRPr="00A55335">
          <w:rPr>
            <w:rStyle w:val="Hyperlink"/>
          </w:rPr>
          <w:t>ongoing studies</w:t>
        </w:r>
      </w:hyperlink>
      <w:r w:rsidR="00DD505D" w:rsidRPr="00A55335">
        <w:t xml:space="preserve">, and </w:t>
      </w:r>
      <w:r w:rsidR="00AF070E" w:rsidRPr="00A55335">
        <w:t xml:space="preserve">5 </w:t>
      </w:r>
      <w:hyperlink w:anchor="_Studies_awaiting_classification" w:history="1">
        <w:r w:rsidR="00DD505D" w:rsidRPr="00A55335">
          <w:rPr>
            <w:rStyle w:val="Hyperlink"/>
          </w:rPr>
          <w:t>studies awaiting classification</w:t>
        </w:r>
      </w:hyperlink>
      <w:r w:rsidR="00C23309" w:rsidRPr="00A55335">
        <w:t xml:space="preserve">, </w:t>
      </w:r>
      <w:r w:rsidR="001B0E2F" w:rsidRPr="00A55335">
        <w:t xml:space="preserve">4 </w:t>
      </w:r>
      <w:r w:rsidR="00C23309" w:rsidRPr="00A55335">
        <w:t xml:space="preserve">of which </w:t>
      </w:r>
      <w:r w:rsidR="001B0E2F" w:rsidRPr="00A55335">
        <w:t xml:space="preserve">were </w:t>
      </w:r>
      <w:r w:rsidR="00DD505D" w:rsidRPr="00A55335">
        <w:t xml:space="preserve">published in a language other than English. </w:t>
      </w:r>
      <w:r w:rsidR="00560ADF" w:rsidRPr="00A55335">
        <w:t xml:space="preserve">An </w:t>
      </w:r>
      <w:r w:rsidR="00DD505D" w:rsidRPr="00A55335">
        <w:t>overview of the PICO criteria of included studies is provided in Appendix D1.</w:t>
      </w:r>
      <w:r w:rsidR="009131E1" w:rsidRPr="00A55335">
        <w:t>4</w:t>
      </w:r>
      <w:r w:rsidR="00DD505D" w:rsidRPr="00A55335">
        <w:t>.1.</w:t>
      </w:r>
    </w:p>
    <w:p w14:paraId="4DD55567" w14:textId="5E4ED2BD" w:rsidR="00DD505D" w:rsidRPr="00A55335" w:rsidRDefault="00DD505D" w:rsidP="00DD505D">
      <w:pPr>
        <w:pStyle w:val="BodyText"/>
      </w:pPr>
      <w:r w:rsidRPr="00A55335">
        <w:t xml:space="preserve">Two studies were </w:t>
      </w:r>
      <w:r w:rsidR="000F01E5" w:rsidRPr="00A55335">
        <w:t>carried out in</w:t>
      </w:r>
      <w:r w:rsidRPr="00A55335">
        <w:t xml:space="preserve"> outpatient clinics in</w:t>
      </w:r>
      <w:r w:rsidR="00943C4D" w:rsidRPr="00A55335">
        <w:t xml:space="preserve"> </w:t>
      </w:r>
      <w:r w:rsidR="000F01E5" w:rsidRPr="00A55335">
        <w:t xml:space="preserve">either </w:t>
      </w:r>
      <w:r w:rsidRPr="00A55335">
        <w:t xml:space="preserve">Brazil </w:t>
      </w:r>
      <w:r w:rsidR="00747AF3" w:rsidRPr="00A55335">
        <w:t xml:space="preserve">(Furuta 2017) </w:t>
      </w:r>
      <w:r w:rsidR="00943C4D" w:rsidRPr="00A55335">
        <w:t>or</w:t>
      </w:r>
      <w:r w:rsidRPr="00A55335">
        <w:t xml:space="preserve"> </w:t>
      </w:r>
      <w:r w:rsidR="00747AF3" w:rsidRPr="00A55335">
        <w:t xml:space="preserve">the </w:t>
      </w:r>
      <w:r w:rsidRPr="00A55335">
        <w:t>Netherlands</w:t>
      </w:r>
      <w:r w:rsidR="00747AF3" w:rsidRPr="00A55335">
        <w:t xml:space="preserve"> (De Lange de Klerk 1993)</w:t>
      </w:r>
      <w:r w:rsidRPr="00A55335">
        <w:t>. One study was conducted in a community setting in Norway</w:t>
      </w:r>
      <w:r w:rsidR="00747AF3" w:rsidRPr="00A55335">
        <w:t xml:space="preserve"> (</w:t>
      </w:r>
      <w:proofErr w:type="spellStart"/>
      <w:r w:rsidR="00747AF3" w:rsidRPr="00A55335">
        <w:t>Steinsbekk</w:t>
      </w:r>
      <w:proofErr w:type="spellEnd"/>
      <w:r w:rsidR="00747AF3" w:rsidRPr="00A55335">
        <w:t xml:space="preserve"> 2004)</w:t>
      </w:r>
      <w:r w:rsidRPr="00A55335">
        <w:t>, and</w:t>
      </w:r>
      <w:r w:rsidR="00980CA0" w:rsidRPr="00A55335">
        <w:t xml:space="preserve"> one </w:t>
      </w:r>
      <w:r w:rsidRPr="00A55335">
        <w:t xml:space="preserve">multi-centre trial </w:t>
      </w:r>
      <w:r w:rsidR="00747AF3" w:rsidRPr="00A55335">
        <w:t xml:space="preserve">was </w:t>
      </w:r>
      <w:r w:rsidRPr="00A55335">
        <w:t>conducted in private practices or medical institutions in locations across Germany, Spain and the Ukraine</w:t>
      </w:r>
      <w:r w:rsidR="00747AF3" w:rsidRPr="00A55335">
        <w:t xml:space="preserve"> (Palm 2017)</w:t>
      </w:r>
      <w:r w:rsidRPr="00A55335">
        <w:t xml:space="preserve">. </w:t>
      </w:r>
    </w:p>
    <w:p w14:paraId="0C3A26D0" w14:textId="2A763111" w:rsidR="00DD505D" w:rsidRPr="00A55335" w:rsidRDefault="00DD505D" w:rsidP="00DD505D">
      <w:pPr>
        <w:pStyle w:val="BodyText"/>
      </w:pPr>
      <w:r w:rsidRPr="00A55335">
        <w:t>Two studies (De Lange de Klerk 1993</w:t>
      </w:r>
      <w:r w:rsidR="00F50208" w:rsidRPr="00A55335">
        <w:t xml:space="preserve">, </w:t>
      </w:r>
      <w:proofErr w:type="spellStart"/>
      <w:r w:rsidRPr="00A55335">
        <w:t>Steinsbekk</w:t>
      </w:r>
      <w:proofErr w:type="spellEnd"/>
      <w:r w:rsidRPr="00A55335">
        <w:t xml:space="preserve"> 2004) </w:t>
      </w:r>
      <w:r w:rsidR="004107AA" w:rsidRPr="00A55335">
        <w:t xml:space="preserve">enrolled </w:t>
      </w:r>
      <w:r w:rsidRPr="00A55335">
        <w:t xml:space="preserve">children with </w:t>
      </w:r>
      <w:r w:rsidR="00747AF3" w:rsidRPr="00A55335">
        <w:t>URTIs</w:t>
      </w:r>
      <w:r w:rsidRPr="00A55335">
        <w:t xml:space="preserve">, with sample sizes ranging from 170 to 420 </w:t>
      </w:r>
      <w:r w:rsidR="004107AA" w:rsidRPr="00A55335">
        <w:t>participants</w:t>
      </w:r>
      <w:r w:rsidRPr="00A55335">
        <w:t xml:space="preserve">. One study (Furuta 2017) </w:t>
      </w:r>
      <w:r w:rsidR="004107AA" w:rsidRPr="00A55335">
        <w:t xml:space="preserve">enrolled </w:t>
      </w:r>
      <w:r w:rsidRPr="00A55335">
        <w:t>children with recurrent tonsillitis</w:t>
      </w:r>
      <w:r w:rsidR="00092834" w:rsidRPr="00A55335">
        <w:t xml:space="preserve"> who had been scheduled for tonsillectomy</w:t>
      </w:r>
      <w:r w:rsidRPr="00A55335">
        <w:t xml:space="preserve"> (40</w:t>
      </w:r>
      <w:r w:rsidR="004107AA" w:rsidRPr="00A55335">
        <w:t xml:space="preserve"> participants</w:t>
      </w:r>
      <w:r w:rsidRPr="00A55335">
        <w:t>) and</w:t>
      </w:r>
      <w:r w:rsidR="00980CA0" w:rsidRPr="00A55335">
        <w:t xml:space="preserve"> one </w:t>
      </w:r>
      <w:r w:rsidRPr="00A55335">
        <w:t xml:space="preserve">study (Palm 2017) </w:t>
      </w:r>
      <w:r w:rsidR="004107AA" w:rsidRPr="00A55335">
        <w:t xml:space="preserve">enrolled </w:t>
      </w:r>
      <w:r w:rsidRPr="00A55335">
        <w:t>children and adults with recurrent tonsillitis (256</w:t>
      </w:r>
      <w:r w:rsidR="004107AA" w:rsidRPr="00A55335">
        <w:t xml:space="preserve"> participants</w:t>
      </w:r>
      <w:r w:rsidRPr="00A55335">
        <w:t xml:space="preserve">). </w:t>
      </w:r>
    </w:p>
    <w:p w14:paraId="2DEFBD99" w14:textId="6B85BED2" w:rsidR="00DD505D" w:rsidRPr="00A55335" w:rsidRDefault="00DD505D" w:rsidP="002456F7">
      <w:pPr>
        <w:pStyle w:val="BodyText"/>
      </w:pPr>
      <w:r w:rsidRPr="00A55335">
        <w:t xml:space="preserve">Two studies </w:t>
      </w:r>
      <w:r w:rsidR="00932A71" w:rsidRPr="00A55335">
        <w:t>(</w:t>
      </w:r>
      <w:r w:rsidR="00884B02" w:rsidRPr="00A55335">
        <w:t xml:space="preserve">De Lange de Klerk 1993, </w:t>
      </w:r>
      <w:r w:rsidR="00932A71" w:rsidRPr="00A55335">
        <w:t xml:space="preserve">Furuta 2017) </w:t>
      </w:r>
      <w:r w:rsidRPr="00A55335">
        <w:t xml:space="preserve">compared individualised homeopathy with placebo. In both studies, </w:t>
      </w:r>
      <w:r w:rsidR="00BB7764" w:rsidRPr="00A55335">
        <w:t xml:space="preserve">all </w:t>
      </w:r>
      <w:r w:rsidR="004107AA" w:rsidRPr="00A55335">
        <w:t>participants</w:t>
      </w:r>
      <w:r w:rsidRPr="00A55335">
        <w:t xml:space="preserve"> received consultations with a homeopath. Participants in the homeopathy treatment group were prescribed individualised treatments and those in the placebo group received identical placebo. </w:t>
      </w:r>
      <w:r w:rsidR="00884B02" w:rsidRPr="00A55335">
        <w:t>Participants in one study (Futura 2017) also received non-individualised</w:t>
      </w:r>
      <w:r w:rsidR="00B01296" w:rsidRPr="00A55335">
        <w:t xml:space="preserve"> homeopathic products. </w:t>
      </w:r>
      <w:r w:rsidRPr="00A55335">
        <w:t xml:space="preserve">Both studies had co-interventions consisting of conventional treatment </w:t>
      </w:r>
      <w:r w:rsidR="00BB7764" w:rsidRPr="00A55335">
        <w:t>(</w:t>
      </w:r>
      <w:r w:rsidRPr="00A55335">
        <w:t>De Lange de Klerk 199</w:t>
      </w:r>
      <w:r w:rsidR="00BB7764" w:rsidRPr="00A55335">
        <w:t xml:space="preserve">) or </w:t>
      </w:r>
      <w:r w:rsidRPr="00A55335">
        <w:t xml:space="preserve">treatment with antimicrobial agents </w:t>
      </w:r>
      <w:r w:rsidR="00BB7764" w:rsidRPr="00A55335">
        <w:t>(</w:t>
      </w:r>
      <w:r w:rsidRPr="00A55335">
        <w:t>Furuta 2017</w:t>
      </w:r>
      <w:r w:rsidR="00BB7764" w:rsidRPr="00A55335">
        <w:t>)</w:t>
      </w:r>
      <w:r w:rsidRPr="00A55335">
        <w:t xml:space="preserve">. </w:t>
      </w:r>
    </w:p>
    <w:p w14:paraId="61496DB9" w14:textId="35530D57" w:rsidR="00DD505D" w:rsidRPr="00A55335" w:rsidRDefault="00DD505D" w:rsidP="002456F7">
      <w:pPr>
        <w:pStyle w:val="BodyText"/>
      </w:pPr>
      <w:r w:rsidRPr="00A55335">
        <w:lastRenderedPageBreak/>
        <w:t xml:space="preserve">One study (Palm 2017) compared non-individualised homeopathy with an inactive control (no intervention). Participants in the homeopathy treatment group received the oral treatment </w:t>
      </w:r>
      <w:proofErr w:type="spellStart"/>
      <w:r w:rsidRPr="00A55335">
        <w:t>SilAtro</w:t>
      </w:r>
      <w:proofErr w:type="spellEnd"/>
      <w:r w:rsidRPr="00A55335">
        <w:t xml:space="preserve"> 5-90, taken in 3 treatment periods of 8 weeks each, over the course of a year. Participants in the inactive control group received no intervention, and </w:t>
      </w:r>
      <w:r w:rsidR="001A7FB0" w:rsidRPr="00A55335">
        <w:t xml:space="preserve">participants in </w:t>
      </w:r>
      <w:r w:rsidRPr="00A55335">
        <w:t xml:space="preserve">both groups received standard care, which consisted of local antiseptics, </w:t>
      </w:r>
      <w:r w:rsidR="0090765C">
        <w:t xml:space="preserve">local </w:t>
      </w:r>
      <w:r w:rsidRPr="00A55335">
        <w:t>anaesthetics</w:t>
      </w:r>
      <w:r w:rsidR="0090765C">
        <w:t xml:space="preserve"> (throat lozenges)</w:t>
      </w:r>
      <w:r w:rsidRPr="00A55335">
        <w:t xml:space="preserve"> and antibiotics as needed.</w:t>
      </w:r>
    </w:p>
    <w:p w14:paraId="59033590" w14:textId="0F00097E" w:rsidR="00DD505D" w:rsidRPr="00A55335" w:rsidRDefault="00B66331" w:rsidP="002456F7">
      <w:pPr>
        <w:pStyle w:val="BodyText"/>
      </w:pPr>
      <w:r w:rsidRPr="00BD1A50">
        <w:t>One study (</w:t>
      </w:r>
      <w:proofErr w:type="spellStart"/>
      <w:r w:rsidRPr="00BD1A50">
        <w:t>Steinsbekk</w:t>
      </w:r>
      <w:proofErr w:type="spellEnd"/>
      <w:r w:rsidRPr="00BD1A50">
        <w:t xml:space="preserve"> 2004) had 4 treatment groups. </w:t>
      </w:r>
      <w:r w:rsidR="00844718" w:rsidRPr="00A55335">
        <w:t>Group</w:t>
      </w:r>
      <w:r w:rsidR="00980CA0" w:rsidRPr="00A55335">
        <w:t xml:space="preserve"> </w:t>
      </w:r>
      <w:r w:rsidR="00CE5CE4" w:rsidRPr="00A55335">
        <w:t xml:space="preserve">one </w:t>
      </w:r>
      <w:r w:rsidR="00306A03" w:rsidRPr="00A55335">
        <w:t>w</w:t>
      </w:r>
      <w:r w:rsidR="00835AFF" w:rsidRPr="00A55335">
        <w:t>as</w:t>
      </w:r>
      <w:r w:rsidR="00306A03" w:rsidRPr="00A55335">
        <w:t xml:space="preserve"> assigned to a waitlist </w:t>
      </w:r>
      <w:r w:rsidR="00DD505D" w:rsidRPr="00A55335">
        <w:t xml:space="preserve">control (no intervention), </w:t>
      </w:r>
      <w:r w:rsidR="00CE5CE4" w:rsidRPr="00A55335">
        <w:t>group</w:t>
      </w:r>
      <w:r w:rsidR="00DD505D" w:rsidRPr="00A55335">
        <w:t xml:space="preserve"> 2 </w:t>
      </w:r>
      <w:r w:rsidR="00CE5CE4" w:rsidRPr="00A55335">
        <w:t>received</w:t>
      </w:r>
      <w:r w:rsidR="00DD505D" w:rsidRPr="00A55335">
        <w:t xml:space="preserve"> an individualised homeopathic treatment prescribed by a homeopath, </w:t>
      </w:r>
      <w:r w:rsidR="00CE5CE4" w:rsidRPr="00A55335">
        <w:t>group</w:t>
      </w:r>
      <w:r w:rsidR="00DD505D" w:rsidRPr="00A55335">
        <w:t xml:space="preserve"> 3 </w:t>
      </w:r>
      <w:r w:rsidR="00CE5CE4" w:rsidRPr="00A55335">
        <w:t xml:space="preserve">received </w:t>
      </w:r>
      <w:r w:rsidR="00DD505D" w:rsidRPr="00A55335">
        <w:t>an individualised homeopathic treatment that was self-prescribed by participants</w:t>
      </w:r>
      <w:r w:rsidR="00573C6D" w:rsidRPr="00A55335">
        <w:t xml:space="preserve"> (parent-selected)</w:t>
      </w:r>
      <w:r w:rsidR="00DD505D" w:rsidRPr="00A55335">
        <w:t xml:space="preserve">, and </w:t>
      </w:r>
      <w:r w:rsidR="00CE5CE4" w:rsidRPr="00A55335">
        <w:t>group</w:t>
      </w:r>
      <w:r w:rsidR="00DD505D" w:rsidRPr="00A55335">
        <w:t xml:space="preserve"> 4 </w:t>
      </w:r>
      <w:r w:rsidR="005E277A" w:rsidRPr="00A55335">
        <w:t>received a</w:t>
      </w:r>
      <w:r w:rsidR="00DD505D" w:rsidRPr="00A55335">
        <w:t xml:space="preserve"> placebo</w:t>
      </w:r>
      <w:r w:rsidR="00946040" w:rsidRPr="00A55335">
        <w:rPr>
          <w:rStyle w:val="FootnoteReference"/>
        </w:rPr>
        <w:footnoteReference w:id="11"/>
      </w:r>
      <w:r w:rsidR="00DD505D" w:rsidRPr="00A55335">
        <w:t xml:space="preserve">. A co-intervention that allowed all participants access to medications other than homeopathic treatments was implemented. </w:t>
      </w:r>
    </w:p>
    <w:p w14:paraId="6B2AA99B" w14:textId="2A2C54EB" w:rsidR="00DD505D" w:rsidRPr="00A55335" w:rsidRDefault="007A5EA5" w:rsidP="00DD505D">
      <w:pPr>
        <w:pStyle w:val="BodyText"/>
      </w:pPr>
      <w:r w:rsidRPr="00A55335">
        <w:t xml:space="preserve">Results for </w:t>
      </w:r>
      <w:r w:rsidR="00E0730F" w:rsidRPr="00A55335">
        <w:t>the P</w:t>
      </w:r>
      <w:r w:rsidR="006070ED" w:rsidRPr="00A55335">
        <w:t xml:space="preserve">rimary </w:t>
      </w:r>
      <w:r w:rsidR="00E0730F" w:rsidRPr="00A55335">
        <w:t>C</w:t>
      </w:r>
      <w:r w:rsidR="006070ED" w:rsidRPr="00A55335">
        <w:t>omparison</w:t>
      </w:r>
      <w:r w:rsidR="00F73318" w:rsidRPr="00A55335">
        <w:t xml:space="preserve">: </w:t>
      </w:r>
      <w:r w:rsidR="00E0730F" w:rsidRPr="00A55335">
        <w:t>h</w:t>
      </w:r>
      <w:r w:rsidR="00F73318" w:rsidRPr="00A55335">
        <w:t xml:space="preserve">omeopathy </w:t>
      </w:r>
      <w:r w:rsidR="001B33CB" w:rsidRPr="00A55335">
        <w:t xml:space="preserve">versus placebo and </w:t>
      </w:r>
      <w:r w:rsidR="00E0730F" w:rsidRPr="00A55335">
        <w:t>the S</w:t>
      </w:r>
      <w:r w:rsidR="006070ED" w:rsidRPr="00A55335">
        <w:t xml:space="preserve">econdary </w:t>
      </w:r>
      <w:r w:rsidR="00E0730F" w:rsidRPr="00A55335">
        <w:t>C</w:t>
      </w:r>
      <w:r w:rsidR="006070ED" w:rsidRPr="00A55335">
        <w:t>omparison</w:t>
      </w:r>
      <w:r w:rsidR="00F73318" w:rsidRPr="00A55335">
        <w:t xml:space="preserve">: </w:t>
      </w:r>
      <w:r w:rsidR="00E0730F" w:rsidRPr="00A55335">
        <w:t>h</w:t>
      </w:r>
      <w:r w:rsidR="00F73318" w:rsidRPr="00A55335">
        <w:t xml:space="preserve">omeopathy </w:t>
      </w:r>
      <w:r w:rsidR="00613907" w:rsidRPr="00A55335">
        <w:t xml:space="preserve">versus inactive control (no intervention, waitlist or usual care) </w:t>
      </w:r>
      <w:r w:rsidRPr="00A55335">
        <w:t>are provided in the Summary of Findings table</w:t>
      </w:r>
      <w:r w:rsidR="00613907" w:rsidRPr="00A55335">
        <w:t>s</w:t>
      </w:r>
      <w:r w:rsidRPr="00A55335">
        <w:t xml:space="preserve"> </w:t>
      </w:r>
      <w:r w:rsidR="00DD505D" w:rsidRPr="00A55335">
        <w:t>(see</w:t>
      </w:r>
      <w:r w:rsidRPr="00A55335">
        <w:t xml:space="preserve"> </w:t>
      </w:r>
      <w:r w:rsidR="00613907" w:rsidRPr="00A55335">
        <w:t xml:space="preserve">Section </w:t>
      </w:r>
      <w:r w:rsidR="00613907" w:rsidRPr="00A55335">
        <w:fldChar w:fldCharType="begin"/>
      </w:r>
      <w:r w:rsidR="00613907" w:rsidRPr="00A55335">
        <w:instrText xml:space="preserve"> REF _Ref151814602 \r \h </w:instrText>
      </w:r>
      <w:r w:rsidR="00613907" w:rsidRPr="00A55335">
        <w:fldChar w:fldCharType="separate"/>
      </w:r>
      <w:r w:rsidR="00814B04">
        <w:t>4.4.4</w:t>
      </w:r>
      <w:r w:rsidR="00613907" w:rsidRPr="00A55335">
        <w:fldChar w:fldCharType="end"/>
      </w:r>
      <w:r w:rsidR="00E06F5A" w:rsidRPr="00A55335">
        <w:t xml:space="preserve">). </w:t>
      </w:r>
      <w:r w:rsidR="000B6BA0" w:rsidRPr="00A55335">
        <w:t xml:space="preserve">There were no studies found for </w:t>
      </w:r>
      <w:r w:rsidR="00E0730F" w:rsidRPr="00A55335">
        <w:t>the T</w:t>
      </w:r>
      <w:r w:rsidR="000B6BA0" w:rsidRPr="00A55335">
        <w:t xml:space="preserve">ertiary </w:t>
      </w:r>
      <w:r w:rsidR="00E0730F" w:rsidRPr="00A55335">
        <w:t>C</w:t>
      </w:r>
      <w:r w:rsidR="000B6BA0" w:rsidRPr="00A55335">
        <w:t xml:space="preserve">omparison: </w:t>
      </w:r>
      <w:r w:rsidR="00DD505D" w:rsidRPr="00A55335">
        <w:t xml:space="preserve">homeopathy </w:t>
      </w:r>
      <w:r w:rsidR="000B6BA0" w:rsidRPr="00A55335">
        <w:t xml:space="preserve">versus </w:t>
      </w:r>
      <w:r w:rsidR="00DD505D" w:rsidRPr="00A55335">
        <w:t>another comparator.</w:t>
      </w:r>
    </w:p>
    <w:p w14:paraId="7EABC357" w14:textId="3B8094B0" w:rsidR="00D92AC6" w:rsidRPr="00A55335" w:rsidRDefault="00D92AC6" w:rsidP="00DD505D">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5EB98669" w14:textId="318EF6A9" w:rsidR="00DD505D" w:rsidRPr="00A55335" w:rsidRDefault="00DD505D" w:rsidP="004D433B">
      <w:pPr>
        <w:pStyle w:val="Heading3"/>
      </w:pPr>
      <w:bookmarkStart w:id="130" w:name="_Toc183441318"/>
      <w:r w:rsidRPr="00A55335">
        <w:t>Risk of bias</w:t>
      </w:r>
      <w:r w:rsidR="00E0753B">
        <w:t xml:space="preserve"> </w:t>
      </w:r>
      <w:r w:rsidR="00F6589C">
        <w:t>–</w:t>
      </w:r>
      <w:r w:rsidRPr="00A55335">
        <w:t xml:space="preserve"> summary assessment across studies</w:t>
      </w:r>
      <w:bookmarkEnd w:id="130"/>
      <w:r w:rsidRPr="00A55335">
        <w:t xml:space="preserve"> </w:t>
      </w:r>
    </w:p>
    <w:p w14:paraId="13540909" w14:textId="1687729D" w:rsidR="007863ED" w:rsidRPr="00A55335" w:rsidRDefault="007D007D" w:rsidP="00E24F84">
      <w:pPr>
        <w:pStyle w:val="BodyText"/>
      </w:pPr>
      <w:r w:rsidRPr="00A55335">
        <w:t xml:space="preserve">The risk of bias for each item in the </w:t>
      </w:r>
      <w:r w:rsidR="00F56A75" w:rsidRPr="00A55335">
        <w:t xml:space="preserve">included </w:t>
      </w:r>
      <w:r w:rsidRPr="00A55335">
        <w:t xml:space="preserve">RCTs for recurrent upper respiratory tract infections is summarised in </w:t>
      </w:r>
      <w:r w:rsidRPr="00A55335">
        <w:fldChar w:fldCharType="begin"/>
      </w:r>
      <w:r w:rsidRPr="00A55335">
        <w:instrText xml:space="preserve"> REF _Ref151893035 \h </w:instrText>
      </w:r>
      <w:r w:rsidRPr="00A55335">
        <w:fldChar w:fldCharType="separate"/>
      </w:r>
      <w:r w:rsidR="00814B04" w:rsidRPr="00A55335">
        <w:t xml:space="preserve">Figure </w:t>
      </w:r>
      <w:r w:rsidR="00814B04">
        <w:rPr>
          <w:noProof/>
        </w:rPr>
        <w:t>13</w:t>
      </w:r>
      <w:r w:rsidRPr="00A55335">
        <w:fldChar w:fldCharType="end"/>
      </w:r>
      <w:r w:rsidRPr="00A55335">
        <w:t>.</w:t>
      </w:r>
      <w:r w:rsidR="00E24F84" w:rsidRPr="00A55335">
        <w:t xml:space="preserve"> Details are provided in Appendix D1.4.2.</w:t>
      </w:r>
      <w:r w:rsidR="005E277A" w:rsidRPr="00A55335">
        <w:t xml:space="preserve"> </w:t>
      </w:r>
      <w:r w:rsidR="007863ED" w:rsidRPr="00A55335">
        <w:t xml:space="preserve">No studies were judged to be at overall low risk of bias. </w:t>
      </w:r>
    </w:p>
    <w:p w14:paraId="0E664197" w14:textId="40E652B4" w:rsidR="00DD505D" w:rsidRPr="00A55335" w:rsidRDefault="00DD505D" w:rsidP="00DD505D">
      <w:pPr>
        <w:pStyle w:val="Caption"/>
      </w:pPr>
      <w:bookmarkStart w:id="131" w:name="_Ref151893035"/>
      <w:bookmarkStart w:id="132" w:name="_Toc183520286"/>
      <w:r w:rsidRPr="00A55335">
        <w:t xml:space="preserve">Figure </w:t>
      </w:r>
      <w:r w:rsidRPr="00A55335">
        <w:fldChar w:fldCharType="begin"/>
      </w:r>
      <w:r w:rsidRPr="00A55335">
        <w:instrText xml:space="preserve"> SEQ Figure \* ARABIC </w:instrText>
      </w:r>
      <w:r w:rsidRPr="00A55335">
        <w:fldChar w:fldCharType="separate"/>
      </w:r>
      <w:r w:rsidR="00814B04">
        <w:rPr>
          <w:noProof/>
        </w:rPr>
        <w:t>13</w:t>
      </w:r>
      <w:r w:rsidRPr="00A55335">
        <w:fldChar w:fldCharType="end"/>
      </w:r>
      <w:bookmarkEnd w:id="131"/>
      <w:r w:rsidR="00E06F5A" w:rsidRPr="00A55335">
        <w:tab/>
      </w:r>
      <w:r w:rsidRPr="00A55335">
        <w:t xml:space="preserve"> </w:t>
      </w:r>
      <w:r w:rsidR="00672E41" w:rsidRPr="009876E6">
        <w:t xml:space="preserve">Risk of bias summary: </w:t>
      </w:r>
      <w:r w:rsidRPr="00A55335">
        <w:t xml:space="preserve">review authors' judgement about each risk of bias item for each included study: </w:t>
      </w:r>
      <w:r w:rsidR="00E92691" w:rsidRPr="00A55335">
        <w:t>R</w:t>
      </w:r>
      <w:r w:rsidRPr="00A55335">
        <w:t>ecurrent upper respiratory tract infections</w:t>
      </w:r>
      <w:bookmarkEnd w:id="132"/>
    </w:p>
    <w:p w14:paraId="0B43057E" w14:textId="106FB18B" w:rsidR="00C373A2" w:rsidRPr="00A55335" w:rsidRDefault="00C373A2" w:rsidP="00C373A2">
      <w:pPr>
        <w:pStyle w:val="Pic"/>
      </w:pPr>
      <w:r w:rsidRPr="00A55335">
        <w:rPr>
          <w:noProof/>
        </w:rPr>
        <w:drawing>
          <wp:inline distT="0" distB="0" distL="0" distR="0" wp14:anchorId="27FAE6A8" wp14:editId="21EE4A2E">
            <wp:extent cx="4688959" cy="2373335"/>
            <wp:effectExtent l="0" t="0" r="0" b="8255"/>
            <wp:docPr id="744506188" name="Picture 744506188" descr="A chart with red green and yellow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506188" name="Picture 744506188" descr="A chart with red green and yellow circle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20865" cy="2389484"/>
                    </a:xfrm>
                    <a:prstGeom prst="rect">
                      <a:avLst/>
                    </a:prstGeom>
                    <a:noFill/>
                    <a:ln>
                      <a:noFill/>
                    </a:ln>
                  </pic:spPr>
                </pic:pic>
              </a:graphicData>
            </a:graphic>
          </wp:inline>
        </w:drawing>
      </w:r>
    </w:p>
    <w:p w14:paraId="540ADC51" w14:textId="77777777" w:rsidR="00C373A2" w:rsidRPr="00A55335" w:rsidRDefault="00C373A2" w:rsidP="00C373A2">
      <w:pPr>
        <w:pStyle w:val="TableFigNotes18"/>
      </w:pPr>
    </w:p>
    <w:p w14:paraId="72736908" w14:textId="77777777" w:rsidR="00DD505D" w:rsidRPr="00A55335" w:rsidRDefault="00DD505D" w:rsidP="004D433B">
      <w:pPr>
        <w:pStyle w:val="Heading3"/>
      </w:pPr>
      <w:bookmarkStart w:id="133" w:name="_Ref151814602"/>
      <w:bookmarkStart w:id="134" w:name="_Toc183441319"/>
      <w:r w:rsidRPr="00A55335">
        <w:lastRenderedPageBreak/>
        <w:t>Summary of findings and evidence statements</w:t>
      </w:r>
      <w:bookmarkEnd w:id="133"/>
      <w:bookmarkEnd w:id="134"/>
    </w:p>
    <w:p w14:paraId="3FD3466F" w14:textId="6A5A3515" w:rsidR="00980CA0" w:rsidRPr="00A55335" w:rsidRDefault="006070ED" w:rsidP="00980CA0">
      <w:pPr>
        <w:pStyle w:val="Heading4"/>
      </w:pPr>
      <w:bookmarkStart w:id="135" w:name="_Ref151814501"/>
      <w:r w:rsidRPr="00A55335">
        <w:t>Primary Comparison</w:t>
      </w:r>
      <w:r w:rsidR="00980CA0" w:rsidRPr="00A55335">
        <w:t xml:space="preserve"> (vs placebo)</w:t>
      </w:r>
      <w:bookmarkEnd w:id="135"/>
      <w:r w:rsidR="00980CA0" w:rsidRPr="00A55335">
        <w:t xml:space="preserve"> </w:t>
      </w:r>
    </w:p>
    <w:tbl>
      <w:tblPr>
        <w:tblW w:w="5000" w:type="pct"/>
        <w:tblLayout w:type="fixed"/>
        <w:tblCellMar>
          <w:top w:w="60" w:type="dxa"/>
          <w:left w:w="60" w:type="dxa"/>
          <w:bottom w:w="60" w:type="dxa"/>
          <w:right w:w="60" w:type="dxa"/>
        </w:tblCellMar>
        <w:tblLook w:val="04A0" w:firstRow="1" w:lastRow="0" w:firstColumn="1" w:lastColumn="0" w:noHBand="0" w:noVBand="1"/>
      </w:tblPr>
      <w:tblGrid>
        <w:gridCol w:w="1844"/>
        <w:gridCol w:w="1347"/>
        <w:gridCol w:w="1487"/>
        <w:gridCol w:w="994"/>
        <w:gridCol w:w="1134"/>
        <w:gridCol w:w="1132"/>
        <w:gridCol w:w="1807"/>
      </w:tblGrid>
      <w:tr w:rsidR="007608C3" w:rsidRPr="00A55335" w14:paraId="22437E3B" w14:textId="77777777" w:rsidTr="00EE7BF3">
        <w:trPr>
          <w:cantSplit/>
          <w:tblHeader/>
        </w:trPr>
        <w:tc>
          <w:tcPr>
            <w:tcW w:w="5000" w:type="pct"/>
            <w:gridSpan w:val="7"/>
            <w:tcBorders>
              <w:top w:val="single" w:sz="12" w:space="0" w:color="auto"/>
              <w:bottom w:val="single" w:sz="12" w:space="0" w:color="auto"/>
            </w:tcBorders>
            <w:shd w:val="clear" w:color="auto" w:fill="auto"/>
            <w:vAlign w:val="bottom"/>
          </w:tcPr>
          <w:p w14:paraId="7FB6C8D5" w14:textId="7656AC1B" w:rsidR="007608C3" w:rsidRPr="00A55335" w:rsidRDefault="007608C3" w:rsidP="00980CA0">
            <w:pPr>
              <w:pStyle w:val="TableH1"/>
              <w:rPr>
                <w:color w:val="FFFFFF" w:themeColor="background2"/>
                <w:lang w:val="en-AU"/>
              </w:rPr>
            </w:pPr>
            <w:r w:rsidRPr="00A55335">
              <w:rPr>
                <w:lang w:val="en-AU"/>
              </w:rPr>
              <w:t xml:space="preserve">Homeopathy compared to placebo for </w:t>
            </w:r>
            <w:r w:rsidR="002014D7" w:rsidRPr="00A55335">
              <w:rPr>
                <w:lang w:val="en-AU"/>
              </w:rPr>
              <w:t>R</w:t>
            </w:r>
            <w:r w:rsidRPr="00A55335">
              <w:rPr>
                <w:lang w:val="en-AU"/>
              </w:rPr>
              <w:t>ecurrent upper respiratory tract infection</w:t>
            </w:r>
            <w:r w:rsidR="007D007D" w:rsidRPr="00A55335">
              <w:rPr>
                <w:lang w:val="en-AU"/>
              </w:rPr>
              <w:t>s</w:t>
            </w:r>
          </w:p>
        </w:tc>
      </w:tr>
      <w:tr w:rsidR="007608C3" w:rsidRPr="00A55335" w14:paraId="0C36E3B3" w14:textId="77777777" w:rsidTr="00EE7BF3">
        <w:trPr>
          <w:cantSplit/>
          <w:tblHeader/>
        </w:trPr>
        <w:tc>
          <w:tcPr>
            <w:tcW w:w="5000" w:type="pct"/>
            <w:gridSpan w:val="7"/>
            <w:tcBorders>
              <w:top w:val="single" w:sz="12" w:space="0" w:color="auto"/>
              <w:bottom w:val="single" w:sz="12" w:space="0" w:color="auto"/>
            </w:tcBorders>
            <w:shd w:val="clear" w:color="auto" w:fill="auto"/>
            <w:vAlign w:val="bottom"/>
          </w:tcPr>
          <w:p w14:paraId="6BB2F855" w14:textId="32CA3B4E" w:rsidR="00FD3861" w:rsidRPr="00A55335" w:rsidRDefault="00FD3861" w:rsidP="00C71E87">
            <w:pPr>
              <w:pStyle w:val="Tabletext9pt"/>
              <w:rPr>
                <w:rStyle w:val="Strong"/>
              </w:rPr>
            </w:pPr>
            <w:r w:rsidRPr="00A55335">
              <w:rPr>
                <w:rStyle w:val="Strong"/>
              </w:rPr>
              <w:t xml:space="preserve">Patient or population: </w:t>
            </w:r>
            <w:r w:rsidRPr="00A55335">
              <w:t>Recurrent upper respiratory tract infection</w:t>
            </w:r>
            <w:r w:rsidR="007D007D" w:rsidRPr="00A55335">
              <w:t>s</w:t>
            </w:r>
            <w:r w:rsidR="00613907" w:rsidRPr="00A55335">
              <w:t xml:space="preserve"> (URTI</w:t>
            </w:r>
            <w:r w:rsidRPr="00A55335">
              <w:t>)</w:t>
            </w:r>
          </w:p>
          <w:p w14:paraId="4BEDBA2E" w14:textId="0A360D5E" w:rsidR="00FD3861" w:rsidRPr="00A55335" w:rsidRDefault="00FD3861" w:rsidP="00C71E87">
            <w:pPr>
              <w:pStyle w:val="Tabletext9pt"/>
            </w:pPr>
            <w:r w:rsidRPr="00A55335">
              <w:rPr>
                <w:rStyle w:val="Strong"/>
              </w:rPr>
              <w:t xml:space="preserve">Setting: </w:t>
            </w:r>
            <w:r w:rsidR="00613907" w:rsidRPr="00A55335">
              <w:t>Community, o</w:t>
            </w:r>
            <w:r w:rsidRPr="00A55335">
              <w:t>utpatient clinics</w:t>
            </w:r>
          </w:p>
          <w:p w14:paraId="7A0C66BA" w14:textId="77777777" w:rsidR="00FD3861" w:rsidRPr="00A55335" w:rsidRDefault="00FD3861" w:rsidP="00C71E87">
            <w:pPr>
              <w:pStyle w:val="Tabletext9pt"/>
              <w:rPr>
                <w:rStyle w:val="Strong"/>
              </w:rPr>
            </w:pPr>
            <w:r w:rsidRPr="00A55335">
              <w:rPr>
                <w:rStyle w:val="Strong"/>
              </w:rPr>
              <w:t xml:space="preserve">Intervention: </w:t>
            </w:r>
            <w:r w:rsidRPr="00A55335">
              <w:t>Homeopathy</w:t>
            </w:r>
          </w:p>
          <w:p w14:paraId="39D06EC9" w14:textId="206FE17C" w:rsidR="007608C3" w:rsidRPr="00A55335" w:rsidRDefault="00FD3861" w:rsidP="00C71E87">
            <w:pPr>
              <w:pStyle w:val="Tabletext9pt"/>
              <w:rPr>
                <w:color w:val="FFFFFF" w:themeColor="background2"/>
              </w:rPr>
            </w:pPr>
            <w:r w:rsidRPr="00A55335">
              <w:rPr>
                <w:rStyle w:val="Strong"/>
              </w:rPr>
              <w:t xml:space="preserve">Comparison: </w:t>
            </w:r>
            <w:r w:rsidRPr="00A55335">
              <w:t>Placebo</w:t>
            </w:r>
          </w:p>
        </w:tc>
      </w:tr>
      <w:tr w:rsidR="00EE7BF3" w:rsidRPr="00A55335" w14:paraId="36832D64" w14:textId="77777777" w:rsidTr="00E51DE6">
        <w:trPr>
          <w:cantSplit/>
          <w:tblHeader/>
        </w:trPr>
        <w:tc>
          <w:tcPr>
            <w:tcW w:w="946" w:type="pct"/>
            <w:vMerge w:val="restart"/>
            <w:tcBorders>
              <w:top w:val="single" w:sz="12" w:space="0" w:color="auto"/>
              <w:right w:val="single" w:sz="6" w:space="0" w:color="EFEFEF"/>
            </w:tcBorders>
            <w:shd w:val="clear" w:color="auto" w:fill="006579" w:themeFill="accent2"/>
            <w:vAlign w:val="bottom"/>
            <w:hideMark/>
          </w:tcPr>
          <w:p w14:paraId="509147A0" w14:textId="77777777" w:rsidR="00DD505D" w:rsidRPr="00A55335" w:rsidRDefault="00DD505D" w:rsidP="003C48C8">
            <w:pPr>
              <w:pStyle w:val="Tabletext8pt"/>
              <w:rPr>
                <w:rFonts w:eastAsiaTheme="minorEastAsia"/>
                <w:b/>
                <w:bCs/>
                <w:color w:val="F9F9F9" w:themeColor="background1"/>
              </w:rPr>
            </w:pPr>
            <w:r w:rsidRPr="00A55335">
              <w:rPr>
                <w:b/>
                <w:bCs/>
                <w:color w:val="F9F9F9" w:themeColor="background1"/>
              </w:rPr>
              <w:t>Outcomes</w:t>
            </w:r>
          </w:p>
        </w:tc>
        <w:tc>
          <w:tcPr>
            <w:tcW w:w="1454" w:type="pct"/>
            <w:gridSpan w:val="2"/>
            <w:tcBorders>
              <w:top w:val="single" w:sz="12" w:space="0" w:color="auto"/>
              <w:right w:val="single" w:sz="6" w:space="0" w:color="EFEFEF"/>
            </w:tcBorders>
            <w:shd w:val="clear" w:color="auto" w:fill="E0E0E0"/>
            <w:vAlign w:val="bottom"/>
            <w:hideMark/>
          </w:tcPr>
          <w:p w14:paraId="7075A3E8" w14:textId="77777777" w:rsidR="00DD505D" w:rsidRPr="00A55335" w:rsidRDefault="00DD505D" w:rsidP="00046987">
            <w:pPr>
              <w:pStyle w:val="Tabletext8pt"/>
              <w:rPr>
                <w:b/>
                <w:color w:val="auto"/>
              </w:rPr>
            </w:pPr>
            <w:r w:rsidRPr="00A55335">
              <w:rPr>
                <w:rStyle w:val="Strong"/>
              </w:rPr>
              <w:t>Anticipated absolute effects* (95% CI)</w:t>
            </w:r>
          </w:p>
        </w:tc>
        <w:tc>
          <w:tcPr>
            <w:tcW w:w="510" w:type="pct"/>
            <w:vMerge w:val="restart"/>
            <w:tcBorders>
              <w:top w:val="single" w:sz="12" w:space="0" w:color="auto"/>
              <w:right w:val="single" w:sz="6" w:space="0" w:color="EFEFEF"/>
            </w:tcBorders>
            <w:shd w:val="clear" w:color="auto" w:fill="006579" w:themeFill="accent2"/>
            <w:vAlign w:val="bottom"/>
            <w:hideMark/>
          </w:tcPr>
          <w:p w14:paraId="6C1DF2DD" w14:textId="77777777" w:rsidR="00DD505D" w:rsidRPr="00A55335" w:rsidRDefault="00DD505D" w:rsidP="00027DB9">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2" w:type="pct"/>
            <w:vMerge w:val="restart"/>
            <w:tcBorders>
              <w:top w:val="single" w:sz="12" w:space="0" w:color="auto"/>
              <w:right w:val="single" w:sz="6" w:space="0" w:color="EFEFEF"/>
            </w:tcBorders>
            <w:shd w:val="clear" w:color="auto" w:fill="006579" w:themeFill="accent2"/>
            <w:vAlign w:val="bottom"/>
            <w:hideMark/>
          </w:tcPr>
          <w:p w14:paraId="53FB0497" w14:textId="77777777" w:rsidR="00DD505D" w:rsidRPr="00A55335" w:rsidRDefault="00DD505D" w:rsidP="00027DB9">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1" w:type="pct"/>
            <w:vMerge w:val="restart"/>
            <w:tcBorders>
              <w:top w:val="single" w:sz="12" w:space="0" w:color="auto"/>
              <w:right w:val="single" w:sz="6" w:space="0" w:color="EFEFEF"/>
            </w:tcBorders>
            <w:shd w:val="clear" w:color="auto" w:fill="006579" w:themeFill="accent2"/>
            <w:vAlign w:val="bottom"/>
            <w:hideMark/>
          </w:tcPr>
          <w:p w14:paraId="5FEBFBE1" w14:textId="77777777" w:rsidR="00DD505D" w:rsidRPr="00A55335" w:rsidRDefault="00DD505D" w:rsidP="00027DB9">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927" w:type="pct"/>
            <w:vMerge w:val="restart"/>
            <w:tcBorders>
              <w:top w:val="single" w:sz="12" w:space="0" w:color="auto"/>
              <w:right w:val="single" w:sz="6" w:space="0" w:color="EFEFEF"/>
            </w:tcBorders>
            <w:shd w:val="clear" w:color="auto" w:fill="006579" w:themeFill="accent2"/>
            <w:vAlign w:val="bottom"/>
            <w:hideMark/>
          </w:tcPr>
          <w:p w14:paraId="7B2ADD92" w14:textId="22C363F8" w:rsidR="00DD505D" w:rsidRPr="00A55335" w:rsidRDefault="00F37DAB" w:rsidP="003C48C8">
            <w:pPr>
              <w:pStyle w:val="Tabletext8pt"/>
              <w:rPr>
                <w:b/>
                <w:bCs/>
                <w:color w:val="F9F9F9" w:themeColor="background1"/>
              </w:rPr>
            </w:pPr>
            <w:r w:rsidRPr="00A55335">
              <w:rPr>
                <w:b/>
                <w:bCs/>
                <w:color w:val="F9F9F9" w:themeColor="background1"/>
              </w:rPr>
              <w:t>Evidence Statement</w:t>
            </w:r>
          </w:p>
        </w:tc>
      </w:tr>
      <w:tr w:rsidR="00EE7BF3" w:rsidRPr="00A55335" w14:paraId="5E0805D9" w14:textId="77777777" w:rsidTr="00E51DE6">
        <w:trPr>
          <w:cantSplit/>
          <w:tblHeader/>
        </w:trPr>
        <w:tc>
          <w:tcPr>
            <w:tcW w:w="946" w:type="pct"/>
            <w:vMerge/>
            <w:tcBorders>
              <w:right w:val="single" w:sz="6" w:space="0" w:color="EFEFEF"/>
            </w:tcBorders>
            <w:shd w:val="clear" w:color="auto" w:fill="006579" w:themeFill="accent2"/>
            <w:vAlign w:val="center"/>
            <w:hideMark/>
          </w:tcPr>
          <w:p w14:paraId="617118D6" w14:textId="77777777" w:rsidR="00DD505D" w:rsidRPr="00A55335" w:rsidRDefault="00DD505D" w:rsidP="00046987">
            <w:pPr>
              <w:pStyle w:val="Tabletext8pt"/>
              <w:rPr>
                <w:rFonts w:eastAsiaTheme="minorEastAsia"/>
              </w:rPr>
            </w:pPr>
          </w:p>
        </w:tc>
        <w:tc>
          <w:tcPr>
            <w:tcW w:w="691" w:type="pct"/>
            <w:tcBorders>
              <w:top w:val="single" w:sz="6" w:space="0" w:color="EFEFEF"/>
              <w:right w:val="single" w:sz="6" w:space="0" w:color="EFEFEF"/>
            </w:tcBorders>
            <w:shd w:val="clear" w:color="auto" w:fill="E0E0E0"/>
            <w:vAlign w:val="bottom"/>
            <w:hideMark/>
          </w:tcPr>
          <w:p w14:paraId="4AD2BCD5" w14:textId="77777777" w:rsidR="00DD505D" w:rsidRPr="00A55335" w:rsidRDefault="00DD505D" w:rsidP="00442534">
            <w:pPr>
              <w:pStyle w:val="Tabletext8pt"/>
              <w:rPr>
                <w:rStyle w:val="Strong"/>
              </w:rPr>
            </w:pPr>
            <w:r w:rsidRPr="00A55335">
              <w:rPr>
                <w:rStyle w:val="Strong"/>
              </w:rPr>
              <w:t>Risk with Placebo</w:t>
            </w:r>
          </w:p>
        </w:tc>
        <w:tc>
          <w:tcPr>
            <w:tcW w:w="763" w:type="pct"/>
            <w:tcBorders>
              <w:top w:val="single" w:sz="6" w:space="0" w:color="EFEFEF"/>
              <w:right w:val="single" w:sz="6" w:space="0" w:color="EFEFEF"/>
            </w:tcBorders>
            <w:shd w:val="clear" w:color="auto" w:fill="E0E0E0"/>
            <w:vAlign w:val="bottom"/>
            <w:hideMark/>
          </w:tcPr>
          <w:p w14:paraId="11A31139" w14:textId="77777777" w:rsidR="00DD505D" w:rsidRPr="00A55335" w:rsidRDefault="00DD505D" w:rsidP="00442534">
            <w:pPr>
              <w:pStyle w:val="Tabletext8pt"/>
              <w:rPr>
                <w:rStyle w:val="Strong"/>
              </w:rPr>
            </w:pPr>
            <w:r w:rsidRPr="00A55335">
              <w:rPr>
                <w:rStyle w:val="Strong"/>
              </w:rPr>
              <w:t>Risk with Homeopathy</w:t>
            </w:r>
          </w:p>
        </w:tc>
        <w:tc>
          <w:tcPr>
            <w:tcW w:w="510" w:type="pct"/>
            <w:vMerge/>
            <w:tcBorders>
              <w:right w:val="single" w:sz="6" w:space="0" w:color="EFEFEF"/>
            </w:tcBorders>
            <w:shd w:val="clear" w:color="auto" w:fill="006579" w:themeFill="accent2"/>
            <w:vAlign w:val="center"/>
            <w:hideMark/>
          </w:tcPr>
          <w:p w14:paraId="37D86304" w14:textId="77777777" w:rsidR="00DD505D" w:rsidRPr="00A55335" w:rsidRDefault="00DD505D" w:rsidP="00046987">
            <w:pPr>
              <w:pStyle w:val="Tabletext8pt"/>
              <w:rPr>
                <w:rFonts w:eastAsiaTheme="minorEastAsia"/>
              </w:rPr>
            </w:pPr>
          </w:p>
        </w:tc>
        <w:tc>
          <w:tcPr>
            <w:tcW w:w="582" w:type="pct"/>
            <w:vMerge/>
            <w:tcBorders>
              <w:right w:val="single" w:sz="6" w:space="0" w:color="EFEFEF"/>
            </w:tcBorders>
            <w:shd w:val="clear" w:color="auto" w:fill="006579" w:themeFill="accent2"/>
            <w:vAlign w:val="center"/>
            <w:hideMark/>
          </w:tcPr>
          <w:p w14:paraId="035B69D9" w14:textId="77777777" w:rsidR="00DD505D" w:rsidRPr="00A55335" w:rsidRDefault="00DD505D" w:rsidP="00046987">
            <w:pPr>
              <w:pStyle w:val="Tabletext8pt"/>
              <w:rPr>
                <w:rFonts w:eastAsiaTheme="minorEastAsia"/>
              </w:rPr>
            </w:pPr>
          </w:p>
        </w:tc>
        <w:tc>
          <w:tcPr>
            <w:tcW w:w="581" w:type="pct"/>
            <w:vMerge/>
            <w:tcBorders>
              <w:right w:val="single" w:sz="6" w:space="0" w:color="EFEFEF"/>
            </w:tcBorders>
            <w:shd w:val="clear" w:color="auto" w:fill="006579" w:themeFill="accent2"/>
            <w:vAlign w:val="center"/>
            <w:hideMark/>
          </w:tcPr>
          <w:p w14:paraId="64F851B1" w14:textId="77777777" w:rsidR="00DD505D" w:rsidRPr="00A55335" w:rsidRDefault="00DD505D" w:rsidP="00046987">
            <w:pPr>
              <w:pStyle w:val="Tabletext8pt"/>
              <w:rPr>
                <w:rFonts w:eastAsiaTheme="minorEastAsia"/>
              </w:rPr>
            </w:pPr>
          </w:p>
        </w:tc>
        <w:tc>
          <w:tcPr>
            <w:tcW w:w="927" w:type="pct"/>
            <w:vMerge/>
            <w:tcBorders>
              <w:right w:val="single" w:sz="6" w:space="0" w:color="EFEFEF"/>
            </w:tcBorders>
            <w:shd w:val="clear" w:color="auto" w:fill="006579" w:themeFill="accent2"/>
            <w:vAlign w:val="center"/>
            <w:hideMark/>
          </w:tcPr>
          <w:p w14:paraId="2562E56B" w14:textId="77777777" w:rsidR="00DD505D" w:rsidRPr="00A55335" w:rsidRDefault="00DD505D" w:rsidP="00046987">
            <w:pPr>
              <w:pStyle w:val="Tabletext8pt"/>
              <w:rPr>
                <w:rFonts w:eastAsiaTheme="minorEastAsia"/>
              </w:rPr>
            </w:pPr>
          </w:p>
        </w:tc>
      </w:tr>
      <w:tr w:rsidR="00DE5C60" w:rsidRPr="00A55335" w14:paraId="2AE4A94A" w14:textId="77777777" w:rsidTr="00E51DE6">
        <w:trPr>
          <w:cantSplit/>
        </w:trPr>
        <w:tc>
          <w:tcPr>
            <w:tcW w:w="946" w:type="pct"/>
            <w:tcBorders>
              <w:top w:val="single" w:sz="6" w:space="0" w:color="000000"/>
              <w:left w:val="nil"/>
              <w:bottom w:val="single" w:sz="6" w:space="0" w:color="000000"/>
              <w:right w:val="nil"/>
            </w:tcBorders>
            <w:vAlign w:val="center"/>
            <w:hideMark/>
          </w:tcPr>
          <w:p w14:paraId="74D536B6" w14:textId="15BBDDB6" w:rsidR="00DD505D" w:rsidRPr="00A55335" w:rsidRDefault="00A56AFB" w:rsidP="00094898">
            <w:pPr>
              <w:pStyle w:val="Tabletext8pt"/>
            </w:pPr>
            <w:r w:rsidRPr="00A55335">
              <w:rPr>
                <w:rFonts w:cs="Montserrat"/>
                <w:color w:val="000000"/>
              </w:rPr>
              <w:t>Infection frequency</w:t>
            </w:r>
            <w:r w:rsidRPr="00A55335">
              <w:rPr>
                <w:rFonts w:cs="Montserrat"/>
                <w:color w:val="000000"/>
              </w:rPr>
              <w:br/>
              <w:t xml:space="preserve">assessed </w:t>
            </w:r>
            <w:proofErr w:type="gramStart"/>
            <w:r w:rsidRPr="00A55335">
              <w:rPr>
                <w:rFonts w:cs="Montserrat"/>
                <w:color w:val="000000"/>
              </w:rPr>
              <w:t>with:</w:t>
            </w:r>
            <w:proofErr w:type="gramEnd"/>
            <w:r w:rsidRPr="00A55335">
              <w:rPr>
                <w:rFonts w:cs="Montserrat"/>
                <w:color w:val="000000"/>
              </w:rPr>
              <w:t xml:space="preserve"> number </w:t>
            </w:r>
            <w:r w:rsidR="00016581" w:rsidRPr="00A55335">
              <w:rPr>
                <w:rFonts w:cs="Montserrat"/>
                <w:color w:val="000000"/>
              </w:rPr>
              <w:t>participant</w:t>
            </w:r>
            <w:r w:rsidR="00B43416" w:rsidRPr="00A55335">
              <w:rPr>
                <w:rFonts w:cs="Montserrat"/>
                <w:color w:val="000000"/>
              </w:rPr>
              <w:t>s</w:t>
            </w:r>
            <w:r w:rsidR="00016581" w:rsidRPr="00A55335">
              <w:rPr>
                <w:rFonts w:cs="Montserrat"/>
                <w:color w:val="000000"/>
              </w:rPr>
              <w:t xml:space="preserve"> having at least one episode </w:t>
            </w:r>
            <w:r w:rsidRPr="00A55335">
              <w:rPr>
                <w:rFonts w:cs="Montserrat"/>
                <w:color w:val="000000"/>
              </w:rPr>
              <w:t>of acute tonsillitis</w:t>
            </w:r>
            <w:r w:rsidRPr="00A55335">
              <w:rPr>
                <w:rFonts w:cs="Montserrat"/>
                <w:color w:val="000000"/>
              </w:rPr>
              <w:br/>
              <w:t>follow-up: 4 months</w:t>
            </w:r>
          </w:p>
        </w:tc>
        <w:tc>
          <w:tcPr>
            <w:tcW w:w="691" w:type="pct"/>
            <w:tcBorders>
              <w:top w:val="single" w:sz="6" w:space="0" w:color="000000"/>
              <w:left w:val="nil"/>
              <w:bottom w:val="single" w:sz="6" w:space="0" w:color="000000"/>
              <w:right w:val="nil"/>
            </w:tcBorders>
            <w:shd w:val="clear" w:color="auto" w:fill="DEE2E4" w:themeFill="accent6" w:themeFillTint="33"/>
            <w:vAlign w:val="center"/>
            <w:hideMark/>
          </w:tcPr>
          <w:p w14:paraId="32A0DF00" w14:textId="14A12C42" w:rsidR="00DD505D" w:rsidRPr="00A55335" w:rsidRDefault="00386FFE" w:rsidP="006A436D">
            <w:pPr>
              <w:pStyle w:val="Tabletext8pt"/>
              <w:jc w:val="center"/>
            </w:pPr>
            <w:r w:rsidRPr="00A55335">
              <w:t>500</w:t>
            </w:r>
            <w:r w:rsidR="00DD505D" w:rsidRPr="00A55335">
              <w:t xml:space="preserve"> per 1,000</w:t>
            </w:r>
          </w:p>
        </w:tc>
        <w:tc>
          <w:tcPr>
            <w:tcW w:w="763" w:type="pct"/>
            <w:tcBorders>
              <w:top w:val="single" w:sz="6" w:space="0" w:color="000000"/>
              <w:left w:val="nil"/>
              <w:bottom w:val="single" w:sz="6" w:space="0" w:color="000000"/>
              <w:right w:val="nil"/>
            </w:tcBorders>
            <w:shd w:val="clear" w:color="auto" w:fill="DEE2E4" w:themeFill="accent6" w:themeFillTint="33"/>
            <w:hideMark/>
          </w:tcPr>
          <w:p w14:paraId="6097D8A4" w14:textId="17D7577C" w:rsidR="00DD505D" w:rsidRPr="00A55335" w:rsidRDefault="00DD505D" w:rsidP="006A436D">
            <w:pPr>
              <w:pStyle w:val="Tabletext8pt"/>
              <w:jc w:val="center"/>
            </w:pPr>
            <w:r w:rsidRPr="00A55335">
              <w:rPr>
                <w:rStyle w:val="Strong"/>
              </w:rPr>
              <w:t>2</w:t>
            </w:r>
            <w:r w:rsidR="00386FFE" w:rsidRPr="00A55335">
              <w:rPr>
                <w:rStyle w:val="Strong"/>
              </w:rPr>
              <w:t>0</w:t>
            </w:r>
            <w:r w:rsidRPr="00A55335">
              <w:rPr>
                <w:rStyle w:val="Strong"/>
              </w:rPr>
              <w:t>0 per 1,000</w:t>
            </w:r>
            <w:r w:rsidRPr="00A55335">
              <w:br/>
              <w:t>(</w:t>
            </w:r>
            <w:r w:rsidR="00386FFE" w:rsidRPr="00A55335">
              <w:t>75</w:t>
            </w:r>
            <w:r w:rsidRPr="00A55335">
              <w:t xml:space="preserve"> to </w:t>
            </w:r>
            <w:proofErr w:type="gramStart"/>
            <w:r w:rsidRPr="00A55335">
              <w:t>5</w:t>
            </w:r>
            <w:r w:rsidR="00386FFE" w:rsidRPr="00A55335">
              <w:t>35</w:t>
            </w:r>
            <w:r w:rsidRPr="00A55335">
              <w:t>)</w:t>
            </w:r>
            <w:r w:rsidR="002374FF">
              <w:t>^</w:t>
            </w:r>
            <w:proofErr w:type="gramEnd"/>
            <w:r w:rsidR="00D430DF">
              <w:t xml:space="preserve"> </w:t>
            </w:r>
          </w:p>
        </w:tc>
        <w:tc>
          <w:tcPr>
            <w:tcW w:w="510" w:type="pct"/>
            <w:tcBorders>
              <w:top w:val="single" w:sz="6" w:space="0" w:color="000000"/>
              <w:left w:val="nil"/>
              <w:bottom w:val="single" w:sz="6" w:space="0" w:color="000000"/>
              <w:right w:val="nil"/>
            </w:tcBorders>
            <w:vAlign w:val="center"/>
            <w:hideMark/>
          </w:tcPr>
          <w:p w14:paraId="3C5EFD05" w14:textId="49762670" w:rsidR="00DD505D" w:rsidRPr="00A55335" w:rsidRDefault="00DD505D" w:rsidP="006A436D">
            <w:pPr>
              <w:pStyle w:val="Tabletext8pt"/>
              <w:jc w:val="center"/>
            </w:pPr>
            <w:r w:rsidRPr="00A55335">
              <w:rPr>
                <w:rStyle w:val="Strong"/>
              </w:rPr>
              <w:t>RR 0.</w:t>
            </w:r>
            <w:r w:rsidR="00293A00" w:rsidRPr="00A55335">
              <w:rPr>
                <w:rStyle w:val="Strong"/>
              </w:rPr>
              <w:t>40</w:t>
            </w:r>
            <w:r w:rsidRPr="00A55335">
              <w:br/>
              <w:t>(0.1</w:t>
            </w:r>
            <w:r w:rsidR="006A436D" w:rsidRPr="00A55335">
              <w:t>5</w:t>
            </w:r>
            <w:r w:rsidRPr="00A55335">
              <w:t xml:space="preserve"> to </w:t>
            </w:r>
            <w:r w:rsidR="006A436D" w:rsidRPr="00A55335">
              <w:t>1.07</w:t>
            </w:r>
            <w:r w:rsidRPr="00A55335">
              <w:t>)</w:t>
            </w:r>
          </w:p>
        </w:tc>
        <w:tc>
          <w:tcPr>
            <w:tcW w:w="582" w:type="pct"/>
            <w:tcBorders>
              <w:top w:val="single" w:sz="6" w:space="0" w:color="000000"/>
              <w:left w:val="nil"/>
              <w:bottom w:val="single" w:sz="6" w:space="0" w:color="000000"/>
              <w:right w:val="nil"/>
            </w:tcBorders>
            <w:vAlign w:val="center"/>
            <w:hideMark/>
          </w:tcPr>
          <w:p w14:paraId="231D82CF" w14:textId="1E884AE5" w:rsidR="00DD505D" w:rsidRPr="00A55335" w:rsidRDefault="00293A00" w:rsidP="006A436D">
            <w:pPr>
              <w:pStyle w:val="Tabletext8pt"/>
              <w:jc w:val="center"/>
            </w:pPr>
            <w:r w:rsidRPr="00A55335">
              <w:t>40</w:t>
            </w:r>
            <w:r w:rsidR="00DD505D" w:rsidRPr="00A55335">
              <w:br/>
              <w:t xml:space="preserve">(1 RCT) </w:t>
            </w:r>
            <w:r w:rsidR="00DD505D" w:rsidRPr="00A55335">
              <w:rPr>
                <w:rStyle w:val="FootnoteReference"/>
              </w:rPr>
              <w:t>†</w:t>
            </w:r>
          </w:p>
        </w:tc>
        <w:tc>
          <w:tcPr>
            <w:tcW w:w="581" w:type="pct"/>
            <w:tcBorders>
              <w:top w:val="single" w:sz="6" w:space="0" w:color="000000"/>
              <w:left w:val="nil"/>
              <w:bottom w:val="single" w:sz="6" w:space="0" w:color="000000"/>
              <w:right w:val="nil"/>
            </w:tcBorders>
            <w:vAlign w:val="center"/>
            <w:hideMark/>
          </w:tcPr>
          <w:p w14:paraId="3E2FF872" w14:textId="708D1DD7" w:rsidR="00DD505D" w:rsidRPr="00A55335" w:rsidRDefault="00DD505D" w:rsidP="006A436D">
            <w:pPr>
              <w:pStyle w:val="Tabletext8pt"/>
              <w:jc w:val="center"/>
            </w:pPr>
            <w:r w:rsidRPr="00A55335">
              <w:rPr>
                <w:rStyle w:val="quality-sign"/>
                <w:rFonts w:ascii="Cambria Math" w:hAnsi="Cambria Math"/>
              </w:rPr>
              <w:t>⨁</w:t>
            </w:r>
            <w:r w:rsidR="00745A16" w:rsidRPr="00A55335">
              <w:rPr>
                <w:rStyle w:val="quality-sign"/>
                <w:rFonts w:ascii="Cambria Math" w:hAnsi="Cambria Math"/>
              </w:rPr>
              <w:t>◯</w:t>
            </w:r>
            <w:r w:rsidRPr="00A55335">
              <w:rPr>
                <w:rStyle w:val="quality-sign"/>
                <w:rFonts w:ascii="Cambria Math" w:hAnsi="Cambria Math"/>
              </w:rPr>
              <w:t>◯◯</w:t>
            </w:r>
            <w:r w:rsidRPr="00A55335">
              <w:br/>
            </w:r>
            <w:r w:rsidR="00157C8B" w:rsidRPr="00A55335">
              <w:rPr>
                <w:rStyle w:val="QualitytextChar"/>
              </w:rPr>
              <w:t xml:space="preserve">Very </w:t>
            </w:r>
            <w:r w:rsidRPr="00A55335">
              <w:rPr>
                <w:rStyle w:val="QualitytextChar"/>
              </w:rPr>
              <w:t xml:space="preserve">Low </w:t>
            </w:r>
            <w:proofErr w:type="spellStart"/>
            <w:r w:rsidRPr="00A55335">
              <w:rPr>
                <w:rStyle w:val="FootnoteReference"/>
              </w:rPr>
              <w:t>a</w:t>
            </w:r>
            <w:r w:rsidR="004E4E4C" w:rsidRPr="00A55335">
              <w:rPr>
                <w:rStyle w:val="FootnoteReference"/>
              </w:rPr>
              <w:t>,b,c,d,e</w:t>
            </w:r>
            <w:proofErr w:type="spellEnd"/>
          </w:p>
        </w:tc>
        <w:tc>
          <w:tcPr>
            <w:tcW w:w="927" w:type="pct"/>
            <w:tcBorders>
              <w:top w:val="single" w:sz="6" w:space="0" w:color="000000"/>
              <w:left w:val="nil"/>
              <w:bottom w:val="single" w:sz="6" w:space="0" w:color="000000"/>
              <w:right w:val="nil"/>
            </w:tcBorders>
            <w:vAlign w:val="center"/>
            <w:hideMark/>
          </w:tcPr>
          <w:p w14:paraId="515AFE90" w14:textId="043FE0A2" w:rsidR="00DD505D" w:rsidRPr="00A55335" w:rsidRDefault="00157C8B" w:rsidP="00046987">
            <w:pPr>
              <w:pStyle w:val="Tabletext8pt"/>
              <w:rPr>
                <w:rFonts w:eastAsia="Times New Roman"/>
              </w:rPr>
            </w:pPr>
            <w:r w:rsidRPr="00A55335">
              <w:rPr>
                <w:rFonts w:eastAsia="Times New Roman"/>
              </w:rPr>
              <w:t>The evidence is very uncertain about the effect of h</w:t>
            </w:r>
            <w:r w:rsidR="00BD443B" w:rsidRPr="00A55335">
              <w:rPr>
                <w:rFonts w:eastAsia="Times New Roman"/>
              </w:rPr>
              <w:t xml:space="preserve">omeopathy </w:t>
            </w:r>
            <w:r w:rsidRPr="00A55335">
              <w:rPr>
                <w:rFonts w:eastAsia="Times New Roman"/>
              </w:rPr>
              <w:t xml:space="preserve">on </w:t>
            </w:r>
            <w:r w:rsidR="00DD505D" w:rsidRPr="00A55335">
              <w:rPr>
                <w:rFonts w:eastAsia="Times New Roman"/>
              </w:rPr>
              <w:t xml:space="preserve">infection frequency in people with recurrent </w:t>
            </w:r>
            <w:r w:rsidR="0066620D" w:rsidRPr="00A55335">
              <w:rPr>
                <w:rFonts w:eastAsia="Times New Roman"/>
              </w:rPr>
              <w:t>URTI</w:t>
            </w:r>
            <w:r w:rsidR="00613907" w:rsidRPr="00A55335">
              <w:rPr>
                <w:rFonts w:eastAsia="Times New Roman"/>
              </w:rPr>
              <w:t>s</w:t>
            </w:r>
            <w:r w:rsidRPr="00A55335">
              <w:rPr>
                <w:rFonts w:eastAsia="Times New Roman"/>
              </w:rPr>
              <w:t xml:space="preserve"> </w:t>
            </w:r>
            <w:r w:rsidR="00021E4B" w:rsidRPr="00A55335">
              <w:rPr>
                <w:rFonts w:eastAsia="Times New Roman"/>
              </w:rPr>
              <w:t>**</w:t>
            </w:r>
          </w:p>
        </w:tc>
      </w:tr>
      <w:tr w:rsidR="00825913" w:rsidRPr="00A55335" w14:paraId="40EA0BC1" w14:textId="77777777" w:rsidTr="00E51DE6">
        <w:trPr>
          <w:cantSplit/>
        </w:trPr>
        <w:tc>
          <w:tcPr>
            <w:tcW w:w="946" w:type="pct"/>
            <w:tcBorders>
              <w:top w:val="single" w:sz="6" w:space="0" w:color="000000"/>
              <w:left w:val="nil"/>
              <w:bottom w:val="single" w:sz="6" w:space="0" w:color="000000"/>
              <w:right w:val="nil"/>
            </w:tcBorders>
            <w:vAlign w:val="center"/>
            <w:hideMark/>
          </w:tcPr>
          <w:p w14:paraId="213F4098" w14:textId="3638898F" w:rsidR="00825913" w:rsidRPr="00A55335" w:rsidRDefault="00825913" w:rsidP="000212F6">
            <w:pPr>
              <w:pStyle w:val="Tabletext8pt"/>
            </w:pPr>
            <w:r w:rsidRPr="00A55335">
              <w:t>Infection duration</w:t>
            </w:r>
            <w:r w:rsidRPr="00A55335">
              <w:br/>
              <w:t xml:space="preserve">assessed </w:t>
            </w:r>
            <w:proofErr w:type="gramStart"/>
            <w:r w:rsidRPr="00A55335">
              <w:t>with:</w:t>
            </w:r>
            <w:proofErr w:type="gramEnd"/>
            <w:r w:rsidRPr="00A55335">
              <w:t xml:space="preserve"> symptom diary, median number of days with URTI symptoms</w:t>
            </w:r>
            <w:r w:rsidRPr="00A55335" w:rsidDel="00B30E95">
              <w:t xml:space="preserve"> </w:t>
            </w:r>
            <w:r w:rsidRPr="00A55335">
              <w:br/>
              <w:t>follow-up: 12 weeks</w:t>
            </w:r>
          </w:p>
        </w:tc>
        <w:tc>
          <w:tcPr>
            <w:tcW w:w="691" w:type="pct"/>
            <w:tcBorders>
              <w:top w:val="single" w:sz="6" w:space="0" w:color="000000"/>
              <w:left w:val="nil"/>
              <w:bottom w:val="single" w:sz="6" w:space="0" w:color="000000"/>
              <w:right w:val="nil"/>
            </w:tcBorders>
            <w:shd w:val="clear" w:color="auto" w:fill="DEE2E4" w:themeFill="accent6" w:themeFillTint="33"/>
            <w:vAlign w:val="center"/>
            <w:hideMark/>
          </w:tcPr>
          <w:p w14:paraId="7C3FAD03" w14:textId="1572CF45" w:rsidR="00825913" w:rsidRPr="00A55335" w:rsidRDefault="00825913" w:rsidP="00930229">
            <w:pPr>
              <w:pStyle w:val="Tabletext8pt"/>
              <w:jc w:val="center"/>
            </w:pPr>
            <w:r w:rsidRPr="00A55335">
              <w:t xml:space="preserve">The median duration of URTI symptoms was </w:t>
            </w:r>
            <w:r w:rsidRPr="00A55335">
              <w:rPr>
                <w:rStyle w:val="Strong"/>
              </w:rPr>
              <w:t xml:space="preserve">8 days </w:t>
            </w:r>
            <w:r w:rsidRPr="00163501">
              <w:t>(95</w:t>
            </w:r>
            <w:r w:rsidRPr="00A55335">
              <w:t>%</w:t>
            </w:r>
            <w:r w:rsidR="0035670B">
              <w:t xml:space="preserve"> </w:t>
            </w:r>
            <w:r w:rsidRPr="00163501">
              <w:t>CI 6 to 9</w:t>
            </w:r>
            <w:r w:rsidRPr="00A55335">
              <w:t xml:space="preserve"> days</w:t>
            </w:r>
            <w:r w:rsidRPr="00163501">
              <w:t>)</w:t>
            </w:r>
            <w:r w:rsidRPr="00A55335">
              <w:rPr>
                <w:rStyle w:val="Strong"/>
              </w:rPr>
              <w:t xml:space="preserve"> </w:t>
            </w:r>
            <w:r w:rsidR="00761F94">
              <w:t>in the p</w:t>
            </w:r>
            <w:r w:rsidRPr="00A55335">
              <w:t>lacebo group</w:t>
            </w:r>
          </w:p>
        </w:tc>
        <w:tc>
          <w:tcPr>
            <w:tcW w:w="763" w:type="pct"/>
            <w:tcBorders>
              <w:top w:val="single" w:sz="6" w:space="0" w:color="000000"/>
              <w:left w:val="nil"/>
              <w:bottom w:val="single" w:sz="6" w:space="0" w:color="000000"/>
              <w:right w:val="nil"/>
            </w:tcBorders>
            <w:shd w:val="clear" w:color="auto" w:fill="DEE2E4" w:themeFill="accent6" w:themeFillTint="33"/>
            <w:vAlign w:val="center"/>
          </w:tcPr>
          <w:p w14:paraId="129DD05A" w14:textId="78EE53FA" w:rsidR="00825913" w:rsidRPr="00A55335" w:rsidRDefault="00825913" w:rsidP="00930229">
            <w:pPr>
              <w:pStyle w:val="Tabletext8pt"/>
              <w:jc w:val="center"/>
            </w:pPr>
            <w:r w:rsidRPr="00A55335">
              <w:t xml:space="preserve"> The median duration of URTI symptoms was </w:t>
            </w:r>
            <w:r w:rsidRPr="00A55335">
              <w:rPr>
                <w:rStyle w:val="Strong"/>
              </w:rPr>
              <w:t xml:space="preserve">8 days </w:t>
            </w:r>
            <w:r w:rsidRPr="00A55335">
              <w:t>(95%</w:t>
            </w:r>
            <w:r w:rsidR="0035670B">
              <w:t xml:space="preserve"> </w:t>
            </w:r>
            <w:r w:rsidRPr="00A55335">
              <w:t>CI 4 to 11.6 days)</w:t>
            </w:r>
            <w:r w:rsidRPr="00A55335">
              <w:rPr>
                <w:rStyle w:val="Strong"/>
              </w:rPr>
              <w:t xml:space="preserve"> </w:t>
            </w:r>
            <w:r w:rsidRPr="00A55335">
              <w:t>in the homeopathy group (homeopath-prescribed)</w:t>
            </w:r>
          </w:p>
        </w:tc>
        <w:tc>
          <w:tcPr>
            <w:tcW w:w="510" w:type="pct"/>
            <w:tcBorders>
              <w:top w:val="single" w:sz="6" w:space="0" w:color="000000"/>
              <w:left w:val="nil"/>
              <w:bottom w:val="single" w:sz="6" w:space="0" w:color="000000"/>
              <w:right w:val="nil"/>
            </w:tcBorders>
            <w:vAlign w:val="center"/>
            <w:hideMark/>
          </w:tcPr>
          <w:p w14:paraId="4B4ECAF6" w14:textId="0F83C728" w:rsidR="00825913" w:rsidRPr="00A55335" w:rsidRDefault="00825913" w:rsidP="006A436D">
            <w:pPr>
              <w:pStyle w:val="Tabletext8pt"/>
              <w:jc w:val="center"/>
            </w:pPr>
            <w:r w:rsidRPr="00A55335">
              <w:t xml:space="preserve">- </w:t>
            </w:r>
          </w:p>
        </w:tc>
        <w:tc>
          <w:tcPr>
            <w:tcW w:w="582" w:type="pct"/>
            <w:tcBorders>
              <w:top w:val="single" w:sz="6" w:space="0" w:color="000000"/>
              <w:left w:val="nil"/>
              <w:bottom w:val="single" w:sz="6" w:space="0" w:color="000000"/>
              <w:right w:val="nil"/>
            </w:tcBorders>
            <w:vAlign w:val="center"/>
            <w:hideMark/>
          </w:tcPr>
          <w:p w14:paraId="28CD1709" w14:textId="55A8B340" w:rsidR="00825913" w:rsidRPr="00A55335" w:rsidRDefault="00825913" w:rsidP="006A436D">
            <w:pPr>
              <w:pStyle w:val="Tabletext8pt"/>
              <w:jc w:val="center"/>
            </w:pPr>
            <w:r w:rsidRPr="00A55335">
              <w:rPr>
                <w:rFonts w:cs="Montserrat"/>
                <w:color w:val="000000"/>
              </w:rPr>
              <w:t>207</w:t>
            </w:r>
            <w:r w:rsidRPr="00A55335">
              <w:br/>
              <w:t xml:space="preserve">(1 RCT) </w:t>
            </w:r>
            <w:r w:rsidRPr="00A55335">
              <w:rPr>
                <w:rStyle w:val="FootnoteReference"/>
              </w:rPr>
              <w:t>††</w:t>
            </w:r>
          </w:p>
        </w:tc>
        <w:tc>
          <w:tcPr>
            <w:tcW w:w="581" w:type="pct"/>
            <w:tcBorders>
              <w:top w:val="single" w:sz="6" w:space="0" w:color="000000"/>
              <w:left w:val="nil"/>
              <w:bottom w:val="single" w:sz="6" w:space="0" w:color="000000"/>
              <w:right w:val="nil"/>
            </w:tcBorders>
            <w:vAlign w:val="center"/>
            <w:hideMark/>
          </w:tcPr>
          <w:p w14:paraId="5EF97BAD" w14:textId="3EF4F1F4" w:rsidR="00825913" w:rsidRPr="00A55335" w:rsidRDefault="00825913" w:rsidP="006A436D">
            <w:pPr>
              <w:pStyle w:val="Tabletext8pt"/>
              <w:jc w:val="center"/>
            </w:pPr>
            <w:r w:rsidRPr="00A55335">
              <w:rPr>
                <w:rStyle w:val="quality-sign"/>
                <w:rFonts w:ascii="Cambria Math" w:hAnsi="Cambria Math"/>
              </w:rPr>
              <w:t>⨁</w:t>
            </w:r>
            <w:r w:rsidR="00B02F10" w:rsidRPr="00A55335">
              <w:rPr>
                <w:rStyle w:val="quality-sign"/>
                <w:rFonts w:ascii="Cambria Math" w:hAnsi="Cambria Math"/>
              </w:rPr>
              <w:t>◯</w:t>
            </w: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a,b,e,f</w:t>
            </w:r>
            <w:r w:rsidRPr="007228D4">
              <w:rPr>
                <w:vertAlign w:val="superscript"/>
              </w:rPr>
              <w:t>,</w:t>
            </w:r>
            <w:r w:rsidRPr="00A55335">
              <w:rPr>
                <w:rStyle w:val="FootnoteReference"/>
              </w:rPr>
              <w:t>g</w:t>
            </w:r>
            <w:proofErr w:type="spellEnd"/>
          </w:p>
        </w:tc>
        <w:tc>
          <w:tcPr>
            <w:tcW w:w="927" w:type="pct"/>
            <w:tcBorders>
              <w:top w:val="single" w:sz="6" w:space="0" w:color="000000"/>
              <w:left w:val="nil"/>
              <w:bottom w:val="single" w:sz="6" w:space="0" w:color="000000"/>
              <w:right w:val="nil"/>
            </w:tcBorders>
            <w:vAlign w:val="center"/>
            <w:hideMark/>
          </w:tcPr>
          <w:p w14:paraId="240A79A9" w14:textId="5425DA10" w:rsidR="00825913" w:rsidRPr="00A55335" w:rsidRDefault="00825913" w:rsidP="00046987">
            <w:pPr>
              <w:pStyle w:val="Tabletext8pt"/>
              <w:rPr>
                <w:rFonts w:eastAsia="Times New Roman"/>
              </w:rPr>
            </w:pPr>
            <w:r w:rsidRPr="00A55335">
              <w:rPr>
                <w:rFonts w:eastAsia="Times New Roman"/>
              </w:rPr>
              <w:t xml:space="preserve">The evidence is very uncertain about the effect of homeopathy on infection duration in people with recurrent URTIs </w:t>
            </w:r>
            <w:r w:rsidR="002374FF">
              <w:rPr>
                <w:rFonts w:eastAsia="Times New Roman"/>
              </w:rPr>
              <w:t>#</w:t>
            </w:r>
          </w:p>
        </w:tc>
      </w:tr>
      <w:tr w:rsidR="00294B4D" w:rsidRPr="00A55335" w14:paraId="3497A375" w14:textId="77777777" w:rsidTr="00E51DE6">
        <w:trPr>
          <w:cantSplit/>
        </w:trPr>
        <w:tc>
          <w:tcPr>
            <w:tcW w:w="946" w:type="pct"/>
            <w:tcBorders>
              <w:top w:val="single" w:sz="6" w:space="0" w:color="000000"/>
              <w:left w:val="nil"/>
              <w:bottom w:val="single" w:sz="6" w:space="0" w:color="000000"/>
              <w:right w:val="nil"/>
            </w:tcBorders>
            <w:vAlign w:val="center"/>
            <w:hideMark/>
          </w:tcPr>
          <w:p w14:paraId="6DD1D044" w14:textId="14C61849" w:rsidR="002A3457" w:rsidRPr="00A55335" w:rsidRDefault="002A3457" w:rsidP="002A3457">
            <w:pPr>
              <w:pStyle w:val="Tabletext8pt"/>
            </w:pPr>
            <w:r w:rsidRPr="00A55335">
              <w:t xml:space="preserve">Symptom severity assessed </w:t>
            </w:r>
            <w:proofErr w:type="gramStart"/>
            <w:r w:rsidRPr="00A55335">
              <w:t>with:</w:t>
            </w:r>
            <w:proofErr w:type="gramEnd"/>
            <w:r w:rsidRPr="00A55335">
              <w:t xml:space="preserve"> symptom score (higher is worse)</w:t>
            </w:r>
            <w:r w:rsidR="00631EA2" w:rsidRPr="00A55335">
              <w:br/>
              <w:t>Scale from: 0 to 56</w:t>
            </w:r>
            <w:r w:rsidRPr="00A55335">
              <w:br/>
              <w:t>follow-up: range 12 weeks to 52 weeks</w:t>
            </w:r>
          </w:p>
        </w:tc>
        <w:tc>
          <w:tcPr>
            <w:tcW w:w="691" w:type="pct"/>
            <w:tcBorders>
              <w:top w:val="single" w:sz="6" w:space="0" w:color="000000"/>
              <w:left w:val="nil"/>
              <w:bottom w:val="single" w:sz="6" w:space="0" w:color="000000"/>
              <w:right w:val="nil"/>
            </w:tcBorders>
            <w:shd w:val="clear" w:color="auto" w:fill="DEE2E4" w:themeFill="accent6" w:themeFillTint="33"/>
            <w:vAlign w:val="center"/>
            <w:hideMark/>
          </w:tcPr>
          <w:p w14:paraId="252FA2C9" w14:textId="4A3FBBE3" w:rsidR="002A3457" w:rsidRPr="00A55335" w:rsidRDefault="001B29C3" w:rsidP="002A3457">
            <w:pPr>
              <w:pStyle w:val="Tabletext8pt"/>
              <w:jc w:val="center"/>
            </w:pPr>
            <w:r w:rsidRPr="00A55335">
              <w:t xml:space="preserve">The mean </w:t>
            </w:r>
            <w:r w:rsidR="00126C11" w:rsidRPr="00A55335">
              <w:t xml:space="preserve">daily </w:t>
            </w:r>
            <w:r w:rsidRPr="00A55335">
              <w:t xml:space="preserve">score was </w:t>
            </w:r>
            <w:r w:rsidRPr="00F10DA7">
              <w:rPr>
                <w:b/>
                <w:bCs/>
              </w:rPr>
              <w:t>2.21</w:t>
            </w:r>
          </w:p>
        </w:tc>
        <w:tc>
          <w:tcPr>
            <w:tcW w:w="763" w:type="pct"/>
            <w:tcBorders>
              <w:top w:val="single" w:sz="6" w:space="0" w:color="000000"/>
              <w:left w:val="nil"/>
              <w:bottom w:val="single" w:sz="6" w:space="0" w:color="000000"/>
              <w:right w:val="nil"/>
            </w:tcBorders>
            <w:shd w:val="clear" w:color="auto" w:fill="DEE2E4" w:themeFill="accent6" w:themeFillTint="33"/>
          </w:tcPr>
          <w:p w14:paraId="2F84CA05" w14:textId="5E88F3C3" w:rsidR="002A3457" w:rsidRPr="00A55335" w:rsidRDefault="002A3457" w:rsidP="0092576D">
            <w:pPr>
              <w:pStyle w:val="Tabletext8pt"/>
              <w:jc w:val="center"/>
            </w:pPr>
            <w:r w:rsidRPr="00A55335">
              <w:t xml:space="preserve">MD </w:t>
            </w:r>
            <w:r w:rsidRPr="00A55335">
              <w:rPr>
                <w:rStyle w:val="Strong"/>
              </w:rPr>
              <w:t>0.</w:t>
            </w:r>
            <w:r w:rsidR="005B6F30" w:rsidRPr="00A55335">
              <w:rPr>
                <w:rStyle w:val="Strong"/>
              </w:rPr>
              <w:t>40</w:t>
            </w:r>
            <w:r w:rsidR="001B29C3" w:rsidRPr="00A55335">
              <w:rPr>
                <w:rStyle w:val="Strong"/>
              </w:rPr>
              <w:t xml:space="preserve"> higher</w:t>
            </w:r>
            <w:r w:rsidRPr="00A55335">
              <w:t xml:space="preserve"> </w:t>
            </w:r>
            <w:r w:rsidRPr="00A55335">
              <w:br/>
              <w:t>(0.</w:t>
            </w:r>
            <w:r w:rsidR="001B29C3" w:rsidRPr="00A55335">
              <w:t xml:space="preserve">02 </w:t>
            </w:r>
            <w:r w:rsidRPr="00A55335">
              <w:t>lower to 0.</w:t>
            </w:r>
            <w:r w:rsidR="001B29C3" w:rsidRPr="00A55335">
              <w:t xml:space="preserve">82 </w:t>
            </w:r>
            <w:r w:rsidRPr="00A55335">
              <w:t>higher)</w:t>
            </w:r>
          </w:p>
        </w:tc>
        <w:tc>
          <w:tcPr>
            <w:tcW w:w="510" w:type="pct"/>
            <w:tcBorders>
              <w:top w:val="single" w:sz="6" w:space="0" w:color="000000"/>
              <w:left w:val="nil"/>
              <w:bottom w:val="single" w:sz="6" w:space="0" w:color="000000"/>
              <w:right w:val="nil"/>
            </w:tcBorders>
            <w:vAlign w:val="center"/>
          </w:tcPr>
          <w:p w14:paraId="1446E2DB" w14:textId="3F811404" w:rsidR="002A3457" w:rsidRPr="00A55335" w:rsidRDefault="002A3457" w:rsidP="002A3457">
            <w:pPr>
              <w:pStyle w:val="Tabletext8pt"/>
              <w:jc w:val="center"/>
            </w:pPr>
            <w:r w:rsidRPr="00A55335">
              <w:t>-</w:t>
            </w:r>
          </w:p>
        </w:tc>
        <w:tc>
          <w:tcPr>
            <w:tcW w:w="582" w:type="pct"/>
            <w:tcBorders>
              <w:top w:val="single" w:sz="6" w:space="0" w:color="000000"/>
              <w:left w:val="nil"/>
              <w:bottom w:val="single" w:sz="6" w:space="0" w:color="000000"/>
              <w:right w:val="nil"/>
            </w:tcBorders>
            <w:vAlign w:val="center"/>
          </w:tcPr>
          <w:p w14:paraId="7E79B882" w14:textId="36937CE2" w:rsidR="002A3457" w:rsidRPr="00A55335" w:rsidRDefault="000D0F11" w:rsidP="002A3457">
            <w:pPr>
              <w:pStyle w:val="Tabletext8pt"/>
              <w:jc w:val="center"/>
            </w:pPr>
            <w:r w:rsidRPr="00A55335">
              <w:t>170</w:t>
            </w:r>
            <w:r w:rsidR="002A3457" w:rsidRPr="00A55335">
              <w:br/>
              <w:t>(</w:t>
            </w:r>
            <w:r w:rsidR="00290BD6" w:rsidRPr="00A55335">
              <w:t xml:space="preserve">1 </w:t>
            </w:r>
            <w:r w:rsidR="002A3457" w:rsidRPr="00A55335">
              <w:t xml:space="preserve">RCT) </w:t>
            </w:r>
            <w:r w:rsidR="002A3457" w:rsidRPr="00A55335">
              <w:rPr>
                <w:rStyle w:val="FootnoteReference"/>
              </w:rPr>
              <w:t>††</w:t>
            </w:r>
            <w:r w:rsidR="005B6F30" w:rsidRPr="00A55335">
              <w:rPr>
                <w:rStyle w:val="FootnoteReference"/>
              </w:rPr>
              <w:t>†</w:t>
            </w:r>
          </w:p>
        </w:tc>
        <w:tc>
          <w:tcPr>
            <w:tcW w:w="581" w:type="pct"/>
            <w:tcBorders>
              <w:top w:val="single" w:sz="6" w:space="0" w:color="000000"/>
              <w:left w:val="nil"/>
              <w:bottom w:val="single" w:sz="6" w:space="0" w:color="000000"/>
              <w:right w:val="nil"/>
            </w:tcBorders>
            <w:vAlign w:val="center"/>
          </w:tcPr>
          <w:p w14:paraId="1EA841F9" w14:textId="67893AFE" w:rsidR="002A3457" w:rsidRPr="00A55335" w:rsidRDefault="002A3457" w:rsidP="002A3457">
            <w:pPr>
              <w:pStyle w:val="Tabletext8pt"/>
              <w:jc w:val="center"/>
            </w:pPr>
            <w:r w:rsidRPr="00A55335">
              <w:rPr>
                <w:rStyle w:val="quality-sign"/>
                <w:rFonts w:ascii="Cambria Math" w:hAnsi="Cambria Math"/>
              </w:rPr>
              <w:t>⨁</w:t>
            </w:r>
            <w:r w:rsidR="000C1047" w:rsidRPr="00A55335">
              <w:rPr>
                <w:rStyle w:val="quality-sign"/>
                <w:rFonts w:ascii="Cambria Math" w:hAnsi="Cambria Math"/>
              </w:rPr>
              <w:t>◯</w:t>
            </w:r>
            <w:r w:rsidRPr="00A55335">
              <w:rPr>
                <w:rStyle w:val="quality-sign"/>
                <w:rFonts w:ascii="Cambria Math" w:hAnsi="Cambria Math"/>
              </w:rPr>
              <w:t>◯◯</w:t>
            </w:r>
            <w:r w:rsidRPr="00A55335">
              <w:br/>
            </w:r>
            <w:r w:rsidR="000C1047" w:rsidRPr="00A55335">
              <w:rPr>
                <w:rStyle w:val="QualitytextChar"/>
              </w:rPr>
              <w:t xml:space="preserve">Very </w:t>
            </w:r>
            <w:r w:rsidRPr="00A55335">
              <w:rPr>
                <w:rStyle w:val="QualitytextChar"/>
              </w:rPr>
              <w:t>Low</w:t>
            </w:r>
            <w:r w:rsidRPr="00A55335">
              <w:t xml:space="preserve"> </w:t>
            </w:r>
            <w:proofErr w:type="spellStart"/>
            <w:r w:rsidR="000C1047" w:rsidRPr="00A55335">
              <w:rPr>
                <w:rStyle w:val="FootnoteReference"/>
              </w:rPr>
              <w:t>a,b,</w:t>
            </w:r>
            <w:r w:rsidRPr="00A55335">
              <w:rPr>
                <w:rStyle w:val="FootnoteReference"/>
              </w:rPr>
              <w:t>f,j</w:t>
            </w:r>
            <w:r w:rsidRPr="00A55335" w:rsidDel="00D25552">
              <w:rPr>
                <w:rStyle w:val="FootnoteReference"/>
              </w:rPr>
              <w:t>,</w:t>
            </w:r>
            <w:r w:rsidR="0008739A" w:rsidRPr="00A55335">
              <w:rPr>
                <w:rStyle w:val="FootnoteReference"/>
              </w:rPr>
              <w:t>k</w:t>
            </w:r>
            <w:proofErr w:type="spellEnd"/>
          </w:p>
        </w:tc>
        <w:tc>
          <w:tcPr>
            <w:tcW w:w="927" w:type="pct"/>
            <w:tcBorders>
              <w:top w:val="single" w:sz="6" w:space="0" w:color="000000"/>
              <w:left w:val="nil"/>
              <w:bottom w:val="single" w:sz="6" w:space="0" w:color="000000"/>
              <w:right w:val="nil"/>
            </w:tcBorders>
            <w:vAlign w:val="center"/>
            <w:hideMark/>
          </w:tcPr>
          <w:p w14:paraId="37F7B2EB" w14:textId="2719A917" w:rsidR="002A3457" w:rsidRPr="00A55335" w:rsidRDefault="00B46A5A" w:rsidP="002A3457">
            <w:pPr>
              <w:pStyle w:val="Tabletext8pt"/>
              <w:rPr>
                <w:rFonts w:eastAsia="Times New Roman"/>
              </w:rPr>
            </w:pPr>
            <w:r w:rsidRPr="00A55335">
              <w:rPr>
                <w:rFonts w:eastAsia="Times New Roman"/>
              </w:rPr>
              <w:t xml:space="preserve">The evidence is very uncertain about the effect of homeopathy on </w:t>
            </w:r>
            <w:r w:rsidR="002A3457" w:rsidRPr="00A55335">
              <w:rPr>
                <w:szCs w:val="18"/>
              </w:rPr>
              <w:t xml:space="preserve">symptom severity in people with </w:t>
            </w:r>
            <w:r w:rsidR="002A3457" w:rsidRPr="00A55335">
              <w:rPr>
                <w:rFonts w:eastAsia="Times New Roman"/>
              </w:rPr>
              <w:t>recurrent URTIs</w:t>
            </w:r>
            <w:r w:rsidR="002A3457" w:rsidRPr="00A55335">
              <w:rPr>
                <w:szCs w:val="18"/>
              </w:rPr>
              <w:t>.</w:t>
            </w:r>
            <w:r w:rsidR="002A3457" w:rsidRPr="00A55335">
              <w:t xml:space="preserve"> ***</w:t>
            </w:r>
          </w:p>
        </w:tc>
      </w:tr>
      <w:tr w:rsidR="00870DEC" w:rsidRPr="00A55335" w14:paraId="0A0CE036" w14:textId="77777777" w:rsidTr="00E51DE6">
        <w:trPr>
          <w:cantSplit/>
        </w:trPr>
        <w:tc>
          <w:tcPr>
            <w:tcW w:w="946" w:type="pct"/>
            <w:tcBorders>
              <w:top w:val="single" w:sz="6" w:space="0" w:color="000000"/>
              <w:left w:val="nil"/>
              <w:bottom w:val="single" w:sz="6" w:space="0" w:color="000000"/>
              <w:right w:val="nil"/>
            </w:tcBorders>
            <w:vAlign w:val="center"/>
            <w:hideMark/>
          </w:tcPr>
          <w:p w14:paraId="24EECF03" w14:textId="768E8DD5" w:rsidR="00870DEC" w:rsidRPr="00A55335" w:rsidRDefault="007A6E84" w:rsidP="00751C92">
            <w:pPr>
              <w:pStyle w:val="Tabletext8pt"/>
            </w:pPr>
            <w:r w:rsidRPr="00A55335">
              <w:rPr>
                <w:rFonts w:cs="Montserrat"/>
                <w:color w:val="000000"/>
              </w:rPr>
              <w:t xml:space="preserve">Quality of life assessed with: </w:t>
            </w:r>
            <w:sdt>
              <w:sdtPr>
                <w:tag w:val="goog_rdk_33"/>
                <w:id w:val="-346636578"/>
              </w:sdtPr>
              <w:sdtContent/>
            </w:sdt>
            <w:r w:rsidRPr="00A55335">
              <w:rPr>
                <w:rFonts w:cs="Montserrat"/>
                <w:color w:val="000000"/>
              </w:rPr>
              <w:t>general-wellbeing scale (higher is worse)</w:t>
            </w:r>
            <w:r w:rsidR="000B64C8" w:rsidRPr="00A55335">
              <w:rPr>
                <w:rFonts w:cs="Montserrat"/>
                <w:color w:val="000000"/>
              </w:rPr>
              <w:br/>
            </w:r>
            <w:r w:rsidR="000B64C8" w:rsidRPr="00A55335">
              <w:t xml:space="preserve">Scale from: 0 to </w:t>
            </w:r>
            <w:r w:rsidR="00433E6B" w:rsidRPr="00A55335">
              <w:t>2</w:t>
            </w:r>
            <w:r w:rsidR="00F475E4" w:rsidRPr="00A55335">
              <w:t>0</w:t>
            </w:r>
            <w:r w:rsidRPr="00A55335">
              <w:rPr>
                <w:rFonts w:cs="Montserrat"/>
                <w:color w:val="000000"/>
              </w:rPr>
              <w:br/>
              <w:t>follow-up: 52 weeks</w:t>
            </w:r>
          </w:p>
        </w:tc>
        <w:tc>
          <w:tcPr>
            <w:tcW w:w="691" w:type="pct"/>
            <w:tcBorders>
              <w:top w:val="single" w:sz="6" w:space="0" w:color="000000"/>
              <w:left w:val="nil"/>
              <w:bottom w:val="single" w:sz="6" w:space="0" w:color="000000"/>
              <w:right w:val="nil"/>
            </w:tcBorders>
            <w:shd w:val="clear" w:color="auto" w:fill="DEE2E4" w:themeFill="accent6" w:themeFillTint="33"/>
            <w:vAlign w:val="center"/>
            <w:hideMark/>
          </w:tcPr>
          <w:p w14:paraId="78885C7C" w14:textId="77777777" w:rsidR="00870DEC" w:rsidRPr="00A55335" w:rsidRDefault="00870DEC" w:rsidP="00751C92">
            <w:pPr>
              <w:pStyle w:val="Tabletext8pt"/>
            </w:pPr>
            <w:r w:rsidRPr="00A55335">
              <w:tab/>
            </w:r>
          </w:p>
          <w:p w14:paraId="2250FC4E" w14:textId="38051032" w:rsidR="00870DEC" w:rsidRPr="00A55335" w:rsidRDefault="00870DEC" w:rsidP="00751C92">
            <w:pPr>
              <w:pStyle w:val="Tabletext8pt"/>
              <w:jc w:val="center"/>
            </w:pPr>
            <w:r w:rsidRPr="00A55335">
              <w:t xml:space="preserve">The mean change in score was </w:t>
            </w:r>
            <w:r w:rsidRPr="00A55335">
              <w:rPr>
                <w:rStyle w:val="Strong"/>
              </w:rPr>
              <w:t>4.17</w:t>
            </w:r>
          </w:p>
        </w:tc>
        <w:tc>
          <w:tcPr>
            <w:tcW w:w="763" w:type="pct"/>
            <w:tcBorders>
              <w:top w:val="single" w:sz="6" w:space="0" w:color="000000"/>
              <w:left w:val="nil"/>
              <w:bottom w:val="single" w:sz="6" w:space="0" w:color="000000"/>
              <w:right w:val="nil"/>
            </w:tcBorders>
            <w:shd w:val="clear" w:color="auto" w:fill="DEE2E4" w:themeFill="accent6" w:themeFillTint="33"/>
            <w:hideMark/>
          </w:tcPr>
          <w:p w14:paraId="17EC0E89" w14:textId="354B2D66" w:rsidR="00870DEC" w:rsidRPr="00A55335" w:rsidRDefault="00870DEC" w:rsidP="00751C92">
            <w:pPr>
              <w:pStyle w:val="Tabletext8pt"/>
              <w:jc w:val="center"/>
            </w:pPr>
            <w:r w:rsidRPr="00A55335">
              <w:t xml:space="preserve">MD </w:t>
            </w:r>
            <w:r w:rsidRPr="00A55335">
              <w:rPr>
                <w:rStyle w:val="Strong"/>
              </w:rPr>
              <w:t xml:space="preserve">0.64 </w:t>
            </w:r>
            <w:r w:rsidRPr="00A55335">
              <w:t>(1.73 lower to 3.01 higher)</w:t>
            </w:r>
          </w:p>
        </w:tc>
        <w:tc>
          <w:tcPr>
            <w:tcW w:w="510" w:type="pct"/>
            <w:tcBorders>
              <w:top w:val="single" w:sz="6" w:space="0" w:color="000000"/>
              <w:left w:val="nil"/>
              <w:bottom w:val="single" w:sz="6" w:space="0" w:color="000000"/>
              <w:right w:val="nil"/>
            </w:tcBorders>
            <w:vAlign w:val="center"/>
            <w:hideMark/>
          </w:tcPr>
          <w:p w14:paraId="55F65B36" w14:textId="77777777" w:rsidR="00870DEC" w:rsidRPr="00A55335" w:rsidRDefault="00870DEC" w:rsidP="00751C92">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6715FE5B" w14:textId="201976BA" w:rsidR="00870DEC" w:rsidRPr="00A55335" w:rsidRDefault="00870DEC" w:rsidP="00751C92">
            <w:pPr>
              <w:pStyle w:val="Tabletext8pt"/>
              <w:jc w:val="center"/>
              <w:rPr>
                <w:rFonts w:eastAsia="Times New Roman"/>
              </w:rPr>
            </w:pPr>
            <w:r w:rsidRPr="00A55335">
              <w:t>170</w:t>
            </w:r>
            <w:r w:rsidRPr="00A55335">
              <w:br/>
              <w:t>(1 RCT)</w:t>
            </w:r>
          </w:p>
        </w:tc>
        <w:tc>
          <w:tcPr>
            <w:tcW w:w="581" w:type="pct"/>
            <w:tcBorders>
              <w:top w:val="single" w:sz="6" w:space="0" w:color="000000"/>
              <w:left w:val="nil"/>
              <w:bottom w:val="single" w:sz="6" w:space="0" w:color="000000"/>
              <w:right w:val="nil"/>
            </w:tcBorders>
            <w:vAlign w:val="center"/>
            <w:hideMark/>
          </w:tcPr>
          <w:p w14:paraId="51CBDDCC" w14:textId="0BEC7ACA" w:rsidR="00870DEC" w:rsidRPr="00A55335" w:rsidRDefault="00870DEC" w:rsidP="00751C92">
            <w:pPr>
              <w:pStyle w:val="Tabletext8pt"/>
              <w:jc w:val="center"/>
            </w:pPr>
            <w:r w:rsidRPr="00A55335">
              <w:rPr>
                <w:rStyle w:val="quality-sign"/>
                <w:rFonts w:ascii="Cambria Math" w:hAnsi="Cambria Math"/>
              </w:rPr>
              <w:t>⨁⨁◯◯</w:t>
            </w:r>
            <w:r w:rsidRPr="00A55335">
              <w:br/>
            </w:r>
            <w:r w:rsidRPr="00A55335">
              <w:rPr>
                <w:rStyle w:val="QualitytextChar"/>
              </w:rPr>
              <w:t xml:space="preserve">Low </w:t>
            </w:r>
            <w:proofErr w:type="spellStart"/>
            <w:r w:rsidRPr="00A55335">
              <w:rPr>
                <w:rStyle w:val="FootnoteReference"/>
              </w:rPr>
              <w:t>a,b,e,f,j</w:t>
            </w:r>
            <w:proofErr w:type="spellEnd"/>
          </w:p>
        </w:tc>
        <w:tc>
          <w:tcPr>
            <w:tcW w:w="927" w:type="pct"/>
            <w:tcBorders>
              <w:top w:val="single" w:sz="6" w:space="0" w:color="000000"/>
              <w:left w:val="nil"/>
              <w:bottom w:val="single" w:sz="6" w:space="0" w:color="000000"/>
              <w:right w:val="nil"/>
            </w:tcBorders>
            <w:vAlign w:val="center"/>
            <w:hideMark/>
          </w:tcPr>
          <w:p w14:paraId="1508B4CD" w14:textId="3712107D" w:rsidR="00870DEC" w:rsidRPr="00A55335" w:rsidRDefault="00571E64" w:rsidP="00751C92">
            <w:pPr>
              <w:pStyle w:val="Tabletext8pt"/>
              <w:rPr>
                <w:rFonts w:eastAsia="Times New Roman"/>
              </w:rPr>
            </w:pPr>
            <w:r w:rsidRPr="00A55335">
              <w:rPr>
                <w:rFonts w:eastAsia="Times New Roman"/>
              </w:rPr>
              <w:t>H</w:t>
            </w:r>
            <w:r w:rsidR="00870DEC" w:rsidRPr="00A55335">
              <w:rPr>
                <w:rFonts w:eastAsia="Times New Roman"/>
              </w:rPr>
              <w:t>omeopathy may result in little to no difference in quality of life in people with recurrent URTIs *</w:t>
            </w:r>
            <w:r w:rsidR="00B362F6" w:rsidRPr="00A55335">
              <w:rPr>
                <w:rFonts w:eastAsia="Times New Roman"/>
              </w:rPr>
              <w:t>**</w:t>
            </w:r>
          </w:p>
        </w:tc>
      </w:tr>
      <w:tr w:rsidR="00294B4D" w:rsidRPr="00A55335" w14:paraId="6A70ED5D" w14:textId="77777777" w:rsidTr="00E51DE6">
        <w:trPr>
          <w:cantSplit/>
        </w:trPr>
        <w:tc>
          <w:tcPr>
            <w:tcW w:w="946" w:type="pct"/>
            <w:tcBorders>
              <w:top w:val="single" w:sz="6" w:space="0" w:color="000000"/>
              <w:left w:val="nil"/>
              <w:bottom w:val="single" w:sz="6" w:space="0" w:color="000000"/>
              <w:right w:val="nil"/>
            </w:tcBorders>
            <w:vAlign w:val="center"/>
            <w:hideMark/>
          </w:tcPr>
          <w:p w14:paraId="3866A149" w14:textId="2305CB77" w:rsidR="002A3457" w:rsidRPr="00A55335" w:rsidRDefault="002A3457" w:rsidP="002A3457">
            <w:pPr>
              <w:pStyle w:val="Tabletext8pt"/>
              <w:rPr>
                <w:rFonts w:cs="Times New Roman"/>
              </w:rPr>
            </w:pPr>
            <w:r w:rsidRPr="00A55335">
              <w:t xml:space="preserve">Medication use assessed </w:t>
            </w:r>
            <w:proofErr w:type="gramStart"/>
            <w:r w:rsidRPr="00A55335">
              <w:t>with:</w:t>
            </w:r>
            <w:proofErr w:type="gramEnd"/>
            <w:r w:rsidRPr="00A55335">
              <w:t xml:space="preserve"> number of participants who used antibiotics</w:t>
            </w:r>
            <w:r w:rsidRPr="00A55335">
              <w:br/>
              <w:t>follow-up: range 12 weeks to 52 weeks</w:t>
            </w:r>
          </w:p>
        </w:tc>
        <w:tc>
          <w:tcPr>
            <w:tcW w:w="691" w:type="pct"/>
            <w:tcBorders>
              <w:top w:val="single" w:sz="6" w:space="0" w:color="000000"/>
              <w:left w:val="nil"/>
              <w:bottom w:val="single" w:sz="6" w:space="0" w:color="000000"/>
              <w:right w:val="nil"/>
            </w:tcBorders>
            <w:shd w:val="clear" w:color="auto" w:fill="DEE2E4" w:themeFill="accent6" w:themeFillTint="33"/>
            <w:vAlign w:val="center"/>
            <w:hideMark/>
          </w:tcPr>
          <w:p w14:paraId="544648EE" w14:textId="305B66F4" w:rsidR="002A3457" w:rsidRPr="00A55335" w:rsidRDefault="002A3457" w:rsidP="002A3457">
            <w:pPr>
              <w:pStyle w:val="Tabletext8pt"/>
              <w:jc w:val="center"/>
            </w:pPr>
            <w:r w:rsidRPr="00A55335">
              <w:t>287 per 1,000</w:t>
            </w:r>
          </w:p>
        </w:tc>
        <w:tc>
          <w:tcPr>
            <w:tcW w:w="763" w:type="pct"/>
            <w:tcBorders>
              <w:top w:val="single" w:sz="6" w:space="0" w:color="000000"/>
              <w:left w:val="nil"/>
              <w:bottom w:val="single" w:sz="6" w:space="0" w:color="000000"/>
              <w:right w:val="nil"/>
            </w:tcBorders>
            <w:shd w:val="clear" w:color="auto" w:fill="DEE2E4" w:themeFill="accent6" w:themeFillTint="33"/>
            <w:hideMark/>
          </w:tcPr>
          <w:p w14:paraId="2768C361" w14:textId="637E0D49" w:rsidR="002A3457" w:rsidRPr="00A55335" w:rsidRDefault="002A3457" w:rsidP="0092576D">
            <w:pPr>
              <w:pStyle w:val="Tabletext8pt"/>
              <w:jc w:val="center"/>
            </w:pPr>
            <w:r w:rsidRPr="00A55335">
              <w:rPr>
                <w:rStyle w:val="Strong"/>
              </w:rPr>
              <w:t>218 per 1,000</w:t>
            </w:r>
            <w:r w:rsidRPr="00A55335">
              <w:br/>
              <w:t xml:space="preserve">(161 to </w:t>
            </w:r>
            <w:proofErr w:type="gramStart"/>
            <w:r w:rsidRPr="00A55335">
              <w:t>296)</w:t>
            </w:r>
            <w:r w:rsidR="002374FF">
              <w:t>^</w:t>
            </w:r>
            <w:proofErr w:type="gramEnd"/>
            <w:r w:rsidR="002374FF">
              <w:t>^</w:t>
            </w:r>
          </w:p>
        </w:tc>
        <w:tc>
          <w:tcPr>
            <w:tcW w:w="510" w:type="pct"/>
            <w:tcBorders>
              <w:top w:val="single" w:sz="6" w:space="0" w:color="000000"/>
              <w:left w:val="nil"/>
              <w:bottom w:val="single" w:sz="6" w:space="0" w:color="000000"/>
              <w:right w:val="nil"/>
            </w:tcBorders>
            <w:vAlign w:val="center"/>
            <w:hideMark/>
          </w:tcPr>
          <w:p w14:paraId="791C2FCF" w14:textId="4B1F3F8E" w:rsidR="002A3457" w:rsidRPr="00A55335" w:rsidRDefault="002A3457" w:rsidP="002A3457">
            <w:pPr>
              <w:pStyle w:val="Tabletext8pt"/>
              <w:jc w:val="center"/>
            </w:pPr>
            <w:r w:rsidRPr="00A55335">
              <w:rPr>
                <w:rStyle w:val="Strong"/>
              </w:rPr>
              <w:t>RR 0.76</w:t>
            </w:r>
            <w:r w:rsidRPr="00A55335">
              <w:br/>
              <w:t>(0.56 to 1.03)</w:t>
            </w:r>
          </w:p>
        </w:tc>
        <w:tc>
          <w:tcPr>
            <w:tcW w:w="582" w:type="pct"/>
            <w:tcBorders>
              <w:top w:val="single" w:sz="6" w:space="0" w:color="000000"/>
              <w:left w:val="nil"/>
              <w:bottom w:val="single" w:sz="6" w:space="0" w:color="000000"/>
              <w:right w:val="nil"/>
            </w:tcBorders>
            <w:vAlign w:val="center"/>
            <w:hideMark/>
          </w:tcPr>
          <w:p w14:paraId="496314A8" w14:textId="08D61955" w:rsidR="002A3457" w:rsidRPr="00A55335" w:rsidRDefault="002A3457" w:rsidP="002A3457">
            <w:pPr>
              <w:pStyle w:val="Tabletext8pt"/>
              <w:jc w:val="center"/>
            </w:pPr>
            <w:r w:rsidRPr="00A55335">
              <w:t>377</w:t>
            </w:r>
            <w:r w:rsidRPr="00A55335">
              <w:br/>
              <w:t xml:space="preserve">(2 RCTs) </w:t>
            </w:r>
            <w:r w:rsidRPr="00A55335">
              <w:rPr>
                <w:rStyle w:val="FootnoteReference"/>
              </w:rPr>
              <w:t>††</w:t>
            </w:r>
          </w:p>
        </w:tc>
        <w:tc>
          <w:tcPr>
            <w:tcW w:w="581" w:type="pct"/>
            <w:tcBorders>
              <w:top w:val="single" w:sz="6" w:space="0" w:color="000000"/>
              <w:left w:val="nil"/>
              <w:bottom w:val="single" w:sz="6" w:space="0" w:color="000000"/>
              <w:right w:val="nil"/>
            </w:tcBorders>
            <w:vAlign w:val="center"/>
            <w:hideMark/>
          </w:tcPr>
          <w:p w14:paraId="791C3FA1" w14:textId="18969731" w:rsidR="002A3457" w:rsidRPr="00A55335" w:rsidRDefault="002A3457" w:rsidP="002A3457">
            <w:pPr>
              <w:pStyle w:val="Tabletext8pt"/>
              <w:jc w:val="center"/>
            </w:pPr>
            <w:r w:rsidRPr="00A55335">
              <w:rPr>
                <w:rStyle w:val="quality-sign"/>
                <w:rFonts w:ascii="Cambria Math" w:hAnsi="Cambria Math"/>
              </w:rPr>
              <w:t>⨁⨁◯◯</w:t>
            </w:r>
            <w:r w:rsidRPr="00A55335">
              <w:br/>
            </w:r>
            <w:r w:rsidRPr="00A55335">
              <w:rPr>
                <w:rStyle w:val="QualitytextChar"/>
              </w:rPr>
              <w:t xml:space="preserve">Low </w:t>
            </w:r>
            <w:proofErr w:type="spellStart"/>
            <w:r w:rsidRPr="00A55335">
              <w:rPr>
                <w:rStyle w:val="FootnoteReference"/>
              </w:rPr>
              <w:t>e,f,h,i,j</w:t>
            </w:r>
            <w:proofErr w:type="spellEnd"/>
          </w:p>
        </w:tc>
        <w:tc>
          <w:tcPr>
            <w:tcW w:w="927" w:type="pct"/>
            <w:tcBorders>
              <w:top w:val="single" w:sz="6" w:space="0" w:color="000000"/>
              <w:left w:val="nil"/>
              <w:bottom w:val="single" w:sz="6" w:space="0" w:color="000000"/>
              <w:right w:val="nil"/>
            </w:tcBorders>
            <w:vAlign w:val="center"/>
            <w:hideMark/>
          </w:tcPr>
          <w:p w14:paraId="4BC1F215" w14:textId="0D52B5B8" w:rsidR="002A3457" w:rsidRPr="00A55335" w:rsidRDefault="00571E64" w:rsidP="002A3457">
            <w:pPr>
              <w:pStyle w:val="Tabletext8pt"/>
              <w:rPr>
                <w:rFonts w:eastAsia="Times New Roman"/>
              </w:rPr>
            </w:pPr>
            <w:r w:rsidRPr="00A55335">
              <w:rPr>
                <w:rFonts w:eastAsia="Times New Roman"/>
              </w:rPr>
              <w:t>H</w:t>
            </w:r>
            <w:r w:rsidR="002A3457" w:rsidRPr="00A55335">
              <w:rPr>
                <w:rFonts w:eastAsia="Times New Roman"/>
              </w:rPr>
              <w:t xml:space="preserve">omeopathy may result in little to no difference in antibiotic use in people with </w:t>
            </w:r>
            <w:r w:rsidR="000A4116" w:rsidRPr="00A55335">
              <w:rPr>
                <w:rFonts w:cs="Montserrat"/>
                <w:color w:val="000000"/>
              </w:rPr>
              <w:t>recurrent URTIs</w:t>
            </w:r>
            <w:sdt>
              <w:sdtPr>
                <w:tag w:val="goog_rdk_34"/>
                <w:id w:val="2118171252"/>
              </w:sdtPr>
              <w:sdtContent/>
            </w:sdt>
            <w:r w:rsidR="000A4116" w:rsidRPr="00A55335">
              <w:rPr>
                <w:rFonts w:cs="Montserrat"/>
                <w:color w:val="000000"/>
              </w:rPr>
              <w:t xml:space="preserve"> **</w:t>
            </w:r>
          </w:p>
        </w:tc>
      </w:tr>
      <w:tr w:rsidR="0092576D" w:rsidRPr="00A55335" w14:paraId="47C70401" w14:textId="77777777" w:rsidTr="00EE7BF3">
        <w:trPr>
          <w:cantSplit/>
        </w:trPr>
        <w:tc>
          <w:tcPr>
            <w:tcW w:w="5000" w:type="pct"/>
            <w:gridSpan w:val="7"/>
            <w:tcBorders>
              <w:top w:val="single" w:sz="6" w:space="0" w:color="000000"/>
              <w:left w:val="nil"/>
              <w:bottom w:val="single" w:sz="6" w:space="0" w:color="000000"/>
              <w:right w:val="nil"/>
            </w:tcBorders>
            <w:vAlign w:val="center"/>
            <w:hideMark/>
          </w:tcPr>
          <w:p w14:paraId="669E08C6" w14:textId="77777777" w:rsidR="0092576D" w:rsidRPr="00A55335" w:rsidRDefault="0092576D" w:rsidP="0092576D">
            <w:pPr>
              <w:pStyle w:val="TableFigNotes18"/>
            </w:pPr>
            <w:r w:rsidRPr="00A55335">
              <w:lastRenderedPageBreak/>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 </w:t>
            </w:r>
          </w:p>
          <w:p w14:paraId="700DFB05" w14:textId="3CBF7A79" w:rsidR="0092576D" w:rsidRPr="00A55335" w:rsidRDefault="0092576D" w:rsidP="0092576D">
            <w:pPr>
              <w:pStyle w:val="TableFigNotes18"/>
            </w:pPr>
            <w:r w:rsidRPr="00A55335">
              <w:t>** A 25% relative risk reduction was considered important (i.e. RR &lt; 0.75).</w:t>
            </w:r>
          </w:p>
          <w:p w14:paraId="3228E9E4" w14:textId="214452F6" w:rsidR="00D430DF" w:rsidRDefault="00B362F6" w:rsidP="00D430DF">
            <w:pPr>
              <w:pStyle w:val="TableFigNotes18"/>
            </w:pPr>
            <w:r w:rsidRPr="00A55335">
              <w:t xml:space="preserve">*** </w:t>
            </w:r>
            <w:r w:rsidR="00AF3497" w:rsidRPr="00A55335">
              <w:t>Effect estimate</w:t>
            </w:r>
            <w:r w:rsidR="00C81C18" w:rsidRPr="00A55335">
              <w:t xml:space="preserve"> considered on 3 levels: </w:t>
            </w:r>
            <w:r w:rsidR="007878EF" w:rsidRPr="00A55335">
              <w:t xml:space="preserve">small </w:t>
            </w:r>
            <w:r w:rsidR="00C81C18" w:rsidRPr="00A55335">
              <w:t>(MD &lt;10% of the scale),</w:t>
            </w:r>
            <w:r w:rsidR="007878EF" w:rsidRPr="00A55335">
              <w:t xml:space="preserve"> moderate (MD between 10% to 20% of the scale), large</w:t>
            </w:r>
            <w:r w:rsidR="00312B4B" w:rsidRPr="00A55335">
              <w:t xml:space="preserve"> (MD more than 20% of the scale)</w:t>
            </w:r>
            <w:r w:rsidR="00C81C18" w:rsidRPr="00A55335">
              <w:t xml:space="preserve"> </w:t>
            </w:r>
            <w:r w:rsidR="00D430DF">
              <w:br/>
            </w:r>
            <w:r w:rsidR="00D430DF">
              <w:br/>
            </w:r>
            <w:r w:rsidR="002374FF">
              <w:t>^</w:t>
            </w:r>
            <w:r w:rsidR="00D430DF">
              <w:t xml:space="preserve"> </w:t>
            </w:r>
            <w:r w:rsidR="00D430DF" w:rsidRPr="00DC72CF">
              <w:t xml:space="preserve">The ARD is </w:t>
            </w:r>
            <w:r w:rsidR="003B5502">
              <w:t>300</w:t>
            </w:r>
            <w:r w:rsidR="00D430DF" w:rsidRPr="00DC72CF">
              <w:t xml:space="preserve"> fewer per 1</w:t>
            </w:r>
            <w:r w:rsidR="00D430DF">
              <w:t>0</w:t>
            </w:r>
            <w:r w:rsidR="00D430DF" w:rsidRPr="00DC72CF">
              <w:t xml:space="preserve">00 </w:t>
            </w:r>
            <w:r w:rsidR="00AC6682">
              <w:t xml:space="preserve">(from 425 fewer to 35 more) i.e. </w:t>
            </w:r>
            <w:r w:rsidR="003B5502">
              <w:t>30</w:t>
            </w:r>
            <w:r w:rsidR="00D430DF">
              <w:t xml:space="preserve">% reduction. </w:t>
            </w:r>
          </w:p>
          <w:p w14:paraId="7F1EFB3C" w14:textId="158FDBF5" w:rsidR="00734EF5" w:rsidRPr="00A55335" w:rsidRDefault="002374FF" w:rsidP="0092576D">
            <w:pPr>
              <w:pStyle w:val="TableFigNotes18"/>
            </w:pPr>
            <w:r>
              <w:t>^^</w:t>
            </w:r>
            <w:r w:rsidR="00D430DF">
              <w:t xml:space="preserve"> </w:t>
            </w:r>
            <w:r w:rsidR="00D430DF" w:rsidRPr="00BC53A3">
              <w:t xml:space="preserve">The ARD is </w:t>
            </w:r>
            <w:r w:rsidR="00D83045">
              <w:t>69</w:t>
            </w:r>
            <w:r w:rsidR="00D430DF" w:rsidRPr="00BC53A3">
              <w:t xml:space="preserve"> fewer per 100</w:t>
            </w:r>
            <w:r w:rsidR="00D430DF">
              <w:t>0</w:t>
            </w:r>
            <w:r w:rsidR="00D430DF" w:rsidRPr="00BC53A3">
              <w:t xml:space="preserve"> (</w:t>
            </w:r>
            <w:r w:rsidR="00AC6682">
              <w:t xml:space="preserve">from 126 fewer to 9 more) i.e. </w:t>
            </w:r>
            <w:r w:rsidR="00D83045">
              <w:t>6.9</w:t>
            </w:r>
            <w:r w:rsidR="00D430DF">
              <w:t xml:space="preserve">% reduction. </w:t>
            </w:r>
          </w:p>
          <w:p w14:paraId="40364E8D" w14:textId="5D4C3E7C" w:rsidR="00E911FC" w:rsidRPr="00A55335" w:rsidRDefault="002374FF" w:rsidP="0092576D">
            <w:pPr>
              <w:pStyle w:val="TableFigNotes18"/>
            </w:pPr>
            <w:r>
              <w:br/>
              <w:t>#</w:t>
            </w:r>
            <w:r w:rsidR="00E90527" w:rsidRPr="00A55335">
              <w:t xml:space="preserve"> </w:t>
            </w:r>
            <w:r w:rsidR="00825913" w:rsidRPr="00A55335">
              <w:t xml:space="preserve">Results should be </w:t>
            </w:r>
            <w:r w:rsidR="00E90527" w:rsidRPr="00A55335">
              <w:t>interpret</w:t>
            </w:r>
            <w:r w:rsidR="00825913" w:rsidRPr="00A55335">
              <w:t>ed</w:t>
            </w:r>
            <w:r w:rsidR="00E90527" w:rsidRPr="00A55335">
              <w:t xml:space="preserve"> with caution. Data are skewed and contain outliers. </w:t>
            </w:r>
          </w:p>
          <w:p w14:paraId="415132C2" w14:textId="74C55186" w:rsidR="0092576D" w:rsidRPr="00A55335" w:rsidRDefault="002374FF" w:rsidP="0092576D">
            <w:pPr>
              <w:pStyle w:val="TableFigNotes18"/>
            </w:pPr>
            <w:r>
              <w:br/>
            </w:r>
            <w:r w:rsidR="0092576D" w:rsidRPr="00A55335">
              <w:t xml:space="preserve">† Missing data from 1 RCT (170 participants) (data were </w:t>
            </w:r>
            <w:r w:rsidR="005B6F30" w:rsidRPr="00A55335">
              <w:t>not able to be included here</w:t>
            </w:r>
            <w:r w:rsidR="0092576D" w:rsidRPr="00A55335">
              <w:t xml:space="preserve">). The mean number of episodes of respiratory tract infections was 7.9 in the homeopathy group, compared to 8.4 in the placebo group. </w:t>
            </w:r>
          </w:p>
          <w:p w14:paraId="18C43A89" w14:textId="0932DF99" w:rsidR="005B6F30" w:rsidRPr="00A55335" w:rsidRDefault="0092576D" w:rsidP="0092576D">
            <w:pPr>
              <w:pStyle w:val="TableFigNotes18"/>
              <w:rPr>
                <w:rStyle w:val="FootnoteReference"/>
              </w:rPr>
            </w:pPr>
            <w:r w:rsidRPr="00A55335">
              <w:t xml:space="preserve">†† </w:t>
            </w:r>
            <w:r w:rsidR="00995248" w:rsidRPr="00A55335">
              <w:t xml:space="preserve">The </w:t>
            </w:r>
            <w:r w:rsidR="00120BA6" w:rsidRPr="00A55335">
              <w:t xml:space="preserve">study </w:t>
            </w:r>
            <w:r w:rsidR="00480B76" w:rsidRPr="00A55335">
              <w:t xml:space="preserve">also </w:t>
            </w:r>
            <w:r w:rsidR="00995248" w:rsidRPr="00A55335">
              <w:t xml:space="preserve">assessed </w:t>
            </w:r>
            <w:r w:rsidRPr="00A55335">
              <w:t>parent-</w:t>
            </w:r>
            <w:r w:rsidR="00120BA6" w:rsidRPr="00A55335">
              <w:t>selected</w:t>
            </w:r>
            <w:r w:rsidRPr="00A55335">
              <w:t xml:space="preserve"> homeopathy</w:t>
            </w:r>
            <w:r w:rsidR="00480B76" w:rsidRPr="00A55335">
              <w:t xml:space="preserve">, </w:t>
            </w:r>
            <w:r w:rsidR="009237FE" w:rsidRPr="00A55335">
              <w:rPr>
                <w:rFonts w:cs="Montserrat"/>
                <w:szCs w:val="15"/>
              </w:rPr>
              <w:t>with similar results observed</w:t>
            </w:r>
            <w:r w:rsidR="00995248" w:rsidRPr="00A55335">
              <w:rPr>
                <w:rFonts w:cs="Montserrat"/>
                <w:szCs w:val="15"/>
              </w:rPr>
              <w:t xml:space="preserve"> (</w:t>
            </w:r>
            <w:r w:rsidR="009C66EB" w:rsidRPr="00A55335">
              <w:rPr>
                <w:rFonts w:cs="Montserrat"/>
                <w:szCs w:val="15"/>
              </w:rPr>
              <w:t xml:space="preserve">median duration of URTI symptoms was </w:t>
            </w:r>
            <w:r w:rsidR="00761F94">
              <w:rPr>
                <w:rFonts w:cs="Montserrat"/>
                <w:szCs w:val="15"/>
              </w:rPr>
              <w:t xml:space="preserve">9 </w:t>
            </w:r>
            <w:r w:rsidR="009C66EB" w:rsidRPr="00A55335">
              <w:rPr>
                <w:rFonts w:cs="Montserrat"/>
                <w:szCs w:val="15"/>
              </w:rPr>
              <w:t xml:space="preserve">days [95% CI </w:t>
            </w:r>
            <w:r w:rsidR="00761F94">
              <w:rPr>
                <w:rFonts w:cs="Montserrat"/>
                <w:szCs w:val="15"/>
              </w:rPr>
              <w:t>16</w:t>
            </w:r>
            <w:r w:rsidR="00761F94" w:rsidRPr="00A55335">
              <w:rPr>
                <w:rFonts w:cs="Montserrat"/>
                <w:szCs w:val="15"/>
              </w:rPr>
              <w:t xml:space="preserve"> </w:t>
            </w:r>
            <w:r w:rsidR="00BA0305" w:rsidRPr="00A55335">
              <w:rPr>
                <w:rFonts w:cs="Montserrat"/>
                <w:szCs w:val="15"/>
              </w:rPr>
              <w:t xml:space="preserve">to </w:t>
            </w:r>
            <w:r w:rsidR="00761F94">
              <w:rPr>
                <w:rFonts w:cs="Montserrat"/>
                <w:szCs w:val="15"/>
              </w:rPr>
              <w:t>44</w:t>
            </w:r>
            <w:r w:rsidR="00BA0305" w:rsidRPr="00A55335">
              <w:rPr>
                <w:rFonts w:cs="Montserrat"/>
                <w:szCs w:val="15"/>
              </w:rPr>
              <w:t>]</w:t>
            </w:r>
            <w:r w:rsidR="009C66EB" w:rsidRPr="00A55335">
              <w:rPr>
                <w:rFonts w:cs="Montserrat"/>
                <w:szCs w:val="15"/>
              </w:rPr>
              <w:t>)</w:t>
            </w:r>
            <w:r w:rsidR="009237FE" w:rsidRPr="00A55335">
              <w:rPr>
                <w:rFonts w:cs="Montserrat"/>
                <w:szCs w:val="15"/>
              </w:rPr>
              <w:t>.</w:t>
            </w:r>
            <w:r w:rsidR="005B6F30" w:rsidRPr="00A55335">
              <w:rPr>
                <w:rStyle w:val="FootnoteReference"/>
              </w:rPr>
              <w:t xml:space="preserve"> </w:t>
            </w:r>
          </w:p>
          <w:p w14:paraId="6E0467B3" w14:textId="0E30EAEE" w:rsidR="005B6F30" w:rsidRPr="00A55335" w:rsidRDefault="005B6F30" w:rsidP="00734EF5">
            <w:pPr>
              <w:pStyle w:val="TableFigNotes18"/>
            </w:pPr>
            <w:r w:rsidRPr="00A55335">
              <w:t>††† Missing data from 1 RCT (</w:t>
            </w:r>
            <w:r w:rsidR="00F4425C" w:rsidRPr="00A55335">
              <w:t>267 participants</w:t>
            </w:r>
            <w:r w:rsidRPr="00A55335">
              <w:t>)</w:t>
            </w:r>
            <w:r w:rsidR="00F4425C" w:rsidRPr="00A55335">
              <w:t xml:space="preserve">. Authors report median (95% CIs) </w:t>
            </w:r>
            <w:r w:rsidR="00D9634A" w:rsidRPr="00A55335">
              <w:t>and unable to be interpreted</w:t>
            </w:r>
            <w:r w:rsidR="00F4425C" w:rsidRPr="00A55335">
              <w:t xml:space="preserve">. </w:t>
            </w:r>
            <w:r w:rsidR="00D439EF" w:rsidRPr="00A55335">
              <w:t>The study suggests there is no important difference between groups.</w:t>
            </w:r>
          </w:p>
          <w:p w14:paraId="1D7FB81D" w14:textId="7973E8D3" w:rsidR="0092576D" w:rsidRPr="00A55335" w:rsidRDefault="00230D48" w:rsidP="0092576D">
            <w:pPr>
              <w:pStyle w:val="TableFigNotes0"/>
            </w:pPr>
            <w:r>
              <w:rPr>
                <w:rStyle w:val="Strong"/>
              </w:rPr>
              <w:t xml:space="preserve">ARD: </w:t>
            </w:r>
            <w:r>
              <w:rPr>
                <w:rStyle w:val="Strong"/>
                <w:b w:val="0"/>
                <w:bCs w:val="0"/>
              </w:rPr>
              <w:t>a</w:t>
            </w:r>
            <w:r w:rsidRPr="00FA6A2A">
              <w:rPr>
                <w:rStyle w:val="Strong"/>
                <w:b w:val="0"/>
                <w:bCs w:val="0"/>
              </w:rPr>
              <w:t xml:space="preserve">bsolute risk difference; </w:t>
            </w:r>
            <w:r w:rsidR="0092576D" w:rsidRPr="00A55335">
              <w:rPr>
                <w:rStyle w:val="Strong"/>
              </w:rPr>
              <w:t>CI:</w:t>
            </w:r>
            <w:r w:rsidR="0092576D" w:rsidRPr="00A55335">
              <w:t xml:space="preserve"> confidence interval; </w:t>
            </w:r>
            <w:r w:rsidR="0092576D" w:rsidRPr="00A55335">
              <w:rPr>
                <w:rStyle w:val="Strong"/>
              </w:rPr>
              <w:t>RR:</w:t>
            </w:r>
            <w:r w:rsidR="0092576D" w:rsidRPr="00A55335">
              <w:t xml:space="preserve"> risk ratio; </w:t>
            </w:r>
            <w:r w:rsidR="0092576D" w:rsidRPr="00A55335">
              <w:rPr>
                <w:rStyle w:val="Strong"/>
              </w:rPr>
              <w:t>URTI:</w:t>
            </w:r>
            <w:r w:rsidR="0092576D" w:rsidRPr="00A55335">
              <w:t xml:space="preserve"> upper respiratory tract infection.</w:t>
            </w:r>
          </w:p>
        </w:tc>
      </w:tr>
      <w:tr w:rsidR="0092576D" w:rsidRPr="00A55335" w14:paraId="2403698B" w14:textId="77777777" w:rsidTr="00EE7BF3">
        <w:trPr>
          <w:cantSplit/>
        </w:trPr>
        <w:tc>
          <w:tcPr>
            <w:tcW w:w="5000" w:type="pct"/>
            <w:gridSpan w:val="7"/>
            <w:tcBorders>
              <w:top w:val="single" w:sz="6" w:space="0" w:color="000000"/>
              <w:left w:val="nil"/>
              <w:bottom w:val="single" w:sz="6" w:space="0" w:color="000000"/>
              <w:right w:val="nil"/>
            </w:tcBorders>
            <w:vAlign w:val="center"/>
            <w:hideMark/>
          </w:tcPr>
          <w:p w14:paraId="38F1818A" w14:textId="77777777" w:rsidR="0092576D" w:rsidRPr="00A55335" w:rsidRDefault="0092576D" w:rsidP="0092576D">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31F4CE3E" w14:textId="77777777" w:rsidR="00DD505D" w:rsidRPr="00A55335" w:rsidRDefault="00E35087" w:rsidP="00E35087">
      <w:pPr>
        <w:pStyle w:val="Heading5a"/>
        <w:rPr>
          <w:lang w:val="en-AU"/>
        </w:rPr>
      </w:pPr>
      <w:r w:rsidRPr="00A55335">
        <w:rPr>
          <w:lang w:val="en-AU"/>
        </w:rPr>
        <w:t>Explanations</w:t>
      </w:r>
    </w:p>
    <w:p w14:paraId="1798E4B6" w14:textId="220F4404" w:rsidR="00DD505D" w:rsidRPr="00A55335" w:rsidRDefault="00DD505D" w:rsidP="001343BC">
      <w:pPr>
        <w:pStyle w:val="Footnote"/>
      </w:pPr>
      <w:r w:rsidRPr="00A55335">
        <w:t xml:space="preserve">a. </w:t>
      </w:r>
      <w:proofErr w:type="gramStart"/>
      <w:r w:rsidR="004E4E4C" w:rsidRPr="00A55335">
        <w:t>Serious</w:t>
      </w:r>
      <w:proofErr w:type="gramEnd"/>
      <w:r w:rsidR="004E4E4C" w:rsidRPr="00A55335">
        <w:t xml:space="preserve"> risk of bias. </w:t>
      </w:r>
      <w:r w:rsidRPr="00A55335">
        <w:t xml:space="preserve">One </w:t>
      </w:r>
      <w:r w:rsidR="004E4E4C" w:rsidRPr="00A55335">
        <w:t>RCT</w:t>
      </w:r>
      <w:r w:rsidRPr="00A55335">
        <w:t xml:space="preserve"> contributing 100% of data was at high risk of bias</w:t>
      </w:r>
      <w:r w:rsidR="004E4E4C" w:rsidRPr="00A55335">
        <w:t>. Certainty of evidence downgraded.</w:t>
      </w:r>
    </w:p>
    <w:p w14:paraId="65104FF0" w14:textId="77777777" w:rsidR="004E4E4C" w:rsidRPr="00A55335" w:rsidRDefault="004E4E4C" w:rsidP="004E4E4C">
      <w:pPr>
        <w:pStyle w:val="Footnote"/>
      </w:pPr>
      <w:r w:rsidRPr="00A55335">
        <w:t>b. Single study. Inconsistency not assessed. Certainty of evidence not downgraded.</w:t>
      </w:r>
    </w:p>
    <w:p w14:paraId="3DD783F4" w14:textId="3C42EE49" w:rsidR="004E4E4C" w:rsidRPr="00A55335" w:rsidRDefault="004E4E4C" w:rsidP="004E4E4C">
      <w:pPr>
        <w:pStyle w:val="Footnote"/>
      </w:pPr>
      <w:r w:rsidRPr="00A55335">
        <w:t>c. No serious indirectness. The evidence is directly generalisable to the Australian population with few caveats. The available evidence is in children with recurrent tonsilitis scheduled for tonsillectomy. Certainty of evidence not downgraded.</w:t>
      </w:r>
    </w:p>
    <w:p w14:paraId="0FEDF259" w14:textId="626FED19" w:rsidR="004E4E4C" w:rsidRPr="00A55335" w:rsidRDefault="004E4E4C" w:rsidP="004E4E4C">
      <w:pPr>
        <w:pStyle w:val="Footnote"/>
      </w:pPr>
      <w:r w:rsidRPr="00A55335">
        <w:t xml:space="preserve">d. </w:t>
      </w:r>
      <w:r w:rsidR="001A1110" w:rsidRPr="00A55335">
        <w:t>Very s</w:t>
      </w:r>
      <w:r w:rsidRPr="00A55335">
        <w:t xml:space="preserve">erious imprecision. One </w:t>
      </w:r>
      <w:r w:rsidR="00021E4B" w:rsidRPr="00A55335">
        <w:t xml:space="preserve">small </w:t>
      </w:r>
      <w:r w:rsidRPr="00A55335">
        <w:t>study with wide confidence intervals (upper and low</w:t>
      </w:r>
      <w:r w:rsidR="00CE7C00">
        <w:t>er</w:t>
      </w:r>
      <w:r w:rsidRPr="00A55335">
        <w:t xml:space="preserve"> bounds overlap with both an important and no important difference). Certainty of evidence downgraded</w:t>
      </w:r>
      <w:r w:rsidR="001A1110" w:rsidRPr="00A55335">
        <w:t xml:space="preserve"> 2 levels</w:t>
      </w:r>
      <w:r w:rsidRPr="00A55335">
        <w:t>.</w:t>
      </w:r>
    </w:p>
    <w:p w14:paraId="3676F77B" w14:textId="111DA295" w:rsidR="004E4E4C" w:rsidRPr="00A55335" w:rsidRDefault="004E4E4C" w:rsidP="004E4E4C">
      <w:pPr>
        <w:pStyle w:val="Footnote"/>
      </w:pPr>
      <w:r w:rsidRPr="00A55335">
        <w:t>e. Publication bias not suspected. Certainty of evidence not downgraded.</w:t>
      </w:r>
    </w:p>
    <w:p w14:paraId="51DA9EEC" w14:textId="77777777" w:rsidR="00B57A7B" w:rsidRPr="00A55335" w:rsidRDefault="00E903E4" w:rsidP="00E903E4">
      <w:pPr>
        <w:pStyle w:val="Footnote"/>
      </w:pPr>
      <w:r w:rsidRPr="00A55335">
        <w:t xml:space="preserve">f. No serious indirectness. The evidence is directly generalisable to the Australian population with few caveats. The available evidence is in children </w:t>
      </w:r>
      <w:r w:rsidR="00CF1AD6" w:rsidRPr="00A55335">
        <w:t>with</w:t>
      </w:r>
      <w:r w:rsidRPr="00A55335">
        <w:t xml:space="preserve"> URTI</w:t>
      </w:r>
      <w:r w:rsidR="00F63577" w:rsidRPr="00A55335">
        <w:t xml:space="preserve"> and increased risk of recurrent infection</w:t>
      </w:r>
      <w:r w:rsidRPr="00A55335">
        <w:t>. Certainty of evidence not downgraded.</w:t>
      </w:r>
    </w:p>
    <w:p w14:paraId="40A7AB0A" w14:textId="7B186ABF" w:rsidR="00D65F58" w:rsidRPr="00A55335" w:rsidRDefault="00B57A7B" w:rsidP="00D65F58">
      <w:pPr>
        <w:pStyle w:val="Footnote"/>
      </w:pPr>
      <w:r w:rsidRPr="00A55335">
        <w:t xml:space="preserve">g. </w:t>
      </w:r>
      <w:r w:rsidR="003A5922">
        <w:t>Very s</w:t>
      </w:r>
      <w:r w:rsidRPr="00A55335">
        <w:t xml:space="preserve">erious imprecision. </w:t>
      </w:r>
      <w:r w:rsidR="00E911FC" w:rsidRPr="00A55335">
        <w:t xml:space="preserve">Median (95% CI) data reported by study authors and not able to be interpreted. Data were skewed and had outliers. </w:t>
      </w:r>
      <w:r w:rsidR="005B3D71" w:rsidRPr="00A55335">
        <w:t>Authors suggest a 20% reduction in symptom duration as being important</w:t>
      </w:r>
      <w:r w:rsidR="00AF312B" w:rsidRPr="00A55335">
        <w:t>.</w:t>
      </w:r>
      <w:r w:rsidR="0022307D" w:rsidRPr="00A55335">
        <w:t xml:space="preserve"> </w:t>
      </w:r>
      <w:r w:rsidR="00D65F58" w:rsidRPr="00A55335">
        <w:t>Certainty of evidence downgraded</w:t>
      </w:r>
      <w:r w:rsidR="00CF23C0" w:rsidRPr="00A55335">
        <w:t xml:space="preserve"> 2 levels</w:t>
      </w:r>
      <w:r w:rsidR="00D65F58" w:rsidRPr="00A55335">
        <w:t>.</w:t>
      </w:r>
    </w:p>
    <w:p w14:paraId="50358664" w14:textId="30AE8B19" w:rsidR="00E56997" w:rsidRPr="00A55335" w:rsidRDefault="00E56997" w:rsidP="00D65F58">
      <w:pPr>
        <w:pStyle w:val="Footnote"/>
      </w:pPr>
      <w:r w:rsidRPr="00A55335">
        <w:t xml:space="preserve">h. </w:t>
      </w:r>
      <w:proofErr w:type="gramStart"/>
      <w:r w:rsidRPr="00A55335">
        <w:t>Serious</w:t>
      </w:r>
      <w:proofErr w:type="gramEnd"/>
      <w:r w:rsidRPr="00A55335">
        <w:t xml:space="preserve"> risk of bias. </w:t>
      </w:r>
      <w:r w:rsidR="00027AEA" w:rsidRPr="00A55335">
        <w:t>Two</w:t>
      </w:r>
      <w:r w:rsidRPr="00A55335">
        <w:t xml:space="preserve"> RCT</w:t>
      </w:r>
      <w:r w:rsidR="00027AEA" w:rsidRPr="00A55335">
        <w:t>s</w:t>
      </w:r>
      <w:r w:rsidRPr="00A55335">
        <w:t xml:space="preserve"> contributing 100% of data was at high risk of bias. Certainty of evidence downgraded.</w:t>
      </w:r>
    </w:p>
    <w:p w14:paraId="6DA3AEE3" w14:textId="77777777" w:rsidR="00E56997" w:rsidRPr="00A55335" w:rsidRDefault="00E56997" w:rsidP="00E56997">
      <w:pPr>
        <w:pStyle w:val="Footnote"/>
      </w:pPr>
      <w:proofErr w:type="spellStart"/>
      <w:r w:rsidRPr="00A55335">
        <w:t>i</w:t>
      </w:r>
      <w:proofErr w:type="spellEnd"/>
      <w:r w:rsidRPr="00A55335">
        <w:t>. No serious inconsistency. Certainty of evidence not downgraded.</w:t>
      </w:r>
    </w:p>
    <w:p w14:paraId="10186AA3" w14:textId="70ED28D9" w:rsidR="00E903E4" w:rsidRPr="00A55335" w:rsidRDefault="00E56997" w:rsidP="00E903E4">
      <w:pPr>
        <w:pStyle w:val="Footnote"/>
      </w:pPr>
      <w:r w:rsidRPr="00A55335">
        <w:lastRenderedPageBreak/>
        <w:t xml:space="preserve">j. </w:t>
      </w:r>
      <w:proofErr w:type="gramStart"/>
      <w:r w:rsidRPr="00A55335">
        <w:t>Serious</w:t>
      </w:r>
      <w:proofErr w:type="gramEnd"/>
      <w:r w:rsidRPr="00A55335">
        <w:t xml:space="preserve"> imprecision. Wide confidence intervals (upper and low</w:t>
      </w:r>
      <w:r w:rsidR="00CA3065">
        <w:t>er</w:t>
      </w:r>
      <w:r w:rsidRPr="00A55335">
        <w:t xml:space="preserve"> bounds overlap with both no important difference</w:t>
      </w:r>
      <w:r w:rsidR="0008739A" w:rsidRPr="00A55335">
        <w:t xml:space="preserve"> and important harms</w:t>
      </w:r>
      <w:r w:rsidRPr="00A55335">
        <w:t>). Certainty of evidence downgraded</w:t>
      </w:r>
      <w:r w:rsidR="00D25552" w:rsidRPr="00A55335">
        <w:t>.</w:t>
      </w:r>
    </w:p>
    <w:p w14:paraId="34FAB38C" w14:textId="347A7B25" w:rsidR="0008739A" w:rsidRPr="00A55335" w:rsidRDefault="0008739A" w:rsidP="0008739A">
      <w:pPr>
        <w:pStyle w:val="Footnote"/>
      </w:pPr>
      <w:r w:rsidRPr="00A55335">
        <w:t>k. Publication bias suspected. There is a strong suspicion of non-reporting of results likely to be related to p-value, direction, or magnitude of effect. Certainty of evidence downgraded.</w:t>
      </w:r>
    </w:p>
    <w:p w14:paraId="58BE49D9" w14:textId="10C7A888" w:rsidR="00040CAC" w:rsidRPr="00A55335" w:rsidRDefault="006070ED" w:rsidP="00040CAC">
      <w:pPr>
        <w:pStyle w:val="Heading4"/>
      </w:pPr>
      <w:r w:rsidRPr="00A55335">
        <w:t>Secondary Comparison</w:t>
      </w:r>
      <w:r w:rsidR="00C012FD" w:rsidRPr="00A55335">
        <w:t xml:space="preserve"> </w:t>
      </w:r>
      <w:r w:rsidR="00040CAC" w:rsidRPr="00A55335">
        <w:t xml:space="preserve">(vs </w:t>
      </w:r>
      <w:r w:rsidR="00084BE5" w:rsidRPr="00A55335">
        <w:t xml:space="preserve">inactive </w:t>
      </w:r>
      <w:r w:rsidR="00040CAC" w:rsidRPr="00A55335">
        <w:t xml:space="preserve">control) </w:t>
      </w:r>
    </w:p>
    <w:tbl>
      <w:tblPr>
        <w:tblW w:w="5073" w:type="pct"/>
        <w:tblLayout w:type="fixed"/>
        <w:tblCellMar>
          <w:top w:w="60" w:type="dxa"/>
          <w:left w:w="60" w:type="dxa"/>
          <w:bottom w:w="60" w:type="dxa"/>
          <w:right w:w="60" w:type="dxa"/>
        </w:tblCellMar>
        <w:tblLook w:val="04A0" w:firstRow="1" w:lastRow="0" w:firstColumn="1" w:lastColumn="0" w:noHBand="0" w:noVBand="1"/>
      </w:tblPr>
      <w:tblGrid>
        <w:gridCol w:w="1700"/>
        <w:gridCol w:w="1418"/>
        <w:gridCol w:w="1418"/>
        <w:gridCol w:w="993"/>
        <w:gridCol w:w="1275"/>
        <w:gridCol w:w="1131"/>
        <w:gridCol w:w="1952"/>
      </w:tblGrid>
      <w:tr w:rsidR="00302AC5" w:rsidRPr="00A55335" w14:paraId="657C0963" w14:textId="77777777" w:rsidTr="00143B42">
        <w:trPr>
          <w:cantSplit/>
          <w:tblHeader/>
        </w:trPr>
        <w:tc>
          <w:tcPr>
            <w:tcW w:w="5000" w:type="pct"/>
            <w:gridSpan w:val="7"/>
            <w:tcBorders>
              <w:top w:val="single" w:sz="12" w:space="0" w:color="000000"/>
              <w:left w:val="nil"/>
              <w:bottom w:val="single" w:sz="12" w:space="0" w:color="000000"/>
              <w:right w:val="nil"/>
            </w:tcBorders>
            <w:vAlign w:val="center"/>
            <w:hideMark/>
          </w:tcPr>
          <w:p w14:paraId="45DDB52B" w14:textId="41942FA3" w:rsidR="00302AC5" w:rsidRPr="00A55335" w:rsidRDefault="00302AC5" w:rsidP="00916A9C">
            <w:pPr>
              <w:pStyle w:val="TableH1"/>
              <w:rPr>
                <w:rFonts w:eastAsiaTheme="minorEastAsia"/>
                <w:lang w:val="en-AU"/>
              </w:rPr>
            </w:pPr>
            <w:r w:rsidRPr="00A55335">
              <w:rPr>
                <w:lang w:val="en-AU"/>
              </w:rPr>
              <w:t xml:space="preserve">Homeopathy compared to </w:t>
            </w:r>
            <w:r w:rsidR="00084BE5" w:rsidRPr="00A55335">
              <w:rPr>
                <w:lang w:val="en-AU"/>
              </w:rPr>
              <w:t xml:space="preserve">inactive </w:t>
            </w:r>
            <w:r w:rsidRPr="00A55335">
              <w:rPr>
                <w:lang w:val="en-AU"/>
              </w:rPr>
              <w:t>control (no intervention) for Recurrent infections (upper respiratory tract infections)</w:t>
            </w:r>
          </w:p>
        </w:tc>
      </w:tr>
      <w:tr w:rsidR="00302AC5" w:rsidRPr="00A55335" w14:paraId="402D6F16" w14:textId="77777777" w:rsidTr="00143B42">
        <w:trPr>
          <w:cantSplit/>
          <w:tblHeader/>
        </w:trPr>
        <w:tc>
          <w:tcPr>
            <w:tcW w:w="5000" w:type="pct"/>
            <w:gridSpan w:val="7"/>
            <w:tcBorders>
              <w:top w:val="single" w:sz="12" w:space="0" w:color="000000"/>
              <w:left w:val="nil"/>
              <w:bottom w:val="single" w:sz="12" w:space="0" w:color="000000"/>
              <w:right w:val="nil"/>
            </w:tcBorders>
            <w:vAlign w:val="center"/>
            <w:hideMark/>
          </w:tcPr>
          <w:p w14:paraId="628101D7" w14:textId="77777777" w:rsidR="00302AC5" w:rsidRPr="00A55335" w:rsidRDefault="00302AC5" w:rsidP="00916A9C">
            <w:pPr>
              <w:pStyle w:val="Tabletext9pt"/>
            </w:pPr>
            <w:r w:rsidRPr="00A55335">
              <w:rPr>
                <w:rStyle w:val="Strong"/>
              </w:rPr>
              <w:t xml:space="preserve">Patient or population: </w:t>
            </w:r>
            <w:r w:rsidRPr="00A55335">
              <w:t>Recurrent infections (upper respiratory tract infections)</w:t>
            </w:r>
          </w:p>
          <w:p w14:paraId="0A307E02" w14:textId="77777777" w:rsidR="00302AC5" w:rsidRPr="00A55335" w:rsidRDefault="00302AC5" w:rsidP="00916A9C">
            <w:pPr>
              <w:pStyle w:val="Tabletext9pt"/>
            </w:pPr>
            <w:r w:rsidRPr="00A55335">
              <w:rPr>
                <w:rStyle w:val="Strong"/>
              </w:rPr>
              <w:t xml:space="preserve">Setting: </w:t>
            </w:r>
            <w:r w:rsidRPr="00A55335">
              <w:t>Community, outpatient clinics</w:t>
            </w:r>
          </w:p>
          <w:p w14:paraId="015ED198" w14:textId="77777777" w:rsidR="00302AC5" w:rsidRPr="00A55335" w:rsidRDefault="00302AC5" w:rsidP="00916A9C">
            <w:pPr>
              <w:pStyle w:val="Tabletext9pt"/>
            </w:pPr>
            <w:r w:rsidRPr="00A55335">
              <w:rPr>
                <w:rStyle w:val="Strong"/>
              </w:rPr>
              <w:t xml:space="preserve">Intervention: </w:t>
            </w:r>
            <w:r w:rsidRPr="00A55335">
              <w:t>Homeopathy</w:t>
            </w:r>
          </w:p>
          <w:p w14:paraId="2D9B76E8" w14:textId="044F1C7C" w:rsidR="00302AC5" w:rsidRPr="00A55335" w:rsidRDefault="00302AC5" w:rsidP="00916A9C">
            <w:pPr>
              <w:pStyle w:val="Tabletext9pt"/>
            </w:pPr>
            <w:r w:rsidRPr="00A55335">
              <w:rPr>
                <w:rStyle w:val="Strong"/>
              </w:rPr>
              <w:t xml:space="preserve">Comparison: </w:t>
            </w:r>
            <w:r w:rsidR="00084BE5" w:rsidRPr="00A55335">
              <w:t>Inactive c</w:t>
            </w:r>
            <w:r w:rsidR="00C012FD" w:rsidRPr="00A55335">
              <w:t xml:space="preserve">ontrol </w:t>
            </w:r>
            <w:r w:rsidRPr="00A55335">
              <w:t>(no intervention</w:t>
            </w:r>
            <w:r w:rsidR="00997859" w:rsidRPr="00A55335">
              <w:t>, usual care</w:t>
            </w:r>
            <w:r w:rsidRPr="00A55335">
              <w:t>)</w:t>
            </w:r>
          </w:p>
        </w:tc>
      </w:tr>
      <w:tr w:rsidR="000808B6" w:rsidRPr="00A55335" w14:paraId="518F7ABC" w14:textId="77777777" w:rsidTr="00143B42">
        <w:trPr>
          <w:cantSplit/>
          <w:tblHeader/>
        </w:trPr>
        <w:tc>
          <w:tcPr>
            <w:tcW w:w="860" w:type="pct"/>
            <w:vMerge w:val="restart"/>
            <w:tcBorders>
              <w:right w:val="single" w:sz="6" w:space="0" w:color="EFEFEF"/>
            </w:tcBorders>
            <w:shd w:val="clear" w:color="auto" w:fill="006579" w:themeFill="accent2"/>
            <w:vAlign w:val="bottom"/>
            <w:hideMark/>
          </w:tcPr>
          <w:p w14:paraId="2A0B64F0" w14:textId="77777777" w:rsidR="00302AC5" w:rsidRPr="00A55335" w:rsidRDefault="00302AC5" w:rsidP="00F92934">
            <w:pPr>
              <w:pStyle w:val="Tabletext8pt"/>
              <w:rPr>
                <w:b/>
                <w:bCs/>
                <w:color w:val="F9F9F9" w:themeColor="background1"/>
              </w:rPr>
            </w:pPr>
            <w:r w:rsidRPr="00A55335">
              <w:rPr>
                <w:b/>
                <w:bCs/>
                <w:color w:val="F9F9F9" w:themeColor="background1"/>
              </w:rPr>
              <w:t>Outcomes</w:t>
            </w:r>
          </w:p>
        </w:tc>
        <w:tc>
          <w:tcPr>
            <w:tcW w:w="1433" w:type="pct"/>
            <w:gridSpan w:val="2"/>
            <w:tcBorders>
              <w:top w:val="single" w:sz="6" w:space="0" w:color="EFEFEF"/>
              <w:right w:val="single" w:sz="6" w:space="0" w:color="EFEFEF"/>
            </w:tcBorders>
            <w:shd w:val="clear" w:color="auto" w:fill="E1E4E5" w:themeFill="accent5"/>
            <w:vAlign w:val="bottom"/>
            <w:hideMark/>
          </w:tcPr>
          <w:p w14:paraId="122C275A" w14:textId="77777777" w:rsidR="00302AC5" w:rsidRPr="00A55335" w:rsidRDefault="00302AC5" w:rsidP="008439E9">
            <w:pPr>
              <w:pStyle w:val="Tabletext8pt"/>
              <w:rPr>
                <w:rStyle w:val="Strong"/>
              </w:rPr>
            </w:pPr>
            <w:r w:rsidRPr="00A55335">
              <w:rPr>
                <w:rStyle w:val="Strong"/>
              </w:rPr>
              <w:t>Anticipated absolute effects* (95% CI)</w:t>
            </w:r>
          </w:p>
        </w:tc>
        <w:tc>
          <w:tcPr>
            <w:tcW w:w="502" w:type="pct"/>
            <w:vMerge w:val="restart"/>
            <w:tcBorders>
              <w:right w:val="single" w:sz="6" w:space="0" w:color="EFEFEF"/>
            </w:tcBorders>
            <w:shd w:val="clear" w:color="auto" w:fill="006579" w:themeFill="accent2"/>
            <w:vAlign w:val="bottom"/>
            <w:hideMark/>
          </w:tcPr>
          <w:p w14:paraId="42EE6B35" w14:textId="77777777" w:rsidR="00302AC5" w:rsidRPr="00A55335" w:rsidRDefault="00302AC5" w:rsidP="00F92934">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645" w:type="pct"/>
            <w:vMerge w:val="restart"/>
            <w:tcBorders>
              <w:right w:val="single" w:sz="6" w:space="0" w:color="EFEFEF"/>
            </w:tcBorders>
            <w:shd w:val="clear" w:color="auto" w:fill="006579" w:themeFill="accent2"/>
            <w:vAlign w:val="bottom"/>
            <w:hideMark/>
          </w:tcPr>
          <w:p w14:paraId="4F939CFB" w14:textId="77777777" w:rsidR="00302AC5" w:rsidRPr="00A55335" w:rsidRDefault="00302AC5" w:rsidP="00F92934">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72" w:type="pct"/>
            <w:vMerge w:val="restart"/>
            <w:tcBorders>
              <w:right w:val="single" w:sz="6" w:space="0" w:color="EFEFEF"/>
            </w:tcBorders>
            <w:shd w:val="clear" w:color="auto" w:fill="006579" w:themeFill="accent2"/>
            <w:vAlign w:val="bottom"/>
            <w:hideMark/>
          </w:tcPr>
          <w:p w14:paraId="6CFA2305" w14:textId="77777777" w:rsidR="00302AC5" w:rsidRPr="00A55335" w:rsidRDefault="00302AC5" w:rsidP="00F92934">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987" w:type="pct"/>
            <w:vMerge w:val="restart"/>
            <w:tcBorders>
              <w:right w:val="single" w:sz="6" w:space="0" w:color="EFEFEF"/>
            </w:tcBorders>
            <w:shd w:val="clear" w:color="auto" w:fill="006579" w:themeFill="accent2"/>
            <w:vAlign w:val="bottom"/>
            <w:hideMark/>
          </w:tcPr>
          <w:p w14:paraId="531E6EDA" w14:textId="290C0305" w:rsidR="00302AC5" w:rsidRPr="00A55335" w:rsidRDefault="00FE7A4D" w:rsidP="00F92934">
            <w:pPr>
              <w:pStyle w:val="Tabletext8pt"/>
              <w:rPr>
                <w:b/>
                <w:bCs/>
                <w:color w:val="F9F9F9" w:themeColor="background1"/>
              </w:rPr>
            </w:pPr>
            <w:r w:rsidRPr="00A55335">
              <w:rPr>
                <w:b/>
                <w:bCs/>
                <w:color w:val="F9F9F9" w:themeColor="background1"/>
              </w:rPr>
              <w:t>Evidence statement</w:t>
            </w:r>
          </w:p>
        </w:tc>
      </w:tr>
      <w:tr w:rsidR="000808B6" w:rsidRPr="00A55335" w14:paraId="44C425E5" w14:textId="77777777" w:rsidTr="00143B42">
        <w:trPr>
          <w:cantSplit/>
          <w:tblHeader/>
        </w:trPr>
        <w:tc>
          <w:tcPr>
            <w:tcW w:w="860" w:type="pct"/>
            <w:vMerge/>
            <w:tcBorders>
              <w:right w:val="single" w:sz="6" w:space="0" w:color="EFEFEF"/>
            </w:tcBorders>
            <w:shd w:val="clear" w:color="auto" w:fill="006579" w:themeFill="accent2"/>
            <w:vAlign w:val="center"/>
            <w:hideMark/>
          </w:tcPr>
          <w:p w14:paraId="08645A76" w14:textId="77777777" w:rsidR="00302AC5" w:rsidRPr="00A55335" w:rsidRDefault="00302AC5" w:rsidP="00916A9C">
            <w:pPr>
              <w:pStyle w:val="Tabletext8pt"/>
            </w:pPr>
          </w:p>
        </w:tc>
        <w:tc>
          <w:tcPr>
            <w:tcW w:w="717" w:type="pct"/>
            <w:tcBorders>
              <w:top w:val="single" w:sz="6" w:space="0" w:color="EFEFEF"/>
              <w:right w:val="single" w:sz="6" w:space="0" w:color="EFEFEF"/>
            </w:tcBorders>
            <w:shd w:val="clear" w:color="auto" w:fill="E1E4E5" w:themeFill="accent5"/>
            <w:vAlign w:val="bottom"/>
            <w:hideMark/>
          </w:tcPr>
          <w:p w14:paraId="0CEF2462" w14:textId="65D29185" w:rsidR="00302AC5" w:rsidRPr="00A55335" w:rsidRDefault="00302AC5" w:rsidP="008439E9">
            <w:pPr>
              <w:pStyle w:val="Tabletext8pt"/>
              <w:rPr>
                <w:rStyle w:val="Strong"/>
              </w:rPr>
            </w:pPr>
            <w:r w:rsidRPr="00A55335">
              <w:rPr>
                <w:rStyle w:val="Strong"/>
              </w:rPr>
              <w:t>Risk with control (no intervention</w:t>
            </w:r>
            <w:r w:rsidR="00A44AAB">
              <w:rPr>
                <w:rStyle w:val="Strong"/>
              </w:rPr>
              <w:t>, usual care</w:t>
            </w:r>
            <w:r w:rsidRPr="00A55335">
              <w:rPr>
                <w:rStyle w:val="Strong"/>
              </w:rPr>
              <w:t>)</w:t>
            </w:r>
          </w:p>
        </w:tc>
        <w:tc>
          <w:tcPr>
            <w:tcW w:w="717" w:type="pct"/>
            <w:tcBorders>
              <w:top w:val="single" w:sz="6" w:space="0" w:color="EFEFEF"/>
              <w:right w:val="single" w:sz="6" w:space="0" w:color="EFEFEF"/>
            </w:tcBorders>
            <w:shd w:val="clear" w:color="auto" w:fill="E1E4E5" w:themeFill="accent5"/>
            <w:vAlign w:val="bottom"/>
            <w:hideMark/>
          </w:tcPr>
          <w:p w14:paraId="4D5369F7" w14:textId="77777777" w:rsidR="00302AC5" w:rsidRPr="00A55335" w:rsidRDefault="00302AC5" w:rsidP="008439E9">
            <w:pPr>
              <w:pStyle w:val="Tabletext8pt"/>
              <w:rPr>
                <w:rStyle w:val="Strong"/>
              </w:rPr>
            </w:pPr>
            <w:r w:rsidRPr="00A55335">
              <w:rPr>
                <w:rStyle w:val="Strong"/>
              </w:rPr>
              <w:t>Risk with Homeopathy</w:t>
            </w:r>
          </w:p>
        </w:tc>
        <w:tc>
          <w:tcPr>
            <w:tcW w:w="502" w:type="pct"/>
            <w:vMerge/>
            <w:tcBorders>
              <w:right w:val="single" w:sz="6" w:space="0" w:color="EFEFEF"/>
            </w:tcBorders>
            <w:shd w:val="clear" w:color="auto" w:fill="006579" w:themeFill="accent2"/>
            <w:vAlign w:val="center"/>
            <w:hideMark/>
          </w:tcPr>
          <w:p w14:paraId="14150293" w14:textId="77777777" w:rsidR="00302AC5" w:rsidRPr="00A55335" w:rsidRDefault="00302AC5" w:rsidP="00916A9C">
            <w:pPr>
              <w:pStyle w:val="Tabletext8pt"/>
            </w:pPr>
          </w:p>
        </w:tc>
        <w:tc>
          <w:tcPr>
            <w:tcW w:w="645" w:type="pct"/>
            <w:vMerge/>
            <w:tcBorders>
              <w:right w:val="single" w:sz="6" w:space="0" w:color="EFEFEF"/>
            </w:tcBorders>
            <w:shd w:val="clear" w:color="auto" w:fill="006579" w:themeFill="accent2"/>
            <w:vAlign w:val="center"/>
            <w:hideMark/>
          </w:tcPr>
          <w:p w14:paraId="05106CB7" w14:textId="77777777" w:rsidR="00302AC5" w:rsidRPr="00A55335" w:rsidRDefault="00302AC5" w:rsidP="00916A9C">
            <w:pPr>
              <w:pStyle w:val="Tabletext8pt"/>
            </w:pPr>
          </w:p>
        </w:tc>
        <w:tc>
          <w:tcPr>
            <w:tcW w:w="572" w:type="pct"/>
            <w:vMerge/>
            <w:tcBorders>
              <w:right w:val="single" w:sz="6" w:space="0" w:color="EFEFEF"/>
            </w:tcBorders>
            <w:shd w:val="clear" w:color="auto" w:fill="006579" w:themeFill="accent2"/>
            <w:vAlign w:val="center"/>
            <w:hideMark/>
          </w:tcPr>
          <w:p w14:paraId="62275B81" w14:textId="77777777" w:rsidR="00302AC5" w:rsidRPr="00A55335" w:rsidRDefault="00302AC5" w:rsidP="00916A9C">
            <w:pPr>
              <w:pStyle w:val="Tabletext8pt"/>
            </w:pPr>
          </w:p>
        </w:tc>
        <w:tc>
          <w:tcPr>
            <w:tcW w:w="987" w:type="pct"/>
            <w:vMerge/>
            <w:tcBorders>
              <w:right w:val="single" w:sz="6" w:space="0" w:color="EFEFEF"/>
            </w:tcBorders>
            <w:shd w:val="clear" w:color="auto" w:fill="006579" w:themeFill="accent2"/>
            <w:vAlign w:val="center"/>
            <w:hideMark/>
          </w:tcPr>
          <w:p w14:paraId="1AEE5874" w14:textId="77777777" w:rsidR="00302AC5" w:rsidRPr="00A55335" w:rsidRDefault="00302AC5" w:rsidP="00916A9C">
            <w:pPr>
              <w:pStyle w:val="Tabletext8pt"/>
            </w:pPr>
          </w:p>
        </w:tc>
      </w:tr>
      <w:tr w:rsidR="00007145" w:rsidRPr="00A55335" w14:paraId="4C55925E" w14:textId="77777777" w:rsidTr="00143B42">
        <w:trPr>
          <w:cantSplit/>
        </w:trPr>
        <w:tc>
          <w:tcPr>
            <w:tcW w:w="860" w:type="pct"/>
            <w:tcBorders>
              <w:top w:val="single" w:sz="6" w:space="0" w:color="000000"/>
              <w:left w:val="nil"/>
              <w:bottom w:val="single" w:sz="6" w:space="0" w:color="000000"/>
              <w:right w:val="nil"/>
            </w:tcBorders>
            <w:vAlign w:val="center"/>
            <w:hideMark/>
          </w:tcPr>
          <w:p w14:paraId="33EE8E2B" w14:textId="11FD5EC0" w:rsidR="00302AC5" w:rsidRPr="00A55335" w:rsidRDefault="00302AC5" w:rsidP="00916A9C">
            <w:pPr>
              <w:pStyle w:val="Tabletext8pt"/>
            </w:pPr>
            <w:r w:rsidRPr="00A55335">
              <w:t>Infection frequency</w:t>
            </w:r>
            <w:r w:rsidRPr="00A55335">
              <w:br/>
              <w:t xml:space="preserve">assessed with: Number with acute </w:t>
            </w:r>
            <w:r w:rsidR="00997859" w:rsidRPr="00A55335">
              <w:t xml:space="preserve">throat </w:t>
            </w:r>
            <w:r w:rsidRPr="00A55335">
              <w:t>infection</w:t>
            </w:r>
            <w:r w:rsidR="001F2567" w:rsidRPr="00A55335">
              <w:t>s</w:t>
            </w:r>
            <w:r w:rsidRPr="00A55335">
              <w:br/>
              <w:t>follow-up: 60 weeks</w:t>
            </w:r>
          </w:p>
        </w:tc>
        <w:tc>
          <w:tcPr>
            <w:tcW w:w="717" w:type="pct"/>
            <w:tcBorders>
              <w:top w:val="single" w:sz="6" w:space="0" w:color="000000"/>
              <w:left w:val="nil"/>
              <w:bottom w:val="single" w:sz="6" w:space="0" w:color="000000"/>
              <w:right w:val="nil"/>
            </w:tcBorders>
            <w:shd w:val="clear" w:color="auto" w:fill="E1E4E5" w:themeFill="accent5"/>
            <w:vAlign w:val="center"/>
            <w:hideMark/>
          </w:tcPr>
          <w:p w14:paraId="61D0E880" w14:textId="402897BC" w:rsidR="00302AC5" w:rsidRPr="00A55335" w:rsidRDefault="009A7748" w:rsidP="002754A9">
            <w:pPr>
              <w:pStyle w:val="Tabletext8pt"/>
              <w:jc w:val="center"/>
              <w:rPr>
                <w:rStyle w:val="Strong"/>
                <w:b w:val="0"/>
                <w:bCs w:val="0"/>
              </w:rPr>
            </w:pPr>
            <w:r w:rsidRPr="00A55335">
              <w:rPr>
                <w:rStyle w:val="Strong"/>
                <w:b w:val="0"/>
                <w:bCs w:val="0"/>
              </w:rPr>
              <w:t xml:space="preserve">318 </w:t>
            </w:r>
            <w:r w:rsidR="00302AC5" w:rsidRPr="00A55335">
              <w:rPr>
                <w:rStyle w:val="Strong"/>
                <w:b w:val="0"/>
                <w:bCs w:val="0"/>
              </w:rPr>
              <w:t>per 1,000</w:t>
            </w:r>
          </w:p>
        </w:tc>
        <w:tc>
          <w:tcPr>
            <w:tcW w:w="717" w:type="pct"/>
            <w:tcBorders>
              <w:top w:val="single" w:sz="6" w:space="0" w:color="000000"/>
              <w:left w:val="nil"/>
              <w:bottom w:val="single" w:sz="6" w:space="0" w:color="000000"/>
              <w:right w:val="nil"/>
            </w:tcBorders>
            <w:shd w:val="clear" w:color="auto" w:fill="E1E4E5" w:themeFill="accent5"/>
            <w:hideMark/>
          </w:tcPr>
          <w:p w14:paraId="26747162" w14:textId="267FAC88" w:rsidR="00302AC5" w:rsidRPr="00A55335" w:rsidRDefault="00380146" w:rsidP="002754A9">
            <w:pPr>
              <w:pStyle w:val="Tabletext8pt"/>
              <w:jc w:val="center"/>
            </w:pPr>
            <w:r w:rsidRPr="00A55335">
              <w:rPr>
                <w:rStyle w:val="Strong"/>
              </w:rPr>
              <w:t xml:space="preserve">169 </w:t>
            </w:r>
            <w:r w:rsidR="00302AC5" w:rsidRPr="00A55335">
              <w:rPr>
                <w:rStyle w:val="Strong"/>
              </w:rPr>
              <w:t>per 1,000</w:t>
            </w:r>
            <w:r w:rsidR="00302AC5" w:rsidRPr="00A55335">
              <w:br/>
              <w:t>(</w:t>
            </w:r>
            <w:r w:rsidRPr="00A55335">
              <w:t xml:space="preserve">124 </w:t>
            </w:r>
            <w:r w:rsidR="00302AC5" w:rsidRPr="00A55335">
              <w:t xml:space="preserve">to </w:t>
            </w:r>
            <w:proofErr w:type="gramStart"/>
            <w:r w:rsidRPr="00A55335">
              <w:t>223</w:t>
            </w:r>
            <w:r w:rsidR="00302AC5" w:rsidRPr="00A55335">
              <w:t>)</w:t>
            </w:r>
            <w:r w:rsidR="00AC6682" w:rsidRPr="00AC6682">
              <w:t>^</w:t>
            </w:r>
            <w:proofErr w:type="gramEnd"/>
          </w:p>
        </w:tc>
        <w:tc>
          <w:tcPr>
            <w:tcW w:w="502" w:type="pct"/>
            <w:tcBorders>
              <w:top w:val="single" w:sz="6" w:space="0" w:color="000000"/>
              <w:left w:val="nil"/>
              <w:bottom w:val="single" w:sz="6" w:space="0" w:color="000000"/>
              <w:right w:val="nil"/>
            </w:tcBorders>
            <w:vAlign w:val="center"/>
            <w:hideMark/>
          </w:tcPr>
          <w:p w14:paraId="5C2E923E" w14:textId="36FD6205" w:rsidR="00302AC5" w:rsidRPr="00A55335" w:rsidRDefault="00302AC5" w:rsidP="002754A9">
            <w:pPr>
              <w:pStyle w:val="Tabletext8pt"/>
              <w:jc w:val="center"/>
            </w:pPr>
            <w:r w:rsidRPr="00A55335">
              <w:rPr>
                <w:rStyle w:val="Strong"/>
              </w:rPr>
              <w:t>RR 0.53</w:t>
            </w:r>
            <w:r w:rsidRPr="00A55335">
              <w:rPr>
                <w:rStyle w:val="Strong"/>
              </w:rPr>
              <w:br/>
            </w:r>
            <w:r w:rsidRPr="00A55335">
              <w:t>(0.</w:t>
            </w:r>
            <w:r w:rsidR="00380146" w:rsidRPr="00A55335">
              <w:t>39</w:t>
            </w:r>
            <w:r w:rsidRPr="00A55335">
              <w:t xml:space="preserve"> to 0.70)</w:t>
            </w:r>
          </w:p>
        </w:tc>
        <w:tc>
          <w:tcPr>
            <w:tcW w:w="645" w:type="pct"/>
            <w:tcBorders>
              <w:top w:val="single" w:sz="6" w:space="0" w:color="000000"/>
              <w:left w:val="nil"/>
              <w:bottom w:val="single" w:sz="6" w:space="0" w:color="000000"/>
              <w:right w:val="nil"/>
            </w:tcBorders>
            <w:vAlign w:val="center"/>
            <w:hideMark/>
          </w:tcPr>
          <w:p w14:paraId="01AD45F8" w14:textId="31A63CF3" w:rsidR="00302AC5" w:rsidRPr="00A55335" w:rsidRDefault="00380146" w:rsidP="002754A9">
            <w:pPr>
              <w:pStyle w:val="Tabletext8pt"/>
              <w:jc w:val="center"/>
            </w:pPr>
            <w:r w:rsidRPr="00A55335">
              <w:t>256</w:t>
            </w:r>
            <w:r w:rsidR="00302AC5" w:rsidRPr="00A55335">
              <w:br/>
              <w:t>(1 RCT)</w:t>
            </w:r>
          </w:p>
        </w:tc>
        <w:tc>
          <w:tcPr>
            <w:tcW w:w="572" w:type="pct"/>
            <w:tcBorders>
              <w:top w:val="single" w:sz="6" w:space="0" w:color="000000"/>
              <w:left w:val="nil"/>
              <w:bottom w:val="single" w:sz="6" w:space="0" w:color="000000"/>
              <w:right w:val="nil"/>
            </w:tcBorders>
            <w:vAlign w:val="center"/>
            <w:hideMark/>
          </w:tcPr>
          <w:p w14:paraId="6F61EEB7" w14:textId="41E96E39" w:rsidR="00302AC5" w:rsidRPr="00A55335" w:rsidRDefault="00302AC5" w:rsidP="002754A9">
            <w:pPr>
              <w:pStyle w:val="Tabletext8pt"/>
              <w:jc w:val="center"/>
            </w:pPr>
            <w:r w:rsidRPr="00A55335">
              <w:rPr>
                <w:rStyle w:val="quality-sign"/>
                <w:rFonts w:ascii="Cambria Math" w:hAnsi="Cambria Math"/>
              </w:rPr>
              <w:t>⨁⨁⨁</w:t>
            </w:r>
            <w:r w:rsidR="009362B7" w:rsidRPr="00A55335">
              <w:rPr>
                <w:rStyle w:val="quality-sign"/>
                <w:rFonts w:ascii="Cambria Math" w:hAnsi="Cambria Math"/>
              </w:rPr>
              <w:t>◯</w:t>
            </w:r>
            <w:r w:rsidRPr="00A55335">
              <w:br/>
            </w:r>
            <w:r w:rsidR="009362B7" w:rsidRPr="00A55335">
              <w:rPr>
                <w:rStyle w:val="QualitytextChar"/>
              </w:rPr>
              <w:t xml:space="preserve">Moderate </w:t>
            </w:r>
            <w:proofErr w:type="spellStart"/>
            <w:r w:rsidR="00F90484" w:rsidRPr="00A55335">
              <w:rPr>
                <w:rStyle w:val="FootnoteReference"/>
              </w:rPr>
              <w:t>a,b,c.d.e</w:t>
            </w:r>
            <w:proofErr w:type="spellEnd"/>
          </w:p>
        </w:tc>
        <w:tc>
          <w:tcPr>
            <w:tcW w:w="987" w:type="pct"/>
            <w:tcBorders>
              <w:top w:val="single" w:sz="6" w:space="0" w:color="000000"/>
              <w:left w:val="nil"/>
              <w:bottom w:val="single" w:sz="6" w:space="0" w:color="000000"/>
              <w:right w:val="nil"/>
            </w:tcBorders>
            <w:vAlign w:val="center"/>
            <w:hideMark/>
          </w:tcPr>
          <w:p w14:paraId="1B0FE875" w14:textId="64228A08" w:rsidR="00302AC5" w:rsidRPr="00A55335" w:rsidRDefault="00E22731" w:rsidP="00916A9C">
            <w:pPr>
              <w:pStyle w:val="Tabletext8pt"/>
            </w:pPr>
            <w:r w:rsidRPr="00A55335">
              <w:t>Compared with no intervention</w:t>
            </w:r>
            <w:r w:rsidR="0099746F" w:rsidRPr="00A55335">
              <w:t xml:space="preserve"> </w:t>
            </w:r>
            <w:r w:rsidRPr="00A55335">
              <w:t>h</w:t>
            </w:r>
            <w:r w:rsidR="00302AC5" w:rsidRPr="00A55335">
              <w:t xml:space="preserve">omeopathy </w:t>
            </w:r>
            <w:r w:rsidR="00AA6B83" w:rsidRPr="00A55335">
              <w:t xml:space="preserve">probably </w:t>
            </w:r>
            <w:r w:rsidR="00302AC5" w:rsidRPr="00A55335">
              <w:t>results in a reduction in infection frequency in people with recurrent URTIs</w:t>
            </w:r>
            <w:r w:rsidR="005045A2" w:rsidRPr="00A55335">
              <w:t xml:space="preserve"> **</w:t>
            </w:r>
          </w:p>
        </w:tc>
      </w:tr>
      <w:tr w:rsidR="00825913" w:rsidRPr="00A55335" w14:paraId="241DE677" w14:textId="77777777" w:rsidTr="00143B42">
        <w:trPr>
          <w:cantSplit/>
        </w:trPr>
        <w:tc>
          <w:tcPr>
            <w:tcW w:w="860" w:type="pct"/>
            <w:tcBorders>
              <w:top w:val="single" w:sz="6" w:space="0" w:color="000000"/>
              <w:left w:val="nil"/>
              <w:bottom w:val="single" w:sz="6" w:space="0" w:color="000000"/>
              <w:right w:val="nil"/>
            </w:tcBorders>
            <w:vAlign w:val="center"/>
            <w:hideMark/>
          </w:tcPr>
          <w:p w14:paraId="09DCED07" w14:textId="37E18FEF" w:rsidR="00825913" w:rsidRPr="00A55335" w:rsidRDefault="00825913" w:rsidP="00C012FD">
            <w:pPr>
              <w:pStyle w:val="Tabletext8pt"/>
            </w:pPr>
            <w:r w:rsidRPr="00A55335">
              <w:t xml:space="preserve">Infection duration assessed </w:t>
            </w:r>
            <w:proofErr w:type="gramStart"/>
            <w:r w:rsidRPr="00A55335">
              <w:t>with:</w:t>
            </w:r>
            <w:proofErr w:type="gramEnd"/>
            <w:r w:rsidRPr="00A55335">
              <w:t xml:space="preserve"> symptom diary, median number of days with URTI symptoms</w:t>
            </w:r>
            <w:r w:rsidRPr="00A55335" w:rsidDel="00B30E95">
              <w:t xml:space="preserve"> </w:t>
            </w:r>
            <w:r w:rsidRPr="00A55335">
              <w:br/>
              <w:t>follow-up: 12 weeks</w:t>
            </w:r>
          </w:p>
        </w:tc>
        <w:tc>
          <w:tcPr>
            <w:tcW w:w="717" w:type="pct"/>
            <w:tcBorders>
              <w:top w:val="single" w:sz="6" w:space="0" w:color="000000"/>
              <w:left w:val="nil"/>
              <w:bottom w:val="single" w:sz="6" w:space="0" w:color="000000"/>
              <w:right w:val="nil"/>
            </w:tcBorders>
            <w:shd w:val="clear" w:color="auto" w:fill="E1E4E5" w:themeFill="accent5"/>
            <w:vAlign w:val="center"/>
          </w:tcPr>
          <w:p w14:paraId="0EA6A56C" w14:textId="77777777" w:rsidR="00825913" w:rsidRPr="00A55335" w:rsidRDefault="00825913" w:rsidP="002754A9">
            <w:pPr>
              <w:pStyle w:val="Tabletext8pt"/>
              <w:jc w:val="center"/>
            </w:pPr>
          </w:p>
          <w:p w14:paraId="64AFA6E5" w14:textId="6BD800C5" w:rsidR="00825913" w:rsidRPr="00A55335" w:rsidRDefault="00825913" w:rsidP="002754A9">
            <w:pPr>
              <w:pStyle w:val="Tabletext8pt"/>
              <w:jc w:val="center"/>
            </w:pPr>
            <w:r w:rsidRPr="00A55335">
              <w:t xml:space="preserve">The median duration of URTI symptom was </w:t>
            </w:r>
            <w:r w:rsidRPr="00A55335">
              <w:rPr>
                <w:rStyle w:val="Strong"/>
              </w:rPr>
              <w:t>13 days</w:t>
            </w:r>
            <w:r w:rsidRPr="002474DB">
              <w:t xml:space="preserve"> </w:t>
            </w:r>
            <w:r w:rsidRPr="00A55335">
              <w:t xml:space="preserve">(95% CI 9.1 to 15 days) </w:t>
            </w:r>
            <w:r w:rsidRPr="002474DB">
              <w:t>in the control group</w:t>
            </w:r>
          </w:p>
        </w:tc>
        <w:tc>
          <w:tcPr>
            <w:tcW w:w="717" w:type="pct"/>
            <w:tcBorders>
              <w:top w:val="single" w:sz="6" w:space="0" w:color="000000"/>
              <w:left w:val="nil"/>
              <w:bottom w:val="single" w:sz="6" w:space="0" w:color="000000"/>
              <w:right w:val="nil"/>
            </w:tcBorders>
            <w:shd w:val="clear" w:color="auto" w:fill="E1E4E5" w:themeFill="accent5"/>
            <w:vAlign w:val="center"/>
          </w:tcPr>
          <w:p w14:paraId="28120E6F" w14:textId="1079F84C" w:rsidR="00825913" w:rsidRPr="00A55335" w:rsidRDefault="00825913" w:rsidP="00D075BD">
            <w:pPr>
              <w:pStyle w:val="Tabletext8pt"/>
              <w:jc w:val="center"/>
            </w:pPr>
            <w:r w:rsidRPr="00A55335">
              <w:t xml:space="preserve"> The median duration of URTI symptom was </w:t>
            </w:r>
            <w:r w:rsidRPr="00A55335">
              <w:rPr>
                <w:rStyle w:val="Strong"/>
              </w:rPr>
              <w:t xml:space="preserve">8 days </w:t>
            </w:r>
            <w:r w:rsidRPr="00A55335">
              <w:t>(95%CI 4 to 11.6 days) in the homeopathy group (homeopath-prescribed)</w:t>
            </w:r>
            <w:r w:rsidR="003C2CDB" w:rsidRPr="00A55335">
              <w:rPr>
                <w:rStyle w:val="FootnoteReference"/>
              </w:rPr>
              <w:t xml:space="preserve"> ††</w:t>
            </w:r>
          </w:p>
        </w:tc>
        <w:tc>
          <w:tcPr>
            <w:tcW w:w="502" w:type="pct"/>
            <w:tcBorders>
              <w:top w:val="single" w:sz="6" w:space="0" w:color="000000"/>
              <w:left w:val="nil"/>
              <w:bottom w:val="single" w:sz="6" w:space="0" w:color="000000"/>
              <w:right w:val="nil"/>
            </w:tcBorders>
            <w:vAlign w:val="center"/>
            <w:hideMark/>
          </w:tcPr>
          <w:p w14:paraId="57C09276" w14:textId="77777777" w:rsidR="00825913" w:rsidRPr="00A55335" w:rsidRDefault="00825913" w:rsidP="002754A9">
            <w:pPr>
              <w:pStyle w:val="Tabletext8pt"/>
              <w:jc w:val="center"/>
            </w:pPr>
            <w:r w:rsidRPr="00A55335">
              <w:t>-</w:t>
            </w:r>
          </w:p>
        </w:tc>
        <w:tc>
          <w:tcPr>
            <w:tcW w:w="645" w:type="pct"/>
            <w:tcBorders>
              <w:top w:val="single" w:sz="6" w:space="0" w:color="000000"/>
              <w:left w:val="nil"/>
              <w:bottom w:val="single" w:sz="6" w:space="0" w:color="000000"/>
              <w:right w:val="nil"/>
            </w:tcBorders>
            <w:vAlign w:val="center"/>
            <w:hideMark/>
          </w:tcPr>
          <w:p w14:paraId="11BFA66A" w14:textId="081635E2" w:rsidR="00825913" w:rsidRPr="00A55335" w:rsidRDefault="00825913" w:rsidP="002754A9">
            <w:pPr>
              <w:pStyle w:val="Tabletext8pt"/>
              <w:jc w:val="center"/>
            </w:pPr>
            <w:r w:rsidRPr="00A55335">
              <w:t>169</w:t>
            </w:r>
            <w:r w:rsidRPr="00A55335">
              <w:br/>
              <w:t xml:space="preserve">(1 RCT) </w:t>
            </w:r>
            <w:r w:rsidRPr="00A55335">
              <w:rPr>
                <w:rStyle w:val="FootnoteReference"/>
              </w:rPr>
              <w:t>†</w:t>
            </w:r>
          </w:p>
        </w:tc>
        <w:tc>
          <w:tcPr>
            <w:tcW w:w="572" w:type="pct"/>
            <w:tcBorders>
              <w:top w:val="single" w:sz="6" w:space="0" w:color="000000"/>
              <w:left w:val="nil"/>
              <w:bottom w:val="single" w:sz="6" w:space="0" w:color="000000"/>
              <w:right w:val="nil"/>
            </w:tcBorders>
            <w:vAlign w:val="center"/>
            <w:hideMark/>
          </w:tcPr>
          <w:p w14:paraId="005FF96B" w14:textId="0BB8477B" w:rsidR="00825913" w:rsidRPr="00A55335" w:rsidRDefault="00825913" w:rsidP="002754A9">
            <w:pPr>
              <w:pStyle w:val="Tabletext8pt"/>
              <w:jc w:val="center"/>
            </w:pPr>
            <w:r w:rsidRPr="00A55335">
              <w:rPr>
                <w:rStyle w:val="quality-sign"/>
                <w:rFonts w:ascii="Cambria Math" w:hAnsi="Cambria Math" w:cs="Cambria Math"/>
              </w:rPr>
              <w:t>⨁</w:t>
            </w:r>
            <w:r w:rsidR="00E72EF0" w:rsidRPr="00A55335">
              <w:rPr>
                <w:rStyle w:val="quality-sign"/>
                <w:rFonts w:ascii="Cambria Math" w:hAnsi="Cambria Math"/>
              </w:rPr>
              <w:t>◯</w:t>
            </w:r>
            <w:r w:rsidRPr="00A55335">
              <w:rPr>
                <w:rStyle w:val="quality-sign"/>
                <w:rFonts w:ascii="Cambria Math" w:hAnsi="Cambria Math"/>
              </w:rPr>
              <w:t>◯◯</w:t>
            </w:r>
            <w:r w:rsidRPr="00A55335">
              <w:br/>
            </w:r>
            <w:r w:rsidR="00E72EF0" w:rsidRPr="00A55335">
              <w:rPr>
                <w:rStyle w:val="QualitytextChar"/>
              </w:rPr>
              <w:t xml:space="preserve">Very </w:t>
            </w:r>
            <w:r w:rsidRPr="00A55335">
              <w:rPr>
                <w:rStyle w:val="QualitytextChar"/>
              </w:rPr>
              <w:t xml:space="preserve">Low </w:t>
            </w:r>
            <w:proofErr w:type="spellStart"/>
            <w:r w:rsidRPr="00A55335">
              <w:rPr>
                <w:rStyle w:val="FootnoteReference"/>
              </w:rPr>
              <w:t>b,e,f,g,h</w:t>
            </w:r>
            <w:proofErr w:type="spellEnd"/>
          </w:p>
        </w:tc>
        <w:tc>
          <w:tcPr>
            <w:tcW w:w="987" w:type="pct"/>
            <w:tcBorders>
              <w:top w:val="single" w:sz="6" w:space="0" w:color="000000"/>
              <w:left w:val="nil"/>
              <w:bottom w:val="single" w:sz="6" w:space="0" w:color="000000"/>
              <w:right w:val="nil"/>
            </w:tcBorders>
            <w:vAlign w:val="center"/>
            <w:hideMark/>
          </w:tcPr>
          <w:p w14:paraId="7CF0273A" w14:textId="7FB8AAA6" w:rsidR="00825913" w:rsidRPr="00A55335" w:rsidRDefault="00E72EF0" w:rsidP="00C012FD">
            <w:pPr>
              <w:pStyle w:val="Tabletext8pt"/>
            </w:pPr>
            <w:r w:rsidRPr="00A55335">
              <w:t xml:space="preserve">The evidence is very uncertain about the effect of </w:t>
            </w:r>
            <w:r w:rsidR="00825913" w:rsidRPr="00A55335">
              <w:t>h</w:t>
            </w:r>
            <w:r w:rsidR="00825913" w:rsidRPr="00A55335">
              <w:rPr>
                <w:rFonts w:eastAsia="Times New Roman"/>
              </w:rPr>
              <w:t xml:space="preserve">omeopathy </w:t>
            </w:r>
            <w:r w:rsidRPr="00A55335">
              <w:rPr>
                <w:rFonts w:eastAsia="Times New Roman"/>
              </w:rPr>
              <w:t>on</w:t>
            </w:r>
            <w:r w:rsidR="00825913" w:rsidRPr="00A55335">
              <w:rPr>
                <w:rFonts w:eastAsia="Times New Roman"/>
              </w:rPr>
              <w:t xml:space="preserve"> infection duration in people with recurrent URTIs</w:t>
            </w:r>
            <w:r w:rsidR="00EF6828" w:rsidRPr="00A55335">
              <w:rPr>
                <w:rFonts w:eastAsia="Times New Roman"/>
              </w:rPr>
              <w:t xml:space="preserve"> </w:t>
            </w:r>
            <w:r w:rsidR="001E3978">
              <w:rPr>
                <w:rFonts w:eastAsia="Times New Roman"/>
              </w:rPr>
              <w:t>#</w:t>
            </w:r>
          </w:p>
        </w:tc>
      </w:tr>
      <w:tr w:rsidR="00E72EF0" w:rsidRPr="00A55335" w14:paraId="6D2ECF1C" w14:textId="77777777" w:rsidTr="00143B42">
        <w:trPr>
          <w:cantSplit/>
        </w:trPr>
        <w:tc>
          <w:tcPr>
            <w:tcW w:w="860" w:type="pct"/>
            <w:tcBorders>
              <w:top w:val="single" w:sz="6" w:space="0" w:color="000000"/>
              <w:left w:val="nil"/>
              <w:bottom w:val="single" w:sz="6" w:space="0" w:color="000000"/>
              <w:right w:val="nil"/>
            </w:tcBorders>
            <w:vAlign w:val="center"/>
            <w:hideMark/>
          </w:tcPr>
          <w:p w14:paraId="2A1F37FA" w14:textId="291D0CD8" w:rsidR="00E72EF0" w:rsidRPr="00A55335" w:rsidRDefault="00E72EF0" w:rsidP="00E72EF0">
            <w:pPr>
              <w:pStyle w:val="Tabletext8pt"/>
            </w:pPr>
            <w:r w:rsidRPr="00A55335">
              <w:t xml:space="preserve">Symptom severity assessed </w:t>
            </w:r>
            <w:proofErr w:type="gramStart"/>
            <w:r w:rsidRPr="00A55335">
              <w:t>with:</w:t>
            </w:r>
            <w:proofErr w:type="gramEnd"/>
            <w:r w:rsidRPr="00A55335">
              <w:t xml:space="preserve"> symptom score (higher is worse)</w:t>
            </w:r>
            <w:r w:rsidRPr="00A55335">
              <w:br/>
              <w:t>follow-up: 12 weeks</w:t>
            </w:r>
          </w:p>
        </w:tc>
        <w:tc>
          <w:tcPr>
            <w:tcW w:w="717" w:type="pct"/>
            <w:tcBorders>
              <w:top w:val="single" w:sz="6" w:space="0" w:color="000000"/>
              <w:left w:val="nil"/>
              <w:bottom w:val="single" w:sz="6" w:space="0" w:color="000000"/>
              <w:right w:val="nil"/>
            </w:tcBorders>
            <w:shd w:val="clear" w:color="auto" w:fill="E1E4E5" w:themeFill="accent5"/>
            <w:vAlign w:val="center"/>
            <w:hideMark/>
          </w:tcPr>
          <w:p w14:paraId="2C00F046" w14:textId="77777777" w:rsidR="00E72EF0" w:rsidRPr="00A55335" w:rsidRDefault="00E72EF0" w:rsidP="00E72EF0">
            <w:pPr>
              <w:pStyle w:val="Tabletext8pt"/>
              <w:jc w:val="center"/>
            </w:pPr>
          </w:p>
          <w:p w14:paraId="0AB33602" w14:textId="2C611E48" w:rsidR="00E72EF0" w:rsidRPr="00A55335" w:rsidRDefault="00E72EF0" w:rsidP="00E72EF0">
            <w:pPr>
              <w:pStyle w:val="Tabletext8pt"/>
              <w:jc w:val="center"/>
            </w:pPr>
            <w:r w:rsidRPr="00A55335">
              <w:t xml:space="preserve">The median symptom </w:t>
            </w:r>
            <w:r w:rsidR="00EF6828" w:rsidRPr="00A55335">
              <w:t xml:space="preserve">severity score </w:t>
            </w:r>
            <w:r w:rsidRPr="00A55335">
              <w:t xml:space="preserve">was </w:t>
            </w:r>
            <w:r w:rsidR="00731F2A" w:rsidRPr="00A55335">
              <w:rPr>
                <w:rStyle w:val="Strong"/>
              </w:rPr>
              <w:t>44</w:t>
            </w:r>
            <w:r w:rsidRPr="00A55335">
              <w:t xml:space="preserve"> </w:t>
            </w:r>
            <w:r w:rsidR="00731F2A" w:rsidRPr="00A55335">
              <w:t xml:space="preserve">points </w:t>
            </w:r>
            <w:r w:rsidRPr="00A55335">
              <w:t xml:space="preserve">(95% CI </w:t>
            </w:r>
            <w:r w:rsidR="00E70B90" w:rsidRPr="00A55335">
              <w:t>14</w:t>
            </w:r>
            <w:r w:rsidRPr="00A55335">
              <w:t xml:space="preserve"> to </w:t>
            </w:r>
            <w:r w:rsidR="00E70B90" w:rsidRPr="00A55335">
              <w:t>38</w:t>
            </w:r>
            <w:r w:rsidRPr="00A55335">
              <w:t>) in the control group</w:t>
            </w:r>
          </w:p>
        </w:tc>
        <w:tc>
          <w:tcPr>
            <w:tcW w:w="717" w:type="pct"/>
            <w:tcBorders>
              <w:top w:val="single" w:sz="6" w:space="0" w:color="000000"/>
              <w:left w:val="nil"/>
              <w:bottom w:val="single" w:sz="6" w:space="0" w:color="000000"/>
              <w:right w:val="nil"/>
            </w:tcBorders>
            <w:shd w:val="clear" w:color="auto" w:fill="E1E4E5" w:themeFill="accent5"/>
            <w:vAlign w:val="center"/>
            <w:hideMark/>
          </w:tcPr>
          <w:p w14:paraId="182BA972" w14:textId="7E19CEC7" w:rsidR="00E72EF0" w:rsidRPr="00A55335" w:rsidRDefault="00E72EF0" w:rsidP="00E72EF0">
            <w:pPr>
              <w:pStyle w:val="Tabletext8pt"/>
              <w:jc w:val="center"/>
            </w:pPr>
            <w:r w:rsidRPr="00A55335">
              <w:t xml:space="preserve"> </w:t>
            </w:r>
            <w:r w:rsidR="00D9634A" w:rsidRPr="00A55335">
              <w:t xml:space="preserve">The median symptom severity score </w:t>
            </w:r>
            <w:r w:rsidRPr="00A55335">
              <w:t xml:space="preserve">was </w:t>
            </w:r>
            <w:r w:rsidR="00E70B90" w:rsidRPr="00A55335">
              <w:rPr>
                <w:rStyle w:val="Strong"/>
              </w:rPr>
              <w:t>24</w:t>
            </w:r>
            <w:r w:rsidRPr="00A55335">
              <w:rPr>
                <w:rStyle w:val="Strong"/>
              </w:rPr>
              <w:t xml:space="preserve"> </w:t>
            </w:r>
            <w:r w:rsidR="00731F2A" w:rsidRPr="00A55335">
              <w:t xml:space="preserve">points </w:t>
            </w:r>
            <w:r w:rsidRPr="00A55335">
              <w:t>(95%</w:t>
            </w:r>
            <w:r w:rsidR="00E70B90" w:rsidRPr="00A55335">
              <w:t xml:space="preserve"> </w:t>
            </w:r>
            <w:r w:rsidRPr="00A55335">
              <w:t xml:space="preserve">CI </w:t>
            </w:r>
            <w:r w:rsidR="00E70B90" w:rsidRPr="00A55335">
              <w:t>11.4 to 35.6</w:t>
            </w:r>
            <w:r w:rsidRPr="00A55335">
              <w:t>) in the homeopathy group (homeopath-prescribed)</w:t>
            </w:r>
            <w:r w:rsidR="003C2CDB" w:rsidRPr="00A55335">
              <w:rPr>
                <w:rStyle w:val="FootnoteReference"/>
              </w:rPr>
              <w:t xml:space="preserve"> ††</w:t>
            </w:r>
          </w:p>
        </w:tc>
        <w:tc>
          <w:tcPr>
            <w:tcW w:w="502" w:type="pct"/>
            <w:tcBorders>
              <w:top w:val="single" w:sz="6" w:space="0" w:color="000000"/>
              <w:left w:val="nil"/>
              <w:bottom w:val="single" w:sz="6" w:space="0" w:color="000000"/>
              <w:right w:val="nil"/>
            </w:tcBorders>
            <w:vAlign w:val="center"/>
            <w:hideMark/>
          </w:tcPr>
          <w:p w14:paraId="5E102F29" w14:textId="685C0F99" w:rsidR="00E72EF0" w:rsidRPr="00A55335" w:rsidRDefault="00E72EF0" w:rsidP="00E72EF0">
            <w:pPr>
              <w:pStyle w:val="Tabletext8pt"/>
              <w:jc w:val="center"/>
            </w:pPr>
            <w:r w:rsidRPr="00A55335">
              <w:t>-</w:t>
            </w:r>
          </w:p>
        </w:tc>
        <w:tc>
          <w:tcPr>
            <w:tcW w:w="645" w:type="pct"/>
            <w:tcBorders>
              <w:top w:val="single" w:sz="6" w:space="0" w:color="000000"/>
              <w:left w:val="nil"/>
              <w:bottom w:val="single" w:sz="6" w:space="0" w:color="000000"/>
              <w:right w:val="nil"/>
            </w:tcBorders>
            <w:vAlign w:val="center"/>
            <w:hideMark/>
          </w:tcPr>
          <w:p w14:paraId="2DEE334E" w14:textId="48751FB9" w:rsidR="00E72EF0" w:rsidRPr="00A55335" w:rsidRDefault="00E72EF0" w:rsidP="00E72EF0">
            <w:pPr>
              <w:pStyle w:val="Tabletext8pt"/>
              <w:jc w:val="center"/>
            </w:pPr>
            <w:r w:rsidRPr="00A55335">
              <w:t>169</w:t>
            </w:r>
            <w:r w:rsidRPr="00A55335">
              <w:br/>
              <w:t xml:space="preserve">(1 RCT) </w:t>
            </w:r>
            <w:r w:rsidRPr="00A55335">
              <w:rPr>
                <w:rStyle w:val="FootnoteReference"/>
              </w:rPr>
              <w:t>†</w:t>
            </w:r>
          </w:p>
        </w:tc>
        <w:tc>
          <w:tcPr>
            <w:tcW w:w="572" w:type="pct"/>
            <w:tcBorders>
              <w:top w:val="single" w:sz="6" w:space="0" w:color="000000"/>
              <w:left w:val="nil"/>
              <w:bottom w:val="single" w:sz="6" w:space="0" w:color="000000"/>
              <w:right w:val="nil"/>
            </w:tcBorders>
            <w:vAlign w:val="center"/>
            <w:hideMark/>
          </w:tcPr>
          <w:p w14:paraId="2632F108" w14:textId="1830B84E" w:rsidR="00E72EF0" w:rsidRPr="00A55335" w:rsidRDefault="00E72EF0" w:rsidP="00E72EF0">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b,e,f,g,</w:t>
            </w:r>
            <w:r w:rsidR="00EF6828" w:rsidRPr="00A55335">
              <w:rPr>
                <w:rStyle w:val="FootnoteReference"/>
              </w:rPr>
              <w:t>h</w:t>
            </w:r>
            <w:proofErr w:type="spellEnd"/>
            <w:r w:rsidR="00EF6828" w:rsidRPr="00A55335">
              <w:rPr>
                <w:rStyle w:val="FootnoteReference"/>
              </w:rPr>
              <w:t xml:space="preserve"> </w:t>
            </w:r>
          </w:p>
        </w:tc>
        <w:tc>
          <w:tcPr>
            <w:tcW w:w="987" w:type="pct"/>
            <w:tcBorders>
              <w:top w:val="single" w:sz="6" w:space="0" w:color="000000"/>
              <w:left w:val="nil"/>
              <w:bottom w:val="single" w:sz="6" w:space="0" w:color="000000"/>
              <w:right w:val="nil"/>
            </w:tcBorders>
            <w:vAlign w:val="center"/>
            <w:hideMark/>
          </w:tcPr>
          <w:p w14:paraId="0B559481" w14:textId="6A7799BD" w:rsidR="00E72EF0" w:rsidRPr="00A55335" w:rsidRDefault="00E72EF0" w:rsidP="00E72EF0">
            <w:pPr>
              <w:pStyle w:val="Tabletext8pt"/>
            </w:pPr>
            <w:r w:rsidRPr="00A55335">
              <w:t xml:space="preserve">The evidence is very uncertain about the effect of homeopathy on symptom severity in people with recurrent URTIs </w:t>
            </w:r>
            <w:r w:rsidR="001E3978">
              <w:t>#</w:t>
            </w:r>
          </w:p>
        </w:tc>
      </w:tr>
      <w:tr w:rsidR="00001202" w:rsidRPr="00A55335" w14:paraId="7E37C6EA" w14:textId="77777777" w:rsidTr="00143B42">
        <w:trPr>
          <w:cantSplit/>
        </w:trPr>
        <w:tc>
          <w:tcPr>
            <w:tcW w:w="860" w:type="pct"/>
            <w:tcBorders>
              <w:top w:val="single" w:sz="6" w:space="0" w:color="000000"/>
              <w:left w:val="nil"/>
              <w:bottom w:val="single" w:sz="6" w:space="0" w:color="000000"/>
              <w:right w:val="nil"/>
            </w:tcBorders>
            <w:vAlign w:val="center"/>
            <w:hideMark/>
          </w:tcPr>
          <w:p w14:paraId="270AE704" w14:textId="77777777" w:rsidR="00001202" w:rsidRPr="00B973C0" w:rsidRDefault="00001202" w:rsidP="00B973C0">
            <w:pPr>
              <w:pStyle w:val="Tabletext8pt"/>
            </w:pPr>
            <w:r w:rsidRPr="00B973C0">
              <w:rPr>
                <w:rStyle w:val="label"/>
              </w:rPr>
              <w:t>Quality of life - not reported</w:t>
            </w:r>
          </w:p>
        </w:tc>
        <w:tc>
          <w:tcPr>
            <w:tcW w:w="717" w:type="pct"/>
            <w:tcBorders>
              <w:top w:val="single" w:sz="6" w:space="0" w:color="000000"/>
              <w:left w:val="nil"/>
              <w:bottom w:val="single" w:sz="6" w:space="0" w:color="000000"/>
              <w:right w:val="nil"/>
            </w:tcBorders>
            <w:shd w:val="clear" w:color="auto" w:fill="E1E4E5" w:themeFill="accent5"/>
            <w:vAlign w:val="center"/>
            <w:hideMark/>
          </w:tcPr>
          <w:p w14:paraId="684D5DFE" w14:textId="77777777" w:rsidR="00001202" w:rsidRPr="00A55335" w:rsidRDefault="00001202" w:rsidP="00621D8D">
            <w:pPr>
              <w:pStyle w:val="Tabletext8pt"/>
              <w:jc w:val="center"/>
            </w:pPr>
            <w:r w:rsidRPr="00A55335">
              <w:t>-</w:t>
            </w:r>
          </w:p>
        </w:tc>
        <w:tc>
          <w:tcPr>
            <w:tcW w:w="717" w:type="pct"/>
            <w:tcBorders>
              <w:top w:val="single" w:sz="6" w:space="0" w:color="000000"/>
              <w:left w:val="nil"/>
              <w:bottom w:val="single" w:sz="6" w:space="0" w:color="000000"/>
              <w:right w:val="nil"/>
            </w:tcBorders>
            <w:shd w:val="clear" w:color="auto" w:fill="E1E4E5" w:themeFill="accent5"/>
            <w:hideMark/>
          </w:tcPr>
          <w:p w14:paraId="7B1BB56F" w14:textId="77777777" w:rsidR="00001202" w:rsidRPr="00A55335" w:rsidRDefault="00001202" w:rsidP="00621D8D">
            <w:pPr>
              <w:pStyle w:val="Tabletext8pt"/>
              <w:jc w:val="center"/>
            </w:pPr>
            <w:r w:rsidRPr="00A55335">
              <w:t>-</w:t>
            </w:r>
          </w:p>
        </w:tc>
        <w:tc>
          <w:tcPr>
            <w:tcW w:w="502" w:type="pct"/>
            <w:tcBorders>
              <w:top w:val="single" w:sz="6" w:space="0" w:color="000000"/>
              <w:left w:val="nil"/>
              <w:bottom w:val="single" w:sz="6" w:space="0" w:color="000000"/>
              <w:right w:val="nil"/>
            </w:tcBorders>
            <w:vAlign w:val="center"/>
            <w:hideMark/>
          </w:tcPr>
          <w:p w14:paraId="710C4D32" w14:textId="77777777" w:rsidR="00001202" w:rsidRPr="00A55335" w:rsidRDefault="00001202" w:rsidP="00621D8D">
            <w:pPr>
              <w:pStyle w:val="Tabletext8pt"/>
              <w:jc w:val="center"/>
            </w:pPr>
            <w:r w:rsidRPr="00A55335">
              <w:t>-</w:t>
            </w:r>
          </w:p>
        </w:tc>
        <w:tc>
          <w:tcPr>
            <w:tcW w:w="645" w:type="pct"/>
            <w:tcBorders>
              <w:top w:val="single" w:sz="6" w:space="0" w:color="000000"/>
              <w:left w:val="nil"/>
              <w:bottom w:val="single" w:sz="6" w:space="0" w:color="000000"/>
              <w:right w:val="nil"/>
            </w:tcBorders>
            <w:vAlign w:val="center"/>
            <w:hideMark/>
          </w:tcPr>
          <w:p w14:paraId="7FFA6A53" w14:textId="77777777" w:rsidR="00001202" w:rsidRPr="00A55335" w:rsidRDefault="00001202" w:rsidP="00621D8D">
            <w:pPr>
              <w:pStyle w:val="Tabletext8pt"/>
              <w:jc w:val="center"/>
            </w:pPr>
            <w:r w:rsidRPr="00A55335">
              <w:t xml:space="preserve">(0 studies) </w:t>
            </w:r>
            <w:r w:rsidRPr="00A55335">
              <w:rPr>
                <w:rStyle w:val="FootnoteReference"/>
              </w:rPr>
              <w:t>†</w:t>
            </w:r>
          </w:p>
        </w:tc>
        <w:tc>
          <w:tcPr>
            <w:tcW w:w="572" w:type="pct"/>
            <w:tcBorders>
              <w:top w:val="single" w:sz="6" w:space="0" w:color="000000"/>
              <w:left w:val="nil"/>
              <w:bottom w:val="single" w:sz="6" w:space="0" w:color="000000"/>
              <w:right w:val="nil"/>
            </w:tcBorders>
            <w:vAlign w:val="center"/>
            <w:hideMark/>
          </w:tcPr>
          <w:p w14:paraId="44CDF966" w14:textId="77777777" w:rsidR="00001202" w:rsidRPr="00A55335" w:rsidRDefault="00001202" w:rsidP="00621D8D">
            <w:pPr>
              <w:pStyle w:val="Tabletext8pt"/>
              <w:jc w:val="center"/>
            </w:pPr>
            <w:r w:rsidRPr="00A55335">
              <w:t>-</w:t>
            </w:r>
          </w:p>
        </w:tc>
        <w:tc>
          <w:tcPr>
            <w:tcW w:w="987" w:type="pct"/>
            <w:tcBorders>
              <w:top w:val="single" w:sz="6" w:space="0" w:color="000000"/>
              <w:left w:val="nil"/>
              <w:bottom w:val="single" w:sz="6" w:space="0" w:color="000000"/>
              <w:right w:val="nil"/>
            </w:tcBorders>
            <w:vAlign w:val="center"/>
            <w:hideMark/>
          </w:tcPr>
          <w:p w14:paraId="2CE592A6" w14:textId="77777777" w:rsidR="00001202" w:rsidRPr="00A55335" w:rsidRDefault="00001202" w:rsidP="00621D8D">
            <w:pPr>
              <w:pStyle w:val="Tabletext8pt"/>
            </w:pPr>
            <w:r w:rsidRPr="00A55335">
              <w:t>The effect of homeopathy on quality of life in people with recurrent URTIs is unknown</w:t>
            </w:r>
          </w:p>
        </w:tc>
      </w:tr>
      <w:tr w:rsidR="00621D8D" w:rsidRPr="00A55335" w14:paraId="10B8EF17" w14:textId="77777777" w:rsidTr="00143B42">
        <w:trPr>
          <w:cantSplit/>
        </w:trPr>
        <w:tc>
          <w:tcPr>
            <w:tcW w:w="860" w:type="pct"/>
            <w:tcBorders>
              <w:top w:val="single" w:sz="6" w:space="0" w:color="000000"/>
              <w:left w:val="nil"/>
              <w:bottom w:val="single" w:sz="6" w:space="0" w:color="000000"/>
              <w:right w:val="nil"/>
            </w:tcBorders>
            <w:vAlign w:val="center"/>
            <w:hideMark/>
          </w:tcPr>
          <w:p w14:paraId="37CC527E" w14:textId="1CB63063" w:rsidR="00621D8D" w:rsidRPr="00A55335" w:rsidRDefault="00621D8D" w:rsidP="00621D8D">
            <w:pPr>
              <w:pStyle w:val="Tabletext8pt"/>
            </w:pPr>
            <w:r w:rsidRPr="00A55335">
              <w:lastRenderedPageBreak/>
              <w:t xml:space="preserve">Medication use assessed </w:t>
            </w:r>
            <w:proofErr w:type="gramStart"/>
            <w:r w:rsidRPr="00A55335">
              <w:t>with:</w:t>
            </w:r>
            <w:proofErr w:type="gramEnd"/>
            <w:r w:rsidRPr="00A55335">
              <w:t xml:space="preserve"> number of participants who used antibiotics</w:t>
            </w:r>
            <w:r w:rsidRPr="00A55335">
              <w:br/>
              <w:t>follow-up: range 12 weeks to 60 weeks</w:t>
            </w:r>
          </w:p>
        </w:tc>
        <w:tc>
          <w:tcPr>
            <w:tcW w:w="717" w:type="pct"/>
            <w:tcBorders>
              <w:top w:val="single" w:sz="6" w:space="0" w:color="000000"/>
              <w:left w:val="nil"/>
              <w:bottom w:val="single" w:sz="6" w:space="0" w:color="000000"/>
              <w:right w:val="nil"/>
            </w:tcBorders>
            <w:shd w:val="clear" w:color="auto" w:fill="E1E4E5" w:themeFill="accent5"/>
            <w:vAlign w:val="center"/>
            <w:hideMark/>
          </w:tcPr>
          <w:p w14:paraId="34858637" w14:textId="3A71A0AA" w:rsidR="00621D8D" w:rsidRPr="00A55335" w:rsidRDefault="00621D8D" w:rsidP="00621D8D">
            <w:pPr>
              <w:pStyle w:val="Tabletext8pt"/>
              <w:jc w:val="center"/>
            </w:pPr>
            <w:r w:rsidRPr="00A55335">
              <w:t>437 per 1,000</w:t>
            </w:r>
          </w:p>
        </w:tc>
        <w:tc>
          <w:tcPr>
            <w:tcW w:w="717" w:type="pct"/>
            <w:tcBorders>
              <w:top w:val="single" w:sz="6" w:space="0" w:color="000000"/>
              <w:left w:val="nil"/>
              <w:bottom w:val="single" w:sz="6" w:space="0" w:color="000000"/>
              <w:right w:val="nil"/>
            </w:tcBorders>
            <w:shd w:val="clear" w:color="auto" w:fill="E1E4E5" w:themeFill="accent5"/>
            <w:hideMark/>
          </w:tcPr>
          <w:p w14:paraId="017AA8AD" w14:textId="7A959243" w:rsidR="00621D8D" w:rsidRPr="00A55335" w:rsidRDefault="00621D8D" w:rsidP="00621D8D">
            <w:pPr>
              <w:pStyle w:val="Tabletext8pt"/>
              <w:jc w:val="center"/>
            </w:pPr>
            <w:r w:rsidRPr="00A55335">
              <w:rPr>
                <w:rStyle w:val="Strong"/>
              </w:rPr>
              <w:t>319 per 1,000</w:t>
            </w:r>
            <w:r w:rsidRPr="00A55335">
              <w:br/>
              <w:t xml:space="preserve">(240 to </w:t>
            </w:r>
            <w:proofErr w:type="gramStart"/>
            <w:r w:rsidRPr="00A55335">
              <w:t>424)</w:t>
            </w:r>
            <w:r w:rsidR="00AC6682">
              <w:t>^</w:t>
            </w:r>
            <w:proofErr w:type="gramEnd"/>
            <w:r w:rsidR="00AC6682">
              <w:t>^</w:t>
            </w:r>
          </w:p>
        </w:tc>
        <w:tc>
          <w:tcPr>
            <w:tcW w:w="502" w:type="pct"/>
            <w:tcBorders>
              <w:top w:val="single" w:sz="6" w:space="0" w:color="000000"/>
              <w:left w:val="nil"/>
              <w:bottom w:val="single" w:sz="6" w:space="0" w:color="000000"/>
              <w:right w:val="nil"/>
            </w:tcBorders>
            <w:vAlign w:val="center"/>
            <w:hideMark/>
          </w:tcPr>
          <w:p w14:paraId="59A5AD44" w14:textId="3A6CEEF4" w:rsidR="00621D8D" w:rsidRPr="00A55335" w:rsidRDefault="00621D8D" w:rsidP="00621D8D">
            <w:pPr>
              <w:pStyle w:val="Tabletext8pt"/>
              <w:jc w:val="center"/>
            </w:pPr>
            <w:r w:rsidRPr="00A55335">
              <w:rPr>
                <w:rStyle w:val="Strong"/>
              </w:rPr>
              <w:t>RR 0.</w:t>
            </w:r>
            <w:r w:rsidR="008E44FB" w:rsidRPr="00A55335">
              <w:rPr>
                <w:rStyle w:val="Strong"/>
              </w:rPr>
              <w:t>7</w:t>
            </w:r>
            <w:r w:rsidR="00A65961" w:rsidRPr="00A55335">
              <w:rPr>
                <w:rStyle w:val="Strong"/>
              </w:rPr>
              <w:t>4</w:t>
            </w:r>
            <w:r w:rsidRPr="00A55335">
              <w:br/>
              <w:t>(0.</w:t>
            </w:r>
            <w:r w:rsidR="008E44FB" w:rsidRPr="00A55335">
              <w:t>5</w:t>
            </w:r>
            <w:r w:rsidR="00A65961" w:rsidRPr="00A55335">
              <w:t>6</w:t>
            </w:r>
            <w:r w:rsidR="008E44FB" w:rsidRPr="00A55335">
              <w:t xml:space="preserve"> </w:t>
            </w:r>
            <w:r w:rsidRPr="00A55335">
              <w:t>to 0.97)</w:t>
            </w:r>
          </w:p>
        </w:tc>
        <w:tc>
          <w:tcPr>
            <w:tcW w:w="645" w:type="pct"/>
            <w:tcBorders>
              <w:top w:val="single" w:sz="6" w:space="0" w:color="000000"/>
              <w:left w:val="nil"/>
              <w:bottom w:val="single" w:sz="6" w:space="0" w:color="000000"/>
              <w:right w:val="nil"/>
            </w:tcBorders>
            <w:vAlign w:val="center"/>
            <w:hideMark/>
          </w:tcPr>
          <w:p w14:paraId="43F5014A" w14:textId="4C69749D" w:rsidR="00621D8D" w:rsidRPr="00A55335" w:rsidRDefault="00621D8D" w:rsidP="00621D8D">
            <w:pPr>
              <w:pStyle w:val="Tabletext8pt"/>
              <w:jc w:val="center"/>
            </w:pPr>
            <w:r w:rsidRPr="00A55335">
              <w:t>306</w:t>
            </w:r>
            <w:r w:rsidRPr="00A55335">
              <w:br/>
              <w:t>(2 RCTs) ^</w:t>
            </w:r>
          </w:p>
        </w:tc>
        <w:tc>
          <w:tcPr>
            <w:tcW w:w="572" w:type="pct"/>
            <w:tcBorders>
              <w:top w:val="single" w:sz="6" w:space="0" w:color="000000"/>
              <w:left w:val="nil"/>
              <w:bottom w:val="single" w:sz="6" w:space="0" w:color="000000"/>
              <w:right w:val="nil"/>
            </w:tcBorders>
            <w:vAlign w:val="center"/>
            <w:hideMark/>
          </w:tcPr>
          <w:p w14:paraId="293F554B" w14:textId="7DDB70B1" w:rsidR="00621D8D" w:rsidRPr="00A55335" w:rsidRDefault="00621D8D" w:rsidP="00621D8D">
            <w:pPr>
              <w:pStyle w:val="Tabletext8pt"/>
              <w:jc w:val="center"/>
            </w:pPr>
            <w:r w:rsidRPr="00A55335">
              <w:rPr>
                <w:rStyle w:val="quality-sign"/>
                <w:rFonts w:ascii="Cambria Math" w:hAnsi="Cambria Math"/>
              </w:rPr>
              <w:t>⨁⨁◯◯</w:t>
            </w:r>
            <w:r w:rsidRPr="00A55335">
              <w:br/>
            </w:r>
            <w:r w:rsidRPr="00A55335">
              <w:rPr>
                <w:rStyle w:val="QualitytextChar"/>
              </w:rPr>
              <w:t xml:space="preserve">Low </w:t>
            </w:r>
            <w:proofErr w:type="spellStart"/>
            <w:r w:rsidRPr="00A55335">
              <w:rPr>
                <w:rStyle w:val="FootnoteReference"/>
              </w:rPr>
              <w:t>c,e,</w:t>
            </w:r>
            <w:r w:rsidR="00A506C4" w:rsidRPr="00A55335">
              <w:rPr>
                <w:rStyle w:val="FootnoteReference"/>
              </w:rPr>
              <w:t>i,</w:t>
            </w:r>
            <w:r w:rsidRPr="00A55335">
              <w:rPr>
                <w:rStyle w:val="FootnoteReference"/>
              </w:rPr>
              <w:t>j,k</w:t>
            </w:r>
            <w:proofErr w:type="spellEnd"/>
          </w:p>
        </w:tc>
        <w:tc>
          <w:tcPr>
            <w:tcW w:w="987" w:type="pct"/>
            <w:tcBorders>
              <w:top w:val="single" w:sz="6" w:space="0" w:color="000000"/>
              <w:left w:val="nil"/>
              <w:bottom w:val="single" w:sz="6" w:space="0" w:color="000000"/>
              <w:right w:val="nil"/>
            </w:tcBorders>
            <w:vAlign w:val="center"/>
            <w:hideMark/>
          </w:tcPr>
          <w:p w14:paraId="7DB7D6D0" w14:textId="1C68CC02" w:rsidR="00621D8D" w:rsidRPr="00A55335" w:rsidRDefault="00E22731" w:rsidP="00621D8D">
            <w:pPr>
              <w:pStyle w:val="Tabletext8pt"/>
            </w:pPr>
            <w:r w:rsidRPr="00A55335">
              <w:t>Compared with no intervention, h</w:t>
            </w:r>
            <w:r w:rsidR="00621D8D" w:rsidRPr="00A55335">
              <w:t xml:space="preserve">omeopathy may result in a </w:t>
            </w:r>
            <w:sdt>
              <w:sdtPr>
                <w:tag w:val="goog_rdk_38"/>
                <w:id w:val="445284011"/>
              </w:sdtPr>
              <w:sdtContent/>
            </w:sdt>
            <w:r w:rsidR="00B31FD3" w:rsidRPr="00A55335">
              <w:rPr>
                <w:rFonts w:cs="Montserrat"/>
                <w:color w:val="000000"/>
              </w:rPr>
              <w:t>slight</w:t>
            </w:r>
            <w:r w:rsidR="00621D8D" w:rsidRPr="00A55335">
              <w:t xml:space="preserve"> reduction in antibiotic use in people with recurrent URTIs **</w:t>
            </w:r>
          </w:p>
        </w:tc>
      </w:tr>
      <w:tr w:rsidR="00621D8D" w:rsidRPr="00A55335" w14:paraId="544E2105" w14:textId="77777777" w:rsidTr="00143B42">
        <w:trPr>
          <w:cantSplit/>
        </w:trPr>
        <w:tc>
          <w:tcPr>
            <w:tcW w:w="5000" w:type="pct"/>
            <w:gridSpan w:val="7"/>
            <w:tcBorders>
              <w:top w:val="single" w:sz="6" w:space="0" w:color="000000"/>
              <w:left w:val="nil"/>
              <w:bottom w:val="single" w:sz="6" w:space="0" w:color="000000"/>
              <w:right w:val="nil"/>
            </w:tcBorders>
            <w:vAlign w:val="center"/>
            <w:hideMark/>
          </w:tcPr>
          <w:p w14:paraId="3F0D9353" w14:textId="77777777" w:rsidR="00621D8D" w:rsidRPr="00A55335" w:rsidRDefault="00621D8D" w:rsidP="00621D8D">
            <w:pPr>
              <w:pStyle w:val="TableFigNotes18"/>
            </w:pPr>
            <w:r w:rsidRPr="00A55335">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0E4000DD" w14:textId="6A5124EE" w:rsidR="001C0A8C" w:rsidRPr="00A55335" w:rsidRDefault="00621D8D" w:rsidP="00621D8D">
            <w:pPr>
              <w:pStyle w:val="TableFigNotes18"/>
            </w:pPr>
            <w:r w:rsidRPr="00A55335">
              <w:t>** A 25% relative risk reduction was considered important (i.e. RR &lt; 0.75).</w:t>
            </w:r>
          </w:p>
          <w:p w14:paraId="0D689ABE" w14:textId="1484F17B" w:rsidR="007761DD" w:rsidRDefault="001C0A8C" w:rsidP="007761DD">
            <w:pPr>
              <w:pStyle w:val="TableFigNotes18"/>
            </w:pPr>
            <w:r w:rsidRPr="00A55335">
              <w:t xml:space="preserve">*** As a rule of thumb, an SMD of 0.2 represents a small difference, 0.5 is moderate, and 0.8 is a large difference </w:t>
            </w:r>
            <w:r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Pr="00A55335">
              <w:fldChar w:fldCharType="separate"/>
            </w:r>
            <w:r w:rsidR="00FA37A6" w:rsidRPr="00A55335">
              <w:rPr>
                <w:noProof/>
              </w:rPr>
              <w:t>(</w:t>
            </w:r>
            <w:hyperlink w:anchor="_ENREF_83" w:tooltip="Faraone, 2008 #165" w:history="1">
              <w:r w:rsidR="00EC2769" w:rsidRPr="00A55335">
                <w:rPr>
                  <w:noProof/>
                </w:rPr>
                <w:t>83</w:t>
              </w:r>
            </w:hyperlink>
            <w:r w:rsidR="00FA37A6" w:rsidRPr="00A55335">
              <w:rPr>
                <w:noProof/>
              </w:rPr>
              <w:t>)</w:t>
            </w:r>
            <w:r w:rsidRPr="00A55335">
              <w:fldChar w:fldCharType="end"/>
            </w:r>
            <w:r w:rsidR="00AC6682">
              <w:br/>
            </w:r>
            <w:r w:rsidR="00AC6682">
              <w:br/>
              <w:t>^</w:t>
            </w:r>
            <w:r w:rsidR="007761DD">
              <w:t xml:space="preserve"> </w:t>
            </w:r>
            <w:r w:rsidR="007761DD" w:rsidRPr="00DC72CF">
              <w:t xml:space="preserve">The ARD is </w:t>
            </w:r>
            <w:r w:rsidR="00FA6A2A">
              <w:t>150</w:t>
            </w:r>
            <w:r w:rsidR="007761DD" w:rsidRPr="00DC72CF">
              <w:t xml:space="preserve"> fewer per 1</w:t>
            </w:r>
            <w:r w:rsidR="007761DD">
              <w:t>0</w:t>
            </w:r>
            <w:r w:rsidR="007761DD" w:rsidRPr="00DC72CF">
              <w:t xml:space="preserve">00 </w:t>
            </w:r>
            <w:r w:rsidR="00AC6682">
              <w:t xml:space="preserve">(from 194 fewer to 95 fewer) i.e. </w:t>
            </w:r>
            <w:r w:rsidR="00FA6A2A">
              <w:t>15</w:t>
            </w:r>
            <w:r w:rsidR="007761DD">
              <w:t xml:space="preserve">% reduction. </w:t>
            </w:r>
          </w:p>
          <w:p w14:paraId="376B27C4" w14:textId="66AF1928" w:rsidR="00121D7F" w:rsidRDefault="00AC6682" w:rsidP="00121D7F">
            <w:pPr>
              <w:pStyle w:val="TableFigNotes18"/>
            </w:pPr>
            <w:r>
              <w:t>^^</w:t>
            </w:r>
            <w:r w:rsidR="00121D7F">
              <w:t xml:space="preserve"> </w:t>
            </w:r>
            <w:r w:rsidR="00121D7F" w:rsidRPr="00DC72CF">
              <w:t xml:space="preserve">The ARD is </w:t>
            </w:r>
            <w:r w:rsidR="00121D7F">
              <w:t>118</w:t>
            </w:r>
            <w:r w:rsidR="00121D7F" w:rsidRPr="00DC72CF">
              <w:t xml:space="preserve"> fewer per 1</w:t>
            </w:r>
            <w:r w:rsidR="00121D7F">
              <w:t>0</w:t>
            </w:r>
            <w:r w:rsidR="00121D7F" w:rsidRPr="00DC72CF">
              <w:t xml:space="preserve">00 </w:t>
            </w:r>
            <w:r>
              <w:t xml:space="preserve">(from 197 fewer to 13 fewer) i.e. </w:t>
            </w:r>
            <w:r w:rsidR="00121D7F">
              <w:t xml:space="preserve">11.8% reduction. </w:t>
            </w:r>
          </w:p>
          <w:p w14:paraId="0BFC3F41" w14:textId="03504005" w:rsidR="00621D8D" w:rsidRPr="00A55335" w:rsidRDefault="00AC6682" w:rsidP="00621D8D">
            <w:pPr>
              <w:pStyle w:val="TableFigNotes18"/>
            </w:pPr>
            <w:r>
              <w:br/>
            </w:r>
            <w:r w:rsidR="00621D8D" w:rsidRPr="00A55335">
              <w:t>† Missing data from one study (total 256 participants) that reported an effect favouring the homeopathy group (</w:t>
            </w:r>
            <w:r w:rsidR="00621D8D" w:rsidRPr="00A55335">
              <w:rPr>
                <w:rStyle w:val="Emphasis"/>
              </w:rPr>
              <w:t>p</w:t>
            </w:r>
            <w:r w:rsidR="00621D8D" w:rsidRPr="00A55335">
              <w:t xml:space="preserve"> &lt; 0.0001).</w:t>
            </w:r>
          </w:p>
          <w:p w14:paraId="11063A5C" w14:textId="309309E4" w:rsidR="003C2CDB" w:rsidRPr="00A55335" w:rsidRDefault="003C2CDB" w:rsidP="00621D8D">
            <w:pPr>
              <w:pStyle w:val="TableFigNotes18"/>
            </w:pPr>
            <w:r w:rsidRPr="00A55335">
              <w:t xml:space="preserve">†† The study included </w:t>
            </w:r>
            <w:r w:rsidR="00A40D0F" w:rsidRPr="00A55335">
              <w:t xml:space="preserve">a second intervention group (parent-selected homeopathy) that is not included here. </w:t>
            </w:r>
          </w:p>
          <w:p w14:paraId="7984423C" w14:textId="78A81B63" w:rsidR="00621D8D" w:rsidRPr="00A55335" w:rsidRDefault="001E3978" w:rsidP="00621D8D">
            <w:pPr>
              <w:pStyle w:val="TableFigNotes18"/>
            </w:pPr>
            <w:r>
              <w:t>#</w:t>
            </w:r>
            <w:r w:rsidRPr="00A55335">
              <w:t xml:space="preserve"> </w:t>
            </w:r>
            <w:r w:rsidR="009D48F0" w:rsidRPr="00A55335">
              <w:t>Results should be interpreted with caution. Data are skewed and contain outliers</w:t>
            </w:r>
            <w:r w:rsidR="00621D8D" w:rsidRPr="00A55335">
              <w:t>.</w:t>
            </w:r>
          </w:p>
          <w:p w14:paraId="24DD2E83" w14:textId="136117B8" w:rsidR="00621D8D" w:rsidRPr="00A55335" w:rsidRDefault="00FA6A2A" w:rsidP="00621D8D">
            <w:pPr>
              <w:pStyle w:val="TableFigNotes0"/>
            </w:pPr>
            <w:r>
              <w:rPr>
                <w:rStyle w:val="Strong"/>
              </w:rPr>
              <w:t xml:space="preserve">ARD: </w:t>
            </w:r>
            <w:r>
              <w:rPr>
                <w:rStyle w:val="Strong"/>
                <w:b w:val="0"/>
                <w:bCs w:val="0"/>
              </w:rPr>
              <w:t>a</w:t>
            </w:r>
            <w:r w:rsidRPr="00FA6A2A">
              <w:rPr>
                <w:rStyle w:val="Strong"/>
                <w:b w:val="0"/>
                <w:bCs w:val="0"/>
              </w:rPr>
              <w:t xml:space="preserve">bsolute risk difference; </w:t>
            </w:r>
            <w:r w:rsidR="00621D8D" w:rsidRPr="00A55335">
              <w:rPr>
                <w:rStyle w:val="Strong"/>
              </w:rPr>
              <w:t xml:space="preserve">ATI: </w:t>
            </w:r>
            <w:r w:rsidR="00621D8D" w:rsidRPr="00A55335">
              <w:t>acute throat infection;</w:t>
            </w:r>
            <w:r w:rsidR="00621D8D" w:rsidRPr="00A55335">
              <w:rPr>
                <w:rStyle w:val="Strong"/>
              </w:rPr>
              <w:t xml:space="preserve"> CI:</w:t>
            </w:r>
            <w:r w:rsidR="00621D8D" w:rsidRPr="00A55335">
              <w:t xml:space="preserve"> confidence interval; </w:t>
            </w:r>
            <w:r w:rsidR="00621D8D" w:rsidRPr="00A55335">
              <w:rPr>
                <w:rStyle w:val="Strong"/>
              </w:rPr>
              <w:t>RR:</w:t>
            </w:r>
            <w:r w:rsidR="00621D8D" w:rsidRPr="00A55335">
              <w:t xml:space="preserve"> risk ratio; </w:t>
            </w:r>
            <w:r w:rsidR="00621D8D" w:rsidRPr="00A55335">
              <w:rPr>
                <w:rStyle w:val="Strong"/>
              </w:rPr>
              <w:t>URTI:</w:t>
            </w:r>
            <w:r w:rsidR="00621D8D" w:rsidRPr="00A55335">
              <w:t xml:space="preserve"> upper respiratory tract infection.</w:t>
            </w:r>
          </w:p>
        </w:tc>
      </w:tr>
      <w:tr w:rsidR="00621D8D" w:rsidRPr="00A55335" w14:paraId="728CFC2F" w14:textId="77777777" w:rsidTr="00143B42">
        <w:trPr>
          <w:cantSplit/>
        </w:trPr>
        <w:tc>
          <w:tcPr>
            <w:tcW w:w="5000" w:type="pct"/>
            <w:gridSpan w:val="7"/>
            <w:tcBorders>
              <w:top w:val="single" w:sz="6" w:space="0" w:color="000000"/>
              <w:left w:val="nil"/>
              <w:bottom w:val="single" w:sz="6" w:space="0" w:color="000000"/>
              <w:right w:val="nil"/>
            </w:tcBorders>
            <w:vAlign w:val="center"/>
            <w:hideMark/>
          </w:tcPr>
          <w:p w14:paraId="545596F4" w14:textId="77777777" w:rsidR="00621D8D" w:rsidRPr="00A55335" w:rsidRDefault="00621D8D" w:rsidP="00621D8D">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25B38658" w14:textId="77777777" w:rsidR="00302AC5" w:rsidRPr="00A55335" w:rsidRDefault="00302AC5" w:rsidP="00B05EFA">
      <w:pPr>
        <w:pStyle w:val="Heading5a"/>
        <w:rPr>
          <w:lang w:val="en-AU"/>
        </w:rPr>
      </w:pPr>
      <w:r w:rsidRPr="00A55335">
        <w:rPr>
          <w:lang w:val="en-AU"/>
        </w:rPr>
        <w:t>Explanations</w:t>
      </w:r>
    </w:p>
    <w:p w14:paraId="36BD46C3" w14:textId="0978CE85" w:rsidR="00F90484" w:rsidRPr="00A55335" w:rsidRDefault="00302AC5" w:rsidP="00F92934">
      <w:pPr>
        <w:pStyle w:val="Footnote"/>
      </w:pPr>
      <w:r w:rsidRPr="00A55335">
        <w:t xml:space="preserve">a. </w:t>
      </w:r>
      <w:r w:rsidR="00F90484" w:rsidRPr="00A55335">
        <w:t>No serious risk of bias. Certainty of evidence not downgraded.</w:t>
      </w:r>
    </w:p>
    <w:p w14:paraId="0C55D2A5" w14:textId="77777777" w:rsidR="00F90484" w:rsidRPr="00A55335" w:rsidRDefault="00F90484" w:rsidP="00F90484">
      <w:pPr>
        <w:pStyle w:val="Footnote"/>
      </w:pPr>
      <w:r w:rsidRPr="00A55335">
        <w:t>b. Single study. Inconsistency not assessed. Certainty of evidence not downgraded.</w:t>
      </w:r>
    </w:p>
    <w:p w14:paraId="537EBD56" w14:textId="091B7CE9" w:rsidR="00F90484" w:rsidRPr="00A55335" w:rsidRDefault="00F90484" w:rsidP="00F90484">
      <w:pPr>
        <w:pStyle w:val="Footnote"/>
      </w:pPr>
      <w:r w:rsidRPr="00A55335">
        <w:t xml:space="preserve">c. No serious indirectness. The evidence is directly generalisable to the Australian population with few caveats. The available evidence is in </w:t>
      </w:r>
      <w:r w:rsidR="00FC742F" w:rsidRPr="00A55335">
        <w:t>adults and children (age 6 to 60 years)</w:t>
      </w:r>
      <w:r w:rsidRPr="00A55335">
        <w:t xml:space="preserve"> with recurrent tonsilitis. Certainty of evidence not downgraded.</w:t>
      </w:r>
    </w:p>
    <w:p w14:paraId="338C558C" w14:textId="69475F26" w:rsidR="00FC742F" w:rsidRPr="00A55335" w:rsidRDefault="00FC742F" w:rsidP="00FC742F">
      <w:pPr>
        <w:pStyle w:val="Footnote"/>
      </w:pPr>
      <w:r w:rsidRPr="00A55335">
        <w:t xml:space="preserve">d. </w:t>
      </w:r>
      <w:proofErr w:type="gramStart"/>
      <w:r w:rsidR="00F13D06" w:rsidRPr="00A55335">
        <w:t>Serious</w:t>
      </w:r>
      <w:proofErr w:type="gramEnd"/>
      <w:r w:rsidR="00F13D06" w:rsidRPr="00A55335">
        <w:t xml:space="preserve"> </w:t>
      </w:r>
      <w:r w:rsidRPr="00A55335">
        <w:t>imprecision. Single study. Certainty of evidence</w:t>
      </w:r>
      <w:r w:rsidR="00BE33CA" w:rsidRPr="00A55335">
        <w:t xml:space="preserve"> </w:t>
      </w:r>
      <w:r w:rsidRPr="00A55335">
        <w:t>downgraded.</w:t>
      </w:r>
    </w:p>
    <w:p w14:paraId="38A5BA01" w14:textId="65FC63E0" w:rsidR="00BE33CA" w:rsidRPr="00A55335" w:rsidRDefault="00BE33CA" w:rsidP="00BE33CA">
      <w:pPr>
        <w:pStyle w:val="Footnote"/>
      </w:pPr>
      <w:r w:rsidRPr="00A55335">
        <w:t>e. Publication bias not suspected. Certainty of evidence not downgraded.</w:t>
      </w:r>
    </w:p>
    <w:p w14:paraId="5E3485E2" w14:textId="77556B74" w:rsidR="00BB503F" w:rsidRPr="00A55335" w:rsidRDefault="003505E0" w:rsidP="00BB503F">
      <w:pPr>
        <w:pStyle w:val="Footnote"/>
      </w:pPr>
      <w:r w:rsidRPr="00A55335">
        <w:t>f.</w:t>
      </w:r>
      <w:r w:rsidR="00BB503F" w:rsidRPr="00A55335">
        <w:t xml:space="preserve">  Serious risk of bias. </w:t>
      </w:r>
      <w:r w:rsidR="00302AC5" w:rsidRPr="00A55335">
        <w:t>One RCT contributing 100% of data was at high risk of bias.</w:t>
      </w:r>
      <w:r w:rsidR="00BB503F" w:rsidRPr="00A55335">
        <w:t xml:space="preserve"> Certainty of evidence downgraded.</w:t>
      </w:r>
    </w:p>
    <w:p w14:paraId="4213F422" w14:textId="711BB7E6" w:rsidR="005016CC" w:rsidRPr="00A55335" w:rsidRDefault="00AA6B83" w:rsidP="005016CC">
      <w:pPr>
        <w:pStyle w:val="Footnote"/>
      </w:pPr>
      <w:r w:rsidRPr="00A55335">
        <w:t>g</w:t>
      </w:r>
      <w:r w:rsidR="005016CC" w:rsidRPr="00A55335">
        <w:t>. No serious indirectness. The evidence is directly generalisable to the Australian population with few caveats. The available evidence is in children with URTI and increased risk of recurrent infection. Certainty of evidence not downgraded.</w:t>
      </w:r>
    </w:p>
    <w:p w14:paraId="5C124C26" w14:textId="4ACA3053" w:rsidR="00717037" w:rsidRPr="00A55335" w:rsidRDefault="00717037" w:rsidP="00717037">
      <w:pPr>
        <w:pStyle w:val="Footnote"/>
      </w:pPr>
      <w:r w:rsidRPr="00A55335">
        <w:lastRenderedPageBreak/>
        <w:t xml:space="preserve">h. </w:t>
      </w:r>
      <w:r w:rsidR="00E72EF0" w:rsidRPr="00A55335">
        <w:t>Very s</w:t>
      </w:r>
      <w:r w:rsidRPr="00A55335">
        <w:t xml:space="preserve">erious imprecision. </w:t>
      </w:r>
      <w:r w:rsidR="00E72EF0" w:rsidRPr="00A55335">
        <w:t xml:space="preserve">Median (95% CI) data reported by study authors and not able to be interpreted. Data were skewed and had outliers. Authors suggest a 20% reduction in symptom duration as being important. Certainty of evidence downgraded 2 levels. </w:t>
      </w:r>
    </w:p>
    <w:p w14:paraId="4F4A2511" w14:textId="2158593A" w:rsidR="00754800" w:rsidRPr="00A55335" w:rsidRDefault="00A506C4" w:rsidP="00754800">
      <w:pPr>
        <w:pStyle w:val="Footnote"/>
      </w:pPr>
      <w:proofErr w:type="spellStart"/>
      <w:r w:rsidRPr="00A55335">
        <w:t>i</w:t>
      </w:r>
      <w:proofErr w:type="spellEnd"/>
      <w:r w:rsidR="00754800" w:rsidRPr="00A55335">
        <w:t xml:space="preserve">. </w:t>
      </w:r>
      <w:proofErr w:type="gramStart"/>
      <w:r w:rsidR="00754800" w:rsidRPr="00A55335">
        <w:t>Serious</w:t>
      </w:r>
      <w:proofErr w:type="gramEnd"/>
      <w:r w:rsidR="00754800" w:rsidRPr="00A55335">
        <w:t xml:space="preserve"> risk of bias. One RCT contributing 14% of data at high risk of bias, that influences the results in favour of the intervention. Certainty of evidence downgraded.</w:t>
      </w:r>
    </w:p>
    <w:p w14:paraId="6A7CCE14" w14:textId="3A2E5B3D" w:rsidR="00754800" w:rsidRPr="00A55335" w:rsidRDefault="00A506C4" w:rsidP="00754800">
      <w:pPr>
        <w:pStyle w:val="Footnote"/>
      </w:pPr>
      <w:r w:rsidRPr="00A55335">
        <w:t>j</w:t>
      </w:r>
      <w:r w:rsidR="00754800" w:rsidRPr="00A55335">
        <w:t>. No serious inconsistency. Certainty of evidence not downgraded.</w:t>
      </w:r>
    </w:p>
    <w:p w14:paraId="29569EB6" w14:textId="71EA5609" w:rsidR="00754800" w:rsidRPr="00A55335" w:rsidRDefault="00A506C4" w:rsidP="005016CC">
      <w:pPr>
        <w:pStyle w:val="Footnote"/>
      </w:pPr>
      <w:r w:rsidRPr="00A55335">
        <w:t>k</w:t>
      </w:r>
      <w:r w:rsidR="00754800" w:rsidRPr="00A55335">
        <w:t xml:space="preserve">. </w:t>
      </w:r>
      <w:proofErr w:type="gramStart"/>
      <w:r w:rsidR="00754800" w:rsidRPr="00A55335">
        <w:t>Serious</w:t>
      </w:r>
      <w:proofErr w:type="gramEnd"/>
      <w:r w:rsidR="00754800" w:rsidRPr="00A55335">
        <w:t xml:space="preserve"> imprecision. Wide confidence interval (upper and lower bounds overlap with both an important and no important effect). Certainty of evidence downgraded.</w:t>
      </w:r>
    </w:p>
    <w:p w14:paraId="1A9F6104" w14:textId="77777777" w:rsidR="00DD505D" w:rsidRPr="00A55335" w:rsidRDefault="00DD505D" w:rsidP="004D433B">
      <w:pPr>
        <w:pStyle w:val="Heading3"/>
      </w:pPr>
      <w:bookmarkStart w:id="136" w:name="_Toc183441320"/>
      <w:r w:rsidRPr="00A55335">
        <w:t>Forest plots</w:t>
      </w:r>
      <w:bookmarkEnd w:id="136"/>
    </w:p>
    <w:p w14:paraId="11C54B43" w14:textId="09561CDF" w:rsidR="00C214FA" w:rsidRPr="00A55335" w:rsidRDefault="00DD505D" w:rsidP="00527757">
      <w:pPr>
        <w:pStyle w:val="BodyText"/>
      </w:pPr>
      <w:r w:rsidRPr="00A55335">
        <w:t>Outcome results related</w:t>
      </w:r>
      <w:r w:rsidR="00E6419B" w:rsidRPr="00A55335">
        <w:t xml:space="preserve"> to</w:t>
      </w:r>
      <w:r w:rsidR="00B379C9" w:rsidRPr="00A55335">
        <w:t xml:space="preserve"> the p</w:t>
      </w:r>
      <w:r w:rsidR="006070ED" w:rsidRPr="00A55335">
        <w:t xml:space="preserve">rimary </w:t>
      </w:r>
      <w:r w:rsidR="00B379C9" w:rsidRPr="00A55335">
        <w:t xml:space="preserve">comparison </w:t>
      </w:r>
      <w:r w:rsidR="00E6419B" w:rsidRPr="00A55335">
        <w:t xml:space="preserve">(homeopathy vs placebo) in </w:t>
      </w:r>
      <w:r w:rsidRPr="00A55335">
        <w:t xml:space="preserve">people with recurrent upper respiratory tract infections are presented in </w:t>
      </w:r>
      <w:r w:rsidRPr="00A55335">
        <w:fldChar w:fldCharType="begin"/>
      </w:r>
      <w:r w:rsidRPr="00A55335">
        <w:instrText xml:space="preserve"> REF _Ref146270225 \h </w:instrText>
      </w:r>
      <w:r w:rsidRPr="00A55335">
        <w:fldChar w:fldCharType="separate"/>
      </w:r>
      <w:r w:rsidR="00814B04" w:rsidRPr="00A55335">
        <w:t xml:space="preserve">Figure </w:t>
      </w:r>
      <w:r w:rsidR="00814B04">
        <w:rPr>
          <w:noProof/>
        </w:rPr>
        <w:t>14</w:t>
      </w:r>
      <w:r w:rsidRPr="00A55335">
        <w:fldChar w:fldCharType="end"/>
      </w:r>
      <w:r w:rsidR="00C214FA" w:rsidRPr="00A55335">
        <w:t xml:space="preserve"> (infection frequency), </w:t>
      </w:r>
      <w:r w:rsidR="009C1C71" w:rsidRPr="00A55335">
        <w:fldChar w:fldCharType="begin"/>
      </w:r>
      <w:r w:rsidR="009C1C71" w:rsidRPr="00A55335">
        <w:instrText xml:space="preserve"> REF _Ref167792808 \h  \* MERGEFORMAT </w:instrText>
      </w:r>
      <w:r w:rsidR="009C1C71" w:rsidRPr="00A55335">
        <w:fldChar w:fldCharType="separate"/>
      </w:r>
      <w:r w:rsidR="00814B04" w:rsidRPr="00A55335">
        <w:t xml:space="preserve">Figure </w:t>
      </w:r>
      <w:r w:rsidR="00814B04">
        <w:t>15</w:t>
      </w:r>
      <w:r w:rsidR="009C1C71" w:rsidRPr="00A55335">
        <w:fldChar w:fldCharType="end"/>
      </w:r>
      <w:r w:rsidR="009C1C71" w:rsidRPr="00A55335">
        <w:t xml:space="preserve"> </w:t>
      </w:r>
      <w:r w:rsidR="00C214FA" w:rsidRPr="00A55335">
        <w:t>(infection duration)</w:t>
      </w:r>
      <w:r w:rsidR="00EB32CF" w:rsidRPr="00A55335">
        <w:t xml:space="preserve">, </w:t>
      </w:r>
      <w:r w:rsidR="00EB32CF" w:rsidRPr="00A55335">
        <w:fldChar w:fldCharType="begin"/>
      </w:r>
      <w:r w:rsidR="00EB32CF" w:rsidRPr="00A55335">
        <w:instrText xml:space="preserve"> REF _Ref152671977 \h </w:instrText>
      </w:r>
      <w:r w:rsidR="00EB32CF" w:rsidRPr="00A55335">
        <w:fldChar w:fldCharType="separate"/>
      </w:r>
      <w:r w:rsidR="00814B04" w:rsidRPr="00A55335">
        <w:t xml:space="preserve">Figure </w:t>
      </w:r>
      <w:r w:rsidR="00814B04">
        <w:rPr>
          <w:noProof/>
        </w:rPr>
        <w:t>16</w:t>
      </w:r>
      <w:r w:rsidR="00EB32CF" w:rsidRPr="00A55335">
        <w:fldChar w:fldCharType="end"/>
      </w:r>
      <w:r w:rsidR="00EB32CF" w:rsidRPr="00A55335">
        <w:t xml:space="preserve"> (symptom severity), </w:t>
      </w:r>
      <w:r w:rsidR="00527757" w:rsidRPr="00A55335">
        <w:fldChar w:fldCharType="begin"/>
      </w:r>
      <w:r w:rsidR="00527757" w:rsidRPr="00A55335">
        <w:instrText xml:space="preserve"> REF _Ref167799997 \h </w:instrText>
      </w:r>
      <w:r w:rsidR="00527757" w:rsidRPr="00A55335">
        <w:fldChar w:fldCharType="separate"/>
      </w:r>
      <w:r w:rsidR="00814B04" w:rsidRPr="00A55335">
        <w:t xml:space="preserve">Figure </w:t>
      </w:r>
      <w:r w:rsidR="00814B04">
        <w:rPr>
          <w:noProof/>
        </w:rPr>
        <w:t>17</w:t>
      </w:r>
      <w:r w:rsidR="00527757" w:rsidRPr="00A55335">
        <w:fldChar w:fldCharType="end"/>
      </w:r>
      <w:r w:rsidR="00527757" w:rsidRPr="00A55335">
        <w:t xml:space="preserve"> </w:t>
      </w:r>
      <w:r w:rsidR="00EB32CF" w:rsidRPr="00A55335">
        <w:t>(quality of life)</w:t>
      </w:r>
      <w:r w:rsidR="00527757" w:rsidRPr="00A55335">
        <w:t xml:space="preserve"> and </w:t>
      </w:r>
      <w:r w:rsidR="00527757" w:rsidRPr="00A55335">
        <w:fldChar w:fldCharType="begin"/>
      </w:r>
      <w:r w:rsidR="00527757" w:rsidRPr="00A55335">
        <w:instrText xml:space="preserve"> REF _Ref167800001 \h </w:instrText>
      </w:r>
      <w:r w:rsidR="00527757" w:rsidRPr="00A55335">
        <w:fldChar w:fldCharType="separate"/>
      </w:r>
      <w:r w:rsidR="00814B04" w:rsidRPr="00A55335">
        <w:t xml:space="preserve">Figure </w:t>
      </w:r>
      <w:r w:rsidR="00814B04">
        <w:rPr>
          <w:noProof/>
        </w:rPr>
        <w:t>18</w:t>
      </w:r>
      <w:r w:rsidR="00527757" w:rsidRPr="00A55335">
        <w:fldChar w:fldCharType="end"/>
      </w:r>
      <w:r w:rsidR="00527757" w:rsidRPr="00A55335">
        <w:t xml:space="preserve"> (medication use)</w:t>
      </w:r>
      <w:r w:rsidR="00C214FA" w:rsidRPr="00A55335">
        <w:t>.</w:t>
      </w:r>
    </w:p>
    <w:p w14:paraId="18A599E8" w14:textId="5536E36E" w:rsidR="00040CAC" w:rsidRPr="00A55335" w:rsidRDefault="00040CAC" w:rsidP="00C214FA">
      <w:pPr>
        <w:pStyle w:val="BodyText"/>
      </w:pPr>
      <w:r w:rsidRPr="00A55335">
        <w:t xml:space="preserve">Outcome results related to </w:t>
      </w:r>
      <w:r w:rsidR="00B379C9" w:rsidRPr="00A55335">
        <w:t xml:space="preserve">the secondary comparison </w:t>
      </w:r>
      <w:r w:rsidRPr="00A55335">
        <w:t xml:space="preserve">(homeopathy vs </w:t>
      </w:r>
      <w:r w:rsidR="00AD64F3" w:rsidRPr="00A55335">
        <w:t xml:space="preserve">inactive </w:t>
      </w:r>
      <w:r w:rsidRPr="00A55335">
        <w:t>control) in people with recurrent upper respiratory tract infections are presented in</w:t>
      </w:r>
      <w:r w:rsidR="00A12775" w:rsidRPr="00A55335">
        <w:t xml:space="preserve"> </w:t>
      </w:r>
      <w:r w:rsidR="00A12775" w:rsidRPr="00A55335">
        <w:fldChar w:fldCharType="begin"/>
      </w:r>
      <w:r w:rsidR="00A12775" w:rsidRPr="00A55335">
        <w:instrText xml:space="preserve"> REF _Ref152161892 \h </w:instrText>
      </w:r>
      <w:r w:rsidR="0033621D" w:rsidRPr="00A55335">
        <w:instrText xml:space="preserve"> \* MERGEFORMAT </w:instrText>
      </w:r>
      <w:r w:rsidR="00A12775" w:rsidRPr="00A55335">
        <w:fldChar w:fldCharType="separate"/>
      </w:r>
      <w:r w:rsidR="00814B04" w:rsidRPr="009876E6">
        <w:t xml:space="preserve">Figure </w:t>
      </w:r>
      <w:r w:rsidR="00814B04">
        <w:t>19</w:t>
      </w:r>
      <w:r w:rsidR="00A12775" w:rsidRPr="00A55335">
        <w:fldChar w:fldCharType="end"/>
      </w:r>
      <w:r w:rsidR="00A12775" w:rsidRPr="00A55335">
        <w:t xml:space="preserve"> (infection frequency) </w:t>
      </w:r>
      <w:r w:rsidR="0033621D" w:rsidRPr="00A55335">
        <w:t xml:space="preserve">and </w:t>
      </w:r>
      <w:r w:rsidR="0033621D" w:rsidRPr="00A55335">
        <w:fldChar w:fldCharType="begin"/>
      </w:r>
      <w:r w:rsidR="0033621D" w:rsidRPr="00A55335">
        <w:instrText xml:space="preserve"> REF _Ref152162058 \h  \* MERGEFORMAT </w:instrText>
      </w:r>
      <w:r w:rsidR="0033621D" w:rsidRPr="00A55335">
        <w:fldChar w:fldCharType="separate"/>
      </w:r>
      <w:r w:rsidR="00814B04" w:rsidRPr="009876E6">
        <w:t xml:space="preserve">Figure </w:t>
      </w:r>
      <w:r w:rsidR="00814B04">
        <w:t>20</w:t>
      </w:r>
      <w:r w:rsidR="0033621D" w:rsidRPr="00A55335">
        <w:fldChar w:fldCharType="end"/>
      </w:r>
      <w:r w:rsidR="0033621D" w:rsidRPr="00A55335">
        <w:t xml:space="preserve"> (medication use).</w:t>
      </w:r>
    </w:p>
    <w:p w14:paraId="127B399A" w14:textId="4333D0AC" w:rsidR="00DD505D" w:rsidRPr="009876E6" w:rsidRDefault="00DD505D" w:rsidP="00DD505D">
      <w:pPr>
        <w:pStyle w:val="Caption"/>
      </w:pPr>
      <w:bookmarkStart w:id="137" w:name="_Ref146270225"/>
      <w:bookmarkStart w:id="138" w:name="_Toc183520287"/>
      <w:r w:rsidRPr="00A55335">
        <w:t xml:space="preserve">Figure </w:t>
      </w:r>
      <w:r w:rsidRPr="00A55335">
        <w:fldChar w:fldCharType="begin"/>
      </w:r>
      <w:r w:rsidRPr="00A55335">
        <w:instrText xml:space="preserve"> SEQ Figure \* ARABIC </w:instrText>
      </w:r>
      <w:r w:rsidRPr="00A55335">
        <w:fldChar w:fldCharType="separate"/>
      </w:r>
      <w:r w:rsidR="00814B04">
        <w:rPr>
          <w:noProof/>
        </w:rPr>
        <w:t>14</w:t>
      </w:r>
      <w:r w:rsidRPr="00A55335">
        <w:fldChar w:fldCharType="end"/>
      </w:r>
      <w:bookmarkEnd w:id="137"/>
      <w:r w:rsidR="00046987" w:rsidRPr="00A55335">
        <w:tab/>
      </w:r>
      <w:r w:rsidR="00EB04E9" w:rsidRPr="009876E6">
        <w:t xml:space="preserve">Forest plot of </w:t>
      </w:r>
      <w:r w:rsidR="003D6C70" w:rsidRPr="009876E6">
        <w:t xml:space="preserve">primary </w:t>
      </w:r>
      <w:r w:rsidR="00EB04E9" w:rsidRPr="009876E6">
        <w:t xml:space="preserve">comparison: </w:t>
      </w:r>
      <w:r w:rsidRPr="00A55335">
        <w:t>Homeopathy vs placebo:</w:t>
      </w:r>
      <w:r w:rsidR="00EA3DEC" w:rsidRPr="009876E6">
        <w:t xml:space="preserve"> Recurrent infections (upper respiratory tract infections) – infection frequency</w:t>
      </w:r>
      <w:bookmarkEnd w:id="138"/>
    </w:p>
    <w:p w14:paraId="1C5D875D" w14:textId="35DAAC0F" w:rsidR="00DD505D" w:rsidRPr="00A55335" w:rsidRDefault="005E3B16" w:rsidP="00AC0A80">
      <w:pPr>
        <w:pStyle w:val="Pic"/>
      </w:pPr>
      <w:r w:rsidRPr="00A55335">
        <w:rPr>
          <w:noProof/>
        </w:rPr>
        <w:drawing>
          <wp:inline distT="0" distB="0" distL="0" distR="0" wp14:anchorId="15966DA9" wp14:editId="6062FFBC">
            <wp:extent cx="6019800" cy="3009900"/>
            <wp:effectExtent l="0" t="0" r="0" b="0"/>
            <wp:docPr id="10384388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9800" cy="3009900"/>
                    </a:xfrm>
                    <a:prstGeom prst="rect">
                      <a:avLst/>
                    </a:prstGeom>
                    <a:noFill/>
                    <a:ln>
                      <a:noFill/>
                    </a:ln>
                  </pic:spPr>
                </pic:pic>
              </a:graphicData>
            </a:graphic>
          </wp:inline>
        </w:drawing>
      </w:r>
    </w:p>
    <w:p w14:paraId="1F7721E5" w14:textId="77777777" w:rsidR="00046987" w:rsidRPr="00A55335" w:rsidRDefault="00046987" w:rsidP="00046987">
      <w:pPr>
        <w:pStyle w:val="TableFigNotes18"/>
      </w:pPr>
    </w:p>
    <w:p w14:paraId="3CF0725A" w14:textId="4650AB23" w:rsidR="006362EC" w:rsidRPr="009876E6" w:rsidRDefault="006362EC" w:rsidP="00691EDC">
      <w:pPr>
        <w:pStyle w:val="Caption"/>
      </w:pPr>
      <w:bookmarkStart w:id="139" w:name="_Ref167792808"/>
      <w:bookmarkStart w:id="140" w:name="_Toc183520288"/>
      <w:r w:rsidRPr="00A55335">
        <w:lastRenderedPageBreak/>
        <w:t xml:space="preserve">Figure </w:t>
      </w:r>
      <w:r w:rsidR="009C1C71" w:rsidRPr="00A55335">
        <w:fldChar w:fldCharType="begin"/>
      </w:r>
      <w:r w:rsidR="009C1C71" w:rsidRPr="00A55335">
        <w:instrText xml:space="preserve"> SEQ Figure \* ARABIC </w:instrText>
      </w:r>
      <w:r w:rsidR="009C1C71" w:rsidRPr="00A55335">
        <w:fldChar w:fldCharType="separate"/>
      </w:r>
      <w:r w:rsidR="00814B04">
        <w:rPr>
          <w:noProof/>
        </w:rPr>
        <w:t>15</w:t>
      </w:r>
      <w:r w:rsidR="009C1C71" w:rsidRPr="00A55335">
        <w:fldChar w:fldCharType="end"/>
      </w:r>
      <w:bookmarkEnd w:id="139"/>
      <w:r w:rsidRPr="00A55335">
        <w:tab/>
      </w:r>
      <w:r w:rsidRPr="009876E6">
        <w:t xml:space="preserve">Forest plot of </w:t>
      </w:r>
      <w:r w:rsidR="003D6C70" w:rsidRPr="009876E6">
        <w:t xml:space="preserve">primary </w:t>
      </w:r>
      <w:r w:rsidRPr="009876E6">
        <w:t>comparison: Homeopathy vs placebo: Recurrent infections (upper respiratory tract infections) – infection duration</w:t>
      </w:r>
      <w:bookmarkEnd w:id="140"/>
    </w:p>
    <w:p w14:paraId="218AD7F4" w14:textId="46A61312" w:rsidR="00F04B3C" w:rsidRPr="00A55335" w:rsidRDefault="000E4A4A" w:rsidP="00F04B3C">
      <w:pPr>
        <w:pStyle w:val="Pic"/>
      </w:pPr>
      <w:r w:rsidRPr="00A55335">
        <w:rPr>
          <w:noProof/>
        </w:rPr>
        <w:drawing>
          <wp:inline distT="0" distB="0" distL="0" distR="0" wp14:anchorId="1DF79D2C" wp14:editId="67E1BC73">
            <wp:extent cx="6004202" cy="3467819"/>
            <wp:effectExtent l="0" t="0" r="0" b="0"/>
            <wp:docPr id="6109153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13055" cy="3472932"/>
                    </a:xfrm>
                    <a:prstGeom prst="rect">
                      <a:avLst/>
                    </a:prstGeom>
                    <a:noFill/>
                    <a:ln>
                      <a:noFill/>
                    </a:ln>
                  </pic:spPr>
                </pic:pic>
              </a:graphicData>
            </a:graphic>
          </wp:inline>
        </w:drawing>
      </w:r>
    </w:p>
    <w:p w14:paraId="43B29D65" w14:textId="77777777" w:rsidR="00046987" w:rsidRPr="00A55335" w:rsidRDefault="00046987" w:rsidP="00046987">
      <w:pPr>
        <w:pStyle w:val="TableFigNotes18"/>
      </w:pPr>
    </w:p>
    <w:p w14:paraId="65B3D65C" w14:textId="70F2B7D7" w:rsidR="00434033" w:rsidRPr="00A55335" w:rsidRDefault="00434033" w:rsidP="00434033">
      <w:pPr>
        <w:pStyle w:val="Caption"/>
      </w:pPr>
      <w:bookmarkStart w:id="141" w:name="_Ref152671977"/>
      <w:bookmarkStart w:id="142" w:name="_Toc183520289"/>
      <w:bookmarkStart w:id="143" w:name="_Ref146270232"/>
      <w:r w:rsidRPr="00A55335">
        <w:t xml:space="preserve">Figure </w:t>
      </w:r>
      <w:r w:rsidRPr="00A55335">
        <w:fldChar w:fldCharType="begin"/>
      </w:r>
      <w:r w:rsidRPr="00A55335">
        <w:instrText xml:space="preserve"> SEQ Figure \* ARABIC </w:instrText>
      </w:r>
      <w:r w:rsidRPr="00A55335">
        <w:fldChar w:fldCharType="separate"/>
      </w:r>
      <w:r w:rsidR="00814B04">
        <w:rPr>
          <w:noProof/>
        </w:rPr>
        <w:t>16</w:t>
      </w:r>
      <w:r w:rsidRPr="00A55335">
        <w:fldChar w:fldCharType="end"/>
      </w:r>
      <w:bookmarkEnd w:id="141"/>
      <w:r w:rsidRPr="00A55335">
        <w:tab/>
      </w:r>
      <w:r w:rsidR="00B92389" w:rsidRPr="009876E6">
        <w:t xml:space="preserve">Forest plot of </w:t>
      </w:r>
      <w:r w:rsidR="003D6C70" w:rsidRPr="009876E6">
        <w:t xml:space="preserve">primary </w:t>
      </w:r>
      <w:r w:rsidR="00B92389" w:rsidRPr="009876E6">
        <w:t xml:space="preserve">comparison: </w:t>
      </w:r>
      <w:r w:rsidRPr="00A55335">
        <w:t xml:space="preserve">Homeopathy vs placebo: </w:t>
      </w:r>
      <w:r w:rsidR="00F16150" w:rsidRPr="00A55335">
        <w:t>R</w:t>
      </w:r>
      <w:r w:rsidRPr="00A55335">
        <w:t>ecurrent infections (upper respiratory tract infections) – symptom severity</w:t>
      </w:r>
      <w:bookmarkEnd w:id="142"/>
    </w:p>
    <w:p w14:paraId="6A54E26A" w14:textId="3A7DE4E4" w:rsidR="00434033" w:rsidRPr="00A55335" w:rsidRDefault="005B6F30" w:rsidP="00434033">
      <w:pPr>
        <w:pStyle w:val="Pic"/>
      </w:pPr>
      <w:r w:rsidRPr="00A55335">
        <w:rPr>
          <w:noProof/>
        </w:rPr>
        <w:drawing>
          <wp:inline distT="0" distB="0" distL="0" distR="0" wp14:anchorId="59D73E8E" wp14:editId="07EDFD1B">
            <wp:extent cx="6012815" cy="2880995"/>
            <wp:effectExtent l="0" t="0" r="6985" b="0"/>
            <wp:docPr id="5701168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12815" cy="2880995"/>
                    </a:xfrm>
                    <a:prstGeom prst="rect">
                      <a:avLst/>
                    </a:prstGeom>
                    <a:noFill/>
                    <a:ln>
                      <a:noFill/>
                    </a:ln>
                  </pic:spPr>
                </pic:pic>
              </a:graphicData>
            </a:graphic>
          </wp:inline>
        </w:drawing>
      </w:r>
    </w:p>
    <w:p w14:paraId="328C46AC" w14:textId="77777777" w:rsidR="00896150" w:rsidRPr="00A55335" w:rsidRDefault="00896150" w:rsidP="007252A0">
      <w:pPr>
        <w:pStyle w:val="TableFigNotes18"/>
      </w:pPr>
    </w:p>
    <w:p w14:paraId="1042242B" w14:textId="222F11B5" w:rsidR="00930229" w:rsidRPr="00A55335" w:rsidRDefault="00930229" w:rsidP="00DD505D">
      <w:pPr>
        <w:pStyle w:val="Caption"/>
      </w:pPr>
      <w:bookmarkStart w:id="144" w:name="_Ref167799997"/>
      <w:bookmarkStart w:id="145" w:name="_Toc183520290"/>
      <w:bookmarkStart w:id="146" w:name="_Ref152672273"/>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17</w:t>
      </w:r>
      <w:r w:rsidRPr="00A55335">
        <w:fldChar w:fldCharType="end"/>
      </w:r>
      <w:bookmarkEnd w:id="144"/>
      <w:r w:rsidRPr="00A55335">
        <w:tab/>
        <w:t>Forest plot of primary comparison: Homeopathy vs placebo: Recurrent infections (upper respiratory tract infections) – quality of life</w:t>
      </w:r>
      <w:bookmarkEnd w:id="145"/>
    </w:p>
    <w:p w14:paraId="4A34A4C2" w14:textId="4B7694FF" w:rsidR="00930229" w:rsidRPr="00A55335" w:rsidRDefault="00930229" w:rsidP="00930229">
      <w:pPr>
        <w:pStyle w:val="Pic"/>
      </w:pPr>
      <w:r w:rsidRPr="00A55335">
        <w:rPr>
          <w:noProof/>
        </w:rPr>
        <w:drawing>
          <wp:inline distT="0" distB="0" distL="0" distR="0" wp14:anchorId="1F3EDD05" wp14:editId="49B1CF40">
            <wp:extent cx="6029960" cy="3200400"/>
            <wp:effectExtent l="0" t="0" r="8890" b="0"/>
            <wp:docPr id="547734356" name="Picture 54773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29960" cy="3200400"/>
                    </a:xfrm>
                    <a:prstGeom prst="rect">
                      <a:avLst/>
                    </a:prstGeom>
                    <a:noFill/>
                    <a:ln>
                      <a:noFill/>
                    </a:ln>
                  </pic:spPr>
                </pic:pic>
              </a:graphicData>
            </a:graphic>
          </wp:inline>
        </w:drawing>
      </w:r>
    </w:p>
    <w:p w14:paraId="2A0E50FE" w14:textId="77777777" w:rsidR="00930229" w:rsidRPr="00A55335" w:rsidRDefault="00930229" w:rsidP="00E33C11">
      <w:pPr>
        <w:pStyle w:val="TableFigNotes18"/>
      </w:pPr>
    </w:p>
    <w:p w14:paraId="6BBEC750" w14:textId="12E0E381" w:rsidR="00DD505D" w:rsidRPr="00A55335" w:rsidRDefault="00DD505D" w:rsidP="00DD505D">
      <w:pPr>
        <w:pStyle w:val="Caption"/>
      </w:pPr>
      <w:bookmarkStart w:id="147" w:name="_Ref167800001"/>
      <w:bookmarkStart w:id="148" w:name="_Toc183520291"/>
      <w:r w:rsidRPr="00A55335">
        <w:t xml:space="preserve">Figure </w:t>
      </w:r>
      <w:r w:rsidRPr="00A55335">
        <w:fldChar w:fldCharType="begin"/>
      </w:r>
      <w:r w:rsidRPr="00A55335">
        <w:instrText xml:space="preserve"> SEQ Figure \* ARABIC </w:instrText>
      </w:r>
      <w:r w:rsidRPr="00A55335">
        <w:fldChar w:fldCharType="separate"/>
      </w:r>
      <w:r w:rsidR="00814B04">
        <w:rPr>
          <w:noProof/>
        </w:rPr>
        <w:t>18</w:t>
      </w:r>
      <w:r w:rsidRPr="00A55335">
        <w:fldChar w:fldCharType="end"/>
      </w:r>
      <w:bookmarkEnd w:id="143"/>
      <w:bookmarkEnd w:id="146"/>
      <w:bookmarkEnd w:id="147"/>
      <w:r w:rsidR="00046987" w:rsidRPr="00A55335">
        <w:tab/>
      </w:r>
      <w:r w:rsidRPr="00A55335">
        <w:t xml:space="preserve">Forest plot of </w:t>
      </w:r>
      <w:r w:rsidR="003D6C70" w:rsidRPr="00A55335">
        <w:t xml:space="preserve">primary </w:t>
      </w:r>
      <w:r w:rsidRPr="00A55335">
        <w:t xml:space="preserve">comparison: Homeopathy vs placebo: </w:t>
      </w:r>
      <w:r w:rsidR="00F16150" w:rsidRPr="00A55335">
        <w:t>R</w:t>
      </w:r>
      <w:r w:rsidRPr="00A55335">
        <w:t>ecurrent infections (upper respiratory tract infections) – medication use</w:t>
      </w:r>
      <w:bookmarkEnd w:id="148"/>
    </w:p>
    <w:p w14:paraId="10F12AE5" w14:textId="111E5A15" w:rsidR="00DD505D" w:rsidRPr="00A55335" w:rsidRDefault="00ED34B8" w:rsidP="00F92934">
      <w:pPr>
        <w:pStyle w:val="Pic"/>
      </w:pPr>
      <w:r w:rsidRPr="00A55335">
        <w:rPr>
          <w:noProof/>
        </w:rPr>
        <w:drawing>
          <wp:inline distT="0" distB="0" distL="0" distR="0" wp14:anchorId="12374386" wp14:editId="14FE79A2">
            <wp:extent cx="6159144" cy="3093057"/>
            <wp:effectExtent l="0" t="0" r="0" b="0"/>
            <wp:docPr id="9877040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8019" cy="3097514"/>
                    </a:xfrm>
                    <a:prstGeom prst="rect">
                      <a:avLst/>
                    </a:prstGeom>
                    <a:noFill/>
                    <a:ln>
                      <a:noFill/>
                    </a:ln>
                  </pic:spPr>
                </pic:pic>
              </a:graphicData>
            </a:graphic>
          </wp:inline>
        </w:drawing>
      </w:r>
    </w:p>
    <w:p w14:paraId="67C02AF0" w14:textId="77777777" w:rsidR="00AF1D78" w:rsidRPr="00A55335" w:rsidRDefault="00AF1D78" w:rsidP="00AF1D78">
      <w:pPr>
        <w:pStyle w:val="TableFigNotes18"/>
      </w:pPr>
    </w:p>
    <w:p w14:paraId="46231A89" w14:textId="788584A1" w:rsidR="000E4FFD" w:rsidRPr="009876E6" w:rsidRDefault="000E4FFD" w:rsidP="009876E6">
      <w:pPr>
        <w:pStyle w:val="Caption"/>
      </w:pPr>
      <w:bookmarkStart w:id="149" w:name="_Ref152161892"/>
      <w:bookmarkStart w:id="150" w:name="_Toc183520292"/>
      <w:r w:rsidRPr="009876E6">
        <w:lastRenderedPageBreak/>
        <w:t xml:space="preserve">Figure </w:t>
      </w:r>
      <w:r w:rsidRPr="009876E6">
        <w:fldChar w:fldCharType="begin"/>
      </w:r>
      <w:r w:rsidRPr="009876E6">
        <w:instrText xml:space="preserve"> SEQ Figure \* ARABIC </w:instrText>
      </w:r>
      <w:r w:rsidRPr="009876E6">
        <w:fldChar w:fldCharType="separate"/>
      </w:r>
      <w:r w:rsidR="00814B04">
        <w:rPr>
          <w:noProof/>
        </w:rPr>
        <w:t>19</w:t>
      </w:r>
      <w:r w:rsidRPr="009876E6">
        <w:fldChar w:fldCharType="end"/>
      </w:r>
      <w:bookmarkEnd w:id="149"/>
      <w:r w:rsidRPr="009876E6">
        <w:tab/>
        <w:t xml:space="preserve">Forest plot of </w:t>
      </w:r>
      <w:r w:rsidR="00A97598" w:rsidRPr="009876E6">
        <w:t xml:space="preserve">secondary </w:t>
      </w:r>
      <w:r w:rsidRPr="009876E6">
        <w:t xml:space="preserve">comparison: Homeopathy vs </w:t>
      </w:r>
      <w:r w:rsidR="00AD64F3" w:rsidRPr="009876E6">
        <w:t xml:space="preserve">inactive </w:t>
      </w:r>
      <w:r w:rsidRPr="009876E6">
        <w:t xml:space="preserve">control: </w:t>
      </w:r>
      <w:r w:rsidR="00F16150" w:rsidRPr="009876E6">
        <w:t>R</w:t>
      </w:r>
      <w:r w:rsidRPr="009876E6">
        <w:t>ecurrent infections (upper respiratory tract infections) – infection frequency</w:t>
      </w:r>
      <w:bookmarkEnd w:id="150"/>
    </w:p>
    <w:p w14:paraId="525B490D" w14:textId="2E232A66" w:rsidR="0036224B" w:rsidRPr="00A55335" w:rsidRDefault="002E37E1" w:rsidP="00BD1A50">
      <w:pPr>
        <w:pStyle w:val="Pic"/>
      </w:pPr>
      <w:r w:rsidRPr="00A55335">
        <w:rPr>
          <w:noProof/>
        </w:rPr>
        <w:drawing>
          <wp:inline distT="0" distB="0" distL="0" distR="0" wp14:anchorId="4494092E" wp14:editId="11B02F2B">
            <wp:extent cx="6188075" cy="2935605"/>
            <wp:effectExtent l="0" t="0" r="3175" b="0"/>
            <wp:docPr id="6299168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8075" cy="2935605"/>
                    </a:xfrm>
                    <a:prstGeom prst="rect">
                      <a:avLst/>
                    </a:prstGeom>
                    <a:noFill/>
                    <a:ln>
                      <a:noFill/>
                    </a:ln>
                  </pic:spPr>
                </pic:pic>
              </a:graphicData>
            </a:graphic>
          </wp:inline>
        </w:drawing>
      </w:r>
    </w:p>
    <w:p w14:paraId="0C7F9CA5" w14:textId="2333AD22" w:rsidR="00B5734B" w:rsidRPr="00A55335" w:rsidRDefault="00B5734B" w:rsidP="00B5734B">
      <w:pPr>
        <w:pStyle w:val="TableFigNotes18"/>
      </w:pPr>
    </w:p>
    <w:p w14:paraId="74DCE798" w14:textId="18DAD7CB" w:rsidR="00A12775" w:rsidRPr="009876E6" w:rsidRDefault="0033621D" w:rsidP="009876E6">
      <w:pPr>
        <w:pStyle w:val="Caption"/>
      </w:pPr>
      <w:bookmarkStart w:id="151" w:name="_Ref152162058"/>
      <w:bookmarkStart w:id="152" w:name="_Toc183520293"/>
      <w:r w:rsidRPr="009876E6">
        <w:t xml:space="preserve">Figure </w:t>
      </w:r>
      <w:r w:rsidRPr="009876E6">
        <w:fldChar w:fldCharType="begin"/>
      </w:r>
      <w:r w:rsidRPr="009876E6">
        <w:instrText xml:space="preserve"> SEQ Figure \* ARABIC </w:instrText>
      </w:r>
      <w:r w:rsidRPr="009876E6">
        <w:fldChar w:fldCharType="separate"/>
      </w:r>
      <w:r w:rsidR="00814B04">
        <w:rPr>
          <w:noProof/>
        </w:rPr>
        <w:t>20</w:t>
      </w:r>
      <w:r w:rsidRPr="009876E6">
        <w:fldChar w:fldCharType="end"/>
      </w:r>
      <w:bookmarkEnd w:id="151"/>
      <w:r w:rsidRPr="009876E6">
        <w:tab/>
      </w:r>
      <w:r w:rsidR="003E683D" w:rsidRPr="009876E6">
        <w:t xml:space="preserve">Forest plot of </w:t>
      </w:r>
      <w:r w:rsidR="005217B5" w:rsidRPr="009876E6">
        <w:t xml:space="preserve">secondary </w:t>
      </w:r>
      <w:r w:rsidR="003E683D" w:rsidRPr="009876E6">
        <w:t xml:space="preserve">comparison: </w:t>
      </w:r>
      <w:r w:rsidRPr="009876E6">
        <w:t xml:space="preserve">Homeopathy vs </w:t>
      </w:r>
      <w:r w:rsidR="00AD64F3" w:rsidRPr="009876E6">
        <w:t xml:space="preserve">inactive </w:t>
      </w:r>
      <w:r w:rsidRPr="009876E6">
        <w:t xml:space="preserve">control: </w:t>
      </w:r>
      <w:r w:rsidR="00F16150" w:rsidRPr="009876E6">
        <w:t>R</w:t>
      </w:r>
      <w:r w:rsidRPr="009876E6">
        <w:t>ecurrent infections (upper respiratory tract infections) – medication use</w:t>
      </w:r>
      <w:bookmarkEnd w:id="152"/>
    </w:p>
    <w:p w14:paraId="3F8A990E" w14:textId="34721B3D" w:rsidR="009C5692" w:rsidRPr="00A55335" w:rsidRDefault="00F20C0A" w:rsidP="00F92934">
      <w:pPr>
        <w:pStyle w:val="Pic"/>
      </w:pPr>
      <w:r w:rsidRPr="00A55335">
        <w:rPr>
          <w:noProof/>
        </w:rPr>
        <w:drawing>
          <wp:inline distT="0" distB="0" distL="0" distR="0" wp14:anchorId="7353F408" wp14:editId="67F40780">
            <wp:extent cx="6007790" cy="2855343"/>
            <wp:effectExtent l="0" t="0" r="0" b="2540"/>
            <wp:docPr id="8013896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14711" cy="2858632"/>
                    </a:xfrm>
                    <a:prstGeom prst="rect">
                      <a:avLst/>
                    </a:prstGeom>
                    <a:noFill/>
                    <a:ln>
                      <a:noFill/>
                    </a:ln>
                  </pic:spPr>
                </pic:pic>
              </a:graphicData>
            </a:graphic>
          </wp:inline>
        </w:drawing>
      </w:r>
    </w:p>
    <w:p w14:paraId="5E141499" w14:textId="77777777" w:rsidR="00A35D5D" w:rsidRPr="00A55335" w:rsidRDefault="00A35D5D" w:rsidP="00A35D5D">
      <w:pPr>
        <w:pStyle w:val="TableFigNotes18"/>
      </w:pPr>
    </w:p>
    <w:p w14:paraId="5AEF63AB" w14:textId="10CE6E92" w:rsidR="002C5DFE" w:rsidRPr="00A55335" w:rsidRDefault="002C5DFE" w:rsidP="00645730">
      <w:pPr>
        <w:pStyle w:val="BodyText"/>
      </w:pPr>
      <w:r w:rsidRPr="00A55335">
        <w:br w:type="page"/>
      </w:r>
    </w:p>
    <w:p w14:paraId="441EED27" w14:textId="77777777" w:rsidR="00DD505D" w:rsidRPr="00A55335" w:rsidRDefault="00DD505D" w:rsidP="00C373A2">
      <w:pPr>
        <w:pStyle w:val="Heading2"/>
      </w:pPr>
      <w:bookmarkStart w:id="153" w:name="_Toc183441321"/>
      <w:r w:rsidRPr="00A55335">
        <w:lastRenderedPageBreak/>
        <w:t>Recurrent infections (genitourinary)</w:t>
      </w:r>
      <w:bookmarkEnd w:id="153"/>
    </w:p>
    <w:p w14:paraId="717CCD41" w14:textId="77777777" w:rsidR="00DD505D" w:rsidRPr="00A55335" w:rsidRDefault="00DD505D" w:rsidP="004D433B">
      <w:pPr>
        <w:pStyle w:val="Heading3"/>
      </w:pPr>
      <w:bookmarkStart w:id="154" w:name="_Toc183441322"/>
      <w:r w:rsidRPr="00A55335">
        <w:t>Description of the condition</w:t>
      </w:r>
      <w:bookmarkEnd w:id="154"/>
      <w:r w:rsidRPr="00A55335">
        <w:t xml:space="preserve"> </w:t>
      </w:r>
    </w:p>
    <w:p w14:paraId="7F6ED429" w14:textId="18BE032F" w:rsidR="00DD505D" w:rsidRPr="00A55335" w:rsidRDefault="00DD505D" w:rsidP="00DD505D">
      <w:pPr>
        <w:pStyle w:val="BodyText"/>
      </w:pPr>
      <w:r w:rsidRPr="00A55335">
        <w:t xml:space="preserve">Recurrent </w:t>
      </w:r>
      <w:r w:rsidR="00643A99" w:rsidRPr="00A55335">
        <w:t xml:space="preserve">genitourinary </w:t>
      </w:r>
      <w:r w:rsidRPr="00A55335">
        <w:t xml:space="preserve">infections </w:t>
      </w:r>
      <w:proofErr w:type="gramStart"/>
      <w:r w:rsidRPr="00A55335">
        <w:t>is</w:t>
      </w:r>
      <w:proofErr w:type="gramEnd"/>
      <w:r w:rsidRPr="00A55335">
        <w:t xml:space="preserve"> an umbrella term used </w:t>
      </w:r>
      <w:r w:rsidR="00643A99" w:rsidRPr="00A55335">
        <w:t xml:space="preserve">in this review </w:t>
      </w:r>
      <w:r w:rsidRPr="00A55335">
        <w:t xml:space="preserve">to describe bacterial urinary tract infections (UTIs) and vaginal candidiasis (thrush). UTIs are common infections, experienced more frequently in </w:t>
      </w:r>
      <w:r w:rsidR="004F45D1" w:rsidRPr="00A55335">
        <w:t>females</w:t>
      </w:r>
      <w:r w:rsidRPr="00A55335">
        <w:t xml:space="preserve"> than </w:t>
      </w:r>
      <w:r w:rsidR="004F45D1" w:rsidRPr="00A55335">
        <w:t xml:space="preserve">males </w:t>
      </w:r>
      <w:r w:rsidR="00635FCD" w:rsidRPr="00A55335">
        <w:fldChar w:fldCharType="begin"/>
      </w:r>
      <w:r w:rsidR="006952AD">
        <w:instrText xml:space="preserve"> ADDIN EN.CITE &lt;EndNote&gt;&lt;Cite&gt;&lt;Author&gt;Al-Badr&lt;/Author&gt;&lt;Year&gt;2013&lt;/Year&gt;&lt;RecNum&gt;379&lt;/RecNum&gt;&lt;DisplayText&gt;(119)&lt;/DisplayText&gt;&lt;record&gt;&lt;rec-number&gt;379&lt;/rec-number&gt;&lt;foreign-keys&gt;&lt;key app="EN" db-id="t5prptatr9sp0we5exbxt9zz20fwp55tdza9" timestamp="1700774033"&gt;379&lt;/key&gt;&lt;/foreign-keys&gt;&lt;ref-type name="Journal Article"&gt;17&lt;/ref-type&gt;&lt;contributors&gt;&lt;authors&gt;&lt;author&gt;Al-Badr, A.&lt;/author&gt;&lt;author&gt;Al-Shaikh, G.&lt;/author&gt;&lt;/authors&gt;&lt;/contributors&gt;&lt;auth-address&gt;King Fahad Medical City, Riyadh, Saudi Arabia;&lt;/auth-address&gt;&lt;titles&gt;&lt;title&gt;Recurrent Urinary Tract Infections Management in Women: A review&lt;/title&gt;&lt;secondary-title&gt;Sultan Qaboos Univ Med J&lt;/secondary-title&gt;&lt;/titles&gt;&lt;periodical&gt;&lt;full-title&gt;Sultan Qaboos Univ Med J&lt;/full-title&gt;&lt;/periodical&gt;&lt;pages&gt;359-67&lt;/pages&gt;&lt;volume&gt;13&lt;/volume&gt;&lt;number&gt;3&lt;/number&gt;&lt;edition&gt;20130625&lt;/edition&gt;&lt;keywords&gt;&lt;keyword&gt;Antibiotic Prophylaxis&lt;/keyword&gt;&lt;keyword&gt;Prevention&lt;/keyword&gt;&lt;keyword&gt;Urinary Tract Infection, therapy&lt;/keyword&gt;&lt;/keywords&gt;&lt;dates&gt;&lt;year&gt;2013&lt;/year&gt;&lt;pub-dates&gt;&lt;date&gt;Aug&lt;/date&gt;&lt;/pub-dates&gt;&lt;/dates&gt;&lt;isbn&gt;2075-051X (Print)&amp;#xD;2075-0528 (Electronic)&amp;#xD;2075-051X (Linking)&lt;/isbn&gt;&lt;accession-num&gt;23984019&lt;/accession-num&gt;&lt;urls&gt;&lt;related-urls&gt;&lt;url&gt;https://www.ncbi.nlm.nih.gov/pubmed/23984019&lt;/url&gt;&lt;/related-urls&gt;&lt;/urls&gt;&lt;custom2&gt;PMC3749018&lt;/custom2&gt;&lt;electronic-resource-num&gt;10.12816/0003256&lt;/electronic-resource-num&gt;&lt;remote-database-name&gt;PubMed-not-MEDLINE&lt;/remote-database-name&gt;&lt;remote-database-provider&gt;NLM&lt;/remote-database-provider&gt;&lt;language&gt;eng&lt;/language&gt;&lt;/record&gt;&lt;/Cite&gt;&lt;/EndNote&gt;</w:instrText>
      </w:r>
      <w:r w:rsidR="00635FCD" w:rsidRPr="00A55335">
        <w:fldChar w:fldCharType="separate"/>
      </w:r>
      <w:r w:rsidR="00067842">
        <w:rPr>
          <w:noProof/>
        </w:rPr>
        <w:t>(</w:t>
      </w:r>
      <w:hyperlink w:anchor="_ENREF_119" w:tooltip="Al-Badr, 2013 #379" w:history="1">
        <w:r w:rsidR="00EC2769">
          <w:rPr>
            <w:noProof/>
          </w:rPr>
          <w:t>119</w:t>
        </w:r>
      </w:hyperlink>
      <w:r w:rsidR="00067842">
        <w:rPr>
          <w:noProof/>
        </w:rPr>
        <w:t>)</w:t>
      </w:r>
      <w:r w:rsidR="00635FCD" w:rsidRPr="00A55335">
        <w:fldChar w:fldCharType="end"/>
      </w:r>
      <w:r w:rsidRPr="00A55335">
        <w:t xml:space="preserve">. They are most often caused by bacteria (usually </w:t>
      </w:r>
      <w:r w:rsidRPr="00A55335">
        <w:rPr>
          <w:rStyle w:val="Emphasis"/>
        </w:rPr>
        <w:t>Escherichia coli</w:t>
      </w:r>
      <w:r w:rsidRPr="00A55335">
        <w:t xml:space="preserve">) entering the urinary tract and multiplying, causing uncomfortable symptoms such as the frequent urge to urinate, feelings of bladder fullness even after urinating and burning pain </w:t>
      </w:r>
      <w:r w:rsidRPr="00A55335">
        <w:fldChar w:fldCharType="begin"/>
      </w:r>
      <w:r w:rsidR="006952AD">
        <w:instrText xml:space="preserve"> ADDIN EN.CITE &lt;EndNote&gt;&lt;Cite ExcludeYear="1"&gt;&lt;Author&gt;Australian Health Ministers’ Advisory Council&lt;/Author&gt;&lt;Year&gt;2014&lt;/Year&gt;&lt;RecNum&gt;44&lt;/RecNum&gt;&lt;DisplayText&gt;(45)&lt;/DisplayText&gt;&lt;record&gt;&lt;rec-number&gt;44&lt;/rec-number&gt;&lt;foreign-keys&gt;&lt;key app="EN" db-id="t5prptatr9sp0we5exbxt9zz20fwp55tdza9" timestamp="1643145647"&gt;44&lt;/key&gt;&lt;/foreign-keys&gt;&lt;ref-type name="Web Page"&gt;12&lt;/ref-type&gt;&lt;contributors&gt;&lt;authors&gt;&lt;author&gt;Australian Health Ministers’ Advisory Council,&lt;/author&gt;&lt;/authors&gt;&lt;/contributors&gt;&lt;titles&gt;&lt;title&gt;A National Code of Conduct for health care workers&lt;/title&gt;&lt;/titles&gt;&lt;dates&gt;&lt;year&gt;2014&lt;/year&gt;&lt;/dates&gt;&lt;urls&gt;&lt;related-urls&gt;&lt;url&gt;http://www.coaghealthcouncil.gov.au/NationalCodeOfConductForHealthCareWorkers&lt;/url&gt;&lt;/related-urls&gt;&lt;/urls&gt;&lt;/record&gt;&lt;/Cite&gt;&lt;/EndNote&gt;</w:instrText>
      </w:r>
      <w:r w:rsidRPr="00A55335">
        <w:fldChar w:fldCharType="separate"/>
      </w:r>
      <w:r w:rsidR="00FA37A6" w:rsidRPr="00A55335">
        <w:rPr>
          <w:noProof/>
        </w:rPr>
        <w:t>(</w:t>
      </w:r>
      <w:hyperlink w:anchor="_ENREF_45" w:tooltip="Australian Health Ministers’ Advisory Council, 2014 #44" w:history="1">
        <w:r w:rsidR="00EC2769" w:rsidRPr="00A55335">
          <w:rPr>
            <w:noProof/>
          </w:rPr>
          <w:t>45</w:t>
        </w:r>
      </w:hyperlink>
      <w:r w:rsidR="00FA37A6" w:rsidRPr="00A55335">
        <w:rPr>
          <w:noProof/>
        </w:rPr>
        <w:t>)</w:t>
      </w:r>
      <w:r w:rsidRPr="00A55335">
        <w:fldChar w:fldCharType="end"/>
      </w:r>
      <w:r w:rsidRPr="00A55335">
        <w:t>.</w:t>
      </w:r>
    </w:p>
    <w:p w14:paraId="59CE28B9" w14:textId="6E698673" w:rsidR="00DD505D" w:rsidRPr="00A55335" w:rsidRDefault="00DD505D" w:rsidP="00DD505D">
      <w:pPr>
        <w:pStyle w:val="BodyText"/>
      </w:pPr>
      <w:r w:rsidRPr="00A55335">
        <w:t xml:space="preserve">Approximately 50-60% of </w:t>
      </w:r>
      <w:r w:rsidR="004F45D1" w:rsidRPr="00A55335">
        <w:t>females</w:t>
      </w:r>
      <w:r w:rsidRPr="00A55335">
        <w:t xml:space="preserve"> will experience a UTI in their lifetime, and over a quarter of these will experience a repeat infection within 6-months </w:t>
      </w:r>
      <w:r w:rsidR="00635FCD" w:rsidRPr="00A55335">
        <w:fldChar w:fldCharType="begin"/>
      </w:r>
      <w:r w:rsidR="006952AD">
        <w:instrText xml:space="preserve"> ADDIN EN.CITE &lt;EndNote&gt;&lt;Cite&gt;&lt;Author&gt;Al-Badr&lt;/Author&gt;&lt;Year&gt;2013&lt;/Year&gt;&lt;RecNum&gt;379&lt;/RecNum&gt;&lt;DisplayText&gt;(119)&lt;/DisplayText&gt;&lt;record&gt;&lt;rec-number&gt;379&lt;/rec-number&gt;&lt;foreign-keys&gt;&lt;key app="EN" db-id="t5prptatr9sp0we5exbxt9zz20fwp55tdza9" timestamp="1700774033"&gt;379&lt;/key&gt;&lt;/foreign-keys&gt;&lt;ref-type name="Journal Article"&gt;17&lt;/ref-type&gt;&lt;contributors&gt;&lt;authors&gt;&lt;author&gt;Al-Badr, A.&lt;/author&gt;&lt;author&gt;Al-Shaikh, G.&lt;/author&gt;&lt;/authors&gt;&lt;/contributors&gt;&lt;auth-address&gt;King Fahad Medical City, Riyadh, Saudi Arabia;&lt;/auth-address&gt;&lt;titles&gt;&lt;title&gt;Recurrent Urinary Tract Infections Management in Women: A review&lt;/title&gt;&lt;secondary-title&gt;Sultan Qaboos Univ Med J&lt;/secondary-title&gt;&lt;/titles&gt;&lt;periodical&gt;&lt;full-title&gt;Sultan Qaboos Univ Med J&lt;/full-title&gt;&lt;/periodical&gt;&lt;pages&gt;359-67&lt;/pages&gt;&lt;volume&gt;13&lt;/volume&gt;&lt;number&gt;3&lt;/number&gt;&lt;edition&gt;20130625&lt;/edition&gt;&lt;keywords&gt;&lt;keyword&gt;Antibiotic Prophylaxis&lt;/keyword&gt;&lt;keyword&gt;Prevention&lt;/keyword&gt;&lt;keyword&gt;Urinary Tract Infection, therapy&lt;/keyword&gt;&lt;/keywords&gt;&lt;dates&gt;&lt;year&gt;2013&lt;/year&gt;&lt;pub-dates&gt;&lt;date&gt;Aug&lt;/date&gt;&lt;/pub-dates&gt;&lt;/dates&gt;&lt;isbn&gt;2075-051X (Print)&amp;#xD;2075-0528 (Electronic)&amp;#xD;2075-051X (Linking)&lt;/isbn&gt;&lt;accession-num&gt;23984019&lt;/accession-num&gt;&lt;urls&gt;&lt;related-urls&gt;&lt;url&gt;https://www.ncbi.nlm.nih.gov/pubmed/23984019&lt;/url&gt;&lt;/related-urls&gt;&lt;/urls&gt;&lt;custom2&gt;PMC3749018&lt;/custom2&gt;&lt;electronic-resource-num&gt;10.12816/0003256&lt;/electronic-resource-num&gt;&lt;remote-database-name&gt;PubMed-not-MEDLINE&lt;/remote-database-name&gt;&lt;remote-database-provider&gt;NLM&lt;/remote-database-provider&gt;&lt;language&gt;eng&lt;/language&gt;&lt;/record&gt;&lt;/Cite&gt;&lt;/EndNote&gt;</w:instrText>
      </w:r>
      <w:r w:rsidR="00635FCD" w:rsidRPr="00A55335">
        <w:fldChar w:fldCharType="separate"/>
      </w:r>
      <w:r w:rsidR="00067842">
        <w:rPr>
          <w:noProof/>
        </w:rPr>
        <w:t>(</w:t>
      </w:r>
      <w:hyperlink w:anchor="_ENREF_119" w:tooltip="Al-Badr, 2013 #379" w:history="1">
        <w:r w:rsidR="00EC2769">
          <w:rPr>
            <w:noProof/>
          </w:rPr>
          <w:t>119</w:t>
        </w:r>
      </w:hyperlink>
      <w:r w:rsidR="00067842">
        <w:rPr>
          <w:noProof/>
        </w:rPr>
        <w:t>)</w:t>
      </w:r>
      <w:r w:rsidR="00635FCD" w:rsidRPr="00A55335">
        <w:fldChar w:fldCharType="end"/>
      </w:r>
      <w:r w:rsidRPr="00A55335">
        <w:t xml:space="preserve">. Recurrent UTIs are often caused by infection by the same pathogen, and require antibiotics to treat </w:t>
      </w:r>
      <w:r w:rsidR="00635FCD" w:rsidRPr="00A55335">
        <w:fldChar w:fldCharType="begin"/>
      </w:r>
      <w:r w:rsidR="006952AD">
        <w:instrText xml:space="preserve"> ADDIN EN.CITE &lt;EndNote&gt;&lt;Cite&gt;&lt;Author&gt;Al-Badr&lt;/Author&gt;&lt;Year&gt;2013&lt;/Year&gt;&lt;RecNum&gt;379&lt;/RecNum&gt;&lt;DisplayText&gt;(119)&lt;/DisplayText&gt;&lt;record&gt;&lt;rec-number&gt;379&lt;/rec-number&gt;&lt;foreign-keys&gt;&lt;key app="EN" db-id="t5prptatr9sp0we5exbxt9zz20fwp55tdza9" timestamp="1700774033"&gt;379&lt;/key&gt;&lt;/foreign-keys&gt;&lt;ref-type name="Journal Article"&gt;17&lt;/ref-type&gt;&lt;contributors&gt;&lt;authors&gt;&lt;author&gt;Al-Badr, A.&lt;/author&gt;&lt;author&gt;Al-Shaikh, G.&lt;/author&gt;&lt;/authors&gt;&lt;/contributors&gt;&lt;auth-address&gt;King Fahad Medical City, Riyadh, Saudi Arabia;&lt;/auth-address&gt;&lt;titles&gt;&lt;title&gt;Recurrent Urinary Tract Infections Management in Women: A review&lt;/title&gt;&lt;secondary-title&gt;Sultan Qaboos Univ Med J&lt;/secondary-title&gt;&lt;/titles&gt;&lt;periodical&gt;&lt;full-title&gt;Sultan Qaboos Univ Med J&lt;/full-title&gt;&lt;/periodical&gt;&lt;pages&gt;359-67&lt;/pages&gt;&lt;volume&gt;13&lt;/volume&gt;&lt;number&gt;3&lt;/number&gt;&lt;edition&gt;20130625&lt;/edition&gt;&lt;keywords&gt;&lt;keyword&gt;Antibiotic Prophylaxis&lt;/keyword&gt;&lt;keyword&gt;Prevention&lt;/keyword&gt;&lt;keyword&gt;Urinary Tract Infection, therapy&lt;/keyword&gt;&lt;/keywords&gt;&lt;dates&gt;&lt;year&gt;2013&lt;/year&gt;&lt;pub-dates&gt;&lt;date&gt;Aug&lt;/date&gt;&lt;/pub-dates&gt;&lt;/dates&gt;&lt;isbn&gt;2075-051X (Print)&amp;#xD;2075-0528 (Electronic)&amp;#xD;2075-051X (Linking)&lt;/isbn&gt;&lt;accession-num&gt;23984019&lt;/accession-num&gt;&lt;urls&gt;&lt;related-urls&gt;&lt;url&gt;https://www.ncbi.nlm.nih.gov/pubmed/23984019&lt;/url&gt;&lt;/related-urls&gt;&lt;/urls&gt;&lt;custom2&gt;PMC3749018&lt;/custom2&gt;&lt;electronic-resource-num&gt;10.12816/0003256&lt;/electronic-resource-num&gt;&lt;remote-database-name&gt;PubMed-not-MEDLINE&lt;/remote-database-name&gt;&lt;remote-database-provider&gt;NLM&lt;/remote-database-provider&gt;&lt;language&gt;eng&lt;/language&gt;&lt;/record&gt;&lt;/Cite&gt;&lt;/EndNote&gt;</w:instrText>
      </w:r>
      <w:r w:rsidR="00635FCD" w:rsidRPr="00A55335">
        <w:fldChar w:fldCharType="separate"/>
      </w:r>
      <w:r w:rsidR="00067842">
        <w:rPr>
          <w:noProof/>
        </w:rPr>
        <w:t>(</w:t>
      </w:r>
      <w:hyperlink w:anchor="_ENREF_119" w:tooltip="Al-Badr, 2013 #379" w:history="1">
        <w:r w:rsidR="00EC2769">
          <w:rPr>
            <w:noProof/>
          </w:rPr>
          <w:t>119</w:t>
        </w:r>
      </w:hyperlink>
      <w:r w:rsidR="00067842">
        <w:rPr>
          <w:noProof/>
        </w:rPr>
        <w:t>)</w:t>
      </w:r>
      <w:r w:rsidR="00635FCD" w:rsidRPr="00A55335">
        <w:fldChar w:fldCharType="end"/>
      </w:r>
      <w:r w:rsidRPr="00A55335">
        <w:t xml:space="preserve">. Recurrent UTIs can significantly impact quality of life and </w:t>
      </w:r>
      <w:r w:rsidR="00F74DA1" w:rsidRPr="00A55335">
        <w:t xml:space="preserve">lead to </w:t>
      </w:r>
      <w:r w:rsidRPr="00A55335">
        <w:t xml:space="preserve">frequent exposure to antibiotics. As a result, prophylactic measures and alternative therapies such as homeopathy are sometimes explored. </w:t>
      </w:r>
    </w:p>
    <w:p w14:paraId="54FD168D" w14:textId="1295AD11" w:rsidR="00DD505D" w:rsidRPr="00A55335" w:rsidRDefault="00DD505D" w:rsidP="00DD505D">
      <w:pPr>
        <w:pStyle w:val="BodyText"/>
      </w:pPr>
      <w:r w:rsidRPr="00A55335">
        <w:t xml:space="preserve">Vaginal candidiasis (thrush) is also a common condition in </w:t>
      </w:r>
      <w:r w:rsidR="004F45D1" w:rsidRPr="00A55335">
        <w:t>females</w:t>
      </w:r>
      <w:r w:rsidRPr="00A55335">
        <w:t xml:space="preserve">, with 70% experiencing an incidence of thrush in their lifetime </w:t>
      </w:r>
      <w:r w:rsidR="00635FCD" w:rsidRPr="00A55335">
        <w:fldChar w:fldCharType="begin"/>
      </w:r>
      <w:r w:rsidR="006952AD">
        <w:instrText xml:space="preserve"> ADDIN EN.CITE &lt;EndNote&gt;&lt;Cite&gt;&lt;Author&gt;Jeanmonod&lt;/Author&gt;&lt;Year&gt;2023&lt;/Year&gt;&lt;RecNum&gt;380&lt;/RecNum&gt;&lt;DisplayText&gt;(120)&lt;/DisplayText&gt;&lt;record&gt;&lt;rec-number&gt;380&lt;/rec-number&gt;&lt;foreign-keys&gt;&lt;key app="EN" db-id="t5prptatr9sp0we5exbxt9zz20fwp55tdza9" timestamp="1700774033"&gt;380&lt;/key&gt;&lt;/foreign-keys&gt;&lt;ref-type name="Web Page"&gt;12&lt;/ref-type&gt;&lt;contributors&gt;&lt;authors&gt;&lt;author&gt;Jeanmonod, Rebecca &lt;/author&gt;&lt;author&gt;Jeanmonod, Donald.&lt;/author&gt;&lt;/authors&gt;&lt;/contributors&gt;&lt;titles&gt;&lt;title&gt;StatPearls. Vaginal candidiasis&lt;/title&gt;&lt;/titles&gt;&lt;volume&gt;2023&lt;/volume&gt;&lt;number&gt;18 September&lt;/number&gt;&lt;dates&gt;&lt;year&gt;2023&lt;/year&gt;&lt;/dates&gt;&lt;urls&gt;&lt;related-urls&gt;&lt;url&gt;https://www.ncbi.nlm.nih.gov/books/NBK459317/&lt;/url&gt;&lt;/related-urls&gt;&lt;/urls&gt;&lt;custom1&gt;2023&lt;/custom1&gt;&lt;custom2&gt;18 September&lt;/custom2&gt;&lt;/record&gt;&lt;/Cite&gt;&lt;/EndNote&gt;</w:instrText>
      </w:r>
      <w:r w:rsidR="00635FCD" w:rsidRPr="00A55335">
        <w:fldChar w:fldCharType="separate"/>
      </w:r>
      <w:r w:rsidR="00067842">
        <w:rPr>
          <w:noProof/>
        </w:rPr>
        <w:t>(</w:t>
      </w:r>
      <w:hyperlink w:anchor="_ENREF_120" w:tooltip="Jeanmonod, 2023 #380" w:history="1">
        <w:r w:rsidR="00EC2769">
          <w:rPr>
            <w:noProof/>
          </w:rPr>
          <w:t>120</w:t>
        </w:r>
      </w:hyperlink>
      <w:r w:rsidR="00067842">
        <w:rPr>
          <w:noProof/>
        </w:rPr>
        <w:t>)</w:t>
      </w:r>
      <w:r w:rsidR="00635FCD" w:rsidRPr="00A55335">
        <w:fldChar w:fldCharType="end"/>
      </w:r>
      <w:r w:rsidRPr="00A55335">
        <w:t xml:space="preserve">. Vaginal candidiasis is caused by an infection of Candida species (usually </w:t>
      </w:r>
      <w:r w:rsidRPr="00A55335">
        <w:rPr>
          <w:rStyle w:val="Emphasis"/>
        </w:rPr>
        <w:t>Candida albicans</w:t>
      </w:r>
      <w:r w:rsidRPr="00A55335">
        <w:t xml:space="preserve">) in the vagina and/or vulva, causing symptoms such as inflammation, itching and discomfort when urinating </w:t>
      </w:r>
      <w:r w:rsidR="00635FCD" w:rsidRPr="00A55335">
        <w:fldChar w:fldCharType="begin"/>
      </w:r>
      <w:r w:rsidR="006952AD">
        <w:instrText xml:space="preserve"> ADDIN EN.CITE &lt;EndNote&gt;&lt;Cite&gt;&lt;Author&gt;Jeanmonod&lt;/Author&gt;&lt;Year&gt;2023&lt;/Year&gt;&lt;RecNum&gt;380&lt;/RecNum&gt;&lt;DisplayText&gt;(120)&lt;/DisplayText&gt;&lt;record&gt;&lt;rec-number&gt;380&lt;/rec-number&gt;&lt;foreign-keys&gt;&lt;key app="EN" db-id="t5prptatr9sp0we5exbxt9zz20fwp55tdza9" timestamp="1700774033"&gt;380&lt;/key&gt;&lt;/foreign-keys&gt;&lt;ref-type name="Web Page"&gt;12&lt;/ref-type&gt;&lt;contributors&gt;&lt;authors&gt;&lt;author&gt;Jeanmonod, Rebecca &lt;/author&gt;&lt;author&gt;Jeanmonod, Donald.&lt;/author&gt;&lt;/authors&gt;&lt;/contributors&gt;&lt;titles&gt;&lt;title&gt;StatPearls. Vaginal candidiasis&lt;/title&gt;&lt;/titles&gt;&lt;volume&gt;2023&lt;/volume&gt;&lt;number&gt;18 September&lt;/number&gt;&lt;dates&gt;&lt;year&gt;2023&lt;/year&gt;&lt;/dates&gt;&lt;urls&gt;&lt;related-urls&gt;&lt;url&gt;https://www.ncbi.nlm.nih.gov/books/NBK459317/&lt;/url&gt;&lt;/related-urls&gt;&lt;/urls&gt;&lt;custom1&gt;2023&lt;/custom1&gt;&lt;custom2&gt;18 September&lt;/custom2&gt;&lt;/record&gt;&lt;/Cite&gt;&lt;/EndNote&gt;</w:instrText>
      </w:r>
      <w:r w:rsidR="00635FCD" w:rsidRPr="00A55335">
        <w:fldChar w:fldCharType="separate"/>
      </w:r>
      <w:r w:rsidR="00067842">
        <w:rPr>
          <w:noProof/>
        </w:rPr>
        <w:t>(</w:t>
      </w:r>
      <w:hyperlink w:anchor="_ENREF_120" w:tooltip="Jeanmonod, 2023 #380" w:history="1">
        <w:r w:rsidR="00EC2769">
          <w:rPr>
            <w:noProof/>
          </w:rPr>
          <w:t>120</w:t>
        </w:r>
      </w:hyperlink>
      <w:r w:rsidR="00067842">
        <w:rPr>
          <w:noProof/>
        </w:rPr>
        <w:t>)</w:t>
      </w:r>
      <w:r w:rsidR="00635FCD" w:rsidRPr="00A55335">
        <w:fldChar w:fldCharType="end"/>
      </w:r>
      <w:r w:rsidRPr="00A55335">
        <w:t xml:space="preserve">. </w:t>
      </w:r>
    </w:p>
    <w:p w14:paraId="0C56F4CB" w14:textId="4316CD3B" w:rsidR="00DD505D" w:rsidRPr="00A55335" w:rsidRDefault="00DD505D" w:rsidP="00DD505D">
      <w:pPr>
        <w:pStyle w:val="BodyText"/>
      </w:pPr>
      <w:r w:rsidRPr="00A55335">
        <w:t xml:space="preserve">Approximately 8% of </w:t>
      </w:r>
      <w:r w:rsidR="004F45D1" w:rsidRPr="00A55335">
        <w:t>females</w:t>
      </w:r>
      <w:r w:rsidRPr="00A55335">
        <w:t xml:space="preserve"> will experience recurrent episodes of vaginal thrush, however it is noted that most cases of vaginal thrush may go unreported as </w:t>
      </w:r>
      <w:r w:rsidR="004F45D1" w:rsidRPr="00A55335">
        <w:t>females</w:t>
      </w:r>
      <w:r w:rsidRPr="00A55335">
        <w:t xml:space="preserve"> will often not seek clinical care to treat the condition </w:t>
      </w:r>
      <w:r w:rsidR="00635FCD" w:rsidRPr="00A55335">
        <w:fldChar w:fldCharType="begin"/>
      </w:r>
      <w:r w:rsidR="006952AD">
        <w:instrText xml:space="preserve"> ADDIN EN.CITE &lt;EndNote&gt;&lt;Cite&gt;&lt;Author&gt;Jeanmonod&lt;/Author&gt;&lt;Year&gt;2023&lt;/Year&gt;&lt;RecNum&gt;380&lt;/RecNum&gt;&lt;DisplayText&gt;(120)&lt;/DisplayText&gt;&lt;record&gt;&lt;rec-number&gt;380&lt;/rec-number&gt;&lt;foreign-keys&gt;&lt;key app="EN" db-id="t5prptatr9sp0we5exbxt9zz20fwp55tdza9" timestamp="1700774033"&gt;380&lt;/key&gt;&lt;/foreign-keys&gt;&lt;ref-type name="Web Page"&gt;12&lt;/ref-type&gt;&lt;contributors&gt;&lt;authors&gt;&lt;author&gt;Jeanmonod, Rebecca &lt;/author&gt;&lt;author&gt;Jeanmonod, Donald.&lt;/author&gt;&lt;/authors&gt;&lt;/contributors&gt;&lt;titles&gt;&lt;title&gt;StatPearls. Vaginal candidiasis&lt;/title&gt;&lt;/titles&gt;&lt;volume&gt;2023&lt;/volume&gt;&lt;number&gt;18 September&lt;/number&gt;&lt;dates&gt;&lt;year&gt;2023&lt;/year&gt;&lt;/dates&gt;&lt;urls&gt;&lt;related-urls&gt;&lt;url&gt;https://www.ncbi.nlm.nih.gov/books/NBK459317/&lt;/url&gt;&lt;/related-urls&gt;&lt;/urls&gt;&lt;custom1&gt;2023&lt;/custom1&gt;&lt;custom2&gt;18 September&lt;/custom2&gt;&lt;/record&gt;&lt;/Cite&gt;&lt;/EndNote&gt;</w:instrText>
      </w:r>
      <w:r w:rsidR="00635FCD" w:rsidRPr="00A55335">
        <w:fldChar w:fldCharType="separate"/>
      </w:r>
      <w:r w:rsidR="00067842">
        <w:rPr>
          <w:noProof/>
        </w:rPr>
        <w:t>(</w:t>
      </w:r>
      <w:hyperlink w:anchor="_ENREF_120" w:tooltip="Jeanmonod, 2023 #380" w:history="1">
        <w:r w:rsidR="00EC2769">
          <w:rPr>
            <w:noProof/>
          </w:rPr>
          <w:t>120</w:t>
        </w:r>
      </w:hyperlink>
      <w:r w:rsidR="00067842">
        <w:rPr>
          <w:noProof/>
        </w:rPr>
        <w:t>)</w:t>
      </w:r>
      <w:r w:rsidR="00635FCD" w:rsidRPr="00A55335">
        <w:fldChar w:fldCharType="end"/>
      </w:r>
      <w:r w:rsidRPr="00A55335">
        <w:t xml:space="preserve">. Uncomplicated vaginal thrush can be treated by over-the-counter oral or intravaginal anti-fungal treatments. </w:t>
      </w:r>
      <w:r w:rsidR="004F45D1" w:rsidRPr="00A55335">
        <w:t>Females</w:t>
      </w:r>
      <w:r w:rsidRPr="00A55335">
        <w:t xml:space="preserve"> who suffer from recurrent infections may benefit from extended antifungal treatment (at least 6 months) </w:t>
      </w:r>
      <w:r w:rsidR="00635FCD" w:rsidRPr="00A55335">
        <w:fldChar w:fldCharType="begin"/>
      </w:r>
      <w:r w:rsidR="006952AD">
        <w:instrText xml:space="preserve"> ADDIN EN.CITE &lt;EndNote&gt;&lt;Cite&gt;&lt;Author&gt;Jeanmonod&lt;/Author&gt;&lt;Year&gt;2023&lt;/Year&gt;&lt;RecNum&gt;380&lt;/RecNum&gt;&lt;DisplayText&gt;(120)&lt;/DisplayText&gt;&lt;record&gt;&lt;rec-number&gt;380&lt;/rec-number&gt;&lt;foreign-keys&gt;&lt;key app="EN" db-id="t5prptatr9sp0we5exbxt9zz20fwp55tdza9" timestamp="1700774033"&gt;380&lt;/key&gt;&lt;/foreign-keys&gt;&lt;ref-type name="Web Page"&gt;12&lt;/ref-type&gt;&lt;contributors&gt;&lt;authors&gt;&lt;author&gt;Jeanmonod, Rebecca &lt;/author&gt;&lt;author&gt;Jeanmonod, Donald.&lt;/author&gt;&lt;/authors&gt;&lt;/contributors&gt;&lt;titles&gt;&lt;title&gt;StatPearls. Vaginal candidiasis&lt;/title&gt;&lt;/titles&gt;&lt;volume&gt;2023&lt;/volume&gt;&lt;number&gt;18 September&lt;/number&gt;&lt;dates&gt;&lt;year&gt;2023&lt;/year&gt;&lt;/dates&gt;&lt;urls&gt;&lt;related-urls&gt;&lt;url&gt;https://www.ncbi.nlm.nih.gov/books/NBK459317/&lt;/url&gt;&lt;/related-urls&gt;&lt;/urls&gt;&lt;custom1&gt;2023&lt;/custom1&gt;&lt;custom2&gt;18 September&lt;/custom2&gt;&lt;/record&gt;&lt;/Cite&gt;&lt;/EndNote&gt;</w:instrText>
      </w:r>
      <w:r w:rsidR="00635FCD" w:rsidRPr="00A55335">
        <w:fldChar w:fldCharType="separate"/>
      </w:r>
      <w:r w:rsidR="00067842">
        <w:rPr>
          <w:noProof/>
        </w:rPr>
        <w:t>(</w:t>
      </w:r>
      <w:hyperlink w:anchor="_ENREF_120" w:tooltip="Jeanmonod, 2023 #380" w:history="1">
        <w:r w:rsidR="00EC2769">
          <w:rPr>
            <w:noProof/>
          </w:rPr>
          <w:t>120</w:t>
        </w:r>
      </w:hyperlink>
      <w:r w:rsidR="00067842">
        <w:rPr>
          <w:noProof/>
        </w:rPr>
        <w:t>)</w:t>
      </w:r>
      <w:r w:rsidR="00635FCD" w:rsidRPr="00A55335">
        <w:fldChar w:fldCharType="end"/>
      </w:r>
      <w:r w:rsidRPr="00A55335">
        <w:t>. Alternative therapies such as homeopathy are commonly sought for this condition.</w:t>
      </w:r>
    </w:p>
    <w:p w14:paraId="7EF9D3DA" w14:textId="77777777" w:rsidR="00DD505D" w:rsidRPr="00A55335" w:rsidRDefault="00DD505D" w:rsidP="004D433B">
      <w:pPr>
        <w:pStyle w:val="Heading3"/>
      </w:pPr>
      <w:bookmarkStart w:id="155" w:name="_Toc183441323"/>
      <w:r w:rsidRPr="00A55335">
        <w:t>Description of studies</w:t>
      </w:r>
      <w:bookmarkEnd w:id="155"/>
      <w:r w:rsidRPr="00A55335">
        <w:t xml:space="preserve"> </w:t>
      </w:r>
    </w:p>
    <w:p w14:paraId="514156AB" w14:textId="118C1F27" w:rsidR="00DD505D" w:rsidRPr="00A55335" w:rsidRDefault="00DD505D" w:rsidP="00DD505D">
      <w:pPr>
        <w:pStyle w:val="BodyText"/>
      </w:pPr>
      <w:r w:rsidRPr="00A55335">
        <w:t xml:space="preserve">Two citations </w:t>
      </w:r>
      <w:r w:rsidR="00AC4B5E" w:rsidRPr="00A55335">
        <w:fldChar w:fldCharType="begin">
          <w:fldData xml:space="preserve">PEVuZE5vdGU+PENpdGU+PEF1dGhvcj5XaXR0PC9BdXRob3I+PFllYXI+MjAwOTwvWWVhcj48UmVj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</w:fldData>
        </w:fldChar>
      </w:r>
      <w:r w:rsidR="006952AD">
        <w:instrText xml:space="preserve"> ADDIN EN.CITE </w:instrText>
      </w:r>
      <w:r w:rsidR="006952AD">
        <w:fldChar w:fldCharType="begin">
          <w:fldData xml:space="preserve">PEVuZE5vdGU+PENpdGU+PEF1dGhvcj5XaXR0PC9BdXRob3I+PFllYXI+MjAwOTwvWWVhcj48UmVj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</w:fldData>
        </w:fldChar>
      </w:r>
      <w:r w:rsidR="006952AD">
        <w:instrText xml:space="preserve"> ADDIN EN.CITE.DATA </w:instrText>
      </w:r>
      <w:r w:rsidR="006952AD">
        <w:fldChar w:fldCharType="end"/>
      </w:r>
      <w:r w:rsidR="00AC4B5E" w:rsidRPr="00A55335">
        <w:fldChar w:fldCharType="separate"/>
      </w:r>
      <w:r w:rsidR="00067842">
        <w:rPr>
          <w:noProof/>
        </w:rPr>
        <w:t>(</w:t>
      </w:r>
      <w:hyperlink w:anchor="_ENREF_121" w:tooltip="Witt, 2009 #381" w:history="1">
        <w:r w:rsidR="00EC2769">
          <w:rPr>
            <w:noProof/>
          </w:rPr>
          <w:t>121</w:t>
        </w:r>
      </w:hyperlink>
      <w:r w:rsidR="00067842">
        <w:rPr>
          <w:noProof/>
        </w:rPr>
        <w:t xml:space="preserve">, </w:t>
      </w:r>
      <w:hyperlink w:anchor="_ENREF_122" w:tooltip="Pannek, 2019 #382" w:history="1">
        <w:r w:rsidR="00EC2769">
          <w:rPr>
            <w:noProof/>
          </w:rPr>
          <w:t>122</w:t>
        </w:r>
      </w:hyperlink>
      <w:r w:rsidR="00067842">
        <w:rPr>
          <w:noProof/>
        </w:rPr>
        <w:t>)</w:t>
      </w:r>
      <w:r w:rsidR="00AC4B5E" w:rsidRPr="00A55335">
        <w:fldChar w:fldCharType="end"/>
      </w:r>
      <w:r w:rsidRPr="00A55335">
        <w:t xml:space="preserve"> corresponding to</w:t>
      </w:r>
      <w:r w:rsidR="00980CA0" w:rsidRPr="00A55335">
        <w:t xml:space="preserve"> one </w:t>
      </w:r>
      <w:r w:rsidRPr="00A55335">
        <w:t>RCT (Witt 2009) and</w:t>
      </w:r>
      <w:r w:rsidR="00980CA0" w:rsidRPr="00A55335">
        <w:t xml:space="preserve"> one </w:t>
      </w:r>
      <w:r w:rsidRPr="00A55335">
        <w:t>quasi RCT (</w:t>
      </w:r>
      <w:proofErr w:type="spellStart"/>
      <w:r w:rsidRPr="00A55335">
        <w:t>Pannek</w:t>
      </w:r>
      <w:proofErr w:type="spellEnd"/>
      <w:r w:rsidRPr="00A55335">
        <w:t xml:space="preserve"> 2019) were identified in the literature</w:t>
      </w:r>
      <w:r w:rsidR="001221A6" w:rsidRPr="00A55335">
        <w:t xml:space="preserve"> search</w:t>
      </w:r>
      <w:r w:rsidRPr="00A55335">
        <w:t xml:space="preserve">. </w:t>
      </w:r>
      <w:r w:rsidR="005F0F98" w:rsidRPr="00A55335">
        <w:t xml:space="preserve">No additional studies were identified in the Department’s public call for evidence. </w:t>
      </w:r>
      <w:r w:rsidRPr="00A55335">
        <w:t xml:space="preserve">There were no </w:t>
      </w:r>
      <w:hyperlink w:anchor="_Ongoing_studies" w:history="1">
        <w:r w:rsidRPr="00A55335">
          <w:rPr>
            <w:rStyle w:val="Hyperlink"/>
          </w:rPr>
          <w:t>ongoing studies</w:t>
        </w:r>
      </w:hyperlink>
      <w:r w:rsidRPr="00A55335">
        <w:t xml:space="preserve">, and no </w:t>
      </w:r>
      <w:hyperlink w:anchor="_Studies_awaiting_classification" w:history="1">
        <w:r w:rsidRPr="00A55335">
          <w:rPr>
            <w:rStyle w:val="Hyperlink"/>
          </w:rPr>
          <w:t>studies awaiting classification</w:t>
        </w:r>
      </w:hyperlink>
      <w:r w:rsidRPr="00A55335">
        <w:t xml:space="preserve"> identified. An overview of the PICO criteria of included studies is provided in Appendix D1.</w:t>
      </w:r>
      <w:r w:rsidR="008D517E" w:rsidRPr="00A55335">
        <w:t>5</w:t>
      </w:r>
      <w:r w:rsidRPr="00A55335">
        <w:t>.1.</w:t>
      </w:r>
    </w:p>
    <w:p w14:paraId="221EE84F" w14:textId="49C6F2EA" w:rsidR="00F47416" w:rsidRPr="00A55335" w:rsidRDefault="005B25C7" w:rsidP="00DD505D">
      <w:pPr>
        <w:pStyle w:val="BodyText"/>
      </w:pPr>
      <w:r w:rsidRPr="00A55335">
        <w:t>Two</w:t>
      </w:r>
      <w:r w:rsidR="00B22C1A" w:rsidRPr="00A55335">
        <w:t xml:space="preserve"> studies were </w:t>
      </w:r>
      <w:r w:rsidR="00F47416" w:rsidRPr="00A55335">
        <w:t xml:space="preserve">conducted at </w:t>
      </w:r>
      <w:r w:rsidR="00B22C1A" w:rsidRPr="00A55335">
        <w:t>outpatient clinics in Switzerland</w:t>
      </w:r>
      <w:r w:rsidR="005F0F98" w:rsidRPr="00A55335">
        <w:t xml:space="preserve"> (</w:t>
      </w:r>
      <w:proofErr w:type="spellStart"/>
      <w:r w:rsidR="00DD505D" w:rsidRPr="00A55335">
        <w:t>Pannek</w:t>
      </w:r>
      <w:proofErr w:type="spellEnd"/>
      <w:r w:rsidR="00DD505D" w:rsidRPr="00A55335">
        <w:t xml:space="preserve"> 2019</w:t>
      </w:r>
      <w:r w:rsidR="005F0F98" w:rsidRPr="00A55335">
        <w:t>)</w:t>
      </w:r>
      <w:r w:rsidR="00DD505D" w:rsidRPr="00A55335">
        <w:t xml:space="preserve"> </w:t>
      </w:r>
      <w:r w:rsidR="00B22C1A" w:rsidRPr="00A55335">
        <w:t xml:space="preserve">or Vienna (Witt 2009). </w:t>
      </w:r>
      <w:r w:rsidR="00F47416" w:rsidRPr="00A55335">
        <w:t>P</w:t>
      </w:r>
      <w:r w:rsidR="00DD505D" w:rsidRPr="00A55335">
        <w:t xml:space="preserve">articipants </w:t>
      </w:r>
      <w:r w:rsidR="00F47416" w:rsidRPr="00A55335">
        <w:t xml:space="preserve">in </w:t>
      </w:r>
      <w:proofErr w:type="spellStart"/>
      <w:r w:rsidR="00F47416" w:rsidRPr="00A55335">
        <w:t>Pannek</w:t>
      </w:r>
      <w:proofErr w:type="spellEnd"/>
      <w:r w:rsidR="00F47416" w:rsidRPr="00A55335">
        <w:t xml:space="preserve"> 2019 (total 46 participants) </w:t>
      </w:r>
      <w:r w:rsidR="00ED76E9" w:rsidRPr="00A55335">
        <w:t xml:space="preserve">had </w:t>
      </w:r>
      <w:r w:rsidR="00DD505D" w:rsidRPr="00A55335">
        <w:t xml:space="preserve">spinal cord injuries </w:t>
      </w:r>
      <w:r w:rsidR="00ED76E9" w:rsidRPr="00A55335">
        <w:t>and</w:t>
      </w:r>
      <w:r w:rsidR="00DD505D" w:rsidRPr="00A55335">
        <w:t xml:space="preserve"> experienced recurrent UTIs.</w:t>
      </w:r>
      <w:r w:rsidR="00426C65" w:rsidRPr="00A55335">
        <w:t xml:space="preserve"> </w:t>
      </w:r>
      <w:proofErr w:type="gramStart"/>
      <w:r w:rsidR="00426C65" w:rsidRPr="00A55335">
        <w:t>The majority of</w:t>
      </w:r>
      <w:proofErr w:type="gramEnd"/>
      <w:r w:rsidR="00426C65" w:rsidRPr="00A55335">
        <w:t xml:space="preserve"> participants were male (</w:t>
      </w:r>
      <w:r w:rsidR="00C63CC0" w:rsidRPr="00A55335">
        <w:t xml:space="preserve">66%). </w:t>
      </w:r>
      <w:r w:rsidR="007F4F4C" w:rsidRPr="00A55335">
        <w:t>Participants in Witt 2009</w:t>
      </w:r>
      <w:r w:rsidR="00BD675C" w:rsidRPr="00A55335">
        <w:t xml:space="preserve"> were </w:t>
      </w:r>
      <w:r w:rsidR="004F45D1" w:rsidRPr="00A55335">
        <w:t>female</w:t>
      </w:r>
      <w:r w:rsidR="007F4F4C" w:rsidRPr="00A55335">
        <w:t xml:space="preserve"> </w:t>
      </w:r>
      <w:r w:rsidR="00BD675C" w:rsidRPr="00A55335">
        <w:t xml:space="preserve">(total 150 participants) </w:t>
      </w:r>
      <w:r w:rsidR="007F4F4C" w:rsidRPr="00A55335">
        <w:t>with recurrent vulvovaginal candidiasis.</w:t>
      </w:r>
    </w:p>
    <w:p w14:paraId="52A6BD5B" w14:textId="67791670" w:rsidR="00DD505D" w:rsidRPr="00A55335" w:rsidRDefault="00BD675C" w:rsidP="00DD505D">
      <w:pPr>
        <w:pStyle w:val="BodyText"/>
      </w:pPr>
      <w:r w:rsidRPr="00A55335">
        <w:t>One</w:t>
      </w:r>
      <w:r w:rsidR="00DD505D" w:rsidRPr="00A55335">
        <w:t xml:space="preserve"> study </w:t>
      </w:r>
      <w:r w:rsidRPr="00A55335">
        <w:t>(</w:t>
      </w:r>
      <w:proofErr w:type="spellStart"/>
      <w:r w:rsidRPr="00A55335">
        <w:t>Pannek</w:t>
      </w:r>
      <w:proofErr w:type="spellEnd"/>
      <w:r w:rsidRPr="00A55335">
        <w:t xml:space="preserve"> 2019) </w:t>
      </w:r>
      <w:r w:rsidR="00DD505D" w:rsidRPr="00A55335">
        <w:t xml:space="preserve">compared individualised homeopathy with </w:t>
      </w:r>
      <w:r w:rsidR="00DD03A6" w:rsidRPr="00A55335">
        <w:t xml:space="preserve">inactive </w:t>
      </w:r>
      <w:r w:rsidR="00DD505D" w:rsidRPr="00A55335">
        <w:t>control (no intervention) over a treatment period of 12</w:t>
      </w:r>
      <w:r w:rsidRPr="00A55335">
        <w:t xml:space="preserve"> </w:t>
      </w:r>
      <w:r w:rsidR="00DD505D" w:rsidRPr="00A55335">
        <w:t xml:space="preserve">months. The </w:t>
      </w:r>
      <w:r w:rsidR="009174F2" w:rsidRPr="00A55335">
        <w:t>intervention</w:t>
      </w:r>
      <w:r w:rsidR="00DD505D" w:rsidRPr="00A55335">
        <w:t xml:space="preserve"> was prescribed by a homeopath </w:t>
      </w:r>
      <w:proofErr w:type="gramStart"/>
      <w:r w:rsidR="00DD505D" w:rsidRPr="00A55335">
        <w:t>on the basis of</w:t>
      </w:r>
      <w:proofErr w:type="gramEnd"/>
      <w:r w:rsidR="00DD505D" w:rsidRPr="00A55335">
        <w:t xml:space="preserve"> the participants’ medical history, in the form of a high potency liquid, taken orally. Standard prophylaxis was provided to both treatment groups as a co-intervention.  </w:t>
      </w:r>
    </w:p>
    <w:p w14:paraId="61BB20BA" w14:textId="5CB3F8FE" w:rsidR="00DD505D" w:rsidRPr="00A55335" w:rsidRDefault="009174F2" w:rsidP="00DD505D">
      <w:pPr>
        <w:pStyle w:val="BodyText"/>
      </w:pPr>
      <w:r w:rsidRPr="00A55335">
        <w:t xml:space="preserve">One </w:t>
      </w:r>
      <w:r w:rsidR="00DD505D" w:rsidRPr="00A55335">
        <w:t xml:space="preserve">study </w:t>
      </w:r>
      <w:r w:rsidRPr="00A55335">
        <w:t xml:space="preserve">(Witt 2009) comprised </w:t>
      </w:r>
      <w:r w:rsidR="00DD505D" w:rsidRPr="00A55335">
        <w:t xml:space="preserve">3 treatment </w:t>
      </w:r>
      <w:r w:rsidRPr="00A55335">
        <w:t>groups</w:t>
      </w:r>
      <w:r w:rsidR="00EB27DF" w:rsidRPr="00A55335">
        <w:t xml:space="preserve">, </w:t>
      </w:r>
      <w:r w:rsidR="00DD505D" w:rsidRPr="00A55335">
        <w:t>compar</w:t>
      </w:r>
      <w:r w:rsidR="00EB27DF" w:rsidRPr="00A55335">
        <w:t>ing</w:t>
      </w:r>
      <w:r w:rsidR="00DD505D" w:rsidRPr="00A55335">
        <w:t xml:space="preserve"> individualised homeopathy with 2 different active control groups. The homeopathic treatment group was a 12-month intervention consisting of an individually prescribed, single homeopathic remedy. The active control groups were </w:t>
      </w:r>
      <w:r w:rsidR="008F5C36" w:rsidRPr="00A55335">
        <w:t>prescribed</w:t>
      </w:r>
      <w:r w:rsidR="00DD505D" w:rsidRPr="00A55335">
        <w:t xml:space="preserve"> </w:t>
      </w:r>
      <w:r w:rsidR="008F5C36" w:rsidRPr="00A55335">
        <w:t>a</w:t>
      </w:r>
      <w:r w:rsidR="00DD505D" w:rsidRPr="00A55335">
        <w:t xml:space="preserve">n oral antifungal treatment (itraconazole) or itraconazole plus a vaginal probiotic tablet (lactobacilli) for a period of 6-months, followed by 6 months of no treatment. </w:t>
      </w:r>
    </w:p>
    <w:p w14:paraId="485F9201" w14:textId="0D37786F" w:rsidR="00DD505D" w:rsidRPr="00A55335" w:rsidRDefault="003B312C" w:rsidP="00DD505D">
      <w:pPr>
        <w:pStyle w:val="BodyText"/>
      </w:pPr>
      <w:r w:rsidRPr="00A55335">
        <w:t xml:space="preserve">There were no studies found for </w:t>
      </w:r>
      <w:r w:rsidR="00E0730F" w:rsidRPr="00A55335">
        <w:t>the Primary Comparison: homeopathy versus placebo</w:t>
      </w:r>
      <w:r w:rsidRPr="00A55335">
        <w:t xml:space="preserve">. </w:t>
      </w:r>
      <w:r w:rsidR="00DD505D" w:rsidRPr="00A55335">
        <w:t xml:space="preserve">Results for </w:t>
      </w:r>
      <w:r w:rsidR="00E0730F" w:rsidRPr="00A55335">
        <w:t xml:space="preserve">the Secondary Comparison: homeopathy versus inactive control </w:t>
      </w:r>
      <w:r w:rsidR="00DD505D" w:rsidRPr="00A55335">
        <w:t>(no intervention, waitlist or usual care) are provided in the Summary of Findings table (see</w:t>
      </w:r>
      <w:r w:rsidR="008F5C36" w:rsidRPr="00A55335">
        <w:t xml:space="preserve"> Section </w:t>
      </w:r>
      <w:r w:rsidR="008F5C36" w:rsidRPr="00A55335">
        <w:fldChar w:fldCharType="begin"/>
      </w:r>
      <w:r w:rsidR="008F5C36" w:rsidRPr="00A55335">
        <w:instrText xml:space="preserve"> REF _Ref151816426 \r \h </w:instrText>
      </w:r>
      <w:r w:rsidR="008F5C36" w:rsidRPr="00A55335">
        <w:fldChar w:fldCharType="separate"/>
      </w:r>
      <w:r w:rsidR="00814B04">
        <w:t>4.5.4</w:t>
      </w:r>
      <w:r w:rsidR="008F5C36" w:rsidRPr="00A55335">
        <w:fldChar w:fldCharType="end"/>
      </w:r>
      <w:r w:rsidR="00DD505D" w:rsidRPr="00A55335">
        <w:t xml:space="preserve">). Results of studies that compared homeopathy with another comparator </w:t>
      </w:r>
      <w:r w:rsidR="00604C36" w:rsidRPr="00A55335">
        <w:t xml:space="preserve">(Tertiary Comparison) </w:t>
      </w:r>
      <w:r w:rsidR="00DD505D" w:rsidRPr="00A55335">
        <w:t>are presented in Appendix F2.</w:t>
      </w:r>
    </w:p>
    <w:p w14:paraId="51CE56B7" w14:textId="1474E937" w:rsidR="00D92AC6" w:rsidRPr="00A55335" w:rsidRDefault="00D92AC6" w:rsidP="00DD505D">
      <w:pPr>
        <w:pStyle w:val="BodyText"/>
      </w:pPr>
      <w:r w:rsidRPr="00A55335">
        <w:lastRenderedPageBreak/>
        <w:t xml:space="preserve">We did not stratify according to the intervention (individualised or non-individualised) as there were too few studies per comparison that also included studies with a different mode of intervention. </w:t>
      </w:r>
    </w:p>
    <w:p w14:paraId="15710B1B" w14:textId="206B5AE3" w:rsidR="00DD505D" w:rsidRPr="00A55335" w:rsidRDefault="00DD505D" w:rsidP="004D433B">
      <w:pPr>
        <w:pStyle w:val="Heading3"/>
      </w:pPr>
      <w:bookmarkStart w:id="156" w:name="_Toc183441324"/>
      <w:r w:rsidRPr="00A55335">
        <w:t>Risk of bias</w:t>
      </w:r>
      <w:r w:rsidR="00755A82">
        <w:t xml:space="preserve"> </w:t>
      </w:r>
      <w:r w:rsidR="00F6589C">
        <w:t>–</w:t>
      </w:r>
      <w:r w:rsidRPr="00A55335">
        <w:t xml:space="preserve"> summary assessment across studies</w:t>
      </w:r>
      <w:bookmarkEnd w:id="156"/>
      <w:r w:rsidRPr="00A55335">
        <w:t xml:space="preserve"> </w:t>
      </w:r>
    </w:p>
    <w:p w14:paraId="2C446EF9" w14:textId="09D730B6" w:rsidR="007863ED" w:rsidRPr="00A55335" w:rsidRDefault="00DD505D" w:rsidP="007863ED">
      <w:pPr>
        <w:pStyle w:val="BodyText"/>
      </w:pPr>
      <w:r w:rsidRPr="00A55335">
        <w:t xml:space="preserve">The risk of bias for each item in the </w:t>
      </w:r>
      <w:r w:rsidR="00F56A75" w:rsidRPr="00A55335">
        <w:t xml:space="preserve">included </w:t>
      </w:r>
      <w:r w:rsidRPr="00A55335">
        <w:t xml:space="preserve">RCTs for </w:t>
      </w:r>
      <w:r w:rsidR="00643A99" w:rsidRPr="00A55335">
        <w:t xml:space="preserve">recurrent genitourinary infections </w:t>
      </w:r>
      <w:r w:rsidRPr="00A55335">
        <w:t xml:space="preserve">is summarised in </w:t>
      </w:r>
      <w:r w:rsidR="00046987" w:rsidRPr="00A55335">
        <w:fldChar w:fldCharType="begin"/>
      </w:r>
      <w:r w:rsidR="00046987" w:rsidRPr="00A55335">
        <w:instrText xml:space="preserve"> REF _Ref151385539 \h </w:instrText>
      </w:r>
      <w:r w:rsidR="00046987" w:rsidRPr="00A55335">
        <w:fldChar w:fldCharType="separate"/>
      </w:r>
      <w:r w:rsidR="00814B04" w:rsidRPr="00A55335">
        <w:t xml:space="preserve">Figure </w:t>
      </w:r>
      <w:r w:rsidR="00814B04">
        <w:rPr>
          <w:noProof/>
        </w:rPr>
        <w:t>21</w:t>
      </w:r>
      <w:r w:rsidR="00046987" w:rsidRPr="00A55335">
        <w:fldChar w:fldCharType="end"/>
      </w:r>
      <w:r w:rsidR="00046987" w:rsidRPr="00A55335">
        <w:t>.</w:t>
      </w:r>
      <w:r w:rsidR="00FA33AF" w:rsidRPr="00A55335">
        <w:t xml:space="preserve"> Details are provided in Appendix D1.5.2.</w:t>
      </w:r>
      <w:r w:rsidR="00643A99" w:rsidRPr="00A55335">
        <w:t xml:space="preserve"> </w:t>
      </w:r>
      <w:r w:rsidR="007863ED" w:rsidRPr="00A55335">
        <w:t xml:space="preserve">No studies were judged to be at overall low risk of bias. </w:t>
      </w:r>
    </w:p>
    <w:p w14:paraId="6C36EA63" w14:textId="1A75FE1E" w:rsidR="00DD505D" w:rsidRPr="00A55335" w:rsidRDefault="00DD505D" w:rsidP="00DD505D">
      <w:pPr>
        <w:pStyle w:val="Caption"/>
      </w:pPr>
      <w:bookmarkStart w:id="157" w:name="_Ref141283519"/>
      <w:bookmarkStart w:id="158" w:name="_Ref151385539"/>
      <w:bookmarkStart w:id="159" w:name="_Toc183520294"/>
      <w:r w:rsidRPr="00A55335">
        <w:t xml:space="preserve">Figure </w:t>
      </w:r>
      <w:bookmarkEnd w:id="157"/>
      <w:r w:rsidRPr="00A55335">
        <w:fldChar w:fldCharType="begin"/>
      </w:r>
      <w:r w:rsidRPr="00A55335">
        <w:instrText xml:space="preserve"> SEQ Figure \* ARABIC </w:instrText>
      </w:r>
      <w:r w:rsidRPr="00A55335">
        <w:fldChar w:fldCharType="separate"/>
      </w:r>
      <w:r w:rsidR="00814B04">
        <w:rPr>
          <w:noProof/>
        </w:rPr>
        <w:t>21</w:t>
      </w:r>
      <w:r w:rsidRPr="00A55335">
        <w:fldChar w:fldCharType="end"/>
      </w:r>
      <w:bookmarkEnd w:id="158"/>
      <w:r w:rsidR="00046987" w:rsidRPr="00A55335">
        <w:tab/>
      </w:r>
      <w:r w:rsidRPr="00A55335">
        <w:t xml:space="preserve">Risk of bias summary: review authors' judgement about each risk of bias item for each included study: </w:t>
      </w:r>
      <w:r w:rsidR="00E92691" w:rsidRPr="00A55335">
        <w:t>R</w:t>
      </w:r>
      <w:r w:rsidRPr="00A55335">
        <w:t>ecurrent genitourinary</w:t>
      </w:r>
      <w:r w:rsidR="00643A99" w:rsidRPr="00A55335">
        <w:t xml:space="preserve"> infections</w:t>
      </w:r>
      <w:bookmarkEnd w:id="159"/>
    </w:p>
    <w:p w14:paraId="11CAD10D" w14:textId="77777777" w:rsidR="00DD505D" w:rsidRPr="00A55335" w:rsidRDefault="00DD505D" w:rsidP="00DD505D">
      <w:pPr>
        <w:pStyle w:val="Pic"/>
      </w:pPr>
      <w:r w:rsidRPr="00A55335">
        <w:rPr>
          <w:noProof/>
        </w:rPr>
        <w:drawing>
          <wp:inline distT="0" distB="0" distL="0" distR="0" wp14:anchorId="7DDE060B" wp14:editId="4A0D5022">
            <wp:extent cx="3904091" cy="1669635"/>
            <wp:effectExtent l="0" t="0" r="1270" b="6985"/>
            <wp:docPr id="1472014139" name="Picture 1472014139" descr="A chart with red and yellow circles and x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14139" name="Picture 1472014139" descr="A chart with red and yellow circles and x marks&#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34886" cy="1682805"/>
                    </a:xfrm>
                    <a:prstGeom prst="rect">
                      <a:avLst/>
                    </a:prstGeom>
                    <a:noFill/>
                    <a:ln>
                      <a:noFill/>
                    </a:ln>
                  </pic:spPr>
                </pic:pic>
              </a:graphicData>
            </a:graphic>
          </wp:inline>
        </w:drawing>
      </w:r>
    </w:p>
    <w:p w14:paraId="0A72D387" w14:textId="77777777" w:rsidR="009757B6" w:rsidRPr="00A55335" w:rsidRDefault="009757B6" w:rsidP="009757B6">
      <w:pPr>
        <w:pStyle w:val="TableFigNotes18"/>
      </w:pPr>
    </w:p>
    <w:p w14:paraId="34095019" w14:textId="77777777" w:rsidR="006D5D55" w:rsidRPr="00A55335" w:rsidRDefault="006D5D55" w:rsidP="004D433B">
      <w:pPr>
        <w:pStyle w:val="Heading3"/>
      </w:pPr>
      <w:bookmarkStart w:id="160" w:name="_Ref151816426"/>
      <w:bookmarkStart w:id="161" w:name="_Toc183441325"/>
      <w:bookmarkStart w:id="162" w:name="_Ref151385335"/>
      <w:r w:rsidRPr="00A55335">
        <w:t>Summary of findings and evidence statements</w:t>
      </w:r>
      <w:bookmarkEnd w:id="160"/>
      <w:bookmarkEnd w:id="161"/>
      <w:r w:rsidRPr="00A55335">
        <w:t xml:space="preserve"> </w:t>
      </w:r>
    </w:p>
    <w:p w14:paraId="2CC2A795" w14:textId="68AC4762" w:rsidR="00DD505D" w:rsidRPr="00A55335" w:rsidRDefault="006070ED" w:rsidP="006D5D55">
      <w:pPr>
        <w:pStyle w:val="Heading4"/>
      </w:pPr>
      <w:r w:rsidRPr="00A55335">
        <w:t>Primary Comparison</w:t>
      </w:r>
      <w:r w:rsidR="00DD505D" w:rsidRPr="00A55335">
        <w:t xml:space="preserve"> (vs placebo)</w:t>
      </w:r>
      <w:bookmarkEnd w:id="162"/>
      <w:r w:rsidR="00DD505D" w:rsidRPr="00A55335">
        <w:t xml:space="preserve"> </w:t>
      </w:r>
    </w:p>
    <w:p w14:paraId="42A3BA06" w14:textId="042AB813" w:rsidR="00DD505D" w:rsidRPr="00A55335" w:rsidRDefault="00DD505D" w:rsidP="00ED420E">
      <w:pPr>
        <w:pStyle w:val="Bulletintro"/>
        <w:rPr>
          <w:lang w:val="en-AU"/>
        </w:rPr>
      </w:pPr>
      <w:r w:rsidRPr="00A55335">
        <w:rPr>
          <w:lang w:val="en-AU"/>
        </w:rPr>
        <w:t xml:space="preserve">There were no studies </w:t>
      </w:r>
      <w:r w:rsidR="006D5D55" w:rsidRPr="00A55335">
        <w:rPr>
          <w:lang w:val="en-AU"/>
        </w:rPr>
        <w:t>f</w:t>
      </w:r>
      <w:r w:rsidR="00004E30" w:rsidRPr="00A55335">
        <w:rPr>
          <w:lang w:val="en-AU"/>
        </w:rPr>
        <w:t xml:space="preserve">ound </w:t>
      </w:r>
      <w:r w:rsidRPr="00A55335">
        <w:rPr>
          <w:lang w:val="en-AU"/>
        </w:rPr>
        <w:t>compar</w:t>
      </w:r>
      <w:r w:rsidR="00004E30" w:rsidRPr="00A55335">
        <w:rPr>
          <w:lang w:val="en-AU"/>
        </w:rPr>
        <w:t>ing</w:t>
      </w:r>
      <w:r w:rsidRPr="00A55335">
        <w:rPr>
          <w:lang w:val="en-AU"/>
        </w:rPr>
        <w:t xml:space="preserve"> homeopathy </w:t>
      </w:r>
      <w:r w:rsidR="00004E30" w:rsidRPr="00A55335">
        <w:rPr>
          <w:lang w:val="en-AU"/>
        </w:rPr>
        <w:t>with</w:t>
      </w:r>
      <w:r w:rsidRPr="00A55335">
        <w:rPr>
          <w:lang w:val="en-AU"/>
        </w:rPr>
        <w:t xml:space="preserve"> placebo in people with </w:t>
      </w:r>
      <w:r w:rsidR="00643A99" w:rsidRPr="00A55335">
        <w:rPr>
          <w:lang w:val="en-AU"/>
        </w:rPr>
        <w:t>recurrent genitourinary infection</w:t>
      </w:r>
      <w:r w:rsidRPr="00A55335">
        <w:rPr>
          <w:lang w:val="en-AU"/>
        </w:rPr>
        <w:t>s</w:t>
      </w:r>
      <w:r w:rsidR="00C71E87" w:rsidRPr="00A55335">
        <w:rPr>
          <w:lang w:val="en-AU"/>
        </w:rPr>
        <w:t>, therefor</w:t>
      </w:r>
      <w:r w:rsidR="00643A99" w:rsidRPr="00A55335">
        <w:rPr>
          <w:lang w:val="en-AU"/>
        </w:rPr>
        <w:t>e</w:t>
      </w:r>
      <w:r w:rsidR="00C71E87" w:rsidRPr="00A55335">
        <w:rPr>
          <w:lang w:val="en-AU"/>
        </w:rPr>
        <w:t xml:space="preserve"> the </w:t>
      </w:r>
      <w:r w:rsidRPr="00A55335">
        <w:rPr>
          <w:lang w:val="en-AU"/>
        </w:rPr>
        <w:t>effect of homeopathy compared to placebo</w:t>
      </w:r>
      <w:r w:rsidR="00C71E87" w:rsidRPr="00A55335">
        <w:rPr>
          <w:lang w:val="en-AU"/>
        </w:rPr>
        <w:t xml:space="preserve"> on the following outcomes </w:t>
      </w:r>
      <w:r w:rsidRPr="00A55335">
        <w:rPr>
          <w:lang w:val="en-AU"/>
        </w:rPr>
        <w:t>is unknown</w:t>
      </w:r>
      <w:r w:rsidR="00643A99" w:rsidRPr="00A55335">
        <w:rPr>
          <w:lang w:val="en-AU"/>
        </w:rPr>
        <w:t xml:space="preserve">: </w:t>
      </w:r>
    </w:p>
    <w:p w14:paraId="198381E9" w14:textId="4C60D5AA" w:rsidR="00817027" w:rsidRPr="00A55335" w:rsidRDefault="00817027" w:rsidP="00817027">
      <w:pPr>
        <w:pStyle w:val="Bullet12"/>
        <w:rPr>
          <w:lang w:val="en-AU"/>
        </w:rPr>
      </w:pPr>
      <w:r w:rsidRPr="00A55335">
        <w:rPr>
          <w:lang w:val="en-AU"/>
        </w:rPr>
        <w:t>Number of urinary tract infections (</w:t>
      </w:r>
      <w:r w:rsidR="00CA59A5" w:rsidRPr="00A55335">
        <w:rPr>
          <w:lang w:val="en-AU"/>
        </w:rPr>
        <w:t xml:space="preserve">symptomatic and/or combined with </w:t>
      </w:r>
      <w:r w:rsidRPr="00A55335">
        <w:rPr>
          <w:lang w:val="en-AU"/>
        </w:rPr>
        <w:t>asymptomatic)</w:t>
      </w:r>
    </w:p>
    <w:p w14:paraId="3F64E1FA" w14:textId="1F23B8B1" w:rsidR="00F342A7" w:rsidRPr="00A55335" w:rsidRDefault="00F342A7">
      <w:pPr>
        <w:pStyle w:val="Bullet12"/>
        <w:rPr>
          <w:lang w:val="en-AU"/>
        </w:rPr>
      </w:pPr>
      <w:r w:rsidRPr="00A55335">
        <w:rPr>
          <w:lang w:val="en-AU"/>
        </w:rPr>
        <w:t>Health-related quality of life</w:t>
      </w:r>
    </w:p>
    <w:p w14:paraId="44133F8C" w14:textId="77777777" w:rsidR="00776D08" w:rsidRPr="00A55335" w:rsidRDefault="00776D08" w:rsidP="00776D08">
      <w:pPr>
        <w:pStyle w:val="BodyText"/>
      </w:pPr>
    </w:p>
    <w:p w14:paraId="2494CAB2" w14:textId="77777777" w:rsidR="00776D08" w:rsidRPr="00A55335" w:rsidRDefault="00776D08" w:rsidP="00776D08">
      <w:pPr>
        <w:pStyle w:val="BodyText"/>
      </w:pPr>
    </w:p>
    <w:p w14:paraId="52AB228B" w14:textId="77777777" w:rsidR="00776D08" w:rsidRPr="00A55335" w:rsidRDefault="00776D08" w:rsidP="00776D08">
      <w:pPr>
        <w:pStyle w:val="BodyText"/>
      </w:pPr>
    </w:p>
    <w:p w14:paraId="01FBAD94" w14:textId="77777777" w:rsidR="00776D08" w:rsidRPr="00A55335" w:rsidRDefault="00776D08" w:rsidP="00776D08">
      <w:pPr>
        <w:pStyle w:val="BodyText"/>
      </w:pPr>
    </w:p>
    <w:p w14:paraId="7CEF33AD" w14:textId="77777777" w:rsidR="00776D08" w:rsidRPr="00A55335" w:rsidRDefault="00776D08" w:rsidP="00776D08">
      <w:pPr>
        <w:pStyle w:val="BodyText"/>
      </w:pPr>
    </w:p>
    <w:p w14:paraId="71182ABF" w14:textId="7FDBE3AE" w:rsidR="00DD505D" w:rsidRPr="00A55335" w:rsidRDefault="006070ED">
      <w:pPr>
        <w:pStyle w:val="Heading4"/>
      </w:pPr>
      <w:bookmarkStart w:id="163" w:name="_Ref151449354"/>
      <w:bookmarkStart w:id="164" w:name="_Ref151449401"/>
      <w:r w:rsidRPr="00A55335">
        <w:lastRenderedPageBreak/>
        <w:t>Secondary Comparison</w:t>
      </w:r>
      <w:r w:rsidR="00DD505D" w:rsidRPr="00A55335">
        <w:t xml:space="preserve"> (vs </w:t>
      </w:r>
      <w:r w:rsidR="00DD03A6" w:rsidRPr="00A55335">
        <w:t xml:space="preserve">inactive </w:t>
      </w:r>
      <w:r w:rsidR="00DD505D" w:rsidRPr="00A55335">
        <w:t>control)</w:t>
      </w:r>
      <w:bookmarkEnd w:id="163"/>
      <w:bookmarkEnd w:id="164"/>
      <w:r w:rsidR="00DD505D" w:rsidRPr="00A55335">
        <w:t xml:space="preserve"> </w:t>
      </w:r>
    </w:p>
    <w:tbl>
      <w:tblPr>
        <w:tblW w:w="5006" w:type="pct"/>
        <w:tblLayout w:type="fixed"/>
        <w:tblCellMar>
          <w:top w:w="60" w:type="dxa"/>
          <w:left w:w="60" w:type="dxa"/>
          <w:bottom w:w="60" w:type="dxa"/>
          <w:right w:w="60" w:type="dxa"/>
        </w:tblCellMar>
        <w:tblLook w:val="04A0" w:firstRow="1" w:lastRow="0" w:firstColumn="1" w:lastColumn="0" w:noHBand="0" w:noVBand="1"/>
      </w:tblPr>
      <w:tblGrid>
        <w:gridCol w:w="15"/>
        <w:gridCol w:w="1686"/>
        <w:gridCol w:w="1419"/>
        <w:gridCol w:w="1419"/>
        <w:gridCol w:w="991"/>
        <w:gridCol w:w="1134"/>
        <w:gridCol w:w="1153"/>
        <w:gridCol w:w="1922"/>
        <w:gridCol w:w="18"/>
      </w:tblGrid>
      <w:tr w:rsidR="00C71E87" w:rsidRPr="00A55335" w14:paraId="66C3455E" w14:textId="77777777" w:rsidTr="00A968DA">
        <w:trPr>
          <w:gridBefore w:val="1"/>
          <w:wBefore w:w="8" w:type="pct"/>
          <w:cantSplit/>
          <w:tblHeader/>
        </w:trPr>
        <w:tc>
          <w:tcPr>
            <w:tcW w:w="4992" w:type="pct"/>
            <w:gridSpan w:val="8"/>
            <w:tcBorders>
              <w:top w:val="single" w:sz="12" w:space="0" w:color="auto"/>
              <w:bottom w:val="single" w:sz="12" w:space="0" w:color="auto"/>
            </w:tcBorders>
            <w:shd w:val="clear" w:color="auto" w:fill="auto"/>
            <w:vAlign w:val="bottom"/>
          </w:tcPr>
          <w:p w14:paraId="015CF8D9" w14:textId="1224EF7D" w:rsidR="00C71E87" w:rsidRPr="00A55335" w:rsidRDefault="00C71E87">
            <w:pPr>
              <w:pStyle w:val="TableH1"/>
              <w:rPr>
                <w:color w:val="FFFFFF" w:themeColor="background2"/>
                <w:lang w:val="en-AU"/>
              </w:rPr>
            </w:pPr>
            <w:r w:rsidRPr="00A55335">
              <w:rPr>
                <w:lang w:val="en-AU"/>
              </w:rPr>
              <w:t xml:space="preserve">Homeopathy compared to </w:t>
            </w:r>
            <w:r w:rsidR="00DD03A6" w:rsidRPr="00A55335">
              <w:rPr>
                <w:lang w:val="en-AU"/>
              </w:rPr>
              <w:t xml:space="preserve">inactive </w:t>
            </w:r>
            <w:r w:rsidRPr="00A55335">
              <w:rPr>
                <w:lang w:val="en-AU"/>
              </w:rPr>
              <w:t xml:space="preserve">control for </w:t>
            </w:r>
            <w:r w:rsidR="002014D7" w:rsidRPr="00A55335">
              <w:rPr>
                <w:lang w:val="en-AU"/>
              </w:rPr>
              <w:t>R</w:t>
            </w:r>
            <w:r w:rsidR="00643A99" w:rsidRPr="00A55335">
              <w:rPr>
                <w:lang w:val="en-AU"/>
              </w:rPr>
              <w:t>ecurrent genitourinary infections</w:t>
            </w:r>
          </w:p>
        </w:tc>
      </w:tr>
      <w:tr w:rsidR="00C71E87" w:rsidRPr="00A55335" w14:paraId="422318F9" w14:textId="77777777" w:rsidTr="00A968DA">
        <w:trPr>
          <w:gridBefore w:val="1"/>
          <w:wBefore w:w="8" w:type="pct"/>
          <w:cantSplit/>
          <w:tblHeader/>
        </w:trPr>
        <w:tc>
          <w:tcPr>
            <w:tcW w:w="4992" w:type="pct"/>
            <w:gridSpan w:val="8"/>
            <w:tcBorders>
              <w:top w:val="single" w:sz="12" w:space="0" w:color="auto"/>
              <w:bottom w:val="single" w:sz="12" w:space="0" w:color="auto"/>
            </w:tcBorders>
            <w:shd w:val="clear" w:color="auto" w:fill="auto"/>
            <w:vAlign w:val="bottom"/>
          </w:tcPr>
          <w:p w14:paraId="6C490B40" w14:textId="1822DE4C" w:rsidR="00C71E87" w:rsidRPr="00A55335" w:rsidRDefault="00C71E87" w:rsidP="00C71E87">
            <w:pPr>
              <w:pStyle w:val="Tabletext9pt"/>
            </w:pPr>
            <w:r w:rsidRPr="00A55335">
              <w:rPr>
                <w:rStyle w:val="Strong"/>
              </w:rPr>
              <w:t xml:space="preserve">Patient or population: </w:t>
            </w:r>
            <w:r w:rsidR="00643A99" w:rsidRPr="00A55335">
              <w:t>Recurrent genitourinary infections</w:t>
            </w:r>
          </w:p>
          <w:p w14:paraId="49419554" w14:textId="77777777" w:rsidR="00C71E87" w:rsidRPr="00A55335" w:rsidRDefault="00C71E87" w:rsidP="00C71E87">
            <w:pPr>
              <w:pStyle w:val="Tabletext9pt"/>
            </w:pPr>
            <w:r w:rsidRPr="00A55335">
              <w:rPr>
                <w:rStyle w:val="Strong"/>
              </w:rPr>
              <w:t xml:space="preserve">Setting: </w:t>
            </w:r>
            <w:r w:rsidRPr="00A55335">
              <w:t>Outpatient clinics</w:t>
            </w:r>
          </w:p>
          <w:p w14:paraId="740A93C0" w14:textId="77777777" w:rsidR="00C71E87" w:rsidRPr="00A55335" w:rsidRDefault="00C71E87" w:rsidP="00C71E87">
            <w:pPr>
              <w:pStyle w:val="Tabletext9pt"/>
            </w:pPr>
            <w:r w:rsidRPr="00A55335">
              <w:rPr>
                <w:rStyle w:val="Strong"/>
              </w:rPr>
              <w:t xml:space="preserve">Intervention: </w:t>
            </w:r>
            <w:r w:rsidRPr="00A55335">
              <w:t>Homeopathy</w:t>
            </w:r>
          </w:p>
          <w:p w14:paraId="54D31D97" w14:textId="25643755" w:rsidR="00C71E87" w:rsidRPr="00A55335" w:rsidRDefault="00C71E87" w:rsidP="00C71E87">
            <w:pPr>
              <w:pStyle w:val="Tabletext9pt"/>
            </w:pPr>
            <w:r w:rsidRPr="00A55335">
              <w:rPr>
                <w:rStyle w:val="Strong"/>
              </w:rPr>
              <w:t>Comparison:</w:t>
            </w:r>
            <w:r w:rsidRPr="00A55335">
              <w:t xml:space="preserve"> </w:t>
            </w:r>
            <w:r w:rsidR="00DD03A6" w:rsidRPr="00A55335">
              <w:t xml:space="preserve">Inactive control </w:t>
            </w:r>
            <w:r w:rsidRPr="00A55335">
              <w:t>(no intervention)</w:t>
            </w:r>
          </w:p>
        </w:tc>
      </w:tr>
      <w:tr w:rsidR="005B2F8E" w:rsidRPr="00A55335" w14:paraId="17883F7D" w14:textId="77777777" w:rsidTr="00A968DA">
        <w:trPr>
          <w:gridAfter w:val="1"/>
          <w:wAfter w:w="10" w:type="pct"/>
          <w:cantSplit/>
          <w:tblHeader/>
        </w:trPr>
        <w:tc>
          <w:tcPr>
            <w:tcW w:w="872" w:type="pct"/>
            <w:gridSpan w:val="2"/>
            <w:vMerge w:val="restart"/>
            <w:tcBorders>
              <w:top w:val="single" w:sz="12" w:space="0" w:color="auto"/>
              <w:right w:val="single" w:sz="6" w:space="0" w:color="EFEFEF"/>
            </w:tcBorders>
            <w:shd w:val="clear" w:color="auto" w:fill="006579" w:themeFill="accent2"/>
            <w:vAlign w:val="bottom"/>
            <w:hideMark/>
          </w:tcPr>
          <w:p w14:paraId="5A704B32" w14:textId="77777777" w:rsidR="00C71E87" w:rsidRPr="00A55335" w:rsidRDefault="00C71E87" w:rsidP="003C48C8">
            <w:pPr>
              <w:pStyle w:val="Tabletext8pt"/>
              <w:rPr>
                <w:rFonts w:eastAsiaTheme="minorEastAsia"/>
                <w:b/>
                <w:bCs/>
                <w:color w:val="F9F9F9" w:themeColor="background1"/>
              </w:rPr>
            </w:pPr>
            <w:r w:rsidRPr="00A55335">
              <w:rPr>
                <w:b/>
                <w:bCs/>
                <w:color w:val="F9F9F9" w:themeColor="background1"/>
              </w:rPr>
              <w:t>Outcomes</w:t>
            </w:r>
          </w:p>
        </w:tc>
        <w:tc>
          <w:tcPr>
            <w:tcW w:w="1453" w:type="pct"/>
            <w:gridSpan w:val="2"/>
            <w:tcBorders>
              <w:top w:val="single" w:sz="12" w:space="0" w:color="auto"/>
              <w:right w:val="single" w:sz="6" w:space="0" w:color="EFEFEF"/>
            </w:tcBorders>
            <w:shd w:val="clear" w:color="auto" w:fill="ECECEC" w:themeFill="background1" w:themeFillShade="F2"/>
            <w:vAlign w:val="bottom"/>
            <w:hideMark/>
          </w:tcPr>
          <w:p w14:paraId="2101A0F9" w14:textId="77777777" w:rsidR="00C71E87" w:rsidRPr="00A55335" w:rsidRDefault="00C71E87">
            <w:pPr>
              <w:pStyle w:val="Tabletext8pt"/>
              <w:rPr>
                <w:b/>
                <w:bCs/>
                <w:color w:val="auto"/>
              </w:rPr>
            </w:pPr>
            <w:r w:rsidRPr="00A55335">
              <w:rPr>
                <w:rStyle w:val="Strong"/>
              </w:rPr>
              <w:t>Anticipated absolute effects* (95% CI)</w:t>
            </w:r>
          </w:p>
        </w:tc>
        <w:tc>
          <w:tcPr>
            <w:tcW w:w="508" w:type="pct"/>
            <w:vMerge w:val="restart"/>
            <w:tcBorders>
              <w:top w:val="single" w:sz="12" w:space="0" w:color="auto"/>
              <w:right w:val="single" w:sz="6" w:space="0" w:color="EFEFEF"/>
            </w:tcBorders>
            <w:shd w:val="clear" w:color="auto" w:fill="006579" w:themeFill="accent2"/>
            <w:vAlign w:val="bottom"/>
            <w:hideMark/>
          </w:tcPr>
          <w:p w14:paraId="568921D5" w14:textId="77777777" w:rsidR="00C71E87" w:rsidRPr="00A55335" w:rsidRDefault="00C71E87" w:rsidP="003C48C8">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1" w:type="pct"/>
            <w:vMerge w:val="restart"/>
            <w:tcBorders>
              <w:top w:val="single" w:sz="12" w:space="0" w:color="auto"/>
              <w:right w:val="single" w:sz="6" w:space="0" w:color="EFEFEF"/>
            </w:tcBorders>
            <w:shd w:val="clear" w:color="auto" w:fill="006579" w:themeFill="accent2"/>
            <w:vAlign w:val="bottom"/>
            <w:hideMark/>
          </w:tcPr>
          <w:p w14:paraId="65E3DD1D" w14:textId="77777777" w:rsidR="00C71E87" w:rsidRPr="00A55335" w:rsidRDefault="00C71E87" w:rsidP="003C48C8">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91" w:type="pct"/>
            <w:vMerge w:val="restart"/>
            <w:tcBorders>
              <w:top w:val="single" w:sz="12" w:space="0" w:color="auto"/>
              <w:right w:val="single" w:sz="6" w:space="0" w:color="EFEFEF"/>
            </w:tcBorders>
            <w:shd w:val="clear" w:color="auto" w:fill="006579" w:themeFill="accent2"/>
            <w:vAlign w:val="bottom"/>
            <w:hideMark/>
          </w:tcPr>
          <w:p w14:paraId="71A6A196" w14:textId="77777777" w:rsidR="00C71E87" w:rsidRPr="00A55335" w:rsidRDefault="00C71E87" w:rsidP="003C48C8">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985" w:type="pct"/>
            <w:vMerge w:val="restart"/>
            <w:tcBorders>
              <w:top w:val="single" w:sz="12" w:space="0" w:color="auto"/>
              <w:right w:val="single" w:sz="6" w:space="0" w:color="EFEFEF"/>
            </w:tcBorders>
            <w:shd w:val="clear" w:color="auto" w:fill="006579" w:themeFill="accent2"/>
            <w:vAlign w:val="bottom"/>
            <w:hideMark/>
          </w:tcPr>
          <w:p w14:paraId="2091E198" w14:textId="77777777" w:rsidR="00C71E87" w:rsidRPr="00A55335" w:rsidRDefault="00C71E87" w:rsidP="003C48C8">
            <w:pPr>
              <w:pStyle w:val="Tabletext8pt"/>
              <w:rPr>
                <w:b/>
                <w:bCs/>
                <w:color w:val="F9F9F9" w:themeColor="background1"/>
              </w:rPr>
            </w:pPr>
            <w:r w:rsidRPr="00A55335">
              <w:rPr>
                <w:b/>
                <w:bCs/>
                <w:color w:val="F9F9F9" w:themeColor="background1"/>
              </w:rPr>
              <w:t>Evidence Statement</w:t>
            </w:r>
          </w:p>
        </w:tc>
      </w:tr>
      <w:tr w:rsidR="005B2F8E" w:rsidRPr="00A55335" w14:paraId="7A535657" w14:textId="77777777" w:rsidTr="00A968DA">
        <w:trPr>
          <w:gridAfter w:val="1"/>
          <w:wAfter w:w="10" w:type="pct"/>
          <w:cantSplit/>
          <w:tblHeader/>
        </w:trPr>
        <w:tc>
          <w:tcPr>
            <w:tcW w:w="872" w:type="pct"/>
            <w:gridSpan w:val="2"/>
            <w:vMerge/>
            <w:tcBorders>
              <w:right w:val="single" w:sz="6" w:space="0" w:color="EFEFEF"/>
            </w:tcBorders>
            <w:shd w:val="clear" w:color="auto" w:fill="006579" w:themeFill="accent2"/>
            <w:vAlign w:val="center"/>
            <w:hideMark/>
          </w:tcPr>
          <w:p w14:paraId="60F86BE2" w14:textId="77777777" w:rsidR="00C71E87" w:rsidRPr="00A55335" w:rsidRDefault="00C71E87">
            <w:pPr>
              <w:pStyle w:val="Tabletext8pt"/>
              <w:rPr>
                <w:rFonts w:eastAsiaTheme="minorEastAsia"/>
              </w:rPr>
            </w:pPr>
          </w:p>
        </w:tc>
        <w:tc>
          <w:tcPr>
            <w:tcW w:w="727" w:type="pct"/>
            <w:tcBorders>
              <w:top w:val="single" w:sz="6" w:space="0" w:color="EFEFEF"/>
              <w:right w:val="single" w:sz="6" w:space="0" w:color="EFEFEF"/>
            </w:tcBorders>
            <w:shd w:val="clear" w:color="auto" w:fill="ECECEC" w:themeFill="background1" w:themeFillShade="F2"/>
            <w:vAlign w:val="center"/>
            <w:hideMark/>
          </w:tcPr>
          <w:p w14:paraId="354FB643" w14:textId="2539072A" w:rsidR="00C71E87" w:rsidRPr="00A55335" w:rsidRDefault="00C71E87">
            <w:pPr>
              <w:pStyle w:val="Tabletext8pt"/>
              <w:rPr>
                <w:rStyle w:val="Strong"/>
              </w:rPr>
            </w:pPr>
            <w:r w:rsidRPr="00A55335">
              <w:rPr>
                <w:rStyle w:val="Strong"/>
              </w:rPr>
              <w:t xml:space="preserve">Risk with Control </w:t>
            </w:r>
          </w:p>
        </w:tc>
        <w:tc>
          <w:tcPr>
            <w:tcW w:w="727" w:type="pct"/>
            <w:tcBorders>
              <w:top w:val="single" w:sz="6" w:space="0" w:color="EFEFEF"/>
              <w:right w:val="single" w:sz="6" w:space="0" w:color="EFEFEF"/>
            </w:tcBorders>
            <w:shd w:val="clear" w:color="auto" w:fill="ECECEC" w:themeFill="background1" w:themeFillShade="F2"/>
            <w:vAlign w:val="bottom"/>
            <w:hideMark/>
          </w:tcPr>
          <w:p w14:paraId="4E0FF72A" w14:textId="77777777" w:rsidR="00C71E87" w:rsidRPr="00A55335" w:rsidRDefault="00C71E87">
            <w:pPr>
              <w:pStyle w:val="Tabletext8pt"/>
              <w:rPr>
                <w:rStyle w:val="Strong"/>
              </w:rPr>
            </w:pPr>
            <w:r w:rsidRPr="00A55335">
              <w:rPr>
                <w:rStyle w:val="Strong"/>
              </w:rPr>
              <w:t>Risk with Homeopathy</w:t>
            </w:r>
          </w:p>
        </w:tc>
        <w:tc>
          <w:tcPr>
            <w:tcW w:w="508" w:type="pct"/>
            <w:vMerge/>
            <w:tcBorders>
              <w:right w:val="single" w:sz="6" w:space="0" w:color="EFEFEF"/>
            </w:tcBorders>
            <w:shd w:val="clear" w:color="auto" w:fill="006579" w:themeFill="accent2"/>
            <w:vAlign w:val="center"/>
            <w:hideMark/>
          </w:tcPr>
          <w:p w14:paraId="5589E365" w14:textId="77777777" w:rsidR="00C71E87" w:rsidRPr="00A55335" w:rsidRDefault="00C71E87">
            <w:pPr>
              <w:pStyle w:val="Tabletext8pt"/>
              <w:rPr>
                <w:rFonts w:eastAsiaTheme="minorEastAsia"/>
                <w:color w:val="FFFFFF" w:themeColor="background2"/>
              </w:rPr>
            </w:pPr>
          </w:p>
        </w:tc>
        <w:tc>
          <w:tcPr>
            <w:tcW w:w="581" w:type="pct"/>
            <w:vMerge/>
            <w:tcBorders>
              <w:right w:val="single" w:sz="6" w:space="0" w:color="EFEFEF"/>
            </w:tcBorders>
            <w:shd w:val="clear" w:color="auto" w:fill="006579" w:themeFill="accent2"/>
            <w:vAlign w:val="center"/>
            <w:hideMark/>
          </w:tcPr>
          <w:p w14:paraId="25E56B11" w14:textId="77777777" w:rsidR="00C71E87" w:rsidRPr="00A55335" w:rsidRDefault="00C71E87">
            <w:pPr>
              <w:pStyle w:val="Tabletext8pt"/>
              <w:rPr>
                <w:rFonts w:eastAsiaTheme="minorEastAsia"/>
                <w:color w:val="FFFFFF" w:themeColor="background2"/>
              </w:rPr>
            </w:pPr>
          </w:p>
        </w:tc>
        <w:tc>
          <w:tcPr>
            <w:tcW w:w="591" w:type="pct"/>
            <w:vMerge/>
            <w:tcBorders>
              <w:right w:val="single" w:sz="6" w:space="0" w:color="EFEFEF"/>
            </w:tcBorders>
            <w:shd w:val="clear" w:color="auto" w:fill="006579" w:themeFill="accent2"/>
            <w:vAlign w:val="center"/>
            <w:hideMark/>
          </w:tcPr>
          <w:p w14:paraId="6D4928B1" w14:textId="77777777" w:rsidR="00C71E87" w:rsidRPr="00A55335" w:rsidRDefault="00C71E87">
            <w:pPr>
              <w:pStyle w:val="Tabletext8pt"/>
              <w:rPr>
                <w:rFonts w:eastAsiaTheme="minorEastAsia"/>
                <w:color w:val="FFFFFF" w:themeColor="background2"/>
              </w:rPr>
            </w:pPr>
          </w:p>
        </w:tc>
        <w:tc>
          <w:tcPr>
            <w:tcW w:w="985" w:type="pct"/>
            <w:vMerge/>
            <w:tcBorders>
              <w:right w:val="single" w:sz="6" w:space="0" w:color="EFEFEF"/>
            </w:tcBorders>
            <w:shd w:val="clear" w:color="auto" w:fill="006579" w:themeFill="accent2"/>
            <w:vAlign w:val="center"/>
            <w:hideMark/>
          </w:tcPr>
          <w:p w14:paraId="2AAAED03" w14:textId="77777777" w:rsidR="00C71E87" w:rsidRPr="00A55335" w:rsidRDefault="00C71E87">
            <w:pPr>
              <w:pStyle w:val="Tabletext8pt"/>
              <w:rPr>
                <w:rFonts w:eastAsiaTheme="minorEastAsia"/>
                <w:color w:val="FFFFFF" w:themeColor="background2"/>
              </w:rPr>
            </w:pPr>
          </w:p>
        </w:tc>
      </w:tr>
      <w:tr w:rsidR="00A968DA" w:rsidRPr="00A55335" w14:paraId="26EB7977" w14:textId="77777777" w:rsidTr="00A968DA">
        <w:trPr>
          <w:gridAfter w:val="1"/>
          <w:wAfter w:w="10" w:type="pct"/>
          <w:cantSplit/>
        </w:trPr>
        <w:tc>
          <w:tcPr>
            <w:tcW w:w="872" w:type="pct"/>
            <w:gridSpan w:val="2"/>
            <w:tcBorders>
              <w:top w:val="single" w:sz="6" w:space="0" w:color="000000"/>
              <w:left w:val="nil"/>
              <w:bottom w:val="single" w:sz="6" w:space="0" w:color="000000"/>
              <w:right w:val="nil"/>
            </w:tcBorders>
            <w:vAlign w:val="center"/>
          </w:tcPr>
          <w:p w14:paraId="6A244808" w14:textId="436CBF6C" w:rsidR="00C71E87" w:rsidRPr="00A55335" w:rsidRDefault="00C71E87" w:rsidP="004C5900">
            <w:pPr>
              <w:pStyle w:val="Tabletext8pt"/>
            </w:pPr>
            <w:r w:rsidRPr="00A55335">
              <w:t>Infection frequency</w:t>
            </w:r>
            <w:r w:rsidRPr="00A55335">
              <w:br/>
              <w:t xml:space="preserve">assessed with: Number of </w:t>
            </w:r>
            <w:r w:rsidR="00825C25" w:rsidRPr="00A55335">
              <w:t xml:space="preserve">confirmed </w:t>
            </w:r>
            <w:r w:rsidRPr="00A55335">
              <w:t>UTIs</w:t>
            </w:r>
            <w:r w:rsidR="00FC4B37" w:rsidRPr="00A55335">
              <w:t xml:space="preserve"> per year</w:t>
            </w:r>
            <w:r w:rsidRPr="00A55335">
              <w:br/>
              <w:t>follow-up: 12 months</w:t>
            </w:r>
          </w:p>
        </w:tc>
        <w:tc>
          <w:tcPr>
            <w:tcW w:w="727" w:type="pct"/>
            <w:tcBorders>
              <w:top w:val="single" w:sz="6" w:space="0" w:color="000000"/>
              <w:left w:val="nil"/>
              <w:bottom w:val="single" w:sz="6" w:space="0" w:color="000000"/>
              <w:right w:val="nil"/>
            </w:tcBorders>
            <w:shd w:val="clear" w:color="auto" w:fill="ECECEC" w:themeFill="background1" w:themeFillShade="F2"/>
            <w:vAlign w:val="center"/>
          </w:tcPr>
          <w:p w14:paraId="0CEC41A3" w14:textId="3D059C7A" w:rsidR="00C71E87" w:rsidRPr="00A55335" w:rsidRDefault="00CA59A5" w:rsidP="00611BA9">
            <w:pPr>
              <w:pStyle w:val="Tabletext8pt"/>
            </w:pPr>
            <w:r w:rsidRPr="00A55335">
              <w:t>300 per 1,000</w:t>
            </w:r>
          </w:p>
        </w:tc>
        <w:tc>
          <w:tcPr>
            <w:tcW w:w="727" w:type="pct"/>
            <w:tcBorders>
              <w:top w:val="single" w:sz="6" w:space="0" w:color="000000"/>
              <w:left w:val="nil"/>
              <w:bottom w:val="single" w:sz="6" w:space="0" w:color="000000"/>
              <w:right w:val="nil"/>
            </w:tcBorders>
            <w:shd w:val="clear" w:color="auto" w:fill="ECECEC" w:themeFill="background1" w:themeFillShade="F2"/>
          </w:tcPr>
          <w:p w14:paraId="1EC0D95C" w14:textId="39CC8841" w:rsidR="004270D8" w:rsidRPr="00A55335" w:rsidRDefault="004270D8" w:rsidP="00611BA9">
            <w:pPr>
              <w:pStyle w:val="Tabletext8pt"/>
              <w:rPr>
                <w:rStyle w:val="Strong"/>
              </w:rPr>
            </w:pPr>
            <w:r w:rsidRPr="00A55335">
              <w:rPr>
                <w:rStyle w:val="Strong"/>
              </w:rPr>
              <w:t>81 per 1,000</w:t>
            </w:r>
          </w:p>
          <w:p w14:paraId="5E9EBED0" w14:textId="36745C70" w:rsidR="00C71E87" w:rsidRPr="00A55335" w:rsidRDefault="004270D8" w:rsidP="00611BA9">
            <w:pPr>
              <w:pStyle w:val="Tabletext8pt"/>
            </w:pPr>
            <w:r w:rsidRPr="00A55335">
              <w:t>(15 to 408)</w:t>
            </w:r>
            <w:r w:rsidR="00C855ED">
              <w:t xml:space="preserve"> </w:t>
            </w:r>
            <w:r w:rsidR="002374FF">
              <w:t>^</w:t>
            </w:r>
          </w:p>
        </w:tc>
        <w:tc>
          <w:tcPr>
            <w:tcW w:w="508" w:type="pct"/>
            <w:tcBorders>
              <w:top w:val="single" w:sz="6" w:space="0" w:color="000000"/>
              <w:left w:val="nil"/>
              <w:bottom w:val="single" w:sz="6" w:space="0" w:color="000000"/>
              <w:right w:val="nil"/>
            </w:tcBorders>
            <w:vAlign w:val="center"/>
          </w:tcPr>
          <w:p w14:paraId="0B0B1F09" w14:textId="6634CE08" w:rsidR="00C71E87" w:rsidRPr="00A55335" w:rsidRDefault="00F56420" w:rsidP="00F56420">
            <w:pPr>
              <w:pStyle w:val="Tabletext8pt"/>
              <w:jc w:val="center"/>
            </w:pPr>
            <w:r w:rsidRPr="00A55335">
              <w:rPr>
                <w:rStyle w:val="Strong"/>
              </w:rPr>
              <w:t>RR 0.27</w:t>
            </w:r>
            <w:r w:rsidRPr="00A55335">
              <w:t xml:space="preserve"> (0.05, 1.36)</w:t>
            </w:r>
          </w:p>
        </w:tc>
        <w:tc>
          <w:tcPr>
            <w:tcW w:w="581" w:type="pct"/>
            <w:tcBorders>
              <w:top w:val="single" w:sz="6" w:space="0" w:color="000000"/>
              <w:left w:val="nil"/>
              <w:bottom w:val="single" w:sz="6" w:space="0" w:color="000000"/>
              <w:right w:val="nil"/>
            </w:tcBorders>
            <w:vAlign w:val="center"/>
          </w:tcPr>
          <w:p w14:paraId="44B25E35" w14:textId="3766F9C1" w:rsidR="00C71E87" w:rsidRPr="00A55335" w:rsidRDefault="00C71E87" w:rsidP="00F56420">
            <w:pPr>
              <w:pStyle w:val="Tabletext8pt"/>
              <w:jc w:val="center"/>
              <w:rPr>
                <w:rFonts w:eastAsia="Times New Roman"/>
              </w:rPr>
            </w:pPr>
            <w:r w:rsidRPr="00A55335">
              <w:rPr>
                <w:rFonts w:eastAsia="Times New Roman"/>
              </w:rPr>
              <w:t>35</w:t>
            </w:r>
            <w:r w:rsidRPr="00A55335">
              <w:rPr>
                <w:rFonts w:eastAsia="Times New Roman"/>
              </w:rPr>
              <w:br/>
              <w:t>(1 RCT)</w:t>
            </w:r>
          </w:p>
        </w:tc>
        <w:tc>
          <w:tcPr>
            <w:tcW w:w="591" w:type="pct"/>
            <w:tcBorders>
              <w:top w:val="single" w:sz="6" w:space="0" w:color="000000"/>
              <w:left w:val="nil"/>
              <w:bottom w:val="single" w:sz="6" w:space="0" w:color="000000"/>
              <w:right w:val="nil"/>
            </w:tcBorders>
            <w:vAlign w:val="center"/>
          </w:tcPr>
          <w:p w14:paraId="09D4EB1A" w14:textId="5BBC2C3A" w:rsidR="00C71E87" w:rsidRPr="00A55335" w:rsidRDefault="00C71E87" w:rsidP="00F56420">
            <w:pPr>
              <w:pStyle w:val="Tabletext8pt"/>
              <w:jc w:val="center"/>
              <w:rPr>
                <w:rFonts w:eastAsia="Times New Roman"/>
              </w:rPr>
            </w:pPr>
            <w:r w:rsidRPr="00A55335">
              <w:rPr>
                <w:rStyle w:val="quality-sign"/>
                <w:rFonts w:ascii="Cambria Math" w:hAnsi="Cambria Math"/>
              </w:rPr>
              <w:t>⨁◯◯◯</w:t>
            </w:r>
            <w:r w:rsidRPr="00A55335">
              <w:rPr>
                <w:rFonts w:eastAsia="Times New Roman"/>
              </w:rPr>
              <w:br/>
            </w:r>
            <w:r w:rsidRPr="00A55335">
              <w:rPr>
                <w:rStyle w:val="QualitytextChar"/>
              </w:rPr>
              <w:t>Very low</w:t>
            </w:r>
            <w:r w:rsidRPr="00A55335">
              <w:t xml:space="preserve"> </w:t>
            </w:r>
            <w:proofErr w:type="spellStart"/>
            <w:r w:rsidRPr="00A55335">
              <w:rPr>
                <w:rStyle w:val="FootnoteReference"/>
              </w:rPr>
              <w:t>a,b</w:t>
            </w:r>
            <w:r w:rsidR="00D361F8" w:rsidRPr="00A55335">
              <w:rPr>
                <w:rStyle w:val="FootnoteReference"/>
              </w:rPr>
              <w:t>,c,d,e</w:t>
            </w:r>
            <w:proofErr w:type="spellEnd"/>
          </w:p>
        </w:tc>
        <w:tc>
          <w:tcPr>
            <w:tcW w:w="985" w:type="pct"/>
            <w:tcBorders>
              <w:top w:val="single" w:sz="6" w:space="0" w:color="000000"/>
              <w:left w:val="nil"/>
              <w:bottom w:val="single" w:sz="6" w:space="0" w:color="000000"/>
              <w:right w:val="nil"/>
            </w:tcBorders>
            <w:vAlign w:val="center"/>
          </w:tcPr>
          <w:p w14:paraId="484C01BD" w14:textId="6200F5E4" w:rsidR="00C71E87" w:rsidRPr="00A55335" w:rsidRDefault="00C71E87" w:rsidP="004C5900">
            <w:pPr>
              <w:pStyle w:val="Tabletext8pt"/>
              <w:rPr>
                <w:rFonts w:eastAsia="Times New Roman"/>
              </w:rPr>
            </w:pPr>
            <w:r w:rsidRPr="00A55335">
              <w:rPr>
                <w:rFonts w:eastAsia="Times New Roman"/>
              </w:rPr>
              <w:t xml:space="preserve">The evidence is very uncertain about the effect of homeopathy on </w:t>
            </w:r>
            <w:r w:rsidR="00643A99" w:rsidRPr="00A55335">
              <w:t>recurrent genitourinary infections</w:t>
            </w:r>
            <w:r w:rsidR="009B1F7E">
              <w:t>**</w:t>
            </w:r>
          </w:p>
        </w:tc>
      </w:tr>
      <w:tr w:rsidR="00A968DA" w:rsidRPr="00A55335" w14:paraId="3B5FED09" w14:textId="77777777" w:rsidTr="00A968DA">
        <w:trPr>
          <w:gridAfter w:val="1"/>
          <w:wAfter w:w="10" w:type="pct"/>
          <w:cantSplit/>
        </w:trPr>
        <w:tc>
          <w:tcPr>
            <w:tcW w:w="872" w:type="pct"/>
            <w:gridSpan w:val="2"/>
            <w:tcBorders>
              <w:top w:val="single" w:sz="6" w:space="0" w:color="000000"/>
              <w:left w:val="nil"/>
              <w:bottom w:val="single" w:sz="6" w:space="0" w:color="000000"/>
              <w:right w:val="nil"/>
            </w:tcBorders>
            <w:vAlign w:val="center"/>
          </w:tcPr>
          <w:p w14:paraId="6A15400B" w14:textId="77777777" w:rsidR="00C71E87" w:rsidRPr="00A55335" w:rsidRDefault="00C71E87" w:rsidP="004C5900">
            <w:pPr>
              <w:pStyle w:val="Tabletext8pt"/>
            </w:pPr>
            <w:r w:rsidRPr="00A55335">
              <w:t>Health-related quality of life assessed with EQ-5D</w:t>
            </w:r>
          </w:p>
          <w:p w14:paraId="0D7D0C6D" w14:textId="4C46D4AA" w:rsidR="00C71E87" w:rsidRPr="00A55335" w:rsidRDefault="00C71E87" w:rsidP="004C5900">
            <w:pPr>
              <w:pStyle w:val="Tabletext8pt"/>
            </w:pPr>
            <w:r w:rsidRPr="00A55335">
              <w:t>Follow up: 12 months</w:t>
            </w:r>
          </w:p>
        </w:tc>
        <w:tc>
          <w:tcPr>
            <w:tcW w:w="1453" w:type="pct"/>
            <w:gridSpan w:val="2"/>
            <w:tcBorders>
              <w:top w:val="single" w:sz="6" w:space="0" w:color="000000"/>
              <w:left w:val="nil"/>
              <w:bottom w:val="single" w:sz="6" w:space="0" w:color="000000"/>
              <w:right w:val="nil"/>
            </w:tcBorders>
            <w:shd w:val="clear" w:color="auto" w:fill="ECECEC" w:themeFill="background1" w:themeFillShade="F2"/>
            <w:vAlign w:val="center"/>
          </w:tcPr>
          <w:p w14:paraId="22948936" w14:textId="66BE30B0" w:rsidR="00C71E87" w:rsidRPr="00A55335" w:rsidRDefault="00C71E87" w:rsidP="00611BA9">
            <w:pPr>
              <w:pStyle w:val="Tabletext8pt"/>
            </w:pPr>
            <w:r w:rsidRPr="00A55335">
              <w:t xml:space="preserve">The authors reported homeopathy did not </w:t>
            </w:r>
            <w:proofErr w:type="gramStart"/>
            <w:r w:rsidRPr="00A55335">
              <w:t>have</w:t>
            </w:r>
            <w:r w:rsidR="0069526B" w:rsidRPr="00A55335">
              <w:t xml:space="preserve"> </w:t>
            </w:r>
            <w:r w:rsidR="00FB4FC6" w:rsidRPr="00A55335">
              <w:t>an</w:t>
            </w:r>
            <w:r w:rsidRPr="00A55335">
              <w:t xml:space="preserve"> effect on</w:t>
            </w:r>
            <w:proofErr w:type="gramEnd"/>
            <w:r w:rsidRPr="00A55335">
              <w:t xml:space="preserve"> health-related quality of life</w:t>
            </w:r>
            <w:r w:rsidR="00FB4FC6" w:rsidRPr="00A55335">
              <w:t xml:space="preserve"> (</w:t>
            </w:r>
            <w:r w:rsidR="00FB4FC6" w:rsidRPr="00771BFE">
              <w:rPr>
                <w:i/>
                <w:iCs/>
              </w:rPr>
              <w:t>p</w:t>
            </w:r>
            <w:r w:rsidR="00FB4FC6" w:rsidRPr="00A55335">
              <w:t xml:space="preserve"> &gt; 0.9)</w:t>
            </w:r>
            <w:r w:rsidR="00771BFE" w:rsidRPr="00A55335">
              <w:t xml:space="preserve"> </w:t>
            </w:r>
            <w:r w:rsidR="00771BFE">
              <w:t xml:space="preserve">but </w:t>
            </w:r>
            <w:r w:rsidR="00771BFE" w:rsidRPr="00A55335">
              <w:t>d</w:t>
            </w:r>
            <w:r w:rsidR="00771BFE">
              <w:t>id</w:t>
            </w:r>
            <w:r w:rsidR="00771BFE" w:rsidRPr="00A55335">
              <w:t xml:space="preserve"> not provide any data</w:t>
            </w:r>
            <w:r w:rsidR="00771BFE">
              <w:t>.</w:t>
            </w:r>
          </w:p>
        </w:tc>
        <w:tc>
          <w:tcPr>
            <w:tcW w:w="508" w:type="pct"/>
            <w:tcBorders>
              <w:top w:val="single" w:sz="6" w:space="0" w:color="000000"/>
              <w:left w:val="nil"/>
              <w:bottom w:val="single" w:sz="6" w:space="0" w:color="000000"/>
              <w:right w:val="nil"/>
            </w:tcBorders>
            <w:vAlign w:val="center"/>
          </w:tcPr>
          <w:p w14:paraId="3760AC44" w14:textId="237FEF46" w:rsidR="00C71E87" w:rsidRPr="00A55335" w:rsidRDefault="00C71E87" w:rsidP="00F56420">
            <w:pPr>
              <w:pStyle w:val="Tabletext8pt"/>
              <w:jc w:val="center"/>
            </w:pPr>
            <w:r w:rsidRPr="00A55335">
              <w:t>-</w:t>
            </w:r>
          </w:p>
        </w:tc>
        <w:tc>
          <w:tcPr>
            <w:tcW w:w="581" w:type="pct"/>
            <w:tcBorders>
              <w:top w:val="single" w:sz="6" w:space="0" w:color="000000"/>
              <w:left w:val="nil"/>
              <w:bottom w:val="single" w:sz="6" w:space="0" w:color="000000"/>
              <w:right w:val="nil"/>
            </w:tcBorders>
            <w:vAlign w:val="center"/>
          </w:tcPr>
          <w:p w14:paraId="12BD89C4" w14:textId="7E0B1835" w:rsidR="00C71E87" w:rsidRPr="00A55335" w:rsidRDefault="00C71E87" w:rsidP="00F56420">
            <w:pPr>
              <w:pStyle w:val="Tabletext8pt"/>
              <w:jc w:val="center"/>
              <w:rPr>
                <w:rFonts w:eastAsia="Times New Roman"/>
              </w:rPr>
            </w:pPr>
            <w:r w:rsidRPr="00A55335">
              <w:rPr>
                <w:rFonts w:eastAsia="Times New Roman"/>
              </w:rPr>
              <w:t>35</w:t>
            </w:r>
            <w:r w:rsidRPr="00A55335">
              <w:rPr>
                <w:rFonts w:eastAsia="Times New Roman"/>
              </w:rPr>
              <w:br/>
              <w:t>(1 RCT)</w:t>
            </w:r>
          </w:p>
        </w:tc>
        <w:tc>
          <w:tcPr>
            <w:tcW w:w="591" w:type="pct"/>
            <w:tcBorders>
              <w:top w:val="single" w:sz="6" w:space="0" w:color="000000"/>
              <w:left w:val="nil"/>
              <w:bottom w:val="single" w:sz="6" w:space="0" w:color="000000"/>
              <w:right w:val="nil"/>
            </w:tcBorders>
            <w:vAlign w:val="center"/>
          </w:tcPr>
          <w:p w14:paraId="0C5AEE9C" w14:textId="20068CB9" w:rsidR="00C71E87" w:rsidRPr="00A55335" w:rsidRDefault="008650A9" w:rsidP="00F56420">
            <w:pPr>
              <w:pStyle w:val="Tabletext8pt"/>
              <w:jc w:val="center"/>
              <w:rPr>
                <w:rStyle w:val="quality-sign"/>
                <w:rFonts w:ascii="Cambria Math" w:hAnsi="Cambria Math"/>
              </w:rPr>
            </w:pPr>
            <w:r w:rsidRPr="00A55335">
              <w:rPr>
                <w:rStyle w:val="quality-sign"/>
                <w:rFonts w:ascii="Cambria Math" w:hAnsi="Cambria Math"/>
              </w:rPr>
              <w:t>⨁◯◯◯</w:t>
            </w:r>
            <w:r w:rsidRPr="00A55335">
              <w:rPr>
                <w:rFonts w:eastAsia="Times New Roman"/>
              </w:rPr>
              <w:br/>
            </w:r>
            <w:r w:rsidRPr="00A55335">
              <w:rPr>
                <w:rStyle w:val="QualitytextChar"/>
              </w:rPr>
              <w:t>Very low</w:t>
            </w:r>
            <w:r w:rsidRPr="00A55335">
              <w:t xml:space="preserve"> </w:t>
            </w:r>
            <w:proofErr w:type="spellStart"/>
            <w:r w:rsidRPr="00A55335">
              <w:rPr>
                <w:rStyle w:val="FootnoteReference"/>
              </w:rPr>
              <w:t>a,b,c,d,e</w:t>
            </w:r>
            <w:proofErr w:type="spellEnd"/>
          </w:p>
        </w:tc>
        <w:tc>
          <w:tcPr>
            <w:tcW w:w="985" w:type="pct"/>
            <w:tcBorders>
              <w:top w:val="single" w:sz="6" w:space="0" w:color="000000"/>
              <w:left w:val="nil"/>
              <w:bottom w:val="single" w:sz="6" w:space="0" w:color="000000"/>
              <w:right w:val="nil"/>
            </w:tcBorders>
            <w:vAlign w:val="center"/>
          </w:tcPr>
          <w:p w14:paraId="17809850" w14:textId="7C16CC30" w:rsidR="00C71E87" w:rsidRPr="00A55335" w:rsidRDefault="0027780D" w:rsidP="004C5900">
            <w:pPr>
              <w:pStyle w:val="Tabletext8pt"/>
              <w:rPr>
                <w:rFonts w:eastAsia="Times New Roman"/>
              </w:rPr>
            </w:pPr>
            <w:r w:rsidRPr="00A55335">
              <w:rPr>
                <w:rFonts w:eastAsia="Times New Roman"/>
              </w:rPr>
              <w:t>The evidence is very uncertain about the</w:t>
            </w:r>
            <w:r w:rsidR="00C71E87" w:rsidRPr="00A55335">
              <w:rPr>
                <w:rFonts w:eastAsia="Times New Roman"/>
              </w:rPr>
              <w:t xml:space="preserve"> effect of </w:t>
            </w:r>
            <w:r w:rsidR="00F47F9E" w:rsidRPr="00A55335">
              <w:rPr>
                <w:rFonts w:eastAsia="Times New Roman"/>
              </w:rPr>
              <w:t>h</w:t>
            </w:r>
            <w:r w:rsidR="00C71E87" w:rsidRPr="00A55335">
              <w:rPr>
                <w:rFonts w:eastAsia="Times New Roman"/>
              </w:rPr>
              <w:t xml:space="preserve">omeopathy on health-related quality of life in people with </w:t>
            </w:r>
            <w:r w:rsidR="00643A99" w:rsidRPr="00A55335">
              <w:t>recurrent genitourinary infections</w:t>
            </w:r>
          </w:p>
        </w:tc>
      </w:tr>
      <w:tr w:rsidR="00C71E87" w:rsidRPr="00A55335" w14:paraId="10056134" w14:textId="77777777" w:rsidTr="00A968DA">
        <w:trPr>
          <w:gridAfter w:val="1"/>
          <w:wAfter w:w="10" w:type="pct"/>
          <w:cantSplit/>
        </w:trPr>
        <w:tc>
          <w:tcPr>
            <w:tcW w:w="4990" w:type="pct"/>
            <w:gridSpan w:val="8"/>
            <w:tcBorders>
              <w:top w:val="single" w:sz="6" w:space="0" w:color="000000"/>
              <w:left w:val="nil"/>
              <w:bottom w:val="single" w:sz="6" w:space="0" w:color="000000"/>
              <w:right w:val="nil"/>
            </w:tcBorders>
            <w:vAlign w:val="center"/>
            <w:hideMark/>
          </w:tcPr>
          <w:p w14:paraId="3F2FF7D1" w14:textId="3B4E5D75" w:rsidR="006441CD" w:rsidRPr="00A55335" w:rsidRDefault="00C71E87" w:rsidP="006441CD">
            <w:pPr>
              <w:pStyle w:val="TableFigNotes18"/>
            </w:pP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438CF244" w14:textId="03A062A5" w:rsidR="006441CD" w:rsidRPr="00A55335" w:rsidRDefault="006441CD" w:rsidP="007252A0">
            <w:pPr>
              <w:pStyle w:val="TableFigNotes18"/>
            </w:pPr>
            <w:r w:rsidRPr="00A55335">
              <w:t>**</w:t>
            </w:r>
            <w:r w:rsidR="00FB4FC6" w:rsidRPr="00A55335">
              <w:rPr>
                <w:rStyle w:val="Strong"/>
              </w:rPr>
              <w:t xml:space="preserve"> </w:t>
            </w:r>
            <w:r w:rsidR="00FB4FC6" w:rsidRPr="00A55335">
              <w:t>A 25% relative risk reduction was considered important (i.e. RR &lt; 0.75).</w:t>
            </w:r>
            <w:r w:rsidR="002374FF">
              <w:br/>
            </w:r>
            <w:r w:rsidR="007C77EA">
              <w:br/>
            </w:r>
            <w:r w:rsidR="002374FF">
              <w:t xml:space="preserve">^ </w:t>
            </w:r>
            <w:r w:rsidR="002374FF" w:rsidRPr="00BC53A3">
              <w:t xml:space="preserve">The ARD is </w:t>
            </w:r>
            <w:r w:rsidR="002374FF">
              <w:t>219</w:t>
            </w:r>
            <w:r w:rsidR="002374FF" w:rsidRPr="00BC53A3">
              <w:t xml:space="preserve"> fewer per 100</w:t>
            </w:r>
            <w:r w:rsidR="002374FF">
              <w:t>0</w:t>
            </w:r>
            <w:r w:rsidR="002374FF" w:rsidRPr="00BC53A3">
              <w:t xml:space="preserve"> </w:t>
            </w:r>
            <w:r w:rsidR="00C855ED">
              <w:t xml:space="preserve">(from 285 fewer to 108 more) i.e. </w:t>
            </w:r>
            <w:r w:rsidR="002374FF">
              <w:t xml:space="preserve">21.9% reduction. </w:t>
            </w:r>
          </w:p>
          <w:p w14:paraId="482A0B6E" w14:textId="4D92C5BB" w:rsidR="00C71E87" w:rsidRPr="00A55335" w:rsidRDefault="002348B9">
            <w:pPr>
              <w:pStyle w:val="TableFigNotes0"/>
            </w:pPr>
            <w:r>
              <w:rPr>
                <w:rStyle w:val="Strong"/>
              </w:rPr>
              <w:t xml:space="preserve">ARD: </w:t>
            </w:r>
            <w:r w:rsidR="00F20AD6" w:rsidRPr="00F20AD6">
              <w:rPr>
                <w:rStyle w:val="Strong"/>
                <w:b w:val="0"/>
                <w:bCs w:val="0"/>
              </w:rPr>
              <w:t xml:space="preserve">absolute risk difference; </w:t>
            </w:r>
            <w:r w:rsidR="00C71E87" w:rsidRPr="00A55335">
              <w:rPr>
                <w:rStyle w:val="Strong"/>
              </w:rPr>
              <w:t>CI:</w:t>
            </w:r>
            <w:r w:rsidR="00C71E87" w:rsidRPr="00A55335">
              <w:t xml:space="preserve"> confidence interval; </w:t>
            </w:r>
            <w:r w:rsidR="00C71E87" w:rsidRPr="00A55335">
              <w:rPr>
                <w:rStyle w:val="Strong"/>
              </w:rPr>
              <w:t>EQ-5D:</w:t>
            </w:r>
            <w:r w:rsidR="00C71E87" w:rsidRPr="00A55335">
              <w:t xml:space="preserve"> </w:t>
            </w:r>
            <w:proofErr w:type="spellStart"/>
            <w:r w:rsidR="00C71E87" w:rsidRPr="00A55335">
              <w:t>EuroQol</w:t>
            </w:r>
            <w:proofErr w:type="spellEnd"/>
            <w:r w:rsidR="00C71E87" w:rsidRPr="00A55335">
              <w:t xml:space="preserve"> five dimensions questionnaire; </w:t>
            </w:r>
            <w:r w:rsidR="00C71E87" w:rsidRPr="00A55335">
              <w:rPr>
                <w:rStyle w:val="Strong"/>
              </w:rPr>
              <w:t>RR:</w:t>
            </w:r>
            <w:r w:rsidR="00C71E87" w:rsidRPr="00A55335">
              <w:t xml:space="preserve"> risk ratio </w:t>
            </w:r>
            <w:r w:rsidR="00C71E87" w:rsidRPr="00A55335">
              <w:rPr>
                <w:rStyle w:val="Strong"/>
              </w:rPr>
              <w:t>UTI:</w:t>
            </w:r>
            <w:r w:rsidR="00C71E87" w:rsidRPr="00A55335">
              <w:t xml:space="preserve"> urinary tract infection</w:t>
            </w:r>
          </w:p>
        </w:tc>
      </w:tr>
      <w:tr w:rsidR="00C71E87" w:rsidRPr="00A55335" w14:paraId="6A195FAB" w14:textId="77777777" w:rsidTr="00A968DA">
        <w:trPr>
          <w:gridAfter w:val="1"/>
          <w:wAfter w:w="10" w:type="pct"/>
          <w:cantSplit/>
        </w:trPr>
        <w:tc>
          <w:tcPr>
            <w:tcW w:w="4990" w:type="pct"/>
            <w:gridSpan w:val="8"/>
            <w:tcBorders>
              <w:top w:val="single" w:sz="6" w:space="0" w:color="000000"/>
              <w:left w:val="nil"/>
              <w:bottom w:val="single" w:sz="6" w:space="0" w:color="000000"/>
              <w:right w:val="nil"/>
            </w:tcBorders>
            <w:vAlign w:val="center"/>
            <w:hideMark/>
          </w:tcPr>
          <w:p w14:paraId="396EC8C7" w14:textId="77777777" w:rsidR="00C71E87" w:rsidRPr="00A55335" w:rsidRDefault="00C71E87">
            <w:pPr>
              <w:pStyle w:val="TableFigNotes0"/>
            </w:pPr>
            <w:r w:rsidRPr="00A55335">
              <w:rPr>
                <w:rStyle w:val="Strong"/>
              </w:rPr>
              <w:t>GRADE Working Group grades of evidence</w:t>
            </w:r>
            <w:r w:rsidRPr="00A55335">
              <w:br/>
            </w:r>
            <w:r w:rsidRPr="00A55335">
              <w:rPr>
                <w:rStyle w:val="Strong"/>
              </w:rPr>
              <w:t>High certainty</w:t>
            </w:r>
            <w:r w:rsidRPr="00A55335">
              <w:t>: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5FC6C901" w14:textId="77777777" w:rsidR="00DD505D" w:rsidRPr="00A55335" w:rsidRDefault="00E35087" w:rsidP="00D13EC0">
      <w:pPr>
        <w:pStyle w:val="Heading5a"/>
        <w:rPr>
          <w:lang w:val="en-AU"/>
        </w:rPr>
      </w:pPr>
      <w:r w:rsidRPr="00A55335">
        <w:rPr>
          <w:lang w:val="en-AU"/>
        </w:rPr>
        <w:t>Explanations</w:t>
      </w:r>
    </w:p>
    <w:p w14:paraId="681A05A6" w14:textId="68B57AAE" w:rsidR="00DD505D" w:rsidRPr="00A55335" w:rsidRDefault="00DD505D" w:rsidP="003E703C">
      <w:pPr>
        <w:pStyle w:val="Footnote"/>
      </w:pPr>
      <w:r w:rsidRPr="00A55335">
        <w:t xml:space="preserve">a. </w:t>
      </w:r>
      <w:proofErr w:type="gramStart"/>
      <w:r w:rsidR="00D361F8" w:rsidRPr="00A55335">
        <w:t>Serious</w:t>
      </w:r>
      <w:proofErr w:type="gramEnd"/>
      <w:r w:rsidR="00D361F8" w:rsidRPr="00A55335">
        <w:t xml:space="preserve"> risk of bias. </w:t>
      </w:r>
      <w:r w:rsidRPr="00A55335">
        <w:t>One RCT contributing 100% of data was at high risk of bias. Certainty of evidence downgraded.</w:t>
      </w:r>
    </w:p>
    <w:p w14:paraId="01F5AC91" w14:textId="56866AA7" w:rsidR="00D361F8" w:rsidRPr="00A55335" w:rsidRDefault="00D361F8" w:rsidP="003E703C">
      <w:pPr>
        <w:pStyle w:val="Footnote"/>
      </w:pPr>
      <w:r w:rsidRPr="00A55335">
        <w:t xml:space="preserve">b. Single study. Inconsistency not assessed. </w:t>
      </w:r>
      <w:r w:rsidR="00907DE8" w:rsidRPr="00A55335">
        <w:t>Certainty of evidence not downgraded.</w:t>
      </w:r>
    </w:p>
    <w:p w14:paraId="5220D174" w14:textId="046363C6" w:rsidR="006441CD" w:rsidRPr="00A55335" w:rsidRDefault="00907DE8" w:rsidP="001A3E69">
      <w:pPr>
        <w:pStyle w:val="Footnote"/>
      </w:pPr>
      <w:r w:rsidRPr="00A55335">
        <w:t xml:space="preserve">c. No serious indirectness. </w:t>
      </w:r>
      <w:r w:rsidR="006441CD" w:rsidRPr="00A55335">
        <w:t>The evidence is directly generalisable to the Australian population with</w:t>
      </w:r>
      <w:r w:rsidR="00AA28DA" w:rsidRPr="00A55335">
        <w:t xml:space="preserve"> some </w:t>
      </w:r>
      <w:r w:rsidR="006441CD" w:rsidRPr="00A55335">
        <w:t xml:space="preserve">caveats. The available evidence is in </w:t>
      </w:r>
      <w:r w:rsidR="001A3E69" w:rsidRPr="00A55335">
        <w:t xml:space="preserve">people </w:t>
      </w:r>
      <w:r w:rsidR="007A6A23" w:rsidRPr="00A55335">
        <w:t xml:space="preserve">(predominantly males) </w:t>
      </w:r>
      <w:r w:rsidR="001A3E69" w:rsidRPr="00A55335">
        <w:t xml:space="preserve">with spinal cord injury </w:t>
      </w:r>
      <w:r w:rsidR="003276E3" w:rsidRPr="00A55335">
        <w:t>who have n</w:t>
      </w:r>
      <w:r w:rsidR="001A3E69" w:rsidRPr="00A55335">
        <w:t>eurogenic lower urinary tract dysfunction</w:t>
      </w:r>
      <w:r w:rsidR="00514D15" w:rsidRPr="00A55335">
        <w:t xml:space="preserve"> and may not be applicable to </w:t>
      </w:r>
      <w:r w:rsidR="007A6A23" w:rsidRPr="00A55335">
        <w:t>the wider population</w:t>
      </w:r>
      <w:r w:rsidR="006441CD" w:rsidRPr="00A55335">
        <w:t>. Certainty of evidence not downgraded.</w:t>
      </w:r>
    </w:p>
    <w:p w14:paraId="50102635" w14:textId="0BBDDDF0" w:rsidR="006441CD" w:rsidRPr="00A55335" w:rsidRDefault="006441CD" w:rsidP="006441CD">
      <w:pPr>
        <w:pStyle w:val="Footnote"/>
      </w:pPr>
      <w:r w:rsidRPr="00A55335">
        <w:t>d. Very serious imprecision. One small study with wide confidence intervals (upper and low</w:t>
      </w:r>
      <w:r w:rsidR="00D76557">
        <w:t>er</w:t>
      </w:r>
      <w:r w:rsidRPr="00A55335">
        <w:t xml:space="preserve"> bounds overlap with both an important and no important difference). Certainty of evidence downgraded 2 levels.</w:t>
      </w:r>
    </w:p>
    <w:p w14:paraId="6165B002" w14:textId="22E40617" w:rsidR="006441CD" w:rsidRPr="00A55335" w:rsidRDefault="006441CD" w:rsidP="007A6A23">
      <w:pPr>
        <w:pStyle w:val="Footnote"/>
      </w:pPr>
      <w:r w:rsidRPr="00A55335">
        <w:t>e. Publication bias not suspected. Certainty of evidence not downgraded.</w:t>
      </w:r>
    </w:p>
    <w:p w14:paraId="0065D6D6" w14:textId="77777777" w:rsidR="00DD505D" w:rsidRPr="00A55335" w:rsidRDefault="00DD505D" w:rsidP="004D433B">
      <w:pPr>
        <w:pStyle w:val="Heading3"/>
      </w:pPr>
      <w:bookmarkStart w:id="165" w:name="_Toc152843556"/>
      <w:bookmarkStart w:id="166" w:name="_Toc153460993"/>
      <w:bookmarkStart w:id="167" w:name="_Toc153464203"/>
      <w:bookmarkStart w:id="168" w:name="_Toc153530299"/>
      <w:bookmarkStart w:id="169" w:name="_Toc153549803"/>
      <w:bookmarkStart w:id="170" w:name="_Toc153807820"/>
      <w:bookmarkStart w:id="171" w:name="_Toc153894245"/>
      <w:bookmarkStart w:id="172" w:name="_Toc153915125"/>
      <w:bookmarkStart w:id="173" w:name="_Toc153970379"/>
      <w:bookmarkStart w:id="174" w:name="_Toc183441326"/>
      <w:bookmarkEnd w:id="165"/>
      <w:bookmarkEnd w:id="166"/>
      <w:bookmarkEnd w:id="167"/>
      <w:bookmarkEnd w:id="168"/>
      <w:bookmarkEnd w:id="169"/>
      <w:bookmarkEnd w:id="170"/>
      <w:bookmarkEnd w:id="171"/>
      <w:bookmarkEnd w:id="172"/>
      <w:bookmarkEnd w:id="173"/>
      <w:r w:rsidRPr="00A55335">
        <w:lastRenderedPageBreak/>
        <w:t>Forest plots</w:t>
      </w:r>
      <w:bookmarkEnd w:id="174"/>
    </w:p>
    <w:p w14:paraId="011859A4" w14:textId="57CDC080" w:rsidR="00DD505D" w:rsidRPr="00A55335" w:rsidRDefault="00DD505D" w:rsidP="000F196C">
      <w:pPr>
        <w:pStyle w:val="BodyText"/>
      </w:pPr>
      <w:r w:rsidRPr="00A55335">
        <w:t>Outcome results related</w:t>
      </w:r>
      <w:r w:rsidR="00776D08" w:rsidRPr="00A55335">
        <w:t xml:space="preserve"> </w:t>
      </w:r>
      <w:r w:rsidR="009D62B4" w:rsidRPr="00A55335">
        <w:t xml:space="preserve">to </w:t>
      </w:r>
      <w:r w:rsidR="006070ED" w:rsidRPr="00A55335">
        <w:t>Secondary Comparison</w:t>
      </w:r>
      <w:r w:rsidR="00776D08" w:rsidRPr="00A55335">
        <w:t xml:space="preserve"> (homeopathy vs </w:t>
      </w:r>
      <w:r w:rsidR="00BD79A8" w:rsidRPr="00A55335">
        <w:t xml:space="preserve">inactive </w:t>
      </w:r>
      <w:r w:rsidR="00776D08" w:rsidRPr="00A55335">
        <w:t xml:space="preserve">control) </w:t>
      </w:r>
      <w:r w:rsidRPr="00A55335">
        <w:t xml:space="preserve">in people with recurrent </w:t>
      </w:r>
      <w:r w:rsidR="00776D08" w:rsidRPr="00A55335">
        <w:t>urinar</w:t>
      </w:r>
      <w:r w:rsidR="000F196C" w:rsidRPr="00A55335">
        <w:t xml:space="preserve">y tract </w:t>
      </w:r>
      <w:r w:rsidRPr="00A55335">
        <w:t xml:space="preserve">infections are presented in </w:t>
      </w:r>
      <w:r w:rsidR="00046987" w:rsidRPr="00A55335">
        <w:fldChar w:fldCharType="begin"/>
      </w:r>
      <w:r w:rsidR="00046987" w:rsidRPr="00A55335">
        <w:instrText xml:space="preserve"> REF _Ref151385690 \h </w:instrText>
      </w:r>
      <w:r w:rsidR="00046987" w:rsidRPr="00A55335">
        <w:fldChar w:fldCharType="separate"/>
      </w:r>
      <w:r w:rsidR="00814B04" w:rsidRPr="00A55335">
        <w:t xml:space="preserve">Figure </w:t>
      </w:r>
      <w:r w:rsidR="00814B04">
        <w:rPr>
          <w:noProof/>
        </w:rPr>
        <w:t>22</w:t>
      </w:r>
      <w:r w:rsidR="00046987" w:rsidRPr="00A55335">
        <w:fldChar w:fldCharType="end"/>
      </w:r>
      <w:r w:rsidR="000F196C" w:rsidRPr="00A55335">
        <w:t xml:space="preserve"> (infection frequency)</w:t>
      </w:r>
      <w:r w:rsidRPr="00A55335">
        <w:t>.</w:t>
      </w:r>
    </w:p>
    <w:p w14:paraId="1E339B62" w14:textId="6771B9B4" w:rsidR="00DD505D" w:rsidRPr="00A55335" w:rsidRDefault="00DD505D" w:rsidP="00DD505D">
      <w:pPr>
        <w:pStyle w:val="Caption"/>
      </w:pPr>
      <w:r w:rsidRPr="00A55335">
        <w:t xml:space="preserve"> </w:t>
      </w:r>
      <w:bookmarkStart w:id="175" w:name="_Ref151385690"/>
      <w:bookmarkStart w:id="176" w:name="_Toc183520295"/>
      <w:r w:rsidRPr="00A55335">
        <w:t xml:space="preserve">Figure </w:t>
      </w:r>
      <w:r w:rsidRPr="00A55335">
        <w:fldChar w:fldCharType="begin"/>
      </w:r>
      <w:r w:rsidRPr="00A55335">
        <w:instrText xml:space="preserve"> SEQ Figure \* ARABIC </w:instrText>
      </w:r>
      <w:r w:rsidRPr="00A55335">
        <w:fldChar w:fldCharType="separate"/>
      </w:r>
      <w:r w:rsidR="00814B04">
        <w:rPr>
          <w:noProof/>
        </w:rPr>
        <w:t>22</w:t>
      </w:r>
      <w:r w:rsidRPr="00A55335">
        <w:fldChar w:fldCharType="end"/>
      </w:r>
      <w:bookmarkEnd w:id="175"/>
      <w:r w:rsidR="00046987" w:rsidRPr="00A55335">
        <w:tab/>
      </w:r>
      <w:r w:rsidRPr="00A55335">
        <w:t xml:space="preserve">Forest plot of </w:t>
      </w:r>
      <w:r w:rsidR="00E0794B" w:rsidRPr="00A55335">
        <w:t xml:space="preserve">secondary </w:t>
      </w:r>
      <w:r w:rsidRPr="00A55335">
        <w:t xml:space="preserve">comparison: Homeopathy vs </w:t>
      </w:r>
      <w:r w:rsidR="00BD79A8" w:rsidRPr="00A55335">
        <w:t xml:space="preserve">inactive </w:t>
      </w:r>
      <w:r w:rsidRPr="00A55335">
        <w:t xml:space="preserve">control (no intervention): </w:t>
      </w:r>
      <w:r w:rsidR="00B5693E" w:rsidRPr="00A55335">
        <w:t>R</w:t>
      </w:r>
      <w:r w:rsidRPr="00A55335">
        <w:t>ecurrent infections (genitourinary) – infection frequency</w:t>
      </w:r>
      <w:bookmarkEnd w:id="176"/>
    </w:p>
    <w:p w14:paraId="3CDCB7EC" w14:textId="3BAED0D0" w:rsidR="00DD505D" w:rsidRPr="00A55335" w:rsidRDefault="00686107" w:rsidP="00AC0A80">
      <w:pPr>
        <w:pStyle w:val="Pic"/>
      </w:pPr>
      <w:r w:rsidRPr="00A55335">
        <w:rPr>
          <w:noProof/>
        </w:rPr>
        <w:drawing>
          <wp:inline distT="0" distB="0" distL="0" distR="0" wp14:anchorId="50A13C60" wp14:editId="0059481E">
            <wp:extent cx="5867832" cy="2220686"/>
            <wp:effectExtent l="0" t="0" r="0" b="8255"/>
            <wp:docPr id="1182963958" name="Picture 118296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77432" cy="2224319"/>
                    </a:xfrm>
                    <a:prstGeom prst="rect">
                      <a:avLst/>
                    </a:prstGeom>
                    <a:noFill/>
                    <a:ln>
                      <a:noFill/>
                    </a:ln>
                  </pic:spPr>
                </pic:pic>
              </a:graphicData>
            </a:graphic>
          </wp:inline>
        </w:drawing>
      </w:r>
    </w:p>
    <w:p w14:paraId="04C40514" w14:textId="77777777" w:rsidR="00A92F04" w:rsidRPr="00A55335" w:rsidRDefault="00A92F04" w:rsidP="00A92F04">
      <w:pPr>
        <w:pStyle w:val="TableFigNotes18"/>
      </w:pPr>
    </w:p>
    <w:p w14:paraId="4DA2977E" w14:textId="3EC8305D" w:rsidR="00616C63" w:rsidRPr="00BD1A50" w:rsidRDefault="00616C63" w:rsidP="00BD1A50">
      <w:pPr>
        <w:pStyle w:val="BodyText"/>
      </w:pPr>
      <w:r w:rsidRPr="00A55335">
        <w:br w:type="page"/>
      </w:r>
    </w:p>
    <w:p w14:paraId="4181FCAA" w14:textId="77777777" w:rsidR="00DD505D" w:rsidRPr="00A55335" w:rsidRDefault="00DD505D" w:rsidP="00C373A2">
      <w:pPr>
        <w:pStyle w:val="Heading2"/>
      </w:pPr>
      <w:bookmarkStart w:id="177" w:name="_Toc183441327"/>
      <w:r w:rsidRPr="00A55335">
        <w:lastRenderedPageBreak/>
        <w:t>Anxiety</w:t>
      </w:r>
      <w:bookmarkEnd w:id="177"/>
    </w:p>
    <w:p w14:paraId="32C6E957" w14:textId="77777777" w:rsidR="00DD505D" w:rsidRPr="00A55335" w:rsidRDefault="00DD505D" w:rsidP="004D433B">
      <w:pPr>
        <w:pStyle w:val="Heading3"/>
      </w:pPr>
      <w:bookmarkStart w:id="178" w:name="_Toc183441328"/>
      <w:r w:rsidRPr="00A55335">
        <w:t>Description of the condition</w:t>
      </w:r>
      <w:bookmarkEnd w:id="178"/>
    </w:p>
    <w:p w14:paraId="13F27172" w14:textId="2512202D" w:rsidR="00DD505D" w:rsidRPr="00A55335" w:rsidRDefault="00DD505D" w:rsidP="00DD505D">
      <w:pPr>
        <w:pStyle w:val="BodyText"/>
      </w:pPr>
      <w:r w:rsidRPr="00A55335">
        <w:t xml:space="preserve">Anxiety is the most common mental health condition in Australia and the </w:t>
      </w:r>
      <w:r w:rsidR="003B12E4" w:rsidRPr="00A55335">
        <w:t>six</w:t>
      </w:r>
      <w:r w:rsidR="00436851" w:rsidRPr="00A55335">
        <w:t>th</w:t>
      </w:r>
      <w:r w:rsidRPr="00A55335">
        <w:t xml:space="preserve"> largest contributor to burden of disease, with one in 4 people experiencing anxiety at some stage in their life </w:t>
      </w:r>
      <w:r w:rsidRPr="00A55335">
        <w:fldChar w:fldCharType="begin"/>
      </w:r>
      <w:r w:rsidR="006952AD">
        <w:instrText xml:space="preserve"> ADDIN EN.CITE &lt;EndNote&gt;&lt;Cite&gt;&lt;Author&gt;Beyond Blue&lt;/Author&gt;&lt;Year&gt;n.d.&lt;/Year&gt;&lt;RecNum&gt;92&lt;/RecNum&gt;&lt;DisplayText&gt;(123, 124)&lt;/DisplayText&gt;&lt;record&gt;&lt;rec-number&gt;92&lt;/rec-number&gt;&lt;foreign-keys&gt;&lt;key app="EN" db-id="t5prptatr9sp0we5exbxt9zz20fwp55tdza9" timestamp="1681970225"&gt;92&lt;/key&gt;&lt;/foreign-keys&gt;&lt;ref-type name="Web Page"&gt;12&lt;/ref-type&gt;&lt;contributors&gt;&lt;authors&gt;&lt;author&gt;Beyond Blue,&lt;/author&gt;&lt;/authors&gt;&lt;/contributors&gt;&lt;titles&gt;&lt;title&gt;Anxiety&lt;/title&gt;&lt;/titles&gt;&lt;dates&gt;&lt;year&gt;n.d.&lt;/year&gt;&lt;/dates&gt;&lt;urls&gt;&lt;related-urls&gt;&lt;url&gt;https://www.beyondblue.org.au/the-facts/anxiety&lt;/url&gt;&lt;/related-urls&gt;&lt;/urls&gt;&lt;custom2&gt;30 July 2021&lt;/custom2&gt;&lt;/record&gt;&lt;/Cite&gt;&lt;Cite&gt;&lt;Author&gt;Australian Institute of Health and Welfare&lt;/Author&gt;&lt;Year&gt;2019&lt;/Year&gt;&lt;RecNum&gt;133&lt;/RecNum&gt;&lt;record&gt;&lt;rec-number&gt;133&lt;/rec-number&gt;&lt;foreign-keys&gt;&lt;key app="EN" db-id="t5prptatr9sp0we5exbxt9zz20fwp55tdza9" timestamp="1681970226"&gt;133&lt;/key&gt;&lt;/foreign-keys&gt;&lt;ref-type name="Electronic Article"&gt;43&lt;/ref-type&gt;&lt;contributors&gt;&lt;authors&gt;&lt;author&gt;Australian Institute of Health and Welfare,&lt;/author&gt;&lt;/authors&gt;&lt;/contributors&gt;&lt;titles&gt;&lt;title&gt;Australian Burden of Disease Study: impact and causes of illness and death in Australia 2015&lt;/title&gt;&lt;/titles&gt;&lt;number&gt;19: BOD 22&lt;/number&gt;&lt;dates&gt;&lt;year&gt;2019&lt;/year&gt;&lt;/dates&gt;&lt;pub-location&gt;Canberra: AIHW &lt;/pub-location&gt;&lt;urls&gt;&lt;related-urls&gt;&lt;url&gt;https://www.aihw.gov.au/reports/burden-of-disease/burden-disease-study-illness-death-2015&lt;/url&gt;&lt;/related-urls&gt;&lt;/urls&gt;&lt;electronic-resource-num&gt;10.25816/5ebca2a4fa7dc&lt;/electronic-resource-num&gt;&lt;/record&gt;&lt;/Cite&gt;&lt;/EndNote&gt;</w:instrText>
      </w:r>
      <w:r w:rsidRPr="00A55335">
        <w:fldChar w:fldCharType="separate"/>
      </w:r>
      <w:r w:rsidR="00067842">
        <w:rPr>
          <w:noProof/>
        </w:rPr>
        <w:t>(</w:t>
      </w:r>
      <w:hyperlink w:anchor="_ENREF_123" w:tooltip="Beyond Blue, n.d. #92" w:history="1">
        <w:r w:rsidR="00EC2769">
          <w:rPr>
            <w:noProof/>
          </w:rPr>
          <w:t>123</w:t>
        </w:r>
      </w:hyperlink>
      <w:r w:rsidR="00067842">
        <w:rPr>
          <w:noProof/>
        </w:rPr>
        <w:t xml:space="preserve">, </w:t>
      </w:r>
      <w:hyperlink w:anchor="_ENREF_124" w:tooltip="Australian Institute of Health and Welfare, 2019 #133" w:history="1">
        <w:r w:rsidR="00EC2769">
          <w:rPr>
            <w:noProof/>
          </w:rPr>
          <w:t>124</w:t>
        </w:r>
      </w:hyperlink>
      <w:r w:rsidR="00067842">
        <w:rPr>
          <w:noProof/>
        </w:rPr>
        <w:t>)</w:t>
      </w:r>
      <w:r w:rsidRPr="00A55335">
        <w:fldChar w:fldCharType="end"/>
      </w:r>
      <w:r w:rsidRPr="00A55335">
        <w:t xml:space="preserve">. While it is normal to feel anxious or stressed in certain situations, those with an anxiety disorder experience these symptoms more frequently and persistently without an obvious cause. Feelings of anxiety can impact quality of life and day-to-day functioning </w:t>
      </w:r>
      <w:r w:rsidRPr="00A55335">
        <w:fldChar w:fldCharType="begin"/>
      </w:r>
      <w:r w:rsidR="006952AD">
        <w:instrText xml:space="preserve"> ADDIN EN.CITE &lt;EndNote&gt;&lt;Cite&gt;&lt;Author&gt;Beyond Blue&lt;/Author&gt;&lt;Year&gt;n.d.&lt;/Year&gt;&lt;RecNum&gt;92&lt;/RecNum&gt;&lt;DisplayText&gt;(123)&lt;/DisplayText&gt;&lt;record&gt;&lt;rec-number&gt;92&lt;/rec-number&gt;&lt;foreign-keys&gt;&lt;key app="EN" db-id="t5prptatr9sp0we5exbxt9zz20fwp55tdza9" timestamp="1681970225"&gt;92&lt;/key&gt;&lt;/foreign-keys&gt;&lt;ref-type name="Web Page"&gt;12&lt;/ref-type&gt;&lt;contributors&gt;&lt;authors&gt;&lt;author&gt;Beyond Blue,&lt;/author&gt;&lt;/authors&gt;&lt;/contributors&gt;&lt;titles&gt;&lt;title&gt;Anxiety&lt;/title&gt;&lt;/titles&gt;&lt;dates&gt;&lt;year&gt;n.d.&lt;/year&gt;&lt;/dates&gt;&lt;urls&gt;&lt;related-urls&gt;&lt;url&gt;https://www.beyondblue.org.au/the-facts/anxiety&lt;/url&gt;&lt;/related-urls&gt;&lt;/urls&gt;&lt;custom2&gt;30 July 2021&lt;/custom2&gt;&lt;/record&gt;&lt;/Cite&gt;&lt;/EndNote&gt;</w:instrText>
      </w:r>
      <w:r w:rsidRPr="00A55335">
        <w:fldChar w:fldCharType="separate"/>
      </w:r>
      <w:r w:rsidR="00067842">
        <w:rPr>
          <w:noProof/>
        </w:rPr>
        <w:t>(</w:t>
      </w:r>
      <w:hyperlink w:anchor="_ENREF_123" w:tooltip="Beyond Blue, n.d. #92" w:history="1">
        <w:r w:rsidR="00EC2769">
          <w:rPr>
            <w:noProof/>
          </w:rPr>
          <w:t>123</w:t>
        </w:r>
      </w:hyperlink>
      <w:r w:rsidR="00067842">
        <w:rPr>
          <w:noProof/>
        </w:rPr>
        <w:t>)</w:t>
      </w:r>
      <w:r w:rsidRPr="00A55335">
        <w:fldChar w:fldCharType="end"/>
      </w:r>
      <w:r w:rsidRPr="00A55335">
        <w:t xml:space="preserve"> and can also have significant direct and indirect economic consequences </w:t>
      </w:r>
      <w:r w:rsidRPr="00A55335">
        <w:fldChar w:fldCharType="begin"/>
      </w:r>
      <w:r w:rsidR="006952AD">
        <w:instrText xml:space="preserve"> ADDIN EN.CITE &lt;EndNote&gt;&lt;Cite&gt;&lt;Author&gt;Konnopka&lt;/Author&gt;&lt;Year&gt;2020&lt;/Year&gt;&lt;RecNum&gt;551&lt;/RecNum&gt;&lt;DisplayText&gt;(125)&lt;/DisplayText&gt;&lt;record&gt;&lt;rec-number&gt;551&lt;/rec-number&gt;&lt;foreign-keys&gt;&lt;key app="EN" db-id="t5prptatr9sp0we5exbxt9zz20fwp55tdza9" timestamp="1700802230"&gt;551&lt;/key&gt;&lt;/foreign-keys&gt;&lt;ref-type name="Journal Article"&gt;17&lt;/ref-type&gt;&lt;contributors&gt;&lt;authors&gt;&lt;author&gt;Konnopka, Alexander&lt;/author&gt;&lt;author&gt;König, Hannah&lt;/author&gt;&lt;/authors&gt;&lt;/contributors&gt;&lt;titles&gt;&lt;title&gt;Economic Burden of Anxiety Disorders: A Systematic Review and Meta-Analysis&lt;/title&gt;&lt;secondary-title&gt;PharmacoEconomics&lt;/secondary-title&gt;&lt;/titles&gt;&lt;periodical&gt;&lt;full-title&gt;PharmacoEconomics&lt;/full-title&gt;&lt;/periodical&gt;&lt;pages&gt;25-37&lt;/pages&gt;&lt;volume&gt;38&lt;/volume&gt;&lt;number&gt;1&lt;/number&gt;&lt;dates&gt;&lt;year&gt;2020&lt;/year&gt;&lt;pub-dates&gt;&lt;date&gt;2020/01/01&lt;/date&gt;&lt;/pub-dates&gt;&lt;/dates&gt;&lt;isbn&gt;1179-2027&lt;/isbn&gt;&lt;urls&gt;&lt;related-urls&gt;&lt;url&gt;https://doi.org/10.1007/s40273-019-00849-7&lt;/url&gt;&lt;/related-urls&gt;&lt;/urls&gt;&lt;electronic-resource-num&gt;10.1007/s40273-019-00849-7&lt;/electronic-resource-num&gt;&lt;/record&gt;&lt;/Cite&gt;&lt;/EndNote&gt;</w:instrText>
      </w:r>
      <w:r w:rsidRPr="00A55335">
        <w:fldChar w:fldCharType="separate"/>
      </w:r>
      <w:r w:rsidR="00067842">
        <w:rPr>
          <w:noProof/>
        </w:rPr>
        <w:t>(</w:t>
      </w:r>
      <w:hyperlink w:anchor="_ENREF_125" w:tooltip="Konnopka, 2020 #551" w:history="1">
        <w:r w:rsidR="00EC2769">
          <w:rPr>
            <w:noProof/>
          </w:rPr>
          <w:t>125</w:t>
        </w:r>
      </w:hyperlink>
      <w:r w:rsidR="00067842">
        <w:rPr>
          <w:noProof/>
        </w:rPr>
        <w:t>)</w:t>
      </w:r>
      <w:r w:rsidRPr="00A55335">
        <w:fldChar w:fldCharType="end"/>
      </w:r>
      <w:r w:rsidRPr="00A55335">
        <w:t xml:space="preserve">. It is not uncommon for anxiety disorders to become chronic, with the 12-month prevalence rate estimated at 17% and a lifetime prevalence rate of close to 25% </w:t>
      </w:r>
      <w:r w:rsidRPr="00A55335">
        <w:fldChar w:fldCharType="begin"/>
      </w:r>
      <w:r w:rsidR="006952AD">
        <w:instrText xml:space="preserve"> ADDIN EN.CITE &lt;EndNote&gt;&lt;Cite&gt;&lt;Author&gt;Kessler&lt;/Author&gt;&lt;Year&gt;1994&lt;/Year&gt;&lt;RecNum&gt;552&lt;/RecNum&gt;&lt;DisplayText&gt;(126)&lt;/DisplayText&gt;&lt;record&gt;&lt;rec-number&gt;552&lt;/rec-number&gt;&lt;foreign-keys&gt;&lt;key app="EN" db-id="t5prptatr9sp0we5exbxt9zz20fwp55tdza9" timestamp="1700802230"&gt;552&lt;/key&gt;&lt;/foreign-keys&gt;&lt;ref-type name="Journal Article"&gt;17&lt;/ref-type&gt;&lt;contributors&gt;&lt;authors&gt;&lt;author&gt;Kessler, Ronald C.&lt;/author&gt;&lt;author&gt;McGonagle, Katherine A.&lt;/author&gt;&lt;author&gt;Zhao, Shanyang&lt;/author&gt;&lt;author&gt;Nelson, Christopher B.&lt;/author&gt;&lt;author&gt;Hughes, Michael&lt;/author&gt;&lt;author&gt;Eshleman, Suzann&lt;/author&gt;&lt;author&gt;Wittchen, Hans-Ulrich&lt;/author&gt;&lt;author&gt;Kendler, Kenneth S.&lt;/author&gt;&lt;/authors&gt;&lt;/contributors&gt;&lt;titles&gt;&lt;title&gt;Lifetime and 12-Month Prevalence of DSM-III-R Psychiatric Disorders in the United States: Results From the National Comorbidity Survey&lt;/title&gt;&lt;secondary-title&gt;Archives of General Psychiatry&lt;/secondary-title&gt;&lt;/titles&gt;&lt;periodical&gt;&lt;full-title&gt;Archives of General Psychiatry&lt;/full-title&gt;&lt;/periodical&gt;&lt;pages&gt;8-19&lt;/pages&gt;&lt;volume&gt;51&lt;/volume&gt;&lt;number&gt;1&lt;/number&gt;&lt;dates&gt;&lt;year&gt;1994&lt;/year&gt;&lt;/dates&gt;&lt;isbn&gt;0003-990X&lt;/isbn&gt;&lt;urls&gt;&lt;related-urls&gt;&lt;url&gt;https://doi.org/10.1001/archpsyc.1994.03950010008002&lt;/url&gt;&lt;/related-urls&gt;&lt;/urls&gt;&lt;electronic-resource-num&gt;10.1001/archpsyc.1994.03950010008002&lt;/electronic-resource-num&gt;&lt;access-date&gt;9/21/2021&lt;/access-date&gt;&lt;/record&gt;&lt;/Cite&gt;&lt;/EndNote&gt;</w:instrText>
      </w:r>
      <w:r w:rsidRPr="00A55335">
        <w:fldChar w:fldCharType="separate"/>
      </w:r>
      <w:r w:rsidR="00067842">
        <w:rPr>
          <w:noProof/>
        </w:rPr>
        <w:t>(</w:t>
      </w:r>
      <w:hyperlink w:anchor="_ENREF_126" w:tooltip="Kessler, 1994 #552" w:history="1">
        <w:r w:rsidR="00EC2769">
          <w:rPr>
            <w:noProof/>
          </w:rPr>
          <w:t>126</w:t>
        </w:r>
      </w:hyperlink>
      <w:r w:rsidR="00067842">
        <w:rPr>
          <w:noProof/>
        </w:rPr>
        <w:t>)</w:t>
      </w:r>
      <w:r w:rsidRPr="00A55335">
        <w:fldChar w:fldCharType="end"/>
      </w:r>
      <w:r w:rsidRPr="00A55335">
        <w:t>.</w:t>
      </w:r>
    </w:p>
    <w:p w14:paraId="56F6D6CA" w14:textId="5FA7B0FD" w:rsidR="00DD505D" w:rsidRPr="00A55335" w:rsidRDefault="00DD505D" w:rsidP="00DD505D">
      <w:pPr>
        <w:pStyle w:val="BodyText"/>
      </w:pPr>
      <w:r w:rsidRPr="00A55335">
        <w:t>There are different types of anxiety presenting with different symptoms, including acute performance anxiety, generalised anxiety disorder, social anxiety, specific phobias, and panic disorders. Each type of anxiety disorder has its own features, however there are some common symptoms including excessive fear or worrying, panic attacks, racing heart, tightening of the chest, shortness of breath, and avoidance of situations that cause anxiety.</w:t>
      </w:r>
    </w:p>
    <w:p w14:paraId="5A9E50AB" w14:textId="6D704930" w:rsidR="00412AA9" w:rsidRPr="00A55335" w:rsidRDefault="00DD505D" w:rsidP="00DD505D">
      <w:pPr>
        <w:pStyle w:val="BodyText"/>
      </w:pPr>
      <w:r w:rsidRPr="00A55335">
        <w:t xml:space="preserve">Treatments for anxiety focus on controlling symptoms to minimise their impact on daily life. This can include a range of psychological treatments such as Cognitive Behavioural Therapy, medical interventions such as antidepressants, or an anxiety management strategy </w:t>
      </w:r>
      <w:r w:rsidRPr="00A55335">
        <w:rPr>
          <w:color w:val="000000"/>
        </w:rPr>
        <w:fldChar w:fldCharType="begin"/>
      </w:r>
      <w:r w:rsidR="006952AD">
        <w:rPr>
          <w:color w:val="000000"/>
        </w:rPr>
        <w:instrText xml:space="preserve"> ADDIN EN.CITE &lt;EndNote&gt;&lt;Cite&gt;&lt;Author&gt;Beyond Blue&lt;/Author&gt;&lt;Year&gt;n.d.&lt;/Year&gt;&lt;RecNum&gt;92&lt;/RecNum&gt;&lt;DisplayText&gt;(123)&lt;/DisplayText&gt;&lt;record&gt;&lt;rec-number&gt;92&lt;/rec-number&gt;&lt;foreign-keys&gt;&lt;key app="EN" db-id="t5prptatr9sp0we5exbxt9zz20fwp55tdza9" timestamp="1681970225"&gt;92&lt;/key&gt;&lt;/foreign-keys&gt;&lt;ref-type name="Web Page"&gt;12&lt;/ref-type&gt;&lt;contributors&gt;&lt;authors&gt;&lt;author&gt;Beyond Blue,&lt;/author&gt;&lt;/authors&gt;&lt;/contributors&gt;&lt;titles&gt;&lt;title&gt;Anxiety&lt;/title&gt;&lt;/titles&gt;&lt;dates&gt;&lt;year&gt;n.d.&lt;/year&gt;&lt;/dates&gt;&lt;urls&gt;&lt;related-urls&gt;&lt;url&gt;https://www.beyondblue.org.au/the-facts/anxiety&lt;/url&gt;&lt;/related-urls&gt;&lt;/urls&gt;&lt;custom2&gt;30 July 2021&lt;/custom2&gt;&lt;/record&gt;&lt;/Cite&gt;&lt;/EndNote&gt;</w:instrText>
      </w:r>
      <w:r w:rsidRPr="00A55335">
        <w:rPr>
          <w:color w:val="000000"/>
        </w:rPr>
        <w:fldChar w:fldCharType="separate"/>
      </w:r>
      <w:r w:rsidR="00067842">
        <w:rPr>
          <w:noProof/>
          <w:color w:val="000000"/>
        </w:rPr>
        <w:t>(</w:t>
      </w:r>
      <w:hyperlink w:anchor="_ENREF_123" w:tooltip="Beyond Blue, n.d. #92" w:history="1">
        <w:r w:rsidR="00EC2769">
          <w:rPr>
            <w:noProof/>
            <w:color w:val="000000"/>
          </w:rPr>
          <w:t>123</w:t>
        </w:r>
      </w:hyperlink>
      <w:r w:rsidR="00067842">
        <w:rPr>
          <w:noProof/>
          <w:color w:val="000000"/>
        </w:rPr>
        <w:t>)</w:t>
      </w:r>
      <w:r w:rsidRPr="00A55335">
        <w:rPr>
          <w:color w:val="000000"/>
        </w:rPr>
        <w:fldChar w:fldCharType="end"/>
      </w:r>
      <w:r w:rsidRPr="00A55335">
        <w:t xml:space="preserve">. </w:t>
      </w:r>
      <w:r w:rsidR="0057573D" w:rsidRPr="00A55335">
        <w:t xml:space="preserve">Natural </w:t>
      </w:r>
      <w:r w:rsidRPr="00A55335">
        <w:t xml:space="preserve">and holistic forms of therapy to assist pharmacological approaches or </w:t>
      </w:r>
      <w:r w:rsidR="004947FD" w:rsidRPr="00A55335">
        <w:t xml:space="preserve">to </w:t>
      </w:r>
      <w:r w:rsidRPr="00A55335">
        <w:t>act as an alternative in a variety of anxiety-related conditions</w:t>
      </w:r>
      <w:r w:rsidR="0057573D" w:rsidRPr="00A55335">
        <w:t xml:space="preserve"> </w:t>
      </w:r>
      <w:r w:rsidR="00523064">
        <w:t>are</w:t>
      </w:r>
      <w:r w:rsidR="00523064" w:rsidRPr="00A55335">
        <w:t xml:space="preserve"> </w:t>
      </w:r>
      <w:r w:rsidR="000F5B2F">
        <w:t>also u</w:t>
      </w:r>
      <w:r w:rsidR="00412AA9">
        <w:t>sed</w:t>
      </w:r>
      <w:r w:rsidR="000F5B2F">
        <w:t>.</w:t>
      </w:r>
      <w:r w:rsidRPr="00A55335">
        <w:t xml:space="preserve"> This includes a variety of complementary and lifestyle interventions such as acupuncture, aromatherapy, </w:t>
      </w:r>
      <w:r w:rsidR="00E92FB8" w:rsidRPr="00A55335">
        <w:t>W</w:t>
      </w:r>
      <w:r w:rsidRPr="00A55335">
        <w:t xml:space="preserve">estern herbal medicines, homeopathy, and meditative forms of exercise such as yoga and Tai Chi </w:t>
      </w:r>
      <w:r w:rsidRPr="00A55335">
        <w:rPr>
          <w:color w:val="000000"/>
        </w:rPr>
        <w:fldChar w:fldCharType="begin"/>
      </w:r>
      <w:r w:rsidR="006952AD">
        <w:rPr>
          <w:color w:val="000000"/>
        </w:rPr>
        <w:instrText xml:space="preserve"> ADDIN EN.CITE &lt;EndNote&gt;&lt;Cite&gt;&lt;Author&gt;Reavley NJ&lt;/Author&gt;&lt;Year&gt;2019&lt;/Year&gt;&lt;RecNum&gt;88&lt;/RecNum&gt;&lt;DisplayText&gt;(127)&lt;/DisplayText&gt;&lt;record&gt;&lt;rec-number&gt;88&lt;/rec-number&gt;&lt;foreign-keys&gt;&lt;key app="EN" db-id="t5prptatr9sp0we5exbxt9zz20fwp55tdza9" timestamp="1681861061"&gt;88&lt;/key&gt;&lt;/foreign-keys&gt;&lt;ref-type name="Electronic Book"&gt;44&lt;/ref-type&gt;&lt;contributors&gt;&lt;authors&gt;&lt;author&gt;Reavley NJ, &lt;/author&gt;&lt;author&gt;Jorm AF, &lt;/author&gt;&lt;author&gt;Wright J, &lt;/author&gt;&lt;author&gt;Morgan AJ,&lt;/author&gt;&lt;author&gt;Bassilios B, &lt;/author&gt;&lt;author&gt;Hopwood M, &lt;/author&gt;&lt;author&gt;Allen NB, &lt;/author&gt;&lt;author&gt;Purcell R.&lt;/author&gt;&lt;/authors&gt;&lt;/contributors&gt;&lt;titles&gt;&lt;title&gt;A guide to what works for anxiety: 3rd Edition&lt;/title&gt;&lt;/titles&gt;&lt;dates&gt;&lt;year&gt;2019&lt;/year&gt;&lt;pub-dates&gt;&lt;date&gt;April 2023&lt;/date&gt;&lt;/pub-dates&gt;&lt;/dates&gt;&lt;publisher&gt;Beyond Blue, Melbourne&lt;/publisher&gt;&lt;urls&gt;&lt;related-urls&gt;&lt;url&gt;https://www.beyondblue.org.au/docs/default-source/resources/484150_0220_bl0762_acc.pdf&lt;/url&gt;&lt;/related-urls&gt;&lt;/urls&gt;&lt;/record&gt;&lt;/Cite&gt;&lt;/EndNote&gt;</w:instrText>
      </w:r>
      <w:r w:rsidRPr="00A55335">
        <w:rPr>
          <w:color w:val="000000"/>
        </w:rPr>
        <w:fldChar w:fldCharType="separate"/>
      </w:r>
      <w:r w:rsidR="00067842">
        <w:rPr>
          <w:noProof/>
          <w:color w:val="000000"/>
        </w:rPr>
        <w:t>(</w:t>
      </w:r>
      <w:hyperlink w:anchor="_ENREF_127" w:tooltip="Reavley NJ, 2019 #88" w:history="1">
        <w:r w:rsidR="00EC2769">
          <w:rPr>
            <w:noProof/>
            <w:color w:val="000000"/>
          </w:rPr>
          <w:t>127</w:t>
        </w:r>
      </w:hyperlink>
      <w:r w:rsidR="00067842">
        <w:rPr>
          <w:noProof/>
          <w:color w:val="000000"/>
        </w:rPr>
        <w:t>)</w:t>
      </w:r>
      <w:r w:rsidRPr="00A55335">
        <w:rPr>
          <w:color w:val="000000"/>
        </w:rPr>
        <w:fldChar w:fldCharType="end"/>
      </w:r>
      <w:r w:rsidRPr="00A55335">
        <w:t xml:space="preserve">. </w:t>
      </w:r>
    </w:p>
    <w:p w14:paraId="4DF1C244" w14:textId="77777777" w:rsidR="00DD505D" w:rsidRPr="00A55335" w:rsidRDefault="00DD505D" w:rsidP="004D433B">
      <w:pPr>
        <w:pStyle w:val="Heading3"/>
      </w:pPr>
      <w:bookmarkStart w:id="179" w:name="_Toc183441329"/>
      <w:r w:rsidRPr="00A55335">
        <w:t>Description of studies</w:t>
      </w:r>
      <w:bookmarkEnd w:id="179"/>
    </w:p>
    <w:p w14:paraId="4EB68BF6" w14:textId="364696C1" w:rsidR="00DD505D" w:rsidRPr="00A55335" w:rsidRDefault="00DD505D" w:rsidP="00DD505D">
      <w:pPr>
        <w:pStyle w:val="BodyText"/>
      </w:pPr>
      <w:r w:rsidRPr="00A55335">
        <w:t xml:space="preserve">Four citations </w:t>
      </w:r>
      <w:r w:rsidRPr="00A55335">
        <w:fldChar w:fldCharType="begin">
          <w:fldData xml:space="preserve">PEVuZE5vdGU+PENpdGU+PEF1dGhvcj5Cb25uZTwvQXV0aG9yPjxZZWFyPjIwMDM8L1llYXI+PFJl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</w:fldData>
        </w:fldChar>
      </w:r>
      <w:r w:rsidR="006952AD">
        <w:instrText xml:space="preserve"> ADDIN EN.CITE </w:instrText>
      </w:r>
      <w:r w:rsidR="006952AD">
        <w:fldChar w:fldCharType="begin">
          <w:fldData xml:space="preserve">PEVuZE5vdGU+PENpdGU+PEF1dGhvcj5Cb25uZTwvQXV0aG9yPjxZZWFyPjIwMDM8L1llYXI+PFJl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</w:fldData>
        </w:fldChar>
      </w:r>
      <w:r w:rsidR="006952AD">
        <w:instrText xml:space="preserve"> ADDIN EN.CITE.DATA </w:instrText>
      </w:r>
      <w:r w:rsidR="006952AD">
        <w:fldChar w:fldCharType="end"/>
      </w:r>
      <w:r w:rsidRPr="00A55335">
        <w:fldChar w:fldCharType="separate"/>
      </w:r>
      <w:r w:rsidR="00067842">
        <w:rPr>
          <w:noProof/>
        </w:rPr>
        <w:t>(</w:t>
      </w:r>
      <w:hyperlink w:anchor="_ENREF_128" w:tooltip="Bonne, 2003 #554" w:history="1">
        <w:r w:rsidR="00EC2769">
          <w:rPr>
            <w:noProof/>
          </w:rPr>
          <w:t>128-131</w:t>
        </w:r>
      </w:hyperlink>
      <w:r w:rsidR="00067842">
        <w:rPr>
          <w:noProof/>
        </w:rPr>
        <w:t>)</w:t>
      </w:r>
      <w:r w:rsidRPr="00A55335">
        <w:fldChar w:fldCharType="end"/>
      </w:r>
      <w:r w:rsidRPr="00A55335">
        <w:t xml:space="preserve"> corresponding to 3 RCTs (</w:t>
      </w:r>
      <w:r w:rsidR="000F01E5" w:rsidRPr="00A55335">
        <w:t xml:space="preserve">Baker 2003, </w:t>
      </w:r>
      <w:r w:rsidRPr="00A55335">
        <w:t xml:space="preserve">Bonne 2003, </w:t>
      </w:r>
      <w:proofErr w:type="spellStart"/>
      <w:r w:rsidRPr="00A55335">
        <w:t>Parewa</w:t>
      </w:r>
      <w:proofErr w:type="spellEnd"/>
      <w:r w:rsidRPr="00A55335">
        <w:t xml:space="preserve"> 2021) and</w:t>
      </w:r>
      <w:r w:rsidR="00980CA0" w:rsidRPr="00A55335">
        <w:t xml:space="preserve"> one </w:t>
      </w:r>
      <w:r w:rsidRPr="00A55335">
        <w:t>quasi RCT (Nux-Foy 2018) were identified in the literature</w:t>
      </w:r>
      <w:r w:rsidR="001221A6" w:rsidRPr="00A55335">
        <w:t xml:space="preserve"> search</w:t>
      </w:r>
      <w:r w:rsidRPr="00A55335">
        <w:t xml:space="preserve">. </w:t>
      </w:r>
      <w:r w:rsidR="000F01E5" w:rsidRPr="00A55335">
        <w:t>One additional quasi RCT (</w:t>
      </w:r>
      <w:proofErr w:type="spellStart"/>
      <w:r w:rsidR="000F01E5" w:rsidRPr="00A55335">
        <w:t>Dimpfel</w:t>
      </w:r>
      <w:proofErr w:type="spellEnd"/>
      <w:r w:rsidR="000F01E5" w:rsidRPr="00A55335">
        <w:t xml:space="preserve"> 2016</w:t>
      </w:r>
      <w:r w:rsidR="00DD56EA" w:rsidRPr="00A55335">
        <w:t xml:space="preserve">) </w:t>
      </w:r>
      <w:r w:rsidR="00C80218" w:rsidRPr="00A55335">
        <w:fldChar w:fldCharType="begin"/>
      </w:r>
      <w:r w:rsidR="006952AD">
        <w:instrText xml:space="preserve"> ADDIN EN.CITE &lt;EndNote&gt;&lt;Cite&gt;&lt;Author&gt;Dimpfel&lt;/Author&gt;&lt;Year&gt;2016&lt;/Year&gt;&lt;RecNum&gt;611&lt;/RecNum&gt;&lt;DisplayText&gt;(132)&lt;/DisplayText&gt;&lt;record&gt;&lt;rec-number&gt;611&lt;/rec-number&gt;&lt;foreign-keys&gt;&lt;key app="EN" db-id="t5prptatr9sp0we5exbxt9zz20fwp55tdza9" timestamp="1700809621"&gt;611&lt;/key&gt;&lt;/foreign-keys&gt;&lt;ref-type name="Journal Article"&gt;17&lt;/ref-type&gt;&lt;contributors&gt;&lt;authors&gt;&lt;author&gt;Dimpfel &lt;/author&gt;&lt;/authors&gt;&lt;/contributors&gt;&lt;titles&gt;&lt;title&gt;Psychophysiological Effectiveness of Calmvalera Hevert Tablets as Measured by EnkephaloVision in Anxious Subjects during Audio-Visual Cognitive and Emotional Challenges: A Double-Blind, Randomized, Placebo-Controlled, 2-Armed, Phase IV Study in Parallel Design&lt;/title&gt;&lt;/titles&gt;&lt;dates&gt;&lt;year&gt;2016&lt;/year&gt;&lt;/dates&gt;&lt;urls&gt;&lt;/urls&gt;&lt;/record&gt;&lt;/Cite&gt;&lt;/EndNote&gt;</w:instrText>
      </w:r>
      <w:r w:rsidR="00C80218" w:rsidRPr="00A55335">
        <w:fldChar w:fldCharType="separate"/>
      </w:r>
      <w:r w:rsidR="00067842">
        <w:rPr>
          <w:noProof/>
        </w:rPr>
        <w:t>(</w:t>
      </w:r>
      <w:hyperlink w:anchor="_ENREF_132" w:tooltip="Dimpfel, 2016 #611" w:history="1">
        <w:r w:rsidR="00EC2769">
          <w:rPr>
            <w:noProof/>
          </w:rPr>
          <w:t>132</w:t>
        </w:r>
      </w:hyperlink>
      <w:r w:rsidR="00067842">
        <w:rPr>
          <w:noProof/>
        </w:rPr>
        <w:t>)</w:t>
      </w:r>
      <w:r w:rsidR="00C80218" w:rsidRPr="00A55335">
        <w:fldChar w:fldCharType="end"/>
      </w:r>
      <w:r w:rsidR="000F01E5" w:rsidRPr="00A55335">
        <w:t xml:space="preserve"> was identified in the Department’s public call for evidence. </w:t>
      </w:r>
      <w:r w:rsidRPr="00A55335">
        <w:t>There were</w:t>
      </w:r>
      <w:r w:rsidRPr="00A55335" w:rsidDel="00276C4D">
        <w:t xml:space="preserve"> </w:t>
      </w:r>
      <w:r w:rsidR="00276C4D" w:rsidRPr="00A55335">
        <w:t xml:space="preserve">3 </w:t>
      </w:r>
      <w:hyperlink w:anchor="_Ongoing_studies" w:history="1">
        <w:r w:rsidRPr="00A55335">
          <w:rPr>
            <w:rStyle w:val="Hyperlink"/>
          </w:rPr>
          <w:t>ongoing studies</w:t>
        </w:r>
      </w:hyperlink>
      <w:r w:rsidRPr="00A55335">
        <w:t xml:space="preserve">, and 2 </w:t>
      </w:r>
      <w:hyperlink w:anchor="_Studies_awaiting_classification" w:history="1">
        <w:r w:rsidRPr="00A55335">
          <w:rPr>
            <w:rStyle w:val="Hyperlink"/>
          </w:rPr>
          <w:t>studies awaiting classification</w:t>
        </w:r>
      </w:hyperlink>
      <w:r w:rsidRPr="00A55335">
        <w:t>, one of which was published in a language other than English.</w:t>
      </w:r>
      <w:r w:rsidR="00980CA0" w:rsidRPr="00A55335">
        <w:t xml:space="preserve"> </w:t>
      </w:r>
      <w:r w:rsidRPr="00A55335">
        <w:t xml:space="preserve">An overview of the PICO criteria of included studies is provided in Appendix </w:t>
      </w:r>
      <w:r w:rsidR="00066501" w:rsidRPr="00A55335">
        <w:t>D</w:t>
      </w:r>
      <w:r w:rsidR="001D70F8" w:rsidRPr="00A55335">
        <w:t>2.1.1</w:t>
      </w:r>
      <w:r w:rsidRPr="00A55335">
        <w:t xml:space="preserve">. </w:t>
      </w:r>
    </w:p>
    <w:p w14:paraId="4C24445E" w14:textId="0D282A6E" w:rsidR="00DD505D" w:rsidRPr="00A55335" w:rsidRDefault="00DD505D" w:rsidP="00DD505D">
      <w:pPr>
        <w:pStyle w:val="BodyText"/>
      </w:pPr>
      <w:r w:rsidRPr="00A55335">
        <w:t>Two studies were carried out in community settings in either Israel (Bonne 2003) or Germany (</w:t>
      </w:r>
      <w:proofErr w:type="spellStart"/>
      <w:r w:rsidRPr="00A55335">
        <w:t>Dimpfel</w:t>
      </w:r>
      <w:proofErr w:type="spellEnd"/>
      <w:r w:rsidRPr="00A55335">
        <w:t xml:space="preserve"> 2016). One study was carried out </w:t>
      </w:r>
      <w:r w:rsidR="00011DC7" w:rsidRPr="00A55335">
        <w:t xml:space="preserve">at </w:t>
      </w:r>
      <w:r w:rsidR="0010344F" w:rsidRPr="00A55335">
        <w:t>an outpatient setting in India (</w:t>
      </w:r>
      <w:proofErr w:type="spellStart"/>
      <w:r w:rsidR="0010344F" w:rsidRPr="00A55335">
        <w:t>Parewa</w:t>
      </w:r>
      <w:proofErr w:type="spellEnd"/>
      <w:r w:rsidR="0010344F" w:rsidRPr="00A55335">
        <w:t xml:space="preserve"> 2021). The </w:t>
      </w:r>
      <w:r w:rsidR="00E203CD" w:rsidRPr="00A55335">
        <w:t xml:space="preserve">remaining 2 studies were carried out </w:t>
      </w:r>
      <w:r w:rsidR="001F46B1" w:rsidRPr="00A55335">
        <w:t>at university centres</w:t>
      </w:r>
      <w:r w:rsidR="00E203CD" w:rsidRPr="00A55335">
        <w:t xml:space="preserve"> in either Australia (Baker 2003) or </w:t>
      </w:r>
      <w:r w:rsidRPr="00A55335">
        <w:t>Israel (Fux-Noy 2018)</w:t>
      </w:r>
      <w:r w:rsidR="00E203CD" w:rsidRPr="00A55335">
        <w:t xml:space="preserve">. </w:t>
      </w:r>
      <w:r w:rsidRPr="00A55335">
        <w:t>Sample sizes ranged from 22 to 70 (total 222</w:t>
      </w:r>
      <w:r w:rsidR="00E203CD" w:rsidRPr="00A55335">
        <w:t xml:space="preserve"> par</w:t>
      </w:r>
      <w:r w:rsidR="001F46B1" w:rsidRPr="00A55335">
        <w:t>ticipants</w:t>
      </w:r>
      <w:r w:rsidRPr="00A55335">
        <w:t xml:space="preserve">), with studies enrolling students with examination or test anxiety (Baker 2003, </w:t>
      </w:r>
      <w:proofErr w:type="spellStart"/>
      <w:r w:rsidRPr="00A55335">
        <w:t>Dimpfel</w:t>
      </w:r>
      <w:proofErr w:type="spellEnd"/>
      <w:r w:rsidRPr="00A55335">
        <w:t xml:space="preserve"> 2016), generalised anxiety disorder (</w:t>
      </w:r>
      <w:proofErr w:type="spellStart"/>
      <w:r w:rsidRPr="00A55335">
        <w:t>Parewa</w:t>
      </w:r>
      <w:proofErr w:type="spellEnd"/>
      <w:r w:rsidRPr="00A55335">
        <w:t xml:space="preserve"> 2021, Bonne 2003) or children aged 5 to 9 years old exhibiting anxiety on their initial dental diagnostic appointment (Fux-Noy 2018). </w:t>
      </w:r>
    </w:p>
    <w:p w14:paraId="265FA87C" w14:textId="6A4CBB2A" w:rsidR="00DD505D" w:rsidRPr="00A55335" w:rsidRDefault="00DD505D" w:rsidP="00DD505D">
      <w:pPr>
        <w:pStyle w:val="BodyText"/>
      </w:pPr>
      <w:r w:rsidRPr="00A55335">
        <w:t xml:space="preserve">All </w:t>
      </w:r>
      <w:r w:rsidR="00E00C94" w:rsidRPr="00A55335">
        <w:t>5</w:t>
      </w:r>
      <w:r w:rsidRPr="00A55335">
        <w:t xml:space="preserve"> studies compared homeopathy to placebo, with one study also using a second homeopathic intervention prepared in a different way (Baker 2003). </w:t>
      </w:r>
      <w:r w:rsidR="0046511A" w:rsidRPr="00A55335">
        <w:t xml:space="preserve">In 2 </w:t>
      </w:r>
      <w:r w:rsidRPr="00A55335">
        <w:t xml:space="preserve">studies </w:t>
      </w:r>
      <w:r w:rsidR="00E00C94" w:rsidRPr="00A55335">
        <w:t xml:space="preserve">(Bonne 2003, </w:t>
      </w:r>
      <w:proofErr w:type="spellStart"/>
      <w:r w:rsidR="00E00C94" w:rsidRPr="00A55335">
        <w:t>Parewa</w:t>
      </w:r>
      <w:proofErr w:type="spellEnd"/>
      <w:r w:rsidR="00E00C94" w:rsidRPr="00A55335">
        <w:t xml:space="preserve"> 2021) </w:t>
      </w:r>
      <w:r w:rsidR="0046511A" w:rsidRPr="00A55335">
        <w:t xml:space="preserve">participants received </w:t>
      </w:r>
      <w:r w:rsidRPr="00A55335">
        <w:t>individual</w:t>
      </w:r>
      <w:r w:rsidR="0046511A" w:rsidRPr="00A55335">
        <w:t>ised</w:t>
      </w:r>
      <w:r w:rsidRPr="00A55335">
        <w:t>, oral homeopathy</w:t>
      </w:r>
      <w:r w:rsidR="003427D6" w:rsidRPr="00A55335">
        <w:t xml:space="preserve"> based on the totality of symptoms</w:t>
      </w:r>
      <w:r w:rsidR="0072254A" w:rsidRPr="00A55335">
        <w:t xml:space="preserve">. </w:t>
      </w:r>
      <w:r w:rsidR="009D7685" w:rsidRPr="00A55335">
        <w:t xml:space="preserve">In one study (Bonne 2003), participants received a single dose as per the assessment of the homeopath with the potential for a second alternative dose or increased dose </w:t>
      </w:r>
      <w:r w:rsidR="00CD1D9E" w:rsidRPr="00A55335">
        <w:t>5</w:t>
      </w:r>
      <w:r w:rsidR="009D7685" w:rsidRPr="00A55335">
        <w:t xml:space="preserve"> weeks later. </w:t>
      </w:r>
      <w:r w:rsidR="0072254A" w:rsidRPr="00A55335">
        <w:t xml:space="preserve">The other </w:t>
      </w:r>
      <w:r w:rsidR="007E299A" w:rsidRPr="00A55335">
        <w:t>3</w:t>
      </w:r>
      <w:r w:rsidRPr="00A55335">
        <w:t xml:space="preserve"> studies provided non-individualised homeopathy (Baker 2003, Nux-Foy 2018, </w:t>
      </w:r>
      <w:proofErr w:type="spellStart"/>
      <w:r w:rsidRPr="00A55335">
        <w:t>Dimpfel</w:t>
      </w:r>
      <w:proofErr w:type="spellEnd"/>
      <w:r w:rsidRPr="00A55335">
        <w:t xml:space="preserve"> 2016), with one </w:t>
      </w:r>
      <w:r w:rsidR="00633E59" w:rsidRPr="00A55335">
        <w:t>study (Fux-Noy 2018)</w:t>
      </w:r>
      <w:r w:rsidRPr="00A55335">
        <w:t xml:space="preserve"> providing a combination preparation. Treatments were to be taken twice a day for </w:t>
      </w:r>
      <w:r w:rsidR="00CD1D9E" w:rsidRPr="00A55335">
        <w:t xml:space="preserve">4 </w:t>
      </w:r>
      <w:r w:rsidRPr="00A55335">
        <w:t>consecutive days (Baker 2003), twice a day the day before and on the morning of the dental treatment (Nux-Foy 2018) and as a single dose on the experimental day (</w:t>
      </w:r>
      <w:proofErr w:type="spellStart"/>
      <w:r w:rsidRPr="00A55335">
        <w:t>Dimpfel</w:t>
      </w:r>
      <w:proofErr w:type="spellEnd"/>
      <w:r w:rsidRPr="00A55335">
        <w:t xml:space="preserve"> 2016)</w:t>
      </w:r>
      <w:r w:rsidR="009D7685" w:rsidRPr="00A55335">
        <w:t>.</w:t>
      </w:r>
      <w:r w:rsidR="00CD1D9E" w:rsidRPr="00A55335">
        <w:t xml:space="preserve"> </w:t>
      </w:r>
    </w:p>
    <w:p w14:paraId="3ECF6AD3" w14:textId="77777777" w:rsidR="00DD505D" w:rsidRPr="00A55335" w:rsidRDefault="00DD505D" w:rsidP="00DD505D">
      <w:pPr>
        <w:pStyle w:val="BodyText"/>
      </w:pPr>
      <w:r w:rsidRPr="00A55335">
        <w:lastRenderedPageBreak/>
        <w:t>Length of follow-up ranged from one week (Baker 2003), ten weeks (Bonne 2003), three months (</w:t>
      </w:r>
      <w:proofErr w:type="spellStart"/>
      <w:r w:rsidRPr="00A55335">
        <w:t>Parewa</w:t>
      </w:r>
      <w:proofErr w:type="spellEnd"/>
      <w:r w:rsidRPr="00A55335">
        <w:t xml:space="preserve"> 2021) to none (follow-up completed the day of outcome collection) (Fux-Noy 2018 and </w:t>
      </w:r>
      <w:proofErr w:type="spellStart"/>
      <w:r w:rsidRPr="00A55335">
        <w:t>Dimpfel</w:t>
      </w:r>
      <w:proofErr w:type="spellEnd"/>
      <w:r w:rsidRPr="00A55335">
        <w:t xml:space="preserve"> 2016). </w:t>
      </w:r>
    </w:p>
    <w:p w14:paraId="3F6E386D" w14:textId="515852B7" w:rsidR="00D92AC6" w:rsidRPr="00A55335" w:rsidRDefault="00DD505D" w:rsidP="00D92AC6">
      <w:pPr>
        <w:pStyle w:val="BodyText"/>
      </w:pPr>
      <w:r w:rsidRPr="00A55335">
        <w:t xml:space="preserve">Results for </w:t>
      </w:r>
      <w:r w:rsidR="006070ED" w:rsidRPr="00A55335">
        <w:t>the primary comparison</w:t>
      </w:r>
      <w:r w:rsidR="00F73318" w:rsidRPr="00A55335">
        <w:t xml:space="preserve">: </w:t>
      </w:r>
      <w:r w:rsidR="00E0730F" w:rsidRPr="00A55335">
        <w:t xml:space="preserve">homeopathy </w:t>
      </w:r>
      <w:r w:rsidR="001B33CB" w:rsidRPr="00A55335">
        <w:t xml:space="preserve">versus placebo </w:t>
      </w:r>
      <w:r w:rsidRPr="00A55335">
        <w:t xml:space="preserve">are provided in the Summary of Findings table (see </w:t>
      </w:r>
      <w:r w:rsidR="00CD1D9E" w:rsidRPr="00A55335">
        <w:t xml:space="preserve">Section </w:t>
      </w:r>
      <w:r w:rsidR="008D15DA" w:rsidRPr="00A55335">
        <w:fldChar w:fldCharType="begin"/>
      </w:r>
      <w:r w:rsidR="008D15DA" w:rsidRPr="00A55335">
        <w:instrText xml:space="preserve"> REF _Ref151466072 \r \h </w:instrText>
      </w:r>
      <w:r w:rsidR="008D15DA" w:rsidRPr="00A55335">
        <w:fldChar w:fldCharType="separate"/>
      </w:r>
      <w:r w:rsidR="00814B04">
        <w:t>4.6.4</w:t>
      </w:r>
      <w:r w:rsidR="008D15DA" w:rsidRPr="00A55335">
        <w:fldChar w:fldCharType="end"/>
      </w:r>
      <w:r w:rsidRPr="00A55335">
        <w:t xml:space="preserve">). </w:t>
      </w:r>
      <w:r w:rsidR="0083418D" w:rsidRPr="00A55335">
        <w:t xml:space="preserve">There were no studies found for </w:t>
      </w:r>
      <w:r w:rsidR="00E0730F" w:rsidRPr="00A55335">
        <w:t>the s</w:t>
      </w:r>
      <w:r w:rsidR="0083418D" w:rsidRPr="00A55335">
        <w:t xml:space="preserve">econdary </w:t>
      </w:r>
      <w:r w:rsidR="00E0730F" w:rsidRPr="00A55335">
        <w:t>c</w:t>
      </w:r>
      <w:r w:rsidR="0083418D" w:rsidRPr="00A55335">
        <w:t xml:space="preserve">omparison: </w:t>
      </w:r>
      <w:r w:rsidR="00E0730F" w:rsidRPr="00A55335">
        <w:t>h</w:t>
      </w:r>
      <w:r w:rsidR="0083418D" w:rsidRPr="00A55335">
        <w:t xml:space="preserve">omeopathy versus inactive control (no intervention, waitlist or usual care) or </w:t>
      </w:r>
      <w:r w:rsidR="00E0730F" w:rsidRPr="00A55335">
        <w:t>t</w:t>
      </w:r>
      <w:r w:rsidR="0083418D" w:rsidRPr="00A55335">
        <w:t xml:space="preserve">ertiary </w:t>
      </w:r>
      <w:r w:rsidR="00E0730F" w:rsidRPr="00A55335">
        <w:t>c</w:t>
      </w:r>
      <w:r w:rsidR="0083418D" w:rsidRPr="00A55335">
        <w:t xml:space="preserve">omparison: </w:t>
      </w:r>
      <w:r w:rsidR="00E0730F" w:rsidRPr="00A55335">
        <w:t>h</w:t>
      </w:r>
      <w:r w:rsidR="0083418D" w:rsidRPr="00A55335">
        <w:t xml:space="preserve">omeopathy versus another comparator. </w:t>
      </w:r>
    </w:p>
    <w:p w14:paraId="0F4347BC"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1992E3B6" w14:textId="32E730F8" w:rsidR="00DD505D" w:rsidRPr="00A55335" w:rsidRDefault="00DD505D" w:rsidP="00AB102B">
      <w:pPr>
        <w:pStyle w:val="Heading3"/>
      </w:pPr>
      <w:bookmarkStart w:id="180" w:name="_Toc183441330"/>
      <w:r w:rsidRPr="00A55335">
        <w:t>Risk of bias – summary assessment across studies</w:t>
      </w:r>
      <w:bookmarkEnd w:id="180"/>
      <w:r w:rsidRPr="00A55335">
        <w:t xml:space="preserve"> </w:t>
      </w:r>
    </w:p>
    <w:p w14:paraId="33367564" w14:textId="51B674CC" w:rsidR="00DD505D" w:rsidRPr="00A55335" w:rsidRDefault="00DD505D" w:rsidP="00B506E5">
      <w:pPr>
        <w:pStyle w:val="BodyText"/>
      </w:pPr>
      <w:r w:rsidRPr="00A55335">
        <w:t>The risk of bias for each item in the in</w:t>
      </w:r>
      <w:r w:rsidR="00BD3738" w:rsidRPr="00A55335">
        <w:t>clud</w:t>
      </w:r>
      <w:r w:rsidRPr="00A55335">
        <w:t xml:space="preserve">ed RCTs for anxiety is summarised in </w:t>
      </w:r>
      <w:r w:rsidR="00401316" w:rsidRPr="00A55335">
        <w:rPr>
          <w:sz w:val="16"/>
          <w:szCs w:val="16"/>
        </w:rPr>
        <w:fldChar w:fldCharType="begin"/>
      </w:r>
      <w:r w:rsidR="00401316" w:rsidRPr="00A55335">
        <w:rPr>
          <w:sz w:val="16"/>
          <w:szCs w:val="16"/>
        </w:rPr>
        <w:instrText xml:space="preserve"> REF _Ref151466122 \h  \* MERGEFORMAT </w:instrText>
      </w:r>
      <w:r w:rsidR="00401316" w:rsidRPr="00A55335">
        <w:rPr>
          <w:sz w:val="16"/>
          <w:szCs w:val="16"/>
        </w:rPr>
      </w:r>
      <w:r w:rsidR="00401316" w:rsidRPr="00A55335">
        <w:rPr>
          <w:sz w:val="16"/>
          <w:szCs w:val="16"/>
        </w:rPr>
        <w:fldChar w:fldCharType="separate"/>
      </w:r>
      <w:r w:rsidR="00814B04" w:rsidRPr="00A55335">
        <w:t xml:space="preserve">Figure </w:t>
      </w:r>
      <w:r w:rsidR="00814B04">
        <w:t>23</w:t>
      </w:r>
      <w:r w:rsidR="00401316" w:rsidRPr="00A55335">
        <w:rPr>
          <w:sz w:val="16"/>
          <w:szCs w:val="16"/>
        </w:rPr>
        <w:fldChar w:fldCharType="end"/>
      </w:r>
      <w:r w:rsidRPr="00A55335">
        <w:t>. Details are provided in Appendix D</w:t>
      </w:r>
      <w:r w:rsidR="00AD6779" w:rsidRPr="00A55335">
        <w:t>2</w:t>
      </w:r>
      <w:r w:rsidRPr="00A55335">
        <w:t>.1.2.</w:t>
      </w:r>
      <w:r w:rsidR="00CD1D9E" w:rsidRPr="00A55335">
        <w:t xml:space="preserve"> </w:t>
      </w:r>
      <w:r w:rsidR="00C003D4">
        <w:t>One</w:t>
      </w:r>
      <w:r w:rsidR="00C003D4" w:rsidRPr="00A55335">
        <w:t xml:space="preserve"> </w:t>
      </w:r>
      <w:r w:rsidR="007863ED" w:rsidRPr="00A55335">
        <w:t>stud</w:t>
      </w:r>
      <w:r w:rsidR="00C003D4">
        <w:t>y</w:t>
      </w:r>
      <w:r w:rsidR="007863ED" w:rsidRPr="00A55335">
        <w:t xml:space="preserve"> </w:t>
      </w:r>
      <w:r w:rsidR="00C003D4">
        <w:t>was</w:t>
      </w:r>
      <w:r w:rsidR="00C003D4" w:rsidRPr="00A55335">
        <w:t xml:space="preserve"> </w:t>
      </w:r>
      <w:r w:rsidR="007863ED" w:rsidRPr="00A55335">
        <w:t xml:space="preserve">judged to be at overall low risk of bias. </w:t>
      </w:r>
    </w:p>
    <w:p w14:paraId="4B42409D" w14:textId="31636220" w:rsidR="00DD505D" w:rsidRPr="00A55335" w:rsidRDefault="00DD505D" w:rsidP="00DD505D">
      <w:pPr>
        <w:pStyle w:val="Caption"/>
      </w:pPr>
      <w:bookmarkStart w:id="181" w:name="_Ref93404699"/>
      <w:bookmarkStart w:id="182" w:name="_Ref126175220"/>
      <w:bookmarkStart w:id="183" w:name="_Ref151466122"/>
      <w:bookmarkStart w:id="184" w:name="_Toc183520296"/>
      <w:r w:rsidRPr="00A55335">
        <w:t xml:space="preserve">Figure </w:t>
      </w:r>
      <w:bookmarkEnd w:id="181"/>
      <w:bookmarkEnd w:id="182"/>
      <w:r w:rsidRPr="00A55335">
        <w:fldChar w:fldCharType="begin"/>
      </w:r>
      <w:r w:rsidRPr="00A55335">
        <w:instrText xml:space="preserve"> SEQ Figure \* ARABIC </w:instrText>
      </w:r>
      <w:r w:rsidRPr="00A55335">
        <w:fldChar w:fldCharType="separate"/>
      </w:r>
      <w:r w:rsidR="00814B04">
        <w:rPr>
          <w:noProof/>
        </w:rPr>
        <w:t>23</w:t>
      </w:r>
      <w:r w:rsidRPr="00A55335">
        <w:fldChar w:fldCharType="end"/>
      </w:r>
      <w:bookmarkEnd w:id="183"/>
      <w:r w:rsidRPr="00A55335">
        <w:t xml:space="preserve"> </w:t>
      </w:r>
      <w:r w:rsidRPr="00A55335">
        <w:tab/>
        <w:t xml:space="preserve">Risk of bias summary: review author's judgements about each risk of bias item for each included study – </w:t>
      </w:r>
      <w:r w:rsidR="00E92691" w:rsidRPr="00A55335">
        <w:t>A</w:t>
      </w:r>
      <w:r w:rsidRPr="00A55335">
        <w:t>nxiety</w:t>
      </w:r>
      <w:r w:rsidR="00E92691" w:rsidRPr="00A55335">
        <w:t xml:space="preserve"> (or symptoms of anxiety)</w:t>
      </w:r>
      <w:bookmarkEnd w:id="184"/>
    </w:p>
    <w:p w14:paraId="47B5A538" w14:textId="512A289A" w:rsidR="00DD505D" w:rsidRPr="00A55335" w:rsidRDefault="001241EA" w:rsidP="00DD505D">
      <w:pPr>
        <w:pStyle w:val="Pic"/>
      </w:pPr>
      <w:r w:rsidRPr="00A55335">
        <w:t xml:space="preserve"> </w:t>
      </w:r>
      <w:r w:rsidRPr="00A55335">
        <w:rPr>
          <w:noProof/>
        </w:rPr>
        <w:drawing>
          <wp:inline distT="0" distB="0" distL="0" distR="0" wp14:anchorId="1FF7CDC4" wp14:editId="4E21EFAD">
            <wp:extent cx="4429496" cy="2683131"/>
            <wp:effectExtent l="0" t="0" r="0" b="3175"/>
            <wp:docPr id="794702282" name="Picture 794702282" descr="A chart of a risk t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02282" name="Picture 27" descr="A chart of a risk test&#10;&#10;Description automatically generated with medium confiden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66548" cy="2705575"/>
                    </a:xfrm>
                    <a:prstGeom prst="rect">
                      <a:avLst/>
                    </a:prstGeom>
                    <a:noFill/>
                    <a:ln>
                      <a:noFill/>
                    </a:ln>
                  </pic:spPr>
                </pic:pic>
              </a:graphicData>
            </a:graphic>
          </wp:inline>
        </w:drawing>
      </w:r>
    </w:p>
    <w:p w14:paraId="1E903B8C" w14:textId="77777777" w:rsidR="00DD505D" w:rsidRPr="00A55335" w:rsidRDefault="00DD505D" w:rsidP="00DD505D">
      <w:pPr>
        <w:pStyle w:val="TableFigNotes18"/>
      </w:pPr>
    </w:p>
    <w:p w14:paraId="4BC790F9" w14:textId="77777777" w:rsidR="00DD505D" w:rsidRPr="00A55335" w:rsidRDefault="00DD505D" w:rsidP="004D433B">
      <w:pPr>
        <w:pStyle w:val="Heading3"/>
      </w:pPr>
      <w:bookmarkStart w:id="185" w:name="_Ref151466072"/>
      <w:bookmarkStart w:id="186" w:name="_Toc183441331"/>
      <w:r w:rsidRPr="00A55335">
        <w:lastRenderedPageBreak/>
        <w:t>Summary of findings and evidence statements</w:t>
      </w:r>
      <w:bookmarkEnd w:id="185"/>
      <w:bookmarkEnd w:id="186"/>
    </w:p>
    <w:p w14:paraId="483F8131" w14:textId="4487F90F" w:rsidR="00693B86" w:rsidRPr="00A55335" w:rsidRDefault="006070ED" w:rsidP="00693B86">
      <w:pPr>
        <w:pStyle w:val="Heading4"/>
      </w:pPr>
      <w:r w:rsidRPr="00A55335">
        <w:t>Primary Comparison</w:t>
      </w:r>
      <w:r w:rsidR="00693B86" w:rsidRPr="00A55335">
        <w:t xml:space="preserve"> (vs placebo) </w:t>
      </w:r>
    </w:p>
    <w:tbl>
      <w:tblPr>
        <w:tblW w:w="5000" w:type="pct"/>
        <w:tblLayout w:type="fixed"/>
        <w:tblCellMar>
          <w:top w:w="57" w:type="dxa"/>
          <w:left w:w="57" w:type="dxa"/>
          <w:bottom w:w="57" w:type="dxa"/>
          <w:right w:w="57" w:type="dxa"/>
        </w:tblCellMar>
        <w:tblLook w:val="04A0" w:firstRow="1" w:lastRow="0" w:firstColumn="1" w:lastColumn="0" w:noHBand="0" w:noVBand="1"/>
      </w:tblPr>
      <w:tblGrid>
        <w:gridCol w:w="10"/>
        <w:gridCol w:w="1976"/>
        <w:gridCol w:w="1347"/>
        <w:gridCol w:w="1349"/>
        <w:gridCol w:w="863"/>
        <w:gridCol w:w="1132"/>
        <w:gridCol w:w="1123"/>
        <w:gridCol w:w="1945"/>
      </w:tblGrid>
      <w:tr w:rsidR="00DD505D" w:rsidRPr="00A55335" w14:paraId="365C26F3" w14:textId="77777777" w:rsidTr="00394AF3">
        <w:trPr>
          <w:gridBefore w:val="1"/>
          <w:wBefore w:w="5" w:type="pct"/>
          <w:cantSplit/>
          <w:tblHeader/>
        </w:trPr>
        <w:tc>
          <w:tcPr>
            <w:tcW w:w="4995" w:type="pct"/>
            <w:gridSpan w:val="7"/>
            <w:tcBorders>
              <w:top w:val="single" w:sz="12" w:space="0" w:color="000000"/>
              <w:left w:val="nil"/>
              <w:bottom w:val="single" w:sz="12" w:space="0" w:color="000000"/>
              <w:right w:val="nil"/>
            </w:tcBorders>
            <w:vAlign w:val="center"/>
            <w:hideMark/>
          </w:tcPr>
          <w:p w14:paraId="42118D07" w14:textId="52D201B8" w:rsidR="00DD505D" w:rsidRPr="00A55335" w:rsidRDefault="00DD505D" w:rsidP="00A7560D">
            <w:pPr>
              <w:pStyle w:val="TableH1"/>
              <w:rPr>
                <w:lang w:val="en-AU"/>
              </w:rPr>
            </w:pPr>
            <w:r w:rsidRPr="00A55335">
              <w:rPr>
                <w:lang w:val="en-AU"/>
              </w:rPr>
              <w:t xml:space="preserve">Homeopathy compared to </w:t>
            </w:r>
            <w:r w:rsidR="00D260DB" w:rsidRPr="00A55335">
              <w:rPr>
                <w:lang w:val="en-AU"/>
              </w:rPr>
              <w:t>p</w:t>
            </w:r>
            <w:r w:rsidRPr="00A55335">
              <w:rPr>
                <w:lang w:val="en-AU"/>
              </w:rPr>
              <w:t xml:space="preserve">lacebo for </w:t>
            </w:r>
            <w:r w:rsidR="002014D7" w:rsidRPr="00A55335">
              <w:rPr>
                <w:lang w:val="en-AU"/>
              </w:rPr>
              <w:t>A</w:t>
            </w:r>
            <w:r w:rsidRPr="00A55335">
              <w:rPr>
                <w:lang w:val="en-AU"/>
              </w:rPr>
              <w:t>nxiety</w:t>
            </w:r>
            <w:r w:rsidR="002014D7" w:rsidRPr="00A55335">
              <w:rPr>
                <w:lang w:val="en-AU"/>
              </w:rPr>
              <w:t xml:space="preserve"> (or symptoms of anxiety)</w:t>
            </w:r>
          </w:p>
        </w:tc>
      </w:tr>
      <w:tr w:rsidR="00DD505D" w:rsidRPr="00A55335" w14:paraId="1EA56049" w14:textId="77777777" w:rsidTr="00394AF3">
        <w:trPr>
          <w:gridBefore w:val="1"/>
          <w:wBefore w:w="5" w:type="pct"/>
          <w:cantSplit/>
          <w:tblHeader/>
        </w:trPr>
        <w:tc>
          <w:tcPr>
            <w:tcW w:w="4995" w:type="pct"/>
            <w:gridSpan w:val="7"/>
            <w:tcBorders>
              <w:top w:val="single" w:sz="12" w:space="0" w:color="000000"/>
              <w:left w:val="nil"/>
              <w:bottom w:val="single" w:sz="12" w:space="0" w:color="000000"/>
              <w:right w:val="nil"/>
            </w:tcBorders>
            <w:vAlign w:val="center"/>
            <w:hideMark/>
          </w:tcPr>
          <w:p w14:paraId="084F1737" w14:textId="3AF27091" w:rsidR="00DD505D" w:rsidRPr="00A55335" w:rsidRDefault="00DD505D" w:rsidP="00693B86">
            <w:pPr>
              <w:pStyle w:val="Tabletext9pt"/>
            </w:pPr>
            <w:r w:rsidRPr="00A55335">
              <w:rPr>
                <w:rStyle w:val="Strong"/>
              </w:rPr>
              <w:t xml:space="preserve">Patient or population: </w:t>
            </w:r>
            <w:r w:rsidRPr="00A55335">
              <w:t>Anxiety</w:t>
            </w:r>
            <w:r w:rsidR="00E92691" w:rsidRPr="00A55335">
              <w:t xml:space="preserve"> (or symptoms of anxiety)</w:t>
            </w:r>
          </w:p>
          <w:p w14:paraId="5D3A51C6" w14:textId="77777777" w:rsidR="00DD505D" w:rsidRPr="00A55335" w:rsidRDefault="00DD505D" w:rsidP="00693B86">
            <w:pPr>
              <w:pStyle w:val="Tabletext9pt"/>
            </w:pPr>
            <w:r w:rsidRPr="00A55335">
              <w:rPr>
                <w:rStyle w:val="Strong"/>
              </w:rPr>
              <w:t xml:space="preserve">Setting: </w:t>
            </w:r>
            <w:r w:rsidRPr="00A55335">
              <w:t>Community</w:t>
            </w:r>
          </w:p>
          <w:p w14:paraId="21600CFF" w14:textId="77777777" w:rsidR="00DD505D" w:rsidRPr="00A55335" w:rsidRDefault="00DD505D" w:rsidP="00693B86">
            <w:pPr>
              <w:pStyle w:val="Tabletext9pt"/>
            </w:pPr>
            <w:r w:rsidRPr="00A55335">
              <w:rPr>
                <w:rStyle w:val="Strong"/>
              </w:rPr>
              <w:t xml:space="preserve">Intervention: </w:t>
            </w:r>
            <w:r w:rsidRPr="00A55335">
              <w:t>Homeopathy</w:t>
            </w:r>
          </w:p>
          <w:p w14:paraId="7CDF53F9" w14:textId="77777777" w:rsidR="00DD505D" w:rsidRPr="00A55335" w:rsidRDefault="00DD505D" w:rsidP="00693B86">
            <w:pPr>
              <w:pStyle w:val="Tabletext9pt"/>
              <w:rPr>
                <w:b/>
                <w:bCs/>
              </w:rPr>
            </w:pPr>
            <w:r w:rsidRPr="00A55335">
              <w:rPr>
                <w:rStyle w:val="Strong"/>
              </w:rPr>
              <w:t xml:space="preserve">Comparison: </w:t>
            </w:r>
            <w:r w:rsidRPr="00A55335">
              <w:t>Placebo</w:t>
            </w:r>
          </w:p>
        </w:tc>
      </w:tr>
      <w:tr w:rsidR="005B2F8E" w:rsidRPr="00A55335" w14:paraId="52EA256A" w14:textId="77777777" w:rsidTr="00FC5A2F">
        <w:trPr>
          <w:gridBefore w:val="1"/>
          <w:wBefore w:w="5" w:type="pct"/>
          <w:cantSplit/>
          <w:tblHeader/>
        </w:trPr>
        <w:tc>
          <w:tcPr>
            <w:tcW w:w="1014" w:type="pct"/>
            <w:vMerge w:val="restart"/>
            <w:tcBorders>
              <w:right w:val="single" w:sz="6" w:space="0" w:color="EFEFEF"/>
            </w:tcBorders>
            <w:shd w:val="clear" w:color="auto" w:fill="006579" w:themeFill="accent2"/>
            <w:vAlign w:val="bottom"/>
            <w:hideMark/>
          </w:tcPr>
          <w:p w14:paraId="496B887E" w14:textId="77777777" w:rsidR="00DD505D" w:rsidRPr="00A55335" w:rsidRDefault="00DD505D" w:rsidP="003C48C8">
            <w:pPr>
              <w:pStyle w:val="Tabletext8pt"/>
              <w:rPr>
                <w:b/>
                <w:bCs/>
                <w:color w:val="F9F9F9" w:themeColor="background1"/>
              </w:rPr>
            </w:pPr>
            <w:r w:rsidRPr="00A55335">
              <w:rPr>
                <w:b/>
                <w:bCs/>
                <w:color w:val="F9F9F9" w:themeColor="background1"/>
              </w:rPr>
              <w:t>Outcomes</w:t>
            </w:r>
          </w:p>
        </w:tc>
        <w:tc>
          <w:tcPr>
            <w:tcW w:w="1383" w:type="pct"/>
            <w:gridSpan w:val="2"/>
            <w:tcBorders>
              <w:top w:val="single" w:sz="6" w:space="0" w:color="EFEFEF"/>
              <w:right w:val="single" w:sz="6" w:space="0" w:color="EFEFEF"/>
            </w:tcBorders>
            <w:shd w:val="clear" w:color="auto" w:fill="E0E0E0"/>
            <w:vAlign w:val="bottom"/>
            <w:hideMark/>
          </w:tcPr>
          <w:p w14:paraId="3D60178D" w14:textId="77777777" w:rsidR="00DD505D" w:rsidRPr="00A55335" w:rsidRDefault="00DD505D" w:rsidP="00442534">
            <w:pPr>
              <w:pStyle w:val="Tabletext8pt"/>
              <w:rPr>
                <w:rStyle w:val="Strong"/>
              </w:rPr>
            </w:pPr>
            <w:r w:rsidRPr="00A55335">
              <w:rPr>
                <w:rStyle w:val="Strong"/>
              </w:rPr>
              <w:t>Anticipated absolute effects* (95% CI)</w:t>
            </w:r>
          </w:p>
        </w:tc>
        <w:tc>
          <w:tcPr>
            <w:tcW w:w="443" w:type="pct"/>
            <w:vMerge w:val="restart"/>
            <w:tcBorders>
              <w:right w:val="single" w:sz="6" w:space="0" w:color="EFEFEF"/>
            </w:tcBorders>
            <w:shd w:val="clear" w:color="auto" w:fill="006579" w:themeFill="accent2"/>
            <w:vAlign w:val="bottom"/>
            <w:hideMark/>
          </w:tcPr>
          <w:p w14:paraId="2A744488" w14:textId="77777777" w:rsidR="00DD505D" w:rsidRPr="00A55335" w:rsidRDefault="00DD505D" w:rsidP="003C48C8">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1" w:type="pct"/>
            <w:vMerge w:val="restart"/>
            <w:tcBorders>
              <w:right w:val="single" w:sz="6" w:space="0" w:color="EFEFEF"/>
            </w:tcBorders>
            <w:shd w:val="clear" w:color="auto" w:fill="006579" w:themeFill="accent2"/>
            <w:vAlign w:val="bottom"/>
            <w:hideMark/>
          </w:tcPr>
          <w:p w14:paraId="4975D3BF" w14:textId="77777777" w:rsidR="00DD505D" w:rsidRPr="00A55335" w:rsidRDefault="00DD505D" w:rsidP="003C48C8">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76" w:type="pct"/>
            <w:vMerge w:val="restart"/>
            <w:tcBorders>
              <w:right w:val="single" w:sz="6" w:space="0" w:color="EFEFEF"/>
            </w:tcBorders>
            <w:shd w:val="clear" w:color="auto" w:fill="006579" w:themeFill="accent2"/>
            <w:vAlign w:val="bottom"/>
            <w:hideMark/>
          </w:tcPr>
          <w:p w14:paraId="48492505" w14:textId="77777777" w:rsidR="00DD505D" w:rsidRPr="00A55335" w:rsidRDefault="00DD505D" w:rsidP="003C48C8">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998" w:type="pct"/>
            <w:vMerge w:val="restart"/>
            <w:tcBorders>
              <w:right w:val="single" w:sz="6" w:space="0" w:color="EFEFEF"/>
            </w:tcBorders>
            <w:shd w:val="clear" w:color="auto" w:fill="006579" w:themeFill="accent2"/>
            <w:vAlign w:val="bottom"/>
            <w:hideMark/>
          </w:tcPr>
          <w:p w14:paraId="391E1A77" w14:textId="40A9F433" w:rsidR="00DD505D" w:rsidRPr="00A55335" w:rsidRDefault="001E7B76" w:rsidP="003C48C8">
            <w:pPr>
              <w:pStyle w:val="Tabletext8pt"/>
              <w:rPr>
                <w:b/>
                <w:bCs/>
                <w:color w:val="F9F9F9" w:themeColor="background1"/>
              </w:rPr>
            </w:pPr>
            <w:r w:rsidRPr="00A55335">
              <w:rPr>
                <w:b/>
                <w:bCs/>
                <w:color w:val="F9F9F9" w:themeColor="background1"/>
              </w:rPr>
              <w:t>Evidence Statement</w:t>
            </w:r>
          </w:p>
        </w:tc>
      </w:tr>
      <w:tr w:rsidR="005B2F8E" w:rsidRPr="00A55335" w14:paraId="19E51401" w14:textId="77777777" w:rsidTr="00FC5A2F">
        <w:trPr>
          <w:gridBefore w:val="1"/>
          <w:wBefore w:w="5" w:type="pct"/>
          <w:cantSplit/>
          <w:tblHeader/>
        </w:trPr>
        <w:tc>
          <w:tcPr>
            <w:tcW w:w="1014" w:type="pct"/>
            <w:vMerge/>
            <w:tcBorders>
              <w:right w:val="single" w:sz="6" w:space="0" w:color="EFEFEF"/>
            </w:tcBorders>
            <w:shd w:val="clear" w:color="auto" w:fill="006579" w:themeFill="accent2"/>
            <w:vAlign w:val="center"/>
            <w:hideMark/>
          </w:tcPr>
          <w:p w14:paraId="7BAA39B5" w14:textId="77777777" w:rsidR="00DD505D" w:rsidRPr="00A55335" w:rsidRDefault="00DD505D" w:rsidP="00750028">
            <w:pPr>
              <w:pStyle w:val="Tabletext8pt"/>
            </w:pPr>
          </w:p>
        </w:tc>
        <w:tc>
          <w:tcPr>
            <w:tcW w:w="691" w:type="pct"/>
            <w:tcBorders>
              <w:top w:val="single" w:sz="6" w:space="0" w:color="EFEFEF"/>
              <w:right w:val="single" w:sz="6" w:space="0" w:color="EFEFEF"/>
            </w:tcBorders>
            <w:shd w:val="clear" w:color="auto" w:fill="E0E0E0"/>
            <w:vAlign w:val="center"/>
            <w:hideMark/>
          </w:tcPr>
          <w:p w14:paraId="4C74CBAA" w14:textId="77777777" w:rsidR="00DD505D" w:rsidRPr="00A55335" w:rsidRDefault="00DD505D" w:rsidP="00D665BA">
            <w:pPr>
              <w:pStyle w:val="Tabletext8pt"/>
              <w:rPr>
                <w:rStyle w:val="Strong"/>
              </w:rPr>
            </w:pPr>
            <w:r w:rsidRPr="00A55335">
              <w:rPr>
                <w:rStyle w:val="Strong"/>
              </w:rPr>
              <w:t>Risk with Placebo</w:t>
            </w:r>
          </w:p>
        </w:tc>
        <w:tc>
          <w:tcPr>
            <w:tcW w:w="692" w:type="pct"/>
            <w:tcBorders>
              <w:top w:val="single" w:sz="6" w:space="0" w:color="EFEFEF"/>
              <w:right w:val="single" w:sz="6" w:space="0" w:color="EFEFEF"/>
            </w:tcBorders>
            <w:shd w:val="clear" w:color="auto" w:fill="E0E0E0"/>
            <w:vAlign w:val="center"/>
            <w:hideMark/>
          </w:tcPr>
          <w:p w14:paraId="37B61CCA" w14:textId="77777777" w:rsidR="00DD505D" w:rsidRPr="00A55335" w:rsidRDefault="00DD505D" w:rsidP="00D665BA">
            <w:pPr>
              <w:pStyle w:val="Tabletext8pt"/>
              <w:rPr>
                <w:rStyle w:val="Strong"/>
              </w:rPr>
            </w:pPr>
            <w:r w:rsidRPr="00A55335">
              <w:rPr>
                <w:rStyle w:val="Strong"/>
              </w:rPr>
              <w:t>Risk with Homeopathy</w:t>
            </w:r>
          </w:p>
        </w:tc>
        <w:tc>
          <w:tcPr>
            <w:tcW w:w="443" w:type="pct"/>
            <w:vMerge/>
            <w:tcBorders>
              <w:right w:val="single" w:sz="6" w:space="0" w:color="EFEFEF"/>
            </w:tcBorders>
            <w:shd w:val="clear" w:color="auto" w:fill="006579" w:themeFill="accent2"/>
            <w:vAlign w:val="center"/>
            <w:hideMark/>
          </w:tcPr>
          <w:p w14:paraId="607B37AA" w14:textId="77777777" w:rsidR="00DD505D" w:rsidRPr="00A55335" w:rsidRDefault="00DD505D" w:rsidP="00750028">
            <w:pPr>
              <w:pStyle w:val="Tabletext8pt"/>
            </w:pPr>
          </w:p>
        </w:tc>
        <w:tc>
          <w:tcPr>
            <w:tcW w:w="581" w:type="pct"/>
            <w:vMerge/>
            <w:tcBorders>
              <w:right w:val="single" w:sz="6" w:space="0" w:color="EFEFEF"/>
            </w:tcBorders>
            <w:shd w:val="clear" w:color="auto" w:fill="006579" w:themeFill="accent2"/>
            <w:vAlign w:val="center"/>
            <w:hideMark/>
          </w:tcPr>
          <w:p w14:paraId="72135D21" w14:textId="77777777" w:rsidR="00DD505D" w:rsidRPr="00A55335" w:rsidRDefault="00DD505D" w:rsidP="00750028">
            <w:pPr>
              <w:pStyle w:val="Tabletext8pt"/>
            </w:pPr>
          </w:p>
        </w:tc>
        <w:tc>
          <w:tcPr>
            <w:tcW w:w="576" w:type="pct"/>
            <w:vMerge/>
            <w:tcBorders>
              <w:right w:val="single" w:sz="6" w:space="0" w:color="EFEFEF"/>
            </w:tcBorders>
            <w:shd w:val="clear" w:color="auto" w:fill="006579" w:themeFill="accent2"/>
            <w:vAlign w:val="center"/>
            <w:hideMark/>
          </w:tcPr>
          <w:p w14:paraId="6BE8BC2A" w14:textId="77777777" w:rsidR="00DD505D" w:rsidRPr="00A55335" w:rsidRDefault="00DD505D" w:rsidP="00750028">
            <w:pPr>
              <w:pStyle w:val="Tabletext8pt"/>
            </w:pPr>
          </w:p>
        </w:tc>
        <w:tc>
          <w:tcPr>
            <w:tcW w:w="998" w:type="pct"/>
            <w:vMerge/>
            <w:tcBorders>
              <w:right w:val="single" w:sz="6" w:space="0" w:color="EFEFEF"/>
            </w:tcBorders>
            <w:shd w:val="clear" w:color="auto" w:fill="006579" w:themeFill="accent2"/>
            <w:vAlign w:val="center"/>
            <w:hideMark/>
          </w:tcPr>
          <w:p w14:paraId="5A8776CA" w14:textId="77777777" w:rsidR="00DD505D" w:rsidRPr="00A55335" w:rsidRDefault="00DD505D" w:rsidP="00750028">
            <w:pPr>
              <w:pStyle w:val="Tabletext8pt"/>
            </w:pPr>
          </w:p>
        </w:tc>
      </w:tr>
      <w:tr w:rsidR="00394AF3" w:rsidRPr="00A55335" w14:paraId="4AD7FFD0" w14:textId="77777777" w:rsidTr="00FC5A2F">
        <w:trPr>
          <w:gridBefore w:val="1"/>
          <w:wBefore w:w="5" w:type="pct"/>
          <w:cantSplit/>
        </w:trPr>
        <w:tc>
          <w:tcPr>
            <w:tcW w:w="1014" w:type="pct"/>
            <w:tcBorders>
              <w:top w:val="single" w:sz="6" w:space="0" w:color="000000"/>
              <w:left w:val="nil"/>
              <w:bottom w:val="single" w:sz="6" w:space="0" w:color="000000"/>
              <w:right w:val="nil"/>
            </w:tcBorders>
            <w:vAlign w:val="center"/>
            <w:hideMark/>
          </w:tcPr>
          <w:p w14:paraId="043D1E11" w14:textId="48BAFEBD" w:rsidR="00DD505D" w:rsidRPr="00A55335" w:rsidRDefault="00DD505D" w:rsidP="00750028">
            <w:pPr>
              <w:pStyle w:val="Tabletext8pt"/>
            </w:pPr>
            <w:r w:rsidRPr="00A55335">
              <w:t>Anxiety severity</w:t>
            </w:r>
            <w:r w:rsidRPr="00A55335">
              <w:br/>
              <w:t>assessed with: HAM-A, RTA</w:t>
            </w:r>
            <w:r w:rsidR="00FC5A2F" w:rsidRPr="00A55335">
              <w:t xml:space="preserve"> (higher is worse)</w:t>
            </w:r>
            <w:r w:rsidRPr="00A55335">
              <w:br/>
              <w:t>follow-up: range 4 days to 3 months</w:t>
            </w:r>
          </w:p>
        </w:tc>
        <w:tc>
          <w:tcPr>
            <w:tcW w:w="691" w:type="pct"/>
            <w:tcBorders>
              <w:top w:val="single" w:sz="6" w:space="0" w:color="000000"/>
              <w:left w:val="nil"/>
              <w:bottom w:val="single" w:sz="6" w:space="0" w:color="000000"/>
              <w:right w:val="nil"/>
            </w:tcBorders>
            <w:shd w:val="clear" w:color="auto" w:fill="EBEBEB"/>
            <w:vAlign w:val="center"/>
            <w:hideMark/>
          </w:tcPr>
          <w:p w14:paraId="37B73264" w14:textId="77777777" w:rsidR="00DD505D" w:rsidRPr="00A55335" w:rsidRDefault="00DD505D" w:rsidP="00D665BA">
            <w:pPr>
              <w:pStyle w:val="Tabletext8pt"/>
            </w:pPr>
            <w:r w:rsidRPr="00A55335">
              <w:t>-</w:t>
            </w:r>
          </w:p>
        </w:tc>
        <w:tc>
          <w:tcPr>
            <w:tcW w:w="692" w:type="pct"/>
            <w:tcBorders>
              <w:top w:val="single" w:sz="6" w:space="0" w:color="000000"/>
              <w:left w:val="nil"/>
              <w:bottom w:val="single" w:sz="6" w:space="0" w:color="000000"/>
              <w:right w:val="nil"/>
            </w:tcBorders>
            <w:shd w:val="clear" w:color="auto" w:fill="EBEBEB"/>
            <w:hideMark/>
          </w:tcPr>
          <w:p w14:paraId="0A14F35C" w14:textId="77777777" w:rsidR="00DD505D" w:rsidRPr="00A55335" w:rsidRDefault="00DD505D" w:rsidP="00D665BA">
            <w:pPr>
              <w:pStyle w:val="Tabletext8pt"/>
            </w:pPr>
            <w:r w:rsidRPr="00A55335">
              <w:t xml:space="preserve">SMD </w:t>
            </w:r>
            <w:r w:rsidRPr="00A55335">
              <w:rPr>
                <w:rStyle w:val="Strong"/>
              </w:rPr>
              <w:t>0.05 SD lower</w:t>
            </w:r>
            <w:r w:rsidRPr="00A55335">
              <w:br/>
              <w:t>(0.66 lower to 0.56 higher)</w:t>
            </w:r>
          </w:p>
        </w:tc>
        <w:tc>
          <w:tcPr>
            <w:tcW w:w="443" w:type="pct"/>
            <w:tcBorders>
              <w:top w:val="single" w:sz="6" w:space="0" w:color="000000"/>
              <w:left w:val="nil"/>
              <w:bottom w:val="single" w:sz="6" w:space="0" w:color="000000"/>
              <w:right w:val="nil"/>
            </w:tcBorders>
            <w:vAlign w:val="center"/>
            <w:hideMark/>
          </w:tcPr>
          <w:p w14:paraId="60C8B968" w14:textId="77777777" w:rsidR="00DD505D" w:rsidRPr="00A55335" w:rsidRDefault="00DD505D" w:rsidP="00AF4327">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0F7DB256" w14:textId="3AB0EA26" w:rsidR="00DD505D" w:rsidRPr="00A55335" w:rsidRDefault="00DD505D" w:rsidP="00AF4327">
            <w:pPr>
              <w:pStyle w:val="Tabletext8pt"/>
              <w:jc w:val="center"/>
            </w:pPr>
            <w:r w:rsidRPr="00A55335">
              <w:t>150</w:t>
            </w:r>
            <w:r w:rsidRPr="00A55335">
              <w:br/>
              <w:t>(3 RCTs)</w:t>
            </w:r>
            <w:r w:rsidR="006F2911" w:rsidRPr="00A55335">
              <w:t xml:space="preserve"> ^</w:t>
            </w:r>
          </w:p>
        </w:tc>
        <w:tc>
          <w:tcPr>
            <w:tcW w:w="576" w:type="pct"/>
            <w:tcBorders>
              <w:top w:val="single" w:sz="6" w:space="0" w:color="000000"/>
              <w:left w:val="nil"/>
              <w:bottom w:val="single" w:sz="6" w:space="0" w:color="000000"/>
              <w:right w:val="nil"/>
            </w:tcBorders>
            <w:vAlign w:val="center"/>
            <w:hideMark/>
          </w:tcPr>
          <w:p w14:paraId="642F41C4" w14:textId="317767B6" w:rsidR="00DD505D" w:rsidRPr="00A55335" w:rsidRDefault="00DD505D" w:rsidP="00A46CE3">
            <w:pPr>
              <w:pStyle w:val="Tabletext8pt"/>
              <w:jc w:val="center"/>
            </w:pPr>
            <w:r w:rsidRPr="00A55335">
              <w:rPr>
                <w:rStyle w:val="quality-sign"/>
                <w:rFonts w:ascii="Cambria Math" w:hAnsi="Cambria Math"/>
              </w:rPr>
              <w:t>⨁⨁◯◯</w:t>
            </w:r>
            <w:r w:rsidRPr="00A55335">
              <w:br/>
            </w:r>
            <w:r w:rsidRPr="00A55335">
              <w:rPr>
                <w:rStyle w:val="QualitytextChar"/>
              </w:rPr>
              <w:t>Low</w:t>
            </w:r>
            <w:r w:rsidR="000A277F" w:rsidRPr="00A55335">
              <w:t xml:space="preserve"> </w:t>
            </w:r>
            <w:proofErr w:type="spellStart"/>
            <w:r w:rsidRPr="00A55335">
              <w:rPr>
                <w:rStyle w:val="FootnoteReference"/>
              </w:rPr>
              <w:t>a,b,c,d</w:t>
            </w:r>
            <w:r w:rsidR="00AA1522" w:rsidRPr="00A55335">
              <w:rPr>
                <w:rStyle w:val="FootnoteReference"/>
              </w:rPr>
              <w:t>,e</w:t>
            </w:r>
            <w:proofErr w:type="spellEnd"/>
          </w:p>
        </w:tc>
        <w:tc>
          <w:tcPr>
            <w:tcW w:w="998" w:type="pct"/>
            <w:tcBorders>
              <w:top w:val="single" w:sz="6" w:space="0" w:color="000000"/>
              <w:left w:val="nil"/>
              <w:bottom w:val="single" w:sz="6" w:space="0" w:color="000000"/>
              <w:right w:val="nil"/>
            </w:tcBorders>
            <w:vAlign w:val="center"/>
            <w:hideMark/>
          </w:tcPr>
          <w:p w14:paraId="03FAE2B6" w14:textId="5964897D" w:rsidR="00DD505D" w:rsidRPr="00A55335" w:rsidRDefault="00BD443B" w:rsidP="00750028">
            <w:pPr>
              <w:pStyle w:val="Tabletext8pt"/>
            </w:pPr>
            <w:r w:rsidRPr="00A55335">
              <w:t>Homeopathy may result</w:t>
            </w:r>
            <w:r w:rsidR="00DD505D" w:rsidRPr="00A55335">
              <w:t xml:space="preserve"> in little to no difference in anxiety </w:t>
            </w:r>
            <w:r w:rsidR="00DB5EC9" w:rsidRPr="00A55335">
              <w:t xml:space="preserve">severity </w:t>
            </w:r>
            <w:r w:rsidR="00DD505D" w:rsidRPr="00A55335">
              <w:t xml:space="preserve">in people with anxiety </w:t>
            </w:r>
            <w:r w:rsidR="00480B76" w:rsidRPr="00A55335">
              <w:t>**</w:t>
            </w:r>
          </w:p>
        </w:tc>
      </w:tr>
      <w:tr w:rsidR="00AF4327" w:rsidRPr="00A55335" w14:paraId="543D6B60" w14:textId="77777777" w:rsidTr="00FC5A2F">
        <w:trPr>
          <w:cantSplit/>
        </w:trPr>
        <w:tc>
          <w:tcPr>
            <w:tcW w:w="1019" w:type="pct"/>
            <w:gridSpan w:val="2"/>
            <w:tcBorders>
              <w:top w:val="single" w:sz="6" w:space="0" w:color="000000"/>
              <w:left w:val="nil"/>
              <w:bottom w:val="single" w:sz="6" w:space="0" w:color="000000"/>
              <w:right w:val="nil"/>
            </w:tcBorders>
            <w:vAlign w:val="center"/>
            <w:hideMark/>
          </w:tcPr>
          <w:p w14:paraId="5A7BC266" w14:textId="00FB6FAF" w:rsidR="00AF4327" w:rsidRPr="00A55335" w:rsidRDefault="00AF4327" w:rsidP="00750028">
            <w:pPr>
              <w:pStyle w:val="Tabletext8pt"/>
            </w:pPr>
            <w:r w:rsidRPr="00A55335">
              <w:t>Depression severity</w:t>
            </w:r>
            <w:r w:rsidRPr="00A55335">
              <w:br/>
              <w:t>assessed with: HAM-D</w:t>
            </w:r>
            <w:r w:rsidR="004E51A9" w:rsidRPr="00A55335">
              <w:t xml:space="preserve"> </w:t>
            </w:r>
            <w:r w:rsidR="00FC5A2F" w:rsidRPr="00A55335">
              <w:t>(higher is worse)</w:t>
            </w:r>
            <w:r w:rsidRPr="00A55335">
              <w:br/>
              <w:t>Scale from: 0 to 52</w:t>
            </w:r>
            <w:r w:rsidRPr="00A55335">
              <w:br/>
              <w:t>follow-up: 10 weeks</w:t>
            </w:r>
          </w:p>
        </w:tc>
        <w:tc>
          <w:tcPr>
            <w:tcW w:w="691" w:type="pct"/>
            <w:tcBorders>
              <w:top w:val="single" w:sz="6" w:space="0" w:color="000000"/>
              <w:left w:val="nil"/>
              <w:bottom w:val="single" w:sz="6" w:space="0" w:color="000000"/>
              <w:right w:val="nil"/>
            </w:tcBorders>
            <w:shd w:val="clear" w:color="auto" w:fill="EBEBEB"/>
            <w:vAlign w:val="center"/>
            <w:hideMark/>
          </w:tcPr>
          <w:p w14:paraId="58DD9D31" w14:textId="48F835EF" w:rsidR="00AF4327" w:rsidRPr="00A55335" w:rsidRDefault="00AF4327" w:rsidP="00D665BA">
            <w:pPr>
              <w:pStyle w:val="Tabletext8pt"/>
            </w:pPr>
            <w:r w:rsidRPr="00A55335">
              <w:t xml:space="preserve">The mean HAM-D score was </w:t>
            </w:r>
            <w:r w:rsidR="002D19BF" w:rsidRPr="00A55335">
              <w:rPr>
                <w:rStyle w:val="Strong"/>
              </w:rPr>
              <w:t>12.0</w:t>
            </w:r>
          </w:p>
        </w:tc>
        <w:tc>
          <w:tcPr>
            <w:tcW w:w="692" w:type="pct"/>
            <w:tcBorders>
              <w:top w:val="single" w:sz="6" w:space="0" w:color="000000"/>
              <w:left w:val="nil"/>
              <w:bottom w:val="single" w:sz="6" w:space="0" w:color="000000"/>
              <w:right w:val="nil"/>
            </w:tcBorders>
            <w:shd w:val="clear" w:color="auto" w:fill="EBEBEB"/>
            <w:hideMark/>
          </w:tcPr>
          <w:p w14:paraId="48E44E59" w14:textId="77777777" w:rsidR="00AF4327" w:rsidRPr="00A55335" w:rsidRDefault="00AF4327" w:rsidP="00D665BA">
            <w:pPr>
              <w:pStyle w:val="Tabletext8pt"/>
            </w:pPr>
            <w:r w:rsidRPr="00A55335">
              <w:t xml:space="preserve">MD </w:t>
            </w:r>
            <w:r w:rsidRPr="00A55335">
              <w:rPr>
                <w:rStyle w:val="Strong"/>
              </w:rPr>
              <w:t>1.5 higher</w:t>
            </w:r>
            <w:r w:rsidRPr="00A55335">
              <w:br/>
              <w:t>(2.16 lower to 5.16 higher)</w:t>
            </w:r>
          </w:p>
        </w:tc>
        <w:tc>
          <w:tcPr>
            <w:tcW w:w="443" w:type="pct"/>
            <w:tcBorders>
              <w:top w:val="single" w:sz="6" w:space="0" w:color="000000"/>
              <w:left w:val="nil"/>
              <w:bottom w:val="single" w:sz="6" w:space="0" w:color="000000"/>
              <w:right w:val="nil"/>
            </w:tcBorders>
            <w:vAlign w:val="center"/>
            <w:hideMark/>
          </w:tcPr>
          <w:p w14:paraId="799E753C" w14:textId="77777777" w:rsidR="00AF4327" w:rsidRPr="00A55335" w:rsidRDefault="00AF4327" w:rsidP="00AF4327">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4F0474E2" w14:textId="2905BE2D" w:rsidR="00AF4327" w:rsidRPr="00A55335" w:rsidRDefault="00F12351" w:rsidP="00AF4327">
            <w:pPr>
              <w:pStyle w:val="Tabletext8pt"/>
              <w:jc w:val="center"/>
            </w:pPr>
            <w:r w:rsidRPr="00A55335">
              <w:t>44</w:t>
            </w:r>
            <w:r w:rsidRPr="00A55335">
              <w:br/>
            </w:r>
            <w:r w:rsidR="00AF4327" w:rsidRPr="00A55335">
              <w:t>(1 RCT)</w:t>
            </w:r>
          </w:p>
        </w:tc>
        <w:tc>
          <w:tcPr>
            <w:tcW w:w="576" w:type="pct"/>
            <w:tcBorders>
              <w:top w:val="single" w:sz="6" w:space="0" w:color="000000"/>
              <w:left w:val="nil"/>
              <w:bottom w:val="single" w:sz="6" w:space="0" w:color="000000"/>
              <w:right w:val="nil"/>
            </w:tcBorders>
            <w:vAlign w:val="center"/>
            <w:hideMark/>
          </w:tcPr>
          <w:p w14:paraId="7904E621" w14:textId="3E2C6AA4" w:rsidR="00AF4327" w:rsidRPr="00A55335" w:rsidRDefault="00AF4327" w:rsidP="00AF4327">
            <w:pPr>
              <w:pStyle w:val="Tabletext8pt"/>
              <w:jc w:val="center"/>
            </w:pPr>
            <w:r w:rsidRPr="00A55335">
              <w:rPr>
                <w:rStyle w:val="quality-sign"/>
                <w:rFonts w:ascii="Cambria Math" w:hAnsi="Cambria Math"/>
              </w:rPr>
              <w:t>⨁</w:t>
            </w:r>
            <w:r w:rsidR="00FF4265" w:rsidRPr="00A55335">
              <w:rPr>
                <w:rStyle w:val="quality-sign"/>
                <w:rFonts w:ascii="Cambria Math" w:hAnsi="Cambria Math"/>
              </w:rPr>
              <w:t>⨁</w:t>
            </w:r>
            <w:r w:rsidR="004967C7" w:rsidRPr="00A55335">
              <w:rPr>
                <w:rStyle w:val="quality-sign"/>
                <w:rFonts w:ascii="Cambria Math" w:hAnsi="Cambria Math"/>
              </w:rPr>
              <w:t>◯</w:t>
            </w:r>
            <w:r w:rsidRPr="00A55335">
              <w:rPr>
                <w:rStyle w:val="quality-sign"/>
                <w:rFonts w:ascii="Cambria Math" w:hAnsi="Cambria Math"/>
              </w:rPr>
              <w:t>◯</w:t>
            </w:r>
            <w:r w:rsidRPr="00A55335">
              <w:br/>
            </w:r>
            <w:r w:rsidR="00F12351" w:rsidRPr="00A55335">
              <w:rPr>
                <w:rStyle w:val="QualitytextChar"/>
              </w:rPr>
              <w:t>Low</w:t>
            </w:r>
            <w:r w:rsidR="00F12351" w:rsidRPr="00A55335">
              <w:t xml:space="preserve"> </w:t>
            </w:r>
            <w:proofErr w:type="spellStart"/>
            <w:r w:rsidRPr="00A55335">
              <w:rPr>
                <w:rStyle w:val="FootnoteReference"/>
              </w:rPr>
              <w:t>c,</w:t>
            </w:r>
            <w:r w:rsidR="00FF4265" w:rsidRPr="00A55335">
              <w:rPr>
                <w:rStyle w:val="FootnoteReference"/>
              </w:rPr>
              <w:t>e,</w:t>
            </w:r>
            <w:r w:rsidR="004967C7" w:rsidRPr="00A55335">
              <w:rPr>
                <w:rStyle w:val="FootnoteReference"/>
              </w:rPr>
              <w:t>f,g</w:t>
            </w:r>
            <w:r w:rsidR="00FF4265" w:rsidRPr="00A55335">
              <w:rPr>
                <w:rStyle w:val="FootnoteReference"/>
              </w:rPr>
              <w:t>,h</w:t>
            </w:r>
            <w:proofErr w:type="spellEnd"/>
          </w:p>
        </w:tc>
        <w:tc>
          <w:tcPr>
            <w:tcW w:w="998" w:type="pct"/>
            <w:tcBorders>
              <w:top w:val="single" w:sz="6" w:space="0" w:color="000000"/>
              <w:left w:val="nil"/>
              <w:bottom w:val="single" w:sz="6" w:space="0" w:color="000000"/>
              <w:right w:val="nil"/>
            </w:tcBorders>
            <w:vAlign w:val="center"/>
            <w:hideMark/>
          </w:tcPr>
          <w:p w14:paraId="4BFD6CA2" w14:textId="0A5B6B90" w:rsidR="00AF4327" w:rsidRPr="00A55335" w:rsidRDefault="00C03A29" w:rsidP="00750028">
            <w:pPr>
              <w:pStyle w:val="Tabletext8pt"/>
            </w:pPr>
            <w:r w:rsidRPr="00A55335">
              <w:t>H</w:t>
            </w:r>
            <w:r w:rsidR="00AF4327" w:rsidRPr="00A55335">
              <w:t xml:space="preserve">omeopathy </w:t>
            </w:r>
            <w:r w:rsidR="00C1790A" w:rsidRPr="00A55335">
              <w:t xml:space="preserve">may </w:t>
            </w:r>
            <w:r w:rsidR="00AF4327" w:rsidRPr="00A55335">
              <w:t xml:space="preserve">result in little to no difference in </w:t>
            </w:r>
            <w:r w:rsidR="00D6252D" w:rsidRPr="00A55335">
              <w:t>s</w:t>
            </w:r>
            <w:r w:rsidR="00DB5EC9" w:rsidRPr="00A55335">
              <w:t xml:space="preserve">ymptoms </w:t>
            </w:r>
            <w:r w:rsidR="00D6252D" w:rsidRPr="00A55335">
              <w:t>of</w:t>
            </w:r>
            <w:r w:rsidR="00DB5EC9" w:rsidRPr="00A55335">
              <w:t xml:space="preserve"> </w:t>
            </w:r>
            <w:r w:rsidR="00AF4327" w:rsidRPr="00A55335">
              <w:t>depression in people with anxiety</w:t>
            </w:r>
            <w:r w:rsidR="009B5C71">
              <w:t xml:space="preserve"> ***</w:t>
            </w:r>
          </w:p>
        </w:tc>
      </w:tr>
      <w:tr w:rsidR="00FC5A2F" w:rsidRPr="00A55335" w14:paraId="6BCEACAB" w14:textId="77777777" w:rsidTr="00FC5A2F">
        <w:trPr>
          <w:gridBefore w:val="1"/>
          <w:wBefore w:w="5" w:type="pct"/>
          <w:cantSplit/>
        </w:trPr>
        <w:tc>
          <w:tcPr>
            <w:tcW w:w="1014" w:type="pct"/>
            <w:tcBorders>
              <w:top w:val="single" w:sz="6" w:space="0" w:color="000000"/>
              <w:left w:val="nil"/>
              <w:bottom w:val="single" w:sz="6" w:space="0" w:color="000000"/>
              <w:right w:val="nil"/>
            </w:tcBorders>
            <w:vAlign w:val="center"/>
            <w:hideMark/>
          </w:tcPr>
          <w:p w14:paraId="5B7DA208" w14:textId="7FF50F2E" w:rsidR="00FC5A2F" w:rsidRPr="00A55335" w:rsidRDefault="00FC5A2F" w:rsidP="00FC5A2F">
            <w:pPr>
              <w:pStyle w:val="Tabletext8pt"/>
            </w:pPr>
            <w:r w:rsidRPr="00A55335">
              <w:t>Emotional function</w:t>
            </w:r>
            <w:r w:rsidRPr="00A55335">
              <w:br/>
              <w:t>assessed with: BSI (higher is worse)</w:t>
            </w:r>
            <w:r w:rsidRPr="00A55335">
              <w:br/>
              <w:t>follow-up: range 10 weeks to 10 weeks</w:t>
            </w:r>
          </w:p>
        </w:tc>
        <w:tc>
          <w:tcPr>
            <w:tcW w:w="691" w:type="pct"/>
            <w:tcBorders>
              <w:top w:val="single" w:sz="6" w:space="0" w:color="000000"/>
              <w:left w:val="nil"/>
              <w:bottom w:val="single" w:sz="6" w:space="0" w:color="000000"/>
              <w:right w:val="nil"/>
            </w:tcBorders>
            <w:shd w:val="clear" w:color="auto" w:fill="EBEBEB"/>
            <w:vAlign w:val="center"/>
          </w:tcPr>
          <w:p w14:paraId="7DBDF414" w14:textId="768F40FD" w:rsidR="00FC5A2F" w:rsidRPr="00A55335" w:rsidRDefault="00FC5A2F" w:rsidP="00FC5A2F">
            <w:pPr>
              <w:pStyle w:val="Tabletext8pt"/>
            </w:pPr>
            <w:r w:rsidRPr="00A55335">
              <w:t xml:space="preserve">The mean BSI score was </w:t>
            </w:r>
            <w:r w:rsidRPr="00A55335">
              <w:rPr>
                <w:rStyle w:val="Strong"/>
              </w:rPr>
              <w:t>0.25</w:t>
            </w:r>
          </w:p>
        </w:tc>
        <w:tc>
          <w:tcPr>
            <w:tcW w:w="692" w:type="pct"/>
            <w:tcBorders>
              <w:top w:val="single" w:sz="6" w:space="0" w:color="000000"/>
              <w:left w:val="nil"/>
              <w:bottom w:val="single" w:sz="6" w:space="0" w:color="000000"/>
              <w:right w:val="nil"/>
            </w:tcBorders>
            <w:shd w:val="clear" w:color="auto" w:fill="EBEBEB"/>
          </w:tcPr>
          <w:p w14:paraId="7B49A809" w14:textId="1E8AF06F" w:rsidR="00FC5A2F" w:rsidRPr="00A55335" w:rsidRDefault="00FC5A2F" w:rsidP="00FC5A2F">
            <w:pPr>
              <w:pStyle w:val="Tabletext8pt"/>
            </w:pPr>
            <w:r w:rsidRPr="00A55335">
              <w:t xml:space="preserve">MD </w:t>
            </w:r>
            <w:r w:rsidRPr="00A55335">
              <w:rPr>
                <w:rStyle w:val="Strong"/>
              </w:rPr>
              <w:t>0.00</w:t>
            </w:r>
            <w:r w:rsidRPr="00A55335">
              <w:br/>
              <w:t>(0.08 lower to 0.08 higher)</w:t>
            </w:r>
          </w:p>
        </w:tc>
        <w:tc>
          <w:tcPr>
            <w:tcW w:w="443" w:type="pct"/>
            <w:tcBorders>
              <w:top w:val="single" w:sz="6" w:space="0" w:color="000000"/>
              <w:left w:val="nil"/>
              <w:bottom w:val="single" w:sz="6" w:space="0" w:color="000000"/>
              <w:right w:val="nil"/>
            </w:tcBorders>
            <w:vAlign w:val="center"/>
            <w:hideMark/>
          </w:tcPr>
          <w:p w14:paraId="53C05C60" w14:textId="77777777" w:rsidR="00FC5A2F" w:rsidRPr="00A55335" w:rsidRDefault="00FC5A2F" w:rsidP="00FC5A2F">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15A4B980" w14:textId="77777777" w:rsidR="00FC5A2F" w:rsidRPr="00A55335" w:rsidRDefault="00FC5A2F" w:rsidP="00FC5A2F">
            <w:pPr>
              <w:pStyle w:val="Tabletext8pt"/>
              <w:jc w:val="center"/>
            </w:pPr>
            <w:r w:rsidRPr="00A55335">
              <w:t>44</w:t>
            </w:r>
            <w:r w:rsidRPr="00A55335">
              <w:br/>
              <w:t>(1 RCT)</w:t>
            </w:r>
          </w:p>
        </w:tc>
        <w:tc>
          <w:tcPr>
            <w:tcW w:w="576" w:type="pct"/>
            <w:tcBorders>
              <w:top w:val="single" w:sz="6" w:space="0" w:color="000000"/>
              <w:left w:val="nil"/>
              <w:bottom w:val="single" w:sz="6" w:space="0" w:color="000000"/>
              <w:right w:val="nil"/>
            </w:tcBorders>
            <w:vAlign w:val="center"/>
          </w:tcPr>
          <w:p w14:paraId="6B6D292E" w14:textId="511157E1" w:rsidR="00FC5A2F" w:rsidRPr="00A55335" w:rsidRDefault="00FC5A2F" w:rsidP="00FC5A2F">
            <w:pPr>
              <w:pStyle w:val="Tabletext8pt"/>
              <w:jc w:val="center"/>
            </w:pPr>
            <w:r w:rsidRPr="00A55335">
              <w:rPr>
                <w:rStyle w:val="quality-sign"/>
                <w:rFonts w:ascii="Cambria Math" w:hAnsi="Cambria Math"/>
              </w:rPr>
              <w:t>⨁⨁◯◯</w:t>
            </w:r>
            <w:r w:rsidRPr="00A55335">
              <w:br/>
            </w:r>
            <w:r w:rsidRPr="00A55335">
              <w:rPr>
                <w:rStyle w:val="QualitytextChar"/>
              </w:rPr>
              <w:t>Low</w:t>
            </w:r>
            <w:r w:rsidRPr="00A55335">
              <w:t xml:space="preserve"> </w:t>
            </w:r>
            <w:proofErr w:type="spellStart"/>
            <w:r w:rsidRPr="00A55335">
              <w:rPr>
                <w:rStyle w:val="FootnoteReference"/>
              </w:rPr>
              <w:t>c,e,f,g,h</w:t>
            </w:r>
            <w:proofErr w:type="spellEnd"/>
          </w:p>
        </w:tc>
        <w:tc>
          <w:tcPr>
            <w:tcW w:w="998" w:type="pct"/>
            <w:tcBorders>
              <w:top w:val="single" w:sz="6" w:space="0" w:color="000000"/>
              <w:left w:val="nil"/>
              <w:bottom w:val="single" w:sz="6" w:space="0" w:color="000000"/>
              <w:right w:val="nil"/>
            </w:tcBorders>
            <w:vAlign w:val="center"/>
          </w:tcPr>
          <w:p w14:paraId="55D1C711" w14:textId="55C16125" w:rsidR="00FC5A2F" w:rsidRPr="00A55335" w:rsidRDefault="00C03A29" w:rsidP="00FC5A2F">
            <w:pPr>
              <w:pStyle w:val="Tabletext8pt"/>
            </w:pPr>
            <w:r w:rsidRPr="00A55335">
              <w:t>H</w:t>
            </w:r>
            <w:r w:rsidR="00FC5A2F" w:rsidRPr="00A55335">
              <w:t>omeopathy may result in little to no difference in emotional function in people with anxiety</w:t>
            </w:r>
            <w:r w:rsidR="009B5C71">
              <w:t xml:space="preserve"> ***</w:t>
            </w:r>
          </w:p>
        </w:tc>
      </w:tr>
      <w:tr w:rsidR="00FC5A2F" w:rsidRPr="00A55335" w14:paraId="2B5D2106" w14:textId="77777777" w:rsidTr="00EB2715">
        <w:trPr>
          <w:gridBefore w:val="1"/>
          <w:wBefore w:w="5" w:type="pct"/>
          <w:cantSplit/>
        </w:trPr>
        <w:tc>
          <w:tcPr>
            <w:tcW w:w="1014" w:type="pct"/>
            <w:tcBorders>
              <w:top w:val="single" w:sz="6" w:space="0" w:color="000000"/>
              <w:left w:val="nil"/>
              <w:bottom w:val="single" w:sz="6" w:space="0" w:color="000000"/>
              <w:right w:val="nil"/>
            </w:tcBorders>
            <w:vAlign w:val="center"/>
            <w:hideMark/>
          </w:tcPr>
          <w:p w14:paraId="28999036" w14:textId="40996D52" w:rsidR="00FC5A2F" w:rsidRPr="00A55335" w:rsidRDefault="009B5C71" w:rsidP="00FC5A2F">
            <w:pPr>
              <w:pStyle w:val="Tabletext8pt"/>
            </w:pPr>
            <w:r>
              <w:t xml:space="preserve"> </w:t>
            </w:r>
            <w:r w:rsidR="00FC5A2F" w:rsidRPr="00A55335">
              <w:t>Physical functioning - not reported</w:t>
            </w:r>
          </w:p>
        </w:tc>
        <w:tc>
          <w:tcPr>
            <w:tcW w:w="691" w:type="pct"/>
            <w:tcBorders>
              <w:top w:val="single" w:sz="6" w:space="0" w:color="000000"/>
              <w:left w:val="nil"/>
              <w:bottom w:val="single" w:sz="6" w:space="0" w:color="000000"/>
              <w:right w:val="nil"/>
            </w:tcBorders>
            <w:shd w:val="clear" w:color="auto" w:fill="EBEBEB"/>
            <w:vAlign w:val="center"/>
            <w:hideMark/>
          </w:tcPr>
          <w:p w14:paraId="263E340C" w14:textId="77777777" w:rsidR="00FC5A2F" w:rsidRPr="00A55335" w:rsidRDefault="00FC5A2F" w:rsidP="00FC5A2F">
            <w:pPr>
              <w:pStyle w:val="Tabletext8pt"/>
            </w:pPr>
            <w:r w:rsidRPr="00A55335">
              <w:t>-</w:t>
            </w:r>
          </w:p>
        </w:tc>
        <w:tc>
          <w:tcPr>
            <w:tcW w:w="692" w:type="pct"/>
            <w:tcBorders>
              <w:top w:val="single" w:sz="6" w:space="0" w:color="000000"/>
              <w:left w:val="nil"/>
              <w:bottom w:val="single" w:sz="6" w:space="0" w:color="000000"/>
              <w:right w:val="nil"/>
            </w:tcBorders>
            <w:shd w:val="clear" w:color="auto" w:fill="EBEBEB"/>
            <w:hideMark/>
          </w:tcPr>
          <w:p w14:paraId="3B5F6E53" w14:textId="77777777" w:rsidR="00FC5A2F" w:rsidRPr="00A55335" w:rsidRDefault="00FC5A2F" w:rsidP="00FC5A2F">
            <w:pPr>
              <w:pStyle w:val="Tabletext8pt"/>
            </w:pPr>
            <w:r w:rsidRPr="00A55335">
              <w:t>-</w:t>
            </w:r>
          </w:p>
        </w:tc>
        <w:tc>
          <w:tcPr>
            <w:tcW w:w="443" w:type="pct"/>
            <w:tcBorders>
              <w:top w:val="single" w:sz="6" w:space="0" w:color="000000"/>
              <w:left w:val="nil"/>
              <w:bottom w:val="single" w:sz="6" w:space="0" w:color="000000"/>
              <w:right w:val="nil"/>
            </w:tcBorders>
            <w:vAlign w:val="center"/>
            <w:hideMark/>
          </w:tcPr>
          <w:p w14:paraId="5718484F" w14:textId="77777777" w:rsidR="00FC5A2F" w:rsidRPr="00A55335" w:rsidRDefault="00FC5A2F" w:rsidP="00FC5A2F">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599AD697" w14:textId="0B68F69B" w:rsidR="00FC5A2F" w:rsidRPr="00A55335" w:rsidRDefault="0027780D" w:rsidP="00FC5A2F">
            <w:pPr>
              <w:pStyle w:val="Tabletext8pt"/>
              <w:jc w:val="center"/>
            </w:pPr>
            <w:r w:rsidRPr="00A55335">
              <w:t>(0 studies)</w:t>
            </w:r>
          </w:p>
        </w:tc>
        <w:tc>
          <w:tcPr>
            <w:tcW w:w="576" w:type="pct"/>
            <w:tcBorders>
              <w:top w:val="single" w:sz="6" w:space="0" w:color="000000"/>
              <w:left w:val="nil"/>
              <w:bottom w:val="single" w:sz="6" w:space="0" w:color="000000"/>
              <w:right w:val="nil"/>
            </w:tcBorders>
            <w:vAlign w:val="center"/>
            <w:hideMark/>
          </w:tcPr>
          <w:p w14:paraId="24273B2B" w14:textId="77777777" w:rsidR="00FC5A2F" w:rsidRPr="00A55335" w:rsidRDefault="00FC5A2F" w:rsidP="00FC5A2F">
            <w:pPr>
              <w:pStyle w:val="Tabletext8pt"/>
              <w:jc w:val="center"/>
            </w:pPr>
            <w:r w:rsidRPr="00A55335">
              <w:t>-</w:t>
            </w:r>
          </w:p>
        </w:tc>
        <w:tc>
          <w:tcPr>
            <w:tcW w:w="998" w:type="pct"/>
            <w:tcBorders>
              <w:top w:val="single" w:sz="6" w:space="0" w:color="000000"/>
              <w:left w:val="nil"/>
              <w:bottom w:val="single" w:sz="6" w:space="0" w:color="000000"/>
              <w:right w:val="nil"/>
            </w:tcBorders>
            <w:vAlign w:val="center"/>
            <w:hideMark/>
          </w:tcPr>
          <w:p w14:paraId="1015B212" w14:textId="4754C20E" w:rsidR="00FC5A2F" w:rsidRPr="00A55335" w:rsidRDefault="0027780D" w:rsidP="00FC5A2F">
            <w:pPr>
              <w:pStyle w:val="Tabletext8pt"/>
            </w:pPr>
            <w:r w:rsidRPr="00A55335">
              <w:t>The effect of homeopathy on physical functioning in people with anxiety is unknown</w:t>
            </w:r>
          </w:p>
        </w:tc>
      </w:tr>
      <w:tr w:rsidR="00FC5A2F" w:rsidRPr="00A55335" w14:paraId="60D8FB0C" w14:textId="77777777" w:rsidTr="00EB2715">
        <w:trPr>
          <w:gridBefore w:val="1"/>
          <w:wBefore w:w="5" w:type="pct"/>
          <w:cantSplit/>
        </w:trPr>
        <w:tc>
          <w:tcPr>
            <w:tcW w:w="1014" w:type="pct"/>
            <w:tcBorders>
              <w:top w:val="single" w:sz="6" w:space="0" w:color="000000"/>
              <w:left w:val="nil"/>
              <w:bottom w:val="single" w:sz="6" w:space="0" w:color="000000"/>
              <w:right w:val="nil"/>
            </w:tcBorders>
            <w:vAlign w:val="center"/>
            <w:hideMark/>
          </w:tcPr>
          <w:p w14:paraId="2EC8BDC5" w14:textId="77777777" w:rsidR="00FC5A2F" w:rsidRPr="00A55335" w:rsidRDefault="00FC5A2F" w:rsidP="00FC5A2F">
            <w:pPr>
              <w:pStyle w:val="Tabletext8pt"/>
            </w:pPr>
            <w:r w:rsidRPr="00A55335">
              <w:t>Health-related quality of life - not reported</w:t>
            </w:r>
          </w:p>
        </w:tc>
        <w:tc>
          <w:tcPr>
            <w:tcW w:w="691" w:type="pct"/>
            <w:tcBorders>
              <w:top w:val="single" w:sz="6" w:space="0" w:color="000000"/>
              <w:left w:val="nil"/>
              <w:bottom w:val="single" w:sz="6" w:space="0" w:color="000000"/>
              <w:right w:val="nil"/>
            </w:tcBorders>
            <w:shd w:val="clear" w:color="auto" w:fill="EBEBEB"/>
            <w:vAlign w:val="center"/>
            <w:hideMark/>
          </w:tcPr>
          <w:p w14:paraId="6624F931" w14:textId="77777777" w:rsidR="00FC5A2F" w:rsidRPr="00A55335" w:rsidRDefault="00FC5A2F" w:rsidP="00FC5A2F">
            <w:pPr>
              <w:pStyle w:val="Tabletext8pt"/>
            </w:pPr>
            <w:r w:rsidRPr="00A55335">
              <w:t>-</w:t>
            </w:r>
          </w:p>
        </w:tc>
        <w:tc>
          <w:tcPr>
            <w:tcW w:w="692" w:type="pct"/>
            <w:tcBorders>
              <w:top w:val="single" w:sz="6" w:space="0" w:color="000000"/>
              <w:left w:val="nil"/>
              <w:bottom w:val="single" w:sz="6" w:space="0" w:color="000000"/>
              <w:right w:val="nil"/>
            </w:tcBorders>
            <w:shd w:val="clear" w:color="auto" w:fill="EBEBEB"/>
            <w:hideMark/>
          </w:tcPr>
          <w:p w14:paraId="3378C9B5" w14:textId="77777777" w:rsidR="00FC5A2F" w:rsidRPr="00A55335" w:rsidRDefault="00FC5A2F" w:rsidP="00FC5A2F">
            <w:pPr>
              <w:pStyle w:val="Tabletext8pt"/>
            </w:pPr>
            <w:r w:rsidRPr="00A55335">
              <w:t>-</w:t>
            </w:r>
          </w:p>
        </w:tc>
        <w:tc>
          <w:tcPr>
            <w:tcW w:w="443" w:type="pct"/>
            <w:tcBorders>
              <w:top w:val="single" w:sz="6" w:space="0" w:color="000000"/>
              <w:left w:val="nil"/>
              <w:bottom w:val="single" w:sz="6" w:space="0" w:color="000000"/>
              <w:right w:val="nil"/>
            </w:tcBorders>
            <w:vAlign w:val="center"/>
            <w:hideMark/>
          </w:tcPr>
          <w:p w14:paraId="3BDEF6BA" w14:textId="77777777" w:rsidR="00FC5A2F" w:rsidRPr="00A55335" w:rsidRDefault="00FC5A2F" w:rsidP="00FC5A2F">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73AC0C78" w14:textId="08CDCC56" w:rsidR="00FC5A2F" w:rsidRPr="00A55335" w:rsidRDefault="0027780D" w:rsidP="00FC5A2F">
            <w:pPr>
              <w:pStyle w:val="Tabletext8pt"/>
              <w:jc w:val="center"/>
            </w:pPr>
            <w:r w:rsidRPr="00A55335">
              <w:t>(0 studies)</w:t>
            </w:r>
          </w:p>
        </w:tc>
        <w:tc>
          <w:tcPr>
            <w:tcW w:w="576" w:type="pct"/>
            <w:tcBorders>
              <w:top w:val="single" w:sz="6" w:space="0" w:color="000000"/>
              <w:left w:val="nil"/>
              <w:bottom w:val="single" w:sz="6" w:space="0" w:color="000000"/>
              <w:right w:val="nil"/>
            </w:tcBorders>
            <w:vAlign w:val="center"/>
            <w:hideMark/>
          </w:tcPr>
          <w:p w14:paraId="2A673BB3" w14:textId="77777777" w:rsidR="00FC5A2F" w:rsidRPr="00A55335" w:rsidRDefault="00FC5A2F" w:rsidP="00FC5A2F">
            <w:pPr>
              <w:pStyle w:val="Tabletext8pt"/>
              <w:jc w:val="center"/>
            </w:pPr>
            <w:r w:rsidRPr="00A55335">
              <w:t>-</w:t>
            </w:r>
          </w:p>
        </w:tc>
        <w:tc>
          <w:tcPr>
            <w:tcW w:w="998" w:type="pct"/>
            <w:tcBorders>
              <w:top w:val="single" w:sz="6" w:space="0" w:color="000000"/>
              <w:left w:val="nil"/>
              <w:bottom w:val="single" w:sz="6" w:space="0" w:color="000000"/>
              <w:right w:val="nil"/>
            </w:tcBorders>
            <w:vAlign w:val="center"/>
            <w:hideMark/>
          </w:tcPr>
          <w:p w14:paraId="556A0F47" w14:textId="25A03747" w:rsidR="00FC5A2F" w:rsidRPr="00A55335" w:rsidRDefault="0027780D" w:rsidP="00FC5A2F">
            <w:pPr>
              <w:pStyle w:val="Tabletext8pt"/>
            </w:pPr>
            <w:r w:rsidRPr="00A55335">
              <w:t>The effect of homeopathy on quality of life in people with anxiety is unknown</w:t>
            </w:r>
          </w:p>
        </w:tc>
      </w:tr>
      <w:tr w:rsidR="00FC5A2F" w:rsidRPr="00A55335" w14:paraId="1CEA94E0" w14:textId="77777777" w:rsidTr="00394AF3">
        <w:trPr>
          <w:gridBefore w:val="1"/>
          <w:wBefore w:w="5" w:type="pct"/>
          <w:cantSplit/>
        </w:trPr>
        <w:tc>
          <w:tcPr>
            <w:tcW w:w="4995" w:type="pct"/>
            <w:gridSpan w:val="7"/>
            <w:tcBorders>
              <w:top w:val="single" w:sz="6" w:space="0" w:color="000000"/>
              <w:left w:val="nil"/>
              <w:bottom w:val="single" w:sz="6" w:space="0" w:color="000000"/>
              <w:right w:val="nil"/>
            </w:tcBorders>
            <w:vAlign w:val="center"/>
            <w:hideMark/>
          </w:tcPr>
          <w:p w14:paraId="78DD483B" w14:textId="77777777" w:rsidR="00FC5A2F" w:rsidRPr="00A55335" w:rsidRDefault="00FC5A2F" w:rsidP="00FC5A2F">
            <w:pPr>
              <w:pStyle w:val="TableFigNotes18"/>
            </w:pPr>
            <w:r w:rsidRPr="00A55335">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0027D368" w14:textId="53E94D02" w:rsidR="00FC5A2F" w:rsidRPr="00A55335" w:rsidRDefault="00FC5A2F" w:rsidP="00FC5A2F">
            <w:pPr>
              <w:pStyle w:val="TableFigNotes18"/>
            </w:pPr>
            <w:r w:rsidRPr="00A55335">
              <w:t xml:space="preserve">** As a rule of thumb, an SMD of 0.2 represents a small difference, 0.5 is moderate, and 0.8 is a large difference </w:t>
            </w:r>
            <w:r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Pr="00A55335">
              <w:fldChar w:fldCharType="separate"/>
            </w:r>
            <w:r w:rsidR="00FA37A6" w:rsidRPr="00A55335">
              <w:rPr>
                <w:noProof/>
              </w:rPr>
              <w:t>(</w:t>
            </w:r>
            <w:hyperlink w:anchor="_ENREF_83" w:tooltip="Faraone, 2008 #165" w:history="1">
              <w:r w:rsidR="00EC2769" w:rsidRPr="00A55335">
                <w:rPr>
                  <w:noProof/>
                </w:rPr>
                <w:t>83</w:t>
              </w:r>
            </w:hyperlink>
            <w:r w:rsidR="00FA37A6" w:rsidRPr="00A55335">
              <w:rPr>
                <w:noProof/>
              </w:rPr>
              <w:t>)</w:t>
            </w:r>
            <w:r w:rsidRPr="00A55335">
              <w:fldChar w:fldCharType="end"/>
            </w:r>
            <w:r w:rsidR="009B5C71">
              <w:br/>
              <w:t xml:space="preserve">*** </w:t>
            </w:r>
            <w:r w:rsidR="009B5C71" w:rsidRPr="009B5C71">
              <w:t>Effect estimates were considered on 3 levels: small (MD &lt;10% of the scale), moderate (MD between 10% to 20% of the scale) or large (MD more than 20% of the scale).</w:t>
            </w:r>
            <w:r w:rsidR="007C77EA">
              <w:br/>
            </w:r>
          </w:p>
          <w:p w14:paraId="45BF2795" w14:textId="5336983B" w:rsidR="00FC5A2F" w:rsidRPr="00A55335" w:rsidRDefault="00FC5A2F" w:rsidP="00FC5A2F">
            <w:pPr>
              <w:pStyle w:val="TableFigNotes18"/>
              <w:rPr>
                <w:rStyle w:val="Strong"/>
              </w:rPr>
            </w:pPr>
            <w:r w:rsidRPr="00A55335">
              <w:t xml:space="preserve">^ One study (41 participants) also compared </w:t>
            </w:r>
            <w:proofErr w:type="spellStart"/>
            <w:r w:rsidRPr="00A55335">
              <w:t>radionically</w:t>
            </w:r>
            <w:proofErr w:type="spellEnd"/>
            <w:r w:rsidRPr="00A55335">
              <w:t xml:space="preserve"> prepared homeopathy to placebo, with similar results observed. </w:t>
            </w:r>
          </w:p>
          <w:p w14:paraId="7F23D68B" w14:textId="273F8BD9" w:rsidR="00FC5A2F" w:rsidRPr="00A55335" w:rsidRDefault="00FC5A2F" w:rsidP="00FC5A2F">
            <w:pPr>
              <w:pStyle w:val="TableFigNotes0"/>
            </w:pPr>
            <w:r w:rsidRPr="00A55335">
              <w:rPr>
                <w:rStyle w:val="Strong"/>
              </w:rPr>
              <w:t xml:space="preserve">BSI: </w:t>
            </w:r>
            <w:r w:rsidRPr="00A55335">
              <w:t xml:space="preserve">brief symptom inventory; </w:t>
            </w:r>
            <w:r w:rsidRPr="00A55335">
              <w:rPr>
                <w:rStyle w:val="Strong"/>
              </w:rPr>
              <w:t>CI</w:t>
            </w:r>
            <w:r w:rsidRPr="00A55335">
              <w:t xml:space="preserve">: confidence interval; </w:t>
            </w:r>
            <w:r w:rsidRPr="00A55335">
              <w:rPr>
                <w:rStyle w:val="Strong"/>
              </w:rPr>
              <w:t>HAM-A:</w:t>
            </w:r>
            <w:r w:rsidRPr="00A55335">
              <w:t xml:space="preserve"> Hamilton anxiety rating scale; </w:t>
            </w:r>
            <w:r w:rsidRPr="00A55335">
              <w:rPr>
                <w:rStyle w:val="Strong"/>
              </w:rPr>
              <w:t>HAM-D:</w:t>
            </w:r>
            <w:r w:rsidRPr="00A55335">
              <w:t xml:space="preserve"> Hamilton depression rating scale; </w:t>
            </w:r>
            <w:r w:rsidRPr="00A55335">
              <w:rPr>
                <w:rStyle w:val="Strong"/>
              </w:rPr>
              <w:t>MD</w:t>
            </w:r>
            <w:r w:rsidRPr="00A55335">
              <w:t xml:space="preserve">: mean difference; </w:t>
            </w:r>
            <w:r w:rsidRPr="00A55335">
              <w:rPr>
                <w:rStyle w:val="Strong"/>
              </w:rPr>
              <w:t>RCT</w:t>
            </w:r>
            <w:r w:rsidRPr="00A55335">
              <w:t xml:space="preserve">: randomised controlled trial; </w:t>
            </w:r>
            <w:r w:rsidRPr="00A55335">
              <w:rPr>
                <w:rStyle w:val="Strong"/>
              </w:rPr>
              <w:t>SMD</w:t>
            </w:r>
            <w:r w:rsidRPr="00A55335">
              <w:t xml:space="preserve">: standardised mean difference; </w:t>
            </w:r>
          </w:p>
        </w:tc>
      </w:tr>
      <w:tr w:rsidR="00FC5A2F" w:rsidRPr="00A55335" w14:paraId="6C336723" w14:textId="77777777" w:rsidTr="00394AF3">
        <w:tblPrEx>
          <w:tblCellMar>
            <w:top w:w="60" w:type="dxa"/>
            <w:left w:w="60" w:type="dxa"/>
            <w:bottom w:w="60" w:type="dxa"/>
            <w:right w:w="60" w:type="dxa"/>
          </w:tblCellMar>
        </w:tblPrEx>
        <w:trPr>
          <w:cantSplit/>
        </w:trPr>
        <w:tc>
          <w:tcPr>
            <w:tcW w:w="5000" w:type="pct"/>
            <w:gridSpan w:val="8"/>
            <w:tcBorders>
              <w:top w:val="single" w:sz="6" w:space="0" w:color="000000"/>
              <w:left w:val="nil"/>
              <w:bottom w:val="single" w:sz="6" w:space="0" w:color="000000"/>
              <w:right w:val="nil"/>
            </w:tcBorders>
            <w:vAlign w:val="center"/>
            <w:hideMark/>
          </w:tcPr>
          <w:p w14:paraId="3F84FEE5" w14:textId="77777777" w:rsidR="00FC5A2F" w:rsidRPr="00A55335" w:rsidRDefault="00FC5A2F" w:rsidP="00FC5A2F">
            <w:pPr>
              <w:pStyle w:val="TableFigNotes0"/>
            </w:pPr>
            <w:r w:rsidRPr="00A55335">
              <w:rPr>
                <w:rStyle w:val="Strong"/>
              </w:rPr>
              <w:lastRenderedPageBreak/>
              <w:t>GRADE Working Group grades of evidence</w:t>
            </w:r>
            <w:r w:rsidRPr="00A55335">
              <w:br/>
            </w:r>
            <w:r w:rsidRPr="00A55335">
              <w:rPr>
                <w:rStyle w:val="Strong"/>
              </w:rPr>
              <w:t>High certainty</w:t>
            </w:r>
            <w:r w:rsidRPr="00A55335">
              <w:t>: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54FA3D47" w14:textId="77777777" w:rsidR="00DD505D" w:rsidRPr="00A55335" w:rsidRDefault="00E35087" w:rsidP="00B4013E">
      <w:pPr>
        <w:pStyle w:val="Heading5a"/>
        <w:rPr>
          <w:lang w:val="en-AU"/>
        </w:rPr>
      </w:pPr>
      <w:r w:rsidRPr="00A55335">
        <w:rPr>
          <w:lang w:val="en-AU"/>
        </w:rPr>
        <w:t>Explanations</w:t>
      </w:r>
    </w:p>
    <w:p w14:paraId="1F0DA0CA" w14:textId="63E46CAC" w:rsidR="00DD505D" w:rsidRPr="00A55335" w:rsidRDefault="00DD505D" w:rsidP="001B5841">
      <w:pPr>
        <w:pStyle w:val="Footnote"/>
      </w:pPr>
      <w:r w:rsidRPr="00A55335">
        <w:t>a. No serious risk of bias. One stud</w:t>
      </w:r>
      <w:r w:rsidR="00F12351" w:rsidRPr="00A55335">
        <w:t>y</w:t>
      </w:r>
      <w:r w:rsidRPr="00A55335">
        <w:t xml:space="preserve"> contributing 32% data was at high risk of bias. </w:t>
      </w:r>
      <w:r w:rsidR="00F12351" w:rsidRPr="00A55335">
        <w:t xml:space="preserve">In a </w:t>
      </w:r>
      <w:r w:rsidRPr="00A55335">
        <w:t xml:space="preserve">sensitivity analysis considering the impact of </w:t>
      </w:r>
      <w:r w:rsidR="00F12351" w:rsidRPr="00A55335">
        <w:t xml:space="preserve">this </w:t>
      </w:r>
      <w:r w:rsidRPr="00A55335">
        <w:t>study, the effect size did not meaningfully change. Certainty of evidence not downgraded.</w:t>
      </w:r>
    </w:p>
    <w:p w14:paraId="68DE309C" w14:textId="3220F75B" w:rsidR="00DD505D" w:rsidRPr="00A55335" w:rsidRDefault="00DD505D" w:rsidP="001B5841">
      <w:pPr>
        <w:pStyle w:val="Footnote"/>
      </w:pPr>
      <w:r w:rsidRPr="00A55335">
        <w:t xml:space="preserve">b. </w:t>
      </w:r>
      <w:proofErr w:type="gramStart"/>
      <w:r w:rsidRPr="00A55335">
        <w:t>Serious</w:t>
      </w:r>
      <w:proofErr w:type="gramEnd"/>
      <w:r w:rsidRPr="00A55335">
        <w:t xml:space="preserve"> inconsistency. </w:t>
      </w:r>
      <w:r w:rsidR="00226560" w:rsidRPr="00A55335">
        <w:t>Point estimates vary</w:t>
      </w:r>
      <w:r w:rsidR="00CE7473" w:rsidRPr="00A55335">
        <w:t xml:space="preserve">, with one </w:t>
      </w:r>
      <w:r w:rsidRPr="00A55335">
        <w:t xml:space="preserve">study </w:t>
      </w:r>
      <w:r w:rsidR="00CE7473" w:rsidRPr="00A55335">
        <w:t xml:space="preserve">suggesting </w:t>
      </w:r>
      <w:r w:rsidRPr="00A55335">
        <w:t xml:space="preserve">an effect favouring homeopathy </w:t>
      </w:r>
      <w:r w:rsidR="009557D4" w:rsidRPr="00A55335">
        <w:t>and 2 studies favouring placebo</w:t>
      </w:r>
      <w:r w:rsidRPr="00A55335">
        <w:t>. Statistical heterogeneity was high (I</w:t>
      </w:r>
      <w:r w:rsidRPr="00A55335">
        <w:rPr>
          <w:rStyle w:val="FootnoteReference"/>
        </w:rPr>
        <w:t>2</w:t>
      </w:r>
      <w:r w:rsidRPr="00A55335">
        <w:t xml:space="preserve"> = 71%). Certainty of evidence downgraded.</w:t>
      </w:r>
      <w:r w:rsidR="001028BC" w:rsidRPr="00A55335">
        <w:t xml:space="preserve"> </w:t>
      </w:r>
    </w:p>
    <w:p w14:paraId="376A7FB0" w14:textId="5FF80971" w:rsidR="00AA1522" w:rsidRPr="00A55335" w:rsidRDefault="00AA1522" w:rsidP="001B5841">
      <w:pPr>
        <w:pStyle w:val="Footnote"/>
      </w:pPr>
      <w:r w:rsidRPr="00A55335">
        <w:t xml:space="preserve">c. No serious indirectness. </w:t>
      </w:r>
      <w:r w:rsidR="002F6194" w:rsidRPr="00A55335">
        <w:t>The available evidence is in people with generalised anxiety disorder or test anxiety and</w:t>
      </w:r>
      <w:r w:rsidRPr="00A55335">
        <w:t xml:space="preserve"> is directly generalisable to the Australian population with few caveats. Certainty of evidence not downgraded.</w:t>
      </w:r>
    </w:p>
    <w:p w14:paraId="2EFBB899" w14:textId="5917F667" w:rsidR="00DD505D" w:rsidRPr="00A55335" w:rsidRDefault="00AA1522" w:rsidP="001B5841">
      <w:pPr>
        <w:pStyle w:val="Footnote"/>
      </w:pPr>
      <w:r w:rsidRPr="00A55335">
        <w:t>d</w:t>
      </w:r>
      <w:r w:rsidR="00DD505D" w:rsidRPr="00A55335">
        <w:t xml:space="preserve">. </w:t>
      </w:r>
      <w:proofErr w:type="gramStart"/>
      <w:r w:rsidR="00DD505D" w:rsidRPr="00A55335">
        <w:t>Serious</w:t>
      </w:r>
      <w:proofErr w:type="gramEnd"/>
      <w:r w:rsidR="00DD505D" w:rsidRPr="00A55335">
        <w:t xml:space="preserve"> imprecision. Wide confidence intervals </w:t>
      </w:r>
      <w:r w:rsidR="005C4EB3" w:rsidRPr="00A55335">
        <w:t xml:space="preserve">(upper and lower bounds overlap with </w:t>
      </w:r>
      <w:r w:rsidR="00DD505D" w:rsidRPr="00A55335">
        <w:t xml:space="preserve">both </w:t>
      </w:r>
      <w:r w:rsidR="005C4EB3" w:rsidRPr="00A55335">
        <w:t xml:space="preserve">a </w:t>
      </w:r>
      <w:r w:rsidR="00DD505D" w:rsidRPr="00A55335">
        <w:t>meaningful benefit and meaningful harm</w:t>
      </w:r>
      <w:r w:rsidR="009A69B7" w:rsidRPr="00A55335">
        <w:t>)</w:t>
      </w:r>
      <w:r w:rsidR="00DD505D" w:rsidRPr="00A55335">
        <w:t>. Certainty of evidence downgraded.</w:t>
      </w:r>
    </w:p>
    <w:p w14:paraId="09E59CF4" w14:textId="7D17104C" w:rsidR="00DD505D" w:rsidRPr="00A55335" w:rsidRDefault="00AA1522" w:rsidP="001B5841">
      <w:pPr>
        <w:pStyle w:val="Footnote"/>
      </w:pPr>
      <w:r w:rsidRPr="00A55335">
        <w:t>e</w:t>
      </w:r>
      <w:r w:rsidR="00DD505D" w:rsidRPr="00A55335">
        <w:t xml:space="preserve">. Publication bias not </w:t>
      </w:r>
      <w:r w:rsidR="0079267D" w:rsidRPr="00A55335">
        <w:t>suspected</w:t>
      </w:r>
      <w:r w:rsidR="00DD505D" w:rsidRPr="00A55335">
        <w:t>. Certainty of evidence not downgraded.</w:t>
      </w:r>
    </w:p>
    <w:p w14:paraId="3B764DA7" w14:textId="46DAE614" w:rsidR="004967C7" w:rsidRPr="00A55335" w:rsidRDefault="004967C7" w:rsidP="004967C7">
      <w:pPr>
        <w:pStyle w:val="Footnote"/>
      </w:pPr>
      <w:r w:rsidRPr="00A55335">
        <w:t>f. No serious risk of bias. Certainty of evidence not downgraded.</w:t>
      </w:r>
    </w:p>
    <w:p w14:paraId="2814B4CD" w14:textId="77777777" w:rsidR="004967C7" w:rsidRPr="00A55335" w:rsidRDefault="004967C7" w:rsidP="004967C7">
      <w:pPr>
        <w:pStyle w:val="Footnote"/>
      </w:pPr>
      <w:r w:rsidRPr="00A55335">
        <w:t>g. Single study. Inconsistency not assessed. Certainty of evidence not downgraded.</w:t>
      </w:r>
    </w:p>
    <w:p w14:paraId="0F950FB8" w14:textId="62CF4644" w:rsidR="004967C7" w:rsidRPr="00A55335" w:rsidRDefault="00FF4265" w:rsidP="001B5841">
      <w:pPr>
        <w:pStyle w:val="Footnote"/>
      </w:pPr>
      <w:r w:rsidRPr="00A55335">
        <w:t>h. Very serious imprecision. S</w:t>
      </w:r>
      <w:r w:rsidR="00FC5A2F" w:rsidRPr="00A55335">
        <w:t>ingle s</w:t>
      </w:r>
      <w:r w:rsidRPr="00A55335">
        <w:t>mall study. Wide confidence intervals (upper and lower bounds overlap with both a meaningful benefit and meaningful harm). Certainty of evidence downgraded 2 levels.</w:t>
      </w:r>
    </w:p>
    <w:p w14:paraId="2835613F" w14:textId="1A33D695" w:rsidR="001B5841" w:rsidRPr="00A55335" w:rsidRDefault="006070ED" w:rsidP="001B5841">
      <w:pPr>
        <w:pStyle w:val="Heading4"/>
      </w:pPr>
      <w:bookmarkStart w:id="187" w:name="_Ref151379582"/>
      <w:r w:rsidRPr="00A55335">
        <w:t>Secondary Comparison</w:t>
      </w:r>
      <w:r w:rsidR="001B5841" w:rsidRPr="00A55335">
        <w:t xml:space="preserve"> (vs </w:t>
      </w:r>
      <w:r w:rsidR="00BD79A8" w:rsidRPr="00A55335">
        <w:t xml:space="preserve">inactive </w:t>
      </w:r>
      <w:r w:rsidR="001B5841" w:rsidRPr="00A55335">
        <w:t>control)</w:t>
      </w:r>
      <w:bookmarkEnd w:id="187"/>
    </w:p>
    <w:p w14:paraId="22E06569" w14:textId="50878091" w:rsidR="001B5841" w:rsidRPr="00A55335" w:rsidRDefault="001B5841" w:rsidP="001B5841">
      <w:pPr>
        <w:pStyle w:val="BodyText"/>
      </w:pPr>
      <w:r w:rsidRPr="00A55335">
        <w:t xml:space="preserve">There were no studies </w:t>
      </w:r>
      <w:r w:rsidR="00AA0423" w:rsidRPr="00A55335">
        <w:t>found that</w:t>
      </w:r>
      <w:r w:rsidRPr="00A55335">
        <w:t xml:space="preserve"> compared homeopathy to </w:t>
      </w:r>
      <w:r w:rsidR="00BD79A8" w:rsidRPr="00A55335">
        <w:t xml:space="preserve">inactive </w:t>
      </w:r>
      <w:r w:rsidRPr="00A55335">
        <w:t>control (no intervention, usual care or waitlist) in people with anxiety. The</w:t>
      </w:r>
      <w:r w:rsidR="00AA0423" w:rsidRPr="00A55335">
        <w:t>refore, the</w:t>
      </w:r>
      <w:r w:rsidRPr="00A55335">
        <w:t xml:space="preserve"> effect of homeopathy compared to inactive control is unknown.</w:t>
      </w:r>
    </w:p>
    <w:p w14:paraId="48C2E82C" w14:textId="77777777" w:rsidR="00DD505D" w:rsidRPr="00A55335" w:rsidRDefault="00DD505D" w:rsidP="004D433B">
      <w:pPr>
        <w:pStyle w:val="Heading3"/>
      </w:pPr>
      <w:bookmarkStart w:id="188" w:name="_Toc183441332"/>
      <w:r w:rsidRPr="00A55335">
        <w:t>Forest plots</w:t>
      </w:r>
      <w:bookmarkEnd w:id="188"/>
    </w:p>
    <w:p w14:paraId="00B426C6" w14:textId="500B6F81" w:rsidR="00DD505D" w:rsidRPr="00A55335" w:rsidRDefault="00DD505D" w:rsidP="00DD505D">
      <w:pPr>
        <w:pStyle w:val="BodyText"/>
      </w:pPr>
      <w:r w:rsidRPr="00A55335">
        <w:t xml:space="preserve">Outcome results related </w:t>
      </w:r>
      <w:r w:rsidR="009D62B4" w:rsidRPr="00A55335">
        <w:t>to</w:t>
      </w:r>
      <w:r w:rsidRPr="00A55335">
        <w:t xml:space="preserve"> </w:t>
      </w:r>
      <w:r w:rsidR="00E0730F" w:rsidRPr="00A55335">
        <w:t xml:space="preserve">the primary comparison </w:t>
      </w:r>
      <w:r w:rsidR="001B5841" w:rsidRPr="00A55335">
        <w:t xml:space="preserve">(homeopathy vs placebo) </w:t>
      </w:r>
      <w:r w:rsidRPr="00A55335">
        <w:t xml:space="preserve">in people with anxiety are presented in </w:t>
      </w:r>
      <w:r w:rsidR="003F313A" w:rsidRPr="00A55335">
        <w:fldChar w:fldCharType="begin"/>
      </w:r>
      <w:r w:rsidR="003F313A" w:rsidRPr="00A55335">
        <w:instrText xml:space="preserve"> REF _Ref151457920 \h </w:instrText>
      </w:r>
      <w:r w:rsidR="003F313A" w:rsidRPr="00A55335">
        <w:fldChar w:fldCharType="separate"/>
      </w:r>
      <w:r w:rsidR="00814B04" w:rsidRPr="00A55335">
        <w:t xml:space="preserve">Figure </w:t>
      </w:r>
      <w:r w:rsidR="00814B04">
        <w:rPr>
          <w:noProof/>
        </w:rPr>
        <w:t>24</w:t>
      </w:r>
      <w:r w:rsidR="003F313A" w:rsidRPr="00A55335">
        <w:fldChar w:fldCharType="end"/>
      </w:r>
      <w:r w:rsidR="001B5841" w:rsidRPr="00A55335">
        <w:t xml:space="preserve"> (anxiety severity),</w:t>
      </w:r>
      <w:r w:rsidRPr="00A55335">
        <w:t xml:space="preserve"> </w:t>
      </w:r>
      <w:r w:rsidR="00F12117" w:rsidRPr="00A55335">
        <w:fldChar w:fldCharType="begin"/>
      </w:r>
      <w:r w:rsidR="00F12117" w:rsidRPr="00A55335">
        <w:instrText xml:space="preserve"> REF _Ref151457963 \h </w:instrText>
      </w:r>
      <w:r w:rsidR="00F12117" w:rsidRPr="00A55335">
        <w:fldChar w:fldCharType="separate"/>
      </w:r>
      <w:r w:rsidR="00814B04" w:rsidRPr="00A55335">
        <w:t xml:space="preserve">Figure </w:t>
      </w:r>
      <w:r w:rsidR="00814B04">
        <w:rPr>
          <w:noProof/>
        </w:rPr>
        <w:t>25</w:t>
      </w:r>
      <w:r w:rsidR="00F12117" w:rsidRPr="00A55335">
        <w:fldChar w:fldCharType="end"/>
      </w:r>
      <w:r w:rsidR="001B5841" w:rsidRPr="00A55335">
        <w:t xml:space="preserve"> </w:t>
      </w:r>
      <w:r w:rsidR="003A7FE6" w:rsidRPr="00A55335">
        <w:t>(</w:t>
      </w:r>
      <w:r w:rsidR="001B5841" w:rsidRPr="00A55335">
        <w:t>depression severity</w:t>
      </w:r>
      <w:r w:rsidR="003A7FE6" w:rsidRPr="00A55335">
        <w:t>)</w:t>
      </w:r>
      <w:r w:rsidR="00A53C23" w:rsidRPr="00A55335">
        <w:t xml:space="preserve">, and </w:t>
      </w:r>
      <w:r w:rsidR="00A53C23" w:rsidRPr="00A55335">
        <w:fldChar w:fldCharType="begin"/>
      </w:r>
      <w:r w:rsidR="00A53C23" w:rsidRPr="00A55335">
        <w:instrText xml:space="preserve"> REF _Ref151457948 \h </w:instrText>
      </w:r>
      <w:r w:rsidR="00A53C23" w:rsidRPr="00A55335">
        <w:fldChar w:fldCharType="separate"/>
      </w:r>
      <w:r w:rsidR="00814B04" w:rsidRPr="00A55335">
        <w:t xml:space="preserve">Figure </w:t>
      </w:r>
      <w:r w:rsidR="00814B04">
        <w:rPr>
          <w:noProof/>
        </w:rPr>
        <w:t>26</w:t>
      </w:r>
      <w:r w:rsidR="00A53C23" w:rsidRPr="00A55335">
        <w:fldChar w:fldCharType="end"/>
      </w:r>
      <w:r w:rsidR="00A53C23" w:rsidRPr="00A55335">
        <w:t xml:space="preserve"> (emotional functioning)</w:t>
      </w:r>
      <w:r w:rsidRPr="00A55335">
        <w:t>.</w:t>
      </w:r>
    </w:p>
    <w:p w14:paraId="1A401C06" w14:textId="350E98B8" w:rsidR="00DD505D" w:rsidRPr="00A55335" w:rsidRDefault="00DD505D" w:rsidP="00DD505D">
      <w:pPr>
        <w:pStyle w:val="Caption"/>
      </w:pPr>
      <w:bookmarkStart w:id="189" w:name="_Ref141423619"/>
      <w:bookmarkStart w:id="190" w:name="_Ref151457920"/>
      <w:bookmarkStart w:id="191" w:name="_Toc183520297"/>
      <w:r w:rsidRPr="00A55335">
        <w:lastRenderedPageBreak/>
        <w:t xml:space="preserve">Figure </w:t>
      </w:r>
      <w:bookmarkEnd w:id="189"/>
      <w:r w:rsidRPr="00A55335">
        <w:fldChar w:fldCharType="begin"/>
      </w:r>
      <w:r w:rsidRPr="00A55335">
        <w:instrText xml:space="preserve"> SEQ Figure \* ARABIC </w:instrText>
      </w:r>
      <w:r w:rsidRPr="00A55335">
        <w:fldChar w:fldCharType="separate"/>
      </w:r>
      <w:r w:rsidR="00814B04">
        <w:rPr>
          <w:noProof/>
        </w:rPr>
        <w:t>24</w:t>
      </w:r>
      <w:r w:rsidRPr="00A55335">
        <w:fldChar w:fldCharType="end"/>
      </w:r>
      <w:bookmarkEnd w:id="190"/>
      <w:r w:rsidR="003A7FE6" w:rsidRPr="00A55335">
        <w:tab/>
      </w:r>
      <w:r w:rsidRPr="00A55335">
        <w:t xml:space="preserve">Forest plot of </w:t>
      </w:r>
      <w:r w:rsidR="00E0794B" w:rsidRPr="00A55335">
        <w:t xml:space="preserve">primary </w:t>
      </w:r>
      <w:r w:rsidRPr="00A55335">
        <w:t>comparison: Homeopathy vs placebo: Anxiety</w:t>
      </w:r>
      <w:r w:rsidR="00150B23" w:rsidRPr="00A55335">
        <w:t xml:space="preserve"> </w:t>
      </w:r>
      <w:r w:rsidR="0001698A" w:rsidRPr="00A55335">
        <w:t>–</w:t>
      </w:r>
      <w:r w:rsidRPr="00A55335">
        <w:t xml:space="preserve"> anxiety severity</w:t>
      </w:r>
      <w:bookmarkEnd w:id="191"/>
    </w:p>
    <w:p w14:paraId="51BAEE67" w14:textId="73A4BD5C" w:rsidR="00442DAE" w:rsidRPr="00A55335" w:rsidRDefault="00442DAE" w:rsidP="009F16EB">
      <w:pPr>
        <w:pStyle w:val="Pic"/>
      </w:pPr>
      <w:r w:rsidRPr="00A55335">
        <w:rPr>
          <w:noProof/>
        </w:rPr>
        <w:drawing>
          <wp:inline distT="0" distB="0" distL="0" distR="0" wp14:anchorId="28739C9E" wp14:editId="7C80C8D0">
            <wp:extent cx="6003290" cy="3458845"/>
            <wp:effectExtent l="0" t="0" r="0" b="8255"/>
            <wp:docPr id="75525649" name="Picture 7552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3290" cy="3458845"/>
                    </a:xfrm>
                    <a:prstGeom prst="rect">
                      <a:avLst/>
                    </a:prstGeom>
                    <a:noFill/>
                    <a:ln>
                      <a:noFill/>
                    </a:ln>
                  </pic:spPr>
                </pic:pic>
              </a:graphicData>
            </a:graphic>
          </wp:inline>
        </w:drawing>
      </w:r>
    </w:p>
    <w:p w14:paraId="10D1642C" w14:textId="3DC6263C" w:rsidR="003A7FE6" w:rsidRPr="00A55335" w:rsidRDefault="003A7FE6" w:rsidP="003A7FE6">
      <w:pPr>
        <w:pStyle w:val="Pic"/>
      </w:pPr>
    </w:p>
    <w:p w14:paraId="31F05DC8" w14:textId="77777777" w:rsidR="00A53C23" w:rsidRPr="00A55335" w:rsidRDefault="00A53C23" w:rsidP="00A53C23">
      <w:pPr>
        <w:pStyle w:val="TableFigNotes18"/>
      </w:pPr>
    </w:p>
    <w:p w14:paraId="5C4155A9" w14:textId="47E73AE7" w:rsidR="00A53C23" w:rsidRPr="00A55335" w:rsidRDefault="00A53C23" w:rsidP="00A53C23">
      <w:pPr>
        <w:pStyle w:val="Caption"/>
      </w:pPr>
      <w:bookmarkStart w:id="192" w:name="_Ref141451622"/>
      <w:bookmarkStart w:id="193" w:name="_Ref151457963"/>
      <w:bookmarkStart w:id="194" w:name="_Toc183520298"/>
      <w:r w:rsidRPr="00A55335">
        <w:t xml:space="preserve">Figure </w:t>
      </w:r>
      <w:bookmarkEnd w:id="192"/>
      <w:r w:rsidRPr="00A55335">
        <w:fldChar w:fldCharType="begin"/>
      </w:r>
      <w:r w:rsidRPr="00A55335">
        <w:instrText xml:space="preserve"> SEQ Figure \* ARABIC </w:instrText>
      </w:r>
      <w:r w:rsidRPr="00A55335">
        <w:fldChar w:fldCharType="separate"/>
      </w:r>
      <w:r w:rsidR="00814B04">
        <w:rPr>
          <w:noProof/>
        </w:rPr>
        <w:t>25</w:t>
      </w:r>
      <w:r w:rsidRPr="00A55335">
        <w:fldChar w:fldCharType="end"/>
      </w:r>
      <w:bookmarkEnd w:id="193"/>
      <w:r w:rsidRPr="00A55335">
        <w:tab/>
        <w:t xml:space="preserve">Forest plot of </w:t>
      </w:r>
      <w:r w:rsidR="00E0794B" w:rsidRPr="00A55335">
        <w:t xml:space="preserve">primary </w:t>
      </w:r>
      <w:r w:rsidRPr="00A55335">
        <w:t>comparison: Homeopathy vs placebo: Anxiety</w:t>
      </w:r>
      <w:r w:rsidR="00673368" w:rsidRPr="00A55335">
        <w:t xml:space="preserve"> </w:t>
      </w:r>
      <w:r w:rsidR="00CA343C">
        <w:t>–</w:t>
      </w:r>
      <w:r w:rsidRPr="00A55335">
        <w:t xml:space="preserve"> depression severity</w:t>
      </w:r>
      <w:bookmarkEnd w:id="194"/>
    </w:p>
    <w:p w14:paraId="518024DC" w14:textId="77777777" w:rsidR="00A53C23" w:rsidRPr="00A55335" w:rsidRDefault="00A53C23" w:rsidP="00A53C23">
      <w:pPr>
        <w:pStyle w:val="Pic"/>
      </w:pPr>
      <w:r w:rsidRPr="00A55335">
        <w:rPr>
          <w:noProof/>
        </w:rPr>
        <w:drawing>
          <wp:inline distT="0" distB="0" distL="0" distR="0" wp14:anchorId="3FB6F0F7" wp14:editId="27C240A6">
            <wp:extent cx="5833745" cy="2346791"/>
            <wp:effectExtent l="0" t="0" r="0" b="0"/>
            <wp:docPr id="649210806" name="Picture 649210806" descr="A screenshot of a test resul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10806" name="Picture 649210806" descr="A screenshot of a test results&#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8417" cy="2352693"/>
                    </a:xfrm>
                    <a:prstGeom prst="rect">
                      <a:avLst/>
                    </a:prstGeom>
                    <a:noFill/>
                    <a:ln>
                      <a:noFill/>
                    </a:ln>
                  </pic:spPr>
                </pic:pic>
              </a:graphicData>
            </a:graphic>
          </wp:inline>
        </w:drawing>
      </w:r>
    </w:p>
    <w:p w14:paraId="3C12FE6A" w14:textId="77777777" w:rsidR="00A53C23" w:rsidRPr="00A55335" w:rsidRDefault="00A53C23" w:rsidP="00A53C23">
      <w:pPr>
        <w:pStyle w:val="TableFigNotes18"/>
      </w:pPr>
    </w:p>
    <w:p w14:paraId="4E2FEBBD" w14:textId="7FCE851C" w:rsidR="00DD505D" w:rsidRPr="00A55335" w:rsidRDefault="00DD505D" w:rsidP="00DD505D">
      <w:pPr>
        <w:pStyle w:val="Caption"/>
      </w:pPr>
      <w:bookmarkStart w:id="195" w:name="_Ref141423673"/>
      <w:bookmarkStart w:id="196" w:name="_Ref151457948"/>
      <w:bookmarkStart w:id="197" w:name="_Toc183520299"/>
      <w:r w:rsidRPr="00A55335">
        <w:lastRenderedPageBreak/>
        <w:t xml:space="preserve">Figure </w:t>
      </w:r>
      <w:bookmarkEnd w:id="195"/>
      <w:r w:rsidRPr="00A55335">
        <w:fldChar w:fldCharType="begin"/>
      </w:r>
      <w:r w:rsidRPr="00A55335">
        <w:instrText xml:space="preserve"> SEQ Figure \* ARABIC </w:instrText>
      </w:r>
      <w:r w:rsidRPr="00A55335">
        <w:fldChar w:fldCharType="separate"/>
      </w:r>
      <w:r w:rsidR="00814B04">
        <w:rPr>
          <w:noProof/>
        </w:rPr>
        <w:t>26</w:t>
      </w:r>
      <w:r w:rsidRPr="00A55335">
        <w:fldChar w:fldCharType="end"/>
      </w:r>
      <w:bookmarkEnd w:id="196"/>
      <w:r w:rsidR="003A7FE6" w:rsidRPr="00A55335">
        <w:tab/>
      </w:r>
      <w:r w:rsidRPr="00A55335">
        <w:t xml:space="preserve">Forest plot of </w:t>
      </w:r>
      <w:r w:rsidR="00E0794B" w:rsidRPr="00A55335">
        <w:t xml:space="preserve">primary </w:t>
      </w:r>
      <w:r w:rsidRPr="00A55335">
        <w:t>comparison: Homeopathy vs placebo: Anxiety</w:t>
      </w:r>
      <w:r w:rsidR="00BC6936" w:rsidRPr="00A55335">
        <w:t xml:space="preserve"> </w:t>
      </w:r>
      <w:r w:rsidR="00CA343C">
        <w:t>–</w:t>
      </w:r>
      <w:r w:rsidRPr="00A55335">
        <w:t xml:space="preserve"> emotional </w:t>
      </w:r>
      <w:r w:rsidR="00D432E8" w:rsidRPr="00A55335">
        <w:t>functioning</w:t>
      </w:r>
      <w:bookmarkEnd w:id="197"/>
    </w:p>
    <w:p w14:paraId="53020B0C" w14:textId="6E735B5E" w:rsidR="003A7FE6" w:rsidRPr="00A55335" w:rsidRDefault="003A7FE6" w:rsidP="003A7FE6">
      <w:pPr>
        <w:pStyle w:val="Pic"/>
      </w:pPr>
      <w:r w:rsidRPr="00A55335">
        <w:rPr>
          <w:noProof/>
        </w:rPr>
        <w:drawing>
          <wp:inline distT="0" distB="0" distL="0" distR="0" wp14:anchorId="5A8510D2" wp14:editId="06F8780C">
            <wp:extent cx="5853200" cy="2667000"/>
            <wp:effectExtent l="0" t="0" r="0" b="0"/>
            <wp:docPr id="2052979607" name="Picture 2052979607"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79607" name="Picture 2052979607" descr="A screenshot of a repor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68553" cy="2673996"/>
                    </a:xfrm>
                    <a:prstGeom prst="rect">
                      <a:avLst/>
                    </a:prstGeom>
                    <a:noFill/>
                    <a:ln>
                      <a:noFill/>
                    </a:ln>
                  </pic:spPr>
                </pic:pic>
              </a:graphicData>
            </a:graphic>
          </wp:inline>
        </w:drawing>
      </w:r>
    </w:p>
    <w:p w14:paraId="07BBD8B2" w14:textId="77777777" w:rsidR="003A7FE6" w:rsidRPr="00A55335" w:rsidRDefault="003A7FE6" w:rsidP="003A7FE6">
      <w:pPr>
        <w:pStyle w:val="TableFigNotes18"/>
      </w:pPr>
    </w:p>
    <w:p w14:paraId="1649CD9F" w14:textId="42FA5157" w:rsidR="007B4447" w:rsidRPr="00A55335" w:rsidRDefault="007B4447" w:rsidP="00645730">
      <w:pPr>
        <w:pStyle w:val="BodyText"/>
      </w:pPr>
      <w:r w:rsidRPr="00A55335">
        <w:br w:type="page"/>
      </w:r>
    </w:p>
    <w:p w14:paraId="25FBE42B" w14:textId="77777777" w:rsidR="00DD505D" w:rsidRPr="00A55335" w:rsidRDefault="00DD505D" w:rsidP="00C373A2">
      <w:pPr>
        <w:pStyle w:val="Heading2"/>
      </w:pPr>
      <w:bookmarkStart w:id="198" w:name="_Toc183441333"/>
      <w:r w:rsidRPr="00A55335">
        <w:lastRenderedPageBreak/>
        <w:t>Depression</w:t>
      </w:r>
      <w:bookmarkEnd w:id="198"/>
    </w:p>
    <w:p w14:paraId="4B6D0469" w14:textId="77777777" w:rsidR="00DD505D" w:rsidRPr="00A55335" w:rsidRDefault="00DD505D" w:rsidP="004D433B">
      <w:pPr>
        <w:pStyle w:val="Heading3"/>
      </w:pPr>
      <w:bookmarkStart w:id="199" w:name="_Toc183441334"/>
      <w:r w:rsidRPr="00A55335">
        <w:t>Description of the condition</w:t>
      </w:r>
      <w:bookmarkEnd w:id="199"/>
      <w:r w:rsidRPr="00A55335">
        <w:t xml:space="preserve"> </w:t>
      </w:r>
    </w:p>
    <w:p w14:paraId="304F123A" w14:textId="637F134E" w:rsidR="00DD505D" w:rsidRPr="00A55335" w:rsidRDefault="00DD505D" w:rsidP="00DD505D">
      <w:pPr>
        <w:pStyle w:val="BodyText"/>
      </w:pPr>
      <w:r w:rsidRPr="00A55335">
        <w:t>Depression is a highly prevalent mood disorder</w:t>
      </w:r>
      <w:r w:rsidR="003B12E4" w:rsidRPr="00A55335">
        <w:t xml:space="preserve">, and the third largest contributor to burden of disease in Australia </w:t>
      </w:r>
      <w:r w:rsidR="003B12E4" w:rsidRPr="00A55335">
        <w:fldChar w:fldCharType="begin"/>
      </w:r>
      <w:r w:rsidR="006952AD">
        <w:instrText xml:space="preserve"> ADDIN EN.CITE &lt;EndNote&gt;&lt;Cite&gt;&lt;Author&gt;Australian Institute of Health and Welfare&lt;/Author&gt;&lt;Year&gt;2014&lt;/Year&gt;&lt;RecNum&gt;152&lt;/RecNum&gt;&lt;DisplayText&gt;(133)&lt;/DisplayText&gt;&lt;record&gt;&lt;rec-number&gt;152&lt;/rec-number&gt;&lt;foreign-keys&gt;&lt;key app="EN" db-id="t5prptatr9sp0we5exbxt9zz20fwp55tdza9" timestamp="1691717304"&gt;152&lt;/key&gt;&lt;/foreign-keys&gt;&lt;ref-type name="Electronic Article"&gt;43&lt;/ref-type&gt;&lt;contributors&gt;&lt;authors&gt;&lt;author&gt;Australian Institute of Health and Welfare,&lt;/author&gt;&lt;/authors&gt;&lt;/contributors&gt;&lt;titles&gt;&lt;title&gt;Australia&amp;apos;s Health 2014&lt;/title&gt;&lt;/titles&gt;&lt;dates&gt;&lt;year&gt;2014&lt;/year&gt;&lt;/dates&gt;&lt;pub-location&gt;aihw.gov.au&lt;/pub-location&gt;&lt;publisher&gt;AIHW&lt;/publisher&gt;&lt;urls&gt;&lt;related-urls&gt;&lt;url&gt;https://www.aihw.gov.au/reports/australias-health/australias-health-2014/overview&lt;/url&gt;&lt;/related-urls&gt;&lt;/urls&gt;&lt;/record&gt;&lt;/Cite&gt;&lt;/EndNote&gt;</w:instrText>
      </w:r>
      <w:r w:rsidR="003B12E4" w:rsidRPr="00A55335">
        <w:fldChar w:fldCharType="separate"/>
      </w:r>
      <w:r w:rsidR="00067842">
        <w:rPr>
          <w:noProof/>
        </w:rPr>
        <w:t>(</w:t>
      </w:r>
      <w:hyperlink w:anchor="_ENREF_133" w:tooltip="Australian Institute of Health and Welfare, 2014 #152" w:history="1">
        <w:r w:rsidR="00EC2769">
          <w:rPr>
            <w:noProof/>
          </w:rPr>
          <w:t>133</w:t>
        </w:r>
      </w:hyperlink>
      <w:r w:rsidR="00067842">
        <w:rPr>
          <w:noProof/>
        </w:rPr>
        <w:t>)</w:t>
      </w:r>
      <w:r w:rsidR="003B12E4" w:rsidRPr="00A55335">
        <w:fldChar w:fldCharType="end"/>
      </w:r>
      <w:r w:rsidR="003B12E4" w:rsidRPr="00A55335">
        <w:t xml:space="preserve">, </w:t>
      </w:r>
      <w:r w:rsidRPr="00A55335">
        <w:t>affecting</w:t>
      </w:r>
      <w:r w:rsidR="00980CA0" w:rsidRPr="00A55335">
        <w:t xml:space="preserve"> one </w:t>
      </w:r>
      <w:r w:rsidRPr="00A55335">
        <w:t xml:space="preserve">in every 16 Australians </w:t>
      </w:r>
      <w:r w:rsidRPr="00A55335">
        <w:fldChar w:fldCharType="begin"/>
      </w:r>
      <w:r w:rsidR="006952AD">
        <w:instrText xml:space="preserve"> ADDIN EN.CITE &lt;EndNote&gt;&lt;Cite&gt;&lt;Author&gt;Australian Bureau of Statistics&lt;/Author&gt;&lt;Year&gt;2008&lt;/Year&gt;&lt;RecNum&gt;151&lt;/RecNum&gt;&lt;DisplayText&gt;(134)&lt;/DisplayText&gt;&lt;record&gt;&lt;rec-number&gt;151&lt;/rec-number&gt;&lt;foreign-keys&gt;&lt;key app="EN" db-id="t5prptatr9sp0we5exbxt9zz20fwp55tdza9" timestamp="1691717087"&gt;151&lt;/key&gt;&lt;/foreign-keys&gt;&lt;ref-type name="Electronic Article"&gt;43&lt;/ref-type&gt;&lt;contributors&gt;&lt;authors&gt;&lt;author&gt;Australian Bureau of Statistics,&lt;/author&gt;&lt;/authors&gt;&lt;/contributors&gt;&lt;titles&gt;&lt;title&gt;National Survey of Mental Health and Wellbeing: Summary of Results&lt;/title&gt;&lt;/titles&gt;&lt;volume&gt;2023&lt;/volume&gt;&lt;dates&gt;&lt;year&gt;2008&lt;/year&gt;&lt;pub-dates&gt;&lt;date&gt;11/08/2023&lt;/date&gt;&lt;/pub-dates&gt;&lt;/dates&gt;&lt;publisher&gt;Australian Bureau of Statistics &lt;/publisher&gt;&lt;urls&gt;&lt;related-urls&gt;&lt;url&gt;https://www.abs.gov.au/statistics/health/mental-health/national-study-mental-health-and-wellbeing/2007&lt;/url&gt;&lt;/related-urls&gt;&lt;/urls&gt;&lt;/record&gt;&lt;/Cite&gt;&lt;/EndNote&gt;</w:instrText>
      </w:r>
      <w:r w:rsidRPr="00A55335">
        <w:fldChar w:fldCharType="separate"/>
      </w:r>
      <w:r w:rsidR="00067842">
        <w:rPr>
          <w:noProof/>
        </w:rPr>
        <w:t>(</w:t>
      </w:r>
      <w:hyperlink w:anchor="_ENREF_134" w:tooltip="Australian Bureau of Statistics, 2008 #151" w:history="1">
        <w:r w:rsidR="00EC2769">
          <w:rPr>
            <w:noProof/>
          </w:rPr>
          <w:t>134</w:t>
        </w:r>
      </w:hyperlink>
      <w:r w:rsidR="00067842">
        <w:rPr>
          <w:noProof/>
        </w:rPr>
        <w:t>)</w:t>
      </w:r>
      <w:r w:rsidRPr="00A55335">
        <w:fldChar w:fldCharType="end"/>
      </w:r>
      <w:r w:rsidRPr="00A55335">
        <w:t xml:space="preserve"> and more than 300 million people worldwide </w:t>
      </w:r>
      <w:r w:rsidRPr="00A55335">
        <w:fldChar w:fldCharType="begin"/>
      </w:r>
      <w:r w:rsidR="006952AD">
        <w:instrText xml:space="preserve"> ADDIN EN.CITE &lt;EndNote&gt;&lt;Cite&gt;&lt;Author&gt;World Health Organisation&lt;/Author&gt;&lt;Year&gt;2023&lt;/Year&gt;&lt;RecNum&gt;153&lt;/RecNum&gt;&lt;DisplayText&gt;(135)&lt;/DisplayText&gt;&lt;record&gt;&lt;rec-number&gt;153&lt;/rec-number&gt;&lt;foreign-keys&gt;&lt;key app="EN" db-id="t5prptatr9sp0we5exbxt9zz20fwp55tdza9" timestamp="1691717771"&gt;153&lt;/key&gt;&lt;/foreign-keys&gt;&lt;ref-type name="Web Page"&gt;12&lt;/ref-type&gt;&lt;contributors&gt;&lt;authors&gt;&lt;author&gt;World Health Organisation,&lt;/author&gt;&lt;/authors&gt;&lt;/contributors&gt;&lt;titles&gt;&lt;title&gt;Depressive disorder (depression)&lt;/title&gt;&lt;/titles&gt;&lt;volume&gt;2023&lt;/volume&gt;&lt;number&gt;11th of August &lt;/number&gt;&lt;dates&gt;&lt;year&gt;2023&lt;/year&gt;&lt;/dates&gt;&lt;pub-location&gt;who.int&lt;/pub-location&gt;&lt;publisher&gt;WHO&lt;/publisher&gt;&lt;urls&gt;&lt;related-urls&gt;&lt;url&gt;https://www.who.int/news-room/fact-sheets/detail/depression&lt;/url&gt;&lt;/related-urls&gt;&lt;/urls&gt;&lt;/record&gt;&lt;/Cite&gt;&lt;/EndNote&gt;</w:instrText>
      </w:r>
      <w:r w:rsidRPr="00A55335">
        <w:fldChar w:fldCharType="separate"/>
      </w:r>
      <w:r w:rsidR="00067842">
        <w:rPr>
          <w:noProof/>
        </w:rPr>
        <w:t>(</w:t>
      </w:r>
      <w:hyperlink w:anchor="_ENREF_135" w:tooltip="World Health Organisation, 2023 #153" w:history="1">
        <w:r w:rsidR="00EC2769">
          <w:rPr>
            <w:noProof/>
          </w:rPr>
          <w:t>135</w:t>
        </w:r>
      </w:hyperlink>
      <w:r w:rsidR="00067842">
        <w:rPr>
          <w:noProof/>
        </w:rPr>
        <w:t>)</w:t>
      </w:r>
      <w:r w:rsidRPr="00A55335">
        <w:fldChar w:fldCharType="end"/>
      </w:r>
      <w:r w:rsidR="003B12E4" w:rsidRPr="00A55335">
        <w:t xml:space="preserve">. </w:t>
      </w:r>
      <w:r w:rsidRPr="00A55335">
        <w:t>Depression is characterised by intense feeling</w:t>
      </w:r>
      <w:r w:rsidR="00D06223" w:rsidRPr="00A55335">
        <w:t>s</w:t>
      </w:r>
      <w:r w:rsidRPr="00A55335">
        <w:t xml:space="preserve"> of sadness that impact one’s physical and mental health for extended periods of time. Those experiencing depression will often report symptoms of low mood, loss of interest or pleasure in most activities, sleep disturbances, changes in appetite or unintentional changes of weight, decreased energy, either slowed or agitated movement, decreased concentration and, in some cases, feelings of guilt, worthlessness and thought</w:t>
      </w:r>
      <w:r w:rsidR="00042CB4" w:rsidRPr="00A55335">
        <w:t>s</w:t>
      </w:r>
      <w:r w:rsidRPr="00A55335">
        <w:t xml:space="preserve"> of suicide </w:t>
      </w:r>
      <w:r w:rsidR="00626900" w:rsidRPr="00A55335">
        <w:fldChar w:fldCharType="begin"/>
      </w:r>
      <w:r w:rsidR="006952AD">
        <w:instrText xml:space="preserve"> ADDIN EN.CITE &lt;EndNote&gt;&lt;Cite&gt;&lt;Author&gt;American Psychiatric Association&lt;/Author&gt;&lt;Year&gt;2000&lt;/Year&gt;&lt;RecNum&gt;154&lt;/RecNum&gt;&lt;DisplayText&gt;(136)&lt;/DisplayText&gt;&lt;record&gt;&lt;rec-number&gt;154&lt;/rec-number&gt;&lt;foreign-keys&gt;&lt;key app="EN" db-id="t5prptatr9sp0we5exbxt9zz20fwp55tdza9" timestamp="1691718009"&gt;154&lt;/key&gt;&lt;/foreign-keys&gt;&lt;ref-type name="Book"&gt;6&lt;/ref-type&gt;&lt;contributors&gt;&lt;authors&gt;&lt;author&gt;American Psychiatric Association,&lt;/author&gt;&lt;/authors&gt;&lt;/contributors&gt;&lt;titles&gt;&lt;title&gt;DMSIV-TR: Diagnostic and Statistical Manual of Mental Disorders&lt;/title&gt;&lt;/titles&gt;&lt;dates&gt;&lt;year&gt;2000&lt;/year&gt;&lt;/dates&gt;&lt;pub-location&gt;Arlingotn, Virginia &lt;/pub-location&gt;&lt;publisher&gt;American Psychiatric Association&lt;/publisher&gt;&lt;urls&gt;&lt;/urls&gt;&lt;/record&gt;&lt;/Cite&gt;&lt;/EndNote&gt;</w:instrText>
      </w:r>
      <w:r w:rsidR="00626900" w:rsidRPr="00A55335">
        <w:fldChar w:fldCharType="separate"/>
      </w:r>
      <w:r w:rsidR="00067842">
        <w:rPr>
          <w:noProof/>
        </w:rPr>
        <w:t>(</w:t>
      </w:r>
      <w:hyperlink w:anchor="_ENREF_136" w:tooltip="American Psychiatric Association, 2000 #154" w:history="1">
        <w:r w:rsidR="00EC2769">
          <w:rPr>
            <w:noProof/>
          </w:rPr>
          <w:t>136</w:t>
        </w:r>
      </w:hyperlink>
      <w:r w:rsidR="00067842">
        <w:rPr>
          <w:noProof/>
        </w:rPr>
        <w:t>)</w:t>
      </w:r>
      <w:r w:rsidR="00626900" w:rsidRPr="00A55335">
        <w:fldChar w:fldCharType="end"/>
      </w:r>
      <w:r w:rsidRPr="00A55335">
        <w:t xml:space="preserve">. Depressive symptoms can become chronic, leading to substantial impairment in an individual’s ability to function in everyday life </w:t>
      </w:r>
      <w:r w:rsidR="00626900" w:rsidRPr="00A55335">
        <w:fldChar w:fldCharType="begin"/>
      </w:r>
      <w:r w:rsidR="006952AD">
        <w:instrText xml:space="preserve"> ADDIN EN.CITE &lt;EndNote&gt;&lt;Cite&gt;&lt;Author&gt;Marcus&lt;/Author&gt;&lt;Year&gt;2012&lt;/Year&gt;&lt;RecNum&gt;155&lt;/RecNum&gt;&lt;DisplayText&gt;(137)&lt;/DisplayText&gt;&lt;record&gt;&lt;rec-number&gt;155&lt;/rec-number&gt;&lt;foreign-keys&gt;&lt;key app="EN" db-id="t5prptatr9sp0we5exbxt9zz20fwp55tdza9" timestamp="1691718241"&gt;155&lt;/key&gt;&lt;/foreign-keys&gt;&lt;ref-type name="Journal Article"&gt;17&lt;/ref-type&gt;&lt;contributors&gt;&lt;authors&gt;&lt;author&gt;Marcus, M.&lt;/author&gt;&lt;author&gt;Yasamy, Mohammad Taghi&lt;/author&gt;&lt;author&gt;Ommeren, M.&lt;/author&gt;&lt;author&gt;Chisholm, D.&lt;/author&gt;&lt;author&gt;Saxena, S.&lt;/author&gt;&lt;/authors&gt;&lt;/contributors&gt;&lt;titles&gt;&lt;title&gt;Depression: A global public health concern&lt;/title&gt;&lt;secondary-title&gt;World Health Organization Paper on Depression&lt;/secondary-title&gt;&lt;/titles&gt;&lt;periodical&gt;&lt;full-title&gt;World Health Organization Paper on Depression&lt;/full-title&gt;&lt;/periodical&gt;&lt;pages&gt;6-8&lt;/pages&gt;&lt;dates&gt;&lt;year&gt;2012&lt;/year&gt;&lt;pub-dates&gt;&lt;date&gt;01/01&lt;/date&gt;&lt;/pub-dates&gt;&lt;/dates&gt;&lt;urls&gt;&lt;/urls&gt;&lt;/record&gt;&lt;/Cite&gt;&lt;/EndNote&gt;</w:instrText>
      </w:r>
      <w:r w:rsidR="00626900" w:rsidRPr="00A55335">
        <w:fldChar w:fldCharType="separate"/>
      </w:r>
      <w:r w:rsidR="00067842">
        <w:rPr>
          <w:noProof/>
        </w:rPr>
        <w:t>(</w:t>
      </w:r>
      <w:hyperlink w:anchor="_ENREF_137" w:tooltip="Marcus, 2012 #155" w:history="1">
        <w:r w:rsidR="00EC2769">
          <w:rPr>
            <w:noProof/>
          </w:rPr>
          <w:t>137</w:t>
        </w:r>
      </w:hyperlink>
      <w:r w:rsidR="00067842">
        <w:rPr>
          <w:noProof/>
        </w:rPr>
        <w:t>)</w:t>
      </w:r>
      <w:r w:rsidR="00626900" w:rsidRPr="00A55335">
        <w:fldChar w:fldCharType="end"/>
      </w:r>
      <w:r w:rsidRPr="00A55335">
        <w:t>.</w:t>
      </w:r>
    </w:p>
    <w:p w14:paraId="647B0BFE" w14:textId="64E582D7" w:rsidR="00DD505D" w:rsidRPr="00A55335" w:rsidRDefault="00DD505D" w:rsidP="00DD505D">
      <w:pPr>
        <w:pStyle w:val="BodyText"/>
      </w:pPr>
      <w:r w:rsidRPr="00A55335">
        <w:t xml:space="preserve">There are several different types of depressive disorders that are characterised by the specific symptoms experienced by the person, as well as the severity of the symptoms - either mild, moderate, or severe. Major depressive disorder is the most commonly diagnosed depressive disorder in Australia, however, several other types including bipolar disorder, cyclothymic disorder, dysthymic disorder and seasonal affective disorder are also recognised with the Australian healthcare context </w:t>
      </w:r>
      <w:r w:rsidR="00626900" w:rsidRPr="00A55335">
        <w:fldChar w:fldCharType="begin"/>
      </w:r>
      <w:r w:rsidR="006952AD">
        <w:instrText xml:space="preserve"> ADDIN EN.CITE &lt;EndNote&gt;&lt;Cite&gt;&lt;Author&gt;Department of Health&lt;/Author&gt;&lt;Year&gt;2007&lt;/Year&gt;&lt;RecNum&gt;156&lt;/RecNum&gt;&lt;DisplayText&gt;(138)&lt;/DisplayText&gt;&lt;record&gt;&lt;rec-number&gt;156&lt;/rec-number&gt;&lt;foreign-keys&gt;&lt;key app="EN" db-id="t5prptatr9sp0we5exbxt9zz20fwp55tdza9" timestamp="1691719535"&gt;156&lt;/key&gt;&lt;/foreign-keys&gt;&lt;ref-type name="Electronic Article"&gt;43&lt;/ref-type&gt;&lt;contributors&gt;&lt;authors&gt;&lt;author&gt;Department of Health,&lt;/author&gt;&lt;/authors&gt;&lt;/contributors&gt;&lt;titles&gt;&lt;title&gt;What are the main types of depressive disorder? &lt;/title&gt;&lt;/titles&gt;&lt;dates&gt;&lt;year&gt;2007&lt;/year&gt;&lt;pub-dates&gt;&lt;date&gt;11/08/23&lt;/date&gt;&lt;/pub-dates&gt;&lt;/dates&gt;&lt;pub-location&gt;health.gov.au&lt;/pub-location&gt;&lt;urls&gt;&lt;related-urls&gt;&lt;url&gt;https://www1.health.gov.au/internet/main/publishing.nsf/content/404ref.htm&lt;/url&gt;&lt;/related-urls&gt;&lt;/urls&gt;&lt;/record&gt;&lt;/Cite&gt;&lt;/EndNote&gt;</w:instrText>
      </w:r>
      <w:r w:rsidR="00626900" w:rsidRPr="00A55335">
        <w:fldChar w:fldCharType="separate"/>
      </w:r>
      <w:r w:rsidR="00067842">
        <w:rPr>
          <w:noProof/>
        </w:rPr>
        <w:t>(</w:t>
      </w:r>
      <w:hyperlink w:anchor="_ENREF_138" w:tooltip="Department of Health, 2007 #156" w:history="1">
        <w:r w:rsidR="00EC2769">
          <w:rPr>
            <w:noProof/>
          </w:rPr>
          <w:t>138</w:t>
        </w:r>
      </w:hyperlink>
      <w:r w:rsidR="00067842">
        <w:rPr>
          <w:noProof/>
        </w:rPr>
        <w:t>)</w:t>
      </w:r>
      <w:r w:rsidR="00626900" w:rsidRPr="00A55335">
        <w:fldChar w:fldCharType="end"/>
      </w:r>
      <w:r w:rsidRPr="00A55335">
        <w:t>. A variety of social, psychological, and biological factors contribute to depression. In particular, people who have experienced adverse life events are at higher risk of developing depression</w:t>
      </w:r>
      <w:r w:rsidR="00BF4CA9" w:rsidRPr="00A55335">
        <w:t xml:space="preserve"> and</w:t>
      </w:r>
      <w:r w:rsidRPr="00A55335">
        <w:t xml:space="preserve"> females are more likely to be diagnosed </w:t>
      </w:r>
      <w:r w:rsidRPr="00A55335">
        <w:fldChar w:fldCharType="begin"/>
      </w:r>
      <w:r w:rsidR="006952AD">
        <w:instrText xml:space="preserve"> ADDIN EN.CITE &lt;EndNote&gt;&lt;Cite&gt;&lt;Author&gt;Australian Bureau of Statistics&lt;/Author&gt;&lt;Year&gt;2008&lt;/Year&gt;&lt;RecNum&gt;151&lt;/RecNum&gt;&lt;DisplayText&gt;(134)&lt;/DisplayText&gt;&lt;record&gt;&lt;rec-number&gt;151&lt;/rec-number&gt;&lt;foreign-keys&gt;&lt;key app="EN" db-id="t5prptatr9sp0we5exbxt9zz20fwp55tdza9" timestamp="1691717087"&gt;151&lt;/key&gt;&lt;/foreign-keys&gt;&lt;ref-type name="Electronic Article"&gt;43&lt;/ref-type&gt;&lt;contributors&gt;&lt;authors&gt;&lt;author&gt;Australian Bureau of Statistics,&lt;/author&gt;&lt;/authors&gt;&lt;/contributors&gt;&lt;titles&gt;&lt;title&gt;National Survey of Mental Health and Wellbeing: Summary of Results&lt;/title&gt;&lt;/titles&gt;&lt;volume&gt;2023&lt;/volume&gt;&lt;dates&gt;&lt;year&gt;2008&lt;/year&gt;&lt;pub-dates&gt;&lt;date&gt;11/08/2023&lt;/date&gt;&lt;/pub-dates&gt;&lt;/dates&gt;&lt;publisher&gt;Australian Bureau of Statistics &lt;/publisher&gt;&lt;urls&gt;&lt;related-urls&gt;&lt;url&gt;https://www.abs.gov.au/statistics/health/mental-health/national-study-mental-health-and-wellbeing/2007&lt;/url&gt;&lt;/related-urls&gt;&lt;/urls&gt;&lt;/record&gt;&lt;/Cite&gt;&lt;/EndNote&gt;</w:instrText>
      </w:r>
      <w:r w:rsidRPr="00A55335">
        <w:fldChar w:fldCharType="separate"/>
      </w:r>
      <w:r w:rsidR="00067842">
        <w:rPr>
          <w:noProof/>
        </w:rPr>
        <w:t>(</w:t>
      </w:r>
      <w:hyperlink w:anchor="_ENREF_134" w:tooltip="Australian Bureau of Statistics, 2008 #151" w:history="1">
        <w:r w:rsidR="00EC2769">
          <w:rPr>
            <w:noProof/>
          </w:rPr>
          <w:t>134</w:t>
        </w:r>
      </w:hyperlink>
      <w:r w:rsidR="00067842">
        <w:rPr>
          <w:noProof/>
        </w:rPr>
        <w:t>)</w:t>
      </w:r>
      <w:r w:rsidRPr="00A55335">
        <w:fldChar w:fldCharType="end"/>
      </w:r>
      <w:r w:rsidRPr="00A55335">
        <w:t xml:space="preserve">. </w:t>
      </w:r>
    </w:p>
    <w:p w14:paraId="5F87EFB4" w14:textId="2788256A" w:rsidR="00DD505D" w:rsidRPr="00A55335" w:rsidRDefault="00DD505D" w:rsidP="00DD505D">
      <w:pPr>
        <w:pStyle w:val="BodyText"/>
      </w:pPr>
      <w:r w:rsidRPr="00A55335">
        <w:t xml:space="preserve">There are many known and effective treatments for depression that are highly dependent on the severity and pattern of depressive episodes. Traditional treatments offered by health-care providers include psychological treatments such as behavioural activation, </w:t>
      </w:r>
      <w:r w:rsidR="003B12E4" w:rsidRPr="00A55335">
        <w:t>C</w:t>
      </w:r>
      <w:r w:rsidRPr="00A55335">
        <w:t xml:space="preserve">ognitive </w:t>
      </w:r>
      <w:r w:rsidR="003B12E4" w:rsidRPr="00A55335">
        <w:t>B</w:t>
      </w:r>
      <w:r w:rsidRPr="00A55335">
        <w:t xml:space="preserve">ehavioural </w:t>
      </w:r>
      <w:r w:rsidR="003B12E4" w:rsidRPr="00A55335">
        <w:t>T</w:t>
      </w:r>
      <w:r w:rsidRPr="00A55335">
        <w:t>herapy</w:t>
      </w:r>
      <w:r w:rsidR="00B342DB" w:rsidRPr="00A55335">
        <w:t>,</w:t>
      </w:r>
      <w:r w:rsidRPr="00A55335">
        <w:t xml:space="preserve"> interpersonal psychotherapy, and/or antidepressant medication </w:t>
      </w:r>
      <w:r w:rsidRPr="00A55335">
        <w:fldChar w:fldCharType="begin"/>
      </w:r>
      <w:r w:rsidR="006952AD">
        <w:instrText xml:space="preserve"> ADDIN EN.CITE &lt;EndNote&gt;&lt;Cite&gt;&lt;Author&gt;World Health Organisation&lt;/Author&gt;&lt;Year&gt;2023&lt;/Year&gt;&lt;RecNum&gt;153&lt;/RecNum&gt;&lt;DisplayText&gt;(135)&lt;/DisplayText&gt;&lt;record&gt;&lt;rec-number&gt;153&lt;/rec-number&gt;&lt;foreign-keys&gt;&lt;key app="EN" db-id="t5prptatr9sp0we5exbxt9zz20fwp55tdza9" timestamp="1691717771"&gt;153&lt;/key&gt;&lt;/foreign-keys&gt;&lt;ref-type name="Web Page"&gt;12&lt;/ref-type&gt;&lt;contributors&gt;&lt;authors&gt;&lt;author&gt;World Health Organisation,&lt;/author&gt;&lt;/authors&gt;&lt;/contributors&gt;&lt;titles&gt;&lt;title&gt;Depressive disorder (depression)&lt;/title&gt;&lt;/titles&gt;&lt;volume&gt;2023&lt;/volume&gt;&lt;number&gt;11th of August &lt;/number&gt;&lt;dates&gt;&lt;year&gt;2023&lt;/year&gt;&lt;/dates&gt;&lt;pub-location&gt;who.int&lt;/pub-location&gt;&lt;publisher&gt;WHO&lt;/publisher&gt;&lt;urls&gt;&lt;related-urls&gt;&lt;url&gt;https://www.who.int/news-room/fact-sheets/detail/depression&lt;/url&gt;&lt;/related-urls&gt;&lt;/urls&gt;&lt;/record&gt;&lt;/Cite&gt;&lt;/EndNote&gt;</w:instrText>
      </w:r>
      <w:r w:rsidRPr="00A55335">
        <w:fldChar w:fldCharType="separate"/>
      </w:r>
      <w:r w:rsidR="00067842">
        <w:rPr>
          <w:noProof/>
        </w:rPr>
        <w:t>(</w:t>
      </w:r>
      <w:hyperlink w:anchor="_ENREF_135" w:tooltip="World Health Organisation, 2023 #153" w:history="1">
        <w:r w:rsidR="00EC2769">
          <w:rPr>
            <w:noProof/>
          </w:rPr>
          <w:t>135</w:t>
        </w:r>
      </w:hyperlink>
      <w:r w:rsidR="00067842">
        <w:rPr>
          <w:noProof/>
        </w:rPr>
        <w:t>)</w:t>
      </w:r>
      <w:r w:rsidRPr="00A55335">
        <w:fldChar w:fldCharType="end"/>
      </w:r>
      <w:r w:rsidRPr="00A55335">
        <w:t xml:space="preserve">. In addition to traditional therapy, prevention programmes and alternative treatments have been shown to reduce depression. </w:t>
      </w:r>
      <w:r w:rsidR="00AA5EA2" w:rsidRPr="00A55335">
        <w:t xml:space="preserve">Still, these interventions </w:t>
      </w:r>
      <w:r w:rsidR="00B342DB" w:rsidRPr="00A55335">
        <w:t>may not help</w:t>
      </w:r>
      <w:r w:rsidR="00AA5EA2" w:rsidRPr="00A55335">
        <w:t xml:space="preserve"> all patients, </w:t>
      </w:r>
      <w:r w:rsidR="00B342DB" w:rsidRPr="00A55335">
        <w:t xml:space="preserve">leaving </w:t>
      </w:r>
      <w:r w:rsidR="006833C2" w:rsidRPr="00A55335">
        <w:t>p</w:t>
      </w:r>
      <w:r w:rsidR="00AA5EA2" w:rsidRPr="00A55335">
        <w:t xml:space="preserve">atients </w:t>
      </w:r>
      <w:r w:rsidR="007E0CC6" w:rsidRPr="00A55335">
        <w:t>to</w:t>
      </w:r>
      <w:r w:rsidR="00AA5EA2" w:rsidRPr="00A55335">
        <w:t xml:space="preserve"> seek alternative treatment options</w:t>
      </w:r>
      <w:r w:rsidR="006833C2" w:rsidRPr="00A55335">
        <w:t xml:space="preserve"> </w:t>
      </w:r>
      <w:r w:rsidRPr="00A55335">
        <w:t xml:space="preserve">such as </w:t>
      </w:r>
      <w:r w:rsidR="006833C2" w:rsidRPr="00A55335">
        <w:t xml:space="preserve">homeopathy, </w:t>
      </w:r>
      <w:r w:rsidRPr="00A55335">
        <w:t xml:space="preserve">yoga, </w:t>
      </w:r>
      <w:r w:rsidR="00EE7E6C" w:rsidRPr="00A55335">
        <w:t>meditation</w:t>
      </w:r>
      <w:r w:rsidRPr="00A55335">
        <w:t xml:space="preserve"> and breathing exercises </w:t>
      </w:r>
      <w:r w:rsidR="00626900" w:rsidRPr="00A55335">
        <w:fldChar w:fldCharType="begin">
          <w:fldData xml:space="preserve">PEVuZE5vdGU+PENpdGU+PEF1dGhvcj5CcmVzc2luZ3RvbjwvQXV0aG9yPjxZZWFyPjIwMTk8L1ll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</w:fldData>
        </w:fldChar>
      </w:r>
      <w:r w:rsidR="006952AD">
        <w:instrText xml:space="preserve"> ADDIN EN.CITE </w:instrText>
      </w:r>
      <w:r w:rsidR="006952AD">
        <w:fldChar w:fldCharType="begin">
          <w:fldData xml:space="preserve">PEVuZE5vdGU+PENpdGU+PEF1dGhvcj5CcmVzc2luZ3RvbjwvQXV0aG9yPjxZZWFyPjIwMTk8L1ll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</w:fldData>
        </w:fldChar>
      </w:r>
      <w:r w:rsidR="006952AD">
        <w:instrText xml:space="preserve"> ADDIN EN.CITE.DATA </w:instrText>
      </w:r>
      <w:r w:rsidR="006952AD">
        <w:fldChar w:fldCharType="end"/>
      </w:r>
      <w:r w:rsidR="00626900" w:rsidRPr="00A55335">
        <w:fldChar w:fldCharType="separate"/>
      </w:r>
      <w:r w:rsidR="00067842">
        <w:rPr>
          <w:noProof/>
        </w:rPr>
        <w:t>(</w:t>
      </w:r>
      <w:hyperlink w:anchor="_ENREF_139" w:tooltip="Bressington, 2019 #158" w:history="1">
        <w:r w:rsidR="00EC2769">
          <w:rPr>
            <w:noProof/>
          </w:rPr>
          <w:t>139</w:t>
        </w:r>
      </w:hyperlink>
      <w:r w:rsidR="00067842">
        <w:rPr>
          <w:noProof/>
        </w:rPr>
        <w:t>)</w:t>
      </w:r>
      <w:r w:rsidR="00626900" w:rsidRPr="00A55335">
        <w:fldChar w:fldCharType="end"/>
      </w:r>
      <w:r w:rsidRPr="00A55335">
        <w:t>.</w:t>
      </w:r>
    </w:p>
    <w:p w14:paraId="7D03C3D3" w14:textId="77777777" w:rsidR="00DD505D" w:rsidRPr="00A55335" w:rsidRDefault="00DD505D" w:rsidP="004D433B">
      <w:pPr>
        <w:pStyle w:val="Heading3"/>
      </w:pPr>
      <w:bookmarkStart w:id="200" w:name="_Toc183441335"/>
      <w:r w:rsidRPr="00A55335">
        <w:t>Description of studies</w:t>
      </w:r>
      <w:bookmarkEnd w:id="200"/>
      <w:r w:rsidRPr="00A55335">
        <w:t xml:space="preserve"> </w:t>
      </w:r>
    </w:p>
    <w:p w14:paraId="147C6406" w14:textId="3D98B66E" w:rsidR="00DD505D" w:rsidRPr="00A55335" w:rsidRDefault="00DD505D" w:rsidP="00DD505D">
      <w:pPr>
        <w:pStyle w:val="BodyText"/>
      </w:pPr>
      <w:r w:rsidRPr="00A55335">
        <w:t xml:space="preserve">Nine citations </w:t>
      </w:r>
      <w:r w:rsidRPr="00A55335">
        <w:fldChar w:fldCharType="begin">
          <w:fldData xml:space="preserve">PEVuZE5vdGU+PENpdGU+PEF1dGhvcj5BZGxlcjwvQXV0aG9yPjxZZWFyPjIwMTE8L1llYXI+PFJl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</w:fldData>
        </w:fldChar>
      </w:r>
      <w:r w:rsidR="006952AD">
        <w:instrText xml:space="preserve"> ADDIN EN.CITE </w:instrText>
      </w:r>
      <w:r w:rsidR="006952AD">
        <w:fldChar w:fldCharType="begin">
          <w:fldData xml:space="preserve">PEVuZE5vdGU+PENpdGU+PEF1dGhvcj5BZGxlcjwvQXV0aG9yPjxZZWFyPjIwMTE8L1llYXI+PFJl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</w:fldData>
        </w:fldChar>
      </w:r>
      <w:r w:rsidR="006952AD">
        <w:instrText xml:space="preserve"> ADDIN EN.CITE.DATA </w:instrText>
      </w:r>
      <w:r w:rsidR="006952AD">
        <w:fldChar w:fldCharType="end"/>
      </w:r>
      <w:r w:rsidRPr="00A55335">
        <w:fldChar w:fldCharType="separate"/>
      </w:r>
      <w:r w:rsidR="00067842">
        <w:rPr>
          <w:noProof/>
        </w:rPr>
        <w:t>(</w:t>
      </w:r>
      <w:hyperlink w:anchor="_ENREF_140" w:tooltip="Adler, 2011 #101" w:history="1">
        <w:r w:rsidR="00EC2769">
          <w:rPr>
            <w:noProof/>
          </w:rPr>
          <w:t>140-148</w:t>
        </w:r>
      </w:hyperlink>
      <w:r w:rsidR="00067842">
        <w:rPr>
          <w:noProof/>
        </w:rPr>
        <w:t>)</w:t>
      </w:r>
      <w:r w:rsidRPr="00A55335">
        <w:fldChar w:fldCharType="end"/>
      </w:r>
      <w:r w:rsidRPr="00A55335">
        <w:t xml:space="preserve"> corresponding to 4 RCTs (Adler 2009, Adler 2011, Katz 2005, </w:t>
      </w:r>
      <w:proofErr w:type="spellStart"/>
      <w:r w:rsidRPr="00A55335">
        <w:t>Viksveen</w:t>
      </w:r>
      <w:proofErr w:type="spellEnd"/>
      <w:r w:rsidRPr="00A55335">
        <w:t xml:space="preserve"> 2014) were identified in the literature. </w:t>
      </w:r>
      <w:r w:rsidR="0050370E" w:rsidRPr="00A55335">
        <w:t xml:space="preserve">No additional studies were identified in the Department’s public call for evidence. </w:t>
      </w:r>
      <w:r w:rsidRPr="00A55335">
        <w:t xml:space="preserve">There were 6 </w:t>
      </w:r>
      <w:hyperlink w:anchor="_Ongoing_studies" w:history="1">
        <w:r w:rsidRPr="00A55335">
          <w:rPr>
            <w:rStyle w:val="Hyperlink"/>
          </w:rPr>
          <w:t>ongoing studies</w:t>
        </w:r>
      </w:hyperlink>
      <w:r w:rsidRPr="00A55335">
        <w:t>, and</w:t>
      </w:r>
      <w:r w:rsidR="00980CA0" w:rsidRPr="00A55335">
        <w:t xml:space="preserve"> one </w:t>
      </w:r>
      <w:hyperlink w:anchor="_Studies_awaiting_classification" w:history="1">
        <w:r w:rsidRPr="00A55335">
          <w:rPr>
            <w:rStyle w:val="Hyperlink"/>
          </w:rPr>
          <w:t>study awaiting classification</w:t>
        </w:r>
      </w:hyperlink>
      <w:r w:rsidRPr="00A55335">
        <w:t>. An overview of the PICO criteria of included studies is provided in Appendix D</w:t>
      </w:r>
      <w:r w:rsidR="00445B52" w:rsidRPr="00A55335">
        <w:t>2</w:t>
      </w:r>
      <w:r w:rsidRPr="00A55335">
        <w:t>.</w:t>
      </w:r>
      <w:r w:rsidR="00445B52" w:rsidRPr="00A55335">
        <w:t>2</w:t>
      </w:r>
      <w:r w:rsidRPr="00A55335">
        <w:t>.1.</w:t>
      </w:r>
    </w:p>
    <w:p w14:paraId="03160317" w14:textId="7B037C57" w:rsidR="00DD505D" w:rsidRPr="00A55335" w:rsidRDefault="00CF7F72" w:rsidP="00DD505D">
      <w:pPr>
        <w:pStyle w:val="BodyText"/>
      </w:pPr>
      <w:r w:rsidRPr="00A55335">
        <w:t xml:space="preserve">Two studies were </w:t>
      </w:r>
      <w:r w:rsidR="00DD505D" w:rsidRPr="00A55335">
        <w:t>carried out in outpatient clinic</w:t>
      </w:r>
      <w:r w:rsidRPr="00A55335">
        <w:t>s</w:t>
      </w:r>
      <w:r w:rsidR="00DD505D" w:rsidRPr="00A55335">
        <w:t xml:space="preserve"> in </w:t>
      </w:r>
      <w:r w:rsidRPr="00A55335">
        <w:t xml:space="preserve">either </w:t>
      </w:r>
      <w:r w:rsidR="00DD505D" w:rsidRPr="00A55335">
        <w:t>Brazil (Adler 2009)</w:t>
      </w:r>
      <w:r w:rsidRPr="00A55335">
        <w:t xml:space="preserve"> or</w:t>
      </w:r>
      <w:r w:rsidR="00DD505D" w:rsidRPr="00A55335">
        <w:t xml:space="preserve"> Germany (Adler 2011), one study </w:t>
      </w:r>
      <w:r w:rsidR="00DE205A" w:rsidRPr="00A55335">
        <w:t xml:space="preserve">was conducted </w:t>
      </w:r>
      <w:r w:rsidR="00DD505D" w:rsidRPr="00A55335">
        <w:t xml:space="preserve">at a group practice in England (Katz 2005) and one </w:t>
      </w:r>
      <w:r w:rsidR="00DE205A" w:rsidRPr="00A55335">
        <w:t xml:space="preserve">multicentre </w:t>
      </w:r>
      <w:r w:rsidR="00DD505D" w:rsidRPr="00A55335">
        <w:t xml:space="preserve">study took place </w:t>
      </w:r>
      <w:r w:rsidR="00DE205A" w:rsidRPr="00A55335">
        <w:t>across</w:t>
      </w:r>
      <w:r w:rsidR="00DD505D" w:rsidRPr="00A55335">
        <w:t xml:space="preserve"> 3 health clinics and one medical centre in England with patients </w:t>
      </w:r>
      <w:r w:rsidR="0051169D" w:rsidRPr="00A55335">
        <w:t>recruited from 43 GPs for a</w:t>
      </w:r>
      <w:r w:rsidR="00DD505D" w:rsidRPr="00A55335">
        <w:t xml:space="preserve"> longitudinal health study (</w:t>
      </w:r>
      <w:proofErr w:type="spellStart"/>
      <w:r w:rsidR="00DD505D" w:rsidRPr="00A55335">
        <w:t>Viksveen</w:t>
      </w:r>
      <w:proofErr w:type="spellEnd"/>
      <w:r w:rsidR="00DD505D" w:rsidRPr="00A55335">
        <w:t xml:space="preserve"> 2014). </w:t>
      </w:r>
    </w:p>
    <w:p w14:paraId="3D837A83" w14:textId="512308EE" w:rsidR="00DD505D" w:rsidRPr="00A55335" w:rsidRDefault="00DD505D" w:rsidP="00DD505D">
      <w:pPr>
        <w:pStyle w:val="BodyText"/>
      </w:pPr>
      <w:r w:rsidRPr="00A55335">
        <w:t xml:space="preserve">One </w:t>
      </w:r>
      <w:r w:rsidR="0016705E" w:rsidRPr="00A55335">
        <w:t>RCT</w:t>
      </w:r>
      <w:r w:rsidRPr="00A55335">
        <w:t xml:space="preserve"> </w:t>
      </w:r>
      <w:r w:rsidR="00EF729F" w:rsidRPr="00A55335">
        <w:t xml:space="preserve">(Adler 2009) </w:t>
      </w:r>
      <w:r w:rsidRPr="00A55335">
        <w:t>included</w:t>
      </w:r>
      <w:r w:rsidR="00EF729F" w:rsidRPr="00A55335">
        <w:t xml:space="preserve"> referred </w:t>
      </w:r>
      <w:r w:rsidRPr="00A55335">
        <w:t xml:space="preserve">patients who met DSM-IV criteria for single or recurrent depression. </w:t>
      </w:r>
      <w:r w:rsidR="002657EB" w:rsidRPr="00A55335">
        <w:t>Two</w:t>
      </w:r>
      <w:r w:rsidR="008A51C9" w:rsidRPr="00A55335">
        <w:t xml:space="preserve"> RCT</w:t>
      </w:r>
      <w:r w:rsidR="002657EB" w:rsidRPr="00A55335">
        <w:t>s</w:t>
      </w:r>
      <w:r w:rsidRPr="00A55335">
        <w:t xml:space="preserve"> included patients diagnosed by a psychiatrist </w:t>
      </w:r>
      <w:r w:rsidR="008A51C9" w:rsidRPr="00A55335">
        <w:t xml:space="preserve">with major depression, which was </w:t>
      </w:r>
      <w:r w:rsidRPr="00A55335">
        <w:t xml:space="preserve">rated as moderately severe by a psychologist (Adler 2011), </w:t>
      </w:r>
      <w:r w:rsidR="002657EB" w:rsidRPr="00A55335">
        <w:t>or enrolled</w:t>
      </w:r>
      <w:r w:rsidRPr="00A55335">
        <w:t xml:space="preserve"> patients suffering from a major depressive episode of moderate severity (Katz 2005). The fourth study included patients with self-reported major depressive disorder (</w:t>
      </w:r>
      <w:proofErr w:type="spellStart"/>
      <w:r w:rsidRPr="00A55335">
        <w:t>Viksveen</w:t>
      </w:r>
      <w:proofErr w:type="spellEnd"/>
      <w:r w:rsidRPr="00A55335">
        <w:t xml:space="preserve"> 2014). Sample sizes ranged from 11 to 566 (total 712</w:t>
      </w:r>
      <w:r w:rsidR="002657EB" w:rsidRPr="00A55335">
        <w:t xml:space="preserve"> participants</w:t>
      </w:r>
      <w:r w:rsidRPr="00A55335">
        <w:t>).</w:t>
      </w:r>
    </w:p>
    <w:p w14:paraId="7DDDD5AC" w14:textId="70A13BDF" w:rsidR="008D211B" w:rsidRPr="00A55335" w:rsidRDefault="00DD505D" w:rsidP="008D211B">
      <w:pPr>
        <w:pStyle w:val="BodyText"/>
      </w:pPr>
      <w:r w:rsidRPr="00A55335">
        <w:lastRenderedPageBreak/>
        <w:t xml:space="preserve">Two studies </w:t>
      </w:r>
      <w:r w:rsidR="002657EB" w:rsidRPr="00A55335">
        <w:t xml:space="preserve">examined the effectiveness of </w:t>
      </w:r>
      <w:r w:rsidRPr="00A55335">
        <w:t xml:space="preserve">homeopathy </w:t>
      </w:r>
      <w:r w:rsidR="002657EB" w:rsidRPr="00A55335">
        <w:t xml:space="preserve">compared </w:t>
      </w:r>
      <w:r w:rsidR="005E4405" w:rsidRPr="00A55335">
        <w:t>to</w:t>
      </w:r>
      <w:r w:rsidRPr="00A55335">
        <w:t xml:space="preserve"> placebo (Adler 201</w:t>
      </w:r>
      <w:r w:rsidR="004E5747" w:rsidRPr="00A55335">
        <w:t>1</w:t>
      </w:r>
      <w:r w:rsidRPr="00A55335">
        <w:t xml:space="preserve">, Katz 2005). </w:t>
      </w:r>
      <w:r w:rsidR="005E4405" w:rsidRPr="00A55335">
        <w:t xml:space="preserve">In Adler 2011, participants </w:t>
      </w:r>
      <w:r w:rsidR="005470BC" w:rsidRPr="00A55335">
        <w:t>received individuali</w:t>
      </w:r>
      <w:r w:rsidR="00E86DCB" w:rsidRPr="00A55335">
        <w:t>s</w:t>
      </w:r>
      <w:r w:rsidR="005470BC" w:rsidRPr="00A55335">
        <w:t>ed homeopathy</w:t>
      </w:r>
      <w:r w:rsidR="000C602A" w:rsidRPr="00A55335">
        <w:t xml:space="preserve"> after </w:t>
      </w:r>
      <w:r w:rsidR="00265873" w:rsidRPr="00A55335">
        <w:t>a comprehensive</w:t>
      </w:r>
      <w:r w:rsidR="000C602A" w:rsidRPr="00A55335">
        <w:t xml:space="preserve"> case history</w:t>
      </w:r>
      <w:r w:rsidR="00A81F6E" w:rsidRPr="00A55335">
        <w:t xml:space="preserve"> was</w:t>
      </w:r>
      <w:r w:rsidR="000C602A" w:rsidRPr="00A55335">
        <w:t xml:space="preserve"> tak</w:t>
      </w:r>
      <w:r w:rsidR="00265873" w:rsidRPr="00A55335">
        <w:t>en</w:t>
      </w:r>
      <w:r w:rsidR="000C602A" w:rsidRPr="00A55335">
        <w:t xml:space="preserve"> by a homeopath</w:t>
      </w:r>
      <w:r w:rsidR="00FB2156" w:rsidRPr="00A55335">
        <w:t xml:space="preserve">, </w:t>
      </w:r>
      <w:r w:rsidR="00C71E62" w:rsidRPr="00A55335">
        <w:t>with</w:t>
      </w:r>
      <w:r w:rsidR="00FB2156" w:rsidRPr="00A55335">
        <w:t xml:space="preserve"> the </w:t>
      </w:r>
      <w:r w:rsidR="008D2EF2" w:rsidRPr="00A55335">
        <w:t>case history and consultation received by</w:t>
      </w:r>
      <w:r w:rsidR="00D55398" w:rsidRPr="00A55335">
        <w:t xml:space="preserve"> the placebo group </w:t>
      </w:r>
      <w:r w:rsidR="00C71E62" w:rsidRPr="00A55335">
        <w:t xml:space="preserve">being </w:t>
      </w:r>
      <w:r w:rsidR="008D2EF2" w:rsidRPr="00A55335">
        <w:t>shorter in duration. The study excluded anyone who had taken antidepressant or anxiolytic drugs at the time of inclusion (</w:t>
      </w:r>
      <w:proofErr w:type="gramStart"/>
      <w:r w:rsidR="008D2EF2" w:rsidRPr="00A55335">
        <w:t>with the exception of</w:t>
      </w:r>
      <w:proofErr w:type="gramEnd"/>
      <w:r w:rsidR="008D2EF2" w:rsidRPr="00A55335">
        <w:t xml:space="preserve"> Lorazepam as rescue medication).</w:t>
      </w:r>
      <w:r w:rsidR="00D74866" w:rsidRPr="00A55335">
        <w:t xml:space="preserve"> The study reported by Katz 2005 also </w:t>
      </w:r>
      <w:r w:rsidR="008D211B" w:rsidRPr="00A55335">
        <w:t xml:space="preserve">excluded patients who had used tricyclics or antidepressants in the preceding 2 weeks, </w:t>
      </w:r>
      <w:r w:rsidR="00D74866" w:rsidRPr="00A55335">
        <w:t xml:space="preserve">as well as those </w:t>
      </w:r>
      <w:r w:rsidR="00776319" w:rsidRPr="00A55335">
        <w:t xml:space="preserve">who had </w:t>
      </w:r>
      <w:r w:rsidR="008D211B" w:rsidRPr="00A55335">
        <w:t>depot neuroleptics in the preceding 6 months or electroconvulsive therapy in the preceding 3 months</w:t>
      </w:r>
      <w:r w:rsidR="00647D52" w:rsidRPr="00A55335">
        <w:t xml:space="preserve">. </w:t>
      </w:r>
      <w:r w:rsidR="00FE5985" w:rsidRPr="00A55335">
        <w:t>In this study, t</w:t>
      </w:r>
      <w:r w:rsidR="00647D52" w:rsidRPr="00A55335">
        <w:t>he homeopathy treatment</w:t>
      </w:r>
      <w:r w:rsidR="00A07BF2" w:rsidRPr="00A55335">
        <w:t xml:space="preserve"> was</w:t>
      </w:r>
      <w:r w:rsidR="00647D52" w:rsidRPr="00A55335">
        <w:t xml:space="preserve"> </w:t>
      </w:r>
      <w:r w:rsidR="00CA4F56" w:rsidRPr="00A55335">
        <w:t xml:space="preserve">individualised </w:t>
      </w:r>
      <w:r w:rsidR="00A07BF2" w:rsidRPr="00A55335">
        <w:t>and involved</w:t>
      </w:r>
      <w:r w:rsidR="004D5A80" w:rsidRPr="00A55335">
        <w:t xml:space="preserve"> a GP </w:t>
      </w:r>
      <w:r w:rsidR="005F22A0" w:rsidRPr="00A55335">
        <w:t xml:space="preserve">qualified </w:t>
      </w:r>
      <w:r w:rsidR="004D5A80" w:rsidRPr="00A55335">
        <w:t>in homeopathy selecting a treatment</w:t>
      </w:r>
      <w:r w:rsidR="00647D52" w:rsidRPr="00A55335">
        <w:t xml:space="preserve"> from a list of approximately 30 homeopathic </w:t>
      </w:r>
      <w:r w:rsidR="00104BD7" w:rsidRPr="00A55335">
        <w:t>medicines</w:t>
      </w:r>
      <w:r w:rsidR="00647D52" w:rsidRPr="00A55335">
        <w:t>. Katz 2005</w:t>
      </w:r>
      <w:r w:rsidR="00104BD7" w:rsidRPr="00A55335">
        <w:t xml:space="preserve"> also </w:t>
      </w:r>
      <w:r w:rsidR="00647D52" w:rsidRPr="00A55335">
        <w:t>included a third active treatment group (fluoxetine)</w:t>
      </w:r>
      <w:r w:rsidR="00104BD7" w:rsidRPr="00A55335">
        <w:t>.</w:t>
      </w:r>
      <w:r w:rsidR="00647D52" w:rsidRPr="00A55335">
        <w:t xml:space="preserve"> </w:t>
      </w:r>
    </w:p>
    <w:p w14:paraId="77FFD0DF" w14:textId="600C04B4" w:rsidR="00E75343" w:rsidRPr="00A55335" w:rsidRDefault="00DD505D" w:rsidP="00E75343">
      <w:pPr>
        <w:pStyle w:val="BodyText"/>
      </w:pPr>
      <w:r w:rsidRPr="00A55335">
        <w:t xml:space="preserve">One study </w:t>
      </w:r>
      <w:r w:rsidR="00346987" w:rsidRPr="00A55335">
        <w:t>(</w:t>
      </w:r>
      <w:proofErr w:type="spellStart"/>
      <w:r w:rsidR="00346987" w:rsidRPr="00A55335">
        <w:t>Viksveen</w:t>
      </w:r>
      <w:proofErr w:type="spellEnd"/>
      <w:r w:rsidR="00346987" w:rsidRPr="00A55335">
        <w:t xml:space="preserve"> 2014) </w:t>
      </w:r>
      <w:r w:rsidRPr="00A55335">
        <w:t xml:space="preserve">compared </w:t>
      </w:r>
      <w:r w:rsidR="00E75343" w:rsidRPr="00A55335">
        <w:t xml:space="preserve">individualised </w:t>
      </w:r>
      <w:r w:rsidRPr="00A55335">
        <w:t>homeopathy to no intervention</w:t>
      </w:r>
      <w:r w:rsidR="00346987" w:rsidRPr="00A55335">
        <w:t>, with p</w:t>
      </w:r>
      <w:r w:rsidRPr="00A55335">
        <w:t xml:space="preserve">articipants </w:t>
      </w:r>
      <w:r w:rsidR="00346987" w:rsidRPr="00A55335">
        <w:t xml:space="preserve">in the </w:t>
      </w:r>
      <w:r w:rsidR="00065AFE" w:rsidRPr="00A55335">
        <w:t xml:space="preserve">homeopathy group offered </w:t>
      </w:r>
      <w:r w:rsidR="001F4B9D" w:rsidRPr="00A55335">
        <w:t>treatment by a homeopath</w:t>
      </w:r>
      <w:r w:rsidR="00D144B4" w:rsidRPr="00A55335">
        <w:rPr>
          <w:rStyle w:val="FootnoteReference"/>
        </w:rPr>
        <w:footnoteReference w:id="12"/>
      </w:r>
      <w:r w:rsidR="00B31138" w:rsidRPr="00A55335">
        <w:t xml:space="preserve">. </w:t>
      </w:r>
      <w:r w:rsidR="00F151B7" w:rsidRPr="00A55335">
        <w:t>Participants in both groups</w:t>
      </w:r>
      <w:r w:rsidR="005D2709" w:rsidRPr="00A55335">
        <w:t xml:space="preserve"> </w:t>
      </w:r>
      <w:r w:rsidRPr="00A55335">
        <w:t>continu</w:t>
      </w:r>
      <w:r w:rsidR="005D2709" w:rsidRPr="00A55335">
        <w:t>ed</w:t>
      </w:r>
      <w:r w:rsidRPr="00A55335">
        <w:t xml:space="preserve"> treatment as usual. One study </w:t>
      </w:r>
      <w:r w:rsidR="00E75343" w:rsidRPr="00A55335">
        <w:t xml:space="preserve">(Adler 2009) </w:t>
      </w:r>
      <w:r w:rsidRPr="00A55335">
        <w:t xml:space="preserve">compared </w:t>
      </w:r>
      <w:r w:rsidR="00E75343" w:rsidRPr="00A55335">
        <w:t xml:space="preserve">individualised </w:t>
      </w:r>
      <w:r w:rsidRPr="00A55335">
        <w:t xml:space="preserve">homeopathy to </w:t>
      </w:r>
      <w:r w:rsidR="00E75343" w:rsidRPr="00A55335">
        <w:t>an active comparator (</w:t>
      </w:r>
      <w:r w:rsidRPr="00A55335">
        <w:t>fluoxetine).</w:t>
      </w:r>
      <w:r w:rsidR="00E75343" w:rsidRPr="00A55335">
        <w:t xml:space="preserve"> Participants in </w:t>
      </w:r>
      <w:r w:rsidRPr="00A55335">
        <w:t>Adler 2009</w:t>
      </w:r>
      <w:r w:rsidR="00E75343" w:rsidRPr="00A55335">
        <w:t xml:space="preserve"> were</w:t>
      </w:r>
      <w:r w:rsidRPr="00A55335">
        <w:t xml:space="preserve"> excluded </w:t>
      </w:r>
      <w:r w:rsidR="00E75343" w:rsidRPr="00A55335">
        <w:t>if they</w:t>
      </w:r>
      <w:r w:rsidRPr="00A55335">
        <w:t xml:space="preserve"> had taken antidepressants in the 30 days prior to screening</w:t>
      </w:r>
      <w:r w:rsidR="00E75343" w:rsidRPr="00A55335">
        <w:t>.</w:t>
      </w:r>
    </w:p>
    <w:p w14:paraId="24101537" w14:textId="3D54D303" w:rsidR="00DD505D" w:rsidRPr="00A55335" w:rsidRDefault="00DD505D" w:rsidP="00DD505D">
      <w:pPr>
        <w:pStyle w:val="BodyText"/>
      </w:pPr>
      <w:r w:rsidRPr="00A55335">
        <w:t xml:space="preserve">Frequency of homeopathic therapy ranged from one drop three times a week (Adler 2009, Adler 2011) to different frequencies depending on the homeopathic treatment chosen (Katz 2005, </w:t>
      </w:r>
      <w:proofErr w:type="spellStart"/>
      <w:r w:rsidRPr="00A55335">
        <w:t>Viksveen</w:t>
      </w:r>
      <w:proofErr w:type="spellEnd"/>
      <w:r w:rsidRPr="00A55335">
        <w:t xml:space="preserve"> 2014).</w:t>
      </w:r>
      <w:r w:rsidR="00E75343" w:rsidRPr="00A55335">
        <w:t xml:space="preserve"> </w:t>
      </w:r>
      <w:r w:rsidRPr="00A55335">
        <w:t xml:space="preserve">Length of follow-up ranged </w:t>
      </w:r>
      <w:r w:rsidR="009E21FC" w:rsidRPr="00A55335">
        <w:t>between</w:t>
      </w:r>
      <w:r w:rsidRPr="00A55335">
        <w:t xml:space="preserve"> 6</w:t>
      </w:r>
      <w:r w:rsidR="00E75343" w:rsidRPr="00A55335">
        <w:t>, 8 or</w:t>
      </w:r>
      <w:r w:rsidR="009E21FC" w:rsidRPr="00A55335">
        <w:t xml:space="preserve"> 12 weeks</w:t>
      </w:r>
      <w:r w:rsidRPr="00A55335">
        <w:t xml:space="preserve"> (Adler 2011</w:t>
      </w:r>
      <w:r w:rsidR="009E21FC" w:rsidRPr="00A55335">
        <w:t>,</w:t>
      </w:r>
      <w:r w:rsidRPr="00A55335">
        <w:t xml:space="preserve"> Adler 2009</w:t>
      </w:r>
      <w:r w:rsidR="009E21FC" w:rsidRPr="00A55335">
        <w:t xml:space="preserve">, </w:t>
      </w:r>
      <w:r w:rsidRPr="00A55335">
        <w:t>Katz 2005)</w:t>
      </w:r>
      <w:r w:rsidR="009E21FC" w:rsidRPr="00A55335">
        <w:t xml:space="preserve"> up</w:t>
      </w:r>
      <w:r w:rsidRPr="00A55335">
        <w:t xml:space="preserve"> to 12 months (</w:t>
      </w:r>
      <w:proofErr w:type="spellStart"/>
      <w:r w:rsidRPr="00A55335">
        <w:t>Viksveen</w:t>
      </w:r>
      <w:proofErr w:type="spellEnd"/>
      <w:r w:rsidRPr="00A55335">
        <w:t xml:space="preserve"> 2014). </w:t>
      </w:r>
    </w:p>
    <w:p w14:paraId="6978FA79" w14:textId="35A2068A" w:rsidR="00DD505D" w:rsidRPr="00A55335" w:rsidRDefault="00DD505D" w:rsidP="00DD505D">
      <w:pPr>
        <w:pStyle w:val="BodyText"/>
      </w:pPr>
      <w:r w:rsidRPr="00A55335">
        <w:t xml:space="preserve">Results for </w:t>
      </w:r>
      <w:r w:rsidR="00334E00" w:rsidRPr="00A55335">
        <w:t xml:space="preserve">the </w:t>
      </w:r>
      <w:r w:rsidR="006070ED" w:rsidRPr="00A55335">
        <w:t>Primary Comparison</w:t>
      </w:r>
      <w:r w:rsidR="00F73318" w:rsidRPr="00A55335">
        <w:t xml:space="preserve">: Homeopathy </w:t>
      </w:r>
      <w:r w:rsidR="001B33CB" w:rsidRPr="00A55335">
        <w:t xml:space="preserve">versus placebo and </w:t>
      </w:r>
      <w:r w:rsidR="006070ED" w:rsidRPr="00A55335">
        <w:t>Secondary Comparison</w:t>
      </w:r>
      <w:r w:rsidR="00F73318" w:rsidRPr="00A55335">
        <w:t xml:space="preserve">: Homeopathy </w:t>
      </w:r>
      <w:r w:rsidR="00E75343" w:rsidRPr="00A55335">
        <w:t xml:space="preserve">versus </w:t>
      </w:r>
      <w:r w:rsidRPr="00A55335">
        <w:t xml:space="preserve">inactive control (no intervention, waitlist or usual care) are provided in the Summary of Findings table (see </w:t>
      </w:r>
      <w:r w:rsidR="00E75343" w:rsidRPr="00A55335">
        <w:t xml:space="preserve">Section </w:t>
      </w:r>
      <w:r w:rsidR="004F1B1E" w:rsidRPr="00A55335">
        <w:fldChar w:fldCharType="begin"/>
      </w:r>
      <w:r w:rsidR="004F1B1E" w:rsidRPr="00A55335">
        <w:instrText xml:space="preserve"> REF _Ref151466711 \r \h </w:instrText>
      </w:r>
      <w:r w:rsidR="004F1B1E" w:rsidRPr="00A55335">
        <w:fldChar w:fldCharType="separate"/>
      </w:r>
      <w:r w:rsidR="00814B04">
        <w:t>4.7.4</w:t>
      </w:r>
      <w:r w:rsidR="004F1B1E" w:rsidRPr="00A55335">
        <w:fldChar w:fldCharType="end"/>
      </w:r>
      <w:r w:rsidRPr="00A55335">
        <w:t xml:space="preserve">). Results of studies that compared homeopathy with another comparator </w:t>
      </w:r>
      <w:r w:rsidR="0083418D" w:rsidRPr="00A55335">
        <w:t xml:space="preserve">(Tertiary Comparison) </w:t>
      </w:r>
      <w:r w:rsidRPr="00A55335">
        <w:t>are presented in Appendix F2.</w:t>
      </w:r>
    </w:p>
    <w:p w14:paraId="02CA2737"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612DF189" w14:textId="77777777" w:rsidR="00DD505D" w:rsidRPr="00A55335" w:rsidRDefault="00DD505D" w:rsidP="004D433B">
      <w:pPr>
        <w:pStyle w:val="Heading3"/>
      </w:pPr>
      <w:bookmarkStart w:id="201" w:name="_Toc183441336"/>
      <w:r w:rsidRPr="00A55335">
        <w:t>Risk of bias – summary assessment across studies</w:t>
      </w:r>
      <w:bookmarkEnd w:id="201"/>
      <w:r w:rsidRPr="00A55335">
        <w:t xml:space="preserve"> </w:t>
      </w:r>
    </w:p>
    <w:p w14:paraId="74220BE4" w14:textId="57D082FF" w:rsidR="00DD505D" w:rsidRPr="00A55335" w:rsidRDefault="00DD505D" w:rsidP="00DD505D">
      <w:pPr>
        <w:pStyle w:val="BodyText"/>
      </w:pPr>
      <w:r w:rsidRPr="00A55335">
        <w:t xml:space="preserve">The risk of bias for each item in the included RCTs for depression (or symptoms of depression) is presented in </w:t>
      </w:r>
      <w:r w:rsidRPr="00A55335">
        <w:fldChar w:fldCharType="begin"/>
      </w:r>
      <w:r w:rsidRPr="00A55335">
        <w:instrText xml:space="preserve"> REF _Ref143605412 \h </w:instrText>
      </w:r>
      <w:r w:rsidRPr="00A55335">
        <w:fldChar w:fldCharType="separate"/>
      </w:r>
      <w:r w:rsidR="00814B04" w:rsidRPr="00A55335">
        <w:t xml:space="preserve">Figure </w:t>
      </w:r>
      <w:r w:rsidR="00814B04">
        <w:rPr>
          <w:noProof/>
        </w:rPr>
        <w:t>27</w:t>
      </w:r>
      <w:r w:rsidRPr="00A55335">
        <w:fldChar w:fldCharType="end"/>
      </w:r>
      <w:r w:rsidRPr="00A55335">
        <w:t>. Details are provided in Appendix D</w:t>
      </w:r>
      <w:r w:rsidR="007863ED" w:rsidRPr="00A55335">
        <w:t>2</w:t>
      </w:r>
      <w:r w:rsidRPr="00A55335">
        <w:t>.</w:t>
      </w:r>
      <w:r w:rsidR="007863ED" w:rsidRPr="00A55335">
        <w:t>2</w:t>
      </w:r>
      <w:r w:rsidRPr="00A55335">
        <w:t xml:space="preserve">.2. No studies were judged to be at overall low risk of bias. </w:t>
      </w:r>
    </w:p>
    <w:p w14:paraId="592F114E" w14:textId="3768241E" w:rsidR="00DD505D" w:rsidRPr="00A55335" w:rsidRDefault="00DD505D" w:rsidP="00E35087">
      <w:pPr>
        <w:pStyle w:val="Caption"/>
      </w:pPr>
      <w:bookmarkStart w:id="202" w:name="_Ref143605412"/>
      <w:bookmarkStart w:id="203" w:name="_Toc183520300"/>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27</w:t>
      </w:r>
      <w:r w:rsidRPr="00A55335">
        <w:fldChar w:fldCharType="end"/>
      </w:r>
      <w:bookmarkEnd w:id="202"/>
      <w:r w:rsidR="00E35087" w:rsidRPr="00A55335">
        <w:tab/>
      </w:r>
      <w:r w:rsidR="00097317" w:rsidRPr="009876E6">
        <w:t xml:space="preserve">Risk of bias summary: </w:t>
      </w:r>
      <w:r w:rsidRPr="00A55335">
        <w:t>review author's judgements about each risk of bias item for each included study – Depression</w:t>
      </w:r>
      <w:bookmarkEnd w:id="203"/>
    </w:p>
    <w:p w14:paraId="7E40D5EA" w14:textId="3D9B46C4" w:rsidR="00E35087" w:rsidRPr="00A55335" w:rsidRDefault="008937DB" w:rsidP="00E35087">
      <w:pPr>
        <w:pStyle w:val="Pic"/>
      </w:pPr>
      <w:r w:rsidRPr="00A55335">
        <w:rPr>
          <w:noProof/>
        </w:rPr>
        <w:drawing>
          <wp:inline distT="0" distB="0" distL="0" distR="0" wp14:anchorId="4E513B36" wp14:editId="650B5BFA">
            <wp:extent cx="4156364" cy="22480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70364" cy="2255627"/>
                    </a:xfrm>
                    <a:prstGeom prst="rect">
                      <a:avLst/>
                    </a:prstGeom>
                    <a:noFill/>
                    <a:ln>
                      <a:noFill/>
                    </a:ln>
                  </pic:spPr>
                </pic:pic>
              </a:graphicData>
            </a:graphic>
          </wp:inline>
        </w:drawing>
      </w:r>
    </w:p>
    <w:p w14:paraId="7DB7B154" w14:textId="46537B55" w:rsidR="00E35087" w:rsidRPr="00A55335" w:rsidRDefault="00E35087" w:rsidP="00E35087">
      <w:pPr>
        <w:pStyle w:val="TableFigNotes18"/>
      </w:pPr>
    </w:p>
    <w:p w14:paraId="66B587A9" w14:textId="77777777" w:rsidR="00DD505D" w:rsidRPr="00A55335" w:rsidRDefault="00DD505D" w:rsidP="004D433B">
      <w:pPr>
        <w:pStyle w:val="Heading3"/>
      </w:pPr>
      <w:bookmarkStart w:id="204" w:name="_Ref151466711"/>
      <w:bookmarkStart w:id="205" w:name="_Toc183441337"/>
      <w:r w:rsidRPr="00A55335">
        <w:t>Summary of findings and evidence statements</w:t>
      </w:r>
      <w:bookmarkEnd w:id="204"/>
      <w:bookmarkEnd w:id="205"/>
    </w:p>
    <w:p w14:paraId="2546C754" w14:textId="47309632" w:rsidR="0032064C" w:rsidRPr="00A55335" w:rsidRDefault="006070ED">
      <w:pPr>
        <w:pStyle w:val="Heading4"/>
      </w:pPr>
      <w:r w:rsidRPr="00A55335">
        <w:t>Primary Comparison</w:t>
      </w:r>
      <w:r w:rsidR="0032064C" w:rsidRPr="00A55335">
        <w:t xml:space="preserve"> (vs placebo) </w:t>
      </w:r>
    </w:p>
    <w:tbl>
      <w:tblPr>
        <w:tblW w:w="5000" w:type="pct"/>
        <w:tblLayout w:type="fixed"/>
        <w:tblCellMar>
          <w:top w:w="57" w:type="dxa"/>
          <w:left w:w="57" w:type="dxa"/>
          <w:bottom w:w="57" w:type="dxa"/>
          <w:right w:w="57" w:type="dxa"/>
        </w:tblCellMar>
        <w:tblLook w:val="04A0" w:firstRow="1" w:lastRow="0" w:firstColumn="1" w:lastColumn="0" w:noHBand="0" w:noVBand="1"/>
      </w:tblPr>
      <w:tblGrid>
        <w:gridCol w:w="1843"/>
        <w:gridCol w:w="1346"/>
        <w:gridCol w:w="1347"/>
        <w:gridCol w:w="937"/>
        <w:gridCol w:w="1190"/>
        <w:gridCol w:w="1134"/>
        <w:gridCol w:w="1948"/>
      </w:tblGrid>
      <w:tr w:rsidR="00DD505D" w:rsidRPr="00A55335" w14:paraId="48426718" w14:textId="77777777" w:rsidTr="00AE2D59">
        <w:trPr>
          <w:trHeight w:val="300"/>
          <w:tblHeader/>
        </w:trPr>
        <w:tc>
          <w:tcPr>
            <w:tcW w:w="9745" w:type="dxa"/>
            <w:gridSpan w:val="7"/>
            <w:tcBorders>
              <w:top w:val="single" w:sz="12" w:space="0" w:color="000000" w:themeColor="text1"/>
              <w:left w:val="nil"/>
              <w:bottom w:val="single" w:sz="12" w:space="0" w:color="000000" w:themeColor="text1"/>
              <w:right w:val="nil"/>
            </w:tcBorders>
            <w:tcMar>
              <w:top w:w="75" w:type="dxa"/>
              <w:left w:w="75" w:type="dxa"/>
              <w:bottom w:w="75" w:type="dxa"/>
              <w:right w:w="75" w:type="dxa"/>
            </w:tcMar>
            <w:vAlign w:val="center"/>
          </w:tcPr>
          <w:p w14:paraId="3DA6EF98" w14:textId="28DCC4A9" w:rsidR="00DD505D" w:rsidRPr="00A55335" w:rsidRDefault="00DD505D" w:rsidP="00980CA0">
            <w:pPr>
              <w:pStyle w:val="TableH1"/>
              <w:rPr>
                <w:lang w:val="en-AU"/>
              </w:rPr>
            </w:pPr>
            <w:r w:rsidRPr="00A55335">
              <w:rPr>
                <w:lang w:val="en-AU"/>
              </w:rPr>
              <w:t xml:space="preserve">Homeopathy compared to Placebo for </w:t>
            </w:r>
            <w:r w:rsidR="002014D7" w:rsidRPr="00A55335">
              <w:rPr>
                <w:lang w:val="en-AU"/>
              </w:rPr>
              <w:t>D</w:t>
            </w:r>
            <w:r w:rsidRPr="00A55335">
              <w:rPr>
                <w:lang w:val="en-AU"/>
              </w:rPr>
              <w:t>epression</w:t>
            </w:r>
            <w:r w:rsidR="00024BB3" w:rsidRPr="00A55335">
              <w:rPr>
                <w:lang w:val="en-AU"/>
              </w:rPr>
              <w:t xml:space="preserve"> (or symptoms of depression)</w:t>
            </w:r>
          </w:p>
        </w:tc>
      </w:tr>
      <w:tr w:rsidR="00DD505D" w:rsidRPr="00A55335" w14:paraId="543613F2" w14:textId="77777777" w:rsidTr="00AE2D59">
        <w:trPr>
          <w:trHeight w:val="300"/>
          <w:tblHeader/>
        </w:trPr>
        <w:tc>
          <w:tcPr>
            <w:tcW w:w="9745" w:type="dxa"/>
            <w:gridSpan w:val="7"/>
            <w:tcBorders>
              <w:top w:val="single" w:sz="12" w:space="0" w:color="000000" w:themeColor="text1"/>
              <w:left w:val="nil"/>
              <w:bottom w:val="single" w:sz="12" w:space="0" w:color="000000" w:themeColor="text1"/>
              <w:right w:val="nil"/>
            </w:tcBorders>
            <w:tcMar>
              <w:top w:w="75" w:type="dxa"/>
              <w:left w:w="75" w:type="dxa"/>
              <w:bottom w:w="75" w:type="dxa"/>
              <w:right w:w="75" w:type="dxa"/>
            </w:tcMar>
            <w:vAlign w:val="center"/>
          </w:tcPr>
          <w:p w14:paraId="3679EB7F" w14:textId="77777777" w:rsidR="00DD505D" w:rsidRPr="00A55335" w:rsidRDefault="00DD505D" w:rsidP="0032064C">
            <w:pPr>
              <w:pStyle w:val="Tabletext9pt"/>
            </w:pPr>
            <w:r w:rsidRPr="00A55335">
              <w:rPr>
                <w:rStyle w:val="Strong"/>
              </w:rPr>
              <w:t>Patient or population</w:t>
            </w:r>
            <w:r w:rsidRPr="00A55335">
              <w:t>: Depression</w:t>
            </w:r>
          </w:p>
          <w:p w14:paraId="7E4C3090" w14:textId="2C7249BF" w:rsidR="00DD505D" w:rsidRPr="00A55335" w:rsidRDefault="00DD505D" w:rsidP="0032064C">
            <w:pPr>
              <w:pStyle w:val="Tabletext9pt"/>
            </w:pPr>
            <w:r w:rsidRPr="00A55335">
              <w:rPr>
                <w:rStyle w:val="Strong"/>
              </w:rPr>
              <w:t>Setting</w:t>
            </w:r>
            <w:r w:rsidRPr="00A55335">
              <w:t xml:space="preserve">: </w:t>
            </w:r>
            <w:r w:rsidR="006A3038" w:rsidRPr="00A55335">
              <w:t>Community</w:t>
            </w:r>
          </w:p>
          <w:p w14:paraId="4BF004D0" w14:textId="77777777" w:rsidR="00DD505D" w:rsidRPr="00A55335" w:rsidRDefault="00DD505D" w:rsidP="0032064C">
            <w:pPr>
              <w:pStyle w:val="Tabletext9pt"/>
            </w:pPr>
            <w:r w:rsidRPr="00A55335">
              <w:rPr>
                <w:rStyle w:val="Strong"/>
              </w:rPr>
              <w:t>Intervention</w:t>
            </w:r>
            <w:r w:rsidRPr="00A55335">
              <w:t>: Homeopathy</w:t>
            </w:r>
          </w:p>
          <w:p w14:paraId="51F58D2F" w14:textId="77777777" w:rsidR="00DD505D" w:rsidRPr="00A55335" w:rsidRDefault="00DD505D" w:rsidP="0032064C">
            <w:pPr>
              <w:pStyle w:val="Tabletext9pt"/>
            </w:pPr>
            <w:r w:rsidRPr="00A55335">
              <w:rPr>
                <w:rStyle w:val="Strong"/>
              </w:rPr>
              <w:t>Comparison</w:t>
            </w:r>
            <w:r w:rsidRPr="00A55335">
              <w:t>: Placebo</w:t>
            </w:r>
          </w:p>
        </w:tc>
      </w:tr>
      <w:tr w:rsidR="00460D72" w:rsidRPr="00A55335" w14:paraId="04B0EEFC" w14:textId="77777777" w:rsidTr="00AE2D59">
        <w:trPr>
          <w:trHeight w:val="300"/>
          <w:tblHeader/>
        </w:trPr>
        <w:tc>
          <w:tcPr>
            <w:tcW w:w="1843" w:type="dxa"/>
            <w:vMerge w:val="restart"/>
            <w:tcBorders>
              <w:top w:val="single" w:sz="12" w:space="0" w:color="000000" w:themeColor="text1"/>
              <w:left w:val="nil"/>
              <w:bottom w:val="nil"/>
              <w:right w:val="single" w:sz="8" w:space="0" w:color="EFEFEF"/>
            </w:tcBorders>
            <w:shd w:val="clear" w:color="auto" w:fill="006579" w:themeFill="accent2"/>
            <w:tcMar>
              <w:top w:w="75" w:type="dxa"/>
              <w:left w:w="75" w:type="dxa"/>
              <w:bottom w:w="75" w:type="dxa"/>
              <w:right w:w="75" w:type="dxa"/>
            </w:tcMar>
            <w:vAlign w:val="bottom"/>
          </w:tcPr>
          <w:p w14:paraId="39A81CE1" w14:textId="77777777" w:rsidR="00DD505D" w:rsidRPr="00A55335" w:rsidRDefault="00DD505D" w:rsidP="003C48C8">
            <w:pPr>
              <w:pStyle w:val="Tabletext8pt"/>
              <w:rPr>
                <w:b/>
                <w:bCs/>
                <w:color w:val="F9F9F9" w:themeColor="background1"/>
              </w:rPr>
            </w:pPr>
            <w:r w:rsidRPr="00A55335">
              <w:rPr>
                <w:b/>
                <w:bCs/>
                <w:color w:val="F9F9F9" w:themeColor="background1"/>
              </w:rPr>
              <w:t>Outcomes</w:t>
            </w:r>
          </w:p>
        </w:tc>
        <w:tc>
          <w:tcPr>
            <w:tcW w:w="2693" w:type="dxa"/>
            <w:gridSpan w:val="2"/>
            <w:tcBorders>
              <w:top w:val="nil"/>
              <w:left w:val="single" w:sz="8" w:space="0" w:color="EFEFEF"/>
              <w:bottom w:val="nil"/>
              <w:right w:val="single" w:sz="8" w:space="0" w:color="EFEFEF"/>
            </w:tcBorders>
            <w:shd w:val="clear" w:color="auto" w:fill="E0E0E0"/>
            <w:tcMar>
              <w:top w:w="75" w:type="dxa"/>
              <w:left w:w="75" w:type="dxa"/>
              <w:bottom w:w="75" w:type="dxa"/>
              <w:right w:w="75" w:type="dxa"/>
            </w:tcMar>
            <w:vAlign w:val="bottom"/>
          </w:tcPr>
          <w:p w14:paraId="0168C825" w14:textId="77777777" w:rsidR="00DD505D" w:rsidRPr="00A55335" w:rsidRDefault="00DD505D" w:rsidP="00442534">
            <w:pPr>
              <w:pStyle w:val="Tabletext8pt"/>
              <w:rPr>
                <w:rStyle w:val="Strong"/>
              </w:rPr>
            </w:pPr>
            <w:r w:rsidRPr="00A55335">
              <w:rPr>
                <w:rStyle w:val="Strong"/>
              </w:rPr>
              <w:t>Anticipated absolute effects* (95% CI)</w:t>
            </w:r>
          </w:p>
        </w:tc>
        <w:tc>
          <w:tcPr>
            <w:tcW w:w="937" w:type="dxa"/>
            <w:vMerge w:val="restart"/>
            <w:tcBorders>
              <w:top w:val="nil"/>
              <w:left w:val="nil"/>
              <w:bottom w:val="nil"/>
              <w:right w:val="single" w:sz="8" w:space="0" w:color="EFEFEF"/>
            </w:tcBorders>
            <w:shd w:val="clear" w:color="auto" w:fill="006579" w:themeFill="accent2"/>
            <w:tcMar>
              <w:top w:w="75" w:type="dxa"/>
              <w:left w:w="75" w:type="dxa"/>
              <w:bottom w:w="75" w:type="dxa"/>
              <w:right w:w="75" w:type="dxa"/>
            </w:tcMar>
            <w:vAlign w:val="bottom"/>
          </w:tcPr>
          <w:p w14:paraId="2BD2F634" w14:textId="77777777" w:rsidR="00DD505D" w:rsidRPr="00A55335" w:rsidRDefault="00DD505D" w:rsidP="003C48C8">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 xml:space="preserve"> (95% CI)</w:t>
            </w:r>
          </w:p>
        </w:tc>
        <w:tc>
          <w:tcPr>
            <w:tcW w:w="1190" w:type="dxa"/>
            <w:vMerge w:val="restart"/>
            <w:tcBorders>
              <w:top w:val="nil"/>
              <w:left w:val="single" w:sz="8" w:space="0" w:color="EFEFEF"/>
              <w:bottom w:val="nil"/>
              <w:right w:val="single" w:sz="8" w:space="0" w:color="EFEFEF"/>
            </w:tcBorders>
            <w:shd w:val="clear" w:color="auto" w:fill="006579" w:themeFill="accent2"/>
            <w:tcMar>
              <w:top w:w="75" w:type="dxa"/>
              <w:left w:w="75" w:type="dxa"/>
              <w:bottom w:w="75" w:type="dxa"/>
              <w:right w:w="75" w:type="dxa"/>
            </w:tcMar>
            <w:vAlign w:val="bottom"/>
          </w:tcPr>
          <w:p w14:paraId="573BFCA9" w14:textId="77777777" w:rsidR="00DD505D" w:rsidRPr="00A55335" w:rsidRDefault="00DD505D" w:rsidP="003C48C8">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 xml:space="preserve"> (studies)</w:t>
            </w:r>
          </w:p>
        </w:tc>
        <w:tc>
          <w:tcPr>
            <w:tcW w:w="1134" w:type="dxa"/>
            <w:vMerge w:val="restart"/>
            <w:tcBorders>
              <w:top w:val="nil"/>
              <w:left w:val="single" w:sz="8" w:space="0" w:color="EFEFEF"/>
              <w:bottom w:val="nil"/>
              <w:right w:val="single" w:sz="8" w:space="0" w:color="EFEFEF"/>
            </w:tcBorders>
            <w:shd w:val="clear" w:color="auto" w:fill="006579" w:themeFill="accent2"/>
            <w:tcMar>
              <w:top w:w="75" w:type="dxa"/>
              <w:left w:w="75" w:type="dxa"/>
              <w:bottom w:w="75" w:type="dxa"/>
              <w:right w:w="75" w:type="dxa"/>
            </w:tcMar>
            <w:vAlign w:val="bottom"/>
          </w:tcPr>
          <w:p w14:paraId="3358C795" w14:textId="77777777" w:rsidR="00DD505D" w:rsidRPr="00A55335" w:rsidRDefault="00DD505D" w:rsidP="003C48C8">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 xml:space="preserve"> (GRADE)</w:t>
            </w:r>
          </w:p>
        </w:tc>
        <w:tc>
          <w:tcPr>
            <w:tcW w:w="1948" w:type="dxa"/>
            <w:vMerge w:val="restart"/>
            <w:tcBorders>
              <w:top w:val="nil"/>
              <w:left w:val="single" w:sz="8" w:space="0" w:color="EFEFEF"/>
              <w:bottom w:val="nil"/>
              <w:right w:val="single" w:sz="8" w:space="0" w:color="EFEFEF"/>
            </w:tcBorders>
            <w:shd w:val="clear" w:color="auto" w:fill="006579" w:themeFill="accent2"/>
            <w:tcMar>
              <w:top w:w="75" w:type="dxa"/>
              <w:left w:w="75" w:type="dxa"/>
              <w:bottom w:w="75" w:type="dxa"/>
              <w:right w:w="75" w:type="dxa"/>
            </w:tcMar>
            <w:vAlign w:val="bottom"/>
          </w:tcPr>
          <w:p w14:paraId="6FED7BBD" w14:textId="0A4C4F76" w:rsidR="00DD505D" w:rsidRPr="00A55335" w:rsidRDefault="00EC6D86" w:rsidP="003C48C8">
            <w:pPr>
              <w:pStyle w:val="Tabletext8pt"/>
              <w:rPr>
                <w:b/>
                <w:bCs/>
                <w:color w:val="F9F9F9" w:themeColor="background1"/>
              </w:rPr>
            </w:pPr>
            <w:r w:rsidRPr="00A55335">
              <w:rPr>
                <w:b/>
                <w:bCs/>
                <w:color w:val="F9F9F9" w:themeColor="background1"/>
              </w:rPr>
              <w:t xml:space="preserve">Evidence statement </w:t>
            </w:r>
          </w:p>
        </w:tc>
      </w:tr>
      <w:tr w:rsidR="00555593" w:rsidRPr="00A55335" w14:paraId="7361E048" w14:textId="77777777" w:rsidTr="00AE2D59">
        <w:trPr>
          <w:trHeight w:val="278"/>
          <w:tblHeader/>
        </w:trPr>
        <w:tc>
          <w:tcPr>
            <w:tcW w:w="1843" w:type="dxa"/>
            <w:vMerge/>
            <w:tcBorders>
              <w:left w:val="nil"/>
              <w:right w:val="single" w:sz="0" w:space="0" w:color="EFEFEF"/>
            </w:tcBorders>
            <w:shd w:val="clear" w:color="auto" w:fill="006579" w:themeFill="accent2"/>
            <w:vAlign w:val="center"/>
          </w:tcPr>
          <w:p w14:paraId="12CCEDA0" w14:textId="77777777" w:rsidR="00DD505D" w:rsidRPr="00A55335" w:rsidRDefault="00DD505D" w:rsidP="003042D4">
            <w:pPr>
              <w:pStyle w:val="Tabletext8pt"/>
            </w:pPr>
          </w:p>
        </w:tc>
        <w:tc>
          <w:tcPr>
            <w:tcW w:w="1346" w:type="dxa"/>
            <w:tcBorders>
              <w:top w:val="single" w:sz="8" w:space="0" w:color="EFEFEF"/>
              <w:left w:val="nil"/>
              <w:bottom w:val="nil"/>
              <w:right w:val="single" w:sz="8" w:space="0" w:color="EFEFEF"/>
            </w:tcBorders>
            <w:shd w:val="clear" w:color="auto" w:fill="E0E0E0"/>
            <w:tcMar>
              <w:top w:w="75" w:type="dxa"/>
              <w:left w:w="75" w:type="dxa"/>
              <w:bottom w:w="75" w:type="dxa"/>
              <w:right w:w="75" w:type="dxa"/>
            </w:tcMar>
            <w:vAlign w:val="bottom"/>
          </w:tcPr>
          <w:p w14:paraId="5AC4CFD1" w14:textId="77777777" w:rsidR="00DD505D" w:rsidRPr="00A55335" w:rsidRDefault="00DD505D" w:rsidP="00442534">
            <w:pPr>
              <w:pStyle w:val="Tabletext8pt"/>
              <w:rPr>
                <w:rStyle w:val="Strong"/>
              </w:rPr>
            </w:pPr>
            <w:r w:rsidRPr="00A55335">
              <w:rPr>
                <w:rStyle w:val="Strong"/>
              </w:rPr>
              <w:t>Risk with Placebo</w:t>
            </w:r>
          </w:p>
        </w:tc>
        <w:tc>
          <w:tcPr>
            <w:tcW w:w="1347" w:type="dxa"/>
            <w:tcBorders>
              <w:top w:val="single" w:sz="8" w:space="0" w:color="EFEFEF"/>
              <w:left w:val="single" w:sz="8" w:space="0" w:color="EFEFEF"/>
              <w:bottom w:val="nil"/>
              <w:right w:val="single" w:sz="8" w:space="0" w:color="EFEFEF"/>
            </w:tcBorders>
            <w:shd w:val="clear" w:color="auto" w:fill="E0E0E0"/>
            <w:tcMar>
              <w:top w:w="75" w:type="dxa"/>
              <w:left w:w="75" w:type="dxa"/>
              <w:bottom w:w="75" w:type="dxa"/>
              <w:right w:w="75" w:type="dxa"/>
            </w:tcMar>
            <w:vAlign w:val="bottom"/>
          </w:tcPr>
          <w:p w14:paraId="4B6563B6" w14:textId="77777777" w:rsidR="00DD505D" w:rsidRPr="00A55335" w:rsidRDefault="00DD505D" w:rsidP="00442534">
            <w:pPr>
              <w:pStyle w:val="Tabletext8pt"/>
              <w:rPr>
                <w:rStyle w:val="Strong"/>
              </w:rPr>
            </w:pPr>
            <w:r w:rsidRPr="00A55335">
              <w:rPr>
                <w:rStyle w:val="Strong"/>
              </w:rPr>
              <w:t>Risk with Homeopathy</w:t>
            </w:r>
          </w:p>
        </w:tc>
        <w:tc>
          <w:tcPr>
            <w:tcW w:w="937" w:type="dxa"/>
            <w:vMerge/>
            <w:tcBorders>
              <w:left w:val="nil"/>
              <w:right w:val="single" w:sz="0" w:space="0" w:color="EFEFEF"/>
            </w:tcBorders>
            <w:shd w:val="clear" w:color="auto" w:fill="006579" w:themeFill="accent2"/>
            <w:vAlign w:val="center"/>
          </w:tcPr>
          <w:p w14:paraId="0BAF0E58" w14:textId="77777777" w:rsidR="00DD505D" w:rsidRPr="00A55335" w:rsidRDefault="00DD505D" w:rsidP="003042D4">
            <w:pPr>
              <w:pStyle w:val="Tabletext8pt"/>
            </w:pPr>
          </w:p>
        </w:tc>
        <w:tc>
          <w:tcPr>
            <w:tcW w:w="1190" w:type="dxa"/>
            <w:vMerge/>
            <w:tcBorders>
              <w:left w:val="single" w:sz="0" w:space="0" w:color="EFEFEF"/>
              <w:right w:val="single" w:sz="0" w:space="0" w:color="EFEFEF"/>
            </w:tcBorders>
            <w:shd w:val="clear" w:color="auto" w:fill="006579" w:themeFill="accent2"/>
            <w:vAlign w:val="center"/>
          </w:tcPr>
          <w:p w14:paraId="55C5F58C" w14:textId="77777777" w:rsidR="00DD505D" w:rsidRPr="00A55335" w:rsidRDefault="00DD505D" w:rsidP="003042D4">
            <w:pPr>
              <w:pStyle w:val="Tabletext8pt"/>
            </w:pPr>
          </w:p>
        </w:tc>
        <w:tc>
          <w:tcPr>
            <w:tcW w:w="1134" w:type="dxa"/>
            <w:vMerge/>
            <w:tcBorders>
              <w:left w:val="single" w:sz="0" w:space="0" w:color="EFEFEF"/>
              <w:right w:val="single" w:sz="0" w:space="0" w:color="EFEFEF"/>
            </w:tcBorders>
            <w:shd w:val="clear" w:color="auto" w:fill="006579" w:themeFill="accent2"/>
            <w:vAlign w:val="center"/>
          </w:tcPr>
          <w:p w14:paraId="2669E2D0" w14:textId="77777777" w:rsidR="00DD505D" w:rsidRPr="00A55335" w:rsidRDefault="00DD505D" w:rsidP="003042D4">
            <w:pPr>
              <w:pStyle w:val="Tabletext8pt"/>
            </w:pPr>
          </w:p>
        </w:tc>
        <w:tc>
          <w:tcPr>
            <w:tcW w:w="1948" w:type="dxa"/>
            <w:vMerge/>
            <w:tcBorders>
              <w:left w:val="single" w:sz="0" w:space="0" w:color="EFEFEF"/>
              <w:right w:val="single" w:sz="0" w:space="0" w:color="EFEFEF"/>
            </w:tcBorders>
            <w:shd w:val="clear" w:color="auto" w:fill="006579" w:themeFill="accent2"/>
            <w:vAlign w:val="center"/>
          </w:tcPr>
          <w:p w14:paraId="472F0F11" w14:textId="77777777" w:rsidR="00DD505D" w:rsidRPr="00A55335" w:rsidRDefault="00DD505D" w:rsidP="003042D4">
            <w:pPr>
              <w:pStyle w:val="Tabletext8pt"/>
            </w:pPr>
          </w:p>
        </w:tc>
      </w:tr>
      <w:tr w:rsidR="00460D72" w:rsidRPr="00A55335" w14:paraId="3F9D2CB0" w14:textId="77777777" w:rsidTr="00D34D61">
        <w:trPr>
          <w:trHeight w:val="15"/>
        </w:trPr>
        <w:tc>
          <w:tcPr>
            <w:tcW w:w="184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CE61395" w14:textId="0E713777" w:rsidR="00DD505D" w:rsidRPr="00A55335" w:rsidRDefault="00DD505D" w:rsidP="003042D4">
            <w:pPr>
              <w:pStyle w:val="Tabletext8pt"/>
            </w:pPr>
            <w:r w:rsidRPr="00A55335">
              <w:t xml:space="preserve">Depression </w:t>
            </w:r>
            <w:r w:rsidR="000D1B81" w:rsidRPr="00A55335">
              <w:t>severity</w:t>
            </w:r>
            <w:r w:rsidRPr="00A55335">
              <w:br/>
              <w:t>assessed with: HAM-D</w:t>
            </w:r>
            <w:r w:rsidR="0022573D" w:rsidRPr="00A55335">
              <w:t xml:space="preserve"> </w:t>
            </w:r>
            <w:r w:rsidR="00015E7F" w:rsidRPr="00A55335">
              <w:t>(higher is worse)</w:t>
            </w:r>
            <w:r w:rsidRPr="00A55335">
              <w:br/>
              <w:t xml:space="preserve"> Scale from: 0 to 52</w:t>
            </w:r>
            <w:r w:rsidRPr="00A55335">
              <w:br/>
              <w:t xml:space="preserve"> follow-up: 6 weeks</w:t>
            </w:r>
          </w:p>
        </w:tc>
        <w:tc>
          <w:tcPr>
            <w:tcW w:w="1346"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718A047B" w14:textId="17D14682" w:rsidR="00DD505D" w:rsidRPr="00A55335" w:rsidRDefault="00DD505D" w:rsidP="003042D4">
            <w:pPr>
              <w:pStyle w:val="Tabletext8pt"/>
            </w:pPr>
            <w:r w:rsidRPr="00A55335">
              <w:t xml:space="preserve">The mean </w:t>
            </w:r>
            <w:r w:rsidR="00015E7F" w:rsidRPr="00A55335">
              <w:t xml:space="preserve">HAM-D </w:t>
            </w:r>
            <w:r w:rsidR="0032064C" w:rsidRPr="00A55335">
              <w:t>score</w:t>
            </w:r>
            <w:r w:rsidRPr="00A55335">
              <w:t xml:space="preserve"> was </w:t>
            </w:r>
            <w:r w:rsidRPr="00A55335">
              <w:rPr>
                <w:rStyle w:val="Strong"/>
              </w:rPr>
              <w:t>11.1 points</w:t>
            </w:r>
          </w:p>
        </w:tc>
        <w:tc>
          <w:tcPr>
            <w:tcW w:w="1347"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tcPr>
          <w:p w14:paraId="56DADC37" w14:textId="0F26317D" w:rsidR="00DD505D" w:rsidRPr="00A55335" w:rsidRDefault="00DD505D" w:rsidP="003042D4">
            <w:pPr>
              <w:pStyle w:val="Tabletext8pt"/>
            </w:pPr>
            <w:r w:rsidRPr="00A55335">
              <w:t xml:space="preserve">MD </w:t>
            </w:r>
            <w:r w:rsidRPr="00A55335">
              <w:rPr>
                <w:rStyle w:val="Strong"/>
              </w:rPr>
              <w:t>2.</w:t>
            </w:r>
            <w:r w:rsidR="008B63E3" w:rsidRPr="00A55335">
              <w:rPr>
                <w:rStyle w:val="Strong"/>
              </w:rPr>
              <w:t>33</w:t>
            </w:r>
            <w:r w:rsidRPr="00A55335">
              <w:rPr>
                <w:rStyle w:val="Strong"/>
              </w:rPr>
              <w:t xml:space="preserve"> points higher</w:t>
            </w:r>
            <w:r w:rsidRPr="00A55335">
              <w:br/>
              <w:t xml:space="preserve"> (0.</w:t>
            </w:r>
            <w:r w:rsidR="005B7D13" w:rsidRPr="00A55335">
              <w:t>51</w:t>
            </w:r>
            <w:r w:rsidRPr="00A55335">
              <w:t xml:space="preserve"> lower to 5.</w:t>
            </w:r>
            <w:r w:rsidR="005B7D13" w:rsidRPr="00A55335">
              <w:t>17</w:t>
            </w:r>
            <w:r w:rsidRPr="00A55335">
              <w:t xml:space="preserve"> higher)</w:t>
            </w:r>
          </w:p>
        </w:tc>
        <w:tc>
          <w:tcPr>
            <w:tcW w:w="937"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253F1BCC" w14:textId="77777777" w:rsidR="00DD505D" w:rsidRPr="00A55335" w:rsidRDefault="00DD505D" w:rsidP="00015E7F">
            <w:pPr>
              <w:pStyle w:val="Tabletext8pt"/>
              <w:jc w:val="center"/>
            </w:pPr>
            <w:r w:rsidRPr="00A55335">
              <w:t>-</w:t>
            </w:r>
          </w:p>
        </w:tc>
        <w:tc>
          <w:tcPr>
            <w:tcW w:w="1190"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11A3795" w14:textId="686A6BAC" w:rsidR="00DD505D" w:rsidRPr="00A55335" w:rsidRDefault="00980AB5" w:rsidP="00015E7F">
            <w:pPr>
              <w:pStyle w:val="Tabletext8pt"/>
              <w:jc w:val="center"/>
            </w:pPr>
            <w:r w:rsidRPr="00A55335">
              <w:t>44</w:t>
            </w:r>
            <w:r w:rsidR="00DD505D" w:rsidRPr="00A55335">
              <w:br/>
              <w:t xml:space="preserve"> (</w:t>
            </w:r>
            <w:r w:rsidRPr="00A55335">
              <w:t xml:space="preserve">1 </w:t>
            </w:r>
            <w:r w:rsidR="00DD505D" w:rsidRPr="00A55335">
              <w:t>RCT)</w:t>
            </w:r>
          </w:p>
        </w:tc>
        <w:tc>
          <w:tcPr>
            <w:tcW w:w="113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65D2F3C4" w14:textId="55B196B3" w:rsidR="00DD505D" w:rsidRPr="00A55335" w:rsidRDefault="00DD505D" w:rsidP="00015E7F">
            <w:pPr>
              <w:pStyle w:val="Tabletext8pt"/>
              <w:jc w:val="center"/>
            </w:pPr>
            <w:r w:rsidRPr="00A55335">
              <w:rPr>
                <w:rStyle w:val="quality-sign"/>
                <w:rFonts w:ascii="Cambria Math" w:hAnsi="Cambria Math"/>
              </w:rPr>
              <w:t>⨁</w:t>
            </w:r>
            <w:r w:rsidR="007B1983" w:rsidRPr="00A55335">
              <w:rPr>
                <w:rStyle w:val="quality-sign"/>
                <w:rFonts w:ascii="Cambria Math" w:hAnsi="Cambria Math"/>
              </w:rPr>
              <w:t>◯</w:t>
            </w:r>
            <w:r w:rsidRPr="00A55335">
              <w:rPr>
                <w:rStyle w:val="quality-sign"/>
                <w:rFonts w:ascii="Cambria Math" w:hAnsi="Cambria Math"/>
              </w:rPr>
              <w:t>◯◯</w:t>
            </w:r>
            <w:r w:rsidRPr="00A55335">
              <w:br/>
            </w:r>
            <w:r w:rsidRPr="00A55335">
              <w:rPr>
                <w:rStyle w:val="QualitytextChar"/>
              </w:rPr>
              <w:t xml:space="preserve"> </w:t>
            </w:r>
            <w:r w:rsidR="007B1983" w:rsidRPr="00A55335">
              <w:rPr>
                <w:rStyle w:val="QualitytextChar"/>
              </w:rPr>
              <w:t xml:space="preserve">Very </w:t>
            </w:r>
            <w:r w:rsidRPr="00A55335">
              <w:rPr>
                <w:rStyle w:val="QualitytextChar"/>
              </w:rPr>
              <w:t>Low</w:t>
            </w:r>
            <w:r w:rsidR="0032064C" w:rsidRPr="00A55335">
              <w:t xml:space="preserve"> </w:t>
            </w:r>
            <w:proofErr w:type="spellStart"/>
            <w:r w:rsidR="002F6194" w:rsidRPr="00A55335">
              <w:rPr>
                <w:rStyle w:val="FootnoteReference"/>
              </w:rPr>
              <w:t>a,</w:t>
            </w:r>
            <w:r w:rsidRPr="00A55335">
              <w:rPr>
                <w:rStyle w:val="FootnoteReference"/>
              </w:rPr>
              <w:t>b,c,d</w:t>
            </w:r>
            <w:r w:rsidR="002F6194" w:rsidRPr="00A55335">
              <w:rPr>
                <w:rStyle w:val="FootnoteReference"/>
              </w:rPr>
              <w:t>,e</w:t>
            </w:r>
            <w:proofErr w:type="spellEnd"/>
          </w:p>
        </w:tc>
        <w:tc>
          <w:tcPr>
            <w:tcW w:w="1948"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68DE9F96" w14:textId="69428CD1" w:rsidR="00DD505D" w:rsidRPr="00A55335" w:rsidRDefault="007B1983" w:rsidP="003042D4">
            <w:pPr>
              <w:pStyle w:val="Tabletext8pt"/>
            </w:pPr>
            <w:r w:rsidRPr="00A55335">
              <w:t>The evidence is very uncertain about the effect of h</w:t>
            </w:r>
            <w:r w:rsidR="00BD443B" w:rsidRPr="00A55335">
              <w:t xml:space="preserve">omeopathy </w:t>
            </w:r>
            <w:r w:rsidRPr="00A55335">
              <w:t xml:space="preserve">on </w:t>
            </w:r>
            <w:r w:rsidR="00DD505D" w:rsidRPr="00A55335">
              <w:t xml:space="preserve">depression </w:t>
            </w:r>
            <w:r w:rsidR="000D1B81" w:rsidRPr="00A55335">
              <w:t xml:space="preserve">severity </w:t>
            </w:r>
            <w:r w:rsidR="0032064C" w:rsidRPr="00A55335">
              <w:t>in people with depression</w:t>
            </w:r>
            <w:r w:rsidR="009B5C71">
              <w:t xml:space="preserve"> </w:t>
            </w:r>
            <w:r w:rsidR="00E23CF7" w:rsidRPr="009B5C71">
              <w:rPr>
                <w:vertAlign w:val="superscript"/>
              </w:rPr>
              <w:t>#</w:t>
            </w:r>
            <w:r w:rsidR="00DD505D" w:rsidRPr="00A55335">
              <w:t xml:space="preserve"> </w:t>
            </w:r>
          </w:p>
        </w:tc>
      </w:tr>
      <w:tr w:rsidR="000D1B81" w:rsidRPr="00A55335" w14:paraId="79683D88" w14:textId="77777777" w:rsidTr="00D34D61">
        <w:trPr>
          <w:trHeight w:val="15"/>
        </w:trPr>
        <w:tc>
          <w:tcPr>
            <w:tcW w:w="184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76A68615" w14:textId="77777777" w:rsidR="000D1B81" w:rsidRPr="00A55335" w:rsidRDefault="000D1B81" w:rsidP="003042D4">
            <w:pPr>
              <w:pStyle w:val="Tabletext8pt"/>
            </w:pPr>
            <w:r w:rsidRPr="00A55335">
              <w:t>Psychological distress - not reported</w:t>
            </w:r>
          </w:p>
        </w:tc>
        <w:tc>
          <w:tcPr>
            <w:tcW w:w="1346"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6D72C092" w14:textId="77777777" w:rsidR="000D1B81" w:rsidRPr="00A55335" w:rsidRDefault="000D1B81" w:rsidP="003042D4">
            <w:pPr>
              <w:pStyle w:val="Tabletext8pt"/>
            </w:pPr>
            <w:r w:rsidRPr="00A55335">
              <w:t>-</w:t>
            </w:r>
          </w:p>
        </w:tc>
        <w:tc>
          <w:tcPr>
            <w:tcW w:w="1347" w:type="dxa"/>
            <w:tcBorders>
              <w:top w:val="nil"/>
              <w:left w:val="nil"/>
              <w:bottom w:val="single" w:sz="8" w:space="0" w:color="000000" w:themeColor="text1"/>
              <w:right w:val="nil"/>
            </w:tcBorders>
            <w:shd w:val="clear" w:color="auto" w:fill="EBEBEB"/>
            <w:tcMar>
              <w:top w:w="75" w:type="dxa"/>
              <w:left w:w="75" w:type="dxa"/>
              <w:bottom w:w="75" w:type="dxa"/>
              <w:right w:w="75" w:type="dxa"/>
            </w:tcMar>
          </w:tcPr>
          <w:p w14:paraId="6652A56F" w14:textId="77777777" w:rsidR="000D1B81" w:rsidRPr="00A55335" w:rsidRDefault="000D1B81" w:rsidP="003042D4">
            <w:pPr>
              <w:pStyle w:val="Tabletext8pt"/>
            </w:pPr>
            <w:r w:rsidRPr="00A55335">
              <w:t>-</w:t>
            </w:r>
          </w:p>
        </w:tc>
        <w:tc>
          <w:tcPr>
            <w:tcW w:w="937"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BA19208" w14:textId="77777777" w:rsidR="000D1B81" w:rsidRPr="00A55335" w:rsidRDefault="000D1B81" w:rsidP="00015E7F">
            <w:pPr>
              <w:pStyle w:val="Tabletext8pt"/>
              <w:jc w:val="center"/>
            </w:pPr>
            <w:r w:rsidRPr="00A55335">
              <w:t>-</w:t>
            </w:r>
          </w:p>
        </w:tc>
        <w:tc>
          <w:tcPr>
            <w:tcW w:w="1190"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506BF64D" w14:textId="39717C58" w:rsidR="000D1B81" w:rsidRPr="00A55335" w:rsidRDefault="0041294E" w:rsidP="00015E7F">
            <w:pPr>
              <w:pStyle w:val="Tabletext8pt"/>
              <w:jc w:val="center"/>
            </w:pPr>
            <w:r w:rsidRPr="00A55335">
              <w:t xml:space="preserve">(0 </w:t>
            </w:r>
            <w:r w:rsidR="000755E2" w:rsidRPr="00A55335">
              <w:t>studies</w:t>
            </w:r>
            <w:r w:rsidRPr="00A55335">
              <w:t>)</w:t>
            </w:r>
          </w:p>
        </w:tc>
        <w:tc>
          <w:tcPr>
            <w:tcW w:w="113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58D4C70E" w14:textId="77777777" w:rsidR="000D1B81" w:rsidRPr="00A55335" w:rsidRDefault="000D1B81" w:rsidP="00015E7F">
            <w:pPr>
              <w:pStyle w:val="Qualitytext"/>
            </w:pPr>
            <w:r w:rsidRPr="00A55335">
              <w:t>-</w:t>
            </w:r>
          </w:p>
        </w:tc>
        <w:tc>
          <w:tcPr>
            <w:tcW w:w="1948"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75E5512E" w14:textId="6DE887D9" w:rsidR="000D1B81" w:rsidRPr="00A55335" w:rsidRDefault="00997E34" w:rsidP="003042D4">
            <w:pPr>
              <w:pStyle w:val="Tabletext8pt"/>
            </w:pPr>
            <w:r w:rsidRPr="00A55335">
              <w:t>The effect of homeopathy on psychological distress in people with depression is unknown</w:t>
            </w:r>
          </w:p>
        </w:tc>
      </w:tr>
      <w:tr w:rsidR="00267F0F" w:rsidRPr="00A55335" w14:paraId="54A96A84" w14:textId="77777777" w:rsidTr="007252A0">
        <w:trPr>
          <w:trHeight w:val="300"/>
        </w:trPr>
        <w:tc>
          <w:tcPr>
            <w:tcW w:w="184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136E7EF7" w14:textId="0660340C" w:rsidR="00267F0F" w:rsidRPr="00A55335" w:rsidRDefault="00267F0F" w:rsidP="00267F0F">
            <w:pPr>
              <w:pStyle w:val="Tabletext8pt"/>
            </w:pPr>
            <w:r w:rsidRPr="00A55335">
              <w:t xml:space="preserve">Emotional functioning </w:t>
            </w:r>
            <w:r w:rsidRPr="00A55335">
              <w:br/>
              <w:t>assessed with: SF-12 MCS (higher is worse)</w:t>
            </w:r>
            <w:r w:rsidRPr="00A55335">
              <w:br/>
              <w:t xml:space="preserve"> Scale from: 0 to 100</w:t>
            </w:r>
            <w:r w:rsidRPr="00A55335">
              <w:br/>
              <w:t xml:space="preserve"> follow-up: 6 weeks</w:t>
            </w:r>
          </w:p>
        </w:tc>
        <w:tc>
          <w:tcPr>
            <w:tcW w:w="1346"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110988E6" w14:textId="74B9C453" w:rsidR="00267F0F" w:rsidRPr="00A55335" w:rsidRDefault="00267F0F" w:rsidP="00267F0F">
            <w:pPr>
              <w:pStyle w:val="Tabletext8pt"/>
            </w:pPr>
            <w:r w:rsidRPr="00A55335">
              <w:t xml:space="preserve">The mean MCS score was </w:t>
            </w:r>
            <w:r w:rsidRPr="00A55335">
              <w:rPr>
                <w:rStyle w:val="Strong"/>
              </w:rPr>
              <w:t>42.85 points</w:t>
            </w:r>
          </w:p>
        </w:tc>
        <w:tc>
          <w:tcPr>
            <w:tcW w:w="1347"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tcPr>
          <w:p w14:paraId="35D597C0" w14:textId="15AD9CF1" w:rsidR="00267F0F" w:rsidRPr="00A55335" w:rsidRDefault="00267F0F" w:rsidP="00267F0F">
            <w:pPr>
              <w:pStyle w:val="Tabletext8pt"/>
            </w:pPr>
            <w:r w:rsidRPr="00A55335">
              <w:t xml:space="preserve">MD </w:t>
            </w:r>
            <w:r w:rsidRPr="00A55335">
              <w:rPr>
                <w:rStyle w:val="Strong"/>
              </w:rPr>
              <w:t>1.9 points lower</w:t>
            </w:r>
            <w:r w:rsidRPr="00A55335">
              <w:br/>
              <w:t xml:space="preserve"> (9.14 lower to 5.35 higher)</w:t>
            </w:r>
          </w:p>
        </w:tc>
        <w:tc>
          <w:tcPr>
            <w:tcW w:w="937"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5E2B836E" w14:textId="406A7589" w:rsidR="00267F0F" w:rsidRPr="00A55335" w:rsidRDefault="00267F0F" w:rsidP="00267F0F">
            <w:pPr>
              <w:pStyle w:val="Tabletext8pt"/>
              <w:jc w:val="center"/>
            </w:pPr>
            <w:r w:rsidRPr="00A55335">
              <w:t>-</w:t>
            </w:r>
          </w:p>
        </w:tc>
        <w:tc>
          <w:tcPr>
            <w:tcW w:w="1190"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465DF544" w14:textId="4F2BD426" w:rsidR="00267F0F" w:rsidRPr="00A55335" w:rsidRDefault="00267F0F" w:rsidP="00267F0F">
            <w:pPr>
              <w:pStyle w:val="Tabletext8pt"/>
              <w:jc w:val="center"/>
            </w:pPr>
            <w:r w:rsidRPr="00A55335">
              <w:t>44</w:t>
            </w:r>
            <w:r w:rsidRPr="00A55335">
              <w:br/>
              <w:t xml:space="preserve"> (1 RCT)</w:t>
            </w:r>
          </w:p>
        </w:tc>
        <w:tc>
          <w:tcPr>
            <w:tcW w:w="113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1D971788" w14:textId="5F76854D" w:rsidR="00267F0F" w:rsidRPr="00A55335" w:rsidRDefault="00267F0F" w:rsidP="007252A0">
            <w:pPr>
              <w:pStyle w:val="Tabletext8pt"/>
              <w:jc w:val="center"/>
            </w:pPr>
            <w:r w:rsidRPr="00A55335">
              <w:rPr>
                <w:rStyle w:val="quality-sign"/>
                <w:rFonts w:ascii="Cambria Math" w:hAnsi="Cambria Math"/>
              </w:rPr>
              <w:t>⨁◯◯◯</w:t>
            </w:r>
            <w:r w:rsidRPr="00A55335">
              <w:br/>
            </w:r>
            <w:r w:rsidRPr="00A55335">
              <w:rPr>
                <w:rStyle w:val="QualitytextChar"/>
              </w:rPr>
              <w:t xml:space="preserve"> Very Low</w:t>
            </w:r>
            <w:r w:rsidRPr="00A55335">
              <w:t xml:space="preserve"> </w:t>
            </w:r>
            <w:proofErr w:type="spellStart"/>
            <w:r w:rsidRPr="00A55335">
              <w:rPr>
                <w:rStyle w:val="FootnoteReference"/>
              </w:rPr>
              <w:t>a,b,c,d,e</w:t>
            </w:r>
            <w:proofErr w:type="spellEnd"/>
          </w:p>
        </w:tc>
        <w:tc>
          <w:tcPr>
            <w:tcW w:w="1948"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486E907A" w14:textId="0B0D9E00" w:rsidR="00267F0F" w:rsidRPr="00A55335" w:rsidRDefault="00267F0F" w:rsidP="00267F0F">
            <w:pPr>
              <w:pStyle w:val="Tabletext8pt"/>
            </w:pPr>
            <w:r w:rsidRPr="00A55335">
              <w:t>The evidence is very uncertain about the effect of homeopathy on emotional functioning in people with depression</w:t>
            </w:r>
            <w:r w:rsidR="009B5C71">
              <w:t xml:space="preserve"> </w:t>
            </w:r>
            <w:r w:rsidR="00E23CF7" w:rsidRPr="009B5C71">
              <w:rPr>
                <w:vertAlign w:val="superscript"/>
              </w:rPr>
              <w:t>##</w:t>
            </w:r>
            <w:r w:rsidRPr="00A55335">
              <w:t xml:space="preserve"> </w:t>
            </w:r>
          </w:p>
        </w:tc>
      </w:tr>
      <w:tr w:rsidR="00267F0F" w:rsidRPr="00A55335" w14:paraId="5D712952" w14:textId="77777777" w:rsidTr="007252A0">
        <w:trPr>
          <w:trHeight w:val="300"/>
        </w:trPr>
        <w:tc>
          <w:tcPr>
            <w:tcW w:w="184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3B2DE2D8" w14:textId="2932505E" w:rsidR="00267F0F" w:rsidRPr="00A55335" w:rsidRDefault="00267F0F" w:rsidP="00267F0F">
            <w:pPr>
              <w:pStyle w:val="Tabletext8pt"/>
            </w:pPr>
            <w:r w:rsidRPr="00A55335">
              <w:lastRenderedPageBreak/>
              <w:t>Physical functioning assessed with: SF-12 PCS (higher is worse)</w:t>
            </w:r>
            <w:r w:rsidRPr="00A55335">
              <w:br/>
              <w:t xml:space="preserve"> Scale from: 0 to 100</w:t>
            </w:r>
            <w:r w:rsidRPr="00A55335">
              <w:br/>
              <w:t xml:space="preserve"> follow-up: 6 weeks</w:t>
            </w:r>
          </w:p>
        </w:tc>
        <w:tc>
          <w:tcPr>
            <w:tcW w:w="1346"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6A6455E7" w14:textId="60E4D075" w:rsidR="00267F0F" w:rsidRPr="00A55335" w:rsidRDefault="00267F0F" w:rsidP="00267F0F">
            <w:pPr>
              <w:pStyle w:val="Tabletext8pt"/>
            </w:pPr>
            <w:r w:rsidRPr="00A55335">
              <w:t xml:space="preserve">The mean PCS score was </w:t>
            </w:r>
            <w:r w:rsidRPr="00A55335">
              <w:rPr>
                <w:rStyle w:val="Strong"/>
              </w:rPr>
              <w:t>48.2 points</w:t>
            </w:r>
          </w:p>
        </w:tc>
        <w:tc>
          <w:tcPr>
            <w:tcW w:w="1347"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tcPr>
          <w:p w14:paraId="26406C2A" w14:textId="451E1183" w:rsidR="00267F0F" w:rsidRPr="00A55335" w:rsidRDefault="00267F0F" w:rsidP="00267F0F">
            <w:pPr>
              <w:pStyle w:val="Tabletext8pt"/>
            </w:pPr>
            <w:r w:rsidRPr="00A55335">
              <w:t xml:space="preserve">MD </w:t>
            </w:r>
            <w:r w:rsidRPr="00A55335">
              <w:rPr>
                <w:rStyle w:val="Strong"/>
              </w:rPr>
              <w:t>4.77 points lower</w:t>
            </w:r>
            <w:r w:rsidRPr="00A55335">
              <w:br/>
              <w:t xml:space="preserve"> (11.29 lower to 1.75 higher)</w:t>
            </w:r>
          </w:p>
        </w:tc>
        <w:tc>
          <w:tcPr>
            <w:tcW w:w="937"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10825AA8" w14:textId="2D92B5D8" w:rsidR="00267F0F" w:rsidRPr="00A55335" w:rsidRDefault="00267F0F" w:rsidP="00267F0F">
            <w:pPr>
              <w:pStyle w:val="Tabletext8pt"/>
              <w:jc w:val="center"/>
            </w:pPr>
            <w:r w:rsidRPr="00A55335">
              <w:t>-</w:t>
            </w:r>
          </w:p>
        </w:tc>
        <w:tc>
          <w:tcPr>
            <w:tcW w:w="1190"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73DC98E0" w14:textId="7056DE7B" w:rsidR="00267F0F" w:rsidRPr="00A55335" w:rsidRDefault="00267F0F" w:rsidP="00267F0F">
            <w:pPr>
              <w:pStyle w:val="Tabletext8pt"/>
              <w:jc w:val="center"/>
            </w:pPr>
            <w:r w:rsidRPr="00A55335">
              <w:t>44</w:t>
            </w:r>
            <w:r w:rsidRPr="00A55335">
              <w:br/>
              <w:t xml:space="preserve"> (1 RCT)</w:t>
            </w:r>
          </w:p>
        </w:tc>
        <w:tc>
          <w:tcPr>
            <w:tcW w:w="113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70E1ABE7" w14:textId="4FA20BAB" w:rsidR="00267F0F" w:rsidRPr="00A55335" w:rsidRDefault="00267F0F" w:rsidP="007252A0">
            <w:pPr>
              <w:pStyle w:val="Tabletext8pt"/>
              <w:jc w:val="center"/>
            </w:pPr>
            <w:r w:rsidRPr="00A55335">
              <w:rPr>
                <w:rStyle w:val="quality-sign"/>
                <w:rFonts w:ascii="Cambria Math" w:hAnsi="Cambria Math"/>
              </w:rPr>
              <w:t>⨁◯◯◯</w:t>
            </w:r>
            <w:r w:rsidRPr="00A55335">
              <w:br/>
            </w:r>
            <w:r w:rsidRPr="00A55335">
              <w:rPr>
                <w:rStyle w:val="QualitytextChar"/>
              </w:rPr>
              <w:t xml:space="preserve"> Very Low</w:t>
            </w:r>
            <w:r w:rsidRPr="00A55335">
              <w:t xml:space="preserve"> </w:t>
            </w:r>
            <w:proofErr w:type="spellStart"/>
            <w:r w:rsidRPr="00A55335">
              <w:rPr>
                <w:rStyle w:val="FootnoteReference"/>
              </w:rPr>
              <w:t>a,b,c,d,e</w:t>
            </w:r>
            <w:proofErr w:type="spellEnd"/>
          </w:p>
        </w:tc>
        <w:tc>
          <w:tcPr>
            <w:tcW w:w="1948"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1C8CB7BA" w14:textId="167FEA20" w:rsidR="00267F0F" w:rsidRPr="00A55335" w:rsidRDefault="00267F0F" w:rsidP="00267F0F">
            <w:pPr>
              <w:pStyle w:val="Tabletext8pt"/>
            </w:pPr>
            <w:r w:rsidRPr="00A55335">
              <w:t>The evidence is very uncertain about the effect of</w:t>
            </w:r>
            <w:r w:rsidR="00D40D3E" w:rsidRPr="00A55335">
              <w:t xml:space="preserve"> </w:t>
            </w:r>
            <w:r w:rsidRPr="00A55335">
              <w:t>homeopathy on physical functioning in people with depression</w:t>
            </w:r>
            <w:r w:rsidR="009B5C71">
              <w:t xml:space="preserve"> </w:t>
            </w:r>
            <w:r w:rsidR="00E23CF7" w:rsidRPr="009B5C71">
              <w:rPr>
                <w:vertAlign w:val="superscript"/>
              </w:rPr>
              <w:t>##</w:t>
            </w:r>
            <w:r w:rsidRPr="00A55335">
              <w:t xml:space="preserve"> </w:t>
            </w:r>
          </w:p>
        </w:tc>
      </w:tr>
      <w:tr w:rsidR="00267F0F" w:rsidRPr="00A55335" w14:paraId="0918AFA1" w14:textId="77777777" w:rsidTr="00D34D61">
        <w:trPr>
          <w:trHeight w:val="300"/>
        </w:trPr>
        <w:tc>
          <w:tcPr>
            <w:tcW w:w="184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69F168F9" w14:textId="2F24922B" w:rsidR="00267F0F" w:rsidRPr="00A55335" w:rsidRDefault="00267F0F" w:rsidP="00267F0F">
            <w:pPr>
              <w:pStyle w:val="Tabletext8pt"/>
            </w:pPr>
            <w:r w:rsidRPr="00A55335">
              <w:t>Health-related quality of life - not reported</w:t>
            </w:r>
          </w:p>
        </w:tc>
        <w:tc>
          <w:tcPr>
            <w:tcW w:w="1346"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6D5510DD" w14:textId="0E46656A" w:rsidR="00267F0F" w:rsidRPr="00A55335" w:rsidRDefault="00267F0F" w:rsidP="00267F0F">
            <w:pPr>
              <w:pStyle w:val="Tabletext8pt"/>
            </w:pPr>
            <w:r w:rsidRPr="00A55335">
              <w:t>-</w:t>
            </w:r>
          </w:p>
        </w:tc>
        <w:tc>
          <w:tcPr>
            <w:tcW w:w="1347"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tcPr>
          <w:p w14:paraId="7374EA83" w14:textId="3DAD4AA8" w:rsidR="00267F0F" w:rsidRPr="00A55335" w:rsidRDefault="00267F0F" w:rsidP="00267F0F">
            <w:pPr>
              <w:pStyle w:val="Tabletext8pt"/>
            </w:pPr>
            <w:r w:rsidRPr="00A55335">
              <w:t>-</w:t>
            </w:r>
          </w:p>
        </w:tc>
        <w:tc>
          <w:tcPr>
            <w:tcW w:w="937"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6755AA16" w14:textId="02D3F2D6" w:rsidR="00267F0F" w:rsidRPr="00A55335" w:rsidRDefault="00267F0F" w:rsidP="00267F0F">
            <w:pPr>
              <w:pStyle w:val="Tabletext8pt"/>
              <w:jc w:val="center"/>
            </w:pPr>
            <w:r w:rsidRPr="00A55335">
              <w:t>-</w:t>
            </w:r>
          </w:p>
        </w:tc>
        <w:tc>
          <w:tcPr>
            <w:tcW w:w="1190"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5C6AE9A1" w14:textId="0E0AA98E" w:rsidR="00267F0F" w:rsidRPr="00A55335" w:rsidRDefault="00267F0F" w:rsidP="00267F0F">
            <w:pPr>
              <w:pStyle w:val="Tabletext8pt"/>
              <w:jc w:val="center"/>
            </w:pPr>
            <w:r w:rsidRPr="00A55335">
              <w:t xml:space="preserve">(0 </w:t>
            </w:r>
            <w:r w:rsidR="00A51E04" w:rsidRPr="00A55335">
              <w:t>studies</w:t>
            </w:r>
            <w:r w:rsidRPr="00A55335">
              <w:t xml:space="preserve">) </w:t>
            </w:r>
          </w:p>
        </w:tc>
        <w:tc>
          <w:tcPr>
            <w:tcW w:w="113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C91A4F3" w14:textId="519B423D" w:rsidR="00267F0F" w:rsidRPr="00A55335" w:rsidRDefault="00267F0F" w:rsidP="00267F0F">
            <w:pPr>
              <w:pStyle w:val="Qualitytext"/>
            </w:pPr>
            <w:r w:rsidRPr="00A55335">
              <w:t>-</w:t>
            </w:r>
          </w:p>
        </w:tc>
        <w:tc>
          <w:tcPr>
            <w:tcW w:w="1948"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4A71C17D" w14:textId="2772DD42" w:rsidR="00267F0F" w:rsidRPr="00A55335" w:rsidRDefault="00267F0F" w:rsidP="00267F0F">
            <w:pPr>
              <w:pStyle w:val="Tabletext8pt"/>
            </w:pPr>
            <w:r w:rsidRPr="00A55335">
              <w:t>The effect of homeopathy on health-related quality of life in people with depression is unknown.</w:t>
            </w:r>
          </w:p>
        </w:tc>
      </w:tr>
      <w:tr w:rsidR="00267F0F" w:rsidRPr="00A55335" w14:paraId="46ED74A8" w14:textId="77777777" w:rsidTr="007252A0">
        <w:trPr>
          <w:trHeight w:val="15"/>
        </w:trPr>
        <w:tc>
          <w:tcPr>
            <w:tcW w:w="9745" w:type="dxa"/>
            <w:gridSpan w:val="7"/>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3AF4DCBB" w14:textId="1A7EE8FD" w:rsidR="00B8440B" w:rsidRPr="00A55335" w:rsidRDefault="00267F0F" w:rsidP="00831FB6">
            <w:pPr>
              <w:pStyle w:val="TableFigNotes18"/>
            </w:pPr>
            <w:r w:rsidRPr="00A55335">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 </w:t>
            </w:r>
          </w:p>
          <w:p w14:paraId="46A4880E" w14:textId="77777777" w:rsidR="00B8440B" w:rsidRPr="00A55335" w:rsidRDefault="00B8440B" w:rsidP="00BA0A68">
            <w:pPr>
              <w:pStyle w:val="TableFigNotes18"/>
            </w:pPr>
          </w:p>
          <w:p w14:paraId="61161F4A" w14:textId="0B7552AE" w:rsidR="00A72E38" w:rsidRPr="00A55335" w:rsidRDefault="00B8440B" w:rsidP="00BA0A68">
            <w:pPr>
              <w:pStyle w:val="TableFigNotes18"/>
            </w:pPr>
            <w:r w:rsidRPr="00A55335">
              <w:t xml:space="preserve"># </w:t>
            </w:r>
            <w:r w:rsidR="000333A7" w:rsidRPr="00A55335">
              <w:t xml:space="preserve">The </w:t>
            </w:r>
            <w:r w:rsidRPr="00A55335">
              <w:t>MCID</w:t>
            </w:r>
            <w:r w:rsidR="000333A7" w:rsidRPr="00A55335">
              <w:t xml:space="preserve"> for the HAM-D</w:t>
            </w:r>
            <w:r w:rsidRPr="00A55335">
              <w:t xml:space="preserve"> ranges between 3 and 8 points </w:t>
            </w:r>
            <w:r w:rsidRPr="00A55335">
              <w:fldChar w:fldCharType="begin"/>
            </w:r>
            <w:r w:rsidR="006952AD">
              <w:instrText xml:space="preserve"> ADDIN EN.CITE &lt;EndNote&gt;&lt;Cite&gt;&lt;Author&gt;Michael&lt;/Author&gt;&lt;Year&gt;2022&lt;/Year&gt;&lt;RecNum&gt;674&lt;/RecNum&gt;&lt;DisplayText&gt;(149, 150)&lt;/DisplayText&gt;&lt;record&gt;&lt;rec-number&gt;674&lt;/rec-number&gt;&lt;foreign-keys&gt;&lt;key app="EN" db-id="t5prptatr9sp0we5exbxt9zz20fwp55tdza9" timestamp="1701752277"&gt;674&lt;/key&gt;&lt;/foreign-keys&gt;&lt;ref-type name="Journal Article"&gt;17&lt;/ref-type&gt;&lt;contributors&gt;&lt;authors&gt;&lt;author&gt;Michael, P. Hengartner&lt;/author&gt;&lt;author&gt;Martin, Plöderl&lt;/author&gt;&lt;/authors&gt;&lt;/contributors&gt;&lt;titles&gt;&lt;title&gt;Estimates of the minimal important difference to evaluate the clinical significance of antidepressants in the acute treatment of moderate-to-severe depression&lt;/title&gt;&lt;secondary-title&gt;BMJ Evidence-Based Medicine&lt;/secondary-title&gt;&lt;/titles&gt;&lt;periodical&gt;&lt;full-title&gt;BMJ Evidence-Based Medicine&lt;/full-title&gt;&lt;/periodical&gt;&lt;pages&gt;69&lt;/pages&gt;&lt;volume&gt;27&lt;/volume&gt;&lt;number&gt;2&lt;/number&gt;&lt;dates&gt;&lt;year&gt;2022&lt;/year&gt;&lt;/dates&gt;&lt;urls&gt;&lt;related-urls&gt;&lt;url&gt;http://ebm.bmj.com/content/27/2/69.abstract&lt;/url&gt;&lt;/related-urls&gt;&lt;/urls&gt;&lt;electronic-resource-num&gt;10.1136/bmjebm-2020-111600&lt;/electronic-resource-num&gt;&lt;/record&gt;&lt;/Cite&gt;&lt;Cite&gt;&lt;Author&gt;Canadian Agency for Drugs and Technologies in Health&lt;/Author&gt;&lt;Year&gt;2016&lt;/Year&gt;&lt;RecNum&gt;613&lt;/RecNum&gt;&lt;record&gt;&lt;rec-number&gt;613&lt;/rec-number&gt;&lt;foreign-keys&gt;&lt;key app="EN" db-id="t5prptatr9sp0we5exbxt9zz20fwp55tdza9" timestamp="1700809621"&gt;613&lt;/key&gt;&lt;/foreign-keys&gt;&lt;ref-type name="Electronic Book"&gt;44&lt;/ref-type&gt;&lt;contributors&gt;&lt;authors&gt;&lt;author&gt;Canadian Agency for Drugs and Technologies in Health,&lt;/author&gt;&lt;/authors&gt;&lt;/contributors&gt;&lt;titles&gt;&lt;title&gt;Aripiprazole (Abilify): Depression, Major Depressive Disorder (MDD)&lt;/title&gt;&lt;secondary-title&gt;Table 18, Validity and Minimal Clinically Important Difference of Outcome Measures&lt;/secondary-title&gt;&lt;/titles&gt;&lt;dates&gt;&lt;year&gt;2016&lt;/year&gt;&lt;/dates&gt;&lt;pub-location&gt;Ottawa&lt;/pub-location&gt;&lt;urls&gt;&lt;related-urls&gt;&lt;url&gt;https://www.ncbi.nlm.nih.gov/books/NBK409740/table/T25/&lt;/url&gt;&lt;/related-urls&gt;&lt;/urls&gt;&lt;/record&gt;&lt;/Cite&gt;&lt;/EndNote&gt;</w:instrText>
            </w:r>
            <w:r w:rsidRPr="00A55335">
              <w:fldChar w:fldCharType="separate"/>
            </w:r>
            <w:r w:rsidR="00067842">
              <w:rPr>
                <w:noProof/>
              </w:rPr>
              <w:t>(</w:t>
            </w:r>
            <w:hyperlink w:anchor="_ENREF_149" w:tooltip="Michael, 2022 #674" w:history="1">
              <w:r w:rsidR="00EC2769">
                <w:rPr>
                  <w:noProof/>
                </w:rPr>
                <w:t>149</w:t>
              </w:r>
            </w:hyperlink>
            <w:r w:rsidR="00067842">
              <w:rPr>
                <w:noProof/>
              </w:rPr>
              <w:t xml:space="preserve">, </w:t>
            </w:r>
            <w:hyperlink w:anchor="_ENREF_150" w:tooltip="Canadian Agency for Drugs and Technologies in Health, 2016 #613" w:history="1">
              <w:r w:rsidR="00EC2769">
                <w:rPr>
                  <w:noProof/>
                </w:rPr>
                <w:t>150</w:t>
              </w:r>
            </w:hyperlink>
            <w:r w:rsidR="00067842">
              <w:rPr>
                <w:noProof/>
              </w:rPr>
              <w:t>)</w:t>
            </w:r>
            <w:r w:rsidRPr="00A55335">
              <w:fldChar w:fldCharType="end"/>
            </w:r>
            <w:r w:rsidRPr="00A55335">
              <w:t>.</w:t>
            </w:r>
            <w:r w:rsidR="000333A7" w:rsidRPr="00A55335">
              <w:t xml:space="preserve"> </w:t>
            </w:r>
          </w:p>
          <w:p w14:paraId="7ECA2B96" w14:textId="038DAA05" w:rsidR="00B8440B" w:rsidRPr="00A55335" w:rsidRDefault="000333A7" w:rsidP="00D03E99">
            <w:pPr>
              <w:pStyle w:val="TableFigNotes18"/>
            </w:pPr>
            <w:r w:rsidRPr="00A55335">
              <w:t>##</w:t>
            </w:r>
            <w:r w:rsidR="00B8440B" w:rsidRPr="00A55335">
              <w:t xml:space="preserve"> </w:t>
            </w:r>
            <w:r w:rsidRPr="00A55335">
              <w:t xml:space="preserve">The MCID for the SF-12 is estimated to be around 2 to 4 points for the general population (i.e. ~0.5 of the SD) </w:t>
            </w:r>
            <w:r w:rsidRPr="00A55335">
              <w:fldChar w:fldCharType="begin"/>
            </w:r>
            <w:r w:rsidR="006952AD">
              <w:instrText xml:space="preserve"> ADDIN EN.CITE &lt;EndNote&gt;&lt;Cite ExcludeAuth="1" ExcludeYear="1"&gt;&lt;RecNum&gt;675&lt;/RecNum&gt;&lt;DisplayText&gt;(151)&lt;/DisplayText&gt;&lt;record&gt;&lt;rec-number&gt;675&lt;/rec-number&gt;&lt;foreign-keys&gt;&lt;key app="EN" db-id="t5prptatr9sp0we5exbxt9zz20fwp55tdza9" timestamp="1701845588"&gt;675&lt;/key&gt;&lt;/foreign-keys&gt;&lt;ref-type name="Book"&gt;6&lt;/ref-type&gt;&lt;contributors&gt;&lt;secondary-authors&gt;&lt;author&gt;Lincoln RD,&lt;/author&gt;&lt;/secondary-authors&gt;&lt;/contributors&gt;&lt;titles&gt;&lt;title&gt;User’s manual for the SF-36v2 survey&lt;/title&gt;&lt;/titles&gt;&lt;edition&gt;3rd&lt;/edition&gt;&lt;dates&gt;&lt;pub-dates&gt;&lt;date&gt;2011&lt;/date&gt;&lt;/pub-dates&gt;&lt;/dates&gt;&lt;publisher&gt;Quality Metric Incorporated&lt;/publisher&gt;&lt;urls&gt;&lt;/urls&gt;&lt;/record&gt;&lt;/Cite&gt;&lt;/EndNote&gt;</w:instrText>
            </w:r>
            <w:r w:rsidRPr="00A55335">
              <w:fldChar w:fldCharType="separate"/>
            </w:r>
            <w:r w:rsidR="00067842">
              <w:rPr>
                <w:noProof/>
              </w:rPr>
              <w:t>(</w:t>
            </w:r>
            <w:hyperlink w:anchor="_ENREF_151" w:tooltip=",  #675" w:history="1">
              <w:r w:rsidR="00EC2769">
                <w:rPr>
                  <w:noProof/>
                </w:rPr>
                <w:t>151</w:t>
              </w:r>
            </w:hyperlink>
            <w:r w:rsidR="00067842">
              <w:rPr>
                <w:noProof/>
              </w:rPr>
              <w:t>)</w:t>
            </w:r>
            <w:r w:rsidRPr="00A55335">
              <w:fldChar w:fldCharType="end"/>
            </w:r>
            <w:r w:rsidRPr="00A55335">
              <w:t>.</w:t>
            </w:r>
          </w:p>
          <w:p w14:paraId="60E18663" w14:textId="28DA8CB0" w:rsidR="00267F0F" w:rsidRPr="00A55335" w:rsidRDefault="00267F0F" w:rsidP="00267F0F">
            <w:pPr>
              <w:pStyle w:val="TableFigNotes0"/>
            </w:pPr>
            <w:r w:rsidRPr="00A55335">
              <w:rPr>
                <w:rStyle w:val="Strong"/>
              </w:rPr>
              <w:t>CI</w:t>
            </w:r>
            <w:r w:rsidRPr="00A55335">
              <w:t xml:space="preserve">: confidence interval; </w:t>
            </w:r>
            <w:r w:rsidR="00D03E99" w:rsidRPr="00A55335">
              <w:rPr>
                <w:rStyle w:val="Strong"/>
              </w:rPr>
              <w:t>HAM-D:</w:t>
            </w:r>
            <w:r w:rsidR="00D03E99" w:rsidRPr="00A55335">
              <w:t xml:space="preserve"> Hamilton depression rating scale; </w:t>
            </w:r>
            <w:r w:rsidRPr="00A55335">
              <w:rPr>
                <w:rStyle w:val="Strong"/>
              </w:rPr>
              <w:t>MD</w:t>
            </w:r>
            <w:r w:rsidRPr="00A55335">
              <w:t xml:space="preserve">: mean difference; </w:t>
            </w:r>
            <w:r w:rsidRPr="00A55335">
              <w:rPr>
                <w:rStyle w:val="Strong"/>
              </w:rPr>
              <w:t>RCT</w:t>
            </w:r>
            <w:r w:rsidRPr="00A55335">
              <w:t>: randomised controlled trial</w:t>
            </w:r>
            <w:r w:rsidR="00D03E99" w:rsidRPr="00A55335">
              <w:t xml:space="preserve">; </w:t>
            </w:r>
            <w:r w:rsidR="00D03E99" w:rsidRPr="00A55335">
              <w:rPr>
                <w:rStyle w:val="Strong"/>
              </w:rPr>
              <w:t>SF-12:</w:t>
            </w:r>
            <w:r w:rsidR="00D03E99" w:rsidRPr="00A55335">
              <w:t xml:space="preserve"> 12-</w:t>
            </w:r>
            <w:r w:rsidR="005763E4" w:rsidRPr="00A55335">
              <w:t>item short form</w:t>
            </w:r>
          </w:p>
        </w:tc>
      </w:tr>
      <w:tr w:rsidR="00267F0F" w:rsidRPr="00A55335" w14:paraId="7530A90E" w14:textId="77777777" w:rsidTr="00D34D61">
        <w:trPr>
          <w:cantSplit/>
        </w:trPr>
        <w:tc>
          <w:tcPr>
            <w:tcW w:w="9745" w:type="dxa"/>
            <w:gridSpan w:val="7"/>
            <w:tcBorders>
              <w:top w:val="single" w:sz="6" w:space="0" w:color="000000"/>
              <w:left w:val="nil"/>
              <w:bottom w:val="single" w:sz="6" w:space="0" w:color="000000"/>
              <w:right w:val="nil"/>
            </w:tcBorders>
            <w:vAlign w:val="center"/>
            <w:hideMark/>
          </w:tcPr>
          <w:p w14:paraId="76A6B9BE" w14:textId="77777777" w:rsidR="00267F0F" w:rsidRPr="00A55335" w:rsidRDefault="00267F0F" w:rsidP="00267F0F">
            <w:pPr>
              <w:pStyle w:val="TableFigNotes0"/>
            </w:pPr>
            <w:r w:rsidRPr="00A55335">
              <w:rPr>
                <w:rStyle w:val="Strong"/>
              </w:rPr>
              <w:t>GRADE Working Group grades of evidence</w:t>
            </w:r>
            <w:r w:rsidRPr="00A55335">
              <w:br/>
            </w:r>
            <w:r w:rsidRPr="00A55335">
              <w:rPr>
                <w:rStyle w:val="Strong"/>
              </w:rPr>
              <w:t>High certainty</w:t>
            </w:r>
            <w:r w:rsidRPr="00A55335">
              <w:t>: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10CE8E78" w14:textId="77777777" w:rsidR="00DD505D" w:rsidRPr="00A55335" w:rsidRDefault="00E35087" w:rsidP="00E35087">
      <w:pPr>
        <w:pStyle w:val="Heading5a"/>
        <w:rPr>
          <w:rFonts w:eastAsia="Arial Narrow"/>
          <w:lang w:val="en-AU"/>
        </w:rPr>
      </w:pPr>
      <w:r w:rsidRPr="00A55335">
        <w:rPr>
          <w:rFonts w:eastAsia="Arial Narrow"/>
          <w:lang w:val="en-AU"/>
        </w:rPr>
        <w:t>Explanations</w:t>
      </w:r>
    </w:p>
    <w:p w14:paraId="235A060B" w14:textId="6731A665" w:rsidR="00DE758B" w:rsidRPr="00A55335" w:rsidRDefault="00DD505D" w:rsidP="0032064C">
      <w:pPr>
        <w:pStyle w:val="Footnote"/>
      </w:pPr>
      <w:r w:rsidRPr="00A55335">
        <w:t xml:space="preserve">a. </w:t>
      </w:r>
      <w:proofErr w:type="gramStart"/>
      <w:r w:rsidR="00FB2D35" w:rsidRPr="00A55335">
        <w:t>Serious</w:t>
      </w:r>
      <w:proofErr w:type="gramEnd"/>
      <w:r w:rsidR="00FB2D35" w:rsidRPr="00A55335">
        <w:t xml:space="preserve"> risk of </w:t>
      </w:r>
      <w:r w:rsidR="00DE758B" w:rsidRPr="00A55335">
        <w:t>bias</w:t>
      </w:r>
      <w:r w:rsidR="00FB2D35" w:rsidRPr="00A55335">
        <w:t xml:space="preserve">. </w:t>
      </w:r>
      <w:r w:rsidR="00DE758B" w:rsidRPr="00A55335">
        <w:t>One</w:t>
      </w:r>
      <w:r w:rsidRPr="00A55335">
        <w:t xml:space="preserve"> </w:t>
      </w:r>
      <w:r w:rsidR="00DE758B" w:rsidRPr="00A55335">
        <w:t xml:space="preserve">study </w:t>
      </w:r>
      <w:r w:rsidRPr="00A55335">
        <w:t>contributing 100% of the data w</w:t>
      </w:r>
      <w:r w:rsidR="00DE758B" w:rsidRPr="00A55335">
        <w:t>as</w:t>
      </w:r>
      <w:r w:rsidRPr="00A55335">
        <w:t xml:space="preserve"> at high risk of bias. Certainty of evidence downgraded.</w:t>
      </w:r>
    </w:p>
    <w:p w14:paraId="29D8CB2F" w14:textId="7FDE22DC" w:rsidR="00DD505D" w:rsidRPr="00A55335" w:rsidRDefault="00DE758B" w:rsidP="0032064C">
      <w:pPr>
        <w:pStyle w:val="Footnote"/>
      </w:pPr>
      <w:r w:rsidRPr="00A55335">
        <w:t xml:space="preserve">b. Single study, </w:t>
      </w:r>
      <w:r w:rsidR="00B711B5" w:rsidRPr="00A55335">
        <w:t>inconsistency not assessed. Certainty of evidence not downgraded.</w:t>
      </w:r>
      <w:r w:rsidR="00DD505D" w:rsidRPr="00A55335">
        <w:t xml:space="preserve"> </w:t>
      </w:r>
    </w:p>
    <w:p w14:paraId="7CF78078" w14:textId="76C95A30" w:rsidR="00DD505D" w:rsidRPr="00A55335" w:rsidRDefault="00DD505D" w:rsidP="0032064C">
      <w:pPr>
        <w:pStyle w:val="Footnote"/>
      </w:pPr>
      <w:r w:rsidRPr="00A55335">
        <w:t xml:space="preserve">c. </w:t>
      </w:r>
      <w:r w:rsidR="00B711B5" w:rsidRPr="00A55335">
        <w:t>N</w:t>
      </w:r>
      <w:r w:rsidR="002F6194" w:rsidRPr="00A55335">
        <w:t>o</w:t>
      </w:r>
      <w:r w:rsidR="00B711B5" w:rsidRPr="00A55335">
        <w:t xml:space="preserve"> serious indirectness. </w:t>
      </w:r>
      <w:r w:rsidR="002F6194" w:rsidRPr="00A55335">
        <w:t>The available evidence is in people diagnosed with major depression and</w:t>
      </w:r>
      <w:r w:rsidR="00B711B5" w:rsidRPr="00A55335">
        <w:t xml:space="preserve"> generalisable to the Australian population with few caveats. </w:t>
      </w:r>
      <w:r w:rsidR="002F6194" w:rsidRPr="00A55335">
        <w:t>Certainty of evidence not downgraded.</w:t>
      </w:r>
    </w:p>
    <w:p w14:paraId="3E0876DA" w14:textId="443D1DBE" w:rsidR="00DD505D" w:rsidRPr="00A55335" w:rsidRDefault="00DD505D" w:rsidP="0032064C">
      <w:pPr>
        <w:pStyle w:val="Footnote"/>
      </w:pPr>
      <w:r w:rsidRPr="00A55335">
        <w:t xml:space="preserve">d. </w:t>
      </w:r>
      <w:r w:rsidR="002F6194" w:rsidRPr="00A55335">
        <w:t>Very serious imprecision. Single small study with w</w:t>
      </w:r>
      <w:r w:rsidRPr="00A55335">
        <w:t xml:space="preserve">ide confidence intervals </w:t>
      </w:r>
      <w:r w:rsidR="002F6194" w:rsidRPr="00A55335">
        <w:t>(upper and lower bounds overlap with</w:t>
      </w:r>
      <w:r w:rsidRPr="00A55335">
        <w:t xml:space="preserve"> </w:t>
      </w:r>
      <w:r w:rsidR="002F6194" w:rsidRPr="00A55335">
        <w:t>both important benefits and harms)</w:t>
      </w:r>
      <w:r w:rsidRPr="00A55335">
        <w:t>. Certainty of evidence downgraded</w:t>
      </w:r>
      <w:r w:rsidR="002F6194" w:rsidRPr="00A55335">
        <w:t xml:space="preserve"> 2 levels</w:t>
      </w:r>
      <w:r w:rsidRPr="00A55335">
        <w:t>.</w:t>
      </w:r>
    </w:p>
    <w:p w14:paraId="1D9EB7BB" w14:textId="5F13C5B7" w:rsidR="00631AA3" w:rsidRPr="00A55335" w:rsidRDefault="00631AA3" w:rsidP="00BB30CC">
      <w:pPr>
        <w:pStyle w:val="Footnote"/>
      </w:pPr>
      <w:r w:rsidRPr="00A55335">
        <w:t xml:space="preserve">e. Publication bias </w:t>
      </w:r>
      <w:r w:rsidR="007B1983" w:rsidRPr="00A55335">
        <w:t xml:space="preserve">not </w:t>
      </w:r>
      <w:r w:rsidRPr="00A55335">
        <w:t xml:space="preserve">suspected. </w:t>
      </w:r>
      <w:r w:rsidR="007B1983" w:rsidRPr="00A55335">
        <w:t>Certainty of evidence not downgraded.</w:t>
      </w:r>
    </w:p>
    <w:p w14:paraId="38F2EF22" w14:textId="1C25ACB2" w:rsidR="00DD505D" w:rsidRPr="00A55335" w:rsidRDefault="00DD505D" w:rsidP="00F52151">
      <w:pPr>
        <w:pStyle w:val="BodyText"/>
      </w:pPr>
    </w:p>
    <w:p w14:paraId="3DB6782D" w14:textId="185B721D" w:rsidR="00237FF2" w:rsidRPr="00A55335" w:rsidRDefault="006070ED" w:rsidP="00237FF2">
      <w:pPr>
        <w:pStyle w:val="Heading4"/>
      </w:pPr>
      <w:r w:rsidRPr="00A55335">
        <w:lastRenderedPageBreak/>
        <w:t>Secondary Comparison</w:t>
      </w:r>
      <w:r w:rsidR="00237FF2" w:rsidRPr="00A55335">
        <w:t xml:space="preserve"> (vs </w:t>
      </w:r>
      <w:r w:rsidR="00DF1ED7" w:rsidRPr="00A55335">
        <w:t xml:space="preserve">inactive </w:t>
      </w:r>
      <w:r w:rsidR="00237FF2" w:rsidRPr="00A55335">
        <w:t xml:space="preserve">control) </w:t>
      </w:r>
    </w:p>
    <w:tbl>
      <w:tblPr>
        <w:tblW w:w="5091" w:type="pct"/>
        <w:tblLayout w:type="fixed"/>
        <w:tblCellMar>
          <w:top w:w="57" w:type="dxa"/>
          <w:left w:w="57" w:type="dxa"/>
          <w:bottom w:w="57" w:type="dxa"/>
          <w:right w:w="57" w:type="dxa"/>
        </w:tblCellMar>
        <w:tblLook w:val="04A0" w:firstRow="1" w:lastRow="0" w:firstColumn="1" w:lastColumn="0" w:noHBand="0" w:noVBand="1"/>
      </w:tblPr>
      <w:tblGrid>
        <w:gridCol w:w="1842"/>
        <w:gridCol w:w="1277"/>
        <w:gridCol w:w="1416"/>
        <w:gridCol w:w="993"/>
        <w:gridCol w:w="1275"/>
        <w:gridCol w:w="1135"/>
        <w:gridCol w:w="1984"/>
      </w:tblGrid>
      <w:tr w:rsidR="00FC6EFE" w:rsidRPr="00A55335" w14:paraId="6A7BF040" w14:textId="77777777" w:rsidTr="007252A0">
        <w:trPr>
          <w:trHeight w:val="300"/>
          <w:tblHeader/>
        </w:trPr>
        <w:tc>
          <w:tcPr>
            <w:tcW w:w="9922" w:type="dxa"/>
            <w:gridSpan w:val="7"/>
            <w:tcBorders>
              <w:top w:val="single" w:sz="12" w:space="0" w:color="000000" w:themeColor="text1"/>
              <w:left w:val="nil"/>
              <w:bottom w:val="single" w:sz="12" w:space="0" w:color="000000" w:themeColor="text1"/>
              <w:right w:val="nil"/>
            </w:tcBorders>
            <w:tcMar>
              <w:top w:w="75" w:type="dxa"/>
              <w:left w:w="75" w:type="dxa"/>
              <w:bottom w:w="75" w:type="dxa"/>
              <w:right w:w="75" w:type="dxa"/>
            </w:tcMar>
            <w:vAlign w:val="center"/>
          </w:tcPr>
          <w:p w14:paraId="73284214" w14:textId="74D95D9C" w:rsidR="00FC6EFE" w:rsidRPr="00A55335" w:rsidRDefault="00FC6EFE">
            <w:pPr>
              <w:pStyle w:val="TableH1"/>
              <w:rPr>
                <w:lang w:val="en-AU"/>
              </w:rPr>
            </w:pPr>
            <w:r w:rsidRPr="00A55335">
              <w:rPr>
                <w:lang w:val="en-AU"/>
              </w:rPr>
              <w:t xml:space="preserve">Homeopathy compared to </w:t>
            </w:r>
            <w:r w:rsidR="00DF1ED7" w:rsidRPr="00A55335">
              <w:rPr>
                <w:lang w:val="en-AU"/>
              </w:rPr>
              <w:t xml:space="preserve">inactive control </w:t>
            </w:r>
            <w:r w:rsidRPr="00A55335">
              <w:rPr>
                <w:lang w:val="en-AU"/>
              </w:rPr>
              <w:t>for Depression (or symptoms of depression)</w:t>
            </w:r>
          </w:p>
        </w:tc>
      </w:tr>
      <w:tr w:rsidR="00FC6EFE" w:rsidRPr="00A55335" w14:paraId="3BC6C38D" w14:textId="77777777" w:rsidTr="007252A0">
        <w:trPr>
          <w:trHeight w:val="300"/>
          <w:tblHeader/>
        </w:trPr>
        <w:tc>
          <w:tcPr>
            <w:tcW w:w="9922" w:type="dxa"/>
            <w:gridSpan w:val="7"/>
            <w:tcBorders>
              <w:top w:val="single" w:sz="12" w:space="0" w:color="000000" w:themeColor="text1"/>
              <w:left w:val="nil"/>
              <w:bottom w:val="single" w:sz="12" w:space="0" w:color="000000" w:themeColor="text1"/>
              <w:right w:val="nil"/>
            </w:tcBorders>
            <w:tcMar>
              <w:top w:w="75" w:type="dxa"/>
              <w:left w:w="75" w:type="dxa"/>
              <w:bottom w:w="75" w:type="dxa"/>
              <w:right w:w="75" w:type="dxa"/>
            </w:tcMar>
            <w:vAlign w:val="center"/>
          </w:tcPr>
          <w:p w14:paraId="2FBCB22D" w14:textId="77777777" w:rsidR="00FC6EFE" w:rsidRPr="00A55335" w:rsidRDefault="00FC6EFE">
            <w:pPr>
              <w:pStyle w:val="Tabletext9pt"/>
            </w:pPr>
            <w:r w:rsidRPr="00A55335">
              <w:rPr>
                <w:rStyle w:val="Strong"/>
              </w:rPr>
              <w:t>Patient or population</w:t>
            </w:r>
            <w:r w:rsidRPr="00A55335">
              <w:t>: Depression</w:t>
            </w:r>
          </w:p>
          <w:p w14:paraId="750C238A" w14:textId="77777777" w:rsidR="00FC6EFE" w:rsidRPr="00A55335" w:rsidRDefault="00FC6EFE">
            <w:pPr>
              <w:pStyle w:val="Tabletext9pt"/>
            </w:pPr>
            <w:r w:rsidRPr="00A55335">
              <w:rPr>
                <w:rStyle w:val="Strong"/>
              </w:rPr>
              <w:t>Setting</w:t>
            </w:r>
            <w:r w:rsidRPr="00A55335">
              <w:t>: Community</w:t>
            </w:r>
          </w:p>
          <w:p w14:paraId="6DBC5200" w14:textId="77777777" w:rsidR="00FC6EFE" w:rsidRPr="00A55335" w:rsidRDefault="00FC6EFE">
            <w:pPr>
              <w:pStyle w:val="Tabletext9pt"/>
            </w:pPr>
            <w:r w:rsidRPr="00A55335">
              <w:rPr>
                <w:rStyle w:val="Strong"/>
              </w:rPr>
              <w:t>Intervention</w:t>
            </w:r>
            <w:r w:rsidRPr="00A55335">
              <w:t>: Homeopathy</w:t>
            </w:r>
          </w:p>
          <w:p w14:paraId="6CA2C75A" w14:textId="3E3812FD" w:rsidR="00FC6EFE" w:rsidRPr="00A55335" w:rsidRDefault="00FC6EFE">
            <w:pPr>
              <w:pStyle w:val="Tabletext9pt"/>
            </w:pPr>
            <w:r w:rsidRPr="00A55335">
              <w:rPr>
                <w:rStyle w:val="Strong"/>
              </w:rPr>
              <w:t>Comparison</w:t>
            </w:r>
            <w:r w:rsidRPr="00A55335">
              <w:t xml:space="preserve">: </w:t>
            </w:r>
            <w:r w:rsidR="00DF1ED7" w:rsidRPr="00A55335">
              <w:t>Inactive c</w:t>
            </w:r>
            <w:r w:rsidR="005036AE" w:rsidRPr="00A55335">
              <w:t>ontrol (no intervention)</w:t>
            </w:r>
          </w:p>
        </w:tc>
      </w:tr>
      <w:tr w:rsidR="00027DB9" w:rsidRPr="00A55335" w14:paraId="55AED7B5" w14:textId="77777777" w:rsidTr="00F84875">
        <w:trPr>
          <w:trHeight w:val="300"/>
          <w:tblHeader/>
        </w:trPr>
        <w:tc>
          <w:tcPr>
            <w:tcW w:w="1842" w:type="dxa"/>
            <w:vMerge w:val="restart"/>
            <w:tcBorders>
              <w:top w:val="single" w:sz="12" w:space="0" w:color="000000" w:themeColor="text1"/>
              <w:left w:val="nil"/>
              <w:right w:val="single" w:sz="8" w:space="0" w:color="EFEFEF"/>
            </w:tcBorders>
            <w:shd w:val="clear" w:color="auto" w:fill="006579" w:themeFill="accent2"/>
            <w:tcMar>
              <w:top w:w="75" w:type="dxa"/>
              <w:left w:w="75" w:type="dxa"/>
              <w:bottom w:w="75" w:type="dxa"/>
              <w:right w:w="75" w:type="dxa"/>
            </w:tcMar>
            <w:vAlign w:val="bottom"/>
          </w:tcPr>
          <w:p w14:paraId="5348DBCD" w14:textId="77777777" w:rsidR="00027DB9" w:rsidRPr="00A55335" w:rsidRDefault="00027DB9">
            <w:pPr>
              <w:pStyle w:val="Tabletext8pt"/>
              <w:rPr>
                <w:b/>
                <w:bCs/>
                <w:color w:val="F9F9F9" w:themeColor="background1"/>
              </w:rPr>
            </w:pPr>
            <w:r w:rsidRPr="00A55335">
              <w:rPr>
                <w:b/>
                <w:bCs/>
                <w:color w:val="F9F9F9" w:themeColor="background1"/>
              </w:rPr>
              <w:t>Outcomes</w:t>
            </w:r>
          </w:p>
        </w:tc>
        <w:tc>
          <w:tcPr>
            <w:tcW w:w="2693" w:type="dxa"/>
            <w:gridSpan w:val="2"/>
            <w:tcBorders>
              <w:top w:val="nil"/>
              <w:left w:val="single" w:sz="8" w:space="0" w:color="EFEFEF"/>
              <w:bottom w:val="nil"/>
              <w:right w:val="single" w:sz="8" w:space="0" w:color="EFEFEF"/>
            </w:tcBorders>
            <w:shd w:val="clear" w:color="auto" w:fill="E0E0E0"/>
            <w:tcMar>
              <w:top w:w="75" w:type="dxa"/>
              <w:left w:w="75" w:type="dxa"/>
              <w:bottom w:w="75" w:type="dxa"/>
              <w:right w:w="75" w:type="dxa"/>
            </w:tcMar>
            <w:vAlign w:val="bottom"/>
          </w:tcPr>
          <w:p w14:paraId="2D2530AC" w14:textId="77777777" w:rsidR="00027DB9" w:rsidRPr="00A55335" w:rsidRDefault="00027DB9">
            <w:pPr>
              <w:pStyle w:val="Tabletext8pt"/>
              <w:rPr>
                <w:rStyle w:val="Strong"/>
              </w:rPr>
            </w:pPr>
            <w:r w:rsidRPr="00A55335">
              <w:rPr>
                <w:rStyle w:val="Strong"/>
              </w:rPr>
              <w:t>Anticipated absolute effects* (95% CI)</w:t>
            </w:r>
          </w:p>
        </w:tc>
        <w:tc>
          <w:tcPr>
            <w:tcW w:w="993" w:type="dxa"/>
            <w:vMerge w:val="restart"/>
            <w:tcBorders>
              <w:top w:val="nil"/>
              <w:left w:val="nil"/>
              <w:right w:val="single" w:sz="8" w:space="0" w:color="EFEFEF"/>
            </w:tcBorders>
            <w:shd w:val="clear" w:color="auto" w:fill="006579" w:themeFill="accent2"/>
            <w:tcMar>
              <w:top w:w="75" w:type="dxa"/>
              <w:left w:w="75" w:type="dxa"/>
              <w:bottom w:w="75" w:type="dxa"/>
              <w:right w:w="75" w:type="dxa"/>
            </w:tcMar>
            <w:vAlign w:val="bottom"/>
          </w:tcPr>
          <w:p w14:paraId="06C9113A" w14:textId="77777777" w:rsidR="00027DB9" w:rsidRPr="00A55335" w:rsidRDefault="00027DB9" w:rsidP="00027DB9">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 xml:space="preserve"> (95% CI)</w:t>
            </w:r>
          </w:p>
        </w:tc>
        <w:tc>
          <w:tcPr>
            <w:tcW w:w="1275" w:type="dxa"/>
            <w:vMerge w:val="restart"/>
            <w:tcBorders>
              <w:top w:val="nil"/>
              <w:left w:val="single" w:sz="8" w:space="0" w:color="EFEFEF"/>
              <w:right w:val="single" w:sz="8" w:space="0" w:color="EFEFEF"/>
            </w:tcBorders>
            <w:shd w:val="clear" w:color="auto" w:fill="006579" w:themeFill="accent2"/>
            <w:tcMar>
              <w:top w:w="75" w:type="dxa"/>
              <w:left w:w="75" w:type="dxa"/>
              <w:bottom w:w="75" w:type="dxa"/>
              <w:right w:w="75" w:type="dxa"/>
            </w:tcMar>
            <w:vAlign w:val="bottom"/>
          </w:tcPr>
          <w:p w14:paraId="6AA69045" w14:textId="77777777" w:rsidR="00027DB9" w:rsidRPr="00A55335" w:rsidRDefault="00027DB9" w:rsidP="00027DB9">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 xml:space="preserve"> (studies)</w:t>
            </w:r>
          </w:p>
        </w:tc>
        <w:tc>
          <w:tcPr>
            <w:tcW w:w="1135" w:type="dxa"/>
            <w:vMerge w:val="restart"/>
            <w:tcBorders>
              <w:top w:val="nil"/>
              <w:left w:val="single" w:sz="8" w:space="0" w:color="EFEFEF"/>
              <w:right w:val="single" w:sz="8" w:space="0" w:color="EFEFEF"/>
            </w:tcBorders>
            <w:shd w:val="clear" w:color="auto" w:fill="006579" w:themeFill="accent2"/>
            <w:tcMar>
              <w:top w:w="75" w:type="dxa"/>
              <w:left w:w="75" w:type="dxa"/>
              <w:bottom w:w="75" w:type="dxa"/>
              <w:right w:w="75" w:type="dxa"/>
            </w:tcMar>
            <w:vAlign w:val="bottom"/>
          </w:tcPr>
          <w:p w14:paraId="12F99BBC" w14:textId="77777777" w:rsidR="00027DB9" w:rsidRPr="00A55335" w:rsidRDefault="00027DB9" w:rsidP="00027DB9">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 xml:space="preserve"> (GRADE)</w:t>
            </w:r>
          </w:p>
        </w:tc>
        <w:tc>
          <w:tcPr>
            <w:tcW w:w="1984" w:type="dxa"/>
            <w:vMerge w:val="restart"/>
            <w:tcBorders>
              <w:top w:val="nil"/>
              <w:left w:val="single" w:sz="8" w:space="0" w:color="EFEFEF"/>
              <w:right w:val="single" w:sz="8" w:space="0" w:color="EFEFEF"/>
            </w:tcBorders>
            <w:shd w:val="clear" w:color="auto" w:fill="006579" w:themeFill="accent2"/>
            <w:tcMar>
              <w:top w:w="75" w:type="dxa"/>
              <w:left w:w="75" w:type="dxa"/>
              <w:bottom w:w="75" w:type="dxa"/>
              <w:right w:w="75" w:type="dxa"/>
            </w:tcMar>
            <w:vAlign w:val="bottom"/>
          </w:tcPr>
          <w:p w14:paraId="0CD827A8" w14:textId="77777777" w:rsidR="00027DB9" w:rsidRPr="00A55335" w:rsidRDefault="00027DB9" w:rsidP="00027DB9">
            <w:pPr>
              <w:pStyle w:val="Tabletext8pt"/>
              <w:rPr>
                <w:b/>
                <w:bCs/>
                <w:color w:val="F9F9F9" w:themeColor="background1"/>
              </w:rPr>
            </w:pPr>
            <w:r w:rsidRPr="00A55335">
              <w:rPr>
                <w:b/>
                <w:bCs/>
                <w:color w:val="F9F9F9" w:themeColor="background1"/>
              </w:rPr>
              <w:t xml:space="preserve">Evidence statement </w:t>
            </w:r>
          </w:p>
        </w:tc>
      </w:tr>
      <w:tr w:rsidR="003522AC" w:rsidRPr="00A55335" w14:paraId="274E333B" w14:textId="77777777" w:rsidTr="005E1317">
        <w:trPr>
          <w:trHeight w:val="278"/>
          <w:tblHeader/>
        </w:trPr>
        <w:tc>
          <w:tcPr>
            <w:tcW w:w="1842" w:type="dxa"/>
            <w:vMerge/>
            <w:tcBorders>
              <w:left w:val="nil"/>
              <w:right w:val="single" w:sz="8" w:space="0" w:color="EFEFEF"/>
            </w:tcBorders>
            <w:shd w:val="clear" w:color="auto" w:fill="006579" w:themeFill="accent2"/>
            <w:vAlign w:val="center"/>
          </w:tcPr>
          <w:p w14:paraId="5DB228B8" w14:textId="77777777" w:rsidR="00027DB9" w:rsidRPr="00A55335" w:rsidRDefault="00027DB9">
            <w:pPr>
              <w:pStyle w:val="Tabletext8pt"/>
            </w:pPr>
          </w:p>
        </w:tc>
        <w:tc>
          <w:tcPr>
            <w:tcW w:w="1277" w:type="dxa"/>
            <w:tcBorders>
              <w:top w:val="single" w:sz="8" w:space="0" w:color="EFEFEF"/>
              <w:left w:val="single" w:sz="8" w:space="0" w:color="EFEFEF"/>
              <w:bottom w:val="nil"/>
              <w:right w:val="single" w:sz="8" w:space="0" w:color="EFEFEF"/>
            </w:tcBorders>
            <w:shd w:val="clear" w:color="auto" w:fill="E0E0E0"/>
            <w:tcMar>
              <w:top w:w="75" w:type="dxa"/>
              <w:left w:w="75" w:type="dxa"/>
              <w:bottom w:w="75" w:type="dxa"/>
              <w:right w:w="75" w:type="dxa"/>
            </w:tcMar>
            <w:vAlign w:val="bottom"/>
          </w:tcPr>
          <w:p w14:paraId="16D11235" w14:textId="5CF23773" w:rsidR="00027DB9" w:rsidRPr="00A55335" w:rsidRDefault="00027DB9">
            <w:pPr>
              <w:pStyle w:val="Tabletext8pt"/>
              <w:rPr>
                <w:rStyle w:val="Strong"/>
              </w:rPr>
            </w:pPr>
            <w:r w:rsidRPr="00A55335">
              <w:rPr>
                <w:rStyle w:val="Strong"/>
              </w:rPr>
              <w:t>Risk with Control</w:t>
            </w:r>
          </w:p>
        </w:tc>
        <w:tc>
          <w:tcPr>
            <w:tcW w:w="1416" w:type="dxa"/>
            <w:tcBorders>
              <w:top w:val="single" w:sz="8" w:space="0" w:color="EFEFEF"/>
              <w:left w:val="single" w:sz="8" w:space="0" w:color="EFEFEF"/>
              <w:bottom w:val="nil"/>
              <w:right w:val="single" w:sz="8" w:space="0" w:color="EFEFEF"/>
            </w:tcBorders>
            <w:shd w:val="clear" w:color="auto" w:fill="E0E0E0"/>
            <w:tcMar>
              <w:top w:w="75" w:type="dxa"/>
              <w:left w:w="75" w:type="dxa"/>
              <w:bottom w:w="75" w:type="dxa"/>
              <w:right w:w="75" w:type="dxa"/>
            </w:tcMar>
            <w:vAlign w:val="bottom"/>
          </w:tcPr>
          <w:p w14:paraId="6DB43C4A" w14:textId="77777777" w:rsidR="00027DB9" w:rsidRPr="00A55335" w:rsidRDefault="00027DB9">
            <w:pPr>
              <w:pStyle w:val="Tabletext8pt"/>
              <w:rPr>
                <w:rStyle w:val="Strong"/>
              </w:rPr>
            </w:pPr>
            <w:r w:rsidRPr="00A55335">
              <w:rPr>
                <w:rStyle w:val="Strong"/>
              </w:rPr>
              <w:t>Risk with Homeopathy</w:t>
            </w:r>
          </w:p>
        </w:tc>
        <w:tc>
          <w:tcPr>
            <w:tcW w:w="993" w:type="dxa"/>
            <w:vMerge/>
            <w:tcBorders>
              <w:left w:val="nil"/>
              <w:right w:val="single" w:sz="8" w:space="0" w:color="EFEFEF"/>
            </w:tcBorders>
            <w:shd w:val="clear" w:color="auto" w:fill="006579" w:themeFill="accent2"/>
            <w:vAlign w:val="center"/>
          </w:tcPr>
          <w:p w14:paraId="3679D633" w14:textId="77777777" w:rsidR="00027DB9" w:rsidRPr="00A55335" w:rsidRDefault="00027DB9">
            <w:pPr>
              <w:pStyle w:val="Tabletext8pt"/>
            </w:pPr>
          </w:p>
        </w:tc>
        <w:tc>
          <w:tcPr>
            <w:tcW w:w="1275" w:type="dxa"/>
            <w:vMerge/>
            <w:tcBorders>
              <w:left w:val="single" w:sz="8" w:space="0" w:color="EFEFEF"/>
              <w:right w:val="single" w:sz="8" w:space="0" w:color="EFEFEF"/>
            </w:tcBorders>
            <w:shd w:val="clear" w:color="auto" w:fill="006579" w:themeFill="accent2"/>
            <w:vAlign w:val="center"/>
          </w:tcPr>
          <w:p w14:paraId="7B1B2AFB" w14:textId="77777777" w:rsidR="00027DB9" w:rsidRPr="00A55335" w:rsidRDefault="00027DB9">
            <w:pPr>
              <w:pStyle w:val="Tabletext8pt"/>
            </w:pPr>
          </w:p>
        </w:tc>
        <w:tc>
          <w:tcPr>
            <w:tcW w:w="1135" w:type="dxa"/>
            <w:vMerge/>
            <w:tcBorders>
              <w:left w:val="single" w:sz="8" w:space="0" w:color="EFEFEF"/>
              <w:right w:val="single" w:sz="8" w:space="0" w:color="EFEFEF"/>
            </w:tcBorders>
            <w:shd w:val="clear" w:color="auto" w:fill="006579" w:themeFill="accent2"/>
            <w:vAlign w:val="center"/>
          </w:tcPr>
          <w:p w14:paraId="5C4CD1D3" w14:textId="77777777" w:rsidR="00027DB9" w:rsidRPr="00A55335" w:rsidRDefault="00027DB9">
            <w:pPr>
              <w:pStyle w:val="Tabletext8pt"/>
            </w:pPr>
          </w:p>
        </w:tc>
        <w:tc>
          <w:tcPr>
            <w:tcW w:w="1984" w:type="dxa"/>
            <w:vMerge/>
            <w:tcBorders>
              <w:left w:val="single" w:sz="8" w:space="0" w:color="EFEFEF"/>
              <w:right w:val="single" w:sz="8" w:space="0" w:color="EFEFEF"/>
            </w:tcBorders>
            <w:shd w:val="clear" w:color="auto" w:fill="006579" w:themeFill="accent2"/>
            <w:vAlign w:val="center"/>
          </w:tcPr>
          <w:p w14:paraId="0A1A6233" w14:textId="77777777" w:rsidR="00027DB9" w:rsidRPr="00A55335" w:rsidRDefault="00027DB9">
            <w:pPr>
              <w:pStyle w:val="Tabletext8pt"/>
            </w:pPr>
          </w:p>
        </w:tc>
      </w:tr>
      <w:tr w:rsidR="005E1317" w:rsidRPr="00A55335" w14:paraId="28678E48" w14:textId="77777777" w:rsidTr="00470C01">
        <w:trPr>
          <w:trHeight w:val="15"/>
        </w:trPr>
        <w:tc>
          <w:tcPr>
            <w:tcW w:w="1842"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7C640F9C" w14:textId="6394197C" w:rsidR="005E1317" w:rsidRPr="00A55335" w:rsidRDefault="005E1317">
            <w:pPr>
              <w:pStyle w:val="Tabletext8pt"/>
            </w:pPr>
            <w:r w:rsidRPr="00A55335">
              <w:t>Depression severity</w:t>
            </w:r>
            <w:r w:rsidRPr="00A55335">
              <w:br/>
              <w:t>assessed with: PHQ-9 (higher is worse)</w:t>
            </w:r>
            <w:r w:rsidRPr="00A55335">
              <w:br/>
              <w:t xml:space="preserve"> Scale from: 0 to 27 </w:t>
            </w:r>
            <w:r w:rsidRPr="00A55335">
              <w:br/>
              <w:t xml:space="preserve"> follow-up: 6 months</w:t>
            </w:r>
          </w:p>
        </w:tc>
        <w:tc>
          <w:tcPr>
            <w:tcW w:w="1277"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02717BB3" w14:textId="27538627" w:rsidR="005E1317" w:rsidRPr="00A55335" w:rsidRDefault="005E1317">
            <w:pPr>
              <w:pStyle w:val="Tabletext8pt"/>
            </w:pPr>
            <w:r w:rsidRPr="00A55335">
              <w:t xml:space="preserve">The mean </w:t>
            </w:r>
            <w:r w:rsidR="00CD6F90" w:rsidRPr="00A55335">
              <w:t xml:space="preserve">(SD) </w:t>
            </w:r>
            <w:r w:rsidRPr="00A55335">
              <w:t xml:space="preserve">score in the homeopathy and control groups not reported. </w:t>
            </w:r>
          </w:p>
        </w:tc>
        <w:tc>
          <w:tcPr>
            <w:tcW w:w="1416" w:type="dxa"/>
            <w:tcBorders>
              <w:top w:val="single" w:sz="8" w:space="0" w:color="000000" w:themeColor="text1"/>
              <w:left w:val="nil"/>
              <w:bottom w:val="single" w:sz="8" w:space="0" w:color="000000" w:themeColor="text1"/>
              <w:right w:val="nil"/>
            </w:tcBorders>
            <w:shd w:val="clear" w:color="auto" w:fill="EBEBEB"/>
            <w:vAlign w:val="center"/>
          </w:tcPr>
          <w:p w14:paraId="19D1D855" w14:textId="2E38234F" w:rsidR="005E1317" w:rsidRPr="00A55335" w:rsidRDefault="005E1317" w:rsidP="00C77312">
            <w:pPr>
              <w:pStyle w:val="Tabletext8pt"/>
            </w:pPr>
            <w:r w:rsidRPr="00A55335">
              <w:t xml:space="preserve">Study authors report a between group </w:t>
            </w:r>
            <w:r w:rsidRPr="00A55335">
              <w:rPr>
                <w:rFonts w:cs="Montserrat"/>
                <w:b/>
                <w:bCs/>
                <w:color w:val="000000"/>
              </w:rPr>
              <w:t xml:space="preserve">MD of </w:t>
            </w:r>
            <w:r w:rsidRPr="00A55335">
              <w:rPr>
                <w:rStyle w:val="Strong"/>
              </w:rPr>
              <w:t xml:space="preserve">1.4 points </w:t>
            </w:r>
            <w:r w:rsidR="00CD6F90" w:rsidRPr="00A55335">
              <w:rPr>
                <w:rStyle w:val="Strong"/>
              </w:rPr>
              <w:t>^</w:t>
            </w:r>
            <w:r w:rsidRPr="00A55335">
              <w:br/>
              <w:t xml:space="preserve"> (0.2 lower to 2.5 lower)</w:t>
            </w:r>
          </w:p>
        </w:tc>
        <w:tc>
          <w:tcPr>
            <w:tcW w:w="99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2264F2C6" w14:textId="77777777" w:rsidR="005E1317" w:rsidRPr="00A55335" w:rsidRDefault="005E1317">
            <w:pPr>
              <w:pStyle w:val="Tabletext8pt"/>
              <w:jc w:val="center"/>
            </w:pPr>
            <w:r w:rsidRPr="00A55335">
              <w:t>-</w:t>
            </w:r>
          </w:p>
        </w:tc>
        <w:tc>
          <w:tcPr>
            <w:tcW w:w="127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15C24AC2" w14:textId="4006BD2D" w:rsidR="005E1317" w:rsidRPr="00A55335" w:rsidRDefault="005E1317">
            <w:pPr>
              <w:pStyle w:val="Tabletext8pt"/>
              <w:jc w:val="center"/>
            </w:pPr>
            <w:r w:rsidRPr="00A55335">
              <w:t>566</w:t>
            </w:r>
            <w:r w:rsidRPr="00A55335">
              <w:br/>
              <w:t xml:space="preserve"> (1 RCT)</w:t>
            </w:r>
          </w:p>
        </w:tc>
        <w:tc>
          <w:tcPr>
            <w:tcW w:w="113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59BAAA20" w14:textId="31E3FD4D" w:rsidR="005E1317" w:rsidRPr="00A55335" w:rsidRDefault="005E1317">
            <w:pPr>
              <w:pStyle w:val="Tabletext8pt"/>
              <w:jc w:val="center"/>
            </w:pPr>
            <w:r w:rsidRPr="00A55335">
              <w:rPr>
                <w:rFonts w:ascii="Cambria Math" w:eastAsia="Cambria Math" w:hAnsi="Cambria Math" w:cs="Cambria Math"/>
                <w:color w:val="000000"/>
              </w:rPr>
              <w:t>⨁⨁⨁◯</w:t>
            </w:r>
            <w:r w:rsidRPr="00A55335">
              <w:rPr>
                <w:rFonts w:cs="Montserrat"/>
                <w:smallCaps/>
                <w:color w:val="000000"/>
              </w:rPr>
              <w:t xml:space="preserve"> </w:t>
            </w:r>
            <w:r w:rsidR="009B5C71">
              <w:rPr>
                <w:rFonts w:cs="Montserrat"/>
                <w:smallCaps/>
                <w:color w:val="000000"/>
              </w:rPr>
              <w:t>M</w:t>
            </w:r>
            <w:r w:rsidRPr="00A55335">
              <w:rPr>
                <w:rFonts w:cs="Montserrat"/>
                <w:smallCaps/>
                <w:color w:val="000000"/>
              </w:rPr>
              <w:t xml:space="preserve">ODERATE </w:t>
            </w:r>
            <w:proofErr w:type="spellStart"/>
            <w:proofErr w:type="gramStart"/>
            <w:r w:rsidRPr="00A55335">
              <w:rPr>
                <w:rFonts w:cs="Montserrat"/>
                <w:color w:val="000000"/>
                <w:vertAlign w:val="superscript"/>
              </w:rPr>
              <w:t>a,b</w:t>
            </w:r>
            <w:proofErr w:type="gramEnd"/>
            <w:r w:rsidRPr="00A55335">
              <w:rPr>
                <w:rFonts w:cs="Montserrat"/>
                <w:color w:val="000000"/>
                <w:vertAlign w:val="superscript"/>
              </w:rPr>
              <w:t>,c,d,e</w:t>
            </w:r>
            <w:proofErr w:type="spellEnd"/>
          </w:p>
        </w:tc>
        <w:tc>
          <w:tcPr>
            <w:tcW w:w="198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691D698F" w14:textId="6993E16D" w:rsidR="005E1317" w:rsidRPr="00A55335" w:rsidRDefault="005E1317">
            <w:pPr>
              <w:pStyle w:val="Tabletext8pt"/>
            </w:pPr>
            <w:r w:rsidRPr="00A55335">
              <w:t xml:space="preserve">Homeopathy </w:t>
            </w:r>
            <w:r w:rsidR="005E4784">
              <w:t>probably</w:t>
            </w:r>
            <w:r w:rsidR="005E4784" w:rsidRPr="00A55335">
              <w:t xml:space="preserve"> </w:t>
            </w:r>
            <w:r w:rsidRPr="00A55335">
              <w:t>result</w:t>
            </w:r>
            <w:r w:rsidR="005E4784">
              <w:t>s</w:t>
            </w:r>
            <w:r w:rsidRPr="00A55335">
              <w:t xml:space="preserve"> in little to no reduction in depression severity in people with depression #</w:t>
            </w:r>
          </w:p>
        </w:tc>
      </w:tr>
      <w:tr w:rsidR="00772256" w:rsidRPr="00A55335" w14:paraId="6D4FDF17" w14:textId="77777777" w:rsidTr="00470C01">
        <w:trPr>
          <w:trHeight w:val="15"/>
        </w:trPr>
        <w:tc>
          <w:tcPr>
            <w:tcW w:w="1842"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27CA393F" w14:textId="77777777" w:rsidR="00FC6EFE" w:rsidRPr="00A55335" w:rsidRDefault="00FC6EFE">
            <w:pPr>
              <w:pStyle w:val="Tabletext8pt"/>
            </w:pPr>
            <w:r w:rsidRPr="00A55335">
              <w:t>Psychological distress - not reported</w:t>
            </w:r>
          </w:p>
        </w:tc>
        <w:tc>
          <w:tcPr>
            <w:tcW w:w="1277"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1402FE9B" w14:textId="77777777" w:rsidR="00FC6EFE" w:rsidRPr="00A55335" w:rsidRDefault="00FC6EFE">
            <w:pPr>
              <w:pStyle w:val="Tabletext8pt"/>
            </w:pPr>
            <w:r w:rsidRPr="00A55335">
              <w:t>-</w:t>
            </w:r>
          </w:p>
        </w:tc>
        <w:tc>
          <w:tcPr>
            <w:tcW w:w="1416" w:type="dxa"/>
            <w:tcBorders>
              <w:top w:val="nil"/>
              <w:left w:val="nil"/>
              <w:bottom w:val="single" w:sz="8" w:space="0" w:color="000000" w:themeColor="text1"/>
              <w:right w:val="nil"/>
            </w:tcBorders>
            <w:shd w:val="clear" w:color="auto" w:fill="EBEBEB"/>
            <w:tcMar>
              <w:top w:w="75" w:type="dxa"/>
              <w:left w:w="75" w:type="dxa"/>
              <w:bottom w:w="75" w:type="dxa"/>
              <w:right w:w="75" w:type="dxa"/>
            </w:tcMar>
          </w:tcPr>
          <w:p w14:paraId="51EE362E" w14:textId="77777777" w:rsidR="00FC6EFE" w:rsidRPr="00A55335" w:rsidRDefault="00FC6EFE">
            <w:pPr>
              <w:pStyle w:val="Tabletext8pt"/>
            </w:pPr>
            <w:r w:rsidRPr="00A55335">
              <w:t>-</w:t>
            </w:r>
          </w:p>
        </w:tc>
        <w:tc>
          <w:tcPr>
            <w:tcW w:w="99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3AA1738E" w14:textId="77777777" w:rsidR="00FC6EFE" w:rsidRPr="00A55335" w:rsidRDefault="00FC6EFE">
            <w:pPr>
              <w:pStyle w:val="Tabletext8pt"/>
              <w:jc w:val="center"/>
            </w:pPr>
            <w:r w:rsidRPr="00A55335">
              <w:t>-</w:t>
            </w:r>
          </w:p>
        </w:tc>
        <w:tc>
          <w:tcPr>
            <w:tcW w:w="127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5EDAD731" w14:textId="3DD12BE4" w:rsidR="00FC6EFE" w:rsidRPr="00A55335" w:rsidRDefault="00FC6EFE">
            <w:pPr>
              <w:pStyle w:val="Tabletext8pt"/>
              <w:jc w:val="center"/>
            </w:pPr>
            <w:r w:rsidRPr="00A55335">
              <w:t>(0 RCTs)</w:t>
            </w:r>
          </w:p>
        </w:tc>
        <w:tc>
          <w:tcPr>
            <w:tcW w:w="113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C7E4D05" w14:textId="77777777" w:rsidR="00FC6EFE" w:rsidRPr="00A55335" w:rsidRDefault="00FC6EFE">
            <w:pPr>
              <w:pStyle w:val="Qualitytext"/>
            </w:pPr>
            <w:r w:rsidRPr="00A55335">
              <w:t>-</w:t>
            </w:r>
          </w:p>
        </w:tc>
        <w:tc>
          <w:tcPr>
            <w:tcW w:w="198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645D609A" w14:textId="77777777" w:rsidR="00FC6EFE" w:rsidRPr="00A55335" w:rsidRDefault="00FC6EFE">
            <w:pPr>
              <w:pStyle w:val="Tabletext8pt"/>
            </w:pPr>
            <w:r w:rsidRPr="00A55335">
              <w:t>The effect of homeopathy on psychological distress in people with depression is unknown</w:t>
            </w:r>
          </w:p>
        </w:tc>
      </w:tr>
      <w:tr w:rsidR="00772256" w:rsidRPr="00A55335" w14:paraId="4F0B6430" w14:textId="77777777" w:rsidTr="00470C01">
        <w:trPr>
          <w:trHeight w:val="300"/>
        </w:trPr>
        <w:tc>
          <w:tcPr>
            <w:tcW w:w="1842"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2C2E6BD2" w14:textId="4E1F8FFF" w:rsidR="00705B1C" w:rsidRPr="00A55335" w:rsidRDefault="00705B1C" w:rsidP="00705B1C">
            <w:pPr>
              <w:pStyle w:val="Tabletext8pt"/>
            </w:pPr>
            <w:r w:rsidRPr="00A55335">
              <w:t>Emotional functioning - not reported</w:t>
            </w:r>
          </w:p>
        </w:tc>
        <w:tc>
          <w:tcPr>
            <w:tcW w:w="1277"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0BEB1183" w14:textId="379DDC00" w:rsidR="00705B1C" w:rsidRPr="00A55335" w:rsidRDefault="00705B1C" w:rsidP="00705B1C">
            <w:pPr>
              <w:pStyle w:val="Tabletext8pt"/>
            </w:pPr>
            <w:r w:rsidRPr="00A55335">
              <w:t>-</w:t>
            </w:r>
          </w:p>
        </w:tc>
        <w:tc>
          <w:tcPr>
            <w:tcW w:w="1416"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tcPr>
          <w:p w14:paraId="540B873C" w14:textId="51289786" w:rsidR="00705B1C" w:rsidRPr="00A55335" w:rsidRDefault="00705B1C" w:rsidP="00705B1C">
            <w:pPr>
              <w:pStyle w:val="Tabletext8pt"/>
            </w:pPr>
            <w:r w:rsidRPr="00A55335">
              <w:t>-</w:t>
            </w:r>
          </w:p>
        </w:tc>
        <w:tc>
          <w:tcPr>
            <w:tcW w:w="99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594FEEEC" w14:textId="57AAACDB" w:rsidR="00705B1C" w:rsidRPr="00A55335" w:rsidRDefault="00705B1C" w:rsidP="00705B1C">
            <w:pPr>
              <w:pStyle w:val="Tabletext8pt"/>
              <w:jc w:val="center"/>
            </w:pPr>
            <w:r w:rsidRPr="00A55335">
              <w:t>-</w:t>
            </w:r>
          </w:p>
        </w:tc>
        <w:tc>
          <w:tcPr>
            <w:tcW w:w="127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6A8DC3AD" w14:textId="1E49842B" w:rsidR="00705B1C" w:rsidRPr="00A55335" w:rsidRDefault="00705B1C" w:rsidP="00705B1C">
            <w:pPr>
              <w:pStyle w:val="Tabletext8pt"/>
              <w:jc w:val="center"/>
            </w:pPr>
            <w:r w:rsidRPr="00A55335">
              <w:t>(0 RCTs)</w:t>
            </w:r>
          </w:p>
        </w:tc>
        <w:tc>
          <w:tcPr>
            <w:tcW w:w="113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5B98ABEC" w14:textId="0E6D3EA4" w:rsidR="00705B1C" w:rsidRPr="00A55335" w:rsidRDefault="00705B1C" w:rsidP="00F71F1B">
            <w:pPr>
              <w:pStyle w:val="Tabletext8pt"/>
              <w:jc w:val="center"/>
            </w:pPr>
            <w:r w:rsidRPr="00A55335">
              <w:t>-</w:t>
            </w:r>
          </w:p>
        </w:tc>
        <w:tc>
          <w:tcPr>
            <w:tcW w:w="198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B08620A" w14:textId="5A89592F" w:rsidR="00705B1C" w:rsidRPr="00A55335" w:rsidRDefault="00705B1C" w:rsidP="00705B1C">
            <w:pPr>
              <w:pStyle w:val="Tabletext8pt"/>
            </w:pPr>
            <w:r w:rsidRPr="00A55335">
              <w:t xml:space="preserve">The effect of homeopathy on emotional functioning in people with depression </w:t>
            </w:r>
            <w:r w:rsidR="00B61B9F" w:rsidRPr="00A55335">
              <w:t>is unknown</w:t>
            </w:r>
          </w:p>
        </w:tc>
      </w:tr>
      <w:tr w:rsidR="00772256" w:rsidRPr="00A55335" w14:paraId="5DD23EBD" w14:textId="77777777" w:rsidTr="00470C01">
        <w:trPr>
          <w:trHeight w:val="300"/>
        </w:trPr>
        <w:tc>
          <w:tcPr>
            <w:tcW w:w="1842"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60D5691" w14:textId="1FDC65B9" w:rsidR="00705B1C" w:rsidRPr="00A55335" w:rsidRDefault="00705B1C" w:rsidP="00705B1C">
            <w:pPr>
              <w:pStyle w:val="Tabletext8pt"/>
            </w:pPr>
            <w:r w:rsidRPr="00A55335">
              <w:t>Physical functioning - not reported</w:t>
            </w:r>
          </w:p>
        </w:tc>
        <w:tc>
          <w:tcPr>
            <w:tcW w:w="1277"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48BEB37F" w14:textId="0E27C14F" w:rsidR="00705B1C" w:rsidRPr="00A55335" w:rsidRDefault="00705B1C" w:rsidP="00705B1C">
            <w:pPr>
              <w:pStyle w:val="Tabletext8pt"/>
            </w:pPr>
            <w:r w:rsidRPr="00A55335">
              <w:t>-</w:t>
            </w:r>
          </w:p>
        </w:tc>
        <w:tc>
          <w:tcPr>
            <w:tcW w:w="1416"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tcPr>
          <w:p w14:paraId="56F8D92A" w14:textId="6260B701" w:rsidR="00705B1C" w:rsidRPr="00A55335" w:rsidRDefault="00705B1C" w:rsidP="00705B1C">
            <w:pPr>
              <w:pStyle w:val="Tabletext8pt"/>
            </w:pPr>
            <w:r w:rsidRPr="00A55335">
              <w:t>-</w:t>
            </w:r>
          </w:p>
        </w:tc>
        <w:tc>
          <w:tcPr>
            <w:tcW w:w="99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23B00BC8" w14:textId="04EE0D3B" w:rsidR="00705B1C" w:rsidRPr="00A55335" w:rsidRDefault="00705B1C" w:rsidP="00705B1C">
            <w:pPr>
              <w:pStyle w:val="Tabletext8pt"/>
              <w:jc w:val="center"/>
            </w:pPr>
            <w:r w:rsidRPr="00A55335">
              <w:t>-</w:t>
            </w:r>
          </w:p>
        </w:tc>
        <w:tc>
          <w:tcPr>
            <w:tcW w:w="127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33C0C43C" w14:textId="302FB426" w:rsidR="00705B1C" w:rsidRPr="00A55335" w:rsidRDefault="00705B1C" w:rsidP="00705B1C">
            <w:pPr>
              <w:pStyle w:val="Tabletext8pt"/>
              <w:jc w:val="center"/>
            </w:pPr>
            <w:r w:rsidRPr="00A55335">
              <w:t>(0 RCTs)</w:t>
            </w:r>
          </w:p>
        </w:tc>
        <w:tc>
          <w:tcPr>
            <w:tcW w:w="113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534FDB4" w14:textId="6CB2CB3D" w:rsidR="00705B1C" w:rsidRPr="00A55335" w:rsidRDefault="00705B1C" w:rsidP="00F71F1B">
            <w:pPr>
              <w:pStyle w:val="Tabletext8pt"/>
              <w:jc w:val="center"/>
            </w:pPr>
            <w:r w:rsidRPr="00A55335">
              <w:t>-</w:t>
            </w:r>
          </w:p>
        </w:tc>
        <w:tc>
          <w:tcPr>
            <w:tcW w:w="198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5CF595F1" w14:textId="519B9F83" w:rsidR="00705B1C" w:rsidRPr="00A55335" w:rsidRDefault="00B61B9F" w:rsidP="00705B1C">
            <w:pPr>
              <w:pStyle w:val="Tabletext8pt"/>
            </w:pPr>
            <w:r w:rsidRPr="00A55335">
              <w:t xml:space="preserve">The effect of homeopathy on </w:t>
            </w:r>
            <w:r w:rsidR="00705B1C" w:rsidRPr="00A55335">
              <w:t xml:space="preserve">physical functioning in people with depression </w:t>
            </w:r>
            <w:r w:rsidRPr="00A55335">
              <w:t>is unknown</w:t>
            </w:r>
          </w:p>
        </w:tc>
      </w:tr>
      <w:tr w:rsidR="00772256" w:rsidRPr="00A55335" w14:paraId="4BEA1E8D" w14:textId="77777777" w:rsidTr="00470C01">
        <w:trPr>
          <w:trHeight w:val="300"/>
        </w:trPr>
        <w:tc>
          <w:tcPr>
            <w:tcW w:w="1842"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37348812" w14:textId="77777777" w:rsidR="00705B1C" w:rsidRPr="00A55335" w:rsidRDefault="00705B1C" w:rsidP="00705B1C">
            <w:pPr>
              <w:pStyle w:val="Tabletext8pt"/>
            </w:pPr>
            <w:r w:rsidRPr="00A55335">
              <w:t>Health-related quality of life - not reported</w:t>
            </w:r>
          </w:p>
        </w:tc>
        <w:tc>
          <w:tcPr>
            <w:tcW w:w="1277"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vAlign w:val="center"/>
          </w:tcPr>
          <w:p w14:paraId="7554E923" w14:textId="76A93E6E" w:rsidR="00705B1C" w:rsidRPr="00A55335" w:rsidRDefault="00705B1C" w:rsidP="00705B1C">
            <w:pPr>
              <w:pStyle w:val="Tabletext8pt"/>
            </w:pPr>
            <w:r w:rsidRPr="00A55335">
              <w:t>-</w:t>
            </w:r>
          </w:p>
        </w:tc>
        <w:tc>
          <w:tcPr>
            <w:tcW w:w="1416" w:type="dxa"/>
            <w:tcBorders>
              <w:top w:val="single" w:sz="8" w:space="0" w:color="000000" w:themeColor="text1"/>
              <w:left w:val="nil"/>
              <w:bottom w:val="single" w:sz="8" w:space="0" w:color="000000" w:themeColor="text1"/>
              <w:right w:val="nil"/>
            </w:tcBorders>
            <w:shd w:val="clear" w:color="auto" w:fill="EBEBEB"/>
            <w:tcMar>
              <w:top w:w="75" w:type="dxa"/>
              <w:left w:w="75" w:type="dxa"/>
              <w:bottom w:w="75" w:type="dxa"/>
              <w:right w:w="75" w:type="dxa"/>
            </w:tcMar>
          </w:tcPr>
          <w:p w14:paraId="5580D24F" w14:textId="34B6588F" w:rsidR="00705B1C" w:rsidRPr="00A55335" w:rsidRDefault="00705B1C" w:rsidP="00705B1C">
            <w:pPr>
              <w:pStyle w:val="Tabletext8pt"/>
            </w:pPr>
            <w:r w:rsidRPr="00A55335">
              <w:t>-</w:t>
            </w:r>
          </w:p>
        </w:tc>
        <w:tc>
          <w:tcPr>
            <w:tcW w:w="993"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4A10FE6F" w14:textId="342FBDE1" w:rsidR="00705B1C" w:rsidRPr="00A55335" w:rsidRDefault="00705B1C" w:rsidP="00705B1C">
            <w:pPr>
              <w:pStyle w:val="Tabletext8pt"/>
              <w:jc w:val="center"/>
            </w:pPr>
            <w:r w:rsidRPr="00A55335">
              <w:t>-</w:t>
            </w:r>
          </w:p>
        </w:tc>
        <w:tc>
          <w:tcPr>
            <w:tcW w:w="127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8FDCB15" w14:textId="57272A9E" w:rsidR="00705B1C" w:rsidRPr="00A55335" w:rsidRDefault="00705B1C" w:rsidP="00705B1C">
            <w:pPr>
              <w:pStyle w:val="Tabletext8pt"/>
              <w:jc w:val="center"/>
            </w:pPr>
            <w:r w:rsidRPr="00A55335">
              <w:t>(0 RCTs)</w:t>
            </w:r>
          </w:p>
        </w:tc>
        <w:tc>
          <w:tcPr>
            <w:tcW w:w="1135"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0B64A78B" w14:textId="525E4562" w:rsidR="00705B1C" w:rsidRPr="00A55335" w:rsidRDefault="00705B1C" w:rsidP="00705B1C">
            <w:pPr>
              <w:pStyle w:val="Qualitytext"/>
            </w:pPr>
            <w:r w:rsidRPr="00A55335">
              <w:t>-</w:t>
            </w:r>
          </w:p>
        </w:tc>
        <w:tc>
          <w:tcPr>
            <w:tcW w:w="1984" w:type="dxa"/>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2F7C3AD7" w14:textId="7F6558F5" w:rsidR="00705B1C" w:rsidRPr="00A55335" w:rsidRDefault="00705B1C" w:rsidP="00705B1C">
            <w:pPr>
              <w:pStyle w:val="Tabletext8pt"/>
            </w:pPr>
            <w:r w:rsidRPr="00A55335">
              <w:t>The effect of homeopathy on health-related quality of life in people with depression is unknown.</w:t>
            </w:r>
          </w:p>
        </w:tc>
      </w:tr>
      <w:tr w:rsidR="00FC6EFE" w:rsidRPr="00A55335" w14:paraId="120FB75B" w14:textId="77777777" w:rsidTr="007252A0">
        <w:trPr>
          <w:trHeight w:val="15"/>
        </w:trPr>
        <w:tc>
          <w:tcPr>
            <w:tcW w:w="9922" w:type="dxa"/>
            <w:gridSpan w:val="7"/>
            <w:tcBorders>
              <w:top w:val="single" w:sz="8" w:space="0" w:color="000000" w:themeColor="text1"/>
              <w:left w:val="nil"/>
              <w:bottom w:val="single" w:sz="8" w:space="0" w:color="000000" w:themeColor="text1"/>
              <w:right w:val="nil"/>
            </w:tcBorders>
            <w:tcMar>
              <w:top w:w="75" w:type="dxa"/>
              <w:left w:w="75" w:type="dxa"/>
              <w:bottom w:w="75" w:type="dxa"/>
              <w:right w:w="75" w:type="dxa"/>
            </w:tcMar>
            <w:vAlign w:val="center"/>
          </w:tcPr>
          <w:p w14:paraId="1A8C7476" w14:textId="77777777" w:rsidR="003F7AF6" w:rsidRPr="00A55335" w:rsidRDefault="00FC6EFE" w:rsidP="00BA0A68">
            <w:pPr>
              <w:pStyle w:val="TableFigNotes18"/>
            </w:pPr>
            <w:r w:rsidRPr="00A55335">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 </w:t>
            </w:r>
          </w:p>
          <w:p w14:paraId="67CF05DC" w14:textId="77777777" w:rsidR="007829D2" w:rsidRPr="00A55335" w:rsidRDefault="007829D2" w:rsidP="007829D2">
            <w:pPr>
              <w:pStyle w:val="TableFigNotes18"/>
            </w:pPr>
          </w:p>
          <w:p w14:paraId="0DF50D95" w14:textId="4B0E9E35" w:rsidR="003F7AF6" w:rsidRPr="00A55335" w:rsidRDefault="00CD6F90" w:rsidP="00BA0A68">
            <w:pPr>
              <w:pStyle w:val="TableFigNotes18"/>
            </w:pPr>
            <w:r w:rsidRPr="00A55335">
              <w:t xml:space="preserve">^ </w:t>
            </w:r>
            <w:r w:rsidR="007829D2" w:rsidRPr="00A55335">
              <w:t xml:space="preserve">The results reflect the primary analysis of the trial (ITT analysis using a general linear model). </w:t>
            </w:r>
          </w:p>
          <w:p w14:paraId="5A1963A6" w14:textId="249E31DC" w:rsidR="00FC6EFE" w:rsidRPr="00A55335" w:rsidRDefault="00FC6EFE" w:rsidP="00BA0A68">
            <w:pPr>
              <w:pStyle w:val="TableFigNotes18"/>
            </w:pPr>
            <w:r w:rsidRPr="00A55335">
              <w:t xml:space="preserve"># </w:t>
            </w:r>
            <w:r w:rsidR="003F7AF6" w:rsidRPr="00A55335">
              <w:t>A reduction of 5-points is</w:t>
            </w:r>
            <w:r w:rsidR="00DF1D23" w:rsidRPr="00A55335">
              <w:t xml:space="preserve"> considered</w:t>
            </w:r>
            <w:r w:rsidR="003F7AF6" w:rsidRPr="00A55335">
              <w:t xml:space="preserve"> clinically important </w:t>
            </w:r>
            <w:r w:rsidR="00B766DB" w:rsidRPr="00A55335">
              <w:fldChar w:fldCharType="begin"/>
            </w:r>
            <w:r w:rsidR="006952AD">
              <w:instrText xml:space="preserve"> ADDIN EN.CITE &lt;EndNote&gt;&lt;Cite&gt;&lt;Author&gt;Löwe&lt;/Author&gt;&lt;Year&gt;2004&lt;/Year&gt;&lt;RecNum&gt;677&lt;/RecNum&gt;&lt;DisplayText&gt;(152)&lt;/DisplayText&gt;&lt;record&gt;&lt;rec-number&gt;677&lt;/rec-number&gt;&lt;foreign-keys&gt;&lt;key app="EN" db-id="t5prptatr9sp0we5exbxt9zz20fwp55tdza9" timestamp="1701909262"&gt;677&lt;/key&gt;&lt;/foreign-keys&gt;&lt;ref-type name="Journal Article"&gt;17&lt;/ref-type&gt;&lt;contributors&gt;&lt;authors&gt;&lt;author&gt;Löwe, B.&lt;/author&gt;&lt;author&gt;Unützer, J.&lt;/author&gt;&lt;author&gt;Callahan, C. M.&lt;/author&gt;&lt;author&gt;Perkins, A. J.&lt;/author&gt;&lt;author&gt;Kroenke, K.&lt;/author&gt;&lt;/authors&gt;&lt;/contributors&gt;&lt;auth-address&gt;Department of General Internal and Psychosomatic Medicine, Heidelberg University Medical Center, D-69120 Heidelberg, Germany. bernd.loewe@med.uni-heidelberg.de&lt;/auth-address&gt;&lt;titles&gt;&lt;title&gt;Monitoring depression treatment outcomes with the patient health questionnaire-9&lt;/title&gt;&lt;secondary-title&gt;Med Care&lt;/secondary-title&gt;&lt;/titles&gt;&lt;periodical&gt;&lt;full-title&gt;Med Care&lt;/full-title&gt;&lt;/periodical&gt;&lt;pages&gt;1194-201&lt;/pages&gt;&lt;volume&gt;42&lt;/volume&gt;&lt;number&gt;12&lt;/number&gt;&lt;keywords&gt;&lt;keyword&gt;Aged&lt;/keyword&gt;&lt;keyword&gt;Depressive Disorder, Major/diagnosis/*therapy&lt;/keyword&gt;&lt;keyword&gt;Diagnostic and Statistical Manual of Mental Disorders&lt;/keyword&gt;&lt;keyword&gt;Dysthymic Disorder/diagnosis/*therapy&lt;/keyword&gt;&lt;keyword&gt;Female&lt;/keyword&gt;&lt;keyword&gt;Humans&lt;/keyword&gt;&lt;keyword&gt;Interview, Psychological&lt;/keyword&gt;&lt;keyword&gt;Male&lt;/keyword&gt;&lt;keyword&gt;Outcome Assessment, Health Care/*methods&lt;/keyword&gt;&lt;keyword&gt;Primary Health Care/*standards&lt;/keyword&gt;&lt;keyword&gt;Psychiatric Status Rating Scales&lt;/keyword&gt;&lt;keyword&gt;Psychometrics/*instrumentation&lt;/keyword&gt;&lt;keyword&gt;Quality of Life/psychology&lt;/keyword&gt;&lt;keyword&gt;Self Efficacy&lt;/keyword&gt;&lt;keyword&gt;*Sickness Impact Profile&lt;/keyword&gt;&lt;keyword&gt;*Surveys and Questionnaires&lt;/keyword&gt;&lt;/keywords&gt;&lt;dates&gt;&lt;year&gt;2004&lt;/year&gt;&lt;pub-dates&gt;&lt;date&gt;Dec&lt;/date&gt;&lt;/pub-dates&gt;&lt;/dates&gt;&lt;isbn&gt;0025-7079 (Print)&amp;#xD;0025-7079&lt;/isbn&gt;&lt;accession-num&gt;15550799&lt;/accession-num&gt;&lt;urls&gt;&lt;/urls&gt;&lt;electronic-resource-num&gt;10.1097/00005650-200412000-00006&lt;/electronic-resource-num&gt;&lt;remote-database-provider&gt;NLM&lt;/remote-database-provider&gt;&lt;language&gt;eng&lt;/language&gt;&lt;/record&gt;&lt;/Cite&gt;&lt;/EndNote&gt;</w:instrText>
            </w:r>
            <w:r w:rsidR="00B766DB" w:rsidRPr="00A55335">
              <w:fldChar w:fldCharType="separate"/>
            </w:r>
            <w:r w:rsidR="00067842">
              <w:rPr>
                <w:noProof/>
              </w:rPr>
              <w:t>(</w:t>
            </w:r>
            <w:hyperlink w:anchor="_ENREF_152" w:tooltip="Löwe, 2004 #677" w:history="1">
              <w:r w:rsidR="00EC2769">
                <w:rPr>
                  <w:noProof/>
                </w:rPr>
                <w:t>152</w:t>
              </w:r>
            </w:hyperlink>
            <w:r w:rsidR="00067842">
              <w:rPr>
                <w:noProof/>
              </w:rPr>
              <w:t>)</w:t>
            </w:r>
            <w:r w:rsidR="00B766DB" w:rsidRPr="00A55335">
              <w:fldChar w:fldCharType="end"/>
            </w:r>
            <w:r w:rsidR="003F7AF6" w:rsidRPr="00A55335">
              <w:t>.</w:t>
            </w:r>
          </w:p>
          <w:p w14:paraId="14C2D91C" w14:textId="77777777" w:rsidR="00FC6EFE" w:rsidRPr="00A55335" w:rsidRDefault="00FC6EFE">
            <w:pPr>
              <w:pStyle w:val="TableFigNotes0"/>
            </w:pPr>
            <w:r w:rsidRPr="00A55335">
              <w:rPr>
                <w:rStyle w:val="Strong"/>
              </w:rPr>
              <w:t>CI</w:t>
            </w:r>
            <w:r w:rsidRPr="00A55335">
              <w:t xml:space="preserve">: confidence interval; </w:t>
            </w:r>
            <w:r w:rsidRPr="00A55335">
              <w:rPr>
                <w:rStyle w:val="Strong"/>
              </w:rPr>
              <w:t>HAM-D:</w:t>
            </w:r>
            <w:r w:rsidRPr="00A55335">
              <w:t xml:space="preserve"> Hamilton depression rating scale; </w:t>
            </w:r>
            <w:r w:rsidRPr="00A55335">
              <w:rPr>
                <w:rStyle w:val="Strong"/>
              </w:rPr>
              <w:t>MD</w:t>
            </w:r>
            <w:r w:rsidRPr="00A55335">
              <w:t xml:space="preserve">: mean difference; </w:t>
            </w:r>
            <w:r w:rsidRPr="00A55335">
              <w:rPr>
                <w:rStyle w:val="Strong"/>
              </w:rPr>
              <w:t>RCT</w:t>
            </w:r>
            <w:r w:rsidRPr="00A55335">
              <w:t xml:space="preserve">: randomised controlled trial; </w:t>
            </w:r>
            <w:r w:rsidRPr="00A55335">
              <w:rPr>
                <w:rStyle w:val="Strong"/>
              </w:rPr>
              <w:t>SF-12:</w:t>
            </w:r>
            <w:r w:rsidRPr="00A55335">
              <w:t xml:space="preserve"> 12-item short form</w:t>
            </w:r>
          </w:p>
        </w:tc>
      </w:tr>
      <w:tr w:rsidR="003E4D3B" w:rsidRPr="00A55335" w14:paraId="2CBA7406" w14:textId="77777777" w:rsidTr="00027DB9">
        <w:trPr>
          <w:cantSplit/>
        </w:trPr>
        <w:tc>
          <w:tcPr>
            <w:tcW w:w="9922" w:type="dxa"/>
            <w:gridSpan w:val="7"/>
            <w:tcBorders>
              <w:top w:val="single" w:sz="6" w:space="0" w:color="000000"/>
              <w:left w:val="nil"/>
              <w:bottom w:val="single" w:sz="6" w:space="0" w:color="000000"/>
              <w:right w:val="nil"/>
            </w:tcBorders>
            <w:vAlign w:val="center"/>
            <w:hideMark/>
          </w:tcPr>
          <w:p w14:paraId="7FF9C9AA" w14:textId="77777777" w:rsidR="00FC6EFE" w:rsidRPr="00A55335" w:rsidRDefault="00FC6EFE">
            <w:pPr>
              <w:pStyle w:val="TableFigNotes0"/>
            </w:pPr>
            <w:r w:rsidRPr="00A55335">
              <w:rPr>
                <w:rStyle w:val="Strong"/>
              </w:rPr>
              <w:lastRenderedPageBreak/>
              <w:t>GRADE Working Group grades of evidence</w:t>
            </w:r>
            <w:r w:rsidRPr="00A55335">
              <w:br/>
            </w:r>
            <w:r w:rsidRPr="00A55335">
              <w:rPr>
                <w:rStyle w:val="Strong"/>
              </w:rPr>
              <w:t>High certainty</w:t>
            </w:r>
            <w:r w:rsidRPr="00A55335">
              <w:t>: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570FC79F" w14:textId="77777777" w:rsidR="00DF1D23" w:rsidRPr="00A55335" w:rsidRDefault="00DF1D23" w:rsidP="00DF1D23">
      <w:pPr>
        <w:pStyle w:val="Heading5a"/>
        <w:rPr>
          <w:rFonts w:eastAsia="Arial Narrow"/>
          <w:lang w:val="en-AU"/>
        </w:rPr>
      </w:pPr>
      <w:r w:rsidRPr="00A55335">
        <w:rPr>
          <w:rFonts w:eastAsia="Arial Narrow"/>
          <w:lang w:val="en-AU"/>
        </w:rPr>
        <w:t>Explanations</w:t>
      </w:r>
    </w:p>
    <w:p w14:paraId="64AC4F85" w14:textId="22B23FC1" w:rsidR="00DF1D23" w:rsidRPr="00A55335" w:rsidRDefault="00DF1D23" w:rsidP="00DF1D23">
      <w:pPr>
        <w:pStyle w:val="Footnote"/>
      </w:pPr>
      <w:r w:rsidRPr="00A55335">
        <w:t xml:space="preserve">a. </w:t>
      </w:r>
      <w:proofErr w:type="gramStart"/>
      <w:r w:rsidRPr="00A55335">
        <w:t>Serious</w:t>
      </w:r>
      <w:proofErr w:type="gramEnd"/>
      <w:r w:rsidRPr="00A55335">
        <w:t xml:space="preserve"> risk of bias. One study contributing 100% of the data was at high risk of bias. </w:t>
      </w:r>
      <w:r w:rsidR="00F84875" w:rsidRPr="00A55335">
        <w:t xml:space="preserve">Risk of bias </w:t>
      </w:r>
      <w:r w:rsidR="00A24127" w:rsidRPr="00A55335">
        <w:t>is likely</w:t>
      </w:r>
      <w:r w:rsidR="004C781D" w:rsidRPr="00A55335">
        <w:t xml:space="preserve"> </w:t>
      </w:r>
      <w:r w:rsidR="00FF6603" w:rsidRPr="00A55335">
        <w:t xml:space="preserve">to </w:t>
      </w:r>
      <w:r w:rsidR="004C781D" w:rsidRPr="00A55335">
        <w:t>influence</w:t>
      </w:r>
      <w:r w:rsidR="00FF6603" w:rsidRPr="00A55335">
        <w:t xml:space="preserve"> the</w:t>
      </w:r>
      <w:r w:rsidR="004C781D" w:rsidRPr="00A55335">
        <w:t xml:space="preserve"> reported result but is not expected to </w:t>
      </w:r>
      <w:r w:rsidR="00AC4CDF" w:rsidRPr="00A55335">
        <w:t>substantially change the interpretation of effect vs control.</w:t>
      </w:r>
      <w:r w:rsidR="00A24127" w:rsidRPr="00A55335">
        <w:t xml:space="preserve"> </w:t>
      </w:r>
      <w:r w:rsidRPr="00A55335">
        <w:t>Certainty of evidence downgraded.</w:t>
      </w:r>
    </w:p>
    <w:p w14:paraId="417385DF" w14:textId="77777777" w:rsidR="00DF1D23" w:rsidRPr="00A55335" w:rsidRDefault="00DF1D23" w:rsidP="00DF1D23">
      <w:pPr>
        <w:pStyle w:val="Footnote"/>
      </w:pPr>
      <w:r w:rsidRPr="00A55335">
        <w:t xml:space="preserve">b. Single study, inconsistency not assessed. Certainty of evidence not downgraded. </w:t>
      </w:r>
    </w:p>
    <w:p w14:paraId="07E38CB7" w14:textId="133F817B" w:rsidR="00DF1D23" w:rsidRPr="00A55335" w:rsidRDefault="00DF1D23" w:rsidP="00DF1D23">
      <w:pPr>
        <w:pStyle w:val="Footnote"/>
      </w:pPr>
      <w:r w:rsidRPr="00A55335">
        <w:t>c. No serious indirectness. The available evidence is in people diagnosed with major depression and generalisable to the Australian population with few caveats. Certainty of evidence not downgraded.</w:t>
      </w:r>
    </w:p>
    <w:p w14:paraId="3F99EDA5" w14:textId="5CC83D79" w:rsidR="00DF1D23" w:rsidRPr="00A55335" w:rsidRDefault="00DF1D23" w:rsidP="00DF1D23">
      <w:pPr>
        <w:pStyle w:val="Footnote"/>
      </w:pPr>
      <w:r w:rsidRPr="00A55335">
        <w:t xml:space="preserve">d. </w:t>
      </w:r>
      <w:r w:rsidR="007D48F1" w:rsidRPr="00A55335">
        <w:t>No s</w:t>
      </w:r>
      <w:r w:rsidR="00A35D2E" w:rsidRPr="00A55335">
        <w:t>e</w:t>
      </w:r>
      <w:r w:rsidRPr="00A55335">
        <w:t xml:space="preserve">rious imprecision. Single study. </w:t>
      </w:r>
      <w:r w:rsidR="007D48F1" w:rsidRPr="00A55335">
        <w:t xml:space="preserve">Confidence interval </w:t>
      </w:r>
      <w:r w:rsidR="00D61B46" w:rsidRPr="00A55335">
        <w:t xml:space="preserve">for the reported result does not include </w:t>
      </w:r>
      <w:r w:rsidR="0096440C" w:rsidRPr="00A55335">
        <w:t>either benefit or harm</w:t>
      </w:r>
      <w:r w:rsidR="00865C5B" w:rsidRPr="00A55335">
        <w:t xml:space="preserve"> (i.e. trivial effect)</w:t>
      </w:r>
      <w:r w:rsidR="00560B1F" w:rsidRPr="00A55335">
        <w:t xml:space="preserve">. </w:t>
      </w:r>
      <w:r w:rsidRPr="00A55335">
        <w:t xml:space="preserve">Certainty of evidence </w:t>
      </w:r>
      <w:r w:rsidR="00061D9C">
        <w:t xml:space="preserve">not </w:t>
      </w:r>
      <w:r w:rsidRPr="00A55335">
        <w:t>downgraded.</w:t>
      </w:r>
    </w:p>
    <w:p w14:paraId="0A3A2EA9" w14:textId="77C6DE03" w:rsidR="00237FF2" w:rsidRPr="00A55335" w:rsidRDefault="00DF1D23" w:rsidP="007252A0">
      <w:pPr>
        <w:pStyle w:val="Footnote"/>
      </w:pPr>
      <w:r w:rsidRPr="00A55335">
        <w:t>e. Publication bias not suspected. Certainty of evidence not downgraded.</w:t>
      </w:r>
    </w:p>
    <w:p w14:paraId="5ACCC317" w14:textId="77777777" w:rsidR="00DD505D" w:rsidRPr="00A55335" w:rsidRDefault="00DD505D" w:rsidP="004D433B">
      <w:pPr>
        <w:pStyle w:val="Heading3"/>
      </w:pPr>
      <w:bookmarkStart w:id="206" w:name="_Toc183441338"/>
      <w:r w:rsidRPr="00A55335">
        <w:t>Forest plots</w:t>
      </w:r>
      <w:bookmarkEnd w:id="206"/>
    </w:p>
    <w:p w14:paraId="224C6DCC" w14:textId="5603C57E" w:rsidR="00772256" w:rsidRPr="00A55335" w:rsidRDefault="00DD505D" w:rsidP="00237FF2">
      <w:pPr>
        <w:pStyle w:val="BodyText"/>
      </w:pPr>
      <w:r w:rsidRPr="00A55335">
        <w:t xml:space="preserve">Outcome results related </w:t>
      </w:r>
      <w:r w:rsidR="009D62B4" w:rsidRPr="00A55335">
        <w:t>to</w:t>
      </w:r>
      <w:r w:rsidR="004D2944" w:rsidRPr="00A55335">
        <w:t xml:space="preserve"> the p</w:t>
      </w:r>
      <w:r w:rsidR="006070ED" w:rsidRPr="00A55335">
        <w:t xml:space="preserve">rimary </w:t>
      </w:r>
      <w:r w:rsidR="004D2944" w:rsidRPr="00A55335">
        <w:t>c</w:t>
      </w:r>
      <w:r w:rsidR="006070ED" w:rsidRPr="00A55335">
        <w:t>omparison</w:t>
      </w:r>
      <w:r w:rsidR="00237FF2" w:rsidRPr="00A55335">
        <w:t xml:space="preserve"> (homeopathy vs placebo) </w:t>
      </w:r>
      <w:r w:rsidRPr="00A55335">
        <w:t xml:space="preserve">in people with depression are presented in </w:t>
      </w:r>
      <w:r w:rsidRPr="00A55335">
        <w:fldChar w:fldCharType="begin"/>
      </w:r>
      <w:r w:rsidRPr="00A55335">
        <w:instrText xml:space="preserve"> REF _Ref143867824 \h </w:instrText>
      </w:r>
      <w:r w:rsidRPr="00A55335">
        <w:fldChar w:fldCharType="separate"/>
      </w:r>
      <w:r w:rsidR="00814B04" w:rsidRPr="00A55335">
        <w:t xml:space="preserve">Figure </w:t>
      </w:r>
      <w:r w:rsidR="00814B04">
        <w:rPr>
          <w:noProof/>
        </w:rPr>
        <w:t>28</w:t>
      </w:r>
      <w:r w:rsidRPr="00A55335">
        <w:fldChar w:fldCharType="end"/>
      </w:r>
      <w:r w:rsidR="00237FF2" w:rsidRPr="00A55335">
        <w:t xml:space="preserve"> (</w:t>
      </w:r>
      <w:r w:rsidR="007A5D53" w:rsidRPr="00A55335">
        <w:t>depression</w:t>
      </w:r>
      <w:r w:rsidR="00772256" w:rsidRPr="00A55335">
        <w:t xml:space="preserve"> severity</w:t>
      </w:r>
      <w:r w:rsidR="00237FF2" w:rsidRPr="00A55335">
        <w:t>) and</w:t>
      </w:r>
      <w:r w:rsidRPr="00A55335">
        <w:t xml:space="preserve"> </w:t>
      </w:r>
      <w:r w:rsidRPr="00A55335">
        <w:fldChar w:fldCharType="begin"/>
      </w:r>
      <w:r w:rsidRPr="00A55335">
        <w:instrText xml:space="preserve"> REF _Ref143867836 \h </w:instrText>
      </w:r>
      <w:r w:rsidRPr="00A55335">
        <w:fldChar w:fldCharType="separate"/>
      </w:r>
      <w:r w:rsidR="00814B04" w:rsidRPr="00A55335">
        <w:t xml:space="preserve">Figure </w:t>
      </w:r>
      <w:r w:rsidR="00814B04">
        <w:rPr>
          <w:noProof/>
        </w:rPr>
        <w:t>29</w:t>
      </w:r>
      <w:r w:rsidRPr="00A55335">
        <w:fldChar w:fldCharType="end"/>
      </w:r>
      <w:r w:rsidR="00237FF2" w:rsidRPr="00A55335">
        <w:t xml:space="preserve"> (</w:t>
      </w:r>
      <w:r w:rsidR="006F19F0" w:rsidRPr="00A55335">
        <w:t>mental and physical functioning</w:t>
      </w:r>
      <w:r w:rsidR="00237FF2" w:rsidRPr="00A55335">
        <w:t>)</w:t>
      </w:r>
      <w:r w:rsidRPr="00A55335">
        <w:t>.</w:t>
      </w:r>
    </w:p>
    <w:p w14:paraId="530BF868" w14:textId="08AC39EA" w:rsidR="00DD505D" w:rsidRPr="00A55335" w:rsidRDefault="004938E0" w:rsidP="00237FF2">
      <w:pPr>
        <w:pStyle w:val="BodyText"/>
      </w:pPr>
      <w:r w:rsidRPr="00A55335">
        <w:t xml:space="preserve">Outcome results related </w:t>
      </w:r>
      <w:r w:rsidR="009D62B4" w:rsidRPr="00A55335">
        <w:t>to</w:t>
      </w:r>
      <w:r w:rsidR="004D2944" w:rsidRPr="00A55335">
        <w:t xml:space="preserve"> the se</w:t>
      </w:r>
      <w:r w:rsidR="006070ED" w:rsidRPr="00A55335">
        <w:t xml:space="preserve">condary </w:t>
      </w:r>
      <w:r w:rsidR="004D2944" w:rsidRPr="00A55335">
        <w:t>c</w:t>
      </w:r>
      <w:r w:rsidR="006070ED" w:rsidRPr="00A55335">
        <w:t>omparison</w:t>
      </w:r>
      <w:r w:rsidRPr="00A55335">
        <w:t xml:space="preserve"> (homeopathy vs </w:t>
      </w:r>
      <w:r w:rsidR="000B2BA5" w:rsidRPr="00A55335">
        <w:t xml:space="preserve">inactive </w:t>
      </w:r>
      <w:r w:rsidRPr="00A55335">
        <w:t>control) in people with depression are presented in</w:t>
      </w:r>
      <w:r w:rsidR="00772256" w:rsidRPr="00A55335">
        <w:t xml:space="preserve"> </w:t>
      </w:r>
      <w:r w:rsidR="00772256" w:rsidRPr="00A55335">
        <w:fldChar w:fldCharType="begin"/>
      </w:r>
      <w:r w:rsidR="00772256" w:rsidRPr="00A55335">
        <w:instrText xml:space="preserve"> REF _Ref152845733 \h </w:instrText>
      </w:r>
      <w:r w:rsidR="00772256" w:rsidRPr="00A55335">
        <w:fldChar w:fldCharType="separate"/>
      </w:r>
      <w:r w:rsidR="00814B04" w:rsidRPr="00A55335">
        <w:t xml:space="preserve">Figure </w:t>
      </w:r>
      <w:r w:rsidR="00814B04">
        <w:rPr>
          <w:noProof/>
        </w:rPr>
        <w:t>30</w:t>
      </w:r>
      <w:r w:rsidR="00772256" w:rsidRPr="00A55335">
        <w:fldChar w:fldCharType="end"/>
      </w:r>
      <w:r w:rsidR="00772256" w:rsidRPr="00A55335">
        <w:t xml:space="preserve"> (depression severity).</w:t>
      </w:r>
    </w:p>
    <w:p w14:paraId="0D4597F5" w14:textId="3BB8C40C" w:rsidR="00DD505D" w:rsidRPr="00A55335" w:rsidRDefault="00DD505D" w:rsidP="00DD505D">
      <w:pPr>
        <w:pStyle w:val="Caption"/>
      </w:pPr>
      <w:bookmarkStart w:id="207" w:name="_Ref143867824"/>
      <w:bookmarkStart w:id="208" w:name="_Toc183520301"/>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28</w:t>
      </w:r>
      <w:r w:rsidRPr="00A55335">
        <w:fldChar w:fldCharType="end"/>
      </w:r>
      <w:bookmarkEnd w:id="207"/>
      <w:r w:rsidR="00237FF2" w:rsidRPr="00A55335">
        <w:tab/>
      </w:r>
      <w:r w:rsidRPr="00A55335">
        <w:t xml:space="preserve">Forest plot of </w:t>
      </w:r>
      <w:r w:rsidR="001715A5" w:rsidRPr="00A55335">
        <w:t xml:space="preserve">primary </w:t>
      </w:r>
      <w:r w:rsidRPr="00A55335">
        <w:t>comparison: Homeopathy vs placebo: Depression</w:t>
      </w:r>
      <w:r w:rsidR="009A40C8" w:rsidRPr="00A55335">
        <w:t xml:space="preserve"> –</w:t>
      </w:r>
      <w:r w:rsidRPr="00A55335">
        <w:t xml:space="preserve"> </w:t>
      </w:r>
      <w:r w:rsidR="007A5D53" w:rsidRPr="00A55335">
        <w:t>s</w:t>
      </w:r>
      <w:r w:rsidRPr="00A55335">
        <w:t>ymptoms</w:t>
      </w:r>
      <w:r w:rsidR="007A5D53" w:rsidRPr="00A55335">
        <w:t xml:space="preserve"> of depression</w:t>
      </w:r>
      <w:bookmarkEnd w:id="208"/>
    </w:p>
    <w:p w14:paraId="4CF64522" w14:textId="45B55DE9" w:rsidR="00237FF2" w:rsidRPr="00A55335" w:rsidRDefault="003E6A44" w:rsidP="00237FF2">
      <w:pPr>
        <w:pStyle w:val="Pic"/>
      </w:pPr>
      <w:r w:rsidRPr="00A55335">
        <w:rPr>
          <w:noProof/>
        </w:rPr>
        <w:drawing>
          <wp:inline distT="0" distB="0" distL="0" distR="0" wp14:anchorId="0972DFCD" wp14:editId="4267CB03">
            <wp:extent cx="6067969" cy="2088107"/>
            <wp:effectExtent l="0" t="0" r="0" b="7620"/>
            <wp:docPr id="1574249503" name="Picture 157424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5057" cy="2090546"/>
                    </a:xfrm>
                    <a:prstGeom prst="rect">
                      <a:avLst/>
                    </a:prstGeom>
                    <a:noFill/>
                    <a:ln>
                      <a:noFill/>
                    </a:ln>
                  </pic:spPr>
                </pic:pic>
              </a:graphicData>
            </a:graphic>
          </wp:inline>
        </w:drawing>
      </w:r>
    </w:p>
    <w:p w14:paraId="4594029C" w14:textId="77777777" w:rsidR="00237FF2" w:rsidRPr="00A55335" w:rsidRDefault="00237FF2" w:rsidP="00237FF2">
      <w:pPr>
        <w:pStyle w:val="TableFigNotes18"/>
      </w:pPr>
    </w:p>
    <w:p w14:paraId="492397E1" w14:textId="12398BCB" w:rsidR="00DD505D" w:rsidRPr="00A55335" w:rsidRDefault="00DD505D" w:rsidP="00DD505D">
      <w:pPr>
        <w:pStyle w:val="Caption"/>
      </w:pPr>
      <w:bookmarkStart w:id="209" w:name="_Ref143867836"/>
      <w:bookmarkStart w:id="210" w:name="_Toc183520302"/>
      <w:r w:rsidRPr="00A55335">
        <w:t xml:space="preserve">Figure </w:t>
      </w:r>
      <w:r w:rsidRPr="00A55335">
        <w:fldChar w:fldCharType="begin"/>
      </w:r>
      <w:r w:rsidRPr="00A55335">
        <w:instrText xml:space="preserve"> SEQ Figure \* ARABIC </w:instrText>
      </w:r>
      <w:r w:rsidRPr="00A55335">
        <w:fldChar w:fldCharType="separate"/>
      </w:r>
      <w:r w:rsidR="00814B04">
        <w:rPr>
          <w:noProof/>
        </w:rPr>
        <w:t>29</w:t>
      </w:r>
      <w:r w:rsidRPr="00A55335">
        <w:fldChar w:fldCharType="end"/>
      </w:r>
      <w:bookmarkEnd w:id="209"/>
      <w:r w:rsidR="00237FF2" w:rsidRPr="00A55335">
        <w:tab/>
      </w:r>
      <w:r w:rsidRPr="00A55335">
        <w:t xml:space="preserve">Forest plot of </w:t>
      </w:r>
      <w:r w:rsidR="001715A5" w:rsidRPr="00A55335">
        <w:t xml:space="preserve">primary </w:t>
      </w:r>
      <w:r w:rsidRPr="00A55335">
        <w:t>comparison: Homeopathy vs placebo: Depression</w:t>
      </w:r>
      <w:r w:rsidR="00F3164D" w:rsidRPr="00A55335">
        <w:t xml:space="preserve"> –</w:t>
      </w:r>
      <w:r w:rsidRPr="00A55335">
        <w:t xml:space="preserve"> </w:t>
      </w:r>
      <w:r w:rsidR="00F16DA1" w:rsidRPr="00A55335">
        <w:t xml:space="preserve">mental and physical </w:t>
      </w:r>
      <w:r w:rsidR="006F19F0" w:rsidRPr="00A55335">
        <w:t>functioning</w:t>
      </w:r>
      <w:bookmarkEnd w:id="210"/>
    </w:p>
    <w:p w14:paraId="3C5F24A2" w14:textId="35E704EA" w:rsidR="00F16DA1" w:rsidRPr="00A55335" w:rsidRDefault="006F19F0" w:rsidP="00F16DA1">
      <w:pPr>
        <w:pStyle w:val="Pic"/>
      </w:pPr>
      <w:r w:rsidRPr="00A55335">
        <w:rPr>
          <w:noProof/>
        </w:rPr>
        <w:drawing>
          <wp:inline distT="0" distB="0" distL="0" distR="0" wp14:anchorId="3D319158" wp14:editId="04BBCBC9">
            <wp:extent cx="5964106" cy="3350525"/>
            <wp:effectExtent l="0" t="0" r="0" b="2540"/>
            <wp:docPr id="99615821" name="Picture 9961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70461" cy="3354095"/>
                    </a:xfrm>
                    <a:prstGeom prst="rect">
                      <a:avLst/>
                    </a:prstGeom>
                    <a:noFill/>
                    <a:ln>
                      <a:noFill/>
                    </a:ln>
                  </pic:spPr>
                </pic:pic>
              </a:graphicData>
            </a:graphic>
          </wp:inline>
        </w:drawing>
      </w:r>
    </w:p>
    <w:p w14:paraId="65DB021B" w14:textId="77777777" w:rsidR="00237FF2" w:rsidRPr="00A55335" w:rsidRDefault="00237FF2" w:rsidP="00237FF2">
      <w:pPr>
        <w:pStyle w:val="TableFigNotes18"/>
      </w:pPr>
    </w:p>
    <w:p w14:paraId="0CD9E4EB" w14:textId="7FD9694D" w:rsidR="006957FD" w:rsidRPr="00A55335" w:rsidRDefault="006957FD" w:rsidP="006957FD">
      <w:pPr>
        <w:pStyle w:val="Caption"/>
      </w:pPr>
      <w:bookmarkStart w:id="211" w:name="_Ref152845733"/>
      <w:bookmarkStart w:id="212" w:name="_Toc183520303"/>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30</w:t>
      </w:r>
      <w:r w:rsidRPr="00A55335">
        <w:fldChar w:fldCharType="end"/>
      </w:r>
      <w:bookmarkEnd w:id="211"/>
      <w:r w:rsidRPr="00A55335">
        <w:tab/>
      </w:r>
      <w:r w:rsidR="00205FDA" w:rsidRPr="009876E6">
        <w:t xml:space="preserve">Forest plot of </w:t>
      </w:r>
      <w:r w:rsidR="001715A5" w:rsidRPr="009876E6">
        <w:t xml:space="preserve">secondary </w:t>
      </w:r>
      <w:r w:rsidR="00205FDA" w:rsidRPr="009876E6">
        <w:t xml:space="preserve">comparison: </w:t>
      </w:r>
      <w:r w:rsidRPr="00A55335">
        <w:t xml:space="preserve">Homeopathy vs </w:t>
      </w:r>
      <w:r w:rsidR="000B2BA5" w:rsidRPr="00A55335">
        <w:t xml:space="preserve">inactive </w:t>
      </w:r>
      <w:r w:rsidRPr="00A55335">
        <w:t>control: Depression – symptoms of depression</w:t>
      </w:r>
      <w:bookmarkEnd w:id="212"/>
    </w:p>
    <w:p w14:paraId="54DC82A4" w14:textId="6B32347E" w:rsidR="007957C3" w:rsidRDefault="002A3EF8" w:rsidP="00B67BD5">
      <w:pPr>
        <w:pStyle w:val="Pic"/>
      </w:pPr>
      <w:r w:rsidRPr="00A55335">
        <w:rPr>
          <w:noProof/>
        </w:rPr>
        <w:drawing>
          <wp:inline distT="0" distB="0" distL="0" distR="0" wp14:anchorId="35BB6902" wp14:editId="79B97DE5">
            <wp:extent cx="5743294" cy="2751151"/>
            <wp:effectExtent l="0" t="0" r="0" b="0"/>
            <wp:docPr id="13417709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2584" cy="2760391"/>
                    </a:xfrm>
                    <a:prstGeom prst="rect">
                      <a:avLst/>
                    </a:prstGeom>
                    <a:noFill/>
                    <a:ln>
                      <a:noFill/>
                    </a:ln>
                  </pic:spPr>
                </pic:pic>
              </a:graphicData>
            </a:graphic>
          </wp:inline>
        </w:drawing>
      </w:r>
    </w:p>
    <w:p w14:paraId="3E29CC41" w14:textId="77777777" w:rsidR="00A16266" w:rsidRPr="00A16266" w:rsidRDefault="00A16266" w:rsidP="00A16266">
      <w:pPr>
        <w:pStyle w:val="TableFigNotes18"/>
      </w:pPr>
    </w:p>
    <w:p w14:paraId="1673F54C" w14:textId="07E9FED0" w:rsidR="0053788D" w:rsidRDefault="0053788D" w:rsidP="00A16266">
      <w:pPr>
        <w:pStyle w:val="BodyText"/>
      </w:pPr>
      <w:r>
        <w:br w:type="page"/>
      </w:r>
    </w:p>
    <w:p w14:paraId="1BE5F097" w14:textId="7790DF8C" w:rsidR="00DD505D" w:rsidRPr="00A55335" w:rsidRDefault="005D1339" w:rsidP="00C373A2">
      <w:pPr>
        <w:pStyle w:val="Heading2"/>
      </w:pPr>
      <w:bookmarkStart w:id="213" w:name="_Toc183441339"/>
      <w:r w:rsidRPr="00A55335">
        <w:lastRenderedPageBreak/>
        <w:t>Neurodevelopmental</w:t>
      </w:r>
      <w:r w:rsidR="00847140" w:rsidRPr="00A55335">
        <w:t xml:space="preserve"> disorders</w:t>
      </w:r>
      <w:bookmarkEnd w:id="213"/>
    </w:p>
    <w:p w14:paraId="5F4B9856" w14:textId="78041FB7" w:rsidR="00DD505D" w:rsidRPr="00A55335" w:rsidRDefault="00DD505D" w:rsidP="004D433B">
      <w:pPr>
        <w:pStyle w:val="Heading3"/>
      </w:pPr>
      <w:bookmarkStart w:id="214" w:name="_Toc183441340"/>
      <w:r w:rsidRPr="00A55335">
        <w:t>Description of the condition</w:t>
      </w:r>
      <w:bookmarkEnd w:id="214"/>
      <w:r w:rsidRPr="00A55335">
        <w:t xml:space="preserve"> </w:t>
      </w:r>
    </w:p>
    <w:p w14:paraId="72200005" w14:textId="6768AEDA" w:rsidR="00DD505D" w:rsidRPr="00A55335" w:rsidRDefault="007E4DFC" w:rsidP="00DD505D">
      <w:pPr>
        <w:pStyle w:val="BodyText"/>
      </w:pPr>
      <w:r w:rsidRPr="00A55335">
        <w:t>Neurodevelopmental disorder</w:t>
      </w:r>
      <w:r w:rsidR="002014D7" w:rsidRPr="00A55335">
        <w:t>s</w:t>
      </w:r>
      <w:r w:rsidRPr="00A55335">
        <w:t xml:space="preserve"> </w:t>
      </w:r>
      <w:proofErr w:type="gramStart"/>
      <w:r w:rsidR="003E5D21" w:rsidRPr="00A55335">
        <w:t>is</w:t>
      </w:r>
      <w:proofErr w:type="gramEnd"/>
      <w:r w:rsidR="003E5D21" w:rsidRPr="00A55335">
        <w:t xml:space="preserve"> an umbrella term used in this review</w:t>
      </w:r>
      <w:r w:rsidR="007D352F" w:rsidRPr="00A55335">
        <w:t xml:space="preserve"> </w:t>
      </w:r>
      <w:r w:rsidR="00D812C9" w:rsidRPr="00A55335">
        <w:t>to</w:t>
      </w:r>
      <w:r w:rsidR="007D352F" w:rsidRPr="00A55335">
        <w:t xml:space="preserve"> encompass</w:t>
      </w:r>
      <w:r w:rsidR="00D812C9" w:rsidRPr="00A55335">
        <w:t xml:space="preserve"> a range of </w:t>
      </w:r>
      <w:r w:rsidR="007D352F" w:rsidRPr="00A55335">
        <w:t xml:space="preserve">cognitive and </w:t>
      </w:r>
      <w:r w:rsidR="003E5D21" w:rsidRPr="00A55335">
        <w:t xml:space="preserve">behavioural disorders that </w:t>
      </w:r>
      <w:r w:rsidR="007D352F" w:rsidRPr="00A55335">
        <w:t xml:space="preserve">appear </w:t>
      </w:r>
      <w:r w:rsidR="00E21BCC" w:rsidRPr="00A55335">
        <w:t>in</w:t>
      </w:r>
      <w:r w:rsidR="00981B1D" w:rsidRPr="00A55335">
        <w:t xml:space="preserve"> infancy (or prior to the age of 18 years)</w:t>
      </w:r>
      <w:r w:rsidR="00D812C9" w:rsidRPr="00A55335">
        <w:t xml:space="preserve">. </w:t>
      </w:r>
      <w:r w:rsidR="003E70A4" w:rsidRPr="00A55335">
        <w:t>As per the ICD-11 category, t</w:t>
      </w:r>
      <w:r w:rsidR="00981B1D" w:rsidRPr="00A55335">
        <w:t xml:space="preserve">his includes </w:t>
      </w:r>
      <w:r w:rsidR="003E70A4" w:rsidRPr="00A55335">
        <w:t xml:space="preserve">conditions that </w:t>
      </w:r>
      <w:r w:rsidR="003E5D21" w:rsidRPr="00A55335">
        <w:t>involve difficulties in specific intellectual, motor, language, or social functions.</w:t>
      </w:r>
      <w:r w:rsidR="009826B0" w:rsidRPr="00A55335">
        <w:t xml:space="preserve"> Key among these is a</w:t>
      </w:r>
      <w:r w:rsidR="00DD505D" w:rsidRPr="00A55335">
        <w:t>ttention deficit disorder (AD</w:t>
      </w:r>
      <w:r w:rsidR="008F5856" w:rsidRPr="00A55335">
        <w:t>H</w:t>
      </w:r>
      <w:r w:rsidR="00DD505D" w:rsidRPr="00A55335">
        <w:t>D)</w:t>
      </w:r>
      <w:r w:rsidR="009826B0" w:rsidRPr="00A55335">
        <w:t>,</w:t>
      </w:r>
      <w:r w:rsidR="00DD505D" w:rsidRPr="00A55335">
        <w:t xml:space="preserve"> a neurodevelopmental disorder common in childhood that is characterised by symptoms of inattention and/or hyperactivity-impulsivity. According to the 2013-14 Australian Child and Adolescent Survey of Mental Health and Wellbeing, an estimated 8.2% of children aged 4 to 11 years old experience ADHD </w:t>
      </w:r>
      <w:r w:rsidR="00635FCD" w:rsidRPr="00A55335">
        <w:fldChar w:fldCharType="begin"/>
      </w:r>
      <w:r w:rsidR="006952AD">
        <w:instrText xml:space="preserve"> ADDIN EN.CITE &lt;EndNote&gt;&lt;Cite&gt;&lt;Year&gt;2023&lt;/Year&gt;&lt;RecNum&gt;386&lt;/RecNum&gt;&lt;DisplayText&gt;(153)&lt;/DisplayText&gt;&lt;record&gt;&lt;rec-number&gt;386&lt;/rec-number&gt;&lt;foreign-keys&gt;&lt;key app="EN" db-id="t5prptatr9sp0we5exbxt9zz20fwp55tdza9" timestamp="1700774033"&gt;386&lt;/key&gt;&lt;/foreign-keys&gt;&lt;ref-type name="Web Page"&gt;12&lt;/ref-type&gt;&lt;contributors&gt;&lt;/contributors&gt;&lt;titles&gt;&lt;title&gt;Health of children&lt;/title&gt;&lt;/titles&gt;&lt;volume&gt;2023&lt;/volume&gt;&lt;number&gt;10 September&lt;/number&gt;&lt;dates&gt;&lt;year&gt;2023&lt;/year&gt;&lt;/dates&gt;&lt;pub-location&gt;Canberra&lt;/pub-location&gt;&lt;publisher&gt;Australian Institute of Health Welfare&amp;#xD;&lt;/publisher&gt;&lt;urls&gt;&lt;related-urls&gt;&lt;url&gt;https://www.aihw.gov.au/reports/children-youth/health-of-children&lt;/url&gt;&lt;/related-urls&gt;&lt;/urls&gt;&lt;custom1&gt;2023&lt;/custom1&gt;&lt;custom2&gt;10 September&lt;/custom2&gt;&lt;/record&gt;&lt;/Cite&gt;&lt;/EndNote&gt;</w:instrText>
      </w:r>
      <w:r w:rsidR="00635FCD" w:rsidRPr="00A55335">
        <w:fldChar w:fldCharType="separate"/>
      </w:r>
      <w:r w:rsidR="00067842">
        <w:rPr>
          <w:noProof/>
        </w:rPr>
        <w:t>(</w:t>
      </w:r>
      <w:hyperlink w:anchor="_ENREF_153" w:tooltip=", 2023 #386" w:history="1">
        <w:r w:rsidR="00EC2769">
          <w:rPr>
            <w:noProof/>
          </w:rPr>
          <w:t>153</w:t>
        </w:r>
      </w:hyperlink>
      <w:r w:rsidR="00067842">
        <w:rPr>
          <w:noProof/>
        </w:rPr>
        <w:t>)</w:t>
      </w:r>
      <w:r w:rsidR="00635FCD" w:rsidRPr="00A55335">
        <w:fldChar w:fldCharType="end"/>
      </w:r>
      <w:r w:rsidR="00DD505D" w:rsidRPr="00A55335">
        <w:t>. ADHD tends to be underdiagnosed in adults, with an international prevalence somewhere between 2% to 6%</w:t>
      </w:r>
      <w:r w:rsidR="00AE36C8" w:rsidRPr="00A55335">
        <w:t xml:space="preserve">. ADHD is </w:t>
      </w:r>
      <w:r w:rsidR="008F3DF1" w:rsidRPr="00A55335">
        <w:t>more commonly diagnosed in</w:t>
      </w:r>
      <w:r w:rsidR="00DD505D" w:rsidRPr="00A55335">
        <w:t xml:space="preserve"> </w:t>
      </w:r>
      <w:r w:rsidR="008F3DF1" w:rsidRPr="00A55335">
        <w:t>boys than girls, with this disparity reducing somewhat in adulthood</w:t>
      </w:r>
      <w:r w:rsidR="00DD505D" w:rsidRPr="00A55335">
        <w:t xml:space="preserve"> </w:t>
      </w:r>
      <w:r w:rsidR="00635FCD" w:rsidRPr="00A55335">
        <w:fldChar w:fldCharType="begin"/>
      </w:r>
      <w:r w:rsidR="006952AD">
        <w:instrText xml:space="preserve"> ADDIN EN.CITE &lt;EndNote&gt;&lt;Cite ExcludeAuth="1"&gt;&lt;Year&gt;2023&lt;/Year&gt;&lt;RecNum&gt;387&lt;/RecNum&gt;&lt;DisplayText&gt;(154)&lt;/DisplayText&gt;&lt;record&gt;&lt;rec-number&gt;387&lt;/rec-number&gt;&lt;foreign-keys&gt;&lt;key app="EN" db-id="t5prptatr9sp0we5exbxt9zz20fwp55tdza9" timestamp="1700774033"&gt;387&lt;/key&gt;&lt;/foreign-keys&gt;&lt;ref-type name="Web Page"&gt;12&lt;/ref-type&gt;&lt;contributors&gt;&lt;/contributors&gt;&lt;titles&gt;&lt;title&gt;About ADHD&lt;/title&gt;&lt;/titles&gt;&lt;volume&gt;2023&lt;/volume&gt;&lt;number&gt;18 September&lt;/number&gt;&lt;dates&gt;&lt;year&gt;2023&lt;/year&gt;&lt;/dates&gt;&lt;publisher&gt;Australian ADHD Clinical Practice Guidelines&lt;/publisher&gt;&lt;urls&gt;&lt;related-urls&gt;&lt;url&gt;https://adhdguideline.aadpa.com.au/about/about-adhd/&lt;/url&gt;&lt;/related-urls&gt;&lt;/urls&gt;&lt;custom1&gt;2023&lt;/custom1&gt;&lt;custom2&gt;18 September&lt;/custom2&gt;&lt;/record&gt;&lt;/Cite&gt;&lt;/EndNote&gt;</w:instrText>
      </w:r>
      <w:r w:rsidR="00635FCD" w:rsidRPr="00A55335">
        <w:fldChar w:fldCharType="separate"/>
      </w:r>
      <w:r w:rsidR="00067842">
        <w:rPr>
          <w:noProof/>
        </w:rPr>
        <w:t>(</w:t>
      </w:r>
      <w:hyperlink w:anchor="_ENREF_154" w:tooltip=", 2023 #387" w:history="1">
        <w:r w:rsidR="00EC2769">
          <w:rPr>
            <w:noProof/>
          </w:rPr>
          <w:t>154</w:t>
        </w:r>
      </w:hyperlink>
      <w:r w:rsidR="00067842">
        <w:rPr>
          <w:noProof/>
        </w:rPr>
        <w:t>)</w:t>
      </w:r>
      <w:r w:rsidR="00635FCD" w:rsidRPr="00A55335">
        <w:fldChar w:fldCharType="end"/>
      </w:r>
      <w:r w:rsidR="00D84C66" w:rsidRPr="00A55335">
        <w:t xml:space="preserve">. This is </w:t>
      </w:r>
      <w:r w:rsidR="008F3DF1" w:rsidRPr="00A55335">
        <w:t xml:space="preserve">likely due to </w:t>
      </w:r>
      <w:r w:rsidR="00B4390C" w:rsidRPr="00A55335">
        <w:t>girls with ADHD being be more easily missed in the diagnostic process</w:t>
      </w:r>
      <w:r w:rsidR="00D84C66" w:rsidRPr="00A55335">
        <w:t xml:space="preserve"> </w:t>
      </w:r>
      <w:r w:rsidR="00530CF6" w:rsidRPr="00A55335">
        <w:fldChar w:fldCharType="begin"/>
      </w:r>
      <w:r w:rsidR="006952AD">
        <w:instrText xml:space="preserve"> ADDIN EN.CITE &lt;EndNote&gt;&lt;Cite&gt;&lt;Author&gt;Mowlem&lt;/Author&gt;&lt;Year&gt;2019&lt;/Year&gt;&lt;RecNum&gt;973&lt;/RecNum&gt;&lt;DisplayText&gt;(155)&lt;/DisplayText&gt;&lt;record&gt;&lt;rec-number&gt;973&lt;/rec-number&gt;&lt;foreign-keys&gt;&lt;key app="EN" db-id="t5prptatr9sp0we5exbxt9zz20fwp55tdza9" timestamp="1724905802"&gt;973&lt;/key&gt;&lt;/foreign-keys&gt;&lt;ref-type name="Journal Article"&gt;17&lt;/ref-type&gt;&lt;contributors&gt;&lt;authors&gt;&lt;author&gt;Mowlem, Florence D.&lt;/author&gt;&lt;author&gt;Rosenqvist, Mina A.&lt;/author&gt;&lt;author&gt;Martin, Joanna&lt;/author&gt;&lt;author&gt;Lichtenstein, Paul&lt;/author&gt;&lt;author&gt;Asherson, Philip&lt;/author&gt;&lt;author&gt;Larsson, Henrik&lt;/author&gt;&lt;/authors&gt;&lt;/contributors&gt;&lt;titles&gt;&lt;title&gt;Sex differences in predicting ADHD clinical diagnosis and pharmacological treatment&lt;/title&gt;&lt;secondary-title&gt;European Child &amp;amp; Adolescent Psychiatry&lt;/secondary-title&gt;&lt;/titles&gt;&lt;periodical&gt;&lt;full-title&gt;European Child &amp;amp; Adolescent Psychiatry&lt;/full-title&gt;&lt;/periodical&gt;&lt;pages&gt;481-489&lt;/pages&gt;&lt;volume&gt;28&lt;/volume&gt;&lt;number&gt;4&lt;/number&gt;&lt;dates&gt;&lt;year&gt;2019&lt;/year&gt;&lt;pub-dates&gt;&lt;date&gt;2019/04/01&lt;/date&gt;&lt;/pub-dates&gt;&lt;/dates&gt;&lt;isbn&gt;1435-165X&lt;/isbn&gt;&lt;urls&gt;&lt;related-urls&gt;&lt;url&gt;https://doi.org/10.1007/s00787-018-1211-3&lt;/url&gt;&lt;/related-urls&gt;&lt;/urls&gt;&lt;electronic-resource-num&gt;10.1007/s00787-018-1211-3&lt;/electronic-resource-num&gt;&lt;/record&gt;&lt;/Cite&gt;&lt;/EndNote&gt;</w:instrText>
      </w:r>
      <w:r w:rsidR="00530CF6" w:rsidRPr="00A55335">
        <w:fldChar w:fldCharType="separate"/>
      </w:r>
      <w:r w:rsidR="00067842">
        <w:rPr>
          <w:noProof/>
        </w:rPr>
        <w:t>(</w:t>
      </w:r>
      <w:hyperlink w:anchor="_ENREF_155" w:tooltip="Mowlem, 2019 #973" w:history="1">
        <w:r w:rsidR="00EC2769">
          <w:rPr>
            <w:noProof/>
          </w:rPr>
          <w:t>155</w:t>
        </w:r>
      </w:hyperlink>
      <w:r w:rsidR="00067842">
        <w:rPr>
          <w:noProof/>
        </w:rPr>
        <w:t>)</w:t>
      </w:r>
      <w:r w:rsidR="00530CF6" w:rsidRPr="00A55335">
        <w:fldChar w:fldCharType="end"/>
      </w:r>
      <w:r w:rsidR="00DD505D" w:rsidRPr="00A55335">
        <w:t>.</w:t>
      </w:r>
    </w:p>
    <w:p w14:paraId="50ADA56B" w14:textId="4644FDC2" w:rsidR="00DD505D" w:rsidRPr="00A55335" w:rsidRDefault="00DD505D" w:rsidP="00DD505D">
      <w:pPr>
        <w:pStyle w:val="BodyText"/>
      </w:pPr>
      <w:r w:rsidRPr="00A55335">
        <w:t>ADHD is diagnosed by clinical assessment, most commonly using DSM-5 diagnostic criteria</w:t>
      </w:r>
      <w:r w:rsidR="008F5856" w:rsidRPr="00A55335">
        <w:t xml:space="preserve">, which </w:t>
      </w:r>
      <w:r w:rsidRPr="00A55335">
        <w:t xml:space="preserve">includes a list of 9 inattentive and 9 hyperactive-impulsive symptoms. For children, 6 of the 9 symptoms need to be present to reach a diagnosis for ADHD </w:t>
      </w:r>
      <w:r w:rsidR="00635FCD" w:rsidRPr="00A55335">
        <w:fldChar w:fldCharType="begin"/>
      </w:r>
      <w:r w:rsidR="006952AD">
        <w:instrText xml:space="preserve"> ADDIN EN.CITE &lt;EndNote&gt;&lt;Cite ExcludeAuth="1"&gt;&lt;Year&gt;2023&lt;/Year&gt;&lt;RecNum&gt;387&lt;/RecNum&gt;&lt;DisplayText&gt;(154)&lt;/DisplayText&gt;&lt;record&gt;&lt;rec-number&gt;387&lt;/rec-number&gt;&lt;foreign-keys&gt;&lt;key app="EN" db-id="t5prptatr9sp0we5exbxt9zz20fwp55tdza9" timestamp="1700774033"&gt;387&lt;/key&gt;&lt;/foreign-keys&gt;&lt;ref-type name="Web Page"&gt;12&lt;/ref-type&gt;&lt;contributors&gt;&lt;/contributors&gt;&lt;titles&gt;&lt;title&gt;About ADHD&lt;/title&gt;&lt;/titles&gt;&lt;volume&gt;2023&lt;/volume&gt;&lt;number&gt;18 September&lt;/number&gt;&lt;dates&gt;&lt;year&gt;2023&lt;/year&gt;&lt;/dates&gt;&lt;publisher&gt;Australian ADHD Clinical Practice Guidelines&lt;/publisher&gt;&lt;urls&gt;&lt;related-urls&gt;&lt;url&gt;https://adhdguideline.aadpa.com.au/about/about-adhd/&lt;/url&gt;&lt;/related-urls&gt;&lt;/urls&gt;&lt;custom1&gt;2023&lt;/custom1&gt;&lt;custom2&gt;18 September&lt;/custom2&gt;&lt;/record&gt;&lt;/Cite&gt;&lt;/EndNote&gt;</w:instrText>
      </w:r>
      <w:r w:rsidR="00635FCD" w:rsidRPr="00A55335">
        <w:fldChar w:fldCharType="separate"/>
      </w:r>
      <w:r w:rsidR="00067842">
        <w:rPr>
          <w:noProof/>
        </w:rPr>
        <w:t>(</w:t>
      </w:r>
      <w:hyperlink w:anchor="_ENREF_154" w:tooltip=", 2023 #387" w:history="1">
        <w:r w:rsidR="00EC2769">
          <w:rPr>
            <w:noProof/>
          </w:rPr>
          <w:t>154</w:t>
        </w:r>
      </w:hyperlink>
      <w:r w:rsidR="00067842">
        <w:rPr>
          <w:noProof/>
        </w:rPr>
        <w:t>)</w:t>
      </w:r>
      <w:r w:rsidR="00635FCD" w:rsidRPr="00A55335">
        <w:fldChar w:fldCharType="end"/>
      </w:r>
      <w:r w:rsidRPr="00A55335">
        <w:t xml:space="preserve">. Symptoms must have been present for at least 6-months and occur in more than one setting </w:t>
      </w:r>
      <w:r w:rsidR="00635FCD" w:rsidRPr="00A55335">
        <w:fldChar w:fldCharType="begin"/>
      </w:r>
      <w:r w:rsidR="006952AD">
        <w:instrText xml:space="preserve"> ADDIN EN.CITE &lt;EndNote&gt;&lt;Cite ExcludeAuth="1"&gt;&lt;Year&gt;2023&lt;/Year&gt;&lt;RecNum&gt;387&lt;/RecNum&gt;&lt;DisplayText&gt;(154)&lt;/DisplayText&gt;&lt;record&gt;&lt;rec-number&gt;387&lt;/rec-number&gt;&lt;foreign-keys&gt;&lt;key app="EN" db-id="t5prptatr9sp0we5exbxt9zz20fwp55tdza9" timestamp="1700774033"&gt;387&lt;/key&gt;&lt;/foreign-keys&gt;&lt;ref-type name="Web Page"&gt;12&lt;/ref-type&gt;&lt;contributors&gt;&lt;/contributors&gt;&lt;titles&gt;&lt;title&gt;About ADHD&lt;/title&gt;&lt;/titles&gt;&lt;volume&gt;2023&lt;/volume&gt;&lt;number&gt;18 September&lt;/number&gt;&lt;dates&gt;&lt;year&gt;2023&lt;/year&gt;&lt;/dates&gt;&lt;publisher&gt;Australian ADHD Clinical Practice Guidelines&lt;/publisher&gt;&lt;urls&gt;&lt;related-urls&gt;&lt;url&gt;https://adhdguideline.aadpa.com.au/about/about-adhd/&lt;/url&gt;&lt;/related-urls&gt;&lt;/urls&gt;&lt;custom1&gt;2023&lt;/custom1&gt;&lt;custom2&gt;18 September&lt;/custom2&gt;&lt;/record&gt;&lt;/Cite&gt;&lt;/EndNote&gt;</w:instrText>
      </w:r>
      <w:r w:rsidR="00635FCD" w:rsidRPr="00A55335">
        <w:fldChar w:fldCharType="separate"/>
      </w:r>
      <w:r w:rsidR="00067842">
        <w:rPr>
          <w:noProof/>
        </w:rPr>
        <w:t>(</w:t>
      </w:r>
      <w:hyperlink w:anchor="_ENREF_154" w:tooltip=", 2023 #387" w:history="1">
        <w:r w:rsidR="00EC2769">
          <w:rPr>
            <w:noProof/>
          </w:rPr>
          <w:t>154</w:t>
        </w:r>
      </w:hyperlink>
      <w:r w:rsidR="00067842">
        <w:rPr>
          <w:noProof/>
        </w:rPr>
        <w:t>)</w:t>
      </w:r>
      <w:r w:rsidR="00635FCD" w:rsidRPr="00A55335">
        <w:fldChar w:fldCharType="end"/>
      </w:r>
      <w:r w:rsidRPr="00A55335">
        <w:t xml:space="preserve">. Onset should occur before 12 years of age; however, it is common to not receive a diagnosis until after this age or later in adulthood </w:t>
      </w:r>
      <w:r w:rsidR="00635FCD" w:rsidRPr="00A55335">
        <w:fldChar w:fldCharType="begin"/>
      </w:r>
      <w:r w:rsidR="006952AD">
        <w:instrText xml:space="preserve"> ADDIN EN.CITE &lt;EndNote&gt;&lt;Cite&gt;&lt;Author&gt;Magnus&lt;/Author&gt;&lt;Year&gt;2023&lt;/Year&gt;&lt;RecNum&gt;388&lt;/RecNum&gt;&lt;DisplayText&gt;(156)&lt;/DisplayText&gt;&lt;record&gt;&lt;rec-number&gt;388&lt;/rec-number&gt;&lt;foreign-keys&gt;&lt;key app="EN" db-id="t5prptatr9sp0we5exbxt9zz20fwp55tdza9" timestamp="1700774033"&gt;388&lt;/key&gt;&lt;/foreign-keys&gt;&lt;ref-type name="Web Page"&gt;12&lt;/ref-type&gt;&lt;contributors&gt;&lt;authors&gt;&lt;author&gt;Warren Magnus&lt;/author&gt;&lt;author&gt;Saad Nazir&lt;/author&gt;&lt;author&gt;Arayamparambil C. Anilkumar&lt;/author&gt;&lt;author&gt;Kamleh Shaban&lt;/author&gt;&lt;/authors&gt;&lt;/contributors&gt;&lt;titles&gt;&lt;title&gt;Attention Deficit Hyperactivity Disorder&lt;/title&gt;&lt;/titles&gt;&lt;volume&gt;2023&lt;/volume&gt;&lt;number&gt;18 September&lt;/number&gt;&lt;dates&gt;&lt;year&gt;2023&lt;/year&gt;&lt;/dates&gt;&lt;publisher&gt;StatPearls [Internet]&lt;/publisher&gt;&lt;urls&gt;&lt;related-urls&gt;&lt;url&gt;https://www.ncbi.nlm.nih.gov/books/NBK441838/&lt;/url&gt;&lt;/related-urls&gt;&lt;/urls&gt;&lt;custom1&gt;2023&lt;/custom1&gt;&lt;custom2&gt;18 September&lt;/custom2&gt;&lt;/record&gt;&lt;/Cite&gt;&lt;/EndNote&gt;</w:instrText>
      </w:r>
      <w:r w:rsidR="00635FCD" w:rsidRPr="00A55335">
        <w:fldChar w:fldCharType="separate"/>
      </w:r>
      <w:r w:rsidR="00067842">
        <w:rPr>
          <w:noProof/>
        </w:rPr>
        <w:t>(</w:t>
      </w:r>
      <w:hyperlink w:anchor="_ENREF_156" w:tooltip="Magnus, 2023 #388" w:history="1">
        <w:r w:rsidR="00EC2769">
          <w:rPr>
            <w:noProof/>
          </w:rPr>
          <w:t>156</w:t>
        </w:r>
      </w:hyperlink>
      <w:r w:rsidR="00067842">
        <w:rPr>
          <w:noProof/>
        </w:rPr>
        <w:t>)</w:t>
      </w:r>
      <w:r w:rsidR="00635FCD" w:rsidRPr="00A55335">
        <w:fldChar w:fldCharType="end"/>
      </w:r>
      <w:r w:rsidRPr="00A55335">
        <w:t>.</w:t>
      </w:r>
    </w:p>
    <w:p w14:paraId="30AFDF66" w14:textId="79AAF8B1" w:rsidR="00DD505D" w:rsidRPr="00A55335" w:rsidRDefault="00DD505D" w:rsidP="00DD505D">
      <w:pPr>
        <w:pStyle w:val="BodyText"/>
      </w:pPr>
      <w:r w:rsidRPr="00A55335">
        <w:t xml:space="preserve">The exact cause of ADHD is unknown, although a combination of genetic and environmental factors are likely to contribute </w:t>
      </w:r>
      <w:r w:rsidR="00635FCD" w:rsidRPr="00A55335">
        <w:fldChar w:fldCharType="begin"/>
      </w:r>
      <w:r w:rsidR="006952AD">
        <w:instrText xml:space="preserve"> ADDIN EN.CITE &lt;EndNote&gt;&lt;Cite&gt;&lt;Author&gt;Magnus&lt;/Author&gt;&lt;Year&gt;2023&lt;/Year&gt;&lt;RecNum&gt;388&lt;/RecNum&gt;&lt;DisplayText&gt;(156)&lt;/DisplayText&gt;&lt;record&gt;&lt;rec-number&gt;388&lt;/rec-number&gt;&lt;foreign-keys&gt;&lt;key app="EN" db-id="t5prptatr9sp0we5exbxt9zz20fwp55tdza9" timestamp="1700774033"&gt;388&lt;/key&gt;&lt;/foreign-keys&gt;&lt;ref-type name="Web Page"&gt;12&lt;/ref-type&gt;&lt;contributors&gt;&lt;authors&gt;&lt;author&gt;Warren Magnus&lt;/author&gt;&lt;author&gt;Saad Nazir&lt;/author&gt;&lt;author&gt;Arayamparambil C. Anilkumar&lt;/author&gt;&lt;author&gt;Kamleh Shaban&lt;/author&gt;&lt;/authors&gt;&lt;/contributors&gt;&lt;titles&gt;&lt;title&gt;Attention Deficit Hyperactivity Disorder&lt;/title&gt;&lt;/titles&gt;&lt;volume&gt;2023&lt;/volume&gt;&lt;number&gt;18 September&lt;/number&gt;&lt;dates&gt;&lt;year&gt;2023&lt;/year&gt;&lt;/dates&gt;&lt;publisher&gt;StatPearls [Internet]&lt;/publisher&gt;&lt;urls&gt;&lt;related-urls&gt;&lt;url&gt;https://www.ncbi.nlm.nih.gov/books/NBK441838/&lt;/url&gt;&lt;/related-urls&gt;&lt;/urls&gt;&lt;custom1&gt;2023&lt;/custom1&gt;&lt;custom2&gt;18 September&lt;/custom2&gt;&lt;/record&gt;&lt;/Cite&gt;&lt;/EndNote&gt;</w:instrText>
      </w:r>
      <w:r w:rsidR="00635FCD" w:rsidRPr="00A55335">
        <w:fldChar w:fldCharType="separate"/>
      </w:r>
      <w:r w:rsidR="00067842">
        <w:rPr>
          <w:noProof/>
        </w:rPr>
        <w:t>(</w:t>
      </w:r>
      <w:hyperlink w:anchor="_ENREF_156" w:tooltip="Magnus, 2023 #388" w:history="1">
        <w:r w:rsidR="00EC2769">
          <w:rPr>
            <w:noProof/>
          </w:rPr>
          <w:t>156</w:t>
        </w:r>
      </w:hyperlink>
      <w:r w:rsidR="00067842">
        <w:rPr>
          <w:noProof/>
        </w:rPr>
        <w:t>)</w:t>
      </w:r>
      <w:r w:rsidR="00635FCD" w:rsidRPr="00A55335">
        <w:fldChar w:fldCharType="end"/>
      </w:r>
      <w:r w:rsidRPr="00A55335">
        <w:t xml:space="preserve">. Studies have shown ADHD to have high heritability, although the genetic basis for ADHD is not completely understood and </w:t>
      </w:r>
      <w:r w:rsidR="00770019" w:rsidRPr="00A55335">
        <w:t xml:space="preserve">is </w:t>
      </w:r>
      <w:r w:rsidRPr="00A55335">
        <w:t xml:space="preserve">likely to involve a number of genes and DNA variants </w:t>
      </w:r>
      <w:r w:rsidR="00635FCD" w:rsidRPr="00A55335">
        <w:fldChar w:fldCharType="begin">
          <w:fldData xml:space="preserve">PEVuZE5vdGU+PENpdGU+PEF1dGhvcj5GYXJhb25lPC9BdXRob3I+PFllYXI+MjAxOTwvWWVhcj48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</w:fldData>
        </w:fldChar>
      </w:r>
      <w:r w:rsidR="006952AD">
        <w:instrText xml:space="preserve"> ADDIN EN.CITE </w:instrText>
      </w:r>
      <w:r w:rsidR="006952AD">
        <w:fldChar w:fldCharType="begin">
          <w:fldData xml:space="preserve">PEVuZE5vdGU+PENpdGU+PEF1dGhvcj5GYXJhb25lPC9BdXRob3I+PFllYXI+MjAxOTwvWWVhcj48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</w:fldData>
        </w:fldChar>
      </w:r>
      <w:r w:rsidR="006952AD">
        <w:instrText xml:space="preserve"> ADDIN EN.CITE.DATA </w:instrText>
      </w:r>
      <w:r w:rsidR="006952AD">
        <w:fldChar w:fldCharType="end"/>
      </w:r>
      <w:r w:rsidR="00635FCD" w:rsidRPr="00A55335">
        <w:fldChar w:fldCharType="separate"/>
      </w:r>
      <w:r w:rsidR="00067842">
        <w:rPr>
          <w:noProof/>
        </w:rPr>
        <w:t>(</w:t>
      </w:r>
      <w:hyperlink w:anchor="_ENREF_157" w:tooltip="Faraone, 2019 #389" w:history="1">
        <w:r w:rsidR="00EC2769">
          <w:rPr>
            <w:noProof/>
          </w:rPr>
          <w:t>157</w:t>
        </w:r>
      </w:hyperlink>
      <w:r w:rsidR="00067842">
        <w:rPr>
          <w:noProof/>
        </w:rPr>
        <w:t>)</w:t>
      </w:r>
      <w:r w:rsidR="00635FCD" w:rsidRPr="00A55335">
        <w:fldChar w:fldCharType="end"/>
      </w:r>
      <w:r w:rsidRPr="00A55335">
        <w:t xml:space="preserve">. Environmental factors may include maternal smoking or drinking during pregnancy, premature birth or low birth weight and exposure to environmental toxins </w:t>
      </w:r>
      <w:r w:rsidR="00635FCD" w:rsidRPr="00A55335">
        <w:fldChar w:fldCharType="begin">
          <w:fldData xml:space="preserve">PEVuZE5vdGU+PENpdGU+PEF1dGhvcj5CYW5hc2NoZXdza2k8L0F1dGhvcj48WWVhcj4yMDE3PC9Z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</w:fldData>
        </w:fldChar>
      </w:r>
      <w:r w:rsidR="006952AD">
        <w:instrText xml:space="preserve"> ADDIN EN.CITE </w:instrText>
      </w:r>
      <w:r w:rsidR="006952AD">
        <w:fldChar w:fldCharType="begin">
          <w:fldData xml:space="preserve">PEVuZE5vdGU+PENpdGU+PEF1dGhvcj5CYW5hc2NoZXdza2k8L0F1dGhvcj48WWVhcj4yMDE3PC9Z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</w:fldData>
        </w:fldChar>
      </w:r>
      <w:r w:rsidR="006952AD">
        <w:instrText xml:space="preserve"> ADDIN EN.CITE.DATA </w:instrText>
      </w:r>
      <w:r w:rsidR="006952AD">
        <w:fldChar w:fldCharType="end"/>
      </w:r>
      <w:r w:rsidR="00635FCD" w:rsidRPr="00A55335">
        <w:fldChar w:fldCharType="separate"/>
      </w:r>
      <w:r w:rsidR="00067842">
        <w:rPr>
          <w:noProof/>
        </w:rPr>
        <w:t>(</w:t>
      </w:r>
      <w:hyperlink w:anchor="_ENREF_158" w:tooltip="Banaschewski, 2017 #390" w:history="1">
        <w:r w:rsidR="00EC2769">
          <w:rPr>
            <w:noProof/>
          </w:rPr>
          <w:t>158</w:t>
        </w:r>
      </w:hyperlink>
      <w:r w:rsidR="00067842">
        <w:rPr>
          <w:noProof/>
        </w:rPr>
        <w:t>)</w:t>
      </w:r>
      <w:r w:rsidR="00635FCD" w:rsidRPr="00A55335">
        <w:fldChar w:fldCharType="end"/>
      </w:r>
      <w:r w:rsidRPr="00A55335">
        <w:t>.</w:t>
      </w:r>
    </w:p>
    <w:p w14:paraId="661A2A9D" w14:textId="3C317247" w:rsidR="00DD505D" w:rsidRPr="00A55335" w:rsidRDefault="00DD505D" w:rsidP="00DD505D">
      <w:pPr>
        <w:pStyle w:val="BodyText"/>
      </w:pPr>
      <w:r w:rsidRPr="00A55335">
        <w:t xml:space="preserve">As there is no cure for ADHD, treatment involves the management of symptoms. </w:t>
      </w:r>
      <w:r w:rsidR="00FA0D96" w:rsidRPr="00A55335">
        <w:t>M</w:t>
      </w:r>
      <w:r w:rsidRPr="00A55335">
        <w:t>ultimodal treatment is often the best approach</w:t>
      </w:r>
      <w:r w:rsidR="004D7BB0" w:rsidRPr="00A55335">
        <w:t xml:space="preserve">, and </w:t>
      </w:r>
      <w:r w:rsidRPr="00A55335">
        <w:t xml:space="preserve">includes a combination of pharmacological medication, behavioural or psychotherapy, training and support, and educational strategies </w:t>
      </w:r>
      <w:r w:rsidR="00635FCD" w:rsidRPr="00A55335">
        <w:fldChar w:fldCharType="begin"/>
      </w:r>
      <w:r w:rsidR="006952AD">
        <w:instrText xml:space="preserve"> ADDIN EN.CITE &lt;EndNote&gt;&lt;Cite ExcludeAuth="1"&gt;&lt;Year&gt;2018&lt;/Year&gt;&lt;RecNum&gt;391&lt;/RecNum&gt;&lt;DisplayText&gt;(159)&lt;/DisplayText&gt;&lt;record&gt;&lt;rec-number&gt;391&lt;/rec-number&gt;&lt;foreign-keys&gt;&lt;key app="EN" db-id="t5prptatr9sp0we5exbxt9zz20fwp55tdza9" timestamp="1700774033"&gt;391&lt;/key&gt;&lt;/foreign-keys&gt;&lt;ref-type name="Web Page"&gt;12&lt;/ref-type&gt;&lt;contributors&gt;&lt;/contributors&gt;&lt;titles&gt;&lt;title&gt;ADHD patients and consumers&lt;/title&gt;&lt;/titles&gt;&lt;volume&gt;2023&lt;/volume&gt;&lt;number&gt;18 September&lt;/number&gt;&lt;dates&gt;&lt;year&gt;2018&lt;/year&gt;&lt;/dates&gt;&lt;publisher&gt;NSW Government Department of Health&lt;/publisher&gt;&lt;urls&gt;&lt;related-urls&gt;&lt;url&gt;https://www.health.nsw.gov.au/pharmaceutical/patients/Pages/faq-adhd-consumers.aspx&lt;/url&gt;&lt;/related-urls&gt;&lt;/urls&gt;&lt;custom1&gt;2023&lt;/custom1&gt;&lt;custom2&gt;18 September&lt;/custom2&gt;&lt;/record&gt;&lt;/Cite&gt;&lt;/EndNote&gt;</w:instrText>
      </w:r>
      <w:r w:rsidR="00635FCD" w:rsidRPr="00A55335">
        <w:fldChar w:fldCharType="separate"/>
      </w:r>
      <w:r w:rsidR="00067842">
        <w:rPr>
          <w:noProof/>
        </w:rPr>
        <w:t>(</w:t>
      </w:r>
      <w:hyperlink w:anchor="_ENREF_159" w:tooltip=", 2018 #391" w:history="1">
        <w:r w:rsidR="00EC2769">
          <w:rPr>
            <w:noProof/>
          </w:rPr>
          <w:t>159</w:t>
        </w:r>
      </w:hyperlink>
      <w:r w:rsidR="00067842">
        <w:rPr>
          <w:noProof/>
        </w:rPr>
        <w:t>)</w:t>
      </w:r>
      <w:r w:rsidR="00635FCD" w:rsidRPr="00A55335">
        <w:fldChar w:fldCharType="end"/>
      </w:r>
      <w:r w:rsidRPr="00A55335">
        <w:t xml:space="preserve">. Psychostimulants are the most common medications used to treat ADHD, although non-stimulant medications can be used where stimulants may not be appropriate for the patient </w:t>
      </w:r>
      <w:r w:rsidR="00635FCD" w:rsidRPr="00A55335">
        <w:fldChar w:fldCharType="begin"/>
      </w:r>
      <w:r w:rsidR="006952AD">
        <w:instrText xml:space="preserve"> ADDIN EN.CITE &lt;EndNote&gt;&lt;Cite ExcludeAuth="1"&gt;&lt;Year&gt;2018&lt;/Year&gt;&lt;RecNum&gt;391&lt;/RecNum&gt;&lt;DisplayText&gt;(159)&lt;/DisplayText&gt;&lt;record&gt;&lt;rec-number&gt;391&lt;/rec-number&gt;&lt;foreign-keys&gt;&lt;key app="EN" db-id="t5prptatr9sp0we5exbxt9zz20fwp55tdza9" timestamp="1700774033"&gt;391&lt;/key&gt;&lt;/foreign-keys&gt;&lt;ref-type name="Web Page"&gt;12&lt;/ref-type&gt;&lt;contributors&gt;&lt;/contributors&gt;&lt;titles&gt;&lt;title&gt;ADHD patients and consumers&lt;/title&gt;&lt;/titles&gt;&lt;volume&gt;2023&lt;/volume&gt;&lt;number&gt;18 September&lt;/number&gt;&lt;dates&gt;&lt;year&gt;2018&lt;/year&gt;&lt;/dates&gt;&lt;publisher&gt;NSW Government Department of Health&lt;/publisher&gt;&lt;urls&gt;&lt;related-urls&gt;&lt;url&gt;https://www.health.nsw.gov.au/pharmaceutical/patients/Pages/faq-adhd-consumers.aspx&lt;/url&gt;&lt;/related-urls&gt;&lt;/urls&gt;&lt;custom1&gt;2023&lt;/custom1&gt;&lt;custom2&gt;18 September&lt;/custom2&gt;&lt;/record&gt;&lt;/Cite&gt;&lt;/EndNote&gt;</w:instrText>
      </w:r>
      <w:r w:rsidR="00635FCD" w:rsidRPr="00A55335">
        <w:fldChar w:fldCharType="separate"/>
      </w:r>
      <w:r w:rsidR="00067842">
        <w:rPr>
          <w:noProof/>
        </w:rPr>
        <w:t>(</w:t>
      </w:r>
      <w:hyperlink w:anchor="_ENREF_159" w:tooltip=", 2018 #391" w:history="1">
        <w:r w:rsidR="00EC2769">
          <w:rPr>
            <w:noProof/>
          </w:rPr>
          <w:t>159</w:t>
        </w:r>
      </w:hyperlink>
      <w:r w:rsidR="00067842">
        <w:rPr>
          <w:noProof/>
        </w:rPr>
        <w:t>)</w:t>
      </w:r>
      <w:r w:rsidR="00635FCD" w:rsidRPr="00A55335">
        <w:fldChar w:fldCharType="end"/>
      </w:r>
      <w:r w:rsidRPr="00A55335">
        <w:t>. As pharmacological interventions may not be appropriate for all patients, homeopathy has been viewed by some as a safe alternative.</w:t>
      </w:r>
    </w:p>
    <w:p w14:paraId="14E1ABB8" w14:textId="77777777" w:rsidR="00DD505D" w:rsidRPr="00A55335" w:rsidRDefault="00DD505D" w:rsidP="004D433B">
      <w:pPr>
        <w:pStyle w:val="Heading3"/>
      </w:pPr>
      <w:bookmarkStart w:id="215" w:name="_Toc183441341"/>
      <w:r w:rsidRPr="00A55335">
        <w:t>Description of studies</w:t>
      </w:r>
      <w:bookmarkEnd w:id="215"/>
      <w:r w:rsidRPr="00A55335">
        <w:t xml:space="preserve"> </w:t>
      </w:r>
    </w:p>
    <w:p w14:paraId="30856DCA" w14:textId="538B187E" w:rsidR="00DD505D" w:rsidRPr="00A55335" w:rsidRDefault="001221A6" w:rsidP="00DD505D">
      <w:pPr>
        <w:pStyle w:val="BodyText"/>
      </w:pPr>
      <w:r w:rsidRPr="00A55335">
        <w:t>There were 15</w:t>
      </w:r>
      <w:r w:rsidR="00DD505D" w:rsidRPr="00A55335">
        <w:t xml:space="preserve"> citations </w:t>
      </w:r>
      <w:r w:rsidR="00A64F90" w:rsidRPr="00A55335">
        <w:fldChar w:fldCharType="begin">
          <w:fldData xml:space="preserve">dCAoQ1RJTVApOyB0aGVyZWZvcmUsIE1lZGljaW5lcyBSZWd1bGF0b3J5IEhlYWx0aCBBdXRob3Jp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</w:fldData>
        </w:fldChar>
      </w:r>
      <w:r w:rsidR="006952AD">
        <w:instrText xml:space="preserve"> ADDIN EN.CITE </w:instrText>
      </w:r>
      <w:r w:rsidR="006952AD">
        <w:fldChar w:fldCharType="begin">
          <w:fldData xml:space="preserve">PEVuZE5vdGU+PENpdGU+PEF1dGhvcj5DdHJpPC9BdXRob3I+PFllYXI+MjAxMTwvWWVhcj48UmVj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==
</w:fldData>
        </w:fldChar>
      </w:r>
      <w:r w:rsidR="006952AD">
        <w:instrText xml:space="preserve"> ADDIN EN.CITE.DATA </w:instrText>
      </w:r>
      <w:r w:rsidR="006952AD">
        <w:fldChar w:fldCharType="end"/>
      </w:r>
      <w:r w:rsidR="006952AD">
        <w:fldChar w:fldCharType="begin">
          <w:fldData xml:space="preserve">dCAoQ1RJTVApOyB0aGVyZWZvcmUsIE1lZGljaW5lcyBSZWd1bGF0b3J5IEhlYWx0aCBBdXRob3Jp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</w:fldData>
        </w:fldChar>
      </w:r>
      <w:r w:rsidR="006952AD">
        <w:instrText xml:space="preserve"> ADDIN EN.CITE.DATA </w:instrText>
      </w:r>
      <w:r w:rsidR="006952AD">
        <w:fldChar w:fldCharType="end"/>
      </w:r>
      <w:r w:rsidR="00A64F90" w:rsidRPr="00A55335">
        <w:fldChar w:fldCharType="separate"/>
      </w:r>
      <w:r w:rsidR="00067842">
        <w:rPr>
          <w:noProof/>
        </w:rPr>
        <w:t>(</w:t>
      </w:r>
      <w:hyperlink w:anchor="_ENREF_160" w:tooltip="Ctri, 2011 #392" w:history="1">
        <w:r w:rsidR="00EC2769">
          <w:rPr>
            <w:noProof/>
          </w:rPr>
          <w:t>160-174</w:t>
        </w:r>
      </w:hyperlink>
      <w:r w:rsidR="00067842">
        <w:rPr>
          <w:noProof/>
        </w:rPr>
        <w:t>)</w:t>
      </w:r>
      <w:r w:rsidR="00A64F90" w:rsidRPr="00A55335">
        <w:fldChar w:fldCharType="end"/>
      </w:r>
      <w:r w:rsidR="00DD505D" w:rsidRPr="00A55335">
        <w:t xml:space="preserve"> corresponding to 4 RCTs (Fibert 2015, Frei 2005, Jacobs 2005</w:t>
      </w:r>
      <w:r w:rsidR="004D7BB0" w:rsidRPr="00A55335">
        <w:t>,</w:t>
      </w:r>
      <w:r w:rsidR="00DD505D" w:rsidRPr="00A55335">
        <w:t xml:space="preserve"> Oberai 2013) and </w:t>
      </w:r>
      <w:r w:rsidR="000D2978" w:rsidRPr="00A55335">
        <w:t>2</w:t>
      </w:r>
      <w:r w:rsidR="00DD505D" w:rsidRPr="00A55335">
        <w:t xml:space="preserve"> quasi RCTs (Lamont 1997</w:t>
      </w:r>
      <w:r w:rsidR="004D7BB0" w:rsidRPr="00A55335">
        <w:t xml:space="preserve">, </w:t>
      </w:r>
      <w:r w:rsidR="00DD505D" w:rsidRPr="00A55335">
        <w:t>Strauss 2000) identified in the literature</w:t>
      </w:r>
      <w:r w:rsidR="000D2978" w:rsidRPr="00A55335">
        <w:t xml:space="preserve"> search</w:t>
      </w:r>
      <w:r w:rsidR="00DD505D" w:rsidRPr="00A55335">
        <w:t xml:space="preserve">. </w:t>
      </w:r>
      <w:r w:rsidR="004D7BB0" w:rsidRPr="00A55335">
        <w:t xml:space="preserve">One additional </w:t>
      </w:r>
      <w:r w:rsidR="00375B00" w:rsidRPr="00A55335">
        <w:t>quasi RCT</w:t>
      </w:r>
      <w:r w:rsidR="004D7BB0" w:rsidRPr="00A55335">
        <w:t xml:space="preserve"> </w:t>
      </w:r>
      <w:r w:rsidR="000D2978" w:rsidRPr="00A55335">
        <w:t>(Dhawale 2014)</w:t>
      </w:r>
      <w:r w:rsidR="00C80218" w:rsidRPr="00A55335">
        <w:t xml:space="preserve"> </w:t>
      </w:r>
      <w:r w:rsidR="00C80218" w:rsidRPr="00A55335">
        <w:fldChar w:fldCharType="begin"/>
      </w:r>
      <w:r w:rsidR="006952AD">
        <w:instrText xml:space="preserve"> ADDIN EN.CITE &lt;EndNote&gt;&lt;Cite&gt;&lt;Author&gt;Dhawale&lt;/Author&gt;&lt;Year&gt;2014&lt;/Year&gt;&lt;RecNum&gt;632&lt;/RecNum&gt;&lt;DisplayText&gt;(175)&lt;/DisplayText&gt;&lt;record&gt;&lt;rec-number&gt;632&lt;/rec-number&gt;&lt;foreign-keys&gt;&lt;key app="EN" db-id="t5prptatr9sp0we5exbxt9zz20fwp55tdza9" timestamp="1701035022"&gt;632&lt;/key&gt;&lt;/foreign-keys&gt;&lt;ref-type name="Journal Article"&gt;17&lt;/ref-type&gt;&lt;contributors&gt;&lt;authors&gt;&lt;author&gt;Dhawale, Kumar&lt;/author&gt;&lt;author&gt;Katawala, MariyamY&lt;/author&gt;&lt;author&gt;Tambitkar, NamitaN&lt;/author&gt;&lt;author&gt;Tamboli, MadhaviP&lt;/author&gt;&lt;author&gt;Tamboli, Prashant&lt;/author&gt;&lt;/authors&gt;&lt;/contributors&gt;&lt;titles&gt;&lt;title&gt;Use of homoeopathic remedies in the management of learning disabilities&lt;/title&gt;&lt;secondary-title&gt;Indian Journal of Research in Homoeopathy&lt;/secondary-title&gt;&lt;/titles&gt;&lt;periodical&gt;&lt;full-title&gt;Indian journal of research in homoeopathy&lt;/full-title&gt;&lt;/periodical&gt;&lt;pages&gt;87&lt;/pages&gt;&lt;volume&gt;8&lt;/volume&gt;&lt;dates&gt;&lt;year&gt;2014&lt;/year&gt;&lt;pub-dates&gt;&lt;date&gt;01/01&lt;/date&gt;&lt;/pub-dates&gt;&lt;/dates&gt;&lt;urls&gt;&lt;/urls&gt;&lt;electronic-resource-num&gt;10.4103/0974-7168.135641&lt;/electronic-resource-num&gt;&lt;/record&gt;&lt;/Cite&gt;&lt;/EndNote&gt;</w:instrText>
      </w:r>
      <w:r w:rsidR="00C80218" w:rsidRPr="00A55335">
        <w:fldChar w:fldCharType="separate"/>
      </w:r>
      <w:r w:rsidR="00067842">
        <w:rPr>
          <w:noProof/>
        </w:rPr>
        <w:t>(</w:t>
      </w:r>
      <w:hyperlink w:anchor="_ENREF_175" w:tooltip="Dhawale, 2014 #632" w:history="1">
        <w:r w:rsidR="00EC2769">
          <w:rPr>
            <w:noProof/>
          </w:rPr>
          <w:t>175</w:t>
        </w:r>
      </w:hyperlink>
      <w:r w:rsidR="00067842">
        <w:rPr>
          <w:noProof/>
        </w:rPr>
        <w:t>)</w:t>
      </w:r>
      <w:r w:rsidR="00C80218" w:rsidRPr="00A55335">
        <w:fldChar w:fldCharType="end"/>
      </w:r>
      <w:r w:rsidR="000D2978" w:rsidRPr="00A55335">
        <w:t xml:space="preserve"> </w:t>
      </w:r>
      <w:r w:rsidR="004D7BB0" w:rsidRPr="00A55335">
        <w:t xml:space="preserve">was identified in the Department’s public call for evidence. </w:t>
      </w:r>
      <w:r w:rsidR="00DD505D" w:rsidRPr="00A55335">
        <w:t xml:space="preserve">There were 3 </w:t>
      </w:r>
      <w:hyperlink w:anchor="_Ongoing_studies" w:history="1">
        <w:r w:rsidR="00DD505D" w:rsidRPr="00A55335">
          <w:rPr>
            <w:rStyle w:val="Hyperlink"/>
          </w:rPr>
          <w:t>ongoing studies</w:t>
        </w:r>
      </w:hyperlink>
      <w:r w:rsidR="00DD505D" w:rsidRPr="00A55335">
        <w:t xml:space="preserve">, and </w:t>
      </w:r>
      <w:r w:rsidR="008020C3" w:rsidRPr="00A55335">
        <w:t xml:space="preserve">one </w:t>
      </w:r>
      <w:hyperlink w:anchor="_Studies_awaiting_classification" w:history="1">
        <w:r w:rsidR="008020C3" w:rsidRPr="00A55335">
          <w:rPr>
            <w:rStyle w:val="Hyperlink"/>
          </w:rPr>
          <w:t>study awaiting classification</w:t>
        </w:r>
      </w:hyperlink>
      <w:r w:rsidR="00DD505D" w:rsidRPr="00A55335">
        <w:t>. An overview of the PICO criteria of included studies is provided in Appendix D2.3.1.</w:t>
      </w:r>
    </w:p>
    <w:p w14:paraId="09D19DDA" w14:textId="7FEFE0E9" w:rsidR="00DD505D" w:rsidRPr="00A55335" w:rsidRDefault="00440BCE" w:rsidP="00DD505D">
      <w:pPr>
        <w:pStyle w:val="BodyText"/>
      </w:pPr>
      <w:r w:rsidRPr="00A55335">
        <w:t>T</w:t>
      </w:r>
      <w:r w:rsidR="006E6CC0" w:rsidRPr="00A55335">
        <w:t>wo</w:t>
      </w:r>
      <w:r w:rsidRPr="00A55335">
        <w:t xml:space="preserve"> </w:t>
      </w:r>
      <w:r w:rsidR="00DD505D" w:rsidRPr="00A55335">
        <w:t xml:space="preserve">studies were </w:t>
      </w:r>
      <w:r w:rsidRPr="00A55335">
        <w:t xml:space="preserve">conducted in </w:t>
      </w:r>
      <w:r w:rsidR="00DD505D" w:rsidRPr="00A55335">
        <w:t xml:space="preserve">outpatient clinics in </w:t>
      </w:r>
      <w:r w:rsidRPr="00A55335">
        <w:t>either S</w:t>
      </w:r>
      <w:r w:rsidR="00DD505D" w:rsidRPr="00A55335">
        <w:t xml:space="preserve">witzerland </w:t>
      </w:r>
      <w:r w:rsidR="00F51729" w:rsidRPr="00A55335">
        <w:t>(Frei 2005)</w:t>
      </w:r>
      <w:r w:rsidRPr="00A55335">
        <w:t xml:space="preserve"> or </w:t>
      </w:r>
      <w:r w:rsidR="00DD505D" w:rsidRPr="00A55335">
        <w:t>the United Kingdom</w:t>
      </w:r>
      <w:r w:rsidR="00F51729" w:rsidRPr="00A55335">
        <w:t xml:space="preserve"> (Fibert 2015)</w:t>
      </w:r>
      <w:r w:rsidR="00DD505D" w:rsidRPr="00A55335">
        <w:t>. T</w:t>
      </w:r>
      <w:r w:rsidR="006E6CC0" w:rsidRPr="00A55335">
        <w:t>hree</w:t>
      </w:r>
      <w:r w:rsidR="00DD505D" w:rsidRPr="00A55335">
        <w:t xml:space="preserve"> studies were conducted in community settings in the United States</w:t>
      </w:r>
      <w:r w:rsidR="006E6CC0" w:rsidRPr="00A55335">
        <w:t xml:space="preserve"> (Jacobs 2005, Lamont 1997) or</w:t>
      </w:r>
      <w:r w:rsidR="00DD505D" w:rsidRPr="00A55335">
        <w:t xml:space="preserve"> </w:t>
      </w:r>
      <w:r w:rsidR="006E6CC0" w:rsidRPr="00A55335">
        <w:t xml:space="preserve">South Africa (Strauss 2000). </w:t>
      </w:r>
      <w:r w:rsidRPr="00A55335">
        <w:t xml:space="preserve">Two studies were conducted in India, with </w:t>
      </w:r>
      <w:r w:rsidR="006E6CC0" w:rsidRPr="00A55335">
        <w:t>one study (</w:t>
      </w:r>
      <w:r w:rsidRPr="00A55335">
        <w:t>Oberai 2013</w:t>
      </w:r>
      <w:r w:rsidR="006E6CC0" w:rsidRPr="00A55335">
        <w:t xml:space="preserve">) </w:t>
      </w:r>
      <w:r w:rsidR="0070333A" w:rsidRPr="00A55335">
        <w:t xml:space="preserve">conducted </w:t>
      </w:r>
      <w:r w:rsidRPr="00A55335">
        <w:t>in a homeopathic research institute</w:t>
      </w:r>
      <w:r w:rsidR="00E465F8" w:rsidRPr="00A55335">
        <w:t xml:space="preserve"> and</w:t>
      </w:r>
      <w:r w:rsidRPr="00A55335">
        <w:t xml:space="preserve"> </w:t>
      </w:r>
      <w:r w:rsidR="00E465F8" w:rsidRPr="00A55335">
        <w:t>one study (Dhawale 2014) enrolling participants across multiple schools in Mumbai.</w:t>
      </w:r>
    </w:p>
    <w:p w14:paraId="49A161E7" w14:textId="7BA10E87" w:rsidR="00DD505D" w:rsidRPr="00A55335" w:rsidRDefault="00DD505D" w:rsidP="00DD505D">
      <w:pPr>
        <w:pStyle w:val="BodyText"/>
      </w:pPr>
      <w:r w:rsidRPr="00A55335">
        <w:lastRenderedPageBreak/>
        <w:t>Six studies (Fibert 2015, Frei 2005, Jacobs 2005, Lamont 1997, Oberai 2013</w:t>
      </w:r>
      <w:r w:rsidR="00CE28AE" w:rsidRPr="00A55335">
        <w:t>,</w:t>
      </w:r>
      <w:r w:rsidRPr="00A55335">
        <w:t xml:space="preserve"> Strauss 2000) </w:t>
      </w:r>
      <w:r w:rsidR="00CE28AE" w:rsidRPr="00A55335">
        <w:t>enrolled</w:t>
      </w:r>
      <w:r w:rsidRPr="00A55335">
        <w:t xml:space="preserve"> children with ADHD, with sample sizes ranging from 20 to 125 (total 354</w:t>
      </w:r>
      <w:r w:rsidR="005D588F" w:rsidRPr="00A55335">
        <w:t xml:space="preserve"> participants</w:t>
      </w:r>
      <w:r w:rsidRPr="00A55335">
        <w:t xml:space="preserve">). </w:t>
      </w:r>
      <w:r w:rsidR="007574C8" w:rsidRPr="00A55335">
        <w:t xml:space="preserve">Participants in </w:t>
      </w:r>
      <w:r w:rsidR="00E054BF" w:rsidRPr="00A55335">
        <w:t xml:space="preserve">these studies were predominantly male (&gt;70%). </w:t>
      </w:r>
      <w:r w:rsidRPr="00A55335">
        <w:t xml:space="preserve">One study (Dhawale 2014) </w:t>
      </w:r>
      <w:r w:rsidR="00850840" w:rsidRPr="00A55335">
        <w:t>enrolled</w:t>
      </w:r>
      <w:r w:rsidRPr="00A55335">
        <w:t xml:space="preserve"> children with dyslexia and dysgraphia (</w:t>
      </w:r>
      <w:r w:rsidR="005D588F" w:rsidRPr="00A55335">
        <w:t>total</w:t>
      </w:r>
      <w:r w:rsidRPr="00A55335">
        <w:t xml:space="preserve"> 67</w:t>
      </w:r>
      <w:r w:rsidR="005D588F" w:rsidRPr="00A55335">
        <w:t xml:space="preserve"> participants</w:t>
      </w:r>
      <w:r w:rsidRPr="00A55335">
        <w:t xml:space="preserve">). </w:t>
      </w:r>
    </w:p>
    <w:p w14:paraId="16BA3BC8" w14:textId="52AFE63C" w:rsidR="00ED6C59" w:rsidRPr="00A55335" w:rsidRDefault="00DD505D" w:rsidP="00D00456">
      <w:pPr>
        <w:pStyle w:val="BodyText"/>
      </w:pPr>
      <w:r w:rsidRPr="00A55335">
        <w:t>Five studies (Dhawale 2014, Frei 2005, Jacobs 2005, Lamont 1997</w:t>
      </w:r>
      <w:r w:rsidR="00845754" w:rsidRPr="00A55335">
        <w:t>,</w:t>
      </w:r>
      <w:r w:rsidRPr="00A55335">
        <w:t xml:space="preserve"> Oberai 2013) compared individualised homeopathy with a placebo. The participants in these studies received consultations with a homeopath and were prescribed individualised homeopathic treatments based on </w:t>
      </w:r>
      <w:r w:rsidR="00E854BF" w:rsidRPr="00A55335">
        <w:t xml:space="preserve">presenting </w:t>
      </w:r>
      <w:r w:rsidRPr="00A55335">
        <w:t xml:space="preserve">symptoms. </w:t>
      </w:r>
      <w:r w:rsidR="00ED6C59" w:rsidRPr="00A55335">
        <w:t xml:space="preserve">One study (Fibert 2015) compared individualised homeopathy with </w:t>
      </w:r>
      <w:r w:rsidR="00D15752" w:rsidRPr="00A55335">
        <w:t xml:space="preserve">both an inactive control (no intervention) and </w:t>
      </w:r>
      <w:r w:rsidR="00ED6C59" w:rsidRPr="00A55335">
        <w:t xml:space="preserve">an active control group consisting of consultations with a nutritional therapist. The participants in the homeopathy and the nutritional therapy groups received up to 8 consultations with their respective clinicians. </w:t>
      </w:r>
    </w:p>
    <w:p w14:paraId="489A0153" w14:textId="012811FD" w:rsidR="006E0DA6" w:rsidRPr="00A55335" w:rsidRDefault="00EA7FA8" w:rsidP="00D00456">
      <w:pPr>
        <w:pStyle w:val="BodyText"/>
      </w:pPr>
      <w:r w:rsidRPr="00A55335">
        <w:t>One study (</w:t>
      </w:r>
      <w:r w:rsidR="00BF4623" w:rsidRPr="00A55335">
        <w:t>Strauss 2000</w:t>
      </w:r>
      <w:r w:rsidRPr="00A55335">
        <w:t>)</w:t>
      </w:r>
      <w:r w:rsidR="00BF4623" w:rsidRPr="00A55335">
        <w:t xml:space="preserve"> </w:t>
      </w:r>
      <w:r w:rsidR="00D00456" w:rsidRPr="00A55335">
        <w:t xml:space="preserve">compared non-individualised homeopathy with an </w:t>
      </w:r>
      <w:r w:rsidR="009C5225" w:rsidRPr="00A55335">
        <w:t xml:space="preserve">unspecified </w:t>
      </w:r>
      <w:r w:rsidR="00D00456" w:rsidRPr="00A55335">
        <w:t>control (no</w:t>
      </w:r>
      <w:r w:rsidR="009C5225" w:rsidRPr="00A55335">
        <w:t>t clear if placebo or no</w:t>
      </w:r>
      <w:r w:rsidR="00D00456" w:rsidRPr="00A55335">
        <w:t xml:space="preserve"> intervention). </w:t>
      </w:r>
      <w:r w:rsidR="00BF4623" w:rsidRPr="00A55335">
        <w:t>The study</w:t>
      </w:r>
      <w:r w:rsidR="00DD505D" w:rsidRPr="00A55335">
        <w:t xml:space="preserve"> had 4 treatment </w:t>
      </w:r>
      <w:r w:rsidR="00D00456" w:rsidRPr="00A55335">
        <w:t>groups</w:t>
      </w:r>
      <w:r w:rsidR="00DD505D" w:rsidRPr="00A55335">
        <w:t xml:space="preserve">, with the homeopathy and control groups being stratified into participants taking </w:t>
      </w:r>
      <w:r w:rsidR="00F25C55" w:rsidRPr="00A55335">
        <w:t xml:space="preserve">pharmacotherapy (methylphenidate) </w:t>
      </w:r>
      <w:r w:rsidR="00DD505D" w:rsidRPr="00A55335">
        <w:t>and those who were not. The homeopathic treatment consisted of Selenium-</w:t>
      </w:r>
      <w:proofErr w:type="spellStart"/>
      <w:r w:rsidR="00DD505D" w:rsidRPr="00A55335">
        <w:t>Homaccord</w:t>
      </w:r>
      <w:proofErr w:type="spellEnd"/>
      <w:r w:rsidR="00DD505D" w:rsidRPr="00A55335">
        <w:t xml:space="preserve"> (selenium and potassium phosphate), which was administered orally over 60 days.</w:t>
      </w:r>
      <w:r w:rsidR="00850840" w:rsidRPr="00A55335">
        <w:t xml:space="preserve"> </w:t>
      </w:r>
    </w:p>
    <w:p w14:paraId="1AEF5EB6" w14:textId="5D41155C" w:rsidR="00DD505D" w:rsidRPr="00A55335" w:rsidRDefault="00DD505D" w:rsidP="00DD505D">
      <w:pPr>
        <w:pStyle w:val="BodyText"/>
      </w:pPr>
      <w:r w:rsidRPr="00A55335">
        <w:t xml:space="preserve">Results for </w:t>
      </w:r>
      <w:r w:rsidR="002A3EF8" w:rsidRPr="00A55335">
        <w:t xml:space="preserve">the </w:t>
      </w:r>
      <w:r w:rsidR="006070ED" w:rsidRPr="00A55335">
        <w:t>Primary Comparison</w:t>
      </w:r>
      <w:r w:rsidR="00F73318" w:rsidRPr="00A55335">
        <w:t xml:space="preserve">: Homeopathy </w:t>
      </w:r>
      <w:r w:rsidR="001B33CB" w:rsidRPr="00A55335">
        <w:t xml:space="preserve">versus placebo and </w:t>
      </w:r>
      <w:r w:rsidR="006070ED" w:rsidRPr="00A55335">
        <w:t>Secondary Comparison</w:t>
      </w:r>
      <w:r w:rsidR="00F73318" w:rsidRPr="00A55335">
        <w:t xml:space="preserve">: Homeopathy </w:t>
      </w:r>
      <w:r w:rsidR="002014D7" w:rsidRPr="00A55335">
        <w:t xml:space="preserve">versus </w:t>
      </w:r>
      <w:r w:rsidRPr="00A55335">
        <w:t xml:space="preserve">inactive control (no intervention, waitlist or usual care) are provided in the Summary of Findings table (see </w:t>
      </w:r>
      <w:r w:rsidR="002014D7" w:rsidRPr="00A55335">
        <w:t xml:space="preserve">Section </w:t>
      </w:r>
      <w:r w:rsidR="002014D7" w:rsidRPr="00A55335">
        <w:fldChar w:fldCharType="begin"/>
      </w:r>
      <w:r w:rsidR="002014D7" w:rsidRPr="00A55335">
        <w:instrText xml:space="preserve"> REF _Ref151969980 \r \h </w:instrText>
      </w:r>
      <w:r w:rsidR="002014D7" w:rsidRPr="00A55335">
        <w:fldChar w:fldCharType="separate"/>
      </w:r>
      <w:r w:rsidR="00814B04">
        <w:t>4.8.4</w:t>
      </w:r>
      <w:r w:rsidR="002014D7" w:rsidRPr="00A55335">
        <w:fldChar w:fldCharType="end"/>
      </w:r>
      <w:r w:rsidR="001C0D9B" w:rsidRPr="00A55335">
        <w:t>).</w:t>
      </w:r>
      <w:r w:rsidRPr="00A55335">
        <w:t xml:space="preserve"> Results of studies that compared homeopathy with another comparator </w:t>
      </w:r>
      <w:r w:rsidR="0083418D" w:rsidRPr="00A55335">
        <w:t xml:space="preserve">(Tertiary Comparison) </w:t>
      </w:r>
      <w:r w:rsidRPr="00A55335">
        <w:t>are presented in Appendix F2.</w:t>
      </w:r>
    </w:p>
    <w:p w14:paraId="15B49E64"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6C111F71" w14:textId="77777777" w:rsidR="00DD505D" w:rsidRPr="00A55335" w:rsidRDefault="00DD505D" w:rsidP="004D433B">
      <w:pPr>
        <w:pStyle w:val="Heading3"/>
      </w:pPr>
      <w:bookmarkStart w:id="216" w:name="_Toc183441342"/>
      <w:r w:rsidRPr="00A55335">
        <w:t>Risk of bias – summary assessment across studies</w:t>
      </w:r>
      <w:bookmarkEnd w:id="216"/>
      <w:r w:rsidRPr="00A55335">
        <w:t xml:space="preserve"> </w:t>
      </w:r>
    </w:p>
    <w:p w14:paraId="02724D09" w14:textId="702DF0FE" w:rsidR="002014D7" w:rsidRPr="00A55335" w:rsidRDefault="007863ED" w:rsidP="007863ED">
      <w:pPr>
        <w:pStyle w:val="BodyText"/>
      </w:pPr>
      <w:r w:rsidRPr="00A55335">
        <w:t xml:space="preserve">The risk of bias for each item in the included RCTs for </w:t>
      </w:r>
      <w:r w:rsidR="002014D7" w:rsidRPr="00A55335">
        <w:t xml:space="preserve">neurodevelopmental disorders </w:t>
      </w:r>
      <w:r w:rsidRPr="00A55335">
        <w:t xml:space="preserve">is presented in </w:t>
      </w:r>
      <w:r w:rsidRPr="00A55335">
        <w:fldChar w:fldCharType="begin"/>
      </w:r>
      <w:r w:rsidRPr="00A55335">
        <w:instrText xml:space="preserve"> REF _Ref151893519 \h </w:instrText>
      </w:r>
      <w:r w:rsidRPr="00A55335">
        <w:fldChar w:fldCharType="separate"/>
      </w:r>
      <w:r w:rsidR="00814B04" w:rsidRPr="00A55335">
        <w:t xml:space="preserve">Figure </w:t>
      </w:r>
      <w:r w:rsidR="00814B04">
        <w:rPr>
          <w:noProof/>
        </w:rPr>
        <w:t>31</w:t>
      </w:r>
      <w:r w:rsidRPr="00A55335">
        <w:fldChar w:fldCharType="end"/>
      </w:r>
      <w:r w:rsidRPr="00A55335">
        <w:t xml:space="preserve">. Details are provided in Appendix </w:t>
      </w:r>
      <w:r w:rsidR="005C3BF1" w:rsidRPr="00A55335">
        <w:t>D2.3.2</w:t>
      </w:r>
      <w:r w:rsidRPr="00A55335">
        <w:t xml:space="preserve">. </w:t>
      </w:r>
    </w:p>
    <w:p w14:paraId="51602C79" w14:textId="7F1C799C" w:rsidR="007863ED" w:rsidRPr="00A55335" w:rsidRDefault="007863ED" w:rsidP="007863ED">
      <w:pPr>
        <w:pStyle w:val="BodyText"/>
      </w:pPr>
      <w:r w:rsidRPr="00A55335">
        <w:t xml:space="preserve">No studies were judged to be at overall low risk of bias. </w:t>
      </w:r>
    </w:p>
    <w:p w14:paraId="67F01C26" w14:textId="6D4431DD" w:rsidR="00DD505D" w:rsidRPr="00A55335" w:rsidRDefault="00DD505D" w:rsidP="00DD505D">
      <w:pPr>
        <w:pStyle w:val="Caption"/>
      </w:pPr>
      <w:bookmarkStart w:id="217" w:name="_Ref151893519"/>
      <w:bookmarkStart w:id="218" w:name="_Toc183520304"/>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31</w:t>
      </w:r>
      <w:r w:rsidRPr="00A55335">
        <w:fldChar w:fldCharType="end"/>
      </w:r>
      <w:bookmarkEnd w:id="217"/>
      <w:r w:rsidR="001C0D9B" w:rsidRPr="00A55335">
        <w:tab/>
      </w:r>
      <w:r w:rsidRPr="00A55335">
        <w:t>Risk of bias summary: review authors' judgement about each risk of b</w:t>
      </w:r>
      <w:r w:rsidR="005C537F">
        <w:t>i</w:t>
      </w:r>
      <w:r w:rsidRPr="00A55335">
        <w:t xml:space="preserve">as item for each included study: </w:t>
      </w:r>
      <w:r w:rsidR="00E92691" w:rsidRPr="00A55335">
        <w:t>N</w:t>
      </w:r>
      <w:r w:rsidR="002014D7" w:rsidRPr="00A55335">
        <w:t>eurodevelopmental disorders</w:t>
      </w:r>
      <w:bookmarkEnd w:id="218"/>
    </w:p>
    <w:p w14:paraId="588E28BE" w14:textId="61BA297C" w:rsidR="00C373A2" w:rsidRPr="00A55335" w:rsidRDefault="00C373A2" w:rsidP="00C373A2">
      <w:pPr>
        <w:pStyle w:val="Pic"/>
      </w:pPr>
      <w:r w:rsidRPr="00A55335">
        <w:rPr>
          <w:noProof/>
        </w:rPr>
        <w:drawing>
          <wp:inline distT="0" distB="0" distL="0" distR="0" wp14:anchorId="3DD6559C" wp14:editId="2CBC47F9">
            <wp:extent cx="4259580" cy="3097266"/>
            <wp:effectExtent l="0" t="0" r="7620" b="8255"/>
            <wp:docPr id="1433892348" name="Picture 1433892348" descr="A chart with red green and yellow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92348" name="Picture 1433892348" descr="A chart with red green and yellow circles&#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93064" cy="3121613"/>
                    </a:xfrm>
                    <a:prstGeom prst="rect">
                      <a:avLst/>
                    </a:prstGeom>
                    <a:noFill/>
                    <a:ln>
                      <a:noFill/>
                    </a:ln>
                  </pic:spPr>
                </pic:pic>
              </a:graphicData>
            </a:graphic>
          </wp:inline>
        </w:drawing>
      </w:r>
    </w:p>
    <w:p w14:paraId="10DA6BB3" w14:textId="77777777" w:rsidR="00C373A2" w:rsidRPr="00A55335" w:rsidRDefault="00C373A2" w:rsidP="00C373A2">
      <w:pPr>
        <w:pStyle w:val="TableFigNotes18"/>
      </w:pPr>
    </w:p>
    <w:p w14:paraId="2FC3930E" w14:textId="77777777" w:rsidR="00DD505D" w:rsidRPr="00A55335" w:rsidRDefault="00DD505D" w:rsidP="004D433B">
      <w:pPr>
        <w:pStyle w:val="Heading3"/>
      </w:pPr>
      <w:bookmarkStart w:id="219" w:name="_Ref151969980"/>
      <w:bookmarkStart w:id="220" w:name="_Toc183441343"/>
      <w:r w:rsidRPr="00A55335">
        <w:t>Summary of findings and evidence statements</w:t>
      </w:r>
      <w:bookmarkEnd w:id="219"/>
      <w:bookmarkEnd w:id="220"/>
    </w:p>
    <w:p w14:paraId="6E228982" w14:textId="19CBD153" w:rsidR="001F4320" w:rsidRPr="00A55335" w:rsidRDefault="006070ED" w:rsidP="001F4320">
      <w:pPr>
        <w:pStyle w:val="Heading4"/>
      </w:pPr>
      <w:bookmarkStart w:id="221" w:name="_Ref151449495"/>
      <w:r w:rsidRPr="00A55335">
        <w:t>Primary Comparison</w:t>
      </w:r>
      <w:r w:rsidR="001F4320" w:rsidRPr="00A55335">
        <w:t xml:space="preserve"> (vs placebo)</w:t>
      </w:r>
      <w:bookmarkEnd w:id="221"/>
      <w:r w:rsidR="001F4320" w:rsidRPr="00A55335">
        <w:t xml:space="preserve"> </w:t>
      </w:r>
    </w:p>
    <w:tbl>
      <w:tblPr>
        <w:tblW w:w="5031" w:type="pct"/>
        <w:tblInd w:w="-60" w:type="dxa"/>
        <w:tblLayout w:type="fixed"/>
        <w:tblCellMar>
          <w:top w:w="60" w:type="dxa"/>
          <w:left w:w="60" w:type="dxa"/>
          <w:bottom w:w="60" w:type="dxa"/>
          <w:right w:w="60" w:type="dxa"/>
        </w:tblCellMar>
        <w:tblLook w:val="04A0" w:firstRow="1" w:lastRow="0" w:firstColumn="1" w:lastColumn="0" w:noHBand="0" w:noVBand="1"/>
      </w:tblPr>
      <w:tblGrid>
        <w:gridCol w:w="68"/>
        <w:gridCol w:w="1702"/>
        <w:gridCol w:w="1347"/>
        <w:gridCol w:w="1347"/>
        <w:gridCol w:w="992"/>
        <w:gridCol w:w="1133"/>
        <w:gridCol w:w="1131"/>
        <w:gridCol w:w="2085"/>
      </w:tblGrid>
      <w:tr w:rsidR="00207553" w:rsidRPr="00A55335" w14:paraId="1E86198A" w14:textId="77777777" w:rsidTr="003D3AC4">
        <w:trPr>
          <w:gridBefore w:val="1"/>
          <w:wBefore w:w="34" w:type="pct"/>
          <w:cantSplit/>
          <w:tblHeader/>
        </w:trPr>
        <w:tc>
          <w:tcPr>
            <w:tcW w:w="4966" w:type="pct"/>
            <w:gridSpan w:val="7"/>
            <w:tcBorders>
              <w:top w:val="single" w:sz="12" w:space="0" w:color="auto"/>
              <w:bottom w:val="single" w:sz="12" w:space="0" w:color="auto"/>
            </w:tcBorders>
            <w:shd w:val="clear" w:color="auto" w:fill="auto"/>
            <w:vAlign w:val="bottom"/>
          </w:tcPr>
          <w:p w14:paraId="05CCD7F9" w14:textId="370042E8" w:rsidR="00207553" w:rsidRPr="00A55335" w:rsidRDefault="00207553" w:rsidP="001F4320">
            <w:pPr>
              <w:pStyle w:val="TableH1"/>
              <w:rPr>
                <w:color w:val="FFFFFF" w:themeColor="background2"/>
                <w:lang w:val="en-AU"/>
              </w:rPr>
            </w:pPr>
            <w:r w:rsidRPr="00A55335">
              <w:rPr>
                <w:lang w:val="en-AU"/>
              </w:rPr>
              <w:t xml:space="preserve">Homeopathy compared to Placebo for </w:t>
            </w:r>
            <w:r w:rsidR="002014D7" w:rsidRPr="00A55335">
              <w:rPr>
                <w:lang w:val="en-AU"/>
              </w:rPr>
              <w:t>Neurodevelopmental disorders</w:t>
            </w:r>
          </w:p>
        </w:tc>
      </w:tr>
      <w:tr w:rsidR="00207553" w:rsidRPr="00A55335" w14:paraId="04A6EC3F" w14:textId="77777777" w:rsidTr="003D3AC4">
        <w:trPr>
          <w:gridBefore w:val="1"/>
          <w:wBefore w:w="34" w:type="pct"/>
          <w:cantSplit/>
          <w:tblHeader/>
        </w:trPr>
        <w:tc>
          <w:tcPr>
            <w:tcW w:w="4966" w:type="pct"/>
            <w:gridSpan w:val="7"/>
            <w:tcBorders>
              <w:top w:val="single" w:sz="12" w:space="0" w:color="auto"/>
              <w:bottom w:val="single" w:sz="12" w:space="0" w:color="auto"/>
            </w:tcBorders>
            <w:shd w:val="clear" w:color="auto" w:fill="auto"/>
            <w:vAlign w:val="bottom"/>
          </w:tcPr>
          <w:p w14:paraId="235F4E92" w14:textId="005A177B" w:rsidR="00BB7C54" w:rsidRPr="00A55335" w:rsidRDefault="00BB7C54" w:rsidP="00C71E87">
            <w:pPr>
              <w:pStyle w:val="Tabletext9pt"/>
            </w:pPr>
            <w:r w:rsidRPr="00A55335">
              <w:rPr>
                <w:rStyle w:val="Strong"/>
              </w:rPr>
              <w:t xml:space="preserve">Patient or population: </w:t>
            </w:r>
            <w:r w:rsidRPr="00A55335">
              <w:t>Attention defi</w:t>
            </w:r>
            <w:r w:rsidR="00A30CD7" w:rsidRPr="00A55335">
              <w:t>cit hyperactivity disorder</w:t>
            </w:r>
            <w:r w:rsidR="002B520D" w:rsidRPr="00A55335">
              <w:t xml:space="preserve"> (ADHD)</w:t>
            </w:r>
          </w:p>
          <w:p w14:paraId="1A55FCBA" w14:textId="19090BF1" w:rsidR="00BB7C54" w:rsidRPr="00A55335" w:rsidRDefault="00BB7C54" w:rsidP="00C71E87">
            <w:pPr>
              <w:pStyle w:val="Tabletext9pt"/>
            </w:pPr>
            <w:r w:rsidRPr="00A55335">
              <w:rPr>
                <w:rStyle w:val="Strong"/>
              </w:rPr>
              <w:t xml:space="preserve">Setting: </w:t>
            </w:r>
            <w:r w:rsidR="00C72FDA" w:rsidRPr="00A55335">
              <w:t>Community and o</w:t>
            </w:r>
            <w:r w:rsidRPr="00A55335">
              <w:t>utpatient clinics</w:t>
            </w:r>
          </w:p>
          <w:p w14:paraId="6FCD1C32" w14:textId="77777777" w:rsidR="00BB7C54" w:rsidRPr="00A55335" w:rsidRDefault="00BB7C54" w:rsidP="00C71E87">
            <w:pPr>
              <w:pStyle w:val="Tabletext9pt"/>
            </w:pPr>
            <w:r w:rsidRPr="00A55335">
              <w:rPr>
                <w:rStyle w:val="Strong"/>
              </w:rPr>
              <w:t xml:space="preserve">Intervention: </w:t>
            </w:r>
            <w:r w:rsidRPr="00A55335">
              <w:t>Homeopathy</w:t>
            </w:r>
          </w:p>
          <w:p w14:paraId="113DA31B" w14:textId="2ABFA5F2" w:rsidR="00207553" w:rsidRPr="00A55335" w:rsidRDefault="00BB7C54" w:rsidP="00C71E87">
            <w:pPr>
              <w:pStyle w:val="Tabletext9pt"/>
              <w:rPr>
                <w:color w:val="FFFFFF" w:themeColor="background2"/>
              </w:rPr>
            </w:pPr>
            <w:r w:rsidRPr="00A55335">
              <w:rPr>
                <w:rStyle w:val="Strong"/>
              </w:rPr>
              <w:t xml:space="preserve">Comparison: </w:t>
            </w:r>
            <w:r w:rsidRPr="00A55335">
              <w:t>Placebo</w:t>
            </w:r>
          </w:p>
        </w:tc>
      </w:tr>
      <w:tr w:rsidR="00070A20" w:rsidRPr="00A55335" w14:paraId="321A105D" w14:textId="77777777" w:rsidTr="003D3AC4">
        <w:trPr>
          <w:gridBefore w:val="1"/>
          <w:wBefore w:w="34" w:type="pct"/>
          <w:cantSplit/>
          <w:tblHeader/>
        </w:trPr>
        <w:tc>
          <w:tcPr>
            <w:tcW w:w="868" w:type="pct"/>
            <w:vMerge w:val="restart"/>
            <w:tcBorders>
              <w:top w:val="single" w:sz="12" w:space="0" w:color="auto"/>
              <w:right w:val="single" w:sz="6" w:space="0" w:color="EFEFEF"/>
            </w:tcBorders>
            <w:shd w:val="clear" w:color="auto" w:fill="006579" w:themeFill="accent2"/>
            <w:vAlign w:val="bottom"/>
            <w:hideMark/>
          </w:tcPr>
          <w:p w14:paraId="7CED5A85" w14:textId="77777777" w:rsidR="00DD505D" w:rsidRPr="00A55335" w:rsidRDefault="00DD505D" w:rsidP="003C48C8">
            <w:pPr>
              <w:pStyle w:val="Tabletext8pt"/>
              <w:rPr>
                <w:b/>
                <w:bCs/>
                <w:color w:val="F9F9F9" w:themeColor="background1"/>
              </w:rPr>
            </w:pPr>
            <w:r w:rsidRPr="00A55335">
              <w:rPr>
                <w:b/>
                <w:bCs/>
                <w:color w:val="F9F9F9" w:themeColor="background1"/>
              </w:rPr>
              <w:t>Outcomes</w:t>
            </w:r>
          </w:p>
        </w:tc>
        <w:tc>
          <w:tcPr>
            <w:tcW w:w="1374" w:type="pct"/>
            <w:gridSpan w:val="2"/>
            <w:tcBorders>
              <w:top w:val="single" w:sz="12" w:space="0" w:color="auto"/>
              <w:right w:val="single" w:sz="6" w:space="0" w:color="EFEFEF"/>
            </w:tcBorders>
            <w:shd w:val="clear" w:color="auto" w:fill="DEE2E4" w:themeFill="accent6" w:themeFillTint="33"/>
            <w:vAlign w:val="bottom"/>
            <w:hideMark/>
          </w:tcPr>
          <w:p w14:paraId="38B6A9BC" w14:textId="77777777" w:rsidR="00DD505D" w:rsidRPr="00A55335" w:rsidRDefault="00DD505D" w:rsidP="006A4FE5">
            <w:pPr>
              <w:pStyle w:val="Tabletext8pt"/>
              <w:rPr>
                <w:b/>
                <w:bCs/>
                <w:color w:val="auto"/>
              </w:rPr>
            </w:pPr>
            <w:r w:rsidRPr="00A55335">
              <w:rPr>
                <w:rStyle w:val="Strong"/>
              </w:rPr>
              <w:t>Anticipated absolute effects* (95% CI)</w:t>
            </w:r>
          </w:p>
        </w:tc>
        <w:tc>
          <w:tcPr>
            <w:tcW w:w="506" w:type="pct"/>
            <w:vMerge w:val="restart"/>
            <w:tcBorders>
              <w:top w:val="single" w:sz="12" w:space="0" w:color="auto"/>
              <w:right w:val="single" w:sz="6" w:space="0" w:color="EFEFEF"/>
            </w:tcBorders>
            <w:shd w:val="clear" w:color="auto" w:fill="006579" w:themeFill="accent2"/>
            <w:vAlign w:val="bottom"/>
            <w:hideMark/>
          </w:tcPr>
          <w:p w14:paraId="529A703B" w14:textId="77777777" w:rsidR="00DD505D" w:rsidRPr="00A55335" w:rsidRDefault="00DD505D" w:rsidP="003C48C8">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78" w:type="pct"/>
            <w:vMerge w:val="restart"/>
            <w:tcBorders>
              <w:top w:val="single" w:sz="12" w:space="0" w:color="auto"/>
              <w:right w:val="single" w:sz="6" w:space="0" w:color="EFEFEF"/>
            </w:tcBorders>
            <w:shd w:val="clear" w:color="auto" w:fill="006579" w:themeFill="accent2"/>
            <w:vAlign w:val="bottom"/>
            <w:hideMark/>
          </w:tcPr>
          <w:p w14:paraId="09D06699" w14:textId="77777777" w:rsidR="00DD505D" w:rsidRPr="00A55335" w:rsidRDefault="00DD505D" w:rsidP="003C48C8">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77" w:type="pct"/>
            <w:vMerge w:val="restart"/>
            <w:tcBorders>
              <w:top w:val="single" w:sz="12" w:space="0" w:color="auto"/>
              <w:right w:val="single" w:sz="6" w:space="0" w:color="EFEFEF"/>
            </w:tcBorders>
            <w:shd w:val="clear" w:color="auto" w:fill="006579" w:themeFill="accent2"/>
            <w:vAlign w:val="bottom"/>
            <w:hideMark/>
          </w:tcPr>
          <w:p w14:paraId="1AFCA2EC" w14:textId="77777777" w:rsidR="00DD505D" w:rsidRPr="00A55335" w:rsidRDefault="00DD505D" w:rsidP="003C48C8">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64" w:type="pct"/>
            <w:vMerge w:val="restart"/>
            <w:tcBorders>
              <w:top w:val="single" w:sz="12" w:space="0" w:color="auto"/>
              <w:right w:val="single" w:sz="6" w:space="0" w:color="EFEFEF"/>
            </w:tcBorders>
            <w:shd w:val="clear" w:color="auto" w:fill="006579" w:themeFill="accent2"/>
            <w:vAlign w:val="bottom"/>
            <w:hideMark/>
          </w:tcPr>
          <w:p w14:paraId="6902F912" w14:textId="4F2CDA57" w:rsidR="00DD505D" w:rsidRPr="00A55335" w:rsidRDefault="00B5576D" w:rsidP="003C48C8">
            <w:pPr>
              <w:pStyle w:val="Tabletext8pt"/>
              <w:rPr>
                <w:b/>
                <w:bCs/>
                <w:color w:val="F9F9F9" w:themeColor="background1"/>
              </w:rPr>
            </w:pPr>
            <w:r w:rsidRPr="00A55335">
              <w:rPr>
                <w:b/>
                <w:bCs/>
                <w:color w:val="F9F9F9" w:themeColor="background1"/>
              </w:rPr>
              <w:t>Evidence statement</w:t>
            </w:r>
          </w:p>
        </w:tc>
      </w:tr>
      <w:tr w:rsidR="000F34E0" w:rsidRPr="00A55335" w14:paraId="23DEE1DE" w14:textId="77777777" w:rsidTr="003D3AC4">
        <w:trPr>
          <w:gridBefore w:val="1"/>
          <w:wBefore w:w="34" w:type="pct"/>
          <w:cantSplit/>
          <w:tblHeader/>
        </w:trPr>
        <w:tc>
          <w:tcPr>
            <w:tcW w:w="868" w:type="pct"/>
            <w:vMerge/>
            <w:tcBorders>
              <w:right w:val="single" w:sz="6" w:space="0" w:color="EFEFEF"/>
            </w:tcBorders>
            <w:shd w:val="clear" w:color="auto" w:fill="006579" w:themeFill="accent2"/>
            <w:vAlign w:val="center"/>
            <w:hideMark/>
          </w:tcPr>
          <w:p w14:paraId="2CF29E0C" w14:textId="77777777" w:rsidR="00DD505D" w:rsidRPr="00A55335" w:rsidRDefault="00DD505D" w:rsidP="006A4FE5">
            <w:pPr>
              <w:pStyle w:val="Tabletext8pt"/>
            </w:pPr>
          </w:p>
        </w:tc>
        <w:tc>
          <w:tcPr>
            <w:tcW w:w="687" w:type="pct"/>
            <w:tcBorders>
              <w:top w:val="single" w:sz="6" w:space="0" w:color="EFEFEF"/>
              <w:right w:val="single" w:sz="6" w:space="0" w:color="EFEFEF"/>
            </w:tcBorders>
            <w:shd w:val="clear" w:color="auto" w:fill="DEE2E4" w:themeFill="accent6" w:themeFillTint="33"/>
            <w:vAlign w:val="bottom"/>
            <w:hideMark/>
          </w:tcPr>
          <w:p w14:paraId="72A5F92A" w14:textId="77777777" w:rsidR="00DD505D" w:rsidRPr="00A55335" w:rsidRDefault="00DD505D" w:rsidP="00442534">
            <w:pPr>
              <w:pStyle w:val="Tabletext8pt"/>
              <w:rPr>
                <w:rStyle w:val="Strong"/>
              </w:rPr>
            </w:pPr>
            <w:r w:rsidRPr="00A55335">
              <w:rPr>
                <w:rStyle w:val="Strong"/>
              </w:rPr>
              <w:t>Risk with Placebo</w:t>
            </w:r>
          </w:p>
        </w:tc>
        <w:tc>
          <w:tcPr>
            <w:tcW w:w="687" w:type="pct"/>
            <w:tcBorders>
              <w:top w:val="single" w:sz="6" w:space="0" w:color="EFEFEF"/>
              <w:right w:val="single" w:sz="6" w:space="0" w:color="EFEFEF"/>
            </w:tcBorders>
            <w:shd w:val="clear" w:color="auto" w:fill="DEE2E4" w:themeFill="accent6" w:themeFillTint="33"/>
            <w:vAlign w:val="bottom"/>
            <w:hideMark/>
          </w:tcPr>
          <w:p w14:paraId="6454B30C" w14:textId="77777777" w:rsidR="00DD505D" w:rsidRPr="00A55335" w:rsidRDefault="00DD505D" w:rsidP="00442534">
            <w:pPr>
              <w:pStyle w:val="Tabletext8pt"/>
              <w:rPr>
                <w:rStyle w:val="Strong"/>
              </w:rPr>
            </w:pPr>
            <w:r w:rsidRPr="00A55335">
              <w:rPr>
                <w:rStyle w:val="Strong"/>
              </w:rPr>
              <w:t>Risk with Homeopathy</w:t>
            </w:r>
          </w:p>
        </w:tc>
        <w:tc>
          <w:tcPr>
            <w:tcW w:w="506" w:type="pct"/>
            <w:vMerge/>
            <w:tcBorders>
              <w:right w:val="single" w:sz="6" w:space="0" w:color="EFEFEF"/>
            </w:tcBorders>
            <w:shd w:val="clear" w:color="auto" w:fill="006579" w:themeFill="accent2"/>
            <w:vAlign w:val="center"/>
            <w:hideMark/>
          </w:tcPr>
          <w:p w14:paraId="2065B7B1" w14:textId="77777777" w:rsidR="00DD505D" w:rsidRPr="00A55335" w:rsidRDefault="00DD505D" w:rsidP="006A4FE5">
            <w:pPr>
              <w:pStyle w:val="Tabletext8pt"/>
              <w:rPr>
                <w:rFonts w:eastAsiaTheme="minorEastAsia"/>
              </w:rPr>
            </w:pPr>
          </w:p>
        </w:tc>
        <w:tc>
          <w:tcPr>
            <w:tcW w:w="578" w:type="pct"/>
            <w:vMerge/>
            <w:tcBorders>
              <w:right w:val="single" w:sz="6" w:space="0" w:color="EFEFEF"/>
            </w:tcBorders>
            <w:shd w:val="clear" w:color="auto" w:fill="006579" w:themeFill="accent2"/>
            <w:vAlign w:val="center"/>
            <w:hideMark/>
          </w:tcPr>
          <w:p w14:paraId="7944BD17" w14:textId="77777777" w:rsidR="00DD505D" w:rsidRPr="00A55335" w:rsidRDefault="00DD505D" w:rsidP="006A4FE5">
            <w:pPr>
              <w:pStyle w:val="Tabletext8pt"/>
              <w:rPr>
                <w:rFonts w:eastAsiaTheme="minorEastAsia"/>
              </w:rPr>
            </w:pPr>
          </w:p>
        </w:tc>
        <w:tc>
          <w:tcPr>
            <w:tcW w:w="577" w:type="pct"/>
            <w:vMerge/>
            <w:tcBorders>
              <w:right w:val="single" w:sz="6" w:space="0" w:color="EFEFEF"/>
            </w:tcBorders>
            <w:shd w:val="clear" w:color="auto" w:fill="006579" w:themeFill="accent2"/>
            <w:vAlign w:val="center"/>
            <w:hideMark/>
          </w:tcPr>
          <w:p w14:paraId="5D17199C" w14:textId="77777777" w:rsidR="00DD505D" w:rsidRPr="00A55335" w:rsidRDefault="00DD505D" w:rsidP="006A4FE5">
            <w:pPr>
              <w:pStyle w:val="Tabletext8pt"/>
              <w:rPr>
                <w:rFonts w:eastAsiaTheme="minorEastAsia"/>
              </w:rPr>
            </w:pPr>
          </w:p>
        </w:tc>
        <w:tc>
          <w:tcPr>
            <w:tcW w:w="1064" w:type="pct"/>
            <w:vMerge/>
            <w:tcBorders>
              <w:right w:val="single" w:sz="6" w:space="0" w:color="EFEFEF"/>
            </w:tcBorders>
            <w:shd w:val="clear" w:color="auto" w:fill="006579" w:themeFill="accent2"/>
            <w:vAlign w:val="center"/>
            <w:hideMark/>
          </w:tcPr>
          <w:p w14:paraId="5A3E520F" w14:textId="77777777" w:rsidR="00DD505D" w:rsidRPr="00A55335" w:rsidRDefault="00DD505D" w:rsidP="006A4FE5">
            <w:pPr>
              <w:pStyle w:val="Tabletext8pt"/>
              <w:rPr>
                <w:rFonts w:eastAsiaTheme="minorEastAsia"/>
              </w:rPr>
            </w:pPr>
          </w:p>
        </w:tc>
      </w:tr>
      <w:tr w:rsidR="000F34E0" w:rsidRPr="00A55335" w14:paraId="38D317CE" w14:textId="77777777" w:rsidTr="003D3AC4">
        <w:trPr>
          <w:gridBefore w:val="1"/>
          <w:wBefore w:w="34" w:type="pct"/>
          <w:cantSplit/>
        </w:trPr>
        <w:tc>
          <w:tcPr>
            <w:tcW w:w="868" w:type="pct"/>
            <w:tcBorders>
              <w:top w:val="single" w:sz="6" w:space="0" w:color="000000"/>
              <w:left w:val="nil"/>
              <w:bottom w:val="single" w:sz="6" w:space="0" w:color="000000"/>
              <w:right w:val="nil"/>
            </w:tcBorders>
            <w:vAlign w:val="center"/>
            <w:hideMark/>
          </w:tcPr>
          <w:p w14:paraId="388BC203" w14:textId="70CC1200" w:rsidR="00DD505D" w:rsidRPr="00A55335" w:rsidRDefault="00DD505D" w:rsidP="006A4FE5">
            <w:pPr>
              <w:pStyle w:val="Tabletext8pt"/>
            </w:pPr>
            <w:r w:rsidRPr="00A55335">
              <w:t>ADHD symptoms</w:t>
            </w:r>
            <w:r w:rsidRPr="00A55335">
              <w:br/>
              <w:t>assessed with: Conner's Global Index</w:t>
            </w:r>
            <w:r w:rsidR="00925EA1" w:rsidRPr="00A55335">
              <w:t xml:space="preserve"> - parent</w:t>
            </w:r>
            <w:r w:rsidRPr="00A55335">
              <w:t xml:space="preserve"> </w:t>
            </w:r>
            <w:r w:rsidR="00496C74">
              <w:t>Scale from: 0 to 100</w:t>
            </w:r>
            <w:r w:rsidR="00496C74" w:rsidRPr="00A55335">
              <w:t xml:space="preserve"> </w:t>
            </w:r>
            <w:r w:rsidR="004341F2" w:rsidRPr="00A55335">
              <w:t>(higher is worse)</w:t>
            </w:r>
            <w:r w:rsidRPr="00A55335">
              <w:br/>
              <w:t>follow-up: 18 weeks</w:t>
            </w:r>
          </w:p>
        </w:tc>
        <w:tc>
          <w:tcPr>
            <w:tcW w:w="687" w:type="pct"/>
            <w:tcBorders>
              <w:top w:val="single" w:sz="6" w:space="0" w:color="000000"/>
              <w:left w:val="nil"/>
              <w:bottom w:val="single" w:sz="6" w:space="0" w:color="000000"/>
              <w:right w:val="nil"/>
            </w:tcBorders>
            <w:shd w:val="clear" w:color="auto" w:fill="DEE2E4" w:themeFill="accent6" w:themeFillTint="33"/>
            <w:vAlign w:val="center"/>
            <w:hideMark/>
          </w:tcPr>
          <w:p w14:paraId="649EC80D" w14:textId="48F1EF80" w:rsidR="00DD505D" w:rsidRPr="00A55335" w:rsidRDefault="00C75750" w:rsidP="006A4FE5">
            <w:pPr>
              <w:pStyle w:val="Tabletext8pt"/>
            </w:pPr>
            <w:r w:rsidRPr="00A55335">
              <w:t xml:space="preserve">The mean CGI score was </w:t>
            </w:r>
            <w:r w:rsidR="004341F2" w:rsidRPr="00A55335">
              <w:rPr>
                <w:rStyle w:val="Strong"/>
              </w:rPr>
              <w:t>60.88</w:t>
            </w:r>
          </w:p>
        </w:tc>
        <w:tc>
          <w:tcPr>
            <w:tcW w:w="687" w:type="pct"/>
            <w:tcBorders>
              <w:top w:val="single" w:sz="6" w:space="0" w:color="000000"/>
              <w:left w:val="nil"/>
              <w:bottom w:val="single" w:sz="6" w:space="0" w:color="000000"/>
              <w:right w:val="nil"/>
            </w:tcBorders>
            <w:shd w:val="clear" w:color="auto" w:fill="DEE2E4" w:themeFill="accent6" w:themeFillTint="33"/>
            <w:hideMark/>
          </w:tcPr>
          <w:p w14:paraId="3A6D8832" w14:textId="16B11914" w:rsidR="00DD505D" w:rsidRPr="00A55335" w:rsidRDefault="00DD505D" w:rsidP="006A4FE5">
            <w:pPr>
              <w:pStyle w:val="Tabletext8pt"/>
            </w:pPr>
            <w:r w:rsidRPr="00A55335">
              <w:t xml:space="preserve">MD </w:t>
            </w:r>
            <w:r w:rsidRPr="00A55335">
              <w:rPr>
                <w:rStyle w:val="Strong"/>
              </w:rPr>
              <w:t>1.</w:t>
            </w:r>
            <w:r w:rsidR="004341F2" w:rsidRPr="00A55335">
              <w:rPr>
                <w:rStyle w:val="Strong"/>
              </w:rPr>
              <w:t xml:space="preserve">77 </w:t>
            </w:r>
            <w:r w:rsidR="00C95813" w:rsidRPr="00A55335">
              <w:rPr>
                <w:rStyle w:val="Strong"/>
              </w:rPr>
              <w:t>higher</w:t>
            </w:r>
            <w:r w:rsidRPr="00A55335">
              <w:br/>
              <w:t>(</w:t>
            </w:r>
            <w:r w:rsidR="00C95813" w:rsidRPr="00A55335">
              <w:t>6.34</w:t>
            </w:r>
            <w:r w:rsidRPr="00A55335">
              <w:t xml:space="preserve"> lower to </w:t>
            </w:r>
            <w:r w:rsidR="00C95813" w:rsidRPr="00A55335">
              <w:t>9.88</w:t>
            </w:r>
            <w:r w:rsidRPr="00A55335">
              <w:t xml:space="preserve"> </w:t>
            </w:r>
            <w:r w:rsidR="00C95813" w:rsidRPr="00A55335">
              <w:t>higher</w:t>
            </w:r>
            <w:r w:rsidRPr="00A55335">
              <w:t>)</w:t>
            </w:r>
          </w:p>
        </w:tc>
        <w:tc>
          <w:tcPr>
            <w:tcW w:w="506" w:type="pct"/>
            <w:tcBorders>
              <w:top w:val="single" w:sz="6" w:space="0" w:color="000000"/>
              <w:left w:val="nil"/>
              <w:bottom w:val="single" w:sz="6" w:space="0" w:color="000000"/>
              <w:right w:val="nil"/>
            </w:tcBorders>
            <w:vAlign w:val="center"/>
            <w:hideMark/>
          </w:tcPr>
          <w:p w14:paraId="170EA81B" w14:textId="77777777" w:rsidR="00DD505D" w:rsidRPr="00A55335" w:rsidRDefault="00DD505D" w:rsidP="007252A0">
            <w:pPr>
              <w:pStyle w:val="Tabletext8pt"/>
              <w:jc w:val="center"/>
            </w:pPr>
            <w:r w:rsidRPr="00A55335">
              <w:t>-</w:t>
            </w:r>
          </w:p>
        </w:tc>
        <w:tc>
          <w:tcPr>
            <w:tcW w:w="578" w:type="pct"/>
            <w:tcBorders>
              <w:top w:val="single" w:sz="6" w:space="0" w:color="000000"/>
              <w:left w:val="nil"/>
              <w:bottom w:val="single" w:sz="6" w:space="0" w:color="000000"/>
              <w:right w:val="nil"/>
            </w:tcBorders>
            <w:vAlign w:val="center"/>
            <w:hideMark/>
          </w:tcPr>
          <w:p w14:paraId="2853C14B" w14:textId="630350F5" w:rsidR="00DD505D" w:rsidRPr="00A55335" w:rsidRDefault="002B74DC" w:rsidP="007252A0">
            <w:pPr>
              <w:pStyle w:val="Tabletext8pt"/>
              <w:jc w:val="center"/>
            </w:pPr>
            <w:r w:rsidRPr="00A55335">
              <w:t>43</w:t>
            </w:r>
            <w:r w:rsidR="00DD505D" w:rsidRPr="00A55335">
              <w:br/>
              <w:t>(</w:t>
            </w:r>
            <w:r w:rsidRPr="00A55335">
              <w:t xml:space="preserve">1 </w:t>
            </w:r>
            <w:r w:rsidR="00DD505D" w:rsidRPr="00A55335">
              <w:t>RCT)</w:t>
            </w:r>
            <w:r w:rsidR="00DD505D" w:rsidRPr="00A55335">
              <w:rPr>
                <w:rFonts w:eastAsia="Times New Roman"/>
              </w:rPr>
              <w:t xml:space="preserve"> </w:t>
            </w:r>
            <w:r w:rsidR="00DD505D" w:rsidRPr="00A55335">
              <w:rPr>
                <w:rStyle w:val="FootnoteReference"/>
              </w:rPr>
              <w:t>†</w:t>
            </w:r>
          </w:p>
        </w:tc>
        <w:tc>
          <w:tcPr>
            <w:tcW w:w="577" w:type="pct"/>
            <w:tcBorders>
              <w:top w:val="single" w:sz="6" w:space="0" w:color="000000"/>
              <w:left w:val="nil"/>
              <w:bottom w:val="single" w:sz="6" w:space="0" w:color="000000"/>
              <w:right w:val="nil"/>
            </w:tcBorders>
            <w:vAlign w:val="center"/>
            <w:hideMark/>
          </w:tcPr>
          <w:p w14:paraId="302B178A" w14:textId="4CFC94E6" w:rsidR="00DD505D" w:rsidRPr="00A55335" w:rsidRDefault="00DD505D" w:rsidP="008B4DBE">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a,b,c</w:t>
            </w:r>
            <w:r w:rsidR="00653F4F" w:rsidRPr="00A55335">
              <w:rPr>
                <w:rStyle w:val="FootnoteReference"/>
              </w:rPr>
              <w:t>,d,e</w:t>
            </w:r>
            <w:proofErr w:type="spellEnd"/>
          </w:p>
        </w:tc>
        <w:tc>
          <w:tcPr>
            <w:tcW w:w="1064" w:type="pct"/>
            <w:tcBorders>
              <w:top w:val="single" w:sz="6" w:space="0" w:color="000000"/>
              <w:left w:val="nil"/>
              <w:bottom w:val="single" w:sz="6" w:space="0" w:color="000000"/>
              <w:right w:val="nil"/>
            </w:tcBorders>
            <w:vAlign w:val="center"/>
            <w:hideMark/>
          </w:tcPr>
          <w:p w14:paraId="0032D2F1" w14:textId="43313C88" w:rsidR="00DD505D" w:rsidRPr="00A55335" w:rsidRDefault="00DD505D" w:rsidP="006A4FE5">
            <w:pPr>
              <w:pStyle w:val="Tabletext8pt"/>
              <w:rPr>
                <w:rFonts w:eastAsia="Times New Roman"/>
              </w:rPr>
            </w:pPr>
            <w:r w:rsidRPr="00A55335">
              <w:rPr>
                <w:rFonts w:eastAsia="Times New Roman"/>
              </w:rPr>
              <w:t xml:space="preserve">The evidence is very uncertain about the effect of homeopathy on ADHD symptoms for people with </w:t>
            </w:r>
            <w:r w:rsidR="004175F5" w:rsidRPr="00A55335">
              <w:rPr>
                <w:rFonts w:eastAsia="Times New Roman"/>
              </w:rPr>
              <w:t>ADHD</w:t>
            </w:r>
            <w:r w:rsidR="00735CFE">
              <w:rPr>
                <w:rFonts w:eastAsia="Times New Roman"/>
              </w:rPr>
              <w:t xml:space="preserve"> **</w:t>
            </w:r>
          </w:p>
        </w:tc>
      </w:tr>
      <w:tr w:rsidR="000F34E0" w:rsidRPr="00A55335" w14:paraId="0908BB90" w14:textId="77777777" w:rsidTr="003D3AC4">
        <w:trPr>
          <w:gridBefore w:val="1"/>
          <w:wBefore w:w="34" w:type="pct"/>
          <w:cantSplit/>
        </w:trPr>
        <w:tc>
          <w:tcPr>
            <w:tcW w:w="868" w:type="pct"/>
            <w:tcBorders>
              <w:top w:val="single" w:sz="6" w:space="0" w:color="000000"/>
              <w:left w:val="nil"/>
              <w:bottom w:val="single" w:sz="6" w:space="0" w:color="000000"/>
              <w:right w:val="nil"/>
            </w:tcBorders>
            <w:vAlign w:val="center"/>
          </w:tcPr>
          <w:p w14:paraId="5EFEA72E" w14:textId="0C876A1F" w:rsidR="00651351" w:rsidRPr="00A55335" w:rsidRDefault="00651351" w:rsidP="00651351">
            <w:pPr>
              <w:pStyle w:val="Tabletext8pt"/>
            </w:pPr>
            <w:r w:rsidRPr="00A55335">
              <w:t>ADHD symptoms</w:t>
            </w:r>
            <w:r w:rsidR="00C93E37" w:rsidRPr="00A55335">
              <w:t>: oppositional</w:t>
            </w:r>
            <w:r w:rsidRPr="00A55335">
              <w:br/>
              <w:t xml:space="preserve">assessed with: CPRS-R:S </w:t>
            </w:r>
            <w:r w:rsidR="00F5112E">
              <w:br/>
              <w:t>Scale from: 0 to 100</w:t>
            </w:r>
            <w:r w:rsidR="00F5112E" w:rsidRPr="00A55335">
              <w:t xml:space="preserve"> </w:t>
            </w:r>
            <w:r w:rsidRPr="00A55335">
              <w:t>(higher is worse)</w:t>
            </w:r>
            <w:r w:rsidR="000973CA">
              <w:br/>
            </w:r>
            <w:r w:rsidRPr="00A55335">
              <w:t>follow-up: range 18 weeks to 12 months</w:t>
            </w:r>
          </w:p>
        </w:tc>
        <w:tc>
          <w:tcPr>
            <w:tcW w:w="687" w:type="pct"/>
            <w:tcBorders>
              <w:top w:val="single" w:sz="6" w:space="0" w:color="000000"/>
              <w:left w:val="nil"/>
              <w:bottom w:val="single" w:sz="6" w:space="0" w:color="000000"/>
              <w:right w:val="nil"/>
            </w:tcBorders>
            <w:shd w:val="clear" w:color="auto" w:fill="DEE2E4" w:themeFill="accent6" w:themeFillTint="33"/>
            <w:vAlign w:val="center"/>
          </w:tcPr>
          <w:p w14:paraId="6A607383" w14:textId="7B78EB8F" w:rsidR="00651351" w:rsidRPr="00A55335" w:rsidRDefault="00651351" w:rsidP="00651351">
            <w:pPr>
              <w:pStyle w:val="Tabletext8pt"/>
            </w:pPr>
            <w:r w:rsidRPr="00A55335">
              <w:t xml:space="preserve">The mean </w:t>
            </w:r>
            <w:r w:rsidR="00C93E37" w:rsidRPr="00A55335">
              <w:t xml:space="preserve">CPRS-R </w:t>
            </w:r>
            <w:r w:rsidRPr="00A55335">
              <w:t xml:space="preserve">score was </w:t>
            </w:r>
            <w:r w:rsidR="00D466CF" w:rsidRPr="00A55335">
              <w:rPr>
                <w:rStyle w:val="Strong"/>
              </w:rPr>
              <w:t>64.4</w:t>
            </w:r>
            <w:r w:rsidR="009D042B" w:rsidRPr="00A55335">
              <w:rPr>
                <w:rStyle w:val="Strong"/>
              </w:rPr>
              <w:t>3</w:t>
            </w:r>
          </w:p>
        </w:tc>
        <w:tc>
          <w:tcPr>
            <w:tcW w:w="687" w:type="pct"/>
            <w:tcBorders>
              <w:top w:val="single" w:sz="6" w:space="0" w:color="000000"/>
              <w:left w:val="nil"/>
              <w:bottom w:val="single" w:sz="6" w:space="0" w:color="000000"/>
              <w:right w:val="nil"/>
            </w:tcBorders>
            <w:shd w:val="clear" w:color="auto" w:fill="DEE2E4" w:themeFill="accent6" w:themeFillTint="33"/>
          </w:tcPr>
          <w:p w14:paraId="113C66B3" w14:textId="6211E809" w:rsidR="00651351" w:rsidRPr="00A55335" w:rsidDel="00C75750" w:rsidRDefault="00651351" w:rsidP="00651351">
            <w:pPr>
              <w:pStyle w:val="Tabletext8pt"/>
            </w:pPr>
            <w:r w:rsidRPr="00A55335">
              <w:t xml:space="preserve">MD </w:t>
            </w:r>
            <w:r w:rsidR="009D042B" w:rsidRPr="00A55335">
              <w:rPr>
                <w:rStyle w:val="Strong"/>
              </w:rPr>
              <w:t>8.01 lower</w:t>
            </w:r>
            <w:r w:rsidRPr="00A55335">
              <w:br/>
              <w:t>(</w:t>
            </w:r>
            <w:r w:rsidR="00392F65" w:rsidRPr="00A55335">
              <w:t>25.73</w:t>
            </w:r>
            <w:r w:rsidRPr="00A55335">
              <w:t xml:space="preserve"> lower to </w:t>
            </w:r>
            <w:r w:rsidR="009643D6" w:rsidRPr="00A55335">
              <w:t>9.72</w:t>
            </w:r>
            <w:r w:rsidRPr="00A55335">
              <w:t xml:space="preserve"> higher)</w:t>
            </w:r>
          </w:p>
        </w:tc>
        <w:tc>
          <w:tcPr>
            <w:tcW w:w="506" w:type="pct"/>
            <w:tcBorders>
              <w:top w:val="single" w:sz="6" w:space="0" w:color="000000"/>
              <w:left w:val="nil"/>
              <w:bottom w:val="single" w:sz="6" w:space="0" w:color="000000"/>
              <w:right w:val="nil"/>
            </w:tcBorders>
            <w:vAlign w:val="center"/>
          </w:tcPr>
          <w:p w14:paraId="553C890A" w14:textId="70014386" w:rsidR="00651351" w:rsidRPr="00A55335" w:rsidRDefault="00651351" w:rsidP="007252A0">
            <w:pPr>
              <w:pStyle w:val="Tabletext8pt"/>
              <w:jc w:val="center"/>
            </w:pPr>
            <w:r w:rsidRPr="00A55335">
              <w:t>-</w:t>
            </w:r>
          </w:p>
        </w:tc>
        <w:tc>
          <w:tcPr>
            <w:tcW w:w="578" w:type="pct"/>
            <w:tcBorders>
              <w:top w:val="single" w:sz="6" w:space="0" w:color="000000"/>
              <w:left w:val="nil"/>
              <w:bottom w:val="single" w:sz="6" w:space="0" w:color="000000"/>
              <w:right w:val="nil"/>
            </w:tcBorders>
            <w:vAlign w:val="center"/>
          </w:tcPr>
          <w:p w14:paraId="0E621E53" w14:textId="6375837D" w:rsidR="00651351" w:rsidRPr="00A55335" w:rsidDel="002B74DC" w:rsidRDefault="006559A8" w:rsidP="007252A0">
            <w:pPr>
              <w:pStyle w:val="Tabletext8pt"/>
              <w:jc w:val="center"/>
            </w:pPr>
            <w:r w:rsidRPr="00A55335">
              <w:t>104</w:t>
            </w:r>
            <w:r w:rsidR="00651351" w:rsidRPr="00A55335">
              <w:br/>
              <w:t>(</w:t>
            </w:r>
            <w:r w:rsidR="00E93153" w:rsidRPr="00A55335">
              <w:t>2</w:t>
            </w:r>
            <w:r w:rsidR="00651351" w:rsidRPr="00A55335">
              <w:t xml:space="preserve"> RCT)</w:t>
            </w:r>
            <w:r w:rsidR="00651351" w:rsidRPr="00A55335">
              <w:rPr>
                <w:rFonts w:eastAsia="Times New Roman"/>
              </w:rPr>
              <w:t xml:space="preserve"> </w:t>
            </w:r>
            <w:r w:rsidR="00651351" w:rsidRPr="00A55335">
              <w:rPr>
                <w:rStyle w:val="FootnoteReference"/>
              </w:rPr>
              <w:t>†</w:t>
            </w:r>
            <w:r w:rsidR="00E93153" w:rsidRPr="00A55335">
              <w:rPr>
                <w:rStyle w:val="FootnoteReference"/>
              </w:rPr>
              <w:t>†</w:t>
            </w:r>
          </w:p>
        </w:tc>
        <w:tc>
          <w:tcPr>
            <w:tcW w:w="577" w:type="pct"/>
            <w:tcBorders>
              <w:top w:val="single" w:sz="6" w:space="0" w:color="000000"/>
              <w:left w:val="nil"/>
              <w:bottom w:val="single" w:sz="6" w:space="0" w:color="000000"/>
              <w:right w:val="nil"/>
            </w:tcBorders>
            <w:vAlign w:val="center"/>
          </w:tcPr>
          <w:p w14:paraId="653219E3" w14:textId="27C97BC7" w:rsidR="00651351" w:rsidRPr="00A55335" w:rsidRDefault="00651351" w:rsidP="00651351">
            <w:pPr>
              <w:pStyle w:val="Tabletext8pt"/>
              <w:jc w:val="center"/>
              <w:rPr>
                <w:rStyle w:val="quality-sign"/>
                <w:rFonts w:ascii="Cambria Math" w:hAnsi="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c,</w:t>
            </w:r>
            <w:r w:rsidR="00A95C91" w:rsidRPr="00A55335">
              <w:rPr>
                <w:rStyle w:val="FootnoteReference"/>
              </w:rPr>
              <w:t>e,</w:t>
            </w:r>
            <w:r w:rsidR="00412EA6" w:rsidRPr="00A55335">
              <w:rPr>
                <w:rStyle w:val="FootnoteReference"/>
              </w:rPr>
              <w:t>f</w:t>
            </w:r>
            <w:r w:rsidR="0013331B" w:rsidRPr="00A55335">
              <w:rPr>
                <w:rStyle w:val="FootnoteReference"/>
              </w:rPr>
              <w:t>,g</w:t>
            </w:r>
            <w:r w:rsidR="00A95C91" w:rsidRPr="00A55335">
              <w:rPr>
                <w:rStyle w:val="FootnoteReference"/>
              </w:rPr>
              <w:t>,h</w:t>
            </w:r>
            <w:proofErr w:type="spellEnd"/>
          </w:p>
        </w:tc>
        <w:tc>
          <w:tcPr>
            <w:tcW w:w="1064" w:type="pct"/>
            <w:tcBorders>
              <w:top w:val="single" w:sz="6" w:space="0" w:color="000000"/>
              <w:left w:val="nil"/>
              <w:bottom w:val="single" w:sz="6" w:space="0" w:color="000000"/>
              <w:right w:val="nil"/>
            </w:tcBorders>
            <w:vAlign w:val="center"/>
          </w:tcPr>
          <w:p w14:paraId="4E17FB19" w14:textId="7E754D9A" w:rsidR="00651351" w:rsidRPr="00A55335" w:rsidRDefault="00651351" w:rsidP="00651351">
            <w:pPr>
              <w:pStyle w:val="Tabletext8pt"/>
              <w:rPr>
                <w:rFonts w:eastAsia="Times New Roman"/>
              </w:rPr>
            </w:pPr>
            <w:r w:rsidRPr="00A55335">
              <w:rPr>
                <w:rFonts w:eastAsia="Times New Roman"/>
              </w:rPr>
              <w:t>The evidence is very uncertain about the effect of</w:t>
            </w:r>
            <w:r w:rsidR="009807FD" w:rsidRPr="00A55335">
              <w:rPr>
                <w:rFonts w:eastAsia="Times New Roman"/>
              </w:rPr>
              <w:t xml:space="preserve"> </w:t>
            </w:r>
            <w:r w:rsidRPr="00A55335">
              <w:rPr>
                <w:rFonts w:eastAsia="Times New Roman"/>
              </w:rPr>
              <w:t>homeopathy on ADHD symptoms for people with ADHD</w:t>
            </w:r>
            <w:r w:rsidR="00735CFE">
              <w:rPr>
                <w:rFonts w:eastAsia="Times New Roman"/>
              </w:rPr>
              <w:t xml:space="preserve"> **</w:t>
            </w:r>
          </w:p>
        </w:tc>
      </w:tr>
      <w:tr w:rsidR="00C7284A" w:rsidRPr="00A55335" w14:paraId="74B4F000" w14:textId="77777777" w:rsidTr="003D3AC4">
        <w:trPr>
          <w:cantSplit/>
        </w:trPr>
        <w:tc>
          <w:tcPr>
            <w:tcW w:w="902" w:type="pct"/>
            <w:gridSpan w:val="2"/>
            <w:tcBorders>
              <w:top w:val="single" w:sz="6" w:space="0" w:color="000000"/>
              <w:left w:val="nil"/>
              <w:bottom w:val="single" w:sz="6" w:space="0" w:color="000000"/>
              <w:right w:val="nil"/>
            </w:tcBorders>
            <w:vAlign w:val="center"/>
          </w:tcPr>
          <w:p w14:paraId="7379D1B1" w14:textId="58CA6A0D" w:rsidR="00A95C91" w:rsidRPr="00A55335" w:rsidRDefault="00A95C91">
            <w:pPr>
              <w:pStyle w:val="Tabletext8pt"/>
            </w:pPr>
            <w:r w:rsidRPr="00A55335">
              <w:lastRenderedPageBreak/>
              <w:t>ADHD symptoms: cognition</w:t>
            </w:r>
            <w:r w:rsidRPr="00A55335">
              <w:br/>
              <w:t>assessed with: CPRS-R:S</w:t>
            </w:r>
            <w:r w:rsidR="00F5112E">
              <w:br/>
              <w:t>Scale from: 0 to 100</w:t>
            </w:r>
            <w:r w:rsidRPr="00A55335">
              <w:t xml:space="preserve"> (higher is worse)</w:t>
            </w:r>
            <w:r w:rsidR="000973CA">
              <w:br/>
            </w:r>
            <w:r w:rsidRPr="00A55335">
              <w:t>follow-up: range 18 weeks to 12 months</w:t>
            </w:r>
          </w:p>
        </w:tc>
        <w:tc>
          <w:tcPr>
            <w:tcW w:w="687" w:type="pct"/>
            <w:tcBorders>
              <w:top w:val="single" w:sz="6" w:space="0" w:color="000000"/>
              <w:left w:val="nil"/>
              <w:bottom w:val="single" w:sz="6" w:space="0" w:color="000000"/>
              <w:right w:val="nil"/>
            </w:tcBorders>
            <w:shd w:val="clear" w:color="auto" w:fill="DEE2E4" w:themeFill="accent6" w:themeFillTint="33"/>
            <w:vAlign w:val="center"/>
          </w:tcPr>
          <w:p w14:paraId="236E7886" w14:textId="40487AE4" w:rsidR="00A95C91" w:rsidRPr="00A55335" w:rsidRDefault="00A95C91">
            <w:pPr>
              <w:pStyle w:val="Tabletext8pt"/>
            </w:pPr>
            <w:r w:rsidRPr="00A55335">
              <w:t xml:space="preserve">The mean CPRS-R score was </w:t>
            </w:r>
            <w:r w:rsidRPr="00A55335">
              <w:rPr>
                <w:rStyle w:val="Strong"/>
              </w:rPr>
              <w:t>6</w:t>
            </w:r>
            <w:r w:rsidR="000E7B15" w:rsidRPr="00A55335">
              <w:rPr>
                <w:rStyle w:val="Strong"/>
              </w:rPr>
              <w:t>3.04</w:t>
            </w:r>
          </w:p>
        </w:tc>
        <w:tc>
          <w:tcPr>
            <w:tcW w:w="687" w:type="pct"/>
            <w:tcBorders>
              <w:top w:val="single" w:sz="6" w:space="0" w:color="000000"/>
              <w:left w:val="nil"/>
              <w:bottom w:val="single" w:sz="6" w:space="0" w:color="000000"/>
              <w:right w:val="nil"/>
            </w:tcBorders>
            <w:shd w:val="clear" w:color="auto" w:fill="DEE2E4" w:themeFill="accent6" w:themeFillTint="33"/>
          </w:tcPr>
          <w:p w14:paraId="60128505" w14:textId="596C3E09" w:rsidR="00A95C91" w:rsidRPr="00A55335" w:rsidDel="00C75750" w:rsidRDefault="00A95C91">
            <w:pPr>
              <w:pStyle w:val="Tabletext8pt"/>
            </w:pPr>
            <w:r w:rsidRPr="00A55335">
              <w:t xml:space="preserve">MD </w:t>
            </w:r>
            <w:r w:rsidR="000E7B15" w:rsidRPr="00A55335">
              <w:rPr>
                <w:rStyle w:val="Strong"/>
              </w:rPr>
              <w:t>5.69</w:t>
            </w:r>
            <w:r w:rsidRPr="00A55335">
              <w:rPr>
                <w:rStyle w:val="Strong"/>
              </w:rPr>
              <w:t xml:space="preserve"> lower</w:t>
            </w:r>
            <w:r w:rsidRPr="00A55335">
              <w:br/>
              <w:t>(</w:t>
            </w:r>
            <w:r w:rsidR="000E7B15" w:rsidRPr="00A55335">
              <w:t>26.24</w:t>
            </w:r>
            <w:r w:rsidRPr="00A55335">
              <w:t xml:space="preserve"> lower to </w:t>
            </w:r>
            <w:r w:rsidR="000E7B15" w:rsidRPr="00A55335">
              <w:t>14.87</w:t>
            </w:r>
            <w:r w:rsidRPr="00A55335">
              <w:t xml:space="preserve"> higher)</w:t>
            </w:r>
          </w:p>
        </w:tc>
        <w:tc>
          <w:tcPr>
            <w:tcW w:w="506" w:type="pct"/>
            <w:tcBorders>
              <w:top w:val="single" w:sz="6" w:space="0" w:color="000000"/>
              <w:left w:val="nil"/>
              <w:bottom w:val="single" w:sz="6" w:space="0" w:color="000000"/>
              <w:right w:val="nil"/>
            </w:tcBorders>
            <w:vAlign w:val="center"/>
          </w:tcPr>
          <w:p w14:paraId="4185F093" w14:textId="77777777" w:rsidR="00A95C91" w:rsidRPr="00A55335" w:rsidRDefault="00A95C91">
            <w:pPr>
              <w:pStyle w:val="Tabletext8pt"/>
              <w:jc w:val="center"/>
            </w:pPr>
            <w:r w:rsidRPr="00A55335">
              <w:t>-</w:t>
            </w:r>
          </w:p>
        </w:tc>
        <w:tc>
          <w:tcPr>
            <w:tcW w:w="578" w:type="pct"/>
            <w:tcBorders>
              <w:top w:val="single" w:sz="6" w:space="0" w:color="000000"/>
              <w:left w:val="nil"/>
              <w:bottom w:val="single" w:sz="6" w:space="0" w:color="000000"/>
              <w:right w:val="nil"/>
            </w:tcBorders>
            <w:vAlign w:val="center"/>
          </w:tcPr>
          <w:p w14:paraId="4A6B167C" w14:textId="77777777" w:rsidR="00A95C91" w:rsidRPr="00A55335" w:rsidDel="002B74DC" w:rsidRDefault="00A95C91">
            <w:pPr>
              <w:pStyle w:val="Tabletext8pt"/>
              <w:jc w:val="center"/>
            </w:pPr>
            <w:r w:rsidRPr="00A55335">
              <w:t>104</w:t>
            </w:r>
            <w:r w:rsidRPr="00A55335">
              <w:br/>
              <w:t>(2 RCT)</w:t>
            </w:r>
            <w:r w:rsidRPr="00A55335">
              <w:rPr>
                <w:rFonts w:eastAsia="Times New Roman"/>
              </w:rPr>
              <w:t xml:space="preserve"> </w:t>
            </w:r>
            <w:r w:rsidRPr="00A55335">
              <w:rPr>
                <w:rStyle w:val="FootnoteReference"/>
              </w:rPr>
              <w:t>††</w:t>
            </w:r>
          </w:p>
        </w:tc>
        <w:tc>
          <w:tcPr>
            <w:tcW w:w="577" w:type="pct"/>
            <w:tcBorders>
              <w:top w:val="single" w:sz="6" w:space="0" w:color="000000"/>
              <w:left w:val="nil"/>
              <w:bottom w:val="single" w:sz="6" w:space="0" w:color="000000"/>
              <w:right w:val="nil"/>
            </w:tcBorders>
            <w:vAlign w:val="center"/>
          </w:tcPr>
          <w:p w14:paraId="094A8025" w14:textId="77777777" w:rsidR="00A95C91" w:rsidRPr="00A55335" w:rsidRDefault="00A95C91">
            <w:pPr>
              <w:pStyle w:val="Tabletext8pt"/>
              <w:jc w:val="center"/>
              <w:rPr>
                <w:rStyle w:val="quality-sign"/>
                <w:rFonts w:ascii="Cambria Math" w:hAnsi="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c,e,f,g,h</w:t>
            </w:r>
            <w:proofErr w:type="spellEnd"/>
          </w:p>
        </w:tc>
        <w:tc>
          <w:tcPr>
            <w:tcW w:w="1064" w:type="pct"/>
            <w:tcBorders>
              <w:top w:val="single" w:sz="6" w:space="0" w:color="000000"/>
              <w:left w:val="nil"/>
              <w:bottom w:val="single" w:sz="6" w:space="0" w:color="000000"/>
              <w:right w:val="nil"/>
            </w:tcBorders>
            <w:vAlign w:val="center"/>
          </w:tcPr>
          <w:p w14:paraId="0A22D0E7" w14:textId="63C45699" w:rsidR="00A95C91" w:rsidRPr="00A55335" w:rsidRDefault="00A95C91">
            <w:pPr>
              <w:pStyle w:val="Tabletext8pt"/>
              <w:rPr>
                <w:rFonts w:eastAsia="Times New Roman"/>
              </w:rPr>
            </w:pPr>
            <w:r w:rsidRPr="00A55335">
              <w:rPr>
                <w:rFonts w:eastAsia="Times New Roman"/>
              </w:rPr>
              <w:t>The evidence is very uncertain about the effect of homeopathy on ADHD symptoms for people with ADHD</w:t>
            </w:r>
            <w:r w:rsidR="00735CFE">
              <w:rPr>
                <w:rFonts w:eastAsia="Times New Roman"/>
              </w:rPr>
              <w:t xml:space="preserve"> **</w:t>
            </w:r>
          </w:p>
        </w:tc>
      </w:tr>
      <w:tr w:rsidR="00294B4D" w:rsidRPr="00A55335" w14:paraId="48199699" w14:textId="77777777" w:rsidTr="003D3AC4">
        <w:trPr>
          <w:cantSplit/>
        </w:trPr>
        <w:tc>
          <w:tcPr>
            <w:tcW w:w="902" w:type="pct"/>
            <w:gridSpan w:val="2"/>
            <w:tcBorders>
              <w:top w:val="single" w:sz="6" w:space="0" w:color="000000"/>
              <w:left w:val="nil"/>
              <w:bottom w:val="single" w:sz="6" w:space="0" w:color="000000"/>
              <w:right w:val="nil"/>
            </w:tcBorders>
            <w:vAlign w:val="center"/>
          </w:tcPr>
          <w:p w14:paraId="02B384FF" w14:textId="5CDAE5C4" w:rsidR="000E7B15" w:rsidRPr="00A55335" w:rsidRDefault="000E7B15">
            <w:pPr>
              <w:pStyle w:val="Tabletext8pt"/>
            </w:pPr>
            <w:r w:rsidRPr="00A55335">
              <w:t>ADHD symptoms: hyperactivity</w:t>
            </w:r>
            <w:r w:rsidRPr="00A55335">
              <w:br/>
              <w:t xml:space="preserve">assessed with: CPRS-R:S </w:t>
            </w:r>
            <w:r w:rsidR="00F5112E">
              <w:br/>
              <w:t>Scale from: 0 to 100</w:t>
            </w:r>
            <w:r w:rsidR="00F5112E" w:rsidRPr="00A55335">
              <w:t xml:space="preserve"> </w:t>
            </w:r>
            <w:r w:rsidRPr="00A55335">
              <w:t>(higher is worse)</w:t>
            </w:r>
            <w:r w:rsidR="000973CA">
              <w:br/>
            </w:r>
            <w:r w:rsidRPr="00A55335">
              <w:t>follow-up: range 18 weeks to 12 months</w:t>
            </w:r>
          </w:p>
        </w:tc>
        <w:tc>
          <w:tcPr>
            <w:tcW w:w="687" w:type="pct"/>
            <w:tcBorders>
              <w:top w:val="single" w:sz="6" w:space="0" w:color="000000"/>
              <w:left w:val="nil"/>
              <w:bottom w:val="single" w:sz="6" w:space="0" w:color="000000"/>
              <w:right w:val="nil"/>
            </w:tcBorders>
            <w:shd w:val="clear" w:color="auto" w:fill="DEE2E4" w:themeFill="accent6" w:themeFillTint="33"/>
            <w:vAlign w:val="center"/>
          </w:tcPr>
          <w:p w14:paraId="3C01EC59" w14:textId="24AD44E2" w:rsidR="000E7B15" w:rsidRPr="00A55335" w:rsidRDefault="000E7B15">
            <w:pPr>
              <w:pStyle w:val="Tabletext8pt"/>
            </w:pPr>
            <w:r w:rsidRPr="00A55335">
              <w:t xml:space="preserve">The mean CPRS-R score was </w:t>
            </w:r>
            <w:r w:rsidR="006F53D7" w:rsidRPr="00A55335">
              <w:rPr>
                <w:rStyle w:val="Strong"/>
              </w:rPr>
              <w:t>71.28</w:t>
            </w:r>
          </w:p>
        </w:tc>
        <w:tc>
          <w:tcPr>
            <w:tcW w:w="687" w:type="pct"/>
            <w:tcBorders>
              <w:top w:val="single" w:sz="6" w:space="0" w:color="000000"/>
              <w:left w:val="nil"/>
              <w:bottom w:val="single" w:sz="6" w:space="0" w:color="000000"/>
              <w:right w:val="nil"/>
            </w:tcBorders>
            <w:shd w:val="clear" w:color="auto" w:fill="DEE2E4" w:themeFill="accent6" w:themeFillTint="33"/>
          </w:tcPr>
          <w:p w14:paraId="30D4F7A4" w14:textId="5811FE18" w:rsidR="000E7B15" w:rsidRPr="00A55335" w:rsidDel="00C75750" w:rsidRDefault="000E7B15">
            <w:pPr>
              <w:pStyle w:val="Tabletext8pt"/>
            </w:pPr>
            <w:r w:rsidRPr="00A55335">
              <w:t xml:space="preserve">MD </w:t>
            </w:r>
            <w:r w:rsidR="006F53D7" w:rsidRPr="00A55335">
              <w:rPr>
                <w:rStyle w:val="Strong"/>
              </w:rPr>
              <w:t>10.02</w:t>
            </w:r>
            <w:r w:rsidRPr="00A55335">
              <w:rPr>
                <w:rStyle w:val="Strong"/>
              </w:rPr>
              <w:t xml:space="preserve"> lower</w:t>
            </w:r>
            <w:r w:rsidRPr="00A55335">
              <w:br/>
              <w:t>(</w:t>
            </w:r>
            <w:r w:rsidR="006F53D7" w:rsidRPr="00A55335">
              <w:t>35.15</w:t>
            </w:r>
            <w:r w:rsidRPr="00A55335">
              <w:t xml:space="preserve"> lower to </w:t>
            </w:r>
            <w:r w:rsidR="006F53D7" w:rsidRPr="00A55335">
              <w:t>15.11</w:t>
            </w:r>
            <w:r w:rsidRPr="00A55335">
              <w:t xml:space="preserve"> higher)</w:t>
            </w:r>
          </w:p>
        </w:tc>
        <w:tc>
          <w:tcPr>
            <w:tcW w:w="506" w:type="pct"/>
            <w:tcBorders>
              <w:top w:val="single" w:sz="6" w:space="0" w:color="000000"/>
              <w:left w:val="nil"/>
              <w:bottom w:val="single" w:sz="6" w:space="0" w:color="000000"/>
              <w:right w:val="nil"/>
            </w:tcBorders>
            <w:vAlign w:val="center"/>
          </w:tcPr>
          <w:p w14:paraId="752D08DF" w14:textId="77777777" w:rsidR="000E7B15" w:rsidRPr="00A55335" w:rsidRDefault="000E7B15">
            <w:pPr>
              <w:pStyle w:val="Tabletext8pt"/>
              <w:jc w:val="center"/>
            </w:pPr>
            <w:r w:rsidRPr="00A55335">
              <w:t>-</w:t>
            </w:r>
          </w:p>
        </w:tc>
        <w:tc>
          <w:tcPr>
            <w:tcW w:w="578" w:type="pct"/>
            <w:tcBorders>
              <w:top w:val="single" w:sz="6" w:space="0" w:color="000000"/>
              <w:left w:val="nil"/>
              <w:bottom w:val="single" w:sz="6" w:space="0" w:color="000000"/>
              <w:right w:val="nil"/>
            </w:tcBorders>
            <w:vAlign w:val="center"/>
          </w:tcPr>
          <w:p w14:paraId="5BBA38FD" w14:textId="77777777" w:rsidR="000E7B15" w:rsidRPr="00A55335" w:rsidDel="002B74DC" w:rsidRDefault="000E7B15">
            <w:pPr>
              <w:pStyle w:val="Tabletext8pt"/>
              <w:jc w:val="center"/>
            </w:pPr>
            <w:r w:rsidRPr="00A55335">
              <w:t>104</w:t>
            </w:r>
            <w:r w:rsidRPr="00A55335">
              <w:br/>
              <w:t>(2 RCT)</w:t>
            </w:r>
            <w:r w:rsidRPr="00A55335">
              <w:rPr>
                <w:rFonts w:eastAsia="Times New Roman"/>
              </w:rPr>
              <w:t xml:space="preserve"> </w:t>
            </w:r>
            <w:r w:rsidRPr="00A55335">
              <w:rPr>
                <w:rStyle w:val="FootnoteReference"/>
              </w:rPr>
              <w:t>††</w:t>
            </w:r>
          </w:p>
        </w:tc>
        <w:tc>
          <w:tcPr>
            <w:tcW w:w="577" w:type="pct"/>
            <w:tcBorders>
              <w:top w:val="single" w:sz="6" w:space="0" w:color="000000"/>
              <w:left w:val="nil"/>
              <w:bottom w:val="single" w:sz="6" w:space="0" w:color="000000"/>
              <w:right w:val="nil"/>
            </w:tcBorders>
            <w:vAlign w:val="center"/>
          </w:tcPr>
          <w:p w14:paraId="122923FF" w14:textId="77777777" w:rsidR="000E7B15" w:rsidRPr="00A55335" w:rsidRDefault="000E7B15">
            <w:pPr>
              <w:pStyle w:val="Tabletext8pt"/>
              <w:jc w:val="center"/>
              <w:rPr>
                <w:rStyle w:val="quality-sign"/>
                <w:rFonts w:ascii="Cambria Math" w:hAnsi="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c,e,f,g,h</w:t>
            </w:r>
            <w:proofErr w:type="spellEnd"/>
          </w:p>
        </w:tc>
        <w:tc>
          <w:tcPr>
            <w:tcW w:w="1064" w:type="pct"/>
            <w:tcBorders>
              <w:top w:val="single" w:sz="6" w:space="0" w:color="000000"/>
              <w:left w:val="nil"/>
              <w:bottom w:val="single" w:sz="6" w:space="0" w:color="000000"/>
              <w:right w:val="nil"/>
            </w:tcBorders>
            <w:vAlign w:val="center"/>
          </w:tcPr>
          <w:p w14:paraId="4F569832" w14:textId="568328D0" w:rsidR="000E7B15" w:rsidRPr="00A55335" w:rsidRDefault="000E7B15">
            <w:pPr>
              <w:pStyle w:val="Tabletext8pt"/>
              <w:rPr>
                <w:rFonts w:eastAsia="Times New Roman"/>
              </w:rPr>
            </w:pPr>
            <w:r w:rsidRPr="00A55335">
              <w:rPr>
                <w:rFonts w:eastAsia="Times New Roman"/>
              </w:rPr>
              <w:t>The evidence is very uncertain about the effect of homeopathy on ADHD symptoms for people with ADHD</w:t>
            </w:r>
            <w:r w:rsidR="00735CFE">
              <w:rPr>
                <w:rFonts w:eastAsia="Times New Roman"/>
              </w:rPr>
              <w:t xml:space="preserve"> **</w:t>
            </w:r>
          </w:p>
        </w:tc>
      </w:tr>
      <w:tr w:rsidR="00294B4D" w:rsidRPr="00A55335" w14:paraId="6C76C998" w14:textId="77777777" w:rsidTr="003D3AC4">
        <w:trPr>
          <w:cantSplit/>
        </w:trPr>
        <w:tc>
          <w:tcPr>
            <w:tcW w:w="902" w:type="pct"/>
            <w:gridSpan w:val="2"/>
            <w:tcBorders>
              <w:top w:val="single" w:sz="6" w:space="0" w:color="000000"/>
              <w:left w:val="nil"/>
              <w:bottom w:val="single" w:sz="6" w:space="0" w:color="000000"/>
              <w:right w:val="nil"/>
            </w:tcBorders>
            <w:vAlign w:val="center"/>
          </w:tcPr>
          <w:p w14:paraId="4E522CCF" w14:textId="5E6B54CE" w:rsidR="006F53D7" w:rsidRPr="00A55335" w:rsidRDefault="006F53D7">
            <w:pPr>
              <w:pStyle w:val="Tabletext8pt"/>
            </w:pPr>
            <w:r w:rsidRPr="00A55335">
              <w:t xml:space="preserve">ADHD symptoms: </w:t>
            </w:r>
            <w:r w:rsidR="009A044A" w:rsidRPr="00A55335">
              <w:t>ADHD index</w:t>
            </w:r>
            <w:r w:rsidRPr="00A55335">
              <w:br/>
              <w:t>assessed with:</w:t>
            </w:r>
            <w:r w:rsidR="009A044A" w:rsidRPr="00A55335">
              <w:t xml:space="preserve"> CPRS-R:S</w:t>
            </w:r>
            <w:r w:rsidRPr="00A55335">
              <w:t xml:space="preserve"> </w:t>
            </w:r>
            <w:r w:rsidR="00F5112E">
              <w:br/>
              <w:t>Scale from: 0 to 100</w:t>
            </w:r>
            <w:r w:rsidR="00F5112E" w:rsidRPr="00A55335">
              <w:t xml:space="preserve"> </w:t>
            </w:r>
            <w:r w:rsidRPr="00A55335">
              <w:t>(higher is worse)</w:t>
            </w:r>
            <w:r w:rsidR="000973CA">
              <w:br/>
            </w:r>
            <w:r w:rsidRPr="00A55335">
              <w:t>follow-up: range 18 weeks to 12 months</w:t>
            </w:r>
          </w:p>
        </w:tc>
        <w:tc>
          <w:tcPr>
            <w:tcW w:w="687" w:type="pct"/>
            <w:tcBorders>
              <w:top w:val="single" w:sz="6" w:space="0" w:color="000000"/>
              <w:left w:val="nil"/>
              <w:bottom w:val="single" w:sz="6" w:space="0" w:color="000000"/>
              <w:right w:val="nil"/>
            </w:tcBorders>
            <w:shd w:val="clear" w:color="auto" w:fill="DEE2E4" w:themeFill="accent6" w:themeFillTint="33"/>
            <w:vAlign w:val="center"/>
          </w:tcPr>
          <w:p w14:paraId="418DD9C4" w14:textId="2E53D160" w:rsidR="006F53D7" w:rsidRPr="00A55335" w:rsidRDefault="006F53D7">
            <w:pPr>
              <w:pStyle w:val="Tabletext8pt"/>
            </w:pPr>
            <w:r w:rsidRPr="00A55335">
              <w:t xml:space="preserve">The mean CPRS-R score was </w:t>
            </w:r>
            <w:r w:rsidR="00992BAB" w:rsidRPr="00A55335">
              <w:rPr>
                <w:rStyle w:val="Strong"/>
              </w:rPr>
              <w:t>65.03</w:t>
            </w:r>
          </w:p>
        </w:tc>
        <w:tc>
          <w:tcPr>
            <w:tcW w:w="687" w:type="pct"/>
            <w:tcBorders>
              <w:top w:val="single" w:sz="6" w:space="0" w:color="000000"/>
              <w:left w:val="nil"/>
              <w:bottom w:val="single" w:sz="6" w:space="0" w:color="000000"/>
              <w:right w:val="nil"/>
            </w:tcBorders>
            <w:shd w:val="clear" w:color="auto" w:fill="DEE2E4" w:themeFill="accent6" w:themeFillTint="33"/>
          </w:tcPr>
          <w:p w14:paraId="79E80280" w14:textId="1F506505" w:rsidR="006F53D7" w:rsidRPr="00A55335" w:rsidDel="00C75750" w:rsidRDefault="006F53D7">
            <w:pPr>
              <w:pStyle w:val="Tabletext8pt"/>
            </w:pPr>
            <w:r w:rsidRPr="00A55335">
              <w:t xml:space="preserve">MD </w:t>
            </w:r>
            <w:r w:rsidR="00274B8F" w:rsidRPr="00A55335">
              <w:rPr>
                <w:rStyle w:val="Strong"/>
              </w:rPr>
              <w:t>7.54</w:t>
            </w:r>
            <w:r w:rsidRPr="00A55335">
              <w:rPr>
                <w:rStyle w:val="Strong"/>
              </w:rPr>
              <w:t xml:space="preserve"> lower</w:t>
            </w:r>
            <w:r w:rsidRPr="00A55335">
              <w:br/>
              <w:t>(</w:t>
            </w:r>
            <w:r w:rsidR="00274B8F" w:rsidRPr="00A55335">
              <w:t>25.76</w:t>
            </w:r>
            <w:r w:rsidRPr="00A55335">
              <w:t xml:space="preserve"> lower to </w:t>
            </w:r>
            <w:r w:rsidR="00A04F60" w:rsidRPr="00A55335">
              <w:t>10.68</w:t>
            </w:r>
            <w:r w:rsidRPr="00A55335">
              <w:t xml:space="preserve"> higher)</w:t>
            </w:r>
          </w:p>
        </w:tc>
        <w:tc>
          <w:tcPr>
            <w:tcW w:w="506" w:type="pct"/>
            <w:tcBorders>
              <w:top w:val="single" w:sz="6" w:space="0" w:color="000000"/>
              <w:left w:val="nil"/>
              <w:bottom w:val="single" w:sz="6" w:space="0" w:color="000000"/>
              <w:right w:val="nil"/>
            </w:tcBorders>
            <w:vAlign w:val="center"/>
          </w:tcPr>
          <w:p w14:paraId="54B4E195" w14:textId="77777777" w:rsidR="006F53D7" w:rsidRPr="00A55335" w:rsidRDefault="006F53D7">
            <w:pPr>
              <w:pStyle w:val="Tabletext8pt"/>
              <w:jc w:val="center"/>
            </w:pPr>
            <w:r w:rsidRPr="00A55335">
              <w:t>-</w:t>
            </w:r>
          </w:p>
        </w:tc>
        <w:tc>
          <w:tcPr>
            <w:tcW w:w="578" w:type="pct"/>
            <w:tcBorders>
              <w:top w:val="single" w:sz="6" w:space="0" w:color="000000"/>
              <w:left w:val="nil"/>
              <w:bottom w:val="single" w:sz="6" w:space="0" w:color="000000"/>
              <w:right w:val="nil"/>
            </w:tcBorders>
            <w:vAlign w:val="center"/>
          </w:tcPr>
          <w:p w14:paraId="3A3EFF59" w14:textId="77777777" w:rsidR="006F53D7" w:rsidRPr="00A55335" w:rsidDel="002B74DC" w:rsidRDefault="006F53D7">
            <w:pPr>
              <w:pStyle w:val="Tabletext8pt"/>
              <w:jc w:val="center"/>
            </w:pPr>
            <w:r w:rsidRPr="00A55335">
              <w:t>104</w:t>
            </w:r>
            <w:r w:rsidRPr="00A55335">
              <w:br/>
              <w:t>(2 RCT)</w:t>
            </w:r>
            <w:r w:rsidRPr="00A55335">
              <w:rPr>
                <w:rFonts w:eastAsia="Times New Roman"/>
              </w:rPr>
              <w:t xml:space="preserve"> </w:t>
            </w:r>
            <w:r w:rsidRPr="00A55335">
              <w:rPr>
                <w:rStyle w:val="FootnoteReference"/>
              </w:rPr>
              <w:t>††</w:t>
            </w:r>
          </w:p>
        </w:tc>
        <w:tc>
          <w:tcPr>
            <w:tcW w:w="577" w:type="pct"/>
            <w:tcBorders>
              <w:top w:val="single" w:sz="6" w:space="0" w:color="000000"/>
              <w:left w:val="nil"/>
              <w:bottom w:val="single" w:sz="6" w:space="0" w:color="000000"/>
              <w:right w:val="nil"/>
            </w:tcBorders>
            <w:vAlign w:val="center"/>
          </w:tcPr>
          <w:p w14:paraId="1DD6DA97" w14:textId="77777777" w:rsidR="006F53D7" w:rsidRPr="00A55335" w:rsidRDefault="006F53D7">
            <w:pPr>
              <w:pStyle w:val="Tabletext8pt"/>
              <w:jc w:val="center"/>
              <w:rPr>
                <w:rStyle w:val="quality-sign"/>
                <w:rFonts w:ascii="Cambria Math" w:hAnsi="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c,e,f,g,h</w:t>
            </w:r>
            <w:proofErr w:type="spellEnd"/>
          </w:p>
        </w:tc>
        <w:tc>
          <w:tcPr>
            <w:tcW w:w="1064" w:type="pct"/>
            <w:tcBorders>
              <w:top w:val="single" w:sz="6" w:space="0" w:color="000000"/>
              <w:left w:val="nil"/>
              <w:bottom w:val="single" w:sz="6" w:space="0" w:color="000000"/>
              <w:right w:val="nil"/>
            </w:tcBorders>
            <w:vAlign w:val="center"/>
          </w:tcPr>
          <w:p w14:paraId="568CA3DA" w14:textId="4648A624" w:rsidR="006F53D7" w:rsidRPr="00A55335" w:rsidRDefault="006F53D7">
            <w:pPr>
              <w:pStyle w:val="Tabletext8pt"/>
              <w:rPr>
                <w:rFonts w:eastAsia="Times New Roman"/>
              </w:rPr>
            </w:pPr>
            <w:r w:rsidRPr="00A55335">
              <w:rPr>
                <w:rFonts w:eastAsia="Times New Roman"/>
              </w:rPr>
              <w:t>The evidence is very uncertain about the effect of homeopathy on ADHD symptoms for people with ADHD</w:t>
            </w:r>
            <w:r w:rsidR="00735CFE">
              <w:rPr>
                <w:rFonts w:eastAsia="Times New Roman"/>
              </w:rPr>
              <w:t xml:space="preserve"> **</w:t>
            </w:r>
          </w:p>
        </w:tc>
      </w:tr>
      <w:tr w:rsidR="000F34E0" w:rsidRPr="00A55335" w14:paraId="0959E874" w14:textId="77777777" w:rsidTr="003D3AC4">
        <w:trPr>
          <w:gridBefore w:val="1"/>
          <w:wBefore w:w="34" w:type="pct"/>
          <w:cantSplit/>
        </w:trPr>
        <w:tc>
          <w:tcPr>
            <w:tcW w:w="868" w:type="pct"/>
            <w:tcBorders>
              <w:top w:val="single" w:sz="6" w:space="0" w:color="000000"/>
              <w:left w:val="nil"/>
              <w:bottom w:val="single" w:sz="6" w:space="0" w:color="000000"/>
              <w:right w:val="nil"/>
            </w:tcBorders>
            <w:vAlign w:val="center"/>
            <w:hideMark/>
          </w:tcPr>
          <w:p w14:paraId="652EDBD1" w14:textId="4F18A96C" w:rsidR="00651351" w:rsidRPr="00A55335" w:rsidRDefault="00651351" w:rsidP="00651351">
            <w:pPr>
              <w:pStyle w:val="Tabletext8pt"/>
            </w:pPr>
            <w:r w:rsidRPr="00A55335">
              <w:t>Behaviour - not reported</w:t>
            </w:r>
          </w:p>
        </w:tc>
        <w:tc>
          <w:tcPr>
            <w:tcW w:w="687" w:type="pct"/>
            <w:tcBorders>
              <w:top w:val="single" w:sz="6" w:space="0" w:color="000000"/>
              <w:left w:val="nil"/>
              <w:bottom w:val="single" w:sz="6" w:space="0" w:color="000000"/>
              <w:right w:val="nil"/>
            </w:tcBorders>
            <w:shd w:val="clear" w:color="auto" w:fill="DEE2E4" w:themeFill="accent6" w:themeFillTint="33"/>
            <w:vAlign w:val="center"/>
            <w:hideMark/>
          </w:tcPr>
          <w:p w14:paraId="51B3CBC6" w14:textId="77777777" w:rsidR="00651351" w:rsidRPr="00A55335" w:rsidRDefault="00651351" w:rsidP="00651351">
            <w:pPr>
              <w:pStyle w:val="Tabletext8pt"/>
            </w:pPr>
            <w:r w:rsidRPr="00A55335">
              <w:t>-</w:t>
            </w:r>
          </w:p>
        </w:tc>
        <w:tc>
          <w:tcPr>
            <w:tcW w:w="687" w:type="pct"/>
            <w:tcBorders>
              <w:top w:val="single" w:sz="6" w:space="0" w:color="000000"/>
              <w:left w:val="nil"/>
              <w:bottom w:val="single" w:sz="6" w:space="0" w:color="000000"/>
              <w:right w:val="nil"/>
            </w:tcBorders>
            <w:shd w:val="clear" w:color="auto" w:fill="DEE2E4" w:themeFill="accent6" w:themeFillTint="33"/>
            <w:hideMark/>
          </w:tcPr>
          <w:p w14:paraId="799D4584" w14:textId="77777777" w:rsidR="00651351" w:rsidRPr="00A55335" w:rsidRDefault="00651351" w:rsidP="00651351">
            <w:pPr>
              <w:pStyle w:val="Tabletext8pt"/>
            </w:pPr>
            <w:r w:rsidRPr="00A55335">
              <w:t>-</w:t>
            </w:r>
          </w:p>
        </w:tc>
        <w:tc>
          <w:tcPr>
            <w:tcW w:w="506" w:type="pct"/>
            <w:tcBorders>
              <w:top w:val="single" w:sz="6" w:space="0" w:color="000000"/>
              <w:left w:val="nil"/>
              <w:bottom w:val="single" w:sz="6" w:space="0" w:color="000000"/>
              <w:right w:val="nil"/>
            </w:tcBorders>
            <w:vAlign w:val="center"/>
            <w:hideMark/>
          </w:tcPr>
          <w:p w14:paraId="2180C9F2" w14:textId="77777777" w:rsidR="00651351" w:rsidRPr="00A55335" w:rsidRDefault="00651351" w:rsidP="007252A0">
            <w:pPr>
              <w:pStyle w:val="Tabletext8pt"/>
              <w:jc w:val="center"/>
            </w:pPr>
            <w:r w:rsidRPr="00A55335">
              <w:t>-</w:t>
            </w:r>
          </w:p>
        </w:tc>
        <w:tc>
          <w:tcPr>
            <w:tcW w:w="578" w:type="pct"/>
            <w:tcBorders>
              <w:top w:val="single" w:sz="6" w:space="0" w:color="000000"/>
              <w:left w:val="nil"/>
              <w:bottom w:val="single" w:sz="6" w:space="0" w:color="000000"/>
              <w:right w:val="nil"/>
            </w:tcBorders>
            <w:vAlign w:val="center"/>
            <w:hideMark/>
          </w:tcPr>
          <w:p w14:paraId="64D01F74" w14:textId="3FF48FE1" w:rsidR="00651351" w:rsidRPr="00A55335" w:rsidRDefault="00651351" w:rsidP="007252A0">
            <w:pPr>
              <w:pStyle w:val="Tabletext8pt"/>
              <w:jc w:val="center"/>
              <w:rPr>
                <w:rFonts w:eastAsia="Times New Roman"/>
              </w:rPr>
            </w:pPr>
            <w:r w:rsidRPr="00A55335">
              <w:rPr>
                <w:rFonts w:eastAsia="Times New Roman"/>
              </w:rPr>
              <w:t>(0 studies)</w:t>
            </w:r>
          </w:p>
        </w:tc>
        <w:tc>
          <w:tcPr>
            <w:tcW w:w="577" w:type="pct"/>
            <w:tcBorders>
              <w:top w:val="single" w:sz="6" w:space="0" w:color="000000"/>
              <w:left w:val="nil"/>
              <w:bottom w:val="single" w:sz="6" w:space="0" w:color="000000"/>
              <w:right w:val="nil"/>
            </w:tcBorders>
            <w:vAlign w:val="center"/>
            <w:hideMark/>
          </w:tcPr>
          <w:p w14:paraId="1F539D7A" w14:textId="77777777" w:rsidR="00651351" w:rsidRPr="00A55335" w:rsidRDefault="00651351" w:rsidP="00651351">
            <w:pPr>
              <w:pStyle w:val="Qualitytext"/>
            </w:pPr>
            <w:r w:rsidRPr="00A55335">
              <w:t>-</w:t>
            </w:r>
          </w:p>
        </w:tc>
        <w:tc>
          <w:tcPr>
            <w:tcW w:w="1064" w:type="pct"/>
            <w:tcBorders>
              <w:top w:val="single" w:sz="6" w:space="0" w:color="000000"/>
              <w:left w:val="nil"/>
              <w:bottom w:val="single" w:sz="6" w:space="0" w:color="000000"/>
              <w:right w:val="nil"/>
            </w:tcBorders>
            <w:vAlign w:val="center"/>
            <w:hideMark/>
          </w:tcPr>
          <w:p w14:paraId="65CD2038" w14:textId="383544C3" w:rsidR="00651351" w:rsidRPr="00A55335" w:rsidRDefault="00651351" w:rsidP="00651351">
            <w:pPr>
              <w:pStyle w:val="Tabletext8pt"/>
              <w:rPr>
                <w:rFonts w:eastAsia="Times New Roman"/>
              </w:rPr>
            </w:pPr>
            <w:r w:rsidRPr="00A55335">
              <w:rPr>
                <w:szCs w:val="18"/>
              </w:rPr>
              <w:t xml:space="preserve">The effect of homeopathy on behaviour in people with </w:t>
            </w:r>
            <w:r w:rsidRPr="00A55335">
              <w:rPr>
                <w:rFonts w:eastAsia="Times New Roman"/>
              </w:rPr>
              <w:t>ADHD</w:t>
            </w:r>
            <w:r w:rsidRPr="00A55335">
              <w:rPr>
                <w:szCs w:val="18"/>
              </w:rPr>
              <w:t xml:space="preserve"> is unknown</w:t>
            </w:r>
          </w:p>
        </w:tc>
      </w:tr>
      <w:tr w:rsidR="000F34E0" w:rsidRPr="00A55335" w14:paraId="1C15224A" w14:textId="77777777" w:rsidTr="003D3AC4">
        <w:trPr>
          <w:gridBefore w:val="1"/>
          <w:wBefore w:w="34" w:type="pct"/>
          <w:cantSplit/>
        </w:trPr>
        <w:tc>
          <w:tcPr>
            <w:tcW w:w="868" w:type="pct"/>
            <w:tcBorders>
              <w:top w:val="single" w:sz="6" w:space="0" w:color="000000"/>
              <w:left w:val="nil"/>
              <w:bottom w:val="single" w:sz="6" w:space="0" w:color="000000"/>
              <w:right w:val="nil"/>
            </w:tcBorders>
            <w:vAlign w:val="center"/>
            <w:hideMark/>
          </w:tcPr>
          <w:p w14:paraId="59375107" w14:textId="002881DC" w:rsidR="00651351" w:rsidRPr="00A55335" w:rsidRDefault="00651351" w:rsidP="00651351">
            <w:pPr>
              <w:pStyle w:val="Tabletext8pt"/>
            </w:pPr>
            <w:r w:rsidRPr="00A55335">
              <w:t>Emotional function - not reported</w:t>
            </w:r>
          </w:p>
        </w:tc>
        <w:tc>
          <w:tcPr>
            <w:tcW w:w="687" w:type="pct"/>
            <w:tcBorders>
              <w:top w:val="single" w:sz="6" w:space="0" w:color="000000"/>
              <w:left w:val="nil"/>
              <w:bottom w:val="single" w:sz="6" w:space="0" w:color="000000"/>
              <w:right w:val="nil"/>
            </w:tcBorders>
            <w:shd w:val="clear" w:color="auto" w:fill="DEE2E4" w:themeFill="accent6" w:themeFillTint="33"/>
            <w:vAlign w:val="center"/>
            <w:hideMark/>
          </w:tcPr>
          <w:p w14:paraId="3A2C5DCC" w14:textId="77777777" w:rsidR="00651351" w:rsidRPr="00A55335" w:rsidRDefault="00651351" w:rsidP="00651351">
            <w:pPr>
              <w:pStyle w:val="Tabletext8pt"/>
            </w:pPr>
            <w:r w:rsidRPr="00A55335">
              <w:t>-</w:t>
            </w:r>
          </w:p>
        </w:tc>
        <w:tc>
          <w:tcPr>
            <w:tcW w:w="687" w:type="pct"/>
            <w:tcBorders>
              <w:top w:val="single" w:sz="6" w:space="0" w:color="000000"/>
              <w:left w:val="nil"/>
              <w:bottom w:val="single" w:sz="6" w:space="0" w:color="000000"/>
              <w:right w:val="nil"/>
            </w:tcBorders>
            <w:shd w:val="clear" w:color="auto" w:fill="DEE2E4" w:themeFill="accent6" w:themeFillTint="33"/>
            <w:hideMark/>
          </w:tcPr>
          <w:p w14:paraId="5317364C" w14:textId="77777777" w:rsidR="00651351" w:rsidRPr="00A55335" w:rsidRDefault="00651351" w:rsidP="00651351">
            <w:pPr>
              <w:pStyle w:val="Tabletext8pt"/>
            </w:pPr>
            <w:r w:rsidRPr="00A55335">
              <w:t>-</w:t>
            </w:r>
          </w:p>
        </w:tc>
        <w:tc>
          <w:tcPr>
            <w:tcW w:w="506" w:type="pct"/>
            <w:tcBorders>
              <w:top w:val="single" w:sz="6" w:space="0" w:color="000000"/>
              <w:left w:val="nil"/>
              <w:bottom w:val="single" w:sz="6" w:space="0" w:color="000000"/>
              <w:right w:val="nil"/>
            </w:tcBorders>
            <w:vAlign w:val="center"/>
            <w:hideMark/>
          </w:tcPr>
          <w:p w14:paraId="3C8ADD9F" w14:textId="77777777" w:rsidR="00651351" w:rsidRPr="00A55335" w:rsidRDefault="00651351" w:rsidP="007252A0">
            <w:pPr>
              <w:pStyle w:val="Tabletext8pt"/>
              <w:jc w:val="center"/>
            </w:pPr>
            <w:r w:rsidRPr="00A55335">
              <w:t>-</w:t>
            </w:r>
          </w:p>
        </w:tc>
        <w:tc>
          <w:tcPr>
            <w:tcW w:w="578" w:type="pct"/>
            <w:tcBorders>
              <w:top w:val="single" w:sz="6" w:space="0" w:color="000000"/>
              <w:left w:val="nil"/>
              <w:bottom w:val="single" w:sz="6" w:space="0" w:color="000000"/>
              <w:right w:val="nil"/>
            </w:tcBorders>
            <w:vAlign w:val="center"/>
            <w:hideMark/>
          </w:tcPr>
          <w:p w14:paraId="3664F8B3" w14:textId="361EE553" w:rsidR="00651351" w:rsidRPr="00A55335" w:rsidRDefault="00651351" w:rsidP="007252A0">
            <w:pPr>
              <w:pStyle w:val="Tabletext8pt"/>
              <w:jc w:val="center"/>
              <w:rPr>
                <w:rFonts w:eastAsia="Times New Roman"/>
              </w:rPr>
            </w:pPr>
            <w:r w:rsidRPr="00A55335">
              <w:rPr>
                <w:rFonts w:eastAsia="Times New Roman"/>
              </w:rPr>
              <w:t>(0 studies)</w:t>
            </w:r>
          </w:p>
        </w:tc>
        <w:tc>
          <w:tcPr>
            <w:tcW w:w="577" w:type="pct"/>
            <w:tcBorders>
              <w:top w:val="single" w:sz="6" w:space="0" w:color="000000"/>
              <w:left w:val="nil"/>
              <w:bottom w:val="single" w:sz="6" w:space="0" w:color="000000"/>
              <w:right w:val="nil"/>
            </w:tcBorders>
            <w:vAlign w:val="center"/>
            <w:hideMark/>
          </w:tcPr>
          <w:p w14:paraId="5AA5BFFF" w14:textId="77777777" w:rsidR="00651351" w:rsidRPr="00A55335" w:rsidRDefault="00651351" w:rsidP="00651351">
            <w:pPr>
              <w:pStyle w:val="Qualitytext"/>
            </w:pPr>
            <w:r w:rsidRPr="00A55335">
              <w:t>-</w:t>
            </w:r>
          </w:p>
        </w:tc>
        <w:tc>
          <w:tcPr>
            <w:tcW w:w="1064" w:type="pct"/>
            <w:tcBorders>
              <w:top w:val="single" w:sz="6" w:space="0" w:color="000000"/>
              <w:left w:val="nil"/>
              <w:bottom w:val="single" w:sz="6" w:space="0" w:color="000000"/>
              <w:right w:val="nil"/>
            </w:tcBorders>
            <w:vAlign w:val="center"/>
            <w:hideMark/>
          </w:tcPr>
          <w:p w14:paraId="23C372BA" w14:textId="6E9BB4D8" w:rsidR="00651351" w:rsidRPr="00A55335" w:rsidRDefault="00651351" w:rsidP="00651351">
            <w:pPr>
              <w:pStyle w:val="Tabletext8pt"/>
              <w:rPr>
                <w:rFonts w:eastAsia="Times New Roman"/>
              </w:rPr>
            </w:pPr>
            <w:r w:rsidRPr="00A55335">
              <w:rPr>
                <w:szCs w:val="18"/>
              </w:rPr>
              <w:t xml:space="preserve">The effect of homeopathy on symptom severity in people with </w:t>
            </w:r>
            <w:r w:rsidRPr="00A55335">
              <w:rPr>
                <w:rFonts w:eastAsia="Times New Roman"/>
              </w:rPr>
              <w:t>ADHD</w:t>
            </w:r>
            <w:r w:rsidRPr="00A55335">
              <w:rPr>
                <w:szCs w:val="18"/>
              </w:rPr>
              <w:t xml:space="preserve"> is unknown.</w:t>
            </w:r>
          </w:p>
        </w:tc>
      </w:tr>
      <w:tr w:rsidR="000F34E0" w:rsidRPr="00A55335" w14:paraId="1ED479DB" w14:textId="77777777" w:rsidTr="003D3AC4">
        <w:trPr>
          <w:gridBefore w:val="1"/>
          <w:wBefore w:w="34" w:type="pct"/>
          <w:cantSplit/>
        </w:trPr>
        <w:tc>
          <w:tcPr>
            <w:tcW w:w="868" w:type="pct"/>
            <w:tcBorders>
              <w:top w:val="single" w:sz="6" w:space="0" w:color="000000"/>
              <w:left w:val="nil"/>
              <w:bottom w:val="single" w:sz="6" w:space="0" w:color="000000"/>
              <w:right w:val="nil"/>
            </w:tcBorders>
            <w:vAlign w:val="center"/>
            <w:hideMark/>
          </w:tcPr>
          <w:p w14:paraId="37E5E68A" w14:textId="2D0A7E6F" w:rsidR="005E02C0" w:rsidRPr="00A55335" w:rsidRDefault="005E02C0" w:rsidP="003D3AC4">
            <w:pPr>
              <w:pStyle w:val="Tabletext8pt"/>
            </w:pPr>
            <w:r w:rsidRPr="00A55335">
              <w:t>Health-related quality of life - not reported</w:t>
            </w:r>
          </w:p>
        </w:tc>
        <w:tc>
          <w:tcPr>
            <w:tcW w:w="687" w:type="pct"/>
            <w:tcBorders>
              <w:top w:val="single" w:sz="6" w:space="0" w:color="000000"/>
              <w:left w:val="nil"/>
              <w:bottom w:val="single" w:sz="6" w:space="0" w:color="000000"/>
              <w:right w:val="nil"/>
            </w:tcBorders>
            <w:shd w:val="clear" w:color="auto" w:fill="DEE2E4" w:themeFill="accent6" w:themeFillTint="33"/>
            <w:vAlign w:val="center"/>
            <w:hideMark/>
          </w:tcPr>
          <w:p w14:paraId="09CA142D" w14:textId="12AC785C" w:rsidR="005E02C0" w:rsidRPr="00A55335" w:rsidRDefault="005E02C0" w:rsidP="003D3AC4">
            <w:pPr>
              <w:pStyle w:val="Tabletext8pt"/>
            </w:pPr>
            <w:r w:rsidRPr="00A55335">
              <w:t>-</w:t>
            </w:r>
          </w:p>
        </w:tc>
        <w:tc>
          <w:tcPr>
            <w:tcW w:w="687" w:type="pct"/>
            <w:tcBorders>
              <w:top w:val="single" w:sz="6" w:space="0" w:color="000000"/>
              <w:left w:val="nil"/>
              <w:bottom w:val="single" w:sz="6" w:space="0" w:color="000000"/>
              <w:right w:val="nil"/>
            </w:tcBorders>
            <w:shd w:val="clear" w:color="auto" w:fill="DEE2E4" w:themeFill="accent6" w:themeFillTint="33"/>
            <w:hideMark/>
          </w:tcPr>
          <w:p w14:paraId="2874C63C" w14:textId="6BC5E41E" w:rsidR="005E02C0" w:rsidRPr="00A55335" w:rsidRDefault="005E02C0" w:rsidP="003D3AC4">
            <w:pPr>
              <w:pStyle w:val="Tabletext8pt"/>
            </w:pPr>
            <w:r w:rsidRPr="00A55335">
              <w:t>-</w:t>
            </w:r>
          </w:p>
        </w:tc>
        <w:tc>
          <w:tcPr>
            <w:tcW w:w="506" w:type="pct"/>
            <w:tcBorders>
              <w:top w:val="single" w:sz="6" w:space="0" w:color="000000"/>
              <w:left w:val="nil"/>
              <w:bottom w:val="single" w:sz="6" w:space="0" w:color="000000"/>
              <w:right w:val="nil"/>
            </w:tcBorders>
            <w:vAlign w:val="center"/>
            <w:hideMark/>
          </w:tcPr>
          <w:p w14:paraId="22E5B501" w14:textId="21CD4E4F" w:rsidR="005E02C0" w:rsidRPr="00A55335" w:rsidRDefault="005E02C0" w:rsidP="007252A0">
            <w:pPr>
              <w:pStyle w:val="Tabletext8pt"/>
              <w:jc w:val="center"/>
            </w:pPr>
            <w:r w:rsidRPr="00A55335">
              <w:t>-</w:t>
            </w:r>
          </w:p>
        </w:tc>
        <w:tc>
          <w:tcPr>
            <w:tcW w:w="578" w:type="pct"/>
            <w:tcBorders>
              <w:top w:val="single" w:sz="6" w:space="0" w:color="000000"/>
              <w:left w:val="nil"/>
              <w:bottom w:val="single" w:sz="6" w:space="0" w:color="000000"/>
              <w:right w:val="nil"/>
            </w:tcBorders>
            <w:vAlign w:val="center"/>
            <w:hideMark/>
          </w:tcPr>
          <w:p w14:paraId="615DAC98" w14:textId="5C41E678" w:rsidR="005E02C0" w:rsidRPr="00A55335" w:rsidRDefault="005E02C0" w:rsidP="007252A0">
            <w:pPr>
              <w:pStyle w:val="Tabletext8pt"/>
              <w:jc w:val="center"/>
              <w:rPr>
                <w:rFonts w:eastAsia="Times New Roman"/>
              </w:rPr>
            </w:pPr>
            <w:r w:rsidRPr="00A55335">
              <w:rPr>
                <w:rFonts w:eastAsia="Times New Roman"/>
              </w:rPr>
              <w:t>(0 studies)</w:t>
            </w:r>
          </w:p>
        </w:tc>
        <w:tc>
          <w:tcPr>
            <w:tcW w:w="577" w:type="pct"/>
            <w:tcBorders>
              <w:top w:val="single" w:sz="6" w:space="0" w:color="000000"/>
              <w:left w:val="nil"/>
              <w:bottom w:val="single" w:sz="6" w:space="0" w:color="000000"/>
              <w:right w:val="nil"/>
            </w:tcBorders>
            <w:vAlign w:val="center"/>
            <w:hideMark/>
          </w:tcPr>
          <w:p w14:paraId="61B33D20" w14:textId="341D7ECF" w:rsidR="005E02C0" w:rsidRPr="00A55335" w:rsidRDefault="005E02C0" w:rsidP="003D3AC4">
            <w:pPr>
              <w:pStyle w:val="Tabletext8pt"/>
              <w:jc w:val="center"/>
            </w:pPr>
            <w:r w:rsidRPr="00A55335">
              <w:t>-</w:t>
            </w:r>
          </w:p>
        </w:tc>
        <w:tc>
          <w:tcPr>
            <w:tcW w:w="1064" w:type="pct"/>
            <w:tcBorders>
              <w:top w:val="single" w:sz="6" w:space="0" w:color="000000"/>
              <w:left w:val="nil"/>
              <w:bottom w:val="single" w:sz="6" w:space="0" w:color="000000"/>
              <w:right w:val="nil"/>
            </w:tcBorders>
            <w:vAlign w:val="center"/>
            <w:hideMark/>
          </w:tcPr>
          <w:p w14:paraId="343CE2C5" w14:textId="2C2FF161" w:rsidR="005E02C0" w:rsidRPr="00A55335" w:rsidRDefault="005E02C0" w:rsidP="003D3AC4">
            <w:pPr>
              <w:pStyle w:val="Tabletext8pt"/>
              <w:rPr>
                <w:rFonts w:eastAsia="Times New Roman"/>
              </w:rPr>
            </w:pPr>
            <w:r w:rsidRPr="00A55335">
              <w:rPr>
                <w:szCs w:val="18"/>
              </w:rPr>
              <w:t xml:space="preserve">The effect of homeopathy on quality of life in people with </w:t>
            </w:r>
            <w:r w:rsidRPr="00A55335">
              <w:rPr>
                <w:rFonts w:eastAsia="Times New Roman"/>
              </w:rPr>
              <w:t>ADHD</w:t>
            </w:r>
            <w:r w:rsidRPr="00A55335">
              <w:rPr>
                <w:szCs w:val="18"/>
              </w:rPr>
              <w:t xml:space="preserve"> is unknown</w:t>
            </w:r>
          </w:p>
        </w:tc>
      </w:tr>
      <w:tr w:rsidR="00651351" w:rsidRPr="00A55335" w14:paraId="250E97B4" w14:textId="77777777" w:rsidTr="003D3AC4">
        <w:trPr>
          <w:gridBefore w:val="1"/>
          <w:wBefore w:w="34" w:type="pct"/>
          <w:cantSplit/>
        </w:trPr>
        <w:tc>
          <w:tcPr>
            <w:tcW w:w="4966" w:type="pct"/>
            <w:gridSpan w:val="7"/>
            <w:tcBorders>
              <w:top w:val="single" w:sz="6" w:space="0" w:color="000000"/>
              <w:left w:val="nil"/>
              <w:bottom w:val="single" w:sz="6" w:space="0" w:color="000000"/>
              <w:right w:val="nil"/>
            </w:tcBorders>
            <w:vAlign w:val="center"/>
            <w:hideMark/>
          </w:tcPr>
          <w:p w14:paraId="71D126C1" w14:textId="77777777" w:rsidR="00651351" w:rsidRPr="00A55335" w:rsidRDefault="00651351" w:rsidP="00651351">
            <w:pPr>
              <w:pStyle w:val="TableFigNotes18"/>
            </w:pPr>
            <w:r w:rsidRPr="00A55335">
              <w:lastRenderedPageBreak/>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68695FB0" w14:textId="77777777" w:rsidR="00573945" w:rsidRDefault="00573945" w:rsidP="00573945">
            <w:pPr>
              <w:pStyle w:val="TableFigNotes18"/>
            </w:pPr>
            <w:r>
              <w:t xml:space="preserve">** </w:t>
            </w:r>
            <w:r w:rsidRPr="009B5C71">
              <w:t>Effect estimates were considered on 3 levels: small (MD &lt;10% of the scale), moderate (MD between 10% to 20% of the scale) or large (MD more than 20% of the scale).</w:t>
            </w:r>
          </w:p>
          <w:p w14:paraId="3CE7DA76" w14:textId="62B36E48" w:rsidR="00304022" w:rsidRPr="00A55335" w:rsidRDefault="00CD2B27" w:rsidP="00651351">
            <w:pPr>
              <w:pStyle w:val="TableFigNotes18"/>
            </w:pPr>
            <w:r>
              <w:br/>
            </w:r>
            <w:r w:rsidR="00651351" w:rsidRPr="00A55335">
              <w:t>† Data from one study (62 participants) not included in the meta-analysis as the study did not report means, SD or 95% CI. Study authors reported a mean difference of 1.67 points in favour of the homeopathy group.</w:t>
            </w:r>
            <w:r w:rsidR="00304022" w:rsidRPr="00A55335">
              <w:t xml:space="preserve"> </w:t>
            </w:r>
          </w:p>
          <w:p w14:paraId="6C8FF3C9" w14:textId="716AF564" w:rsidR="00651351" w:rsidRPr="00A55335" w:rsidRDefault="00304022" w:rsidP="00651351">
            <w:pPr>
              <w:pStyle w:val="TableFigNotes18"/>
            </w:pPr>
            <w:r w:rsidRPr="00A55335">
              <w:t>†† Data from one study (20 participants) not included in the meta-analysis as the study did not report means, SD or 95% CI.</w:t>
            </w:r>
          </w:p>
          <w:p w14:paraId="505341C2" w14:textId="1C270E33" w:rsidR="00651351" w:rsidRPr="00A55335" w:rsidRDefault="00651351" w:rsidP="00651351">
            <w:pPr>
              <w:pStyle w:val="TableFigNotes0"/>
            </w:pPr>
            <w:r w:rsidRPr="00A55335">
              <w:rPr>
                <w:rStyle w:val="Strong"/>
              </w:rPr>
              <w:t xml:space="preserve">ADHD: </w:t>
            </w:r>
            <w:r w:rsidRPr="00A55335">
              <w:t>attention deficit hyperactivity disorder;</w:t>
            </w:r>
            <w:r w:rsidRPr="00A55335">
              <w:rPr>
                <w:rStyle w:val="Strong"/>
              </w:rPr>
              <w:t xml:space="preserve"> CI:</w:t>
            </w:r>
            <w:r w:rsidRPr="00A55335">
              <w:t xml:space="preserve"> confidence interval; </w:t>
            </w:r>
            <w:r w:rsidRPr="00A55335">
              <w:rPr>
                <w:rStyle w:val="Strong"/>
              </w:rPr>
              <w:t>CPRS-R:S:</w:t>
            </w:r>
            <w:r w:rsidRPr="00A55335">
              <w:t xml:space="preserve"> Connor’s Parent Rating Scale – Revised: Short; </w:t>
            </w:r>
            <w:r w:rsidRPr="00A55335">
              <w:rPr>
                <w:rStyle w:val="Strong"/>
              </w:rPr>
              <w:t>MD:</w:t>
            </w:r>
            <w:r w:rsidRPr="00A55335">
              <w:t xml:space="preserve"> mean difference; </w:t>
            </w:r>
            <w:r w:rsidRPr="00A55335">
              <w:rPr>
                <w:rStyle w:val="Strong"/>
              </w:rPr>
              <w:t>SMD:</w:t>
            </w:r>
            <w:r w:rsidRPr="00A55335">
              <w:t xml:space="preserve"> standardised mean difference; </w:t>
            </w:r>
            <w:r w:rsidRPr="00A55335">
              <w:rPr>
                <w:rStyle w:val="Strong"/>
              </w:rPr>
              <w:t>RCT</w:t>
            </w:r>
            <w:r w:rsidRPr="00A55335">
              <w:t>: Randomised controlled trial.</w:t>
            </w:r>
          </w:p>
        </w:tc>
      </w:tr>
      <w:tr w:rsidR="00651351" w:rsidRPr="00A55335" w14:paraId="66DD957A" w14:textId="77777777" w:rsidTr="003D3AC4">
        <w:trPr>
          <w:gridBefore w:val="1"/>
          <w:wBefore w:w="34" w:type="pct"/>
          <w:cantSplit/>
        </w:trPr>
        <w:tc>
          <w:tcPr>
            <w:tcW w:w="4966" w:type="pct"/>
            <w:gridSpan w:val="7"/>
            <w:tcBorders>
              <w:top w:val="single" w:sz="6" w:space="0" w:color="000000"/>
              <w:left w:val="nil"/>
              <w:bottom w:val="single" w:sz="6" w:space="0" w:color="000000"/>
              <w:right w:val="nil"/>
            </w:tcBorders>
            <w:vAlign w:val="center"/>
            <w:hideMark/>
          </w:tcPr>
          <w:p w14:paraId="3BDEA145" w14:textId="77777777" w:rsidR="00651351" w:rsidRPr="00A55335" w:rsidRDefault="00651351" w:rsidP="00651351">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5DBC591D" w14:textId="77777777" w:rsidR="00DD505D" w:rsidRPr="00A55335" w:rsidRDefault="00E35087" w:rsidP="00E35087">
      <w:pPr>
        <w:pStyle w:val="Heading5a"/>
        <w:rPr>
          <w:lang w:val="en-AU"/>
        </w:rPr>
      </w:pPr>
      <w:r w:rsidRPr="00A55335">
        <w:rPr>
          <w:lang w:val="en-AU"/>
        </w:rPr>
        <w:t>Explanations</w:t>
      </w:r>
    </w:p>
    <w:p w14:paraId="13C355BD" w14:textId="77777777" w:rsidR="004E511F" w:rsidRPr="00A55335" w:rsidRDefault="00DD505D" w:rsidP="0040381B">
      <w:pPr>
        <w:pStyle w:val="Footnote"/>
      </w:pPr>
      <w:r w:rsidRPr="00A55335">
        <w:t xml:space="preserve">a. </w:t>
      </w:r>
      <w:r w:rsidR="004E511F" w:rsidRPr="00A55335">
        <w:t xml:space="preserve">No serious risk of bias. Certainty of evidence not downgraded. </w:t>
      </w:r>
    </w:p>
    <w:p w14:paraId="239A600C" w14:textId="48C310E4" w:rsidR="004E511F" w:rsidRPr="00A55335" w:rsidRDefault="00DD505D" w:rsidP="004E511F">
      <w:pPr>
        <w:pStyle w:val="Footnote"/>
      </w:pPr>
      <w:r w:rsidRPr="00A55335">
        <w:t xml:space="preserve">b. </w:t>
      </w:r>
      <w:r w:rsidR="004E511F" w:rsidRPr="00A55335">
        <w:t xml:space="preserve">Single study. Inconsistency not assessed. Certainty of evidence not downgraded. </w:t>
      </w:r>
    </w:p>
    <w:p w14:paraId="5E7C0180" w14:textId="5A7898CB" w:rsidR="004E511F" w:rsidRPr="00A55335" w:rsidRDefault="004E511F" w:rsidP="0040381B">
      <w:pPr>
        <w:pStyle w:val="Footnote"/>
      </w:pPr>
      <w:r w:rsidRPr="00A55335">
        <w:t xml:space="preserve">c. No serious indirectness. </w:t>
      </w:r>
      <w:r w:rsidR="0027397B" w:rsidRPr="00A55335">
        <w:t xml:space="preserve">The evidence is generalisable to the Australian population with some caveats. The </w:t>
      </w:r>
      <w:r w:rsidRPr="00A55335">
        <w:t>available evidence in is children</w:t>
      </w:r>
      <w:r w:rsidR="001C6718" w:rsidRPr="00A55335">
        <w:t xml:space="preserve"> aged 6 to 1</w:t>
      </w:r>
      <w:r w:rsidR="00173DF4" w:rsidRPr="00A55335">
        <w:t>5</w:t>
      </w:r>
      <w:r w:rsidR="001C6718" w:rsidRPr="00A55335">
        <w:t xml:space="preserve"> years (</w:t>
      </w:r>
      <w:r w:rsidR="0027397B" w:rsidRPr="00A55335">
        <w:t>&gt;75%</w:t>
      </w:r>
      <w:r w:rsidR="001C6718" w:rsidRPr="00A55335">
        <w:t xml:space="preserve"> male)</w:t>
      </w:r>
      <w:r w:rsidR="0027397B" w:rsidRPr="00A55335">
        <w:t xml:space="preserve"> with ADHD. </w:t>
      </w:r>
      <w:r w:rsidR="004E1DBD" w:rsidRPr="00A55335">
        <w:t xml:space="preserve">It may not be applicable to </w:t>
      </w:r>
      <w:r w:rsidR="00A417CB" w:rsidRPr="00A55335">
        <w:t>adults with ADHD. Certainty of evidence not downgraded.</w:t>
      </w:r>
    </w:p>
    <w:p w14:paraId="7E9EFE9F" w14:textId="28A6E844" w:rsidR="00A417CB" w:rsidRPr="00A55335" w:rsidRDefault="00A417CB" w:rsidP="0040381B">
      <w:pPr>
        <w:pStyle w:val="Footnote"/>
      </w:pPr>
      <w:r w:rsidRPr="00A55335">
        <w:t xml:space="preserve">d. Very serious imprecision. Single small study with wide </w:t>
      </w:r>
      <w:r w:rsidR="00F11D3E" w:rsidRPr="00A55335">
        <w:t>co</w:t>
      </w:r>
      <w:r w:rsidR="00A93E55" w:rsidRPr="00A55335">
        <w:t xml:space="preserve">nfidence intervals (upper and lower bound overlap with both and important </w:t>
      </w:r>
      <w:r w:rsidR="00F661C6" w:rsidRPr="00A55335">
        <w:t>benefit and harms)</w:t>
      </w:r>
      <w:r w:rsidR="004733EF" w:rsidRPr="00A55335">
        <w:t>. Certainty of evidence downgraded</w:t>
      </w:r>
      <w:r w:rsidR="00D45E19" w:rsidRPr="00A55335">
        <w:t xml:space="preserve"> 2 levels</w:t>
      </w:r>
      <w:r w:rsidR="004733EF" w:rsidRPr="00A55335">
        <w:t>.</w:t>
      </w:r>
    </w:p>
    <w:p w14:paraId="60F7319D" w14:textId="3F692B76" w:rsidR="00D112AB" w:rsidRPr="00A55335" w:rsidRDefault="00653F4F" w:rsidP="00D112AB">
      <w:pPr>
        <w:pStyle w:val="Footnote"/>
      </w:pPr>
      <w:r w:rsidRPr="00A55335">
        <w:t xml:space="preserve">e. </w:t>
      </w:r>
      <w:r w:rsidR="00DD505D" w:rsidRPr="00A55335">
        <w:t>Publication bias suspected. There is a strong suspicion of non-reporting of results likely to be related to p-value, direction, or magnitude of effect.</w:t>
      </w:r>
      <w:r w:rsidR="00D112AB" w:rsidRPr="00A55335">
        <w:t xml:space="preserve"> </w:t>
      </w:r>
      <w:r w:rsidR="00A350B1" w:rsidRPr="00A55335">
        <w:t xml:space="preserve">At least one study listed as ongoing likely to be complete, but results were not available. </w:t>
      </w:r>
      <w:r w:rsidR="00D112AB" w:rsidRPr="00A55335">
        <w:t>Certainty of evidence downgraded.</w:t>
      </w:r>
    </w:p>
    <w:p w14:paraId="62686DD9" w14:textId="5209F56B" w:rsidR="00B77652" w:rsidRPr="00A55335" w:rsidRDefault="00190EC3" w:rsidP="0007346A">
      <w:pPr>
        <w:pStyle w:val="Footnote"/>
      </w:pPr>
      <w:r w:rsidRPr="00A55335">
        <w:t>f</w:t>
      </w:r>
      <w:r w:rsidR="00DD505D" w:rsidRPr="00A55335">
        <w:t xml:space="preserve">. </w:t>
      </w:r>
      <w:proofErr w:type="gramStart"/>
      <w:r w:rsidR="00D955D6">
        <w:t>Serious</w:t>
      </w:r>
      <w:proofErr w:type="gramEnd"/>
      <w:r w:rsidR="00D955D6">
        <w:t xml:space="preserve"> risk of bias. </w:t>
      </w:r>
      <w:r w:rsidR="00DD505D" w:rsidRPr="00A55335">
        <w:t xml:space="preserve">One study </w:t>
      </w:r>
      <w:r w:rsidRPr="00A55335">
        <w:t xml:space="preserve">contributing </w:t>
      </w:r>
      <w:r w:rsidR="00B63341" w:rsidRPr="00A55335">
        <w:t>~</w:t>
      </w:r>
      <w:r w:rsidRPr="00A55335">
        <w:t>5</w:t>
      </w:r>
      <w:r w:rsidR="00412EA6" w:rsidRPr="00A55335">
        <w:t>0</w:t>
      </w:r>
      <w:r w:rsidR="00DD505D" w:rsidRPr="00A55335">
        <w:t>% of data was at high risk of bias.</w:t>
      </w:r>
      <w:r w:rsidR="0007346A" w:rsidRPr="00A55335">
        <w:t xml:space="preserve"> Certainty of evidence downgraded.</w:t>
      </w:r>
    </w:p>
    <w:p w14:paraId="4AFF1F5C" w14:textId="507DBF4B" w:rsidR="0007346A" w:rsidRPr="00A55335" w:rsidRDefault="00B77652" w:rsidP="0007346A">
      <w:pPr>
        <w:pStyle w:val="Footnote"/>
      </w:pPr>
      <w:r w:rsidRPr="00A55335">
        <w:t xml:space="preserve">g. </w:t>
      </w:r>
      <w:proofErr w:type="gramStart"/>
      <w:r w:rsidR="00A350B1" w:rsidRPr="00A55335">
        <w:t>Serious</w:t>
      </w:r>
      <w:proofErr w:type="gramEnd"/>
      <w:r w:rsidR="00A350B1" w:rsidRPr="00A55335">
        <w:t xml:space="preserve"> inconsistency. </w:t>
      </w:r>
      <w:r w:rsidR="00180EC8" w:rsidRPr="00A55335">
        <w:t>Point estimates vary, with one study suggesting an effect favouring homeopathy and the other favouring placebo. Statistical heterogeneity was high (I</w:t>
      </w:r>
      <w:r w:rsidR="00180EC8" w:rsidRPr="00A55335">
        <w:rPr>
          <w:rStyle w:val="FootnoteReference"/>
        </w:rPr>
        <w:t>2</w:t>
      </w:r>
      <w:r w:rsidR="00180EC8" w:rsidRPr="00A55335">
        <w:t xml:space="preserve"> </w:t>
      </w:r>
      <w:r w:rsidR="00E82FD6" w:rsidRPr="00A55335">
        <w:t>&gt;</w:t>
      </w:r>
      <w:r w:rsidR="00180EC8" w:rsidRPr="00A55335">
        <w:t xml:space="preserve"> </w:t>
      </w:r>
      <w:r w:rsidR="00E82FD6" w:rsidRPr="00A55335">
        <w:t>90</w:t>
      </w:r>
      <w:r w:rsidR="00180EC8" w:rsidRPr="00A55335">
        <w:t>%). Certainty of evidence downgraded.</w:t>
      </w:r>
    </w:p>
    <w:p w14:paraId="38D3D482" w14:textId="0F9CAD35" w:rsidR="00DD505D" w:rsidRPr="00A55335" w:rsidRDefault="00E82FD6" w:rsidP="00E82FD6">
      <w:pPr>
        <w:pStyle w:val="Footnote"/>
      </w:pPr>
      <w:r w:rsidRPr="00A55335">
        <w:t xml:space="preserve">h. </w:t>
      </w:r>
      <w:proofErr w:type="gramStart"/>
      <w:r w:rsidRPr="00A55335">
        <w:t>Serious</w:t>
      </w:r>
      <w:proofErr w:type="gramEnd"/>
      <w:r w:rsidRPr="00A55335">
        <w:t xml:space="preserve"> imprecision. Wide confidence intervals (upper and lower bounds overlap with both and important benefit and harms). Certainty of evidence downgraded.</w:t>
      </w:r>
    </w:p>
    <w:p w14:paraId="122A8A86" w14:textId="13C2F9F0" w:rsidR="0040381B" w:rsidRPr="00A55335" w:rsidRDefault="006070ED" w:rsidP="0040381B">
      <w:pPr>
        <w:pStyle w:val="Heading4"/>
      </w:pPr>
      <w:r w:rsidRPr="00A55335">
        <w:lastRenderedPageBreak/>
        <w:t>Secondary Comparison</w:t>
      </w:r>
      <w:r w:rsidR="0040381B" w:rsidRPr="00A55335">
        <w:t xml:space="preserve"> (vs </w:t>
      </w:r>
      <w:r w:rsidR="000B2BA5" w:rsidRPr="00A55335">
        <w:t xml:space="preserve">inactive </w:t>
      </w:r>
      <w:r w:rsidR="0040381B" w:rsidRPr="00A55335">
        <w:t xml:space="preserve">control) </w:t>
      </w:r>
    </w:p>
    <w:tbl>
      <w:tblPr>
        <w:tblW w:w="5000" w:type="pct"/>
        <w:tblLayout w:type="fixed"/>
        <w:tblCellMar>
          <w:top w:w="60" w:type="dxa"/>
          <w:left w:w="60" w:type="dxa"/>
          <w:bottom w:w="60" w:type="dxa"/>
          <w:right w:w="60" w:type="dxa"/>
        </w:tblCellMar>
        <w:tblLook w:val="04A0" w:firstRow="1" w:lastRow="0" w:firstColumn="1" w:lastColumn="0" w:noHBand="0" w:noVBand="1"/>
      </w:tblPr>
      <w:tblGrid>
        <w:gridCol w:w="1717"/>
        <w:gridCol w:w="1347"/>
        <w:gridCol w:w="1347"/>
        <w:gridCol w:w="992"/>
        <w:gridCol w:w="1132"/>
        <w:gridCol w:w="1130"/>
        <w:gridCol w:w="2080"/>
      </w:tblGrid>
      <w:tr w:rsidR="0032491A" w:rsidRPr="00A55335" w14:paraId="36A4280C" w14:textId="77777777" w:rsidTr="0032491A">
        <w:trPr>
          <w:cantSplit/>
          <w:tblHeader/>
        </w:trPr>
        <w:tc>
          <w:tcPr>
            <w:tcW w:w="5000" w:type="pct"/>
            <w:gridSpan w:val="7"/>
            <w:tcBorders>
              <w:top w:val="single" w:sz="12" w:space="0" w:color="auto"/>
              <w:bottom w:val="single" w:sz="12" w:space="0" w:color="auto"/>
            </w:tcBorders>
            <w:shd w:val="clear" w:color="auto" w:fill="auto"/>
            <w:vAlign w:val="bottom"/>
          </w:tcPr>
          <w:p w14:paraId="2D1C6D91" w14:textId="5983F214" w:rsidR="00DC2120" w:rsidRPr="00A55335" w:rsidRDefault="00DC2120">
            <w:pPr>
              <w:pStyle w:val="TableH1"/>
              <w:rPr>
                <w:color w:val="FFFFFF" w:themeColor="background2"/>
                <w:lang w:val="en-AU"/>
              </w:rPr>
            </w:pPr>
            <w:r w:rsidRPr="00A55335">
              <w:rPr>
                <w:lang w:val="en-AU"/>
              </w:rPr>
              <w:t xml:space="preserve">Homeopathy compared to </w:t>
            </w:r>
            <w:r w:rsidR="000B2BA5" w:rsidRPr="00A55335">
              <w:rPr>
                <w:lang w:val="en-AU"/>
              </w:rPr>
              <w:t>Inactive c</w:t>
            </w:r>
            <w:r w:rsidRPr="00A55335">
              <w:rPr>
                <w:lang w:val="en-AU"/>
              </w:rPr>
              <w:t>ontrol for Neurodevelopmental disorders</w:t>
            </w:r>
          </w:p>
        </w:tc>
      </w:tr>
      <w:tr w:rsidR="0032491A" w:rsidRPr="00A55335" w14:paraId="5355F430" w14:textId="77777777" w:rsidTr="0032491A">
        <w:trPr>
          <w:cantSplit/>
          <w:tblHeader/>
        </w:trPr>
        <w:tc>
          <w:tcPr>
            <w:tcW w:w="5000" w:type="pct"/>
            <w:gridSpan w:val="7"/>
            <w:tcBorders>
              <w:top w:val="single" w:sz="12" w:space="0" w:color="auto"/>
              <w:bottom w:val="single" w:sz="12" w:space="0" w:color="auto"/>
            </w:tcBorders>
            <w:shd w:val="clear" w:color="auto" w:fill="auto"/>
            <w:vAlign w:val="bottom"/>
          </w:tcPr>
          <w:p w14:paraId="52A11C11" w14:textId="51F39989" w:rsidR="00DC2120" w:rsidRPr="00A55335" w:rsidRDefault="00DC2120">
            <w:pPr>
              <w:pStyle w:val="Tabletext9pt"/>
            </w:pPr>
            <w:r w:rsidRPr="00A55335">
              <w:rPr>
                <w:rStyle w:val="Strong"/>
              </w:rPr>
              <w:t xml:space="preserve">Patient or population: </w:t>
            </w:r>
            <w:r w:rsidRPr="00A55335">
              <w:t>Attention deficit hyperactivity disorder</w:t>
            </w:r>
            <w:r w:rsidR="002B520D" w:rsidRPr="00A55335">
              <w:t xml:space="preserve"> (ADHD)</w:t>
            </w:r>
          </w:p>
          <w:p w14:paraId="09BE8B80" w14:textId="77777777" w:rsidR="00DC2120" w:rsidRPr="00A55335" w:rsidRDefault="00DC2120">
            <w:pPr>
              <w:pStyle w:val="Tabletext9pt"/>
            </w:pPr>
            <w:r w:rsidRPr="00A55335">
              <w:rPr>
                <w:rStyle w:val="Strong"/>
              </w:rPr>
              <w:t xml:space="preserve">Setting: </w:t>
            </w:r>
            <w:r w:rsidRPr="00A55335">
              <w:t>Community and outpatient clinics</w:t>
            </w:r>
          </w:p>
          <w:p w14:paraId="6DFA6060" w14:textId="77777777" w:rsidR="00DC2120" w:rsidRPr="00A55335" w:rsidRDefault="00DC2120">
            <w:pPr>
              <w:pStyle w:val="Tabletext9pt"/>
            </w:pPr>
            <w:r w:rsidRPr="00A55335">
              <w:rPr>
                <w:rStyle w:val="Strong"/>
              </w:rPr>
              <w:t xml:space="preserve">Intervention: </w:t>
            </w:r>
            <w:r w:rsidRPr="00A55335">
              <w:t>Homeopathy</w:t>
            </w:r>
          </w:p>
          <w:p w14:paraId="39502987" w14:textId="726B3D6D" w:rsidR="00DC2120" w:rsidRPr="00A55335" w:rsidRDefault="00DC2120">
            <w:pPr>
              <w:pStyle w:val="Tabletext9pt"/>
              <w:rPr>
                <w:color w:val="FFFFFF" w:themeColor="background2"/>
              </w:rPr>
            </w:pPr>
            <w:r w:rsidRPr="00A55335">
              <w:rPr>
                <w:rStyle w:val="Strong"/>
              </w:rPr>
              <w:t xml:space="preserve">Comparison: </w:t>
            </w:r>
            <w:r w:rsidR="000B2BA5" w:rsidRPr="00A55335">
              <w:t xml:space="preserve">inactive control </w:t>
            </w:r>
            <w:r w:rsidRPr="00A55335">
              <w:t>(no intervention)</w:t>
            </w:r>
          </w:p>
        </w:tc>
      </w:tr>
      <w:tr w:rsidR="00294B4D" w:rsidRPr="00A55335" w14:paraId="127314CB" w14:textId="77777777" w:rsidTr="0032491A">
        <w:trPr>
          <w:cantSplit/>
          <w:tblHeader/>
        </w:trPr>
        <w:tc>
          <w:tcPr>
            <w:tcW w:w="881" w:type="pct"/>
            <w:vMerge w:val="restart"/>
            <w:tcBorders>
              <w:top w:val="single" w:sz="12" w:space="0" w:color="auto"/>
              <w:right w:val="single" w:sz="6" w:space="0" w:color="EFEFEF"/>
            </w:tcBorders>
            <w:shd w:val="clear" w:color="auto" w:fill="006579" w:themeFill="accent2"/>
            <w:vAlign w:val="bottom"/>
            <w:hideMark/>
          </w:tcPr>
          <w:p w14:paraId="2385AE9B" w14:textId="77777777" w:rsidR="00DC2120" w:rsidRPr="00A55335" w:rsidRDefault="00DC2120">
            <w:pPr>
              <w:pStyle w:val="Tabletext8pt"/>
              <w:rPr>
                <w:b/>
                <w:bCs/>
                <w:color w:val="F9F9F9" w:themeColor="background1"/>
              </w:rPr>
            </w:pPr>
            <w:r w:rsidRPr="00A55335">
              <w:rPr>
                <w:b/>
                <w:bCs/>
                <w:color w:val="F9F9F9" w:themeColor="background1"/>
              </w:rPr>
              <w:t>Outcomes</w:t>
            </w:r>
          </w:p>
        </w:tc>
        <w:tc>
          <w:tcPr>
            <w:tcW w:w="1382" w:type="pct"/>
            <w:gridSpan w:val="2"/>
            <w:tcBorders>
              <w:top w:val="single" w:sz="12" w:space="0" w:color="auto"/>
              <w:right w:val="single" w:sz="6" w:space="0" w:color="EFEFEF"/>
            </w:tcBorders>
            <w:shd w:val="clear" w:color="auto" w:fill="DEE2E4" w:themeFill="accent6" w:themeFillTint="33"/>
            <w:vAlign w:val="bottom"/>
            <w:hideMark/>
          </w:tcPr>
          <w:p w14:paraId="5A8829A1" w14:textId="77777777" w:rsidR="00DC2120" w:rsidRPr="00A55335" w:rsidRDefault="00DC2120">
            <w:pPr>
              <w:pStyle w:val="Tabletext8pt"/>
              <w:rPr>
                <w:b/>
                <w:bCs/>
                <w:color w:val="auto"/>
              </w:rPr>
            </w:pPr>
            <w:r w:rsidRPr="00A55335">
              <w:rPr>
                <w:rStyle w:val="Strong"/>
              </w:rPr>
              <w:t>Anticipated absolute effects* (95% CI)</w:t>
            </w:r>
          </w:p>
        </w:tc>
        <w:tc>
          <w:tcPr>
            <w:tcW w:w="509" w:type="pct"/>
            <w:vMerge w:val="restart"/>
            <w:tcBorders>
              <w:top w:val="single" w:sz="12" w:space="0" w:color="auto"/>
              <w:right w:val="single" w:sz="6" w:space="0" w:color="EFEFEF"/>
            </w:tcBorders>
            <w:shd w:val="clear" w:color="auto" w:fill="006579" w:themeFill="accent2"/>
            <w:vAlign w:val="bottom"/>
            <w:hideMark/>
          </w:tcPr>
          <w:p w14:paraId="34B1DD9B" w14:textId="77777777" w:rsidR="00DC2120" w:rsidRPr="00A55335" w:rsidRDefault="00DC2120">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1" w:type="pct"/>
            <w:vMerge w:val="restart"/>
            <w:tcBorders>
              <w:top w:val="single" w:sz="12" w:space="0" w:color="auto"/>
              <w:right w:val="single" w:sz="6" w:space="0" w:color="EFEFEF"/>
            </w:tcBorders>
            <w:shd w:val="clear" w:color="auto" w:fill="006579" w:themeFill="accent2"/>
            <w:vAlign w:val="bottom"/>
            <w:hideMark/>
          </w:tcPr>
          <w:p w14:paraId="268F4E2A" w14:textId="1404E922" w:rsidR="00DC2120" w:rsidRPr="00A55335" w:rsidRDefault="00DC2120">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0" w:type="pct"/>
            <w:vMerge w:val="restart"/>
            <w:tcBorders>
              <w:top w:val="single" w:sz="12" w:space="0" w:color="auto"/>
              <w:right w:val="single" w:sz="6" w:space="0" w:color="EFEFEF"/>
            </w:tcBorders>
            <w:shd w:val="clear" w:color="auto" w:fill="006579" w:themeFill="accent2"/>
            <w:vAlign w:val="bottom"/>
            <w:hideMark/>
          </w:tcPr>
          <w:p w14:paraId="62B66657" w14:textId="77777777" w:rsidR="00DC2120" w:rsidRPr="00A55335" w:rsidRDefault="00DC2120">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67" w:type="pct"/>
            <w:vMerge w:val="restart"/>
            <w:tcBorders>
              <w:top w:val="single" w:sz="12" w:space="0" w:color="auto"/>
              <w:right w:val="single" w:sz="6" w:space="0" w:color="EFEFEF"/>
            </w:tcBorders>
            <w:shd w:val="clear" w:color="auto" w:fill="006579" w:themeFill="accent2"/>
            <w:vAlign w:val="bottom"/>
            <w:hideMark/>
          </w:tcPr>
          <w:p w14:paraId="0A810395" w14:textId="77777777" w:rsidR="00DC2120" w:rsidRPr="00A55335" w:rsidRDefault="00DC2120">
            <w:pPr>
              <w:pStyle w:val="Tabletext8pt"/>
              <w:rPr>
                <w:b/>
                <w:bCs/>
                <w:color w:val="F9F9F9" w:themeColor="background1"/>
              </w:rPr>
            </w:pPr>
            <w:r w:rsidRPr="00A55335">
              <w:rPr>
                <w:b/>
                <w:bCs/>
                <w:color w:val="F9F9F9" w:themeColor="background1"/>
              </w:rPr>
              <w:t>Evidence statement</w:t>
            </w:r>
          </w:p>
        </w:tc>
      </w:tr>
      <w:tr w:rsidR="00294B4D" w:rsidRPr="00A55335" w14:paraId="1B9D3477" w14:textId="77777777" w:rsidTr="0032491A">
        <w:trPr>
          <w:cantSplit/>
          <w:tblHeader/>
        </w:trPr>
        <w:tc>
          <w:tcPr>
            <w:tcW w:w="881" w:type="pct"/>
            <w:vMerge/>
            <w:tcBorders>
              <w:right w:val="single" w:sz="6" w:space="0" w:color="EFEFEF"/>
            </w:tcBorders>
            <w:shd w:val="clear" w:color="auto" w:fill="006579" w:themeFill="accent2"/>
            <w:vAlign w:val="center"/>
            <w:hideMark/>
          </w:tcPr>
          <w:p w14:paraId="63F162EC" w14:textId="77777777" w:rsidR="00DC2120" w:rsidRPr="00A55335" w:rsidRDefault="00DC2120">
            <w:pPr>
              <w:pStyle w:val="Tabletext8pt"/>
            </w:pPr>
          </w:p>
        </w:tc>
        <w:tc>
          <w:tcPr>
            <w:tcW w:w="691" w:type="pct"/>
            <w:tcBorders>
              <w:top w:val="single" w:sz="6" w:space="0" w:color="EFEFEF"/>
              <w:right w:val="single" w:sz="6" w:space="0" w:color="EFEFEF"/>
            </w:tcBorders>
            <w:shd w:val="clear" w:color="auto" w:fill="DEE2E4" w:themeFill="accent6" w:themeFillTint="33"/>
            <w:vAlign w:val="bottom"/>
            <w:hideMark/>
          </w:tcPr>
          <w:p w14:paraId="3E6CD3E6" w14:textId="5D2319D7" w:rsidR="00DC2120" w:rsidRPr="00A55335" w:rsidRDefault="00DC2120">
            <w:pPr>
              <w:pStyle w:val="Tabletext8pt"/>
              <w:rPr>
                <w:rStyle w:val="Strong"/>
              </w:rPr>
            </w:pPr>
            <w:r w:rsidRPr="00A55335">
              <w:rPr>
                <w:rStyle w:val="Strong"/>
              </w:rPr>
              <w:t xml:space="preserve">Risk </w:t>
            </w:r>
            <w:proofErr w:type="gramStart"/>
            <w:r w:rsidRPr="00A55335">
              <w:rPr>
                <w:rStyle w:val="Strong"/>
              </w:rPr>
              <w:t xml:space="preserve">with </w:t>
            </w:r>
            <w:r w:rsidR="003B216D" w:rsidRPr="00A55335">
              <w:rPr>
                <w:rStyle w:val="Strong"/>
              </w:rPr>
              <w:t xml:space="preserve"> Control</w:t>
            </w:r>
            <w:proofErr w:type="gramEnd"/>
          </w:p>
        </w:tc>
        <w:tc>
          <w:tcPr>
            <w:tcW w:w="691" w:type="pct"/>
            <w:tcBorders>
              <w:top w:val="single" w:sz="6" w:space="0" w:color="EFEFEF"/>
              <w:right w:val="single" w:sz="6" w:space="0" w:color="EFEFEF"/>
            </w:tcBorders>
            <w:shd w:val="clear" w:color="auto" w:fill="DEE2E4" w:themeFill="accent6" w:themeFillTint="33"/>
            <w:vAlign w:val="bottom"/>
            <w:hideMark/>
          </w:tcPr>
          <w:p w14:paraId="7009E210" w14:textId="77777777" w:rsidR="00DC2120" w:rsidRPr="00A55335" w:rsidRDefault="00DC2120">
            <w:pPr>
              <w:pStyle w:val="Tabletext8pt"/>
              <w:rPr>
                <w:rStyle w:val="Strong"/>
              </w:rPr>
            </w:pPr>
            <w:r w:rsidRPr="00A55335">
              <w:rPr>
                <w:rStyle w:val="Strong"/>
              </w:rPr>
              <w:t>Risk with Homeopathy</w:t>
            </w:r>
          </w:p>
        </w:tc>
        <w:tc>
          <w:tcPr>
            <w:tcW w:w="509" w:type="pct"/>
            <w:vMerge/>
            <w:tcBorders>
              <w:right w:val="single" w:sz="6" w:space="0" w:color="EFEFEF"/>
            </w:tcBorders>
            <w:shd w:val="clear" w:color="auto" w:fill="006579" w:themeFill="accent2"/>
            <w:vAlign w:val="center"/>
            <w:hideMark/>
          </w:tcPr>
          <w:p w14:paraId="463272E7" w14:textId="77777777" w:rsidR="00DC2120" w:rsidRPr="00A55335" w:rsidRDefault="00DC2120">
            <w:pPr>
              <w:pStyle w:val="Tabletext8pt"/>
              <w:rPr>
                <w:rFonts w:eastAsiaTheme="minorEastAsia"/>
              </w:rPr>
            </w:pPr>
          </w:p>
        </w:tc>
        <w:tc>
          <w:tcPr>
            <w:tcW w:w="581" w:type="pct"/>
            <w:vMerge/>
            <w:tcBorders>
              <w:right w:val="single" w:sz="6" w:space="0" w:color="EFEFEF"/>
            </w:tcBorders>
            <w:shd w:val="clear" w:color="auto" w:fill="006579" w:themeFill="accent2"/>
            <w:vAlign w:val="center"/>
            <w:hideMark/>
          </w:tcPr>
          <w:p w14:paraId="186EE1C2" w14:textId="77777777" w:rsidR="00DC2120" w:rsidRPr="00A55335" w:rsidRDefault="00DC2120">
            <w:pPr>
              <w:pStyle w:val="Tabletext8pt"/>
              <w:rPr>
                <w:rFonts w:eastAsiaTheme="minorEastAsia"/>
              </w:rPr>
            </w:pPr>
          </w:p>
        </w:tc>
        <w:tc>
          <w:tcPr>
            <w:tcW w:w="580" w:type="pct"/>
            <w:vMerge/>
            <w:tcBorders>
              <w:right w:val="single" w:sz="6" w:space="0" w:color="EFEFEF"/>
            </w:tcBorders>
            <w:shd w:val="clear" w:color="auto" w:fill="006579" w:themeFill="accent2"/>
            <w:vAlign w:val="center"/>
            <w:hideMark/>
          </w:tcPr>
          <w:p w14:paraId="70D7A125" w14:textId="77777777" w:rsidR="00DC2120" w:rsidRPr="00A55335" w:rsidRDefault="00DC2120">
            <w:pPr>
              <w:pStyle w:val="Tabletext8pt"/>
              <w:rPr>
                <w:rFonts w:eastAsiaTheme="minorEastAsia"/>
              </w:rPr>
            </w:pPr>
          </w:p>
        </w:tc>
        <w:tc>
          <w:tcPr>
            <w:tcW w:w="1067" w:type="pct"/>
            <w:vMerge/>
            <w:tcBorders>
              <w:right w:val="single" w:sz="6" w:space="0" w:color="EFEFEF"/>
            </w:tcBorders>
            <w:shd w:val="clear" w:color="auto" w:fill="006579" w:themeFill="accent2"/>
            <w:vAlign w:val="center"/>
            <w:hideMark/>
          </w:tcPr>
          <w:p w14:paraId="1B4E0832" w14:textId="77777777" w:rsidR="00DC2120" w:rsidRPr="00A55335" w:rsidRDefault="00DC2120">
            <w:pPr>
              <w:pStyle w:val="Tabletext8pt"/>
              <w:rPr>
                <w:rFonts w:eastAsiaTheme="minorEastAsia"/>
              </w:rPr>
            </w:pPr>
          </w:p>
        </w:tc>
      </w:tr>
      <w:tr w:rsidR="00681977" w:rsidRPr="00A55335" w14:paraId="79CDE317" w14:textId="77777777" w:rsidTr="0032491A">
        <w:trPr>
          <w:cantSplit/>
        </w:trPr>
        <w:tc>
          <w:tcPr>
            <w:tcW w:w="881" w:type="pct"/>
            <w:tcBorders>
              <w:top w:val="single" w:sz="6" w:space="0" w:color="000000"/>
              <w:left w:val="nil"/>
              <w:bottom w:val="single" w:sz="6" w:space="0" w:color="000000"/>
              <w:right w:val="nil"/>
            </w:tcBorders>
            <w:vAlign w:val="center"/>
            <w:hideMark/>
          </w:tcPr>
          <w:p w14:paraId="78F28BF3" w14:textId="1068E171" w:rsidR="00DC2120" w:rsidRPr="00A55335" w:rsidRDefault="00DC2120">
            <w:pPr>
              <w:pStyle w:val="Tabletext8pt"/>
            </w:pPr>
            <w:r w:rsidRPr="00A55335">
              <w:t>ADHD symptoms</w:t>
            </w:r>
            <w:r w:rsidRPr="00A55335">
              <w:br/>
              <w:t xml:space="preserve">assessed with: Conner's Global Index - parent </w:t>
            </w:r>
            <w:r w:rsidR="00F5112E">
              <w:br/>
              <w:t>Scale from: 0 to 100</w:t>
            </w:r>
            <w:r w:rsidR="00F5112E" w:rsidRPr="00A55335">
              <w:t xml:space="preserve"> </w:t>
            </w:r>
            <w:r w:rsidRPr="00A55335">
              <w:t>(higher is worse)</w:t>
            </w:r>
            <w:r w:rsidR="000973CA">
              <w:br/>
            </w:r>
            <w:r w:rsidRPr="00A55335">
              <w:t xml:space="preserve">follow-up: </w:t>
            </w:r>
            <w:r w:rsidR="0032491A" w:rsidRPr="00A55335">
              <w:t>12 months</w:t>
            </w:r>
          </w:p>
        </w:tc>
        <w:tc>
          <w:tcPr>
            <w:tcW w:w="691" w:type="pct"/>
            <w:tcBorders>
              <w:top w:val="single" w:sz="6" w:space="0" w:color="000000"/>
              <w:left w:val="nil"/>
              <w:bottom w:val="single" w:sz="6" w:space="0" w:color="000000"/>
              <w:right w:val="nil"/>
            </w:tcBorders>
            <w:shd w:val="clear" w:color="auto" w:fill="DEE2E4" w:themeFill="accent6" w:themeFillTint="33"/>
            <w:vAlign w:val="center"/>
            <w:hideMark/>
          </w:tcPr>
          <w:p w14:paraId="0BEFD780" w14:textId="67782D19" w:rsidR="00DC2120" w:rsidRPr="00A55335" w:rsidRDefault="00DC2120">
            <w:pPr>
              <w:pStyle w:val="Tabletext8pt"/>
            </w:pPr>
            <w:r w:rsidRPr="00A55335">
              <w:t>The mean CGI</w:t>
            </w:r>
            <w:r w:rsidR="001D78ED" w:rsidRPr="00A55335">
              <w:t xml:space="preserve"> - total</w:t>
            </w:r>
            <w:r w:rsidRPr="00A55335">
              <w:t xml:space="preserve"> score was </w:t>
            </w:r>
            <w:r w:rsidR="00A40BCE" w:rsidRPr="00A55335">
              <w:rPr>
                <w:rStyle w:val="Strong"/>
              </w:rPr>
              <w:t>17</w:t>
            </w:r>
            <w:r w:rsidRPr="00A55335">
              <w:rPr>
                <w:rStyle w:val="Strong"/>
              </w:rPr>
              <w:t>.88</w:t>
            </w:r>
          </w:p>
        </w:tc>
        <w:tc>
          <w:tcPr>
            <w:tcW w:w="691" w:type="pct"/>
            <w:tcBorders>
              <w:top w:val="single" w:sz="6" w:space="0" w:color="000000"/>
              <w:left w:val="nil"/>
              <w:bottom w:val="single" w:sz="6" w:space="0" w:color="000000"/>
              <w:right w:val="nil"/>
            </w:tcBorders>
            <w:shd w:val="clear" w:color="auto" w:fill="DEE2E4" w:themeFill="accent6" w:themeFillTint="33"/>
            <w:hideMark/>
          </w:tcPr>
          <w:p w14:paraId="0B2B0479" w14:textId="6C34C334" w:rsidR="00DC2120" w:rsidRPr="00A55335" w:rsidRDefault="00DC2120">
            <w:pPr>
              <w:pStyle w:val="Tabletext8pt"/>
            </w:pPr>
            <w:r w:rsidRPr="00A55335">
              <w:t xml:space="preserve">MD </w:t>
            </w:r>
            <w:r w:rsidR="00A40BCE" w:rsidRPr="00A55335">
              <w:rPr>
                <w:rStyle w:val="Strong"/>
              </w:rPr>
              <w:t>2.03</w:t>
            </w:r>
            <w:r w:rsidRPr="00A55335">
              <w:rPr>
                <w:rStyle w:val="Strong"/>
              </w:rPr>
              <w:t xml:space="preserve"> higher</w:t>
            </w:r>
            <w:r w:rsidRPr="00A55335">
              <w:br/>
              <w:t>(</w:t>
            </w:r>
            <w:r w:rsidR="00A40BCE" w:rsidRPr="00A55335">
              <w:t>0.72</w:t>
            </w:r>
            <w:r w:rsidRPr="00A55335">
              <w:t xml:space="preserve"> lower to </w:t>
            </w:r>
            <w:r w:rsidR="00A40BCE" w:rsidRPr="00A55335">
              <w:t>4</w:t>
            </w:r>
            <w:r w:rsidRPr="00A55335">
              <w:t>.</w:t>
            </w:r>
            <w:r w:rsidR="00A40BCE" w:rsidRPr="00A55335">
              <w:t>7</w:t>
            </w:r>
            <w:r w:rsidRPr="00A55335">
              <w:t>8 higher)</w:t>
            </w:r>
          </w:p>
        </w:tc>
        <w:tc>
          <w:tcPr>
            <w:tcW w:w="509" w:type="pct"/>
            <w:tcBorders>
              <w:top w:val="single" w:sz="6" w:space="0" w:color="000000"/>
              <w:left w:val="nil"/>
              <w:bottom w:val="single" w:sz="6" w:space="0" w:color="000000"/>
              <w:right w:val="nil"/>
            </w:tcBorders>
            <w:vAlign w:val="center"/>
            <w:hideMark/>
          </w:tcPr>
          <w:p w14:paraId="0C574790" w14:textId="77777777" w:rsidR="00DC2120" w:rsidRPr="00A55335" w:rsidRDefault="00DC2120">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0B611C3C" w14:textId="7384D3BF" w:rsidR="00DC2120" w:rsidRPr="00A55335" w:rsidRDefault="00186E5D">
            <w:pPr>
              <w:pStyle w:val="Tabletext8pt"/>
              <w:jc w:val="center"/>
            </w:pPr>
            <w:r w:rsidRPr="00A55335">
              <w:t>8</w:t>
            </w:r>
            <w:r w:rsidR="00DC2120" w:rsidRPr="00A55335">
              <w:t>3</w:t>
            </w:r>
            <w:r w:rsidR="00DC2120" w:rsidRPr="00A55335">
              <w:br/>
              <w:t>(1 RCT)</w:t>
            </w:r>
          </w:p>
        </w:tc>
        <w:tc>
          <w:tcPr>
            <w:tcW w:w="580" w:type="pct"/>
            <w:tcBorders>
              <w:top w:val="single" w:sz="6" w:space="0" w:color="000000"/>
              <w:left w:val="nil"/>
              <w:bottom w:val="single" w:sz="6" w:space="0" w:color="000000"/>
              <w:right w:val="nil"/>
            </w:tcBorders>
            <w:vAlign w:val="center"/>
            <w:hideMark/>
          </w:tcPr>
          <w:p w14:paraId="2784D0C3" w14:textId="77777777" w:rsidR="00DC2120" w:rsidRPr="00A55335" w:rsidRDefault="00DC2120">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a,b,c,d,e</w:t>
            </w:r>
            <w:proofErr w:type="spellEnd"/>
          </w:p>
        </w:tc>
        <w:tc>
          <w:tcPr>
            <w:tcW w:w="1067" w:type="pct"/>
            <w:tcBorders>
              <w:top w:val="single" w:sz="6" w:space="0" w:color="000000"/>
              <w:left w:val="nil"/>
              <w:bottom w:val="single" w:sz="6" w:space="0" w:color="000000"/>
              <w:right w:val="nil"/>
            </w:tcBorders>
            <w:vAlign w:val="center"/>
            <w:hideMark/>
          </w:tcPr>
          <w:p w14:paraId="2D498DB3" w14:textId="7C6E185F" w:rsidR="00DC2120" w:rsidRPr="00A55335" w:rsidRDefault="00DC2120">
            <w:pPr>
              <w:pStyle w:val="Tabletext8pt"/>
              <w:rPr>
                <w:rFonts w:eastAsia="Times New Roman"/>
              </w:rPr>
            </w:pPr>
            <w:r w:rsidRPr="00A55335">
              <w:rPr>
                <w:rFonts w:eastAsia="Times New Roman"/>
              </w:rPr>
              <w:t>The evidence is very uncertain about the effect of homeopathy on ADHD symptoms for people with ADHD</w:t>
            </w:r>
            <w:r w:rsidR="000973CA">
              <w:rPr>
                <w:rFonts w:eastAsia="Times New Roman"/>
              </w:rPr>
              <w:t xml:space="preserve"> **</w:t>
            </w:r>
          </w:p>
        </w:tc>
      </w:tr>
      <w:tr w:rsidR="00681977" w:rsidRPr="00A55335" w14:paraId="07A33EB3" w14:textId="77777777" w:rsidTr="0032491A">
        <w:trPr>
          <w:cantSplit/>
        </w:trPr>
        <w:tc>
          <w:tcPr>
            <w:tcW w:w="881" w:type="pct"/>
            <w:tcBorders>
              <w:top w:val="single" w:sz="6" w:space="0" w:color="000000"/>
              <w:left w:val="nil"/>
              <w:bottom w:val="single" w:sz="6" w:space="0" w:color="000000"/>
              <w:right w:val="nil"/>
            </w:tcBorders>
            <w:vAlign w:val="center"/>
          </w:tcPr>
          <w:p w14:paraId="6A8DEC1A" w14:textId="207212E5" w:rsidR="00DC2120" w:rsidRPr="00A55335" w:rsidRDefault="00AB3DDC">
            <w:pPr>
              <w:pStyle w:val="Tabletext8pt"/>
            </w:pPr>
            <w:r w:rsidRPr="00A55335">
              <w:t xml:space="preserve">ADHD symptoms </w:t>
            </w:r>
            <w:r w:rsidR="009224CB" w:rsidRPr="00A55335">
              <w:t>Behaviour</w:t>
            </w:r>
            <w:r w:rsidR="00DC2120" w:rsidRPr="00A55335">
              <w:t xml:space="preserve">: </w:t>
            </w:r>
            <w:r w:rsidR="002A5D7C" w:rsidRPr="00A55335">
              <w:t>restless-impulsive</w:t>
            </w:r>
            <w:r w:rsidR="00DC2120" w:rsidRPr="00A55335">
              <w:br/>
              <w:t xml:space="preserve">assessed with: </w:t>
            </w:r>
            <w:r w:rsidR="005D3909" w:rsidRPr="00A55335">
              <w:t>CGI</w:t>
            </w:r>
            <w:r w:rsidR="001D78ED" w:rsidRPr="00A55335">
              <w:t xml:space="preserve"> </w:t>
            </w:r>
            <w:r w:rsidR="00F5112E">
              <w:t>–</w:t>
            </w:r>
            <w:r w:rsidR="001D78ED" w:rsidRPr="00A55335">
              <w:t xml:space="preserve"> parent</w:t>
            </w:r>
            <w:r w:rsidR="00F5112E">
              <w:br/>
              <w:t>Scale from: 0 to 100</w:t>
            </w:r>
            <w:r w:rsidR="00DC2120" w:rsidRPr="00A55335">
              <w:t xml:space="preserve"> (higher is worse)</w:t>
            </w:r>
            <w:r w:rsidR="000973CA">
              <w:br/>
            </w:r>
            <w:r w:rsidR="00DC2120" w:rsidRPr="00A55335">
              <w:t>follow-up: 12 months</w:t>
            </w:r>
          </w:p>
        </w:tc>
        <w:tc>
          <w:tcPr>
            <w:tcW w:w="691" w:type="pct"/>
            <w:tcBorders>
              <w:top w:val="single" w:sz="6" w:space="0" w:color="000000"/>
              <w:left w:val="nil"/>
              <w:bottom w:val="single" w:sz="6" w:space="0" w:color="000000"/>
              <w:right w:val="nil"/>
            </w:tcBorders>
            <w:shd w:val="clear" w:color="auto" w:fill="DEE2E4" w:themeFill="accent6" w:themeFillTint="33"/>
            <w:vAlign w:val="center"/>
          </w:tcPr>
          <w:p w14:paraId="61A7A04C" w14:textId="5747B34C" w:rsidR="00DC2120" w:rsidRPr="00A55335" w:rsidRDefault="00DC2120">
            <w:pPr>
              <w:pStyle w:val="Tabletext8pt"/>
            </w:pPr>
            <w:r w:rsidRPr="00A55335">
              <w:t xml:space="preserve">The mean </w:t>
            </w:r>
            <w:r w:rsidR="001D78ED" w:rsidRPr="00A55335">
              <w:t>CGI – restless-impulsive</w:t>
            </w:r>
            <w:r w:rsidRPr="00A55335">
              <w:t xml:space="preserve"> score was </w:t>
            </w:r>
            <w:r w:rsidR="0032491A" w:rsidRPr="00A55335">
              <w:rPr>
                <w:rStyle w:val="Strong"/>
              </w:rPr>
              <w:t>13.71</w:t>
            </w:r>
          </w:p>
        </w:tc>
        <w:tc>
          <w:tcPr>
            <w:tcW w:w="691" w:type="pct"/>
            <w:tcBorders>
              <w:top w:val="single" w:sz="6" w:space="0" w:color="000000"/>
              <w:left w:val="nil"/>
              <w:bottom w:val="single" w:sz="6" w:space="0" w:color="000000"/>
              <w:right w:val="nil"/>
            </w:tcBorders>
            <w:shd w:val="clear" w:color="auto" w:fill="DEE2E4" w:themeFill="accent6" w:themeFillTint="33"/>
          </w:tcPr>
          <w:p w14:paraId="76BD714D" w14:textId="459ED00B" w:rsidR="00DC2120" w:rsidRPr="00A55335" w:rsidDel="00C75750" w:rsidRDefault="00DC2120">
            <w:pPr>
              <w:pStyle w:val="Tabletext8pt"/>
            </w:pPr>
            <w:r w:rsidRPr="00A55335">
              <w:t xml:space="preserve">MD </w:t>
            </w:r>
            <w:r w:rsidR="00527404" w:rsidRPr="00A55335">
              <w:rPr>
                <w:rStyle w:val="Strong"/>
              </w:rPr>
              <w:t>1.47</w:t>
            </w:r>
            <w:r w:rsidRPr="00A55335">
              <w:rPr>
                <w:rStyle w:val="Strong"/>
              </w:rPr>
              <w:t xml:space="preserve"> </w:t>
            </w:r>
            <w:r w:rsidR="002C54FF">
              <w:rPr>
                <w:rStyle w:val="Strong"/>
              </w:rPr>
              <w:t>higher</w:t>
            </w:r>
            <w:r w:rsidRPr="00A55335">
              <w:br/>
              <w:t>(</w:t>
            </w:r>
            <w:r w:rsidR="00527404" w:rsidRPr="00A55335">
              <w:t>0.56</w:t>
            </w:r>
            <w:r w:rsidRPr="00A55335">
              <w:t xml:space="preserve"> lower to </w:t>
            </w:r>
            <w:r w:rsidR="00527404" w:rsidRPr="00A55335">
              <w:t>3.50</w:t>
            </w:r>
            <w:r w:rsidRPr="00A55335">
              <w:t xml:space="preserve"> higher)</w:t>
            </w:r>
          </w:p>
        </w:tc>
        <w:tc>
          <w:tcPr>
            <w:tcW w:w="509" w:type="pct"/>
            <w:tcBorders>
              <w:top w:val="single" w:sz="6" w:space="0" w:color="000000"/>
              <w:left w:val="nil"/>
              <w:bottom w:val="single" w:sz="6" w:space="0" w:color="000000"/>
              <w:right w:val="nil"/>
            </w:tcBorders>
            <w:vAlign w:val="center"/>
          </w:tcPr>
          <w:p w14:paraId="5CB0942D" w14:textId="77777777" w:rsidR="00DC2120" w:rsidRPr="00A55335" w:rsidRDefault="00DC2120">
            <w:pPr>
              <w:pStyle w:val="Tabletext8pt"/>
              <w:jc w:val="center"/>
            </w:pPr>
            <w:r w:rsidRPr="00A55335">
              <w:t>-</w:t>
            </w:r>
          </w:p>
        </w:tc>
        <w:tc>
          <w:tcPr>
            <w:tcW w:w="581" w:type="pct"/>
            <w:tcBorders>
              <w:top w:val="single" w:sz="6" w:space="0" w:color="000000"/>
              <w:left w:val="nil"/>
              <w:bottom w:val="single" w:sz="6" w:space="0" w:color="000000"/>
              <w:right w:val="nil"/>
            </w:tcBorders>
            <w:vAlign w:val="center"/>
          </w:tcPr>
          <w:p w14:paraId="7D317044" w14:textId="7B25E7A4" w:rsidR="00DC2120" w:rsidRPr="00A55335" w:rsidDel="002B74DC" w:rsidRDefault="00DD5A79">
            <w:pPr>
              <w:pStyle w:val="Tabletext8pt"/>
              <w:jc w:val="center"/>
            </w:pPr>
            <w:r w:rsidRPr="00A55335">
              <w:t>83</w:t>
            </w:r>
            <w:r w:rsidRPr="00A55335">
              <w:br/>
              <w:t>(1 RCT)</w:t>
            </w:r>
          </w:p>
        </w:tc>
        <w:tc>
          <w:tcPr>
            <w:tcW w:w="580" w:type="pct"/>
            <w:tcBorders>
              <w:top w:val="single" w:sz="6" w:space="0" w:color="000000"/>
              <w:left w:val="nil"/>
              <w:bottom w:val="single" w:sz="6" w:space="0" w:color="000000"/>
              <w:right w:val="nil"/>
            </w:tcBorders>
            <w:vAlign w:val="center"/>
          </w:tcPr>
          <w:p w14:paraId="6CACCC73" w14:textId="78A01680" w:rsidR="00DC2120" w:rsidRPr="00A55335" w:rsidRDefault="00DC2120">
            <w:pPr>
              <w:pStyle w:val="Tabletext8pt"/>
              <w:jc w:val="center"/>
              <w:rPr>
                <w:rStyle w:val="quality-sign"/>
                <w:rFonts w:ascii="Cambria Math" w:hAnsi="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00C40206" w:rsidRPr="00A55335">
              <w:rPr>
                <w:rStyle w:val="FootnoteReference"/>
              </w:rPr>
              <w:t>a,b,c,d,e</w:t>
            </w:r>
            <w:proofErr w:type="spellEnd"/>
            <w:r w:rsidR="00C40206" w:rsidRPr="00A55335" w:rsidDel="00C40206">
              <w:rPr>
                <w:rStyle w:val="FootnoteReference"/>
              </w:rPr>
              <w:t xml:space="preserve"> </w:t>
            </w:r>
          </w:p>
        </w:tc>
        <w:tc>
          <w:tcPr>
            <w:tcW w:w="1067" w:type="pct"/>
            <w:tcBorders>
              <w:top w:val="single" w:sz="6" w:space="0" w:color="000000"/>
              <w:left w:val="nil"/>
              <w:bottom w:val="single" w:sz="6" w:space="0" w:color="000000"/>
              <w:right w:val="nil"/>
            </w:tcBorders>
            <w:vAlign w:val="center"/>
          </w:tcPr>
          <w:p w14:paraId="3C2C3969" w14:textId="6D5EEE22" w:rsidR="00DC2120" w:rsidRPr="00A55335" w:rsidRDefault="00DC2120">
            <w:pPr>
              <w:pStyle w:val="Tabletext8pt"/>
              <w:rPr>
                <w:rFonts w:eastAsia="Times New Roman"/>
              </w:rPr>
            </w:pPr>
            <w:r w:rsidRPr="00A55335">
              <w:rPr>
                <w:rFonts w:eastAsia="Times New Roman"/>
              </w:rPr>
              <w:t xml:space="preserve">The evidence is very uncertain about the effect of homeopathy on ADHD </w:t>
            </w:r>
            <w:r w:rsidR="00C31777" w:rsidRPr="00A55335">
              <w:rPr>
                <w:rFonts w:eastAsia="Times New Roman"/>
              </w:rPr>
              <w:t xml:space="preserve">behavioural </w:t>
            </w:r>
            <w:r w:rsidRPr="00A55335">
              <w:rPr>
                <w:rFonts w:eastAsia="Times New Roman"/>
              </w:rPr>
              <w:t>symptoms for people with ADHD</w:t>
            </w:r>
            <w:r w:rsidR="000973CA">
              <w:rPr>
                <w:rFonts w:eastAsia="Times New Roman"/>
              </w:rPr>
              <w:t xml:space="preserve"> **</w:t>
            </w:r>
          </w:p>
        </w:tc>
      </w:tr>
      <w:tr w:rsidR="00681977" w:rsidRPr="00A55335" w14:paraId="7D1D35EF" w14:textId="77777777" w:rsidTr="0032491A">
        <w:trPr>
          <w:cantSplit/>
        </w:trPr>
        <w:tc>
          <w:tcPr>
            <w:tcW w:w="881" w:type="pct"/>
            <w:tcBorders>
              <w:top w:val="single" w:sz="6" w:space="0" w:color="000000"/>
              <w:left w:val="nil"/>
              <w:bottom w:val="single" w:sz="6" w:space="0" w:color="000000"/>
              <w:right w:val="nil"/>
            </w:tcBorders>
            <w:vAlign w:val="center"/>
          </w:tcPr>
          <w:p w14:paraId="1CA90C6E" w14:textId="3ED15113" w:rsidR="00DC2120" w:rsidRPr="00A55335" w:rsidRDefault="00AB3DDC">
            <w:pPr>
              <w:pStyle w:val="Tabletext8pt"/>
            </w:pPr>
            <w:r w:rsidRPr="00A55335">
              <w:t xml:space="preserve">ADHD </w:t>
            </w:r>
            <w:proofErr w:type="gramStart"/>
            <w:r w:rsidRPr="00A55335">
              <w:t>symptoms</w:t>
            </w:r>
            <w:proofErr w:type="gramEnd"/>
            <w:r w:rsidRPr="00A55335">
              <w:t xml:space="preserve"> </w:t>
            </w:r>
            <w:r w:rsidR="009224CB" w:rsidRPr="00A55335">
              <w:t>Emotional function</w:t>
            </w:r>
            <w:r w:rsidR="00DC2120" w:rsidRPr="00A55335">
              <w:t xml:space="preserve">: </w:t>
            </w:r>
            <w:r w:rsidR="005D3909" w:rsidRPr="00A55335">
              <w:t>emot</w:t>
            </w:r>
            <w:r w:rsidR="001D78ED" w:rsidRPr="00A55335">
              <w:t xml:space="preserve">ional lability </w:t>
            </w:r>
            <w:r w:rsidR="00DC2120" w:rsidRPr="00A55335">
              <w:t xml:space="preserve">assessed with: </w:t>
            </w:r>
            <w:r w:rsidR="001D78ED" w:rsidRPr="00A55335">
              <w:t>CGI - parent</w:t>
            </w:r>
            <w:r w:rsidR="00DC2120" w:rsidRPr="00A55335">
              <w:t xml:space="preserve"> </w:t>
            </w:r>
            <w:r w:rsidR="00F5112E">
              <w:br/>
              <w:t>Scale from: 0 to 100</w:t>
            </w:r>
            <w:r w:rsidR="00F5112E" w:rsidRPr="00A55335">
              <w:t xml:space="preserve"> </w:t>
            </w:r>
            <w:r w:rsidR="00DC2120" w:rsidRPr="00A55335">
              <w:t>(higher is worse)</w:t>
            </w:r>
            <w:r w:rsidR="000973CA">
              <w:br/>
            </w:r>
            <w:r w:rsidR="00DC2120" w:rsidRPr="00A55335">
              <w:t>follow-up: 12 months</w:t>
            </w:r>
          </w:p>
        </w:tc>
        <w:tc>
          <w:tcPr>
            <w:tcW w:w="691" w:type="pct"/>
            <w:tcBorders>
              <w:top w:val="single" w:sz="6" w:space="0" w:color="000000"/>
              <w:left w:val="nil"/>
              <w:bottom w:val="single" w:sz="6" w:space="0" w:color="000000"/>
              <w:right w:val="nil"/>
            </w:tcBorders>
            <w:shd w:val="clear" w:color="auto" w:fill="DEE2E4" w:themeFill="accent6" w:themeFillTint="33"/>
            <w:vAlign w:val="center"/>
          </w:tcPr>
          <w:p w14:paraId="1C4EA2AB" w14:textId="41C641E9" w:rsidR="00DC2120" w:rsidRPr="00A55335" w:rsidRDefault="00DC2120">
            <w:pPr>
              <w:pStyle w:val="Tabletext8pt"/>
            </w:pPr>
            <w:r w:rsidRPr="00A55335">
              <w:t xml:space="preserve">The mean </w:t>
            </w:r>
            <w:r w:rsidR="009224CB" w:rsidRPr="00A55335">
              <w:t>CGI – emotional lability</w:t>
            </w:r>
            <w:r w:rsidRPr="00A55335">
              <w:t xml:space="preserve"> score was </w:t>
            </w:r>
            <w:r w:rsidR="0032491A" w:rsidRPr="00A55335">
              <w:rPr>
                <w:rStyle w:val="Strong"/>
              </w:rPr>
              <w:t>4.18</w:t>
            </w:r>
          </w:p>
        </w:tc>
        <w:tc>
          <w:tcPr>
            <w:tcW w:w="691" w:type="pct"/>
            <w:tcBorders>
              <w:top w:val="single" w:sz="6" w:space="0" w:color="000000"/>
              <w:left w:val="nil"/>
              <w:bottom w:val="single" w:sz="6" w:space="0" w:color="000000"/>
              <w:right w:val="nil"/>
            </w:tcBorders>
            <w:shd w:val="clear" w:color="auto" w:fill="DEE2E4" w:themeFill="accent6" w:themeFillTint="33"/>
          </w:tcPr>
          <w:p w14:paraId="0FC33146" w14:textId="3351A024" w:rsidR="00DC2120" w:rsidRPr="00A55335" w:rsidDel="00C75750" w:rsidRDefault="00DC2120">
            <w:pPr>
              <w:pStyle w:val="Tabletext8pt"/>
            </w:pPr>
            <w:r w:rsidRPr="00A55335">
              <w:t xml:space="preserve">MD </w:t>
            </w:r>
            <w:r w:rsidR="00F83949">
              <w:rPr>
                <w:rStyle w:val="Strong"/>
              </w:rPr>
              <w:t>0.55</w:t>
            </w:r>
            <w:r w:rsidRPr="00A55335">
              <w:rPr>
                <w:rStyle w:val="Strong"/>
              </w:rPr>
              <w:t xml:space="preserve"> </w:t>
            </w:r>
            <w:r w:rsidR="00CD280D">
              <w:rPr>
                <w:rStyle w:val="Strong"/>
              </w:rPr>
              <w:t>higher</w:t>
            </w:r>
            <w:r w:rsidRPr="00A55335">
              <w:br/>
              <w:t>(</w:t>
            </w:r>
            <w:r w:rsidR="00CD280D">
              <w:t>0.55</w:t>
            </w:r>
            <w:r w:rsidRPr="00A55335">
              <w:t xml:space="preserve"> lower to </w:t>
            </w:r>
            <w:r w:rsidR="00CD280D">
              <w:t>1.65</w:t>
            </w:r>
            <w:r w:rsidRPr="00A55335">
              <w:t xml:space="preserve"> higher)</w:t>
            </w:r>
          </w:p>
        </w:tc>
        <w:tc>
          <w:tcPr>
            <w:tcW w:w="509" w:type="pct"/>
            <w:tcBorders>
              <w:top w:val="single" w:sz="6" w:space="0" w:color="000000"/>
              <w:left w:val="nil"/>
              <w:bottom w:val="single" w:sz="6" w:space="0" w:color="000000"/>
              <w:right w:val="nil"/>
            </w:tcBorders>
            <w:vAlign w:val="center"/>
          </w:tcPr>
          <w:p w14:paraId="4E45F1EB" w14:textId="77777777" w:rsidR="00DC2120" w:rsidRPr="00A55335" w:rsidRDefault="00DC2120">
            <w:pPr>
              <w:pStyle w:val="Tabletext8pt"/>
              <w:jc w:val="center"/>
            </w:pPr>
            <w:r w:rsidRPr="00A55335">
              <w:t>-</w:t>
            </w:r>
          </w:p>
        </w:tc>
        <w:tc>
          <w:tcPr>
            <w:tcW w:w="581" w:type="pct"/>
            <w:tcBorders>
              <w:top w:val="single" w:sz="6" w:space="0" w:color="000000"/>
              <w:left w:val="nil"/>
              <w:bottom w:val="single" w:sz="6" w:space="0" w:color="000000"/>
              <w:right w:val="nil"/>
            </w:tcBorders>
            <w:vAlign w:val="center"/>
          </w:tcPr>
          <w:p w14:paraId="6C5E93A5" w14:textId="594F192E" w:rsidR="00DC2120" w:rsidRPr="00A55335" w:rsidDel="002B74DC" w:rsidRDefault="00DD5A79">
            <w:pPr>
              <w:pStyle w:val="Tabletext8pt"/>
              <w:jc w:val="center"/>
            </w:pPr>
            <w:r w:rsidRPr="00A55335">
              <w:t>83</w:t>
            </w:r>
            <w:r w:rsidRPr="00A55335">
              <w:br/>
              <w:t>(1 RCT)</w:t>
            </w:r>
          </w:p>
        </w:tc>
        <w:tc>
          <w:tcPr>
            <w:tcW w:w="580" w:type="pct"/>
            <w:tcBorders>
              <w:top w:val="single" w:sz="6" w:space="0" w:color="000000"/>
              <w:left w:val="nil"/>
              <w:bottom w:val="single" w:sz="6" w:space="0" w:color="000000"/>
              <w:right w:val="nil"/>
            </w:tcBorders>
            <w:vAlign w:val="center"/>
          </w:tcPr>
          <w:p w14:paraId="03530187" w14:textId="5D795912" w:rsidR="00DC2120" w:rsidRPr="00A55335" w:rsidRDefault="00DC2120">
            <w:pPr>
              <w:pStyle w:val="Tabletext8pt"/>
              <w:jc w:val="center"/>
              <w:rPr>
                <w:rStyle w:val="quality-sign"/>
                <w:rFonts w:ascii="Cambria Math" w:hAnsi="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00C40206" w:rsidRPr="00A55335">
              <w:rPr>
                <w:rStyle w:val="FootnoteReference"/>
              </w:rPr>
              <w:t>a,b,c,d,e</w:t>
            </w:r>
            <w:proofErr w:type="spellEnd"/>
          </w:p>
        </w:tc>
        <w:tc>
          <w:tcPr>
            <w:tcW w:w="1067" w:type="pct"/>
            <w:tcBorders>
              <w:top w:val="single" w:sz="6" w:space="0" w:color="000000"/>
              <w:left w:val="nil"/>
              <w:bottom w:val="single" w:sz="6" w:space="0" w:color="000000"/>
              <w:right w:val="nil"/>
            </w:tcBorders>
            <w:vAlign w:val="center"/>
          </w:tcPr>
          <w:p w14:paraId="226E50C4" w14:textId="5DFF70F1" w:rsidR="00DC2120" w:rsidRPr="00A55335" w:rsidRDefault="00DC2120">
            <w:pPr>
              <w:pStyle w:val="Tabletext8pt"/>
              <w:rPr>
                <w:rFonts w:eastAsia="Times New Roman"/>
              </w:rPr>
            </w:pPr>
            <w:r w:rsidRPr="00A55335">
              <w:rPr>
                <w:rFonts w:eastAsia="Times New Roman"/>
              </w:rPr>
              <w:t xml:space="preserve">The evidence is very uncertain about the effect of homeopathy on </w:t>
            </w:r>
            <w:r w:rsidR="00C31777" w:rsidRPr="00A55335">
              <w:rPr>
                <w:rFonts w:eastAsia="Times New Roman"/>
              </w:rPr>
              <w:t xml:space="preserve">emotional </w:t>
            </w:r>
            <w:r w:rsidR="009C35BB" w:rsidRPr="00A55335">
              <w:rPr>
                <w:rFonts w:eastAsia="Times New Roman"/>
              </w:rPr>
              <w:t>lability</w:t>
            </w:r>
            <w:r w:rsidRPr="00A55335">
              <w:rPr>
                <w:rFonts w:eastAsia="Times New Roman"/>
              </w:rPr>
              <w:t xml:space="preserve"> for people with ADHD</w:t>
            </w:r>
            <w:r w:rsidR="000973CA">
              <w:rPr>
                <w:rFonts w:eastAsia="Times New Roman"/>
              </w:rPr>
              <w:t xml:space="preserve"> **</w:t>
            </w:r>
          </w:p>
        </w:tc>
      </w:tr>
      <w:tr w:rsidR="00681977" w:rsidRPr="00A55335" w14:paraId="5D6BB365" w14:textId="77777777" w:rsidTr="0032491A">
        <w:trPr>
          <w:cantSplit/>
        </w:trPr>
        <w:tc>
          <w:tcPr>
            <w:tcW w:w="881" w:type="pct"/>
            <w:tcBorders>
              <w:top w:val="single" w:sz="6" w:space="0" w:color="000000"/>
              <w:left w:val="nil"/>
              <w:bottom w:val="single" w:sz="6" w:space="0" w:color="000000"/>
              <w:right w:val="nil"/>
            </w:tcBorders>
            <w:vAlign w:val="center"/>
            <w:hideMark/>
          </w:tcPr>
          <w:p w14:paraId="007D6995" w14:textId="53C7F633" w:rsidR="00C50C9E" w:rsidRPr="00A55335" w:rsidRDefault="00C50C9E" w:rsidP="00C50C9E">
            <w:pPr>
              <w:pStyle w:val="Tabletext8pt"/>
            </w:pPr>
            <w:r w:rsidRPr="00A55335">
              <w:t>Health-related quality of life: assessed with: Child Health Utility 9D</w:t>
            </w:r>
            <w:r w:rsidR="00F5112E">
              <w:br/>
              <w:t>Scale from: 0 to 1</w:t>
            </w:r>
            <w:r w:rsidRPr="00A55335">
              <w:t xml:space="preserve"> (higher is better)</w:t>
            </w:r>
            <w:r w:rsidRPr="00A55335">
              <w:br/>
              <w:t>follow-up: 12 months</w:t>
            </w:r>
          </w:p>
        </w:tc>
        <w:tc>
          <w:tcPr>
            <w:tcW w:w="691" w:type="pct"/>
            <w:tcBorders>
              <w:top w:val="single" w:sz="6" w:space="0" w:color="000000"/>
              <w:left w:val="nil"/>
              <w:bottom w:val="single" w:sz="6" w:space="0" w:color="000000"/>
              <w:right w:val="nil"/>
            </w:tcBorders>
            <w:shd w:val="clear" w:color="auto" w:fill="DEE2E4" w:themeFill="accent6" w:themeFillTint="33"/>
            <w:vAlign w:val="center"/>
            <w:hideMark/>
          </w:tcPr>
          <w:p w14:paraId="6648197F" w14:textId="6552B014" w:rsidR="00C50C9E" w:rsidRPr="00A55335" w:rsidRDefault="00C50C9E" w:rsidP="00C50C9E">
            <w:pPr>
              <w:pStyle w:val="Tabletext8pt"/>
            </w:pPr>
            <w:r w:rsidRPr="00A55335">
              <w:t xml:space="preserve">The mean </w:t>
            </w:r>
            <w:r w:rsidR="00FD1870" w:rsidRPr="00A55335">
              <w:t>CHU-9</w:t>
            </w:r>
            <w:r w:rsidRPr="00A55335">
              <w:t xml:space="preserve"> score was </w:t>
            </w:r>
            <w:r w:rsidR="00FD1870" w:rsidRPr="00A55335">
              <w:rPr>
                <w:rStyle w:val="Strong"/>
              </w:rPr>
              <w:t>0.8</w:t>
            </w:r>
            <w:r w:rsidR="00DD5A79" w:rsidRPr="00A55335">
              <w:rPr>
                <w:rStyle w:val="Strong"/>
              </w:rPr>
              <w:t>85</w:t>
            </w:r>
          </w:p>
        </w:tc>
        <w:tc>
          <w:tcPr>
            <w:tcW w:w="691" w:type="pct"/>
            <w:tcBorders>
              <w:top w:val="single" w:sz="6" w:space="0" w:color="000000"/>
              <w:left w:val="nil"/>
              <w:bottom w:val="single" w:sz="6" w:space="0" w:color="000000"/>
              <w:right w:val="nil"/>
            </w:tcBorders>
            <w:shd w:val="clear" w:color="auto" w:fill="DEE2E4" w:themeFill="accent6" w:themeFillTint="33"/>
            <w:hideMark/>
          </w:tcPr>
          <w:p w14:paraId="770708F5" w14:textId="11CF54CB" w:rsidR="00C50C9E" w:rsidRPr="00A55335" w:rsidRDefault="00C50C9E" w:rsidP="00C50C9E">
            <w:pPr>
              <w:pStyle w:val="Tabletext8pt"/>
            </w:pPr>
            <w:r w:rsidRPr="00A55335">
              <w:t xml:space="preserve">MD </w:t>
            </w:r>
            <w:r w:rsidR="00DD5A79" w:rsidRPr="00A55335">
              <w:rPr>
                <w:rStyle w:val="Strong"/>
              </w:rPr>
              <w:t>0.01</w:t>
            </w:r>
            <w:r w:rsidRPr="00A55335">
              <w:rPr>
                <w:rStyle w:val="Strong"/>
              </w:rPr>
              <w:t xml:space="preserve"> lower</w:t>
            </w:r>
            <w:r w:rsidRPr="00A55335">
              <w:br/>
              <w:t>(</w:t>
            </w:r>
            <w:r w:rsidR="00DD5A79" w:rsidRPr="00A55335">
              <w:t>0.07</w:t>
            </w:r>
            <w:r w:rsidRPr="00A55335">
              <w:t xml:space="preserve"> lower to </w:t>
            </w:r>
            <w:r w:rsidR="00DD5A79" w:rsidRPr="00A55335">
              <w:t>0.05</w:t>
            </w:r>
            <w:r w:rsidRPr="00A55335">
              <w:t xml:space="preserve"> higher)</w:t>
            </w:r>
          </w:p>
        </w:tc>
        <w:tc>
          <w:tcPr>
            <w:tcW w:w="509" w:type="pct"/>
            <w:tcBorders>
              <w:top w:val="single" w:sz="6" w:space="0" w:color="000000"/>
              <w:left w:val="nil"/>
              <w:bottom w:val="single" w:sz="6" w:space="0" w:color="000000"/>
              <w:right w:val="nil"/>
            </w:tcBorders>
            <w:vAlign w:val="center"/>
            <w:hideMark/>
          </w:tcPr>
          <w:p w14:paraId="63EF92EB" w14:textId="4A00510B" w:rsidR="00C50C9E" w:rsidRPr="00A55335" w:rsidRDefault="00C50C9E" w:rsidP="00C50C9E">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78E41B35" w14:textId="0BDB0F0B" w:rsidR="00C50C9E" w:rsidRPr="00A55335" w:rsidRDefault="00DD5A79" w:rsidP="00C50C9E">
            <w:pPr>
              <w:pStyle w:val="Tabletext8pt"/>
              <w:jc w:val="center"/>
              <w:rPr>
                <w:rFonts w:eastAsia="Times New Roman"/>
              </w:rPr>
            </w:pPr>
            <w:r w:rsidRPr="00A55335">
              <w:t>83</w:t>
            </w:r>
            <w:r w:rsidRPr="00A55335">
              <w:br/>
              <w:t>(1 RCT)</w:t>
            </w:r>
          </w:p>
        </w:tc>
        <w:tc>
          <w:tcPr>
            <w:tcW w:w="580" w:type="pct"/>
            <w:tcBorders>
              <w:top w:val="single" w:sz="6" w:space="0" w:color="000000"/>
              <w:left w:val="nil"/>
              <w:bottom w:val="single" w:sz="6" w:space="0" w:color="000000"/>
              <w:right w:val="nil"/>
            </w:tcBorders>
            <w:vAlign w:val="center"/>
            <w:hideMark/>
          </w:tcPr>
          <w:p w14:paraId="61F4B84A" w14:textId="135AF922" w:rsidR="00C50C9E" w:rsidRPr="00A55335" w:rsidRDefault="00C50C9E" w:rsidP="00C50C9E">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00C40206" w:rsidRPr="00A55335">
              <w:rPr>
                <w:rStyle w:val="FootnoteReference"/>
              </w:rPr>
              <w:t>a,b,c,d,e</w:t>
            </w:r>
            <w:proofErr w:type="spellEnd"/>
          </w:p>
        </w:tc>
        <w:tc>
          <w:tcPr>
            <w:tcW w:w="1067" w:type="pct"/>
            <w:tcBorders>
              <w:top w:val="single" w:sz="6" w:space="0" w:color="000000"/>
              <w:left w:val="nil"/>
              <w:bottom w:val="single" w:sz="6" w:space="0" w:color="000000"/>
              <w:right w:val="nil"/>
            </w:tcBorders>
            <w:vAlign w:val="center"/>
            <w:hideMark/>
          </w:tcPr>
          <w:p w14:paraId="044EC86D" w14:textId="7805166C" w:rsidR="00C50C9E" w:rsidRPr="00A55335" w:rsidRDefault="00C50C9E" w:rsidP="00C50C9E">
            <w:pPr>
              <w:pStyle w:val="Tabletext8pt"/>
              <w:rPr>
                <w:rFonts w:eastAsia="Times New Roman"/>
              </w:rPr>
            </w:pPr>
            <w:r w:rsidRPr="00A55335">
              <w:rPr>
                <w:rFonts w:eastAsia="Times New Roman"/>
              </w:rPr>
              <w:t>The evidence is very uncertain about the effect of homeopathy on quality of life for people with ADHD</w:t>
            </w:r>
            <w:r w:rsidR="000973CA">
              <w:rPr>
                <w:rFonts w:eastAsia="Times New Roman"/>
              </w:rPr>
              <w:t xml:space="preserve"> **</w:t>
            </w:r>
          </w:p>
        </w:tc>
      </w:tr>
      <w:tr w:rsidR="0032491A" w:rsidRPr="00A55335" w14:paraId="3501A515" w14:textId="77777777" w:rsidTr="0032491A">
        <w:trPr>
          <w:cantSplit/>
        </w:trPr>
        <w:tc>
          <w:tcPr>
            <w:tcW w:w="5000" w:type="pct"/>
            <w:gridSpan w:val="7"/>
            <w:tcBorders>
              <w:top w:val="single" w:sz="6" w:space="0" w:color="000000"/>
              <w:left w:val="nil"/>
              <w:bottom w:val="single" w:sz="6" w:space="0" w:color="000000"/>
              <w:right w:val="nil"/>
            </w:tcBorders>
            <w:vAlign w:val="center"/>
            <w:hideMark/>
          </w:tcPr>
          <w:p w14:paraId="5A9D82E1" w14:textId="77777777" w:rsidR="00DC2120" w:rsidRPr="00A55335" w:rsidRDefault="00DC2120">
            <w:pPr>
              <w:pStyle w:val="TableFigNotes18"/>
            </w:pPr>
            <w:r w:rsidRPr="00A55335">
              <w:lastRenderedPageBreak/>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0E39D734" w14:textId="77777777" w:rsidR="000973CA" w:rsidRDefault="000973CA" w:rsidP="000973CA">
            <w:pPr>
              <w:pStyle w:val="TableFigNotes18"/>
            </w:pPr>
            <w:r>
              <w:t xml:space="preserve">** </w:t>
            </w:r>
            <w:r w:rsidRPr="009B5C71">
              <w:t>Effect estimates were considered on 3 levels: small (MD &lt;10% of the scale), moderate (MD between 10% to 20% of the scale) or large (MD more than 20% of the scale).</w:t>
            </w:r>
          </w:p>
          <w:p w14:paraId="67B2CF8C" w14:textId="36582857" w:rsidR="00DC2120" w:rsidRPr="00A55335" w:rsidRDefault="00DC2120" w:rsidP="000973CA">
            <w:pPr>
              <w:pStyle w:val="TableFigNotes18"/>
            </w:pPr>
          </w:p>
          <w:p w14:paraId="51D11795" w14:textId="77777777" w:rsidR="00DC2120" w:rsidRPr="00A55335" w:rsidRDefault="00DC2120">
            <w:pPr>
              <w:pStyle w:val="TableFigNotes18"/>
            </w:pPr>
            <w:r w:rsidRPr="00A55335">
              <w:t xml:space="preserve">† Data from one study (62 participants) not included in the meta-analysis as the study did not report means, SD or 95% CI. Study authors reported a mean difference of 1.67 points in favour of the homeopathy group. </w:t>
            </w:r>
          </w:p>
          <w:p w14:paraId="5D829448" w14:textId="77777777" w:rsidR="00DC2120" w:rsidRPr="00A55335" w:rsidRDefault="00DC2120">
            <w:pPr>
              <w:pStyle w:val="TableFigNotes18"/>
            </w:pPr>
            <w:r w:rsidRPr="00A55335">
              <w:t>†† Data from one study (20 participants) not included in the meta-analysis as the study did not report means, SD or 95% CI.</w:t>
            </w:r>
          </w:p>
          <w:p w14:paraId="757F703C" w14:textId="292E9721" w:rsidR="00DC2120" w:rsidRPr="00A55335" w:rsidRDefault="00DC2120">
            <w:pPr>
              <w:pStyle w:val="TableFigNotes0"/>
            </w:pPr>
            <w:r w:rsidRPr="00A55335">
              <w:rPr>
                <w:rStyle w:val="Strong"/>
              </w:rPr>
              <w:t xml:space="preserve">ADHD: </w:t>
            </w:r>
            <w:r w:rsidRPr="00A55335">
              <w:t>attention deficit hyperactivity disorder;</w:t>
            </w:r>
            <w:r w:rsidRPr="00A55335">
              <w:rPr>
                <w:rStyle w:val="Strong"/>
              </w:rPr>
              <w:t xml:space="preserve"> CI:</w:t>
            </w:r>
            <w:r w:rsidRPr="00A55335">
              <w:t xml:space="preserve"> confidence interval; </w:t>
            </w:r>
            <w:r w:rsidR="001D78ED" w:rsidRPr="00A55335">
              <w:rPr>
                <w:rStyle w:val="Strong"/>
              </w:rPr>
              <w:t>CGI</w:t>
            </w:r>
            <w:r w:rsidRPr="00A55335">
              <w:rPr>
                <w:rStyle w:val="Strong"/>
              </w:rPr>
              <w:t>:</w:t>
            </w:r>
            <w:r w:rsidRPr="00A55335">
              <w:t xml:space="preserve"> </w:t>
            </w:r>
            <w:r w:rsidR="001D78ED" w:rsidRPr="00A55335">
              <w:t>Conner's Global Index</w:t>
            </w:r>
            <w:r w:rsidRPr="00A55335">
              <w:t xml:space="preserve">; </w:t>
            </w:r>
            <w:r w:rsidRPr="00A55335">
              <w:rPr>
                <w:rStyle w:val="Strong"/>
              </w:rPr>
              <w:t>MD:</w:t>
            </w:r>
            <w:r w:rsidRPr="00A55335">
              <w:t xml:space="preserve"> mean difference; </w:t>
            </w:r>
            <w:r w:rsidRPr="00A55335">
              <w:rPr>
                <w:rStyle w:val="Strong"/>
              </w:rPr>
              <w:t>SMD:</w:t>
            </w:r>
            <w:r w:rsidRPr="00A55335">
              <w:t xml:space="preserve"> standardised mean difference; </w:t>
            </w:r>
            <w:r w:rsidRPr="00A55335">
              <w:rPr>
                <w:rStyle w:val="Strong"/>
              </w:rPr>
              <w:t>RCT</w:t>
            </w:r>
            <w:r w:rsidRPr="00A55335">
              <w:t>: Randomised controlled trial.</w:t>
            </w:r>
          </w:p>
        </w:tc>
      </w:tr>
      <w:tr w:rsidR="0032491A" w:rsidRPr="00A55335" w14:paraId="40E0F1E3" w14:textId="77777777" w:rsidTr="0032491A">
        <w:trPr>
          <w:cantSplit/>
        </w:trPr>
        <w:tc>
          <w:tcPr>
            <w:tcW w:w="5000" w:type="pct"/>
            <w:gridSpan w:val="7"/>
            <w:tcBorders>
              <w:top w:val="single" w:sz="6" w:space="0" w:color="000000"/>
              <w:left w:val="nil"/>
              <w:bottom w:val="single" w:sz="6" w:space="0" w:color="000000"/>
              <w:right w:val="nil"/>
            </w:tcBorders>
            <w:vAlign w:val="center"/>
            <w:hideMark/>
          </w:tcPr>
          <w:p w14:paraId="1B26F710" w14:textId="77777777" w:rsidR="00DC2120" w:rsidRPr="00A55335" w:rsidRDefault="00DC2120">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3513C3F4" w14:textId="77777777" w:rsidR="002C644C" w:rsidRPr="00A55335" w:rsidRDefault="002C644C" w:rsidP="002C644C">
      <w:pPr>
        <w:pStyle w:val="Heading5a"/>
        <w:rPr>
          <w:lang w:val="en-AU"/>
        </w:rPr>
      </w:pPr>
      <w:r w:rsidRPr="00A55335">
        <w:rPr>
          <w:lang w:val="en-AU"/>
        </w:rPr>
        <w:t>Explanations</w:t>
      </w:r>
    </w:p>
    <w:p w14:paraId="7245C357" w14:textId="3C998538" w:rsidR="002C644C" w:rsidRPr="00A55335" w:rsidRDefault="002C644C" w:rsidP="002C644C">
      <w:pPr>
        <w:pStyle w:val="Footnote"/>
      </w:pPr>
      <w:r w:rsidRPr="00A55335">
        <w:t xml:space="preserve">a. </w:t>
      </w:r>
      <w:proofErr w:type="gramStart"/>
      <w:r w:rsidRPr="00A55335">
        <w:t>Serious</w:t>
      </w:r>
      <w:proofErr w:type="gramEnd"/>
      <w:r w:rsidRPr="00A55335">
        <w:t xml:space="preserve"> risk of bias. One study contributing ~100% of data was at high risk of bias. Certainty of evidence downgraded.</w:t>
      </w:r>
    </w:p>
    <w:p w14:paraId="12FEF536" w14:textId="7963CCB9" w:rsidR="002C644C" w:rsidRPr="00A55335" w:rsidRDefault="002C644C" w:rsidP="002C644C">
      <w:pPr>
        <w:pStyle w:val="Footnote"/>
      </w:pPr>
      <w:r w:rsidRPr="00A55335">
        <w:t xml:space="preserve">b. Single study. Inconsistency not assessed. Certainty of evidence not downgraded. </w:t>
      </w:r>
    </w:p>
    <w:p w14:paraId="5A11D48F" w14:textId="696B6728" w:rsidR="002C644C" w:rsidRPr="00A55335" w:rsidRDefault="002C644C" w:rsidP="002C644C">
      <w:pPr>
        <w:pStyle w:val="Footnote"/>
      </w:pPr>
      <w:r w:rsidRPr="00A55335">
        <w:t xml:space="preserve">c. No serious indirectness. The evidence is generalisable to the Australian population with some caveats. The available evidence in is children aged </w:t>
      </w:r>
      <w:r w:rsidR="00D45E19" w:rsidRPr="00A55335">
        <w:t>5</w:t>
      </w:r>
      <w:r w:rsidRPr="00A55335">
        <w:t xml:space="preserve"> to 1</w:t>
      </w:r>
      <w:r w:rsidR="00D45E19" w:rsidRPr="00A55335">
        <w:t>8</w:t>
      </w:r>
      <w:r w:rsidR="00F83949">
        <w:t xml:space="preserve"> </w:t>
      </w:r>
      <w:r w:rsidRPr="00A55335">
        <w:t>years with ADHD. It may not be applicable to adults with ADHD. Certainty of evidence not downgraded.</w:t>
      </w:r>
    </w:p>
    <w:p w14:paraId="791457C6" w14:textId="17C8FCE6" w:rsidR="002C644C" w:rsidRPr="00A55335" w:rsidRDefault="002C644C" w:rsidP="002C644C">
      <w:pPr>
        <w:pStyle w:val="Footnote"/>
      </w:pPr>
      <w:r w:rsidRPr="00A55335">
        <w:t>d. Very serious imprecision. Single small study with wide confidence intervals (upper and lower bound overlap with both and important benefit and harms). Certainty of evidence downgraded</w:t>
      </w:r>
      <w:r w:rsidR="00D45E19" w:rsidRPr="00A55335">
        <w:t xml:space="preserve"> 2 levels</w:t>
      </w:r>
      <w:r w:rsidRPr="00A55335">
        <w:t>.</w:t>
      </w:r>
    </w:p>
    <w:p w14:paraId="024BC72F" w14:textId="0C39A659" w:rsidR="00DC2120" w:rsidRPr="00A55335" w:rsidRDefault="002C644C" w:rsidP="007252A0">
      <w:pPr>
        <w:pStyle w:val="Footnote"/>
      </w:pPr>
      <w:r w:rsidRPr="00A55335">
        <w:t xml:space="preserve">e. Publication bias </w:t>
      </w:r>
      <w:r w:rsidR="00795CBB" w:rsidRPr="00A55335">
        <w:t xml:space="preserve">not </w:t>
      </w:r>
      <w:r w:rsidRPr="00A55335">
        <w:t xml:space="preserve">suspected. Certainty of evidence </w:t>
      </w:r>
      <w:r w:rsidR="00795CBB" w:rsidRPr="00A55335">
        <w:t xml:space="preserve">not </w:t>
      </w:r>
      <w:r w:rsidRPr="00A55335">
        <w:t xml:space="preserve">downgraded. </w:t>
      </w:r>
    </w:p>
    <w:p w14:paraId="318C413D" w14:textId="77777777" w:rsidR="00DD505D" w:rsidRPr="00A55335" w:rsidRDefault="00DD505D" w:rsidP="004D433B">
      <w:pPr>
        <w:pStyle w:val="Heading3"/>
      </w:pPr>
      <w:bookmarkStart w:id="222" w:name="_Toc153461015"/>
      <w:bookmarkStart w:id="223" w:name="_Toc153464225"/>
      <w:bookmarkStart w:id="224" w:name="_Toc153530321"/>
      <w:bookmarkStart w:id="225" w:name="_Toc153549825"/>
      <w:bookmarkStart w:id="226" w:name="_Toc153807842"/>
      <w:bookmarkStart w:id="227" w:name="_Toc153894267"/>
      <w:bookmarkStart w:id="228" w:name="_Toc153915147"/>
      <w:bookmarkStart w:id="229" w:name="_Toc153970401"/>
      <w:bookmarkStart w:id="230" w:name="_Toc183441344"/>
      <w:bookmarkEnd w:id="222"/>
      <w:bookmarkEnd w:id="223"/>
      <w:bookmarkEnd w:id="224"/>
      <w:bookmarkEnd w:id="225"/>
      <w:bookmarkEnd w:id="226"/>
      <w:bookmarkEnd w:id="227"/>
      <w:bookmarkEnd w:id="228"/>
      <w:bookmarkEnd w:id="229"/>
      <w:r w:rsidRPr="00A55335">
        <w:t>Forest plots</w:t>
      </w:r>
      <w:bookmarkEnd w:id="230"/>
    </w:p>
    <w:p w14:paraId="27FF7EFE" w14:textId="7960AE38" w:rsidR="00DD505D" w:rsidRPr="00A55335" w:rsidRDefault="00DD505D" w:rsidP="0040381B">
      <w:pPr>
        <w:pStyle w:val="BodyText"/>
      </w:pPr>
      <w:r w:rsidRPr="00A55335">
        <w:t xml:space="preserve">Outcome results </w:t>
      </w:r>
      <w:r w:rsidR="00C8047B" w:rsidRPr="00A55335">
        <w:t xml:space="preserve">related to </w:t>
      </w:r>
      <w:r w:rsidR="002A3EF8" w:rsidRPr="00A55335">
        <w:t>the p</w:t>
      </w:r>
      <w:r w:rsidR="006070ED" w:rsidRPr="00A55335">
        <w:t xml:space="preserve">rimary </w:t>
      </w:r>
      <w:r w:rsidR="002A3EF8" w:rsidRPr="00A55335">
        <w:t>c</w:t>
      </w:r>
      <w:r w:rsidR="006070ED" w:rsidRPr="00A55335">
        <w:t>omparison</w:t>
      </w:r>
      <w:r w:rsidR="00C8047B" w:rsidRPr="00A55335">
        <w:t xml:space="preserve"> (homeopathy vs placebo) in </w:t>
      </w:r>
      <w:r w:rsidRPr="00A55335">
        <w:t xml:space="preserve">people with </w:t>
      </w:r>
      <w:r w:rsidR="00080801" w:rsidRPr="00A55335">
        <w:t>ADHD</w:t>
      </w:r>
      <w:r w:rsidRPr="00A55335">
        <w:t xml:space="preserve"> are presented in </w:t>
      </w:r>
      <w:r w:rsidRPr="00A55335">
        <w:fldChar w:fldCharType="begin"/>
      </w:r>
      <w:r w:rsidRPr="00A55335">
        <w:instrText xml:space="preserve"> REF _Ref146796445 \h </w:instrText>
      </w:r>
      <w:r w:rsidRPr="00A55335">
        <w:fldChar w:fldCharType="separate"/>
      </w:r>
      <w:r w:rsidR="00814B04" w:rsidRPr="00A55335">
        <w:t xml:space="preserve">Figure </w:t>
      </w:r>
      <w:r w:rsidR="00814B04">
        <w:rPr>
          <w:noProof/>
        </w:rPr>
        <w:t>32</w:t>
      </w:r>
      <w:r w:rsidRPr="00A55335">
        <w:fldChar w:fldCharType="end"/>
      </w:r>
      <w:r w:rsidR="0040381B" w:rsidRPr="00A55335">
        <w:t xml:space="preserve"> (ADHD symptoms</w:t>
      </w:r>
      <w:r w:rsidR="00080801" w:rsidRPr="00A55335">
        <w:t xml:space="preserve"> - global</w:t>
      </w:r>
      <w:r w:rsidR="0040381B" w:rsidRPr="00A55335">
        <w:t>)</w:t>
      </w:r>
      <w:r w:rsidR="00FE13F2" w:rsidRPr="00A55335">
        <w:t xml:space="preserve"> and </w:t>
      </w:r>
      <w:r w:rsidR="00080801" w:rsidRPr="00A55335">
        <w:fldChar w:fldCharType="begin"/>
      </w:r>
      <w:r w:rsidR="00080801" w:rsidRPr="00A55335">
        <w:instrText xml:space="preserve"> REF _Ref152930513 \h </w:instrText>
      </w:r>
      <w:r w:rsidR="00080801" w:rsidRPr="00A55335">
        <w:fldChar w:fldCharType="separate"/>
      </w:r>
      <w:r w:rsidR="00814B04" w:rsidRPr="00A55335">
        <w:t xml:space="preserve">Figure </w:t>
      </w:r>
      <w:r w:rsidR="00814B04">
        <w:rPr>
          <w:noProof/>
        </w:rPr>
        <w:t>33</w:t>
      </w:r>
      <w:r w:rsidR="00080801" w:rsidRPr="00A55335">
        <w:fldChar w:fldCharType="end"/>
      </w:r>
      <w:r w:rsidR="0040381B" w:rsidRPr="00A55335">
        <w:t xml:space="preserve"> </w:t>
      </w:r>
      <w:r w:rsidR="00080801" w:rsidRPr="00A55335">
        <w:t>(ADHD symptoms -</w:t>
      </w:r>
      <w:r w:rsidR="00FE13F2" w:rsidRPr="00A55335">
        <w:t xml:space="preserve"> </w:t>
      </w:r>
      <w:r w:rsidR="002C44DB" w:rsidRPr="00A55335">
        <w:t>subscales</w:t>
      </w:r>
      <w:r w:rsidR="00080801" w:rsidRPr="00A55335">
        <w:t>)</w:t>
      </w:r>
      <w:r w:rsidRPr="00A55335">
        <w:t>.</w:t>
      </w:r>
    </w:p>
    <w:p w14:paraId="48AE3F75" w14:textId="79C7744A" w:rsidR="00FE13F2" w:rsidRPr="00A55335" w:rsidRDefault="00FE13F2" w:rsidP="0040381B">
      <w:pPr>
        <w:pStyle w:val="BodyText"/>
      </w:pPr>
      <w:r w:rsidRPr="00A55335">
        <w:t xml:space="preserve">Outcome results related to </w:t>
      </w:r>
      <w:r w:rsidR="002A3EF8" w:rsidRPr="00A55335">
        <w:t>the s</w:t>
      </w:r>
      <w:r w:rsidR="006070ED" w:rsidRPr="00A55335">
        <w:t xml:space="preserve">econdary </w:t>
      </w:r>
      <w:r w:rsidR="002A3EF8" w:rsidRPr="00A55335">
        <w:t>c</w:t>
      </w:r>
      <w:r w:rsidR="006070ED" w:rsidRPr="00A55335">
        <w:t>omparison</w:t>
      </w:r>
      <w:r w:rsidRPr="00A55335">
        <w:t xml:space="preserve"> (homeopathy vs </w:t>
      </w:r>
      <w:r w:rsidR="003B216D" w:rsidRPr="00A55335">
        <w:t xml:space="preserve">inactive </w:t>
      </w:r>
      <w:r w:rsidRPr="00A55335">
        <w:t xml:space="preserve">control) in people with ADHD are presented in </w:t>
      </w:r>
      <w:r w:rsidR="00EC7551" w:rsidRPr="00A55335">
        <w:fldChar w:fldCharType="begin"/>
      </w:r>
      <w:r w:rsidR="00EC7551" w:rsidRPr="00A55335">
        <w:instrText xml:space="preserve"> REF _Ref152947850 \h </w:instrText>
      </w:r>
      <w:r w:rsidR="00EC7551" w:rsidRPr="00A55335">
        <w:fldChar w:fldCharType="separate"/>
      </w:r>
      <w:r w:rsidR="00814B04" w:rsidRPr="00A55335">
        <w:t xml:space="preserve">Figure </w:t>
      </w:r>
      <w:r w:rsidR="00814B04">
        <w:rPr>
          <w:noProof/>
        </w:rPr>
        <w:t>34</w:t>
      </w:r>
      <w:r w:rsidR="00EC7551" w:rsidRPr="00A55335">
        <w:fldChar w:fldCharType="end"/>
      </w:r>
      <w:r w:rsidR="00EC7551" w:rsidRPr="00A55335">
        <w:t xml:space="preserve"> </w:t>
      </w:r>
      <w:r w:rsidRPr="00A55335">
        <w:t xml:space="preserve">(ADHD symptoms and </w:t>
      </w:r>
      <w:r w:rsidRPr="00A55335">
        <w:fldChar w:fldCharType="begin"/>
      </w:r>
      <w:r w:rsidRPr="00A55335">
        <w:instrText xml:space="preserve"> REF _Ref146796429 \h </w:instrText>
      </w:r>
      <w:r w:rsidRPr="00A55335">
        <w:fldChar w:fldCharType="separate"/>
      </w:r>
      <w:r w:rsidR="00814B04" w:rsidRPr="00A55335">
        <w:t xml:space="preserve">Figure </w:t>
      </w:r>
      <w:r w:rsidR="00814B04">
        <w:rPr>
          <w:noProof/>
        </w:rPr>
        <w:t>35</w:t>
      </w:r>
      <w:r w:rsidRPr="00A55335">
        <w:fldChar w:fldCharType="end"/>
      </w:r>
      <w:r w:rsidRPr="00A55335">
        <w:t xml:space="preserve"> (health-related quality of life).</w:t>
      </w:r>
    </w:p>
    <w:p w14:paraId="0FB7A088" w14:textId="3E894331" w:rsidR="00DD505D" w:rsidRPr="00A55335" w:rsidRDefault="00DD505D" w:rsidP="00DD505D">
      <w:pPr>
        <w:pStyle w:val="Caption"/>
      </w:pPr>
      <w:bookmarkStart w:id="231" w:name="_Ref146796445"/>
      <w:bookmarkStart w:id="232" w:name="_Toc183520305"/>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32</w:t>
      </w:r>
      <w:r w:rsidRPr="00A55335">
        <w:fldChar w:fldCharType="end"/>
      </w:r>
      <w:bookmarkEnd w:id="231"/>
      <w:r w:rsidR="006A4FE5" w:rsidRPr="00A55335">
        <w:tab/>
      </w:r>
      <w:r w:rsidRPr="00A55335">
        <w:t xml:space="preserve">Forest plot of </w:t>
      </w:r>
      <w:r w:rsidR="009E2198" w:rsidRPr="00A55335">
        <w:t xml:space="preserve">primary </w:t>
      </w:r>
      <w:r w:rsidRPr="00A55335">
        <w:t xml:space="preserve">comparison: Homeopathy vs placebo: </w:t>
      </w:r>
      <w:r w:rsidR="00080801" w:rsidRPr="00A55335">
        <w:t>ADHD</w:t>
      </w:r>
      <w:r w:rsidRPr="00A55335">
        <w:t xml:space="preserve"> – ADHD symptoms</w:t>
      </w:r>
      <w:r w:rsidR="00080801" w:rsidRPr="00A55335">
        <w:t xml:space="preserve"> (Global)</w:t>
      </w:r>
      <w:bookmarkEnd w:id="232"/>
    </w:p>
    <w:p w14:paraId="746DFF44" w14:textId="77777777" w:rsidR="00080801" w:rsidRPr="00A55335" w:rsidRDefault="00080801" w:rsidP="00080801">
      <w:pPr>
        <w:pStyle w:val="Pic"/>
      </w:pPr>
    </w:p>
    <w:p w14:paraId="5219FF67" w14:textId="3403A97B" w:rsidR="00080801" w:rsidRPr="00A55335" w:rsidRDefault="00EC7551" w:rsidP="0040381B">
      <w:pPr>
        <w:pStyle w:val="Pic"/>
      </w:pPr>
      <w:r w:rsidRPr="00A55335">
        <w:rPr>
          <w:noProof/>
        </w:rPr>
        <w:drawing>
          <wp:inline distT="0" distB="0" distL="0" distR="0" wp14:anchorId="6E6A9896" wp14:editId="6B73E9E9">
            <wp:extent cx="5968916" cy="3792772"/>
            <wp:effectExtent l="0" t="0" r="0" b="0"/>
            <wp:docPr id="1863406446" name="Picture 1863406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81363" cy="3800681"/>
                    </a:xfrm>
                    <a:prstGeom prst="rect">
                      <a:avLst/>
                    </a:prstGeom>
                    <a:noFill/>
                    <a:ln>
                      <a:noFill/>
                    </a:ln>
                  </pic:spPr>
                </pic:pic>
              </a:graphicData>
            </a:graphic>
          </wp:inline>
        </w:drawing>
      </w:r>
    </w:p>
    <w:p w14:paraId="75DB8478" w14:textId="77777777" w:rsidR="00080801" w:rsidRPr="00A55335" w:rsidRDefault="00080801" w:rsidP="00080801">
      <w:pPr>
        <w:pStyle w:val="TableFigNotes18"/>
      </w:pPr>
    </w:p>
    <w:p w14:paraId="02CBEA53" w14:textId="53C754B3" w:rsidR="00080801" w:rsidRPr="00A55335" w:rsidRDefault="00080801" w:rsidP="00080801">
      <w:pPr>
        <w:pStyle w:val="Caption"/>
      </w:pPr>
      <w:bookmarkStart w:id="233" w:name="_Ref152930513"/>
      <w:bookmarkStart w:id="234" w:name="_Toc183520306"/>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33</w:t>
      </w:r>
      <w:r w:rsidRPr="00A55335">
        <w:fldChar w:fldCharType="end"/>
      </w:r>
      <w:bookmarkEnd w:id="233"/>
      <w:r w:rsidRPr="00A55335">
        <w:tab/>
        <w:t xml:space="preserve">Forest plot of </w:t>
      </w:r>
      <w:r w:rsidR="009E2198" w:rsidRPr="00A55335">
        <w:t xml:space="preserve">primary </w:t>
      </w:r>
      <w:r w:rsidRPr="00A55335">
        <w:t>comparison: Homeopathy vs placebo: ADHD – ADHD symptoms (</w:t>
      </w:r>
      <w:r w:rsidR="00724C3C" w:rsidRPr="00A55335">
        <w:t>sub</w:t>
      </w:r>
      <w:r w:rsidR="00304022" w:rsidRPr="00A55335">
        <w:t>scales</w:t>
      </w:r>
      <w:r w:rsidRPr="00A55335">
        <w:t>)</w:t>
      </w:r>
      <w:bookmarkEnd w:id="234"/>
    </w:p>
    <w:p w14:paraId="2FC06DE3" w14:textId="44B498E4" w:rsidR="00304022" w:rsidRPr="00A55335" w:rsidRDefault="00EC7551" w:rsidP="00304022">
      <w:pPr>
        <w:pStyle w:val="Pic"/>
      </w:pPr>
      <w:r w:rsidRPr="00A55335">
        <w:rPr>
          <w:noProof/>
        </w:rPr>
        <w:drawing>
          <wp:inline distT="0" distB="0" distL="0" distR="0" wp14:anchorId="5F5A4C67" wp14:editId="7231FD48">
            <wp:extent cx="5849598" cy="6743700"/>
            <wp:effectExtent l="0" t="0" r="0" b="0"/>
            <wp:docPr id="1646913359" name="Picture 164691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61544" cy="6757472"/>
                    </a:xfrm>
                    <a:prstGeom prst="rect">
                      <a:avLst/>
                    </a:prstGeom>
                    <a:noFill/>
                    <a:ln>
                      <a:noFill/>
                    </a:ln>
                  </pic:spPr>
                </pic:pic>
              </a:graphicData>
            </a:graphic>
          </wp:inline>
        </w:drawing>
      </w:r>
    </w:p>
    <w:p w14:paraId="2FD06B51" w14:textId="3F0237AB" w:rsidR="0040381B" w:rsidRPr="00A55335" w:rsidRDefault="0040381B" w:rsidP="0040381B">
      <w:pPr>
        <w:pStyle w:val="Pic"/>
      </w:pPr>
    </w:p>
    <w:p w14:paraId="3D5C0D31" w14:textId="77777777" w:rsidR="0040381B" w:rsidRPr="00A55335" w:rsidRDefault="0040381B" w:rsidP="0040381B">
      <w:pPr>
        <w:pStyle w:val="TableFigNotes18"/>
      </w:pPr>
    </w:p>
    <w:p w14:paraId="47260223" w14:textId="1A0AD09F" w:rsidR="000C18C5" w:rsidRPr="00A55335" w:rsidRDefault="000C18C5" w:rsidP="000C18C5">
      <w:pPr>
        <w:pStyle w:val="Caption"/>
      </w:pPr>
      <w:bookmarkStart w:id="235" w:name="_Ref152947850"/>
      <w:bookmarkStart w:id="236" w:name="_Toc183520307"/>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34</w:t>
      </w:r>
      <w:r w:rsidRPr="00A55335">
        <w:fldChar w:fldCharType="end"/>
      </w:r>
      <w:bookmarkEnd w:id="235"/>
      <w:r w:rsidRPr="00A55335">
        <w:tab/>
        <w:t xml:space="preserve">Forest plot of </w:t>
      </w:r>
      <w:r w:rsidR="009E2198" w:rsidRPr="00A55335">
        <w:t xml:space="preserve">secondary </w:t>
      </w:r>
      <w:r w:rsidRPr="00A55335">
        <w:t xml:space="preserve">comparison: Homeopathy vs </w:t>
      </w:r>
      <w:r w:rsidR="003B216D" w:rsidRPr="00A55335">
        <w:t xml:space="preserve">inactive </w:t>
      </w:r>
      <w:r w:rsidR="00EC7551" w:rsidRPr="00A55335">
        <w:t>control</w:t>
      </w:r>
      <w:r w:rsidRPr="00A55335">
        <w:t>: ADHD – ADHD symptoms</w:t>
      </w:r>
      <w:bookmarkEnd w:id="236"/>
      <w:r w:rsidRPr="00A55335">
        <w:t xml:space="preserve"> </w:t>
      </w:r>
      <w:r w:rsidR="006A65BE">
        <w:t xml:space="preserve">at 12 months </w:t>
      </w:r>
    </w:p>
    <w:p w14:paraId="2DB18A0C" w14:textId="65C4550B" w:rsidR="00EC7551" w:rsidRPr="00A55335" w:rsidRDefault="00EC7551" w:rsidP="00EC7551">
      <w:pPr>
        <w:pStyle w:val="Pic"/>
      </w:pPr>
      <w:r w:rsidRPr="00A55335">
        <w:rPr>
          <w:noProof/>
        </w:rPr>
        <w:drawing>
          <wp:inline distT="0" distB="0" distL="0" distR="0" wp14:anchorId="37FF7C42" wp14:editId="41AAE7BD">
            <wp:extent cx="5758783" cy="3729162"/>
            <wp:effectExtent l="0" t="0" r="0" b="5080"/>
            <wp:docPr id="1223450277" name="Picture 122345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9345" cy="3736002"/>
                    </a:xfrm>
                    <a:prstGeom prst="rect">
                      <a:avLst/>
                    </a:prstGeom>
                    <a:noFill/>
                    <a:ln>
                      <a:noFill/>
                    </a:ln>
                  </pic:spPr>
                </pic:pic>
              </a:graphicData>
            </a:graphic>
          </wp:inline>
        </w:drawing>
      </w:r>
    </w:p>
    <w:p w14:paraId="5767E0C0" w14:textId="58BDAFB7" w:rsidR="000C18C5" w:rsidRPr="00A55335" w:rsidRDefault="000C18C5" w:rsidP="007252A0">
      <w:pPr>
        <w:pStyle w:val="BodyText"/>
      </w:pPr>
    </w:p>
    <w:p w14:paraId="27803363" w14:textId="5B2F95A3" w:rsidR="00DD505D" w:rsidRPr="00A55335" w:rsidRDefault="00DD505D" w:rsidP="00DD505D">
      <w:pPr>
        <w:pStyle w:val="Caption"/>
      </w:pPr>
      <w:bookmarkStart w:id="237" w:name="_Ref146796429"/>
      <w:bookmarkStart w:id="238" w:name="_Toc183520308"/>
      <w:r w:rsidRPr="00A55335">
        <w:t xml:space="preserve">Figure </w:t>
      </w:r>
      <w:r w:rsidRPr="00A55335">
        <w:fldChar w:fldCharType="begin"/>
      </w:r>
      <w:r w:rsidRPr="00A55335">
        <w:instrText xml:space="preserve"> SEQ Figure \* ARABIC </w:instrText>
      </w:r>
      <w:r w:rsidRPr="00A55335">
        <w:fldChar w:fldCharType="separate"/>
      </w:r>
      <w:r w:rsidR="00814B04">
        <w:rPr>
          <w:noProof/>
        </w:rPr>
        <w:t>35</w:t>
      </w:r>
      <w:r w:rsidRPr="00A55335">
        <w:fldChar w:fldCharType="end"/>
      </w:r>
      <w:bookmarkEnd w:id="237"/>
      <w:r w:rsidR="006A4FE5" w:rsidRPr="00A55335">
        <w:tab/>
      </w:r>
      <w:r w:rsidRPr="00A55335">
        <w:t xml:space="preserve">Forest plot of </w:t>
      </w:r>
      <w:r w:rsidR="009E2198" w:rsidRPr="00A55335">
        <w:t xml:space="preserve">secondary </w:t>
      </w:r>
      <w:r w:rsidRPr="00A55335">
        <w:t xml:space="preserve">comparison: Homeopathy vs </w:t>
      </w:r>
      <w:r w:rsidR="003B216D" w:rsidRPr="00A55335">
        <w:t xml:space="preserve">inactive </w:t>
      </w:r>
      <w:r w:rsidR="00EC7551" w:rsidRPr="00A55335">
        <w:t>control</w:t>
      </w:r>
      <w:r w:rsidRPr="00A55335">
        <w:t xml:space="preserve">: </w:t>
      </w:r>
      <w:r w:rsidR="00EC7551" w:rsidRPr="00A55335">
        <w:t>ADHD</w:t>
      </w:r>
      <w:r w:rsidRPr="00A55335">
        <w:t xml:space="preserve"> – health-related quality of life</w:t>
      </w:r>
      <w:bookmarkEnd w:id="238"/>
    </w:p>
    <w:p w14:paraId="7C4029FD" w14:textId="2A898CCC" w:rsidR="00DD505D" w:rsidRPr="00A55335" w:rsidRDefault="00EC7551" w:rsidP="00804415">
      <w:pPr>
        <w:pStyle w:val="Pic"/>
      </w:pPr>
      <w:r w:rsidRPr="00A55335">
        <w:rPr>
          <w:noProof/>
        </w:rPr>
        <w:drawing>
          <wp:inline distT="0" distB="0" distL="0" distR="0" wp14:anchorId="1C3481FA" wp14:editId="4AF3A960">
            <wp:extent cx="6000477" cy="1495425"/>
            <wp:effectExtent l="0" t="0" r="635" b="0"/>
            <wp:docPr id="1636315464" name="Picture 163631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08805" cy="1497500"/>
                    </a:xfrm>
                    <a:prstGeom prst="rect">
                      <a:avLst/>
                    </a:prstGeom>
                    <a:noFill/>
                    <a:ln>
                      <a:noFill/>
                    </a:ln>
                  </pic:spPr>
                </pic:pic>
              </a:graphicData>
            </a:graphic>
          </wp:inline>
        </w:drawing>
      </w:r>
    </w:p>
    <w:p w14:paraId="66C5DEFF" w14:textId="77777777" w:rsidR="0040381B" w:rsidRPr="00A55335" w:rsidRDefault="0040381B" w:rsidP="0040381B">
      <w:pPr>
        <w:pStyle w:val="TableFigNotes18"/>
      </w:pPr>
    </w:p>
    <w:p w14:paraId="002791C0" w14:textId="090F2328" w:rsidR="0040381B" w:rsidRPr="00A55335" w:rsidRDefault="0040381B" w:rsidP="002456F7">
      <w:pPr>
        <w:pStyle w:val="BodyText"/>
      </w:pPr>
      <w:r w:rsidRPr="00A55335">
        <w:br w:type="page"/>
      </w:r>
    </w:p>
    <w:p w14:paraId="75504CDA" w14:textId="07127257" w:rsidR="00DD505D" w:rsidRPr="00A55335" w:rsidRDefault="00DD505D" w:rsidP="00C373A2">
      <w:pPr>
        <w:pStyle w:val="Heading2"/>
      </w:pPr>
      <w:bookmarkStart w:id="239" w:name="_Toc183441345"/>
      <w:r w:rsidRPr="00A55335">
        <w:lastRenderedPageBreak/>
        <w:t xml:space="preserve">Insomnia and sleep </w:t>
      </w:r>
      <w:r w:rsidR="004327BE" w:rsidRPr="00A55335">
        <w:t>problems</w:t>
      </w:r>
      <w:bookmarkEnd w:id="239"/>
    </w:p>
    <w:p w14:paraId="24A13EA2" w14:textId="77777777" w:rsidR="00DD505D" w:rsidRPr="00A55335" w:rsidRDefault="00DD505D" w:rsidP="004D433B">
      <w:pPr>
        <w:pStyle w:val="Heading3"/>
      </w:pPr>
      <w:bookmarkStart w:id="240" w:name="_Toc183441346"/>
      <w:r w:rsidRPr="00A55335">
        <w:t>Description of the condition</w:t>
      </w:r>
      <w:bookmarkEnd w:id="240"/>
      <w:r w:rsidRPr="00A55335">
        <w:t xml:space="preserve"> </w:t>
      </w:r>
    </w:p>
    <w:p w14:paraId="58EC9502" w14:textId="72EED36B" w:rsidR="00DD505D" w:rsidRPr="00A55335" w:rsidRDefault="006404C0" w:rsidP="00DD505D">
      <w:pPr>
        <w:pStyle w:val="BodyText"/>
      </w:pPr>
      <w:r w:rsidRPr="00A55335">
        <w:t xml:space="preserve">Sleep problems are characterised by an inability to fall asleep or a lack of sleep which can cause daytime impairment. Common across the adult population, sleep problems can range in severity from experiencing some sleep disturbances each week to a diagnosis of clinical insomnia </w:t>
      </w:r>
      <w:r w:rsidRPr="00A55335">
        <w:fldChar w:fldCharType="begin"/>
      </w:r>
      <w:r w:rsidR="006952AD">
        <w:instrText xml:space="preserve"> ADDIN EN.CITE &lt;EndNote&gt;&lt;Cite&gt;&lt;Author&gt;Reynolds&lt;/Author&gt;&lt;Year&gt;2019&lt;/Year&gt;&lt;RecNum&gt;654&lt;/RecNum&gt;&lt;DisplayText&gt;(176)&lt;/DisplayText&gt;&lt;record&gt;&lt;rec-number&gt;654&lt;/rec-number&gt;&lt;foreign-keys&gt;&lt;key app="EN" db-id="t5prptatr9sp0we5exbxt9zz20fwp55tdza9" timestamp="1701381033"&gt;654&lt;/key&gt;&lt;/foreign-keys&gt;&lt;ref-type name="Electronic Article"&gt;43&lt;/ref-type&gt;&lt;contributors&gt;&lt;authors&gt;&lt;author&gt;Reynolds, A., Appleton, S., Gill, T. and Adams, R. &lt;/author&gt;&lt;/authors&gt;&lt;/contributors&gt;&lt;titles&gt;&lt;title&gt;Chronic Insomnia Disorder in Australia.  A Report to the Sleep Health Foundation&lt;/title&gt;&lt;/titles&gt;&lt;dates&gt;&lt;year&gt;2019&lt;/year&gt;&lt;pub-dates&gt;&lt;date&gt;July 2019&lt;/date&gt;&lt;/pub-dates&gt;&lt;/dates&gt;&lt;pub-location&gt;Adelaide, South Australia&lt;/pub-location&gt;&lt;publisher&gt;Sleep Health Foundation&lt;/publisher&gt;&lt;urls&gt;&lt;related-urls&gt;&lt;url&gt;https://www.sleephealthfoundation.org.au/pdfs/Special_Reports/SHF_Insomnia_Report_2019_Final_SHFlogo.pdf &lt;/url&gt;&lt;/related-urls&gt;&lt;/urls&gt;&lt;access-date&gt;[Accessed 2 Mar. 2021].&lt;/access-date&gt;&lt;/record&gt;&lt;/Cite&gt;&lt;/EndNote&gt;</w:instrText>
      </w:r>
      <w:r w:rsidRPr="00A55335">
        <w:fldChar w:fldCharType="separate"/>
      </w:r>
      <w:r w:rsidR="00067842">
        <w:rPr>
          <w:noProof/>
        </w:rPr>
        <w:t>(</w:t>
      </w:r>
      <w:hyperlink w:anchor="_ENREF_176" w:tooltip="Reynolds, 2019 #654" w:history="1">
        <w:r w:rsidR="00EC2769">
          <w:rPr>
            <w:noProof/>
          </w:rPr>
          <w:t>176</w:t>
        </w:r>
      </w:hyperlink>
      <w:r w:rsidR="00067842">
        <w:rPr>
          <w:noProof/>
        </w:rPr>
        <w:t>)</w:t>
      </w:r>
      <w:r w:rsidRPr="00A55335">
        <w:fldChar w:fldCharType="end"/>
      </w:r>
      <w:r w:rsidRPr="00A55335">
        <w:t xml:space="preserve">. </w:t>
      </w:r>
      <w:r w:rsidR="00DD505D" w:rsidRPr="00A55335">
        <w:t xml:space="preserve">Insomnia is broadly defined as difficulty initiating and/or maintaining sleep, associated with significant daytime consequences </w:t>
      </w:r>
      <w:r w:rsidR="00E92691" w:rsidRPr="00A55335">
        <w:t>that</w:t>
      </w:r>
      <w:r w:rsidR="00DD505D" w:rsidRPr="00A55335">
        <w:t xml:space="preserve"> are present despite adequate opportunity for sleep </w:t>
      </w:r>
      <w:r w:rsidR="00DD505D" w:rsidRPr="00A55335">
        <w:fldChar w:fldCharType="begin">
          <w:fldData xml:space="preserve">PEVuZE5vdGU+PENpdGU+PEF1dGhvcj5DdW5uaW5ndG9uPC9BdXRob3I+PFllYXI+MjAxMzwvWWVh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</w:fldData>
        </w:fldChar>
      </w:r>
      <w:r w:rsidR="006952AD">
        <w:instrText xml:space="preserve"> ADDIN EN.CITE </w:instrText>
      </w:r>
      <w:r w:rsidR="006952AD">
        <w:fldChar w:fldCharType="begin">
          <w:fldData xml:space="preserve">PEVuZE5vdGU+PENpdGU+PEF1dGhvcj5DdW5uaW5ndG9uPC9BdXRob3I+PFllYXI+MjAxMzwvWWVh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</w:fldData>
        </w:fldChar>
      </w:r>
      <w:r w:rsidR="006952AD">
        <w:instrText xml:space="preserve"> ADDIN EN.CITE.DATA </w:instrText>
      </w:r>
      <w:r w:rsidR="006952AD">
        <w:fldChar w:fldCharType="end"/>
      </w:r>
      <w:r w:rsidR="00DD505D" w:rsidRPr="00A55335">
        <w:fldChar w:fldCharType="separate"/>
      </w:r>
      <w:r w:rsidR="00067842">
        <w:rPr>
          <w:noProof/>
        </w:rPr>
        <w:t>(</w:t>
      </w:r>
      <w:hyperlink w:anchor="_ENREF_177" w:tooltip="Cunnington, 2013 #118" w:history="1">
        <w:r w:rsidR="00EC2769">
          <w:rPr>
            <w:noProof/>
          </w:rPr>
          <w:t>177-179</w:t>
        </w:r>
      </w:hyperlink>
      <w:r w:rsidR="00067842">
        <w:rPr>
          <w:noProof/>
        </w:rPr>
        <w:t>)</w:t>
      </w:r>
      <w:r w:rsidR="00DD505D" w:rsidRPr="00A55335">
        <w:fldChar w:fldCharType="end"/>
      </w:r>
      <w:r w:rsidR="00DD505D" w:rsidRPr="00A55335">
        <w:t xml:space="preserve">. The assessment and diagnosis of insomnia is formulated mainly from a systematic sleep history and is considered chronic if symptoms persist for 3 </w:t>
      </w:r>
      <w:r w:rsidR="00AA6990" w:rsidRPr="00A55335">
        <w:t xml:space="preserve">or more </w:t>
      </w:r>
      <w:r w:rsidR="00DD505D" w:rsidRPr="00A55335">
        <w:t>days per week for at least 3 months. Insomnia can occur as a primary disorder or, more commonly, it can be comorbid with other physical or mental disorder</w:t>
      </w:r>
      <w:r w:rsidR="006871B3" w:rsidRPr="00A55335">
        <w:t>s</w:t>
      </w:r>
      <w:r w:rsidR="00DD505D" w:rsidRPr="00A55335">
        <w:t xml:space="preserve"> </w:t>
      </w:r>
      <w:r w:rsidR="00DD505D" w:rsidRPr="00A55335">
        <w:fldChar w:fldCharType="begin">
          <w:fldData xml:space="preserve">PEVuZE5vdGU+PENpdGU+PEF1dGhvcj5DdW5uaW5ndG9uPC9BdXRob3I+PFllYXI+MjAxMzwvWWVh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</w:fldData>
        </w:fldChar>
      </w:r>
      <w:r w:rsidR="006952AD">
        <w:instrText xml:space="preserve"> ADDIN EN.CITE </w:instrText>
      </w:r>
      <w:r w:rsidR="006952AD">
        <w:fldChar w:fldCharType="begin">
          <w:fldData xml:space="preserve">PEVuZE5vdGU+PENpdGU+PEF1dGhvcj5DdW5uaW5ndG9uPC9BdXRob3I+PFllYXI+MjAxMzwvWWVh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</w:fldData>
        </w:fldChar>
      </w:r>
      <w:r w:rsidR="006952AD">
        <w:instrText xml:space="preserve"> ADDIN EN.CITE.DATA </w:instrText>
      </w:r>
      <w:r w:rsidR="006952AD">
        <w:fldChar w:fldCharType="end"/>
      </w:r>
      <w:r w:rsidR="00DD505D" w:rsidRPr="00A55335">
        <w:fldChar w:fldCharType="separate"/>
      </w:r>
      <w:r w:rsidR="00067842">
        <w:rPr>
          <w:noProof/>
        </w:rPr>
        <w:t>(</w:t>
      </w:r>
      <w:hyperlink w:anchor="_ENREF_177" w:tooltip="Cunnington, 2013 #118" w:history="1">
        <w:r w:rsidR="00EC2769">
          <w:rPr>
            <w:noProof/>
          </w:rPr>
          <w:t>177</w:t>
        </w:r>
      </w:hyperlink>
      <w:r w:rsidR="00067842">
        <w:rPr>
          <w:noProof/>
        </w:rPr>
        <w:t>)</w:t>
      </w:r>
      <w:r w:rsidR="00DD505D" w:rsidRPr="00A55335">
        <w:fldChar w:fldCharType="end"/>
      </w:r>
      <w:r w:rsidR="00DD505D" w:rsidRPr="00A55335">
        <w:t>.</w:t>
      </w:r>
    </w:p>
    <w:p w14:paraId="5CD9A205" w14:textId="35A814E9" w:rsidR="00716543" w:rsidRPr="00A55335" w:rsidRDefault="00DD505D" w:rsidP="00DD505D">
      <w:pPr>
        <w:pStyle w:val="BodyText"/>
      </w:pPr>
      <w:r w:rsidRPr="00A55335">
        <w:t xml:space="preserve">Inadequate sleep and chronic insomnia are associated with a high burden of disease with an increased risk of depression, cardiovascular disease, and death. People </w:t>
      </w:r>
      <w:r w:rsidR="00AA6990" w:rsidRPr="00A55335">
        <w:t>with</w:t>
      </w:r>
      <w:r w:rsidRPr="00A55335">
        <w:t xml:space="preserve"> insomnia have greater work absenteeism, reduced productivity and are more likely to access healthcare with increased presentations to general practice and hospital </w:t>
      </w:r>
      <w:r w:rsidRPr="00A55335">
        <w:fldChar w:fldCharType="begin"/>
      </w:r>
      <w:r w:rsidR="006952AD">
        <w:instrText xml:space="preserve"> ADDIN EN.CITE &lt;EndNote&gt;&lt;Cite&gt;&lt;Author&gt;Ng&lt;/Author&gt;&lt;Year&gt;2021&lt;/Year&gt;&lt;RecNum&gt;119&lt;/RecNum&gt;&lt;DisplayText&gt;(178)&lt;/DisplayText&gt;&lt;record&gt;&lt;rec-number&gt;119&lt;/rec-number&gt;&lt;foreign-keys&gt;&lt;key app="EN" db-id="t5prptatr9sp0we5exbxt9zz20fwp55tdza9" timestamp="1681970226"&gt;119&lt;/key&gt;&lt;/foreign-keys&gt;&lt;ref-type name="Journal Article"&gt;17&lt;/ref-type&gt;&lt;contributors&gt;&lt;authors&gt;&lt;author&gt;Ng, L.&lt;/author&gt;&lt;author&gt;Cunnington, D.&lt;/author&gt;&lt;/authors&gt;&lt;/contributors&gt;&lt;auth-address&gt;Melbourne Sleep Disorders Centre.&lt;/auth-address&gt;&lt;titles&gt;&lt;title&gt;Management of insomnia in primary care&lt;/title&gt;&lt;secondary-title&gt;Aust Prescr&lt;/secondary-title&gt;&lt;/titles&gt;&lt;periodical&gt;&lt;full-title&gt;Aust Prescr&lt;/full-title&gt;&lt;/periodical&gt;&lt;pages&gt;124-128&lt;/pages&gt;&lt;volume&gt;44&lt;/volume&gt;&lt;number&gt;4&lt;/number&gt;&lt;edition&gt;20210802&lt;/edition&gt;&lt;keywords&gt;&lt;keyword&gt;benzodiazepines&lt;/keyword&gt;&lt;keyword&gt;cognitive behavioural therapy&lt;/keyword&gt;&lt;keyword&gt;hypnotics&lt;/keyword&gt;&lt;keyword&gt;insomnia&lt;/keyword&gt;&lt;keyword&gt;sleep disturbance&lt;/keyword&gt;&lt;keyword&gt;sleep-wake disorders&lt;/keyword&gt;&lt;/keywords&gt;&lt;dates&gt;&lt;year&gt;2021&lt;/year&gt;&lt;pub-dates&gt;&lt;date&gt;Aug&lt;/date&gt;&lt;/pub-dates&gt;&lt;/dates&gt;&lt;isbn&gt;0312-8008 (Print)&amp;#xD;1839-3942 (Electronic)&amp;#xD;0312-8008 (Linking)&lt;/isbn&gt;&lt;accession-num&gt;34421177&lt;/accession-num&gt;&lt;urls&gt;&lt;related-urls&gt;&lt;url&gt;https://www.ncbi.nlm.nih.gov/pubmed/34421177&lt;/url&gt;&lt;/related-urls&gt;&lt;/urls&gt;&lt;custom1&gt;Conflicts of interest: none declared&lt;/custom1&gt;&lt;custom2&gt;PMC8377300&lt;/custom2&gt;&lt;electronic-resource-num&gt;10.18773/austprescr.2021.027&lt;/electronic-resource-num&gt;&lt;remote-database-name&gt;PubMed-not-MEDLINE&lt;/remote-database-name&gt;&lt;remote-database-provider&gt;NLM&lt;/remote-database-provider&gt;&lt;/record&gt;&lt;/Cite&gt;&lt;/EndNote&gt;</w:instrText>
      </w:r>
      <w:r w:rsidRPr="00A55335">
        <w:fldChar w:fldCharType="separate"/>
      </w:r>
      <w:r w:rsidR="00067842">
        <w:rPr>
          <w:noProof/>
        </w:rPr>
        <w:t>(</w:t>
      </w:r>
      <w:hyperlink w:anchor="_ENREF_178" w:tooltip="Ng, 2021 #119" w:history="1">
        <w:r w:rsidR="00EC2769">
          <w:rPr>
            <w:noProof/>
          </w:rPr>
          <w:t>178</w:t>
        </w:r>
      </w:hyperlink>
      <w:r w:rsidR="00067842">
        <w:rPr>
          <w:noProof/>
        </w:rPr>
        <w:t>)</w:t>
      </w:r>
      <w:r w:rsidRPr="00A55335">
        <w:fldChar w:fldCharType="end"/>
      </w:r>
      <w:r w:rsidRPr="00A55335">
        <w:t>.</w:t>
      </w:r>
      <w:r w:rsidR="00716543" w:rsidRPr="00A55335">
        <w:t xml:space="preserve"> </w:t>
      </w:r>
      <w:r w:rsidRPr="00A55335">
        <w:t xml:space="preserve">Australian population surveys have shown that 13%–33% of the adult population have regular difficulty either getting to sleep or staying asleep </w:t>
      </w:r>
      <w:r w:rsidRPr="00A55335">
        <w:fldChar w:fldCharType="begin">
          <w:fldData xml:space="preserve">PEVuZE5vdGU+PENpdGU+PEF1dGhvcj5DdW5uaW5ndG9uPC9BdXRob3I+PFllYXI+MjAxMzwvWWVh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</w:fldData>
        </w:fldChar>
      </w:r>
      <w:r w:rsidR="006952AD">
        <w:instrText xml:space="preserve"> ADDIN EN.CITE </w:instrText>
      </w:r>
      <w:r w:rsidR="006952AD">
        <w:fldChar w:fldCharType="begin">
          <w:fldData xml:space="preserve">PEVuZE5vdGU+PENpdGU+PEF1dGhvcj5DdW5uaW5ndG9uPC9BdXRob3I+PFllYXI+MjAxMzwvWWVh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</w:fldData>
        </w:fldChar>
      </w:r>
      <w:r w:rsidR="006952AD">
        <w:instrText xml:space="preserve"> ADDIN EN.CITE.DATA </w:instrText>
      </w:r>
      <w:r w:rsidR="006952AD">
        <w:fldChar w:fldCharType="end"/>
      </w:r>
      <w:r w:rsidRPr="00A55335">
        <w:fldChar w:fldCharType="separate"/>
      </w:r>
      <w:r w:rsidR="00067842">
        <w:rPr>
          <w:noProof/>
        </w:rPr>
        <w:t>(</w:t>
      </w:r>
      <w:hyperlink w:anchor="_ENREF_177" w:tooltip="Cunnington, 2013 #118" w:history="1">
        <w:r w:rsidR="00EC2769">
          <w:rPr>
            <w:noProof/>
          </w:rPr>
          <w:t>177</w:t>
        </w:r>
      </w:hyperlink>
      <w:r w:rsidR="00067842">
        <w:rPr>
          <w:noProof/>
        </w:rPr>
        <w:t>)</w:t>
      </w:r>
      <w:r w:rsidRPr="00A55335">
        <w:fldChar w:fldCharType="end"/>
      </w:r>
      <w:r w:rsidRPr="00A55335">
        <w:t xml:space="preserve">. </w:t>
      </w:r>
      <w:r w:rsidR="00716543" w:rsidRPr="00A55335">
        <w:t xml:space="preserve">In both </w:t>
      </w:r>
      <w:r w:rsidR="004F45D1" w:rsidRPr="00A55335">
        <w:t>males and females</w:t>
      </w:r>
      <w:r w:rsidR="00716543" w:rsidRPr="00A55335">
        <w:t>, the prevalence of chronic insomnia increases with age</w:t>
      </w:r>
      <w:r w:rsidR="005364EB" w:rsidRPr="00A55335">
        <w:t>,</w:t>
      </w:r>
      <w:r w:rsidR="00716543" w:rsidRPr="00A55335">
        <w:t xml:space="preserve"> with adults aged over 75 years reporting the highest rates of chronic insomnia (23.1%). Older people are also significantly more likely to report maintenance insomnia.</w:t>
      </w:r>
    </w:p>
    <w:p w14:paraId="08D97CA7" w14:textId="375B8290" w:rsidR="00DD505D" w:rsidRPr="00A55335" w:rsidRDefault="00DD505D" w:rsidP="00DD505D">
      <w:pPr>
        <w:pStyle w:val="BodyText"/>
      </w:pPr>
      <w:r w:rsidRPr="00A55335">
        <w:t>Acute insomnia can often be appropriately managed with short term approaches, including dealing with precipitating factors such as stress. Chronic insomnia has a high relapse and recurrence rate and is best managed with cognitive behavioural therapy</w:t>
      </w:r>
      <w:r w:rsidR="00AA6990" w:rsidRPr="00A55335">
        <w:t>, which</w:t>
      </w:r>
      <w:r w:rsidRPr="00A55335">
        <w:t xml:space="preserve"> includes sleep hygiene, stimulus control and sleep restriction. </w:t>
      </w:r>
      <w:r w:rsidR="00A47E93" w:rsidRPr="00A55335">
        <w:t>Herbal supplements (such as melatonin or valerian) or p</w:t>
      </w:r>
      <w:r w:rsidRPr="00A55335">
        <w:t>harmacological treatment</w:t>
      </w:r>
      <w:r w:rsidR="00AA6990" w:rsidRPr="00A55335">
        <w:t>,</w:t>
      </w:r>
      <w:r w:rsidRPr="00A55335">
        <w:t xml:space="preserve"> including benzodiazepine-receptor agonists, antidepressants, antipsychotics and antihistamines</w:t>
      </w:r>
      <w:r w:rsidR="00AA6990" w:rsidRPr="00A55335">
        <w:t>, may also be used</w:t>
      </w:r>
      <w:r w:rsidRPr="00A55335">
        <w:t xml:space="preserve"> </w:t>
      </w:r>
      <w:r w:rsidRPr="00A55335">
        <w:fldChar w:fldCharType="begin">
          <w:fldData xml:space="preserve">PEVuZE5vdGU+PENpdGU+PEF1dGhvcj5DdW5uaW5ndG9uPC9BdXRob3I+PFllYXI+MjAxMzwvWWVh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</w:fldData>
        </w:fldChar>
      </w:r>
      <w:r w:rsidR="006952AD">
        <w:instrText xml:space="preserve"> ADDIN EN.CITE </w:instrText>
      </w:r>
      <w:r w:rsidR="006952AD">
        <w:fldChar w:fldCharType="begin">
          <w:fldData xml:space="preserve">PEVuZE5vdGU+PENpdGU+PEF1dGhvcj5DdW5uaW5ndG9uPC9BdXRob3I+PFllYXI+MjAxMzwvWWVh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</w:fldData>
        </w:fldChar>
      </w:r>
      <w:r w:rsidR="006952AD">
        <w:instrText xml:space="preserve"> ADDIN EN.CITE.DATA </w:instrText>
      </w:r>
      <w:r w:rsidR="006952AD">
        <w:fldChar w:fldCharType="end"/>
      </w:r>
      <w:r w:rsidRPr="00A55335">
        <w:fldChar w:fldCharType="separate"/>
      </w:r>
      <w:r w:rsidR="00067842">
        <w:rPr>
          <w:noProof/>
        </w:rPr>
        <w:t>(</w:t>
      </w:r>
      <w:hyperlink w:anchor="_ENREF_177" w:tooltip="Cunnington, 2013 #118" w:history="1">
        <w:r w:rsidR="00EC2769">
          <w:rPr>
            <w:noProof/>
          </w:rPr>
          <w:t>177</w:t>
        </w:r>
      </w:hyperlink>
      <w:r w:rsidR="00067842">
        <w:rPr>
          <w:noProof/>
        </w:rPr>
        <w:t>)</w:t>
      </w:r>
      <w:r w:rsidRPr="00A55335">
        <w:fldChar w:fldCharType="end"/>
      </w:r>
      <w:r w:rsidRPr="00A55335">
        <w:t xml:space="preserve">. </w:t>
      </w:r>
    </w:p>
    <w:p w14:paraId="1A8FD535" w14:textId="161AB916" w:rsidR="00DD505D" w:rsidRPr="00A55335" w:rsidRDefault="00DD505D" w:rsidP="00DD505D">
      <w:pPr>
        <w:pStyle w:val="BodyText"/>
      </w:pPr>
      <w:r w:rsidRPr="00A55335">
        <w:t xml:space="preserve">Although cognitive behavioural therapy remains the first line of therapy for insomnia, it is often </w:t>
      </w:r>
      <w:r w:rsidR="000640E5" w:rsidRPr="00A55335">
        <w:t xml:space="preserve">underutilised </w:t>
      </w:r>
      <w:r w:rsidRPr="00A55335">
        <w:t>due to time, cost involvement and the limited availability of trained specialists.</w:t>
      </w:r>
      <w:r w:rsidR="006008CC" w:rsidRPr="00A55335">
        <w:t xml:space="preserve"> C</w:t>
      </w:r>
      <w:r w:rsidRPr="00A55335">
        <w:t xml:space="preserve">omplementary and alternative medicine in the form of </w:t>
      </w:r>
      <w:r w:rsidR="006008CC" w:rsidRPr="00A55335">
        <w:t xml:space="preserve">homeopathy, </w:t>
      </w:r>
      <w:r w:rsidRPr="00A55335">
        <w:t xml:space="preserve">yoga, Tai Chi, mindfulness meditation, acupuncture and Chinese herbal medicines have been tried in </w:t>
      </w:r>
      <w:r w:rsidR="006008CC" w:rsidRPr="00A55335">
        <w:t xml:space="preserve">people with </w:t>
      </w:r>
      <w:r w:rsidRPr="00A55335">
        <w:t xml:space="preserve">insomnia to complement the existing treatment options </w:t>
      </w:r>
      <w:r w:rsidRPr="00A55335">
        <w:fldChar w:fldCharType="begin"/>
      </w:r>
      <w:r w:rsidR="006952AD">
        <w:instrText xml:space="preserve"> ADDIN EN.CITE &lt;EndNote&gt;&lt;Cite&gt;&lt;Author&gt;Datta&lt;/Author&gt;&lt;Year&gt;2017&lt;/Year&gt;&lt;RecNum&gt;121&lt;/RecNum&gt;&lt;DisplayText&gt;(180)&lt;/DisplayText&gt;&lt;record&gt;&lt;rec-number&gt;121&lt;/rec-number&gt;&lt;foreign-keys&gt;&lt;key app="EN" db-id="t5prptatr9sp0we5exbxt9zz20fwp55tdza9" timestamp="1681970226"&gt;121&lt;/key&gt;&lt;/foreign-keys&gt;&lt;ref-type name="Journal Article"&gt;17&lt;/ref-type&gt;&lt;contributors&gt;&lt;authors&gt;&lt;author&gt;Datta, Karuna&lt;/author&gt;&lt;author&gt;Tripathi, Manjari&lt;/author&gt;&lt;author&gt;Mallick, Hruda Nanda&lt;/author&gt;&lt;/authors&gt;&lt;/contributors&gt;&lt;titles&gt;&lt;title&gt;Yoga Nidra: An innovative approach for management of chronic insomnia- A case report&lt;/title&gt;&lt;secondary-title&gt;Sleep Science and Practice&lt;/secondary-title&gt;&lt;/titles&gt;&lt;periodical&gt;&lt;full-title&gt;Sleep Science and Practice&lt;/full-title&gt;&lt;/periodical&gt;&lt;pages&gt;7&lt;/pages&gt;&lt;volume&gt;1&lt;/volume&gt;&lt;number&gt;1&lt;/number&gt;&lt;dates&gt;&lt;year&gt;2017&lt;/year&gt;&lt;pub-dates&gt;&lt;date&gt;2017/04/12&lt;/date&gt;&lt;/pub-dates&gt;&lt;/dates&gt;&lt;isbn&gt;2398-2683&lt;/isbn&gt;&lt;urls&gt;&lt;related-urls&gt;&lt;url&gt;https://doi.org/10.1186/s41606-017-0009-4&lt;/url&gt;&lt;/related-urls&gt;&lt;/urls&gt;&lt;electronic-resource-num&gt;10.1186/s41606-017-0009-4&lt;/electronic-resource-num&gt;&lt;/record&gt;&lt;/Cite&gt;&lt;/EndNote&gt;</w:instrText>
      </w:r>
      <w:r w:rsidRPr="00A55335">
        <w:fldChar w:fldCharType="separate"/>
      </w:r>
      <w:r w:rsidR="00067842">
        <w:rPr>
          <w:noProof/>
        </w:rPr>
        <w:t>(</w:t>
      </w:r>
      <w:hyperlink w:anchor="_ENREF_180" w:tooltip="Datta, 2017 #121" w:history="1">
        <w:r w:rsidR="00EC2769">
          <w:rPr>
            <w:noProof/>
          </w:rPr>
          <w:t>180</w:t>
        </w:r>
      </w:hyperlink>
      <w:r w:rsidR="00067842">
        <w:rPr>
          <w:noProof/>
        </w:rPr>
        <w:t>)</w:t>
      </w:r>
      <w:r w:rsidRPr="00A55335">
        <w:fldChar w:fldCharType="end"/>
      </w:r>
      <w:r w:rsidRPr="00A55335">
        <w:t>.</w:t>
      </w:r>
    </w:p>
    <w:p w14:paraId="1AF3111F" w14:textId="77777777" w:rsidR="00DD505D" w:rsidRPr="00A55335" w:rsidRDefault="00DD505D" w:rsidP="004D433B">
      <w:pPr>
        <w:pStyle w:val="Heading3"/>
      </w:pPr>
      <w:bookmarkStart w:id="241" w:name="_Toc183441347"/>
      <w:r w:rsidRPr="00A55335">
        <w:t>Description of studies</w:t>
      </w:r>
      <w:bookmarkEnd w:id="241"/>
      <w:r w:rsidRPr="00A55335">
        <w:t xml:space="preserve"> </w:t>
      </w:r>
    </w:p>
    <w:p w14:paraId="79E494F2" w14:textId="415977BF" w:rsidR="00DD505D" w:rsidRPr="00A55335" w:rsidRDefault="00DD505D" w:rsidP="00DD505D">
      <w:pPr>
        <w:pStyle w:val="BodyText"/>
      </w:pPr>
      <w:r w:rsidRPr="00A55335">
        <w:t xml:space="preserve">Six citations </w:t>
      </w:r>
      <w:r w:rsidRPr="00A55335">
        <w:fldChar w:fldCharType="begin">
          <w:fldData xml:space="preserve">PEVuZE5vdGU+PENpdGU+PEF1dGhvcj5IYXJyaXNvbjwvQXV0aG9yPjxZZWFyPjIwMTM8L1llYXI+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</w:fldData>
        </w:fldChar>
      </w:r>
      <w:r w:rsidR="00CF48CA">
        <w:instrText xml:space="preserve"> ADDIN EN.CITE </w:instrText>
      </w:r>
      <w:r w:rsidR="00CF48CA">
        <w:fldChar w:fldCharType="begin">
          <w:fldData xml:space="preserve">PEVuZE5vdGU+PENpdGU+PEF1dGhvcj5IYXJyaXNvbjwvQXV0aG9yPjxZZWFyPjIwMTM8L1llYXI+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</w:fldData>
        </w:fldChar>
      </w:r>
      <w:r w:rsidR="00CF48CA">
        <w:instrText xml:space="preserve"> ADDIN EN.CITE.DATA </w:instrText>
      </w:r>
      <w:r w:rsidR="00CF48CA">
        <w:fldChar w:fldCharType="end"/>
      </w:r>
      <w:r w:rsidRPr="00A55335">
        <w:fldChar w:fldCharType="separate"/>
      </w:r>
      <w:r w:rsidR="00067842">
        <w:rPr>
          <w:noProof/>
        </w:rPr>
        <w:t>(</w:t>
      </w:r>
      <w:hyperlink w:anchor="_ENREF_181" w:tooltip="Harrison, 2013 #122" w:history="1">
        <w:r w:rsidR="00EC2769">
          <w:rPr>
            <w:noProof/>
          </w:rPr>
          <w:t>181-186</w:t>
        </w:r>
      </w:hyperlink>
      <w:r w:rsidR="00067842">
        <w:rPr>
          <w:noProof/>
        </w:rPr>
        <w:t>)</w:t>
      </w:r>
      <w:r w:rsidRPr="00A55335">
        <w:fldChar w:fldCharType="end"/>
      </w:r>
      <w:r w:rsidRPr="00A55335">
        <w:t xml:space="preserve"> corresponding to 2 RCTs (James 2019, Jong 2016) and 2 quasi RCTs (Harrison 2013, Naude 2010) were identified in the literature</w:t>
      </w:r>
      <w:r w:rsidR="001221A6" w:rsidRPr="00A55335">
        <w:t xml:space="preserve"> search</w:t>
      </w:r>
      <w:r w:rsidRPr="00A55335">
        <w:t xml:space="preserve">. </w:t>
      </w:r>
      <w:r w:rsidR="0033211A" w:rsidRPr="00A55335">
        <w:t xml:space="preserve">No additional studies were identified in the Department’s public call for evidence. </w:t>
      </w:r>
      <w:r w:rsidRPr="00A55335">
        <w:t>There was</w:t>
      </w:r>
      <w:r w:rsidR="00980CA0" w:rsidRPr="00A55335">
        <w:t xml:space="preserve"> one </w:t>
      </w:r>
      <w:hyperlink w:anchor="_Ongoing_studies" w:history="1">
        <w:r w:rsidRPr="00A55335">
          <w:rPr>
            <w:rStyle w:val="Hyperlink"/>
          </w:rPr>
          <w:t>ongoing stud</w:t>
        </w:r>
      </w:hyperlink>
      <w:r w:rsidRPr="00A55335">
        <w:rPr>
          <w:rStyle w:val="Hyperlink"/>
        </w:rPr>
        <w:t>y</w:t>
      </w:r>
      <w:r w:rsidRPr="00A55335">
        <w:t xml:space="preserve">, and 2 </w:t>
      </w:r>
      <w:hyperlink w:anchor="_Studies_awaiting_classification" w:history="1">
        <w:r w:rsidRPr="00A55335">
          <w:rPr>
            <w:rStyle w:val="Hyperlink"/>
          </w:rPr>
          <w:t>studies awaiting classification</w:t>
        </w:r>
      </w:hyperlink>
      <w:r w:rsidRPr="00A55335">
        <w:t xml:space="preserve"> including</w:t>
      </w:r>
      <w:r w:rsidR="00980CA0" w:rsidRPr="00A55335">
        <w:t xml:space="preserve"> one </w:t>
      </w:r>
      <w:r w:rsidRPr="00A55335">
        <w:t>study published in a language other than English. An overview of the PICO criteria of included studies is provided in Appendix D3.1.1.</w:t>
      </w:r>
    </w:p>
    <w:p w14:paraId="5132FB14" w14:textId="02797AA4" w:rsidR="00DD505D" w:rsidRPr="00A55335" w:rsidRDefault="00DD505D" w:rsidP="00DD505D">
      <w:pPr>
        <w:pStyle w:val="BodyText"/>
      </w:pPr>
      <w:bookmarkStart w:id="242" w:name="_Hlk132375954"/>
      <w:r w:rsidRPr="00A55335">
        <w:t>Three studies were carried out in single centre settings in either South Africa (Harrison 2013, Naude 2010) or India (James 2019), one study was carried out in a multicentre setting in Russia (Jong 2016). Sample sizes ranged from 33 to 180 participants (total 307</w:t>
      </w:r>
      <w:r w:rsidR="00D610FB" w:rsidRPr="00A55335">
        <w:t xml:space="preserve"> participants</w:t>
      </w:r>
      <w:r w:rsidRPr="00A55335">
        <w:t xml:space="preserve">), with studies enrolling participants with insomnia (Harrison 2013, James 2019, Naude 2010) or children younger than 6 years old with sleep disorders (Jong 2016). </w:t>
      </w:r>
    </w:p>
    <w:p w14:paraId="64E7C18B" w14:textId="0888F815" w:rsidR="00D610FB" w:rsidRPr="00A55335" w:rsidRDefault="00DD505D" w:rsidP="00DD505D">
      <w:pPr>
        <w:pStyle w:val="BodyText"/>
      </w:pPr>
      <w:r w:rsidRPr="00A55335">
        <w:lastRenderedPageBreak/>
        <w:t>Three studies compared homeopathy to placebo</w:t>
      </w:r>
      <w:r w:rsidR="00CB68AB" w:rsidRPr="00A55335">
        <w:t>, of which one study (Harrison 2013) provided a non-individualised, homeopathic combination treatment, and 2 studies (James 2019, Naude 2010) used individualised homeopathy.</w:t>
      </w:r>
      <w:r w:rsidR="00667602" w:rsidRPr="00A55335">
        <w:t xml:space="preserve"> One study (Jong 2016) compared </w:t>
      </w:r>
      <w:r w:rsidR="00ED042C" w:rsidRPr="00A55335">
        <w:t xml:space="preserve">a </w:t>
      </w:r>
      <w:r w:rsidR="00667602" w:rsidRPr="00A55335">
        <w:t xml:space="preserve">non-individualised </w:t>
      </w:r>
      <w:r w:rsidR="00ED042C" w:rsidRPr="00A55335">
        <w:t xml:space="preserve">homeopathic </w:t>
      </w:r>
      <w:r w:rsidR="00667602" w:rsidRPr="00A55335">
        <w:t>treatment to a nutritional supplement (glycine tablets).</w:t>
      </w:r>
      <w:r w:rsidR="00A72EC2" w:rsidRPr="00A55335">
        <w:t xml:space="preserve"> </w:t>
      </w:r>
      <w:r w:rsidRPr="00A55335">
        <w:t xml:space="preserve">Treatments were to be taken before bed (Harrison 2013, Naude 2010) throughout the day (Jong 2016) or not specified (James 2019). Length of follow up ranged from 4 weeks (Harrison 2013, Jong 2016, Naude 2010) to 3 months (James 2019).  </w:t>
      </w:r>
    </w:p>
    <w:p w14:paraId="746CF952" w14:textId="48524E6E" w:rsidR="00DD505D" w:rsidRPr="00A55335" w:rsidRDefault="00DD505D" w:rsidP="00DD505D">
      <w:pPr>
        <w:pStyle w:val="BodyText"/>
      </w:pPr>
      <w:r w:rsidRPr="00A55335">
        <w:t xml:space="preserve">Results for </w:t>
      </w:r>
      <w:r w:rsidR="002A3EF8" w:rsidRPr="00A55335">
        <w:t xml:space="preserve">the </w:t>
      </w:r>
      <w:r w:rsidR="006070ED" w:rsidRPr="00A55335">
        <w:t>Primary Comparison</w:t>
      </w:r>
      <w:r w:rsidR="00F73318" w:rsidRPr="00A55335">
        <w:t xml:space="preserve">: Homeopathy </w:t>
      </w:r>
      <w:r w:rsidR="001B33CB" w:rsidRPr="00A55335">
        <w:t xml:space="preserve">versus placebo </w:t>
      </w:r>
      <w:r w:rsidRPr="00A55335">
        <w:t xml:space="preserve">are provided in the Summary of Findings table (see </w:t>
      </w:r>
      <w:r w:rsidR="00A72EC2" w:rsidRPr="00A55335">
        <w:t xml:space="preserve">Section </w:t>
      </w:r>
      <w:r w:rsidR="00804415" w:rsidRPr="00A55335">
        <w:fldChar w:fldCharType="begin"/>
      </w:r>
      <w:r w:rsidR="00804415" w:rsidRPr="00A55335">
        <w:instrText xml:space="preserve"> REF _Ref151380227 \r \h </w:instrText>
      </w:r>
      <w:r w:rsidR="00804415" w:rsidRPr="00A55335">
        <w:fldChar w:fldCharType="separate"/>
      </w:r>
      <w:r w:rsidR="00814B04">
        <w:t>4.9.4</w:t>
      </w:r>
      <w:r w:rsidR="00804415" w:rsidRPr="00A55335">
        <w:fldChar w:fldCharType="end"/>
      </w:r>
      <w:r w:rsidRPr="00A55335">
        <w:t xml:space="preserve">). </w:t>
      </w:r>
      <w:r w:rsidR="005C0B26" w:rsidRPr="00A55335">
        <w:t xml:space="preserve">There were no studies found for </w:t>
      </w:r>
      <w:r w:rsidR="002A3EF8" w:rsidRPr="00A55335">
        <w:t xml:space="preserve">the </w:t>
      </w:r>
      <w:r w:rsidR="005C0B26" w:rsidRPr="00A55335">
        <w:t xml:space="preserve">Secondary Comparison: Homeopathy versus inactive control (no intervention, waitlist or usual care). </w:t>
      </w:r>
      <w:r w:rsidRPr="00A55335">
        <w:t xml:space="preserve">Results of studies that compared homeopathy with another comparator </w:t>
      </w:r>
      <w:r w:rsidR="001950F5" w:rsidRPr="00A55335">
        <w:t>(Tert</w:t>
      </w:r>
      <w:r w:rsidR="00DF772C" w:rsidRPr="00A55335">
        <w:t xml:space="preserve">iary Comparison) </w:t>
      </w:r>
      <w:r w:rsidRPr="00A55335">
        <w:t>are presented in Appendix F2.</w:t>
      </w:r>
    </w:p>
    <w:bookmarkEnd w:id="242"/>
    <w:p w14:paraId="787CBEC7"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13A5BACC" w14:textId="77777777" w:rsidR="00DD505D" w:rsidRPr="00A55335" w:rsidRDefault="00DD505D" w:rsidP="004D433B">
      <w:pPr>
        <w:pStyle w:val="Heading3"/>
      </w:pPr>
      <w:bookmarkStart w:id="243" w:name="_Toc183441348"/>
      <w:r w:rsidRPr="00A55335">
        <w:t>Risk of bias – summary assessment across studies</w:t>
      </w:r>
      <w:bookmarkEnd w:id="243"/>
      <w:r w:rsidRPr="00A55335">
        <w:t xml:space="preserve"> </w:t>
      </w:r>
    </w:p>
    <w:p w14:paraId="38E4BFCE" w14:textId="45C1051F" w:rsidR="005C3BF1" w:rsidRPr="00A55335" w:rsidRDefault="00DD505D" w:rsidP="005C3BF1">
      <w:pPr>
        <w:pStyle w:val="BodyText"/>
      </w:pPr>
      <w:r w:rsidRPr="00A55335">
        <w:t xml:space="preserve">The risk of bias for each item in the </w:t>
      </w:r>
      <w:r w:rsidR="00F56A75" w:rsidRPr="00A55335">
        <w:t xml:space="preserve">included </w:t>
      </w:r>
      <w:r w:rsidRPr="00A55335">
        <w:t xml:space="preserve">RCTs for insomnia and sleep disorders is summarised in </w:t>
      </w:r>
      <w:r w:rsidR="00804415" w:rsidRPr="00A55335">
        <w:fldChar w:fldCharType="begin"/>
      </w:r>
      <w:r w:rsidR="00804415" w:rsidRPr="00A55335">
        <w:instrText xml:space="preserve"> REF _Ref151380247 \h </w:instrText>
      </w:r>
      <w:r w:rsidR="00804415" w:rsidRPr="00A55335">
        <w:fldChar w:fldCharType="separate"/>
      </w:r>
      <w:r w:rsidR="00814B04" w:rsidRPr="00A55335">
        <w:t xml:space="preserve">Figure </w:t>
      </w:r>
      <w:r w:rsidR="00814B04">
        <w:rPr>
          <w:noProof/>
        </w:rPr>
        <w:t>36</w:t>
      </w:r>
      <w:r w:rsidR="00804415" w:rsidRPr="00A55335">
        <w:fldChar w:fldCharType="end"/>
      </w:r>
      <w:r w:rsidRPr="00A55335">
        <w:t>. Details are provided in Appendix D3.1.2.</w:t>
      </w:r>
      <w:r w:rsidR="005C3BF1" w:rsidRPr="00A55335">
        <w:t xml:space="preserve"> </w:t>
      </w:r>
      <w:r w:rsidR="001C48E7" w:rsidRPr="00A55335">
        <w:t>One</w:t>
      </w:r>
      <w:r w:rsidR="005C3BF1" w:rsidRPr="00A55335">
        <w:t xml:space="preserve"> stud</w:t>
      </w:r>
      <w:r w:rsidR="001C48E7" w:rsidRPr="00A55335">
        <w:t>y</w:t>
      </w:r>
      <w:r w:rsidR="005C3BF1" w:rsidRPr="00A55335">
        <w:t xml:space="preserve"> w</w:t>
      </w:r>
      <w:r w:rsidR="001C48E7" w:rsidRPr="00A55335">
        <w:t>as</w:t>
      </w:r>
      <w:r w:rsidR="005C3BF1" w:rsidRPr="00A55335">
        <w:t xml:space="preserve"> judged to be at overall low risk of bias. </w:t>
      </w:r>
    </w:p>
    <w:p w14:paraId="7716BE4B" w14:textId="27B9891D" w:rsidR="00DD505D" w:rsidRPr="00A55335" w:rsidRDefault="00DD505D" w:rsidP="00DD505D">
      <w:pPr>
        <w:pStyle w:val="Caption"/>
      </w:pPr>
      <w:bookmarkStart w:id="244" w:name="_Ref129865134"/>
      <w:bookmarkStart w:id="245" w:name="_Ref151380247"/>
      <w:bookmarkStart w:id="246" w:name="_Ref129865130"/>
      <w:bookmarkStart w:id="247" w:name="_Toc183520309"/>
      <w:r w:rsidRPr="00A55335">
        <w:t xml:space="preserve">Figure </w:t>
      </w:r>
      <w:bookmarkEnd w:id="244"/>
      <w:r w:rsidRPr="00A55335">
        <w:fldChar w:fldCharType="begin"/>
      </w:r>
      <w:r w:rsidRPr="00A55335">
        <w:instrText xml:space="preserve"> SEQ Figure \* ARABIC </w:instrText>
      </w:r>
      <w:r w:rsidRPr="00A55335">
        <w:fldChar w:fldCharType="separate"/>
      </w:r>
      <w:r w:rsidR="00814B04">
        <w:rPr>
          <w:noProof/>
        </w:rPr>
        <w:t>36</w:t>
      </w:r>
      <w:r w:rsidRPr="00A55335">
        <w:fldChar w:fldCharType="end"/>
      </w:r>
      <w:bookmarkEnd w:id="245"/>
      <w:r w:rsidRPr="00A55335">
        <w:t xml:space="preserve"> </w:t>
      </w:r>
      <w:r w:rsidRPr="00A55335">
        <w:tab/>
        <w:t>Risk of bias summary: review authors' judgement about each risk of b</w:t>
      </w:r>
      <w:r w:rsidR="005C537F">
        <w:t>i</w:t>
      </w:r>
      <w:r w:rsidRPr="00A55335">
        <w:t xml:space="preserve">as item for each included study: Insomnia and sleep </w:t>
      </w:r>
      <w:bookmarkEnd w:id="246"/>
      <w:r w:rsidR="004327BE" w:rsidRPr="00A55335">
        <w:t>problems</w:t>
      </w:r>
      <w:bookmarkEnd w:id="247"/>
    </w:p>
    <w:p w14:paraId="3E8F4519" w14:textId="77777777" w:rsidR="00DD505D" w:rsidRPr="00A55335" w:rsidRDefault="00DD505D" w:rsidP="00DD505D">
      <w:pPr>
        <w:pStyle w:val="Pic"/>
      </w:pPr>
      <w:r w:rsidRPr="00A55335">
        <w:rPr>
          <w:noProof/>
        </w:rPr>
        <w:drawing>
          <wp:inline distT="0" distB="0" distL="0" distR="0" wp14:anchorId="0ADD2B21" wp14:editId="5C6BC047">
            <wp:extent cx="4253024" cy="2306500"/>
            <wp:effectExtent l="0" t="0" r="0" b="0"/>
            <wp:docPr id="2" name="Picture 2" descr="A chart of a risk t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hart of a risk test&#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76169" cy="2319052"/>
                    </a:xfrm>
                    <a:prstGeom prst="rect">
                      <a:avLst/>
                    </a:prstGeom>
                    <a:noFill/>
                    <a:ln>
                      <a:noFill/>
                    </a:ln>
                  </pic:spPr>
                </pic:pic>
              </a:graphicData>
            </a:graphic>
          </wp:inline>
        </w:drawing>
      </w:r>
    </w:p>
    <w:p w14:paraId="762AFCA9" w14:textId="77777777" w:rsidR="00C373A2" w:rsidRPr="00A55335" w:rsidRDefault="00C373A2" w:rsidP="00C373A2">
      <w:pPr>
        <w:pStyle w:val="TableFigNotes18"/>
      </w:pPr>
    </w:p>
    <w:p w14:paraId="0043D9FC" w14:textId="77777777" w:rsidR="009E2643" w:rsidRPr="00A55335" w:rsidRDefault="009E2643" w:rsidP="004D433B">
      <w:pPr>
        <w:pStyle w:val="Heading3"/>
      </w:pPr>
      <w:bookmarkStart w:id="248" w:name="_Toc183441349"/>
      <w:bookmarkStart w:id="249" w:name="_Ref151380227"/>
      <w:r w:rsidRPr="00A55335">
        <w:lastRenderedPageBreak/>
        <w:t>Summary of findings and evidence statements</w:t>
      </w:r>
      <w:bookmarkEnd w:id="248"/>
      <w:r w:rsidRPr="00A55335">
        <w:t xml:space="preserve"> </w:t>
      </w:r>
    </w:p>
    <w:p w14:paraId="44F962A2" w14:textId="54C62649" w:rsidR="00DD505D" w:rsidRPr="00A55335" w:rsidRDefault="006070ED">
      <w:pPr>
        <w:pStyle w:val="Heading4"/>
      </w:pPr>
      <w:r w:rsidRPr="00A55335">
        <w:t>Primary Comparison</w:t>
      </w:r>
      <w:r w:rsidR="00DD505D" w:rsidRPr="00A55335">
        <w:t xml:space="preserve"> (vs placebo)</w:t>
      </w:r>
      <w:bookmarkEnd w:id="249"/>
      <w:r w:rsidR="00DD505D" w:rsidRPr="00A55335">
        <w:t xml:space="preserve"> </w:t>
      </w:r>
    </w:p>
    <w:tbl>
      <w:tblPr>
        <w:tblW w:w="5000" w:type="pct"/>
        <w:tblLayout w:type="fixed"/>
        <w:tblCellMar>
          <w:top w:w="57" w:type="dxa"/>
          <w:left w:w="57" w:type="dxa"/>
          <w:bottom w:w="57" w:type="dxa"/>
          <w:right w:w="57" w:type="dxa"/>
        </w:tblCellMar>
        <w:tblLook w:val="04A0" w:firstRow="1" w:lastRow="0" w:firstColumn="1" w:lastColumn="0" w:noHBand="0" w:noVBand="1"/>
      </w:tblPr>
      <w:tblGrid>
        <w:gridCol w:w="1702"/>
        <w:gridCol w:w="1487"/>
        <w:gridCol w:w="1489"/>
        <w:gridCol w:w="992"/>
        <w:gridCol w:w="1134"/>
        <w:gridCol w:w="994"/>
        <w:gridCol w:w="1947"/>
      </w:tblGrid>
      <w:tr w:rsidR="00DD505D" w:rsidRPr="00A55335" w14:paraId="5C6C76E7" w14:textId="77777777" w:rsidTr="0040381B">
        <w:trPr>
          <w:cantSplit/>
          <w:tblHeader/>
        </w:trPr>
        <w:tc>
          <w:tcPr>
            <w:tcW w:w="5000" w:type="pct"/>
            <w:gridSpan w:val="7"/>
            <w:tcBorders>
              <w:top w:val="single" w:sz="12" w:space="0" w:color="000000"/>
              <w:left w:val="nil"/>
              <w:bottom w:val="single" w:sz="12" w:space="0" w:color="000000"/>
              <w:right w:val="nil"/>
            </w:tcBorders>
            <w:vAlign w:val="center"/>
            <w:hideMark/>
          </w:tcPr>
          <w:p w14:paraId="2E49B333" w14:textId="785FFF6F" w:rsidR="00DD505D" w:rsidRPr="00A55335" w:rsidRDefault="00DD505D" w:rsidP="0040381B">
            <w:pPr>
              <w:pStyle w:val="TableH1"/>
              <w:rPr>
                <w:lang w:val="en-AU"/>
              </w:rPr>
            </w:pPr>
            <w:r w:rsidRPr="00A55335">
              <w:rPr>
                <w:lang w:val="en-AU"/>
              </w:rPr>
              <w:t>Homeopathy compared to placebo for Insomnia</w:t>
            </w:r>
            <w:r w:rsidR="004327BE" w:rsidRPr="00A55335">
              <w:rPr>
                <w:lang w:val="en-AU"/>
              </w:rPr>
              <w:t xml:space="preserve"> and sleep problems</w:t>
            </w:r>
          </w:p>
        </w:tc>
      </w:tr>
      <w:tr w:rsidR="00DD505D" w:rsidRPr="00A55335" w14:paraId="0E900417" w14:textId="77777777" w:rsidTr="0040381B">
        <w:trPr>
          <w:cantSplit/>
          <w:tblHeader/>
        </w:trPr>
        <w:tc>
          <w:tcPr>
            <w:tcW w:w="5000" w:type="pct"/>
            <w:gridSpan w:val="7"/>
            <w:tcBorders>
              <w:top w:val="single" w:sz="12" w:space="0" w:color="000000"/>
              <w:left w:val="nil"/>
              <w:bottom w:val="single" w:sz="12" w:space="0" w:color="000000"/>
              <w:right w:val="nil"/>
            </w:tcBorders>
            <w:vAlign w:val="center"/>
            <w:hideMark/>
          </w:tcPr>
          <w:p w14:paraId="481A71C8" w14:textId="2E9CDADA" w:rsidR="00DD505D" w:rsidRPr="00A55335" w:rsidRDefault="00DD505D" w:rsidP="0040381B">
            <w:pPr>
              <w:pStyle w:val="Tabletext9pt"/>
            </w:pPr>
            <w:r w:rsidRPr="00A55335">
              <w:rPr>
                <w:rStyle w:val="Strong"/>
              </w:rPr>
              <w:t>Patient or population:</w:t>
            </w:r>
            <w:r w:rsidRPr="00A55335">
              <w:t xml:space="preserve"> Insomnia </w:t>
            </w:r>
            <w:r w:rsidR="004327BE" w:rsidRPr="00A55335">
              <w:t>and sleep problems</w:t>
            </w:r>
          </w:p>
          <w:p w14:paraId="398BD4C8" w14:textId="77777777" w:rsidR="00DD505D" w:rsidRPr="00A55335" w:rsidRDefault="00DD505D" w:rsidP="0040381B">
            <w:pPr>
              <w:pStyle w:val="Tabletext9pt"/>
            </w:pPr>
            <w:r w:rsidRPr="00A55335">
              <w:rPr>
                <w:rStyle w:val="Strong"/>
              </w:rPr>
              <w:t>Setting:</w:t>
            </w:r>
            <w:r w:rsidRPr="00A55335">
              <w:t xml:space="preserve"> Community </w:t>
            </w:r>
          </w:p>
          <w:p w14:paraId="446ECF4D" w14:textId="77777777" w:rsidR="00DD505D" w:rsidRPr="00A55335" w:rsidRDefault="00DD505D" w:rsidP="0040381B">
            <w:pPr>
              <w:pStyle w:val="Tabletext9pt"/>
            </w:pPr>
            <w:r w:rsidRPr="00A55335">
              <w:rPr>
                <w:rStyle w:val="Strong"/>
              </w:rPr>
              <w:t>Intervention:</w:t>
            </w:r>
            <w:r w:rsidRPr="00A55335">
              <w:t xml:space="preserve"> Homeopathy </w:t>
            </w:r>
          </w:p>
          <w:p w14:paraId="6A13A439" w14:textId="77777777" w:rsidR="00DD505D" w:rsidRPr="00A55335" w:rsidRDefault="00DD505D" w:rsidP="0040381B">
            <w:pPr>
              <w:pStyle w:val="Tabletext9pt"/>
            </w:pPr>
            <w:r w:rsidRPr="00A55335">
              <w:rPr>
                <w:rStyle w:val="Strong"/>
              </w:rPr>
              <w:t>Comparison:</w:t>
            </w:r>
            <w:r w:rsidRPr="00A55335">
              <w:t xml:space="preserve"> Placebo </w:t>
            </w:r>
          </w:p>
        </w:tc>
      </w:tr>
      <w:tr w:rsidR="00DD505D" w:rsidRPr="00A55335" w14:paraId="54989743" w14:textId="77777777" w:rsidTr="0040381B">
        <w:trPr>
          <w:cantSplit/>
          <w:tblHeader/>
        </w:trPr>
        <w:tc>
          <w:tcPr>
            <w:tcW w:w="873" w:type="pct"/>
            <w:vMerge w:val="restart"/>
            <w:tcBorders>
              <w:top w:val="nil"/>
              <w:left w:val="nil"/>
              <w:bottom w:val="nil"/>
              <w:right w:val="single" w:sz="6" w:space="0" w:color="EFEFEF"/>
            </w:tcBorders>
            <w:shd w:val="clear" w:color="auto" w:fill="006579" w:themeFill="accent2"/>
            <w:vAlign w:val="bottom"/>
            <w:hideMark/>
          </w:tcPr>
          <w:p w14:paraId="45F9909D" w14:textId="77777777" w:rsidR="00DD505D" w:rsidRPr="00A55335" w:rsidRDefault="00DD505D" w:rsidP="00A44D66">
            <w:pPr>
              <w:pStyle w:val="Tabletext8pt"/>
              <w:rPr>
                <w:b/>
              </w:rPr>
            </w:pPr>
            <w:r w:rsidRPr="00A55335">
              <w:rPr>
                <w:b/>
                <w:bCs/>
                <w:color w:val="F9F9F9" w:themeColor="background1"/>
              </w:rPr>
              <w:t>Outcomes</w:t>
            </w:r>
          </w:p>
        </w:tc>
        <w:tc>
          <w:tcPr>
            <w:tcW w:w="1527" w:type="pct"/>
            <w:gridSpan w:val="2"/>
            <w:tcBorders>
              <w:top w:val="single" w:sz="6" w:space="0" w:color="EFEFEF"/>
              <w:left w:val="nil"/>
              <w:bottom w:val="nil"/>
              <w:right w:val="single" w:sz="6" w:space="0" w:color="EFEFEF"/>
            </w:tcBorders>
            <w:shd w:val="clear" w:color="auto" w:fill="E0E0E0"/>
            <w:vAlign w:val="bottom"/>
            <w:hideMark/>
          </w:tcPr>
          <w:p w14:paraId="122DC1F6" w14:textId="77777777" w:rsidR="00DD505D" w:rsidRPr="00A55335" w:rsidRDefault="00DD505D" w:rsidP="00A44D66">
            <w:pPr>
              <w:pStyle w:val="Tabletext8pt"/>
              <w:rPr>
                <w:b/>
              </w:rPr>
            </w:pPr>
            <w:r w:rsidRPr="00A55335">
              <w:rPr>
                <w:rStyle w:val="Strong"/>
              </w:rPr>
              <w:t>Anticipated absolute effects* (95% CI)</w:t>
            </w:r>
          </w:p>
        </w:tc>
        <w:tc>
          <w:tcPr>
            <w:tcW w:w="509" w:type="pct"/>
            <w:vMerge w:val="restart"/>
            <w:tcBorders>
              <w:top w:val="nil"/>
              <w:left w:val="nil"/>
              <w:bottom w:val="nil"/>
              <w:right w:val="single" w:sz="6" w:space="0" w:color="EFEFEF"/>
            </w:tcBorders>
            <w:shd w:val="clear" w:color="auto" w:fill="006579" w:themeFill="accent2"/>
            <w:vAlign w:val="bottom"/>
            <w:hideMark/>
          </w:tcPr>
          <w:p w14:paraId="0076B591" w14:textId="77777777" w:rsidR="00DD505D" w:rsidRPr="00A55335" w:rsidRDefault="00DD505D" w:rsidP="00A44D66">
            <w:pPr>
              <w:pStyle w:val="Tabletext8pt"/>
              <w:rPr>
                <w:b/>
                <w:color w:val="FFFFFF" w:themeColor="background2"/>
              </w:rPr>
            </w:pPr>
            <w:r w:rsidRPr="00A55335">
              <w:rPr>
                <w:b/>
                <w:bCs/>
                <w:color w:val="F9F9F9" w:themeColor="background1"/>
              </w:rPr>
              <w:t>Relative effect</w:t>
            </w:r>
            <w:r w:rsidRPr="00A55335">
              <w:rPr>
                <w:b/>
                <w:bCs/>
                <w:color w:val="F9F9F9" w:themeColor="background1"/>
              </w:rPr>
              <w:br/>
              <w:t>(95% CI)</w:t>
            </w:r>
          </w:p>
        </w:tc>
        <w:tc>
          <w:tcPr>
            <w:tcW w:w="582" w:type="pct"/>
            <w:vMerge w:val="restart"/>
            <w:tcBorders>
              <w:top w:val="nil"/>
              <w:left w:val="nil"/>
              <w:bottom w:val="nil"/>
              <w:right w:val="single" w:sz="6" w:space="0" w:color="EFEFEF"/>
            </w:tcBorders>
            <w:shd w:val="clear" w:color="auto" w:fill="006579" w:themeFill="accent2"/>
            <w:vAlign w:val="bottom"/>
            <w:hideMark/>
          </w:tcPr>
          <w:p w14:paraId="65201BD1" w14:textId="77777777" w:rsidR="00DD505D" w:rsidRPr="00A55335" w:rsidRDefault="00DD505D" w:rsidP="00A44D66">
            <w:pPr>
              <w:pStyle w:val="Tabletext8pt"/>
              <w:rPr>
                <w:b/>
                <w:color w:val="FFFFFF" w:themeColor="background2"/>
              </w:rPr>
            </w:pPr>
            <w:r w:rsidRPr="00A55335">
              <w:rPr>
                <w:b/>
                <w:bCs/>
                <w:color w:val="F9F9F9" w:themeColor="background1"/>
              </w:rPr>
              <w:t>№ of parti</w:t>
            </w:r>
            <w:r w:rsidRPr="00A55335">
              <w:rPr>
                <w:b/>
                <w:color w:val="F9F9F9" w:themeColor="background1"/>
              </w:rPr>
              <w:t>cipants</w:t>
            </w:r>
            <w:r w:rsidRPr="00A55335">
              <w:rPr>
                <w:b/>
                <w:color w:val="F9F9F9" w:themeColor="background1"/>
              </w:rPr>
              <w:br/>
              <w:t>(studies)</w:t>
            </w:r>
          </w:p>
        </w:tc>
        <w:tc>
          <w:tcPr>
            <w:tcW w:w="510" w:type="pct"/>
            <w:vMerge w:val="restart"/>
            <w:tcBorders>
              <w:top w:val="nil"/>
              <w:left w:val="nil"/>
              <w:bottom w:val="nil"/>
              <w:right w:val="single" w:sz="6" w:space="0" w:color="EFEFEF"/>
            </w:tcBorders>
            <w:shd w:val="clear" w:color="auto" w:fill="006579" w:themeFill="accent2"/>
            <w:vAlign w:val="bottom"/>
            <w:hideMark/>
          </w:tcPr>
          <w:p w14:paraId="1BD81E36" w14:textId="77777777" w:rsidR="00DD505D" w:rsidRPr="00A55335" w:rsidRDefault="00DD505D" w:rsidP="00A44D66">
            <w:pPr>
              <w:pStyle w:val="Tabletext8pt"/>
              <w:rPr>
                <w:b/>
                <w:color w:val="FFFFFF" w:themeColor="background2"/>
              </w:rPr>
            </w:pPr>
            <w:r w:rsidRPr="00A55335">
              <w:rPr>
                <w:b/>
                <w:bCs/>
                <w:color w:val="F9F9F9" w:themeColor="background1"/>
              </w:rPr>
              <w:t>Certainty of the evidence</w:t>
            </w:r>
            <w:r w:rsidRPr="00A55335">
              <w:rPr>
                <w:b/>
                <w:bCs/>
                <w:color w:val="F9F9F9" w:themeColor="background1"/>
              </w:rPr>
              <w:br/>
              <w:t>(GRADE)</w:t>
            </w:r>
          </w:p>
        </w:tc>
        <w:tc>
          <w:tcPr>
            <w:tcW w:w="999" w:type="pct"/>
            <w:vMerge w:val="restart"/>
            <w:tcBorders>
              <w:top w:val="nil"/>
              <w:left w:val="nil"/>
              <w:bottom w:val="nil"/>
              <w:right w:val="single" w:sz="6" w:space="0" w:color="EFEFEF"/>
            </w:tcBorders>
            <w:shd w:val="clear" w:color="auto" w:fill="006579" w:themeFill="accent2"/>
            <w:vAlign w:val="bottom"/>
            <w:hideMark/>
          </w:tcPr>
          <w:p w14:paraId="4D0BB12B" w14:textId="2CCC9724" w:rsidR="00DD505D" w:rsidRPr="00A55335" w:rsidRDefault="00863A94" w:rsidP="00A44D66">
            <w:pPr>
              <w:pStyle w:val="Tabletext8pt"/>
              <w:rPr>
                <w:b/>
                <w:color w:val="FFFFFF" w:themeColor="background2"/>
              </w:rPr>
            </w:pPr>
            <w:r w:rsidRPr="00A55335">
              <w:rPr>
                <w:b/>
                <w:bCs/>
                <w:color w:val="F9F9F9" w:themeColor="background1"/>
              </w:rPr>
              <w:t>Evidence statement</w:t>
            </w:r>
          </w:p>
        </w:tc>
      </w:tr>
      <w:tr w:rsidR="00DD505D" w:rsidRPr="00A55335" w14:paraId="70441CD9" w14:textId="77777777" w:rsidTr="00D25042">
        <w:trPr>
          <w:cantSplit/>
          <w:tblHeader/>
        </w:trPr>
        <w:tc>
          <w:tcPr>
            <w:tcW w:w="873" w:type="pct"/>
            <w:vMerge/>
            <w:tcBorders>
              <w:top w:val="nil"/>
              <w:left w:val="nil"/>
              <w:bottom w:val="nil"/>
              <w:right w:val="single" w:sz="6" w:space="0" w:color="EFEFEF"/>
            </w:tcBorders>
            <w:shd w:val="clear" w:color="auto" w:fill="006579" w:themeFill="accent2"/>
            <w:vAlign w:val="center"/>
            <w:hideMark/>
          </w:tcPr>
          <w:p w14:paraId="7CEFBA9B" w14:textId="77777777" w:rsidR="00DD505D" w:rsidRPr="00A55335" w:rsidRDefault="00DD505D" w:rsidP="00863A94">
            <w:pPr>
              <w:pStyle w:val="Tabletext"/>
              <w:rPr>
                <w:sz w:val="16"/>
              </w:rPr>
            </w:pPr>
          </w:p>
        </w:tc>
        <w:tc>
          <w:tcPr>
            <w:tcW w:w="763" w:type="pct"/>
            <w:tcBorders>
              <w:top w:val="single" w:sz="6" w:space="0" w:color="EFEFEF"/>
              <w:left w:val="nil"/>
              <w:bottom w:val="nil"/>
              <w:right w:val="single" w:sz="6" w:space="0" w:color="EFEFEF"/>
            </w:tcBorders>
            <w:shd w:val="clear" w:color="auto" w:fill="E0E0E0"/>
            <w:vAlign w:val="bottom"/>
            <w:hideMark/>
          </w:tcPr>
          <w:p w14:paraId="13D6C146" w14:textId="77777777" w:rsidR="00DD505D" w:rsidRPr="00A55335" w:rsidRDefault="00DD505D" w:rsidP="00A44D66">
            <w:pPr>
              <w:pStyle w:val="Tabletext8pt"/>
              <w:rPr>
                <w:b/>
              </w:rPr>
            </w:pPr>
            <w:r w:rsidRPr="00A55335">
              <w:rPr>
                <w:rStyle w:val="Strong"/>
              </w:rPr>
              <w:t>Risk with placebo</w:t>
            </w:r>
          </w:p>
        </w:tc>
        <w:tc>
          <w:tcPr>
            <w:tcW w:w="764" w:type="pct"/>
            <w:tcBorders>
              <w:top w:val="single" w:sz="6" w:space="0" w:color="EFEFEF"/>
              <w:left w:val="nil"/>
              <w:bottom w:val="nil"/>
              <w:right w:val="single" w:sz="6" w:space="0" w:color="EFEFEF"/>
            </w:tcBorders>
            <w:shd w:val="clear" w:color="auto" w:fill="E0E0E0"/>
            <w:vAlign w:val="bottom"/>
            <w:hideMark/>
          </w:tcPr>
          <w:p w14:paraId="30C162BD" w14:textId="77777777" w:rsidR="00DD505D" w:rsidRPr="00A55335" w:rsidRDefault="00DD505D" w:rsidP="00A44D66">
            <w:pPr>
              <w:pStyle w:val="Tabletext8pt"/>
              <w:rPr>
                <w:b/>
              </w:rPr>
            </w:pPr>
            <w:r w:rsidRPr="00A55335">
              <w:rPr>
                <w:rStyle w:val="Strong"/>
              </w:rPr>
              <w:t>Risk with Homeopathy</w:t>
            </w:r>
          </w:p>
        </w:tc>
        <w:tc>
          <w:tcPr>
            <w:tcW w:w="509" w:type="pct"/>
            <w:vMerge/>
            <w:tcBorders>
              <w:top w:val="nil"/>
              <w:left w:val="nil"/>
              <w:bottom w:val="nil"/>
              <w:right w:val="single" w:sz="6" w:space="0" w:color="EFEFEF"/>
            </w:tcBorders>
            <w:shd w:val="clear" w:color="auto" w:fill="053341" w:themeFill="accent1"/>
            <w:vAlign w:val="center"/>
            <w:hideMark/>
          </w:tcPr>
          <w:p w14:paraId="05F5AB01" w14:textId="77777777" w:rsidR="00DD505D" w:rsidRPr="00A55335" w:rsidRDefault="00DD505D" w:rsidP="00863A94">
            <w:pPr>
              <w:pStyle w:val="Tabletext"/>
              <w:rPr>
                <w:sz w:val="16"/>
              </w:rPr>
            </w:pPr>
          </w:p>
        </w:tc>
        <w:tc>
          <w:tcPr>
            <w:tcW w:w="582" w:type="pct"/>
            <w:vMerge/>
            <w:tcBorders>
              <w:top w:val="nil"/>
              <w:left w:val="nil"/>
              <w:bottom w:val="nil"/>
              <w:right w:val="single" w:sz="6" w:space="0" w:color="EFEFEF"/>
            </w:tcBorders>
            <w:shd w:val="clear" w:color="auto" w:fill="053341" w:themeFill="accent1"/>
            <w:vAlign w:val="center"/>
            <w:hideMark/>
          </w:tcPr>
          <w:p w14:paraId="3CADFDA3" w14:textId="77777777" w:rsidR="00DD505D" w:rsidRPr="00A55335" w:rsidRDefault="00DD505D" w:rsidP="00863A94">
            <w:pPr>
              <w:pStyle w:val="Tabletext"/>
              <w:rPr>
                <w:sz w:val="16"/>
              </w:rPr>
            </w:pPr>
          </w:p>
        </w:tc>
        <w:tc>
          <w:tcPr>
            <w:tcW w:w="510" w:type="pct"/>
            <w:vMerge/>
            <w:tcBorders>
              <w:top w:val="nil"/>
              <w:left w:val="nil"/>
              <w:bottom w:val="nil"/>
              <w:right w:val="single" w:sz="6" w:space="0" w:color="EFEFEF"/>
            </w:tcBorders>
            <w:shd w:val="clear" w:color="auto" w:fill="053341" w:themeFill="accent1"/>
            <w:vAlign w:val="center"/>
            <w:hideMark/>
          </w:tcPr>
          <w:p w14:paraId="79E8197F" w14:textId="77777777" w:rsidR="00DD505D" w:rsidRPr="00A55335" w:rsidRDefault="00DD505D" w:rsidP="00863A94">
            <w:pPr>
              <w:pStyle w:val="Tabletext"/>
              <w:rPr>
                <w:sz w:val="16"/>
              </w:rPr>
            </w:pPr>
          </w:p>
        </w:tc>
        <w:tc>
          <w:tcPr>
            <w:tcW w:w="999" w:type="pct"/>
            <w:vMerge/>
            <w:tcBorders>
              <w:top w:val="nil"/>
              <w:left w:val="nil"/>
              <w:bottom w:val="nil"/>
              <w:right w:val="single" w:sz="6" w:space="0" w:color="EFEFEF"/>
            </w:tcBorders>
            <w:shd w:val="clear" w:color="auto" w:fill="053341" w:themeFill="accent1"/>
            <w:vAlign w:val="center"/>
            <w:hideMark/>
          </w:tcPr>
          <w:p w14:paraId="582721AF" w14:textId="77777777" w:rsidR="00DD505D" w:rsidRPr="00A55335" w:rsidRDefault="00DD505D" w:rsidP="00863A94">
            <w:pPr>
              <w:pStyle w:val="Tabletext"/>
              <w:rPr>
                <w:sz w:val="16"/>
              </w:rPr>
            </w:pPr>
          </w:p>
        </w:tc>
      </w:tr>
      <w:tr w:rsidR="00DD505D" w:rsidRPr="00A55335" w14:paraId="24F7C87B" w14:textId="77777777" w:rsidTr="00C256FF">
        <w:trPr>
          <w:cantSplit/>
        </w:trPr>
        <w:tc>
          <w:tcPr>
            <w:tcW w:w="873" w:type="pct"/>
            <w:tcBorders>
              <w:top w:val="single" w:sz="6" w:space="0" w:color="000000"/>
              <w:left w:val="nil"/>
              <w:bottom w:val="single" w:sz="6" w:space="0" w:color="000000"/>
              <w:right w:val="nil"/>
            </w:tcBorders>
            <w:vAlign w:val="center"/>
            <w:hideMark/>
          </w:tcPr>
          <w:p w14:paraId="0013AEB7" w14:textId="252FFAD5" w:rsidR="00DD505D" w:rsidRPr="00A55335" w:rsidRDefault="00DD505D" w:rsidP="00C4523F">
            <w:pPr>
              <w:pStyle w:val="Tabletext8pt"/>
            </w:pPr>
            <w:r w:rsidRPr="00A55335">
              <w:t>Insomnia severity</w:t>
            </w:r>
            <w:r w:rsidRPr="00A55335">
              <w:br/>
              <w:t xml:space="preserve">assessed with: </w:t>
            </w:r>
            <w:r w:rsidR="00C62BDD" w:rsidRPr="00A55335">
              <w:t>ISI</w:t>
            </w:r>
            <w:r w:rsidR="00C256FF" w:rsidRPr="00A55335">
              <w:t xml:space="preserve"> </w:t>
            </w:r>
            <w:r w:rsidR="00496C74">
              <w:t xml:space="preserve">Scale from: </w:t>
            </w:r>
            <w:r w:rsidR="00E06A8A">
              <w:t xml:space="preserve">0 to 28 </w:t>
            </w:r>
            <w:r w:rsidR="00C256FF" w:rsidRPr="00A55335">
              <w:t>(higher is worse)</w:t>
            </w:r>
            <w:r w:rsidR="00B34381">
              <w:br/>
            </w:r>
            <w:r w:rsidRPr="00A55335">
              <w:t>follow-up: 3 months</w:t>
            </w:r>
          </w:p>
        </w:tc>
        <w:tc>
          <w:tcPr>
            <w:tcW w:w="763" w:type="pct"/>
            <w:tcBorders>
              <w:top w:val="single" w:sz="6" w:space="0" w:color="000000"/>
              <w:left w:val="nil"/>
              <w:bottom w:val="single" w:sz="6" w:space="0" w:color="000000"/>
              <w:right w:val="nil"/>
            </w:tcBorders>
            <w:shd w:val="clear" w:color="auto" w:fill="EBEBEB"/>
            <w:vAlign w:val="center"/>
            <w:hideMark/>
          </w:tcPr>
          <w:p w14:paraId="0E225BF4" w14:textId="210FD457" w:rsidR="00DD505D" w:rsidRPr="00A55335" w:rsidRDefault="00DD505D" w:rsidP="00C4523F">
            <w:pPr>
              <w:pStyle w:val="Tabletext8pt"/>
            </w:pPr>
            <w:r w:rsidRPr="00A55335">
              <w:t xml:space="preserve">The mean ISI score was </w:t>
            </w:r>
            <w:r w:rsidRPr="00A55335">
              <w:rPr>
                <w:rStyle w:val="Strong"/>
              </w:rPr>
              <w:t>16.6</w:t>
            </w:r>
            <w:r w:rsidR="0040204E" w:rsidRPr="00A55335">
              <w:rPr>
                <w:rStyle w:val="Strong"/>
              </w:rPr>
              <w:t xml:space="preserve"> points</w:t>
            </w:r>
          </w:p>
        </w:tc>
        <w:tc>
          <w:tcPr>
            <w:tcW w:w="764" w:type="pct"/>
            <w:tcBorders>
              <w:top w:val="single" w:sz="6" w:space="0" w:color="000000"/>
              <w:left w:val="nil"/>
              <w:bottom w:val="single" w:sz="6" w:space="0" w:color="000000"/>
              <w:right w:val="nil"/>
            </w:tcBorders>
            <w:shd w:val="clear" w:color="auto" w:fill="EBEBEB"/>
            <w:hideMark/>
          </w:tcPr>
          <w:p w14:paraId="572E5F54" w14:textId="77777777" w:rsidR="00DD505D" w:rsidRPr="00A55335" w:rsidRDefault="00DD505D" w:rsidP="00C4523F">
            <w:pPr>
              <w:pStyle w:val="Tabletext8pt"/>
            </w:pPr>
            <w:r w:rsidRPr="00A55335">
              <w:t xml:space="preserve">MD </w:t>
            </w:r>
            <w:r w:rsidRPr="00A55335">
              <w:rPr>
                <w:rStyle w:val="Strong"/>
              </w:rPr>
              <w:t>2.7 points lower</w:t>
            </w:r>
            <w:r w:rsidRPr="00A55335">
              <w:br/>
              <w:t>(4.73 lower to 0.67 lower)</w:t>
            </w:r>
          </w:p>
        </w:tc>
        <w:tc>
          <w:tcPr>
            <w:tcW w:w="509" w:type="pct"/>
            <w:tcBorders>
              <w:top w:val="single" w:sz="6" w:space="0" w:color="000000"/>
              <w:left w:val="nil"/>
              <w:bottom w:val="single" w:sz="6" w:space="0" w:color="000000"/>
              <w:right w:val="nil"/>
            </w:tcBorders>
            <w:vAlign w:val="center"/>
            <w:hideMark/>
          </w:tcPr>
          <w:p w14:paraId="290C1026" w14:textId="77777777" w:rsidR="00DD505D" w:rsidRPr="00A55335" w:rsidRDefault="00DD505D" w:rsidP="00C256FF">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4ED44205" w14:textId="06B2B042" w:rsidR="00DD505D" w:rsidRPr="00A55335" w:rsidRDefault="00DD505D" w:rsidP="00C256FF">
            <w:pPr>
              <w:pStyle w:val="Tabletext8pt"/>
              <w:jc w:val="center"/>
            </w:pPr>
            <w:r w:rsidRPr="00A55335">
              <w:t>60</w:t>
            </w:r>
            <w:r w:rsidRPr="00A55335">
              <w:br/>
              <w:t>(1 RCT)</w:t>
            </w:r>
            <w:r w:rsidR="00A72EC2" w:rsidRPr="00A55335">
              <w:t xml:space="preserve"> </w:t>
            </w:r>
            <w:r w:rsidRPr="00A55335">
              <w:rPr>
                <w:rStyle w:val="FootnoteReference"/>
              </w:rPr>
              <w:t>†</w:t>
            </w:r>
          </w:p>
        </w:tc>
        <w:tc>
          <w:tcPr>
            <w:tcW w:w="510" w:type="pct"/>
            <w:tcBorders>
              <w:top w:val="single" w:sz="6" w:space="0" w:color="000000"/>
              <w:left w:val="nil"/>
              <w:bottom w:val="single" w:sz="6" w:space="0" w:color="000000"/>
              <w:right w:val="nil"/>
            </w:tcBorders>
            <w:vAlign w:val="center"/>
            <w:hideMark/>
          </w:tcPr>
          <w:p w14:paraId="3FF586D8" w14:textId="717D33B1" w:rsidR="00DD505D" w:rsidRPr="00A55335" w:rsidRDefault="00DD505D" w:rsidP="00C256FF">
            <w:pPr>
              <w:pStyle w:val="Tabletext8pt"/>
              <w:jc w:val="center"/>
            </w:pPr>
            <w:r w:rsidRPr="00A55335">
              <w:rPr>
                <w:rStyle w:val="quality-sign"/>
                <w:rFonts w:ascii="Cambria Math" w:hAnsi="Cambria Math"/>
              </w:rPr>
              <w:t>⨁⨁◯◯</w:t>
            </w:r>
            <w:r w:rsidRPr="00A55335">
              <w:br/>
              <w:t>LOW</w:t>
            </w:r>
            <w:r w:rsidRPr="00A55335">
              <w:rPr>
                <w:rStyle w:val="FootnoteReference"/>
              </w:rPr>
              <w:t xml:space="preserve"> </w:t>
            </w:r>
            <w:proofErr w:type="spellStart"/>
            <w:r w:rsidRPr="00A55335">
              <w:rPr>
                <w:rStyle w:val="FootnoteReference"/>
              </w:rPr>
              <w:t>a,b</w:t>
            </w:r>
            <w:r w:rsidR="00BD0692" w:rsidRPr="00A55335">
              <w:rPr>
                <w:rStyle w:val="FootnoteReference"/>
              </w:rPr>
              <w:t>,c,d</w:t>
            </w:r>
            <w:r w:rsidR="00624631" w:rsidRPr="00A55335">
              <w:rPr>
                <w:rStyle w:val="FootnoteReference"/>
              </w:rPr>
              <w:t>,e</w:t>
            </w:r>
            <w:proofErr w:type="spellEnd"/>
          </w:p>
        </w:tc>
        <w:tc>
          <w:tcPr>
            <w:tcW w:w="999" w:type="pct"/>
            <w:tcBorders>
              <w:top w:val="single" w:sz="6" w:space="0" w:color="000000"/>
              <w:left w:val="nil"/>
              <w:bottom w:val="single" w:sz="6" w:space="0" w:color="000000"/>
              <w:right w:val="nil"/>
            </w:tcBorders>
            <w:vAlign w:val="center"/>
            <w:hideMark/>
          </w:tcPr>
          <w:p w14:paraId="4942DBD1" w14:textId="6DF972BA" w:rsidR="00DD505D" w:rsidRPr="00A55335" w:rsidRDefault="00E87AA6" w:rsidP="00C4523F">
            <w:pPr>
              <w:pStyle w:val="Tabletext8pt"/>
            </w:pPr>
            <w:r w:rsidRPr="00A55335">
              <w:t>H</w:t>
            </w:r>
            <w:r w:rsidR="00DC3E48" w:rsidRPr="00A55335">
              <w:t xml:space="preserve">omeopathy </w:t>
            </w:r>
            <w:r w:rsidR="00BD443B" w:rsidRPr="00A55335">
              <w:t>may result</w:t>
            </w:r>
            <w:r w:rsidR="00DD505D" w:rsidRPr="00A55335">
              <w:t xml:space="preserve"> in little to no difference in insomnia severity in people with insomnia</w:t>
            </w:r>
            <w:r w:rsidR="00492374" w:rsidRPr="00A55335">
              <w:t xml:space="preserve"> #</w:t>
            </w:r>
          </w:p>
        </w:tc>
      </w:tr>
      <w:tr w:rsidR="00DD505D" w:rsidRPr="00A55335" w14:paraId="47F8DEB1" w14:textId="77777777" w:rsidTr="00C256FF">
        <w:trPr>
          <w:cantSplit/>
        </w:trPr>
        <w:tc>
          <w:tcPr>
            <w:tcW w:w="873" w:type="pct"/>
            <w:tcBorders>
              <w:top w:val="single" w:sz="6" w:space="0" w:color="000000"/>
              <w:left w:val="nil"/>
              <w:bottom w:val="single" w:sz="6" w:space="0" w:color="000000"/>
              <w:right w:val="nil"/>
            </w:tcBorders>
            <w:vAlign w:val="center"/>
            <w:hideMark/>
          </w:tcPr>
          <w:p w14:paraId="50D2CB35" w14:textId="569AFE3C" w:rsidR="00DD505D" w:rsidRPr="00A55335" w:rsidRDefault="00DD505D" w:rsidP="00C4523F">
            <w:pPr>
              <w:pStyle w:val="Tabletext8pt"/>
            </w:pPr>
            <w:r w:rsidRPr="00A55335">
              <w:t xml:space="preserve">Sleep </w:t>
            </w:r>
            <w:r w:rsidR="00231B7F" w:rsidRPr="00A55335">
              <w:t>duration</w:t>
            </w:r>
            <w:r w:rsidRPr="00A55335">
              <w:br/>
              <w:t>assessed with: Sleep diary</w:t>
            </w:r>
            <w:r w:rsidR="00C4523F" w:rsidRPr="00A55335">
              <w:t xml:space="preserve"> (hours of sleep per night)</w:t>
            </w:r>
            <w:r w:rsidR="0084023B" w:rsidRPr="00A55335">
              <w:t xml:space="preserve"> (higher is better)</w:t>
            </w:r>
            <w:r w:rsidRPr="00A55335">
              <w:br/>
              <w:t>follow-up: 3 months</w:t>
            </w:r>
          </w:p>
        </w:tc>
        <w:tc>
          <w:tcPr>
            <w:tcW w:w="763" w:type="pct"/>
            <w:tcBorders>
              <w:top w:val="single" w:sz="6" w:space="0" w:color="000000"/>
              <w:left w:val="nil"/>
              <w:bottom w:val="single" w:sz="6" w:space="0" w:color="000000"/>
              <w:right w:val="nil"/>
            </w:tcBorders>
            <w:shd w:val="clear" w:color="auto" w:fill="EBEBEB"/>
            <w:vAlign w:val="center"/>
            <w:hideMark/>
          </w:tcPr>
          <w:p w14:paraId="41CA96C2" w14:textId="53A55271" w:rsidR="00DD505D" w:rsidRPr="00A55335" w:rsidRDefault="00DD505D" w:rsidP="00C4523F">
            <w:pPr>
              <w:pStyle w:val="Tabletext8pt"/>
            </w:pPr>
            <w:r w:rsidRPr="00A55335">
              <w:t xml:space="preserve">The mean </w:t>
            </w:r>
            <w:r w:rsidR="00C62BDD" w:rsidRPr="00A55335">
              <w:t>duration of sleep per night</w:t>
            </w:r>
            <w:r w:rsidRPr="00A55335">
              <w:t xml:space="preserve"> was </w:t>
            </w:r>
            <w:r w:rsidRPr="00A55335">
              <w:rPr>
                <w:rStyle w:val="Strong"/>
              </w:rPr>
              <w:t xml:space="preserve">3.3 </w:t>
            </w:r>
            <w:r w:rsidR="00C62BDD" w:rsidRPr="00A55335">
              <w:rPr>
                <w:rStyle w:val="Strong"/>
              </w:rPr>
              <w:t>hours</w:t>
            </w:r>
          </w:p>
        </w:tc>
        <w:tc>
          <w:tcPr>
            <w:tcW w:w="764" w:type="pct"/>
            <w:tcBorders>
              <w:top w:val="single" w:sz="6" w:space="0" w:color="000000"/>
              <w:left w:val="nil"/>
              <w:bottom w:val="single" w:sz="6" w:space="0" w:color="000000"/>
              <w:right w:val="nil"/>
            </w:tcBorders>
            <w:shd w:val="clear" w:color="auto" w:fill="EBEBEB"/>
            <w:hideMark/>
          </w:tcPr>
          <w:p w14:paraId="1406568A" w14:textId="6B16B9EC" w:rsidR="00DD505D" w:rsidRPr="00A55335" w:rsidRDefault="00DD505D" w:rsidP="00C4523F">
            <w:pPr>
              <w:pStyle w:val="Tabletext8pt"/>
            </w:pPr>
            <w:r w:rsidRPr="00A55335">
              <w:t xml:space="preserve">MD </w:t>
            </w:r>
            <w:r w:rsidRPr="00A55335">
              <w:rPr>
                <w:rStyle w:val="Strong"/>
              </w:rPr>
              <w:t xml:space="preserve">0.1 hours </w:t>
            </w:r>
            <w:r w:rsidR="00014C83" w:rsidRPr="00A55335">
              <w:rPr>
                <w:rStyle w:val="Strong"/>
              </w:rPr>
              <w:t>more</w:t>
            </w:r>
            <w:r w:rsidRPr="00A55335">
              <w:br/>
              <w:t xml:space="preserve">(0.56 </w:t>
            </w:r>
            <w:r w:rsidR="00014C83" w:rsidRPr="00A55335">
              <w:t>fewer</w:t>
            </w:r>
            <w:r w:rsidRPr="00A55335">
              <w:t xml:space="preserve"> to 0.76 </w:t>
            </w:r>
            <w:r w:rsidR="00014C83" w:rsidRPr="00A55335">
              <w:t>more</w:t>
            </w:r>
            <w:r w:rsidRPr="00A55335">
              <w:t>)</w:t>
            </w:r>
          </w:p>
        </w:tc>
        <w:tc>
          <w:tcPr>
            <w:tcW w:w="509" w:type="pct"/>
            <w:tcBorders>
              <w:top w:val="single" w:sz="6" w:space="0" w:color="000000"/>
              <w:left w:val="nil"/>
              <w:bottom w:val="single" w:sz="6" w:space="0" w:color="000000"/>
              <w:right w:val="nil"/>
            </w:tcBorders>
            <w:vAlign w:val="center"/>
            <w:hideMark/>
          </w:tcPr>
          <w:p w14:paraId="5232993D" w14:textId="77777777" w:rsidR="00DD505D" w:rsidRPr="00A55335" w:rsidRDefault="00DD505D" w:rsidP="00C256FF">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7A2DA055" w14:textId="10207F4A" w:rsidR="00DD505D" w:rsidRPr="00A55335" w:rsidRDefault="00DD505D" w:rsidP="00C256FF">
            <w:pPr>
              <w:pStyle w:val="Tabletext8pt"/>
              <w:jc w:val="center"/>
            </w:pPr>
            <w:r w:rsidRPr="00A55335">
              <w:t>60</w:t>
            </w:r>
            <w:r w:rsidRPr="00A55335">
              <w:br/>
              <w:t>(1 RCT)</w:t>
            </w:r>
            <w:r w:rsidR="00A72EC2" w:rsidRPr="00A55335">
              <w:t xml:space="preserve"> </w:t>
            </w:r>
            <w:r w:rsidRPr="00A55335">
              <w:rPr>
                <w:rStyle w:val="FootnoteReference"/>
              </w:rPr>
              <w:t>†</w:t>
            </w:r>
          </w:p>
        </w:tc>
        <w:tc>
          <w:tcPr>
            <w:tcW w:w="510" w:type="pct"/>
            <w:tcBorders>
              <w:top w:val="single" w:sz="6" w:space="0" w:color="000000"/>
              <w:left w:val="nil"/>
              <w:bottom w:val="single" w:sz="6" w:space="0" w:color="000000"/>
              <w:right w:val="nil"/>
            </w:tcBorders>
            <w:vAlign w:val="center"/>
            <w:hideMark/>
          </w:tcPr>
          <w:p w14:paraId="436CE1A7" w14:textId="239B5F62" w:rsidR="00DD505D" w:rsidRPr="00A55335" w:rsidRDefault="00DD505D" w:rsidP="00C256FF">
            <w:pPr>
              <w:pStyle w:val="Tabletext8pt"/>
              <w:jc w:val="center"/>
            </w:pPr>
            <w:r w:rsidRPr="00A55335">
              <w:rPr>
                <w:rStyle w:val="quality-sign"/>
                <w:rFonts w:ascii="Cambria Math" w:hAnsi="Cambria Math"/>
              </w:rPr>
              <w:t>⨁⨁◯◯</w:t>
            </w:r>
            <w:r w:rsidRPr="00A55335">
              <w:br/>
              <w:t xml:space="preserve">LOW </w:t>
            </w:r>
            <w:proofErr w:type="spellStart"/>
            <w:r w:rsidRPr="00A55335">
              <w:rPr>
                <w:rStyle w:val="FootnoteReference"/>
              </w:rPr>
              <w:t>a,b</w:t>
            </w:r>
            <w:r w:rsidR="00BD0692" w:rsidRPr="00A55335">
              <w:rPr>
                <w:rStyle w:val="FootnoteReference"/>
              </w:rPr>
              <w:t>,c,d</w:t>
            </w:r>
            <w:r w:rsidR="00624631" w:rsidRPr="00A55335">
              <w:rPr>
                <w:rStyle w:val="FootnoteReference"/>
              </w:rPr>
              <w:t>,e</w:t>
            </w:r>
            <w:proofErr w:type="spellEnd"/>
          </w:p>
        </w:tc>
        <w:tc>
          <w:tcPr>
            <w:tcW w:w="999" w:type="pct"/>
            <w:tcBorders>
              <w:top w:val="single" w:sz="6" w:space="0" w:color="000000"/>
              <w:left w:val="nil"/>
              <w:bottom w:val="single" w:sz="6" w:space="0" w:color="000000"/>
              <w:right w:val="nil"/>
            </w:tcBorders>
            <w:vAlign w:val="center"/>
            <w:hideMark/>
          </w:tcPr>
          <w:p w14:paraId="43199869" w14:textId="28FDB826" w:rsidR="00DD505D" w:rsidRPr="00A55335" w:rsidRDefault="00E87AA6" w:rsidP="00C4523F">
            <w:pPr>
              <w:pStyle w:val="Tabletext8pt"/>
            </w:pPr>
            <w:r w:rsidRPr="00A55335">
              <w:t>H</w:t>
            </w:r>
            <w:r w:rsidR="00BD443B" w:rsidRPr="00A55335">
              <w:t>omeopathy may result</w:t>
            </w:r>
            <w:r w:rsidR="00DD505D" w:rsidRPr="00A55335">
              <w:t xml:space="preserve"> in little to no difference in sleep quality in people with insomnia</w:t>
            </w:r>
            <w:r w:rsidR="00492374" w:rsidRPr="00A55335">
              <w:t xml:space="preserve"> ##</w:t>
            </w:r>
          </w:p>
        </w:tc>
      </w:tr>
      <w:tr w:rsidR="00A72EC2" w:rsidRPr="00A55335" w14:paraId="78D91CD2" w14:textId="77777777" w:rsidTr="00C256FF">
        <w:trPr>
          <w:cantSplit/>
        </w:trPr>
        <w:tc>
          <w:tcPr>
            <w:tcW w:w="873" w:type="pct"/>
            <w:tcBorders>
              <w:top w:val="single" w:sz="6" w:space="0" w:color="000000"/>
              <w:left w:val="nil"/>
              <w:bottom w:val="single" w:sz="6" w:space="0" w:color="000000"/>
              <w:right w:val="nil"/>
            </w:tcBorders>
            <w:vAlign w:val="center"/>
            <w:hideMark/>
          </w:tcPr>
          <w:p w14:paraId="31841161" w14:textId="131829DA" w:rsidR="00A72EC2" w:rsidRPr="00A55335" w:rsidRDefault="00A72EC2" w:rsidP="00A72EC2">
            <w:pPr>
              <w:pStyle w:val="Tabletext8pt"/>
            </w:pPr>
            <w:r w:rsidRPr="00A55335">
              <w:t xml:space="preserve">Sleep </w:t>
            </w:r>
            <w:r w:rsidR="000102D2" w:rsidRPr="00A55335">
              <w:t xml:space="preserve">onset </w:t>
            </w:r>
            <w:r w:rsidRPr="00A55335">
              <w:t>latency</w:t>
            </w:r>
            <w:r w:rsidRPr="00A55335">
              <w:br/>
              <w:t>assessed with: Sleep diary (minutes to fall asleep)</w:t>
            </w:r>
            <w:r w:rsidR="0084023B" w:rsidRPr="00A55335">
              <w:t xml:space="preserve"> (higher is worse)</w:t>
            </w:r>
            <w:r w:rsidRPr="00A55335">
              <w:br/>
              <w:t>follow-up: 3 months</w:t>
            </w:r>
          </w:p>
        </w:tc>
        <w:tc>
          <w:tcPr>
            <w:tcW w:w="763" w:type="pct"/>
            <w:tcBorders>
              <w:top w:val="single" w:sz="6" w:space="0" w:color="000000"/>
              <w:left w:val="nil"/>
              <w:bottom w:val="single" w:sz="6" w:space="0" w:color="000000"/>
              <w:right w:val="nil"/>
            </w:tcBorders>
            <w:shd w:val="clear" w:color="auto" w:fill="EBEBEB"/>
            <w:vAlign w:val="center"/>
            <w:hideMark/>
          </w:tcPr>
          <w:p w14:paraId="329B915A" w14:textId="4FABED7A" w:rsidR="00A72EC2" w:rsidRPr="00A55335" w:rsidRDefault="00A72EC2" w:rsidP="00A72EC2">
            <w:pPr>
              <w:pStyle w:val="Tabletext8pt"/>
            </w:pPr>
            <w:r w:rsidRPr="00A55335">
              <w:t xml:space="preserve">The mean time to fall asleep was </w:t>
            </w:r>
            <w:r w:rsidRPr="00A55335">
              <w:rPr>
                <w:rStyle w:val="Strong"/>
              </w:rPr>
              <w:t xml:space="preserve">77.4 mins </w:t>
            </w:r>
          </w:p>
        </w:tc>
        <w:tc>
          <w:tcPr>
            <w:tcW w:w="764" w:type="pct"/>
            <w:tcBorders>
              <w:top w:val="single" w:sz="6" w:space="0" w:color="000000"/>
              <w:left w:val="nil"/>
              <w:bottom w:val="single" w:sz="6" w:space="0" w:color="000000"/>
              <w:right w:val="nil"/>
            </w:tcBorders>
            <w:shd w:val="clear" w:color="auto" w:fill="EBEBEB"/>
            <w:hideMark/>
          </w:tcPr>
          <w:p w14:paraId="1523FEBE" w14:textId="5F4A9800" w:rsidR="00A72EC2" w:rsidRPr="00A55335" w:rsidRDefault="00A72EC2" w:rsidP="00E17C03">
            <w:pPr>
              <w:pStyle w:val="Tabletext8pt"/>
            </w:pPr>
            <w:r w:rsidRPr="00A55335">
              <w:t xml:space="preserve">MD </w:t>
            </w:r>
            <w:r w:rsidRPr="00A55335">
              <w:rPr>
                <w:rStyle w:val="Strong"/>
              </w:rPr>
              <w:t xml:space="preserve">22.2 mins fewer </w:t>
            </w:r>
            <w:r w:rsidRPr="00A55335">
              <w:rPr>
                <w:rStyle w:val="Strong"/>
              </w:rPr>
              <w:br/>
            </w:r>
            <w:r w:rsidRPr="00A55335">
              <w:t>(45.18 fewer to 0.78 more)</w:t>
            </w:r>
          </w:p>
        </w:tc>
        <w:tc>
          <w:tcPr>
            <w:tcW w:w="509" w:type="pct"/>
            <w:tcBorders>
              <w:top w:val="single" w:sz="6" w:space="0" w:color="000000"/>
              <w:left w:val="nil"/>
              <w:bottom w:val="single" w:sz="6" w:space="0" w:color="000000"/>
              <w:right w:val="nil"/>
            </w:tcBorders>
            <w:vAlign w:val="center"/>
            <w:hideMark/>
          </w:tcPr>
          <w:p w14:paraId="20F078B8" w14:textId="77777777" w:rsidR="00A72EC2" w:rsidRPr="00A55335" w:rsidRDefault="00A72EC2" w:rsidP="00C256FF">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4453FF70" w14:textId="210A52CF" w:rsidR="00A72EC2" w:rsidRPr="00A55335" w:rsidRDefault="00A72EC2" w:rsidP="00C256FF">
            <w:pPr>
              <w:pStyle w:val="Tabletext8pt"/>
              <w:jc w:val="center"/>
            </w:pPr>
            <w:r w:rsidRPr="00A55335">
              <w:t>60</w:t>
            </w:r>
            <w:r w:rsidRPr="00A55335">
              <w:br/>
              <w:t xml:space="preserve">(1 RCT) </w:t>
            </w:r>
            <w:r w:rsidR="00492374" w:rsidRPr="00A55335">
              <w:rPr>
                <w:rStyle w:val="FootnoteReference"/>
              </w:rPr>
              <w:t>††</w:t>
            </w:r>
          </w:p>
        </w:tc>
        <w:tc>
          <w:tcPr>
            <w:tcW w:w="510" w:type="pct"/>
            <w:tcBorders>
              <w:top w:val="single" w:sz="6" w:space="0" w:color="000000"/>
              <w:left w:val="nil"/>
              <w:bottom w:val="single" w:sz="6" w:space="0" w:color="000000"/>
              <w:right w:val="nil"/>
            </w:tcBorders>
            <w:vAlign w:val="center"/>
            <w:hideMark/>
          </w:tcPr>
          <w:p w14:paraId="657B484C" w14:textId="381558EE" w:rsidR="00ED042C" w:rsidRPr="00A55335" w:rsidRDefault="00A72EC2" w:rsidP="00C256FF">
            <w:pPr>
              <w:pStyle w:val="Tabletext8pt"/>
              <w:jc w:val="center"/>
            </w:pPr>
            <w:r w:rsidRPr="00A55335">
              <w:rPr>
                <w:rStyle w:val="quality-sign"/>
                <w:rFonts w:ascii="Cambria Math" w:hAnsi="Cambria Math"/>
              </w:rPr>
              <w:t>⨁⨁◯◯</w:t>
            </w:r>
            <w:r w:rsidRPr="00A55335">
              <w:br/>
              <w:t xml:space="preserve">LOW </w:t>
            </w:r>
            <w:proofErr w:type="spellStart"/>
            <w:r w:rsidR="00ED042C" w:rsidRPr="00A55335">
              <w:rPr>
                <w:rStyle w:val="FootnoteReference"/>
              </w:rPr>
              <w:t>a,b</w:t>
            </w:r>
            <w:r w:rsidR="00492374" w:rsidRPr="00A55335">
              <w:rPr>
                <w:rStyle w:val="FootnoteReference"/>
              </w:rPr>
              <w:t>,c,d</w:t>
            </w:r>
            <w:r w:rsidR="00624631" w:rsidRPr="00A55335">
              <w:rPr>
                <w:rStyle w:val="FootnoteReference"/>
              </w:rPr>
              <w:t>,e</w:t>
            </w:r>
            <w:proofErr w:type="spellEnd"/>
          </w:p>
        </w:tc>
        <w:tc>
          <w:tcPr>
            <w:tcW w:w="999" w:type="pct"/>
            <w:tcBorders>
              <w:top w:val="single" w:sz="6" w:space="0" w:color="000000"/>
              <w:left w:val="nil"/>
              <w:bottom w:val="single" w:sz="6" w:space="0" w:color="000000"/>
              <w:right w:val="nil"/>
            </w:tcBorders>
            <w:vAlign w:val="center"/>
            <w:hideMark/>
          </w:tcPr>
          <w:p w14:paraId="459178EE" w14:textId="490C5C73" w:rsidR="00A72EC2" w:rsidRPr="00A55335" w:rsidRDefault="00E87AA6" w:rsidP="00A72EC2">
            <w:pPr>
              <w:pStyle w:val="Tabletext8pt"/>
            </w:pPr>
            <w:r w:rsidRPr="00A55335">
              <w:t>H</w:t>
            </w:r>
            <w:r w:rsidR="00A72EC2" w:rsidRPr="00A55335">
              <w:t>omeopathy may result in little to no difference in sleep latency in people with insomnia</w:t>
            </w:r>
            <w:r w:rsidR="00197764" w:rsidRPr="00A55335">
              <w:t xml:space="preserve"> ###</w:t>
            </w:r>
          </w:p>
        </w:tc>
      </w:tr>
      <w:tr w:rsidR="00C7284A" w:rsidRPr="00A55335" w14:paraId="4675C975" w14:textId="77777777" w:rsidTr="00C256FF">
        <w:trPr>
          <w:cantSplit/>
        </w:trPr>
        <w:tc>
          <w:tcPr>
            <w:tcW w:w="873" w:type="pct"/>
            <w:tcBorders>
              <w:top w:val="single" w:sz="6" w:space="0" w:color="000000"/>
              <w:left w:val="nil"/>
              <w:bottom w:val="single" w:sz="6" w:space="0" w:color="000000"/>
              <w:right w:val="nil"/>
            </w:tcBorders>
            <w:vAlign w:val="center"/>
          </w:tcPr>
          <w:p w14:paraId="7F207A2B" w14:textId="4AED2DB8" w:rsidR="00C7284A" w:rsidRPr="00A55335" w:rsidRDefault="00C7284A" w:rsidP="00C7284A">
            <w:pPr>
              <w:pStyle w:val="Tabletext8pt"/>
            </w:pPr>
            <w:r w:rsidRPr="00A55335">
              <w:t>Quality of life - not reported</w:t>
            </w:r>
          </w:p>
        </w:tc>
        <w:tc>
          <w:tcPr>
            <w:tcW w:w="763" w:type="pct"/>
            <w:tcBorders>
              <w:top w:val="single" w:sz="6" w:space="0" w:color="000000"/>
              <w:left w:val="nil"/>
              <w:bottom w:val="single" w:sz="6" w:space="0" w:color="000000"/>
              <w:right w:val="nil"/>
            </w:tcBorders>
            <w:shd w:val="clear" w:color="auto" w:fill="EBEBEB"/>
            <w:vAlign w:val="center"/>
          </w:tcPr>
          <w:p w14:paraId="1BFBBB6F" w14:textId="07FFD2CD" w:rsidR="00C7284A" w:rsidRPr="00A55335" w:rsidRDefault="00C7284A" w:rsidP="00C7284A">
            <w:pPr>
              <w:pStyle w:val="Tabletext8pt"/>
            </w:pPr>
            <w:r w:rsidRPr="00A55335">
              <w:t>-</w:t>
            </w:r>
          </w:p>
        </w:tc>
        <w:tc>
          <w:tcPr>
            <w:tcW w:w="764" w:type="pct"/>
            <w:tcBorders>
              <w:top w:val="single" w:sz="6" w:space="0" w:color="000000"/>
              <w:left w:val="nil"/>
              <w:bottom w:val="single" w:sz="6" w:space="0" w:color="000000"/>
              <w:right w:val="nil"/>
            </w:tcBorders>
            <w:shd w:val="clear" w:color="auto" w:fill="EBEBEB"/>
          </w:tcPr>
          <w:p w14:paraId="235255E3" w14:textId="7C46A59C" w:rsidR="00C7284A" w:rsidRPr="00A55335" w:rsidRDefault="00C7284A" w:rsidP="00C7284A">
            <w:pPr>
              <w:pStyle w:val="Tabletext8pt"/>
            </w:pPr>
            <w:r w:rsidRPr="00A55335">
              <w:t>-</w:t>
            </w:r>
          </w:p>
        </w:tc>
        <w:tc>
          <w:tcPr>
            <w:tcW w:w="509" w:type="pct"/>
            <w:tcBorders>
              <w:top w:val="single" w:sz="6" w:space="0" w:color="000000"/>
              <w:left w:val="nil"/>
              <w:bottom w:val="single" w:sz="6" w:space="0" w:color="000000"/>
              <w:right w:val="nil"/>
            </w:tcBorders>
            <w:vAlign w:val="center"/>
          </w:tcPr>
          <w:p w14:paraId="28B5A0A9" w14:textId="3D4C5925" w:rsidR="00C7284A" w:rsidRPr="00A55335" w:rsidRDefault="00C7284A" w:rsidP="00C7284A">
            <w:pPr>
              <w:pStyle w:val="Tabletext8pt"/>
              <w:jc w:val="center"/>
            </w:pPr>
            <w:r w:rsidRPr="00A55335">
              <w:t>-</w:t>
            </w:r>
          </w:p>
        </w:tc>
        <w:tc>
          <w:tcPr>
            <w:tcW w:w="582" w:type="pct"/>
            <w:tcBorders>
              <w:top w:val="single" w:sz="6" w:space="0" w:color="000000"/>
              <w:left w:val="nil"/>
              <w:bottom w:val="single" w:sz="6" w:space="0" w:color="000000"/>
              <w:right w:val="nil"/>
            </w:tcBorders>
            <w:vAlign w:val="center"/>
          </w:tcPr>
          <w:p w14:paraId="5AE139E7" w14:textId="24179509" w:rsidR="00C7284A" w:rsidRPr="00A55335" w:rsidRDefault="00320846" w:rsidP="00C7284A">
            <w:pPr>
              <w:pStyle w:val="Tabletext8pt"/>
              <w:jc w:val="center"/>
            </w:pPr>
            <w:r w:rsidRPr="00A55335">
              <w:t>(0 studies)</w:t>
            </w:r>
          </w:p>
        </w:tc>
        <w:tc>
          <w:tcPr>
            <w:tcW w:w="510" w:type="pct"/>
            <w:tcBorders>
              <w:top w:val="single" w:sz="6" w:space="0" w:color="000000"/>
              <w:left w:val="nil"/>
              <w:bottom w:val="single" w:sz="6" w:space="0" w:color="000000"/>
              <w:right w:val="nil"/>
            </w:tcBorders>
            <w:vAlign w:val="center"/>
          </w:tcPr>
          <w:p w14:paraId="0D7729D7" w14:textId="0E015526" w:rsidR="00C7284A" w:rsidRPr="00A55335" w:rsidRDefault="00C7284A" w:rsidP="00C7284A">
            <w:pPr>
              <w:pStyle w:val="Tabletext8pt"/>
              <w:jc w:val="center"/>
              <w:rPr>
                <w:rStyle w:val="quality-sign"/>
                <w:rFonts w:ascii="Cambria Math" w:hAnsi="Cambria Math"/>
              </w:rPr>
            </w:pPr>
            <w:r w:rsidRPr="00A55335">
              <w:t>-</w:t>
            </w:r>
          </w:p>
        </w:tc>
        <w:tc>
          <w:tcPr>
            <w:tcW w:w="999" w:type="pct"/>
            <w:tcBorders>
              <w:top w:val="single" w:sz="6" w:space="0" w:color="000000"/>
              <w:left w:val="nil"/>
              <w:bottom w:val="single" w:sz="6" w:space="0" w:color="000000"/>
              <w:right w:val="nil"/>
            </w:tcBorders>
            <w:vAlign w:val="center"/>
          </w:tcPr>
          <w:p w14:paraId="2F8CC532" w14:textId="38D27AAE" w:rsidR="00C7284A" w:rsidRPr="00A55335" w:rsidRDefault="00320846" w:rsidP="00C7284A">
            <w:pPr>
              <w:pStyle w:val="Tabletext8pt"/>
            </w:pPr>
            <w:r w:rsidRPr="00A55335">
              <w:t>The effect of homeopathy o</w:t>
            </w:r>
            <w:r w:rsidR="00982D06">
              <w:t>n</w:t>
            </w:r>
            <w:r w:rsidRPr="00A55335">
              <w:t xml:space="preserve"> quality of life in people with insomnia is unknown</w:t>
            </w:r>
          </w:p>
        </w:tc>
      </w:tr>
      <w:tr w:rsidR="00C7284A" w:rsidRPr="00A55335" w14:paraId="66C458EA" w14:textId="77777777" w:rsidTr="0040381B">
        <w:trPr>
          <w:cantSplit/>
        </w:trPr>
        <w:tc>
          <w:tcPr>
            <w:tcW w:w="5000" w:type="pct"/>
            <w:gridSpan w:val="7"/>
            <w:tcBorders>
              <w:top w:val="single" w:sz="6" w:space="0" w:color="000000"/>
              <w:left w:val="nil"/>
              <w:bottom w:val="single" w:sz="6" w:space="0" w:color="000000"/>
              <w:right w:val="nil"/>
            </w:tcBorders>
            <w:vAlign w:val="center"/>
            <w:hideMark/>
          </w:tcPr>
          <w:p w14:paraId="54095A5B" w14:textId="723997CA" w:rsidR="00C7284A" w:rsidRPr="00A55335" w:rsidRDefault="00C7284A" w:rsidP="00C7284A">
            <w:pPr>
              <w:pStyle w:val="TableFigNotes18"/>
            </w:pPr>
            <w:r w:rsidRPr="00A55335">
              <w:t>*</w:t>
            </w:r>
            <w:r w:rsidRPr="00A55335">
              <w:rPr>
                <w:rStyle w:val="Heading4Char"/>
                <w:rFonts w:eastAsia="Calibri"/>
              </w:rPr>
              <w:t xml:space="preserve"> </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63C087E5" w14:textId="77777777" w:rsidR="00C7284A" w:rsidRPr="00A55335" w:rsidRDefault="00C7284A" w:rsidP="00C7284A">
            <w:pPr>
              <w:pStyle w:val="TableFigNotes18"/>
            </w:pPr>
          </w:p>
          <w:p w14:paraId="0B29788A" w14:textId="713A36EA" w:rsidR="00C7284A" w:rsidRPr="00A55335" w:rsidRDefault="00C7284A" w:rsidP="00C7284A">
            <w:pPr>
              <w:pStyle w:val="TableFigNotes18"/>
            </w:pPr>
            <w:r w:rsidRPr="00A55335">
              <w:rPr>
                <w:rStyle w:val="FootnoteReference"/>
              </w:rPr>
              <w:t>†</w:t>
            </w:r>
            <w:r w:rsidRPr="00A55335">
              <w:t xml:space="preserve"> Results from one RCT (30 participants) not included in the meta-analysis as data were incomplete.</w:t>
            </w:r>
          </w:p>
          <w:p w14:paraId="7B79DCA9" w14:textId="454EAADF" w:rsidR="003D1A5B" w:rsidRPr="00A55335" w:rsidRDefault="00492374" w:rsidP="003B2D45">
            <w:pPr>
              <w:pStyle w:val="TableFigNotes18"/>
            </w:pPr>
            <w:r w:rsidRPr="00A55335">
              <w:rPr>
                <w:rStyle w:val="FootnoteReference"/>
              </w:rPr>
              <w:t>††</w:t>
            </w:r>
            <w:r w:rsidR="00C7284A" w:rsidRPr="00A55335">
              <w:t xml:space="preserve"> Results from one RCT (28 participants) not included in the meta-analysis as the </w:t>
            </w:r>
            <w:r w:rsidR="00B744A4" w:rsidRPr="00A55335">
              <w:t>data were incomplete</w:t>
            </w:r>
            <w:r w:rsidR="00C7284A" w:rsidRPr="00A55335">
              <w:t>.</w:t>
            </w:r>
          </w:p>
          <w:p w14:paraId="01391D2D" w14:textId="77777777" w:rsidR="003D1A5B" w:rsidRPr="00A55335" w:rsidRDefault="003D1A5B" w:rsidP="003B2D45">
            <w:pPr>
              <w:pStyle w:val="TableFigNotes18"/>
            </w:pPr>
          </w:p>
          <w:p w14:paraId="7C1CCB7A" w14:textId="09CE83C2" w:rsidR="003670CE" w:rsidRPr="00A55335" w:rsidRDefault="003D1A5B" w:rsidP="003670CE">
            <w:pPr>
              <w:pStyle w:val="TableFigNotes18"/>
            </w:pPr>
            <w:r w:rsidRPr="00A55335">
              <w:t xml:space="preserve"># </w:t>
            </w:r>
            <w:r w:rsidR="003670CE" w:rsidRPr="00A55335">
              <w:t>A</w:t>
            </w:r>
            <w:r w:rsidRPr="00A55335">
              <w:t xml:space="preserve">n improvement of </w:t>
            </w:r>
            <w:r w:rsidRPr="00A55335">
              <w:softHyphen/>
              <w:t>8.4 points correspond</w:t>
            </w:r>
            <w:r w:rsidR="003670CE" w:rsidRPr="00A55335">
              <w:t>s</w:t>
            </w:r>
            <w:r w:rsidRPr="00A55335">
              <w:t xml:space="preserve"> to a moderate improvement in insomnia </w:t>
            </w:r>
            <w:r w:rsidRPr="00A55335">
              <w:fldChar w:fldCharType="begin"/>
            </w:r>
            <w:r w:rsidR="006952AD">
              <w:instrText xml:space="preserve"> ADDIN EN.CITE &lt;EndNote&gt;&lt;Cite&gt;&lt;Author&gt;Morin&lt;/Author&gt;&lt;Year&gt;2011&lt;/Year&gt;&lt;RecNum&gt;615&lt;/RecNum&gt;&lt;DisplayText&gt;(187)&lt;/DisplayText&gt;&lt;record&gt;&lt;rec-number&gt;615&lt;/rec-number&gt;&lt;foreign-keys&gt;&lt;key app="EN" db-id="t5prptatr9sp0we5exbxt9zz20fwp55tdza9" timestamp="1700809621"&gt;615&lt;/key&gt;&lt;/foreign-keys&gt;&lt;ref-type name="Journal Article"&gt;17&lt;/ref-type&gt;&lt;contributors&gt;&lt;authors&gt;&lt;author&gt;Morin, C. M.&lt;/author&gt;&lt;author&gt;Belleville, G.&lt;/author&gt;&lt;author&gt;Bélanger, L.&lt;/author&gt;&lt;author&gt;Ivers, H.&lt;/author&gt;&lt;/authors&gt;&lt;/contributors&gt;&lt;auth-address&gt;Université Laval and Centre de recherche Université Laval-Robert Giffard, Québec, Canada.&lt;/auth-address&gt;&lt;titles&gt;&lt;title&gt;The Insomnia Severity Index: psychometric indicators to detect insomnia cases and evaluate treatment response&lt;/title&gt;&lt;secondary-title&gt;Sleep&lt;/secondary-title&gt;&lt;/titles&gt;&lt;periodical&gt;&lt;full-title&gt;Sleep&lt;/full-title&gt;&lt;/periodical&gt;&lt;pages&gt;601-8&lt;/pages&gt;&lt;volume&gt;34&lt;/volume&gt;&lt;number&gt;5&lt;/number&gt;&lt;edition&gt;20110501&lt;/edition&gt;&lt;keywords&gt;&lt;keyword&gt;Adult&lt;/keyword&gt;&lt;keyword&gt;Fatigue/diagnosis/physiopathology&lt;/keyword&gt;&lt;keyword&gt;Female&lt;/keyword&gt;&lt;keyword&gt;Humans&lt;/keyword&gt;&lt;keyword&gt;Male&lt;/keyword&gt;&lt;keyword&gt;Polysomnography&lt;/keyword&gt;&lt;keyword&gt;Psychometrics&lt;/keyword&gt;&lt;keyword&gt;Reproducibility of Results&lt;/keyword&gt;&lt;keyword&gt;Sensitivity and Specificity&lt;/keyword&gt;&lt;keyword&gt;*Severity of Illness Index&lt;/keyword&gt;&lt;keyword&gt;Sleep/physiology&lt;/keyword&gt;&lt;keyword&gt;Sleep Initiation and Maintenance Disorders/*diagnosis/physiopathology/therapy&lt;/keyword&gt;&lt;keyword&gt;Treatment Outcome&lt;/keyword&gt;&lt;keyword&gt;Insomnia&lt;/keyword&gt;&lt;keyword&gt;assessment&lt;/keyword&gt;&lt;keyword&gt;evaluation&lt;/keyword&gt;&lt;keyword&gt;measure&lt;/keyword&gt;&lt;keyword&gt;patient-reported outcome&lt;/keyword&gt;&lt;/keywords&gt;&lt;dates&gt;&lt;year&gt;2011&lt;/year&gt;&lt;pub-dates&gt;&lt;date&gt;May 1&lt;/date&gt;&lt;/pub-dates&gt;&lt;/dates&gt;&lt;isbn&gt;0161-8105 (Print)&amp;#xD;0161-8105&lt;/isbn&gt;&lt;accession-num&gt;21532953&lt;/accession-num&gt;&lt;urls&gt;&lt;/urls&gt;&lt;custom2&gt;PMC3079939&lt;/custom2&gt;&lt;electronic-resource-num&gt;10.1093/sleep/34.5.601&lt;/electronic-resource-num&gt;&lt;remote-database-provider&gt;NLM&lt;/remote-database-provider&gt;&lt;language&gt;eng&lt;/language&gt;&lt;/record&gt;&lt;/Cite&gt;&lt;/EndNote&gt;</w:instrText>
            </w:r>
            <w:r w:rsidRPr="00A55335">
              <w:fldChar w:fldCharType="separate"/>
            </w:r>
            <w:r w:rsidR="00067842">
              <w:rPr>
                <w:noProof/>
              </w:rPr>
              <w:t>(</w:t>
            </w:r>
            <w:hyperlink w:anchor="_ENREF_187" w:tooltip="Morin, 2011 #615" w:history="1">
              <w:r w:rsidR="00EC2769">
                <w:rPr>
                  <w:noProof/>
                </w:rPr>
                <w:t>187</w:t>
              </w:r>
            </w:hyperlink>
            <w:r w:rsidR="00067842">
              <w:rPr>
                <w:noProof/>
              </w:rPr>
              <w:t>)</w:t>
            </w:r>
            <w:r w:rsidRPr="00A55335">
              <w:fldChar w:fldCharType="end"/>
            </w:r>
            <w:r w:rsidRPr="00A55335">
              <w:t xml:space="preserve">. </w:t>
            </w:r>
          </w:p>
          <w:p w14:paraId="0733AB69" w14:textId="14974162" w:rsidR="00197764" w:rsidRPr="00A55335" w:rsidRDefault="003670CE" w:rsidP="003670CE">
            <w:pPr>
              <w:pStyle w:val="TableFigNotes18"/>
            </w:pPr>
            <w:r w:rsidRPr="00A55335">
              <w:t xml:space="preserve">## </w:t>
            </w:r>
            <w:r w:rsidR="00197764" w:rsidRPr="00A55335">
              <w:t xml:space="preserve">A difference of less than one hour per night </w:t>
            </w:r>
            <w:r w:rsidR="005277DE" w:rsidRPr="00A55335">
              <w:t>not</w:t>
            </w:r>
            <w:r w:rsidR="00197764" w:rsidRPr="00A55335">
              <w:t xml:space="preserve"> clinically relevant </w:t>
            </w:r>
            <w:r w:rsidR="00197764" w:rsidRPr="00A55335">
              <w:fldChar w:fldCharType="begin"/>
            </w:r>
            <w:r w:rsidR="006952AD">
              <w:instrText xml:space="preserve"> ADDIN EN.CITE &lt;EndNote&gt;&lt;Cite&gt;&lt;Author&gt;Cheuk&lt;/Author&gt;&lt;Year&gt;2012&lt;/Year&gt;&lt;RecNum&gt;616&lt;/RecNum&gt;&lt;DisplayText&gt;(188)&lt;/DisplayText&gt;&lt;record&gt;&lt;rec-number&gt;616&lt;/rec-number&gt;&lt;foreign-keys&gt;&lt;key app="EN" db-id="t5prptatr9sp0we5exbxt9zz20fwp55tdza9" timestamp="1700809621"&gt;616&lt;/key&gt;&lt;/foreign-keys&gt;&lt;ref-type name="Journal Article"&gt;17&lt;/ref-type&gt;&lt;contributors&gt;&lt;authors&gt;&lt;author&gt;Cheuk, D. K. L.&lt;/author&gt;&lt;author&gt;Yeung, W. F.&lt;/author&gt;&lt;author&gt;Chung, K. F.&lt;/author&gt;&lt;author&gt;Wong, V.&lt;/author&gt;&lt;/authors&gt;&lt;/contributors&gt;&lt;titles&gt;&lt;title&gt;Acupuncture for insomnia&lt;/title&gt;&lt;secondary-title&gt;Cochrane Database of Systematic Reviews&lt;/secondary-title&gt;&lt;/titles&gt;&lt;periodical&gt;&lt;full-title&gt;Cochrane Database of Systematic Reviews&lt;/full-title&gt;&lt;/periodical&gt;&lt;number&gt;9&lt;/number&gt;&lt;keywords&gt;&lt;keyword&gt;Acupressure [methods]&lt;/keyword&gt;&lt;keyword&gt;Acupuncture Therapy [*methods]&lt;/keyword&gt;&lt;keyword&gt;Humans&lt;/keyword&gt;&lt;keyword&gt;Randomized Controlled Trials as Topic&lt;/keyword&gt;&lt;keyword&gt;Sleep Initiation and Maintenance Disorders [*therapy]&lt;/keyword&gt;&lt;/keywords&gt;&lt;dates&gt;&lt;year&gt;2012&lt;/year&gt;&lt;/dates&gt;&lt;publisher&gt;John Wiley &amp;amp; Sons, Ltd&lt;/publisher&gt;&lt;isbn&gt;1465-1858&lt;/isbn&gt;&lt;accession-num&gt;CD005472&lt;/accession-num&gt;&lt;urls&gt;&lt;related-urls&gt;&lt;url&gt;https://doi.org//10.1002/14651858.CD005472.pub3&lt;/url&gt;&lt;/related-urls&gt;&lt;/urls&gt;&lt;electronic-resource-num&gt;10.1002/14651858.CD005472.pub3&lt;/electronic-resource-num&gt;&lt;/record&gt;&lt;/Cite&gt;&lt;/EndNote&gt;</w:instrText>
            </w:r>
            <w:r w:rsidR="00197764" w:rsidRPr="00A55335">
              <w:fldChar w:fldCharType="separate"/>
            </w:r>
            <w:r w:rsidR="00067842">
              <w:rPr>
                <w:noProof/>
              </w:rPr>
              <w:t>(</w:t>
            </w:r>
            <w:hyperlink w:anchor="_ENREF_188" w:tooltip="Cheuk, 2012 #616" w:history="1">
              <w:r w:rsidR="00EC2769">
                <w:rPr>
                  <w:noProof/>
                </w:rPr>
                <w:t>188</w:t>
              </w:r>
            </w:hyperlink>
            <w:r w:rsidR="00067842">
              <w:rPr>
                <w:noProof/>
              </w:rPr>
              <w:t>)</w:t>
            </w:r>
            <w:r w:rsidR="00197764" w:rsidRPr="00A55335">
              <w:fldChar w:fldCharType="end"/>
            </w:r>
            <w:r w:rsidR="00197764" w:rsidRPr="00A55335">
              <w:t xml:space="preserve">. </w:t>
            </w:r>
          </w:p>
          <w:p w14:paraId="279785F5" w14:textId="5ADE00A4" w:rsidR="003D1A5B" w:rsidRPr="00A55335" w:rsidRDefault="00197764" w:rsidP="003670CE">
            <w:pPr>
              <w:pStyle w:val="TableFigNotes18"/>
            </w:pPr>
            <w:r w:rsidRPr="00A55335">
              <w:t>###</w:t>
            </w:r>
            <w:r w:rsidR="004A2673" w:rsidRPr="00A55335">
              <w:t xml:space="preserve"> A difference of less than 30 minutes in sleep onset latency </w:t>
            </w:r>
            <w:r w:rsidR="005277DE" w:rsidRPr="00A55335">
              <w:t>not</w:t>
            </w:r>
            <w:r w:rsidR="004A2673" w:rsidRPr="00A55335">
              <w:t xml:space="preserve"> clinically relevant</w:t>
            </w:r>
            <w:r w:rsidR="00AF01DF" w:rsidRPr="00A55335">
              <w:t xml:space="preserve"> </w:t>
            </w:r>
            <w:r w:rsidR="00AF01DF" w:rsidRPr="00A55335">
              <w:fldChar w:fldCharType="begin"/>
            </w:r>
            <w:r w:rsidR="006952AD">
              <w:instrText xml:space="preserve"> ADDIN EN.CITE &lt;EndNote&gt;&lt;Cite&gt;&lt;Author&gt;Cheuk&lt;/Author&gt;&lt;Year&gt;2012&lt;/Year&gt;&lt;RecNum&gt;616&lt;/RecNum&gt;&lt;DisplayText&gt;(188)&lt;/DisplayText&gt;&lt;record&gt;&lt;rec-number&gt;616&lt;/rec-number&gt;&lt;foreign-keys&gt;&lt;key app="EN" db-id="t5prptatr9sp0we5exbxt9zz20fwp55tdza9" timestamp="1700809621"&gt;616&lt;/key&gt;&lt;/foreign-keys&gt;&lt;ref-type name="Journal Article"&gt;17&lt;/ref-type&gt;&lt;contributors&gt;&lt;authors&gt;&lt;author&gt;Cheuk, D. K. L.&lt;/author&gt;&lt;author&gt;Yeung, W. F.&lt;/author&gt;&lt;author&gt;Chung, K. F.&lt;/author&gt;&lt;author&gt;Wong, V.&lt;/author&gt;&lt;/authors&gt;&lt;/contributors&gt;&lt;titles&gt;&lt;title&gt;Acupuncture for insomnia&lt;/title&gt;&lt;secondary-title&gt;Cochrane Database of Systematic Reviews&lt;/secondary-title&gt;&lt;/titles&gt;&lt;periodical&gt;&lt;full-title&gt;Cochrane Database of Systematic Reviews&lt;/full-title&gt;&lt;/periodical&gt;&lt;number&gt;9&lt;/number&gt;&lt;keywords&gt;&lt;keyword&gt;Acupressure [methods]&lt;/keyword&gt;&lt;keyword&gt;Acupuncture Therapy [*methods]&lt;/keyword&gt;&lt;keyword&gt;Humans&lt;/keyword&gt;&lt;keyword&gt;Randomized Controlled Trials as Topic&lt;/keyword&gt;&lt;keyword&gt;Sleep Initiation and Maintenance Disorders [*therapy]&lt;/keyword&gt;&lt;/keywords&gt;&lt;dates&gt;&lt;year&gt;2012&lt;/year&gt;&lt;/dates&gt;&lt;publisher&gt;John Wiley &amp;amp; Sons, Ltd&lt;/publisher&gt;&lt;isbn&gt;1465-1858&lt;/isbn&gt;&lt;accession-num&gt;CD005472&lt;/accession-num&gt;&lt;urls&gt;&lt;related-urls&gt;&lt;url&gt;https://doi.org//10.1002/14651858.CD005472.pub3&lt;/url&gt;&lt;/related-urls&gt;&lt;/urls&gt;&lt;electronic-resource-num&gt;10.1002/14651858.CD005472.pub3&lt;/electronic-resource-num&gt;&lt;/record&gt;&lt;/Cite&gt;&lt;/EndNote&gt;</w:instrText>
            </w:r>
            <w:r w:rsidR="00AF01DF" w:rsidRPr="00A55335">
              <w:fldChar w:fldCharType="separate"/>
            </w:r>
            <w:r w:rsidR="00067842">
              <w:rPr>
                <w:noProof/>
              </w:rPr>
              <w:t>(</w:t>
            </w:r>
            <w:hyperlink w:anchor="_ENREF_188" w:tooltip="Cheuk, 2012 #616" w:history="1">
              <w:r w:rsidR="00EC2769">
                <w:rPr>
                  <w:noProof/>
                </w:rPr>
                <w:t>188</w:t>
              </w:r>
            </w:hyperlink>
            <w:r w:rsidR="00067842">
              <w:rPr>
                <w:noProof/>
              </w:rPr>
              <w:t>)</w:t>
            </w:r>
            <w:r w:rsidR="00AF01DF" w:rsidRPr="00A55335">
              <w:fldChar w:fldCharType="end"/>
            </w:r>
            <w:r w:rsidR="004A2673" w:rsidRPr="00A55335">
              <w:t>.</w:t>
            </w:r>
          </w:p>
          <w:p w14:paraId="215220E3" w14:textId="26705DEB" w:rsidR="00C7284A" w:rsidRPr="00A55335" w:rsidRDefault="00C7284A" w:rsidP="00C7284A">
            <w:pPr>
              <w:pStyle w:val="TableFigNotes0"/>
            </w:pPr>
            <w:r w:rsidRPr="00A55335">
              <w:rPr>
                <w:rStyle w:val="Strong"/>
              </w:rPr>
              <w:t>CI:</w:t>
            </w:r>
            <w:r w:rsidRPr="00A55335">
              <w:t xml:space="preserve"> confidence interval; </w:t>
            </w:r>
            <w:r w:rsidRPr="00A55335">
              <w:rPr>
                <w:rStyle w:val="Strong"/>
              </w:rPr>
              <w:t>ISI;</w:t>
            </w:r>
            <w:r w:rsidRPr="00A55335">
              <w:t xml:space="preserve"> Insomnia Severity Index; </w:t>
            </w:r>
            <w:r w:rsidRPr="00A55335">
              <w:rPr>
                <w:rStyle w:val="Strong"/>
              </w:rPr>
              <w:t>MD:</w:t>
            </w:r>
            <w:r w:rsidRPr="00A55335">
              <w:t xml:space="preserve"> mean difference</w:t>
            </w:r>
          </w:p>
        </w:tc>
      </w:tr>
      <w:tr w:rsidR="00C7284A" w:rsidRPr="00A55335" w14:paraId="19EB7317" w14:textId="77777777" w:rsidTr="0040381B">
        <w:trPr>
          <w:cantSplit/>
        </w:trPr>
        <w:tc>
          <w:tcPr>
            <w:tcW w:w="5000" w:type="pct"/>
            <w:gridSpan w:val="7"/>
            <w:tcBorders>
              <w:top w:val="single" w:sz="6" w:space="0" w:color="000000"/>
              <w:left w:val="nil"/>
              <w:bottom w:val="single" w:sz="6" w:space="0" w:color="000000"/>
              <w:right w:val="nil"/>
            </w:tcBorders>
            <w:vAlign w:val="center"/>
          </w:tcPr>
          <w:p w14:paraId="1E89721D" w14:textId="60FC57AC" w:rsidR="00C7284A" w:rsidRPr="00A55335" w:rsidRDefault="00C7284A" w:rsidP="00C7284A">
            <w:pPr>
              <w:pStyle w:val="TableFigNotes0"/>
              <w:rPr>
                <w:sz w:val="16"/>
              </w:rPr>
            </w:pPr>
            <w:r w:rsidRPr="00A55335">
              <w:rPr>
                <w:rStyle w:val="Strong"/>
              </w:rPr>
              <w:lastRenderedPageBreak/>
              <w:t>GRADE Working Group grades of evidence</w:t>
            </w:r>
            <w:r w:rsidRPr="00A55335">
              <w:br/>
            </w:r>
            <w:r w:rsidRPr="00A55335">
              <w:rPr>
                <w:rStyle w:val="Strong"/>
              </w:rPr>
              <w:t>High certainty</w:t>
            </w:r>
            <w:r w:rsidRPr="00A55335">
              <w:t>: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2F3A4DF2" w14:textId="77777777" w:rsidR="00DD505D" w:rsidRPr="00A55335" w:rsidRDefault="00E35087" w:rsidP="00D25042">
      <w:pPr>
        <w:pStyle w:val="Heading5a"/>
        <w:rPr>
          <w:lang w:val="en-AU"/>
        </w:rPr>
      </w:pPr>
      <w:r w:rsidRPr="00A55335">
        <w:rPr>
          <w:lang w:val="en-AU"/>
        </w:rPr>
        <w:t>Explanations</w:t>
      </w:r>
    </w:p>
    <w:p w14:paraId="483D7912" w14:textId="77777777" w:rsidR="00302A98" w:rsidRPr="00A55335" w:rsidRDefault="00DD505D" w:rsidP="00D25042">
      <w:pPr>
        <w:pStyle w:val="Footnote"/>
      </w:pPr>
      <w:r w:rsidRPr="00A55335">
        <w:t xml:space="preserve">a. </w:t>
      </w:r>
      <w:r w:rsidR="00E9515B" w:rsidRPr="00A55335">
        <w:t xml:space="preserve">No serious risk of bias. Certainty of evidence </w:t>
      </w:r>
      <w:r w:rsidR="00302A98" w:rsidRPr="00A55335">
        <w:t>not downgraded.</w:t>
      </w:r>
    </w:p>
    <w:p w14:paraId="3E0F2684" w14:textId="2756A1E7" w:rsidR="00302A98" w:rsidRPr="00A55335" w:rsidRDefault="00302A98" w:rsidP="00D25042">
      <w:pPr>
        <w:pStyle w:val="Footnote"/>
      </w:pPr>
      <w:r w:rsidRPr="00A55335">
        <w:t>b. Single study. Inconsistency not assessed. Certainty of evidence not downgraded.</w:t>
      </w:r>
    </w:p>
    <w:p w14:paraId="093B9824" w14:textId="46A9BFB7" w:rsidR="00624631" w:rsidRPr="00A55335" w:rsidRDefault="00624631" w:rsidP="00D25042">
      <w:pPr>
        <w:pStyle w:val="Footnote"/>
      </w:pPr>
      <w:r w:rsidRPr="00A55335">
        <w:t xml:space="preserve">c. </w:t>
      </w:r>
      <w:r w:rsidR="00E65813" w:rsidRPr="00A55335">
        <w:t xml:space="preserve"> No serious indirectness. The available evidence in people with insomnia and is directly </w:t>
      </w:r>
      <w:r w:rsidR="007B0406" w:rsidRPr="00A55335">
        <w:t>applicable</w:t>
      </w:r>
      <w:r w:rsidR="00E65813" w:rsidRPr="00A55335">
        <w:t xml:space="preserve"> to the </w:t>
      </w:r>
      <w:r w:rsidR="007B0406" w:rsidRPr="00A55335">
        <w:t>Australian</w:t>
      </w:r>
      <w:r w:rsidR="00E65813" w:rsidRPr="00A55335">
        <w:t xml:space="preserve"> pop</w:t>
      </w:r>
      <w:r w:rsidR="007B0406" w:rsidRPr="00A55335">
        <w:t>ulation. Certainty of evidence not downgraded.</w:t>
      </w:r>
    </w:p>
    <w:p w14:paraId="6ACD013F" w14:textId="605879B6" w:rsidR="00DD505D" w:rsidRPr="00A55335" w:rsidRDefault="00624631" w:rsidP="00D25042">
      <w:pPr>
        <w:pStyle w:val="Footnote"/>
      </w:pPr>
      <w:r w:rsidRPr="00A55335">
        <w:t>d</w:t>
      </w:r>
      <w:r w:rsidR="00CC573A" w:rsidRPr="00A55335">
        <w:t xml:space="preserve">. </w:t>
      </w:r>
      <w:proofErr w:type="gramStart"/>
      <w:r w:rsidR="003C19BF" w:rsidRPr="00A55335">
        <w:t>S</w:t>
      </w:r>
      <w:r w:rsidR="00DD505D" w:rsidRPr="00A55335">
        <w:t>erious</w:t>
      </w:r>
      <w:proofErr w:type="gramEnd"/>
      <w:r w:rsidR="00DD505D" w:rsidRPr="00A55335">
        <w:t xml:space="preserve"> imprecision. One study</w:t>
      </w:r>
      <w:r w:rsidR="00302A98" w:rsidRPr="00A55335">
        <w:t xml:space="preserve"> with w</w:t>
      </w:r>
      <w:r w:rsidR="00DD505D" w:rsidRPr="00A55335">
        <w:t xml:space="preserve">ide confidence intervals </w:t>
      </w:r>
      <w:r w:rsidR="00CC573A" w:rsidRPr="00A55335">
        <w:t xml:space="preserve">(upper and lower bounds overlap with both an important and no </w:t>
      </w:r>
      <w:r w:rsidR="00DD505D" w:rsidRPr="00A55335">
        <w:t>important difference</w:t>
      </w:r>
      <w:r w:rsidR="00CC573A" w:rsidRPr="00A55335">
        <w:t>)</w:t>
      </w:r>
      <w:r w:rsidR="00DD505D" w:rsidRPr="00A55335">
        <w:t>. Certainty of evidence downgraded.</w:t>
      </w:r>
    </w:p>
    <w:p w14:paraId="55B5C0E7" w14:textId="3D4219AD" w:rsidR="00DD505D" w:rsidRPr="00A55335" w:rsidRDefault="00624631" w:rsidP="00D25042">
      <w:pPr>
        <w:pStyle w:val="Footnote"/>
      </w:pPr>
      <w:r w:rsidRPr="00A55335">
        <w:t>e</w:t>
      </w:r>
      <w:r w:rsidR="00DD505D" w:rsidRPr="00A55335">
        <w:t xml:space="preserve">. Publication bias </w:t>
      </w:r>
      <w:r w:rsidR="003C19BF" w:rsidRPr="00A55335">
        <w:t>suspected. Evidence is limited to one study. There is a strong suspicion of non-reporting of results</w:t>
      </w:r>
      <w:r w:rsidR="003C19BF" w:rsidRPr="00A55335" w:rsidDel="00263963">
        <w:t xml:space="preserve"> </w:t>
      </w:r>
      <w:r w:rsidR="003C19BF" w:rsidRPr="00A55335">
        <w:t xml:space="preserve">likely related to the </w:t>
      </w:r>
      <w:r w:rsidR="003C19BF" w:rsidRPr="00A55335">
        <w:rPr>
          <w:rStyle w:val="Emphasis"/>
        </w:rPr>
        <w:t>p</w:t>
      </w:r>
      <w:r w:rsidR="003C19BF" w:rsidRPr="00A55335">
        <w:t xml:space="preserve"> value, direction or magnitude of effect.</w:t>
      </w:r>
      <w:r w:rsidR="00DD505D" w:rsidRPr="00A55335">
        <w:t xml:space="preserve"> Certainty of evidence downgraded.</w:t>
      </w:r>
    </w:p>
    <w:p w14:paraId="0886DE7B" w14:textId="7C5843EB" w:rsidR="009E2643" w:rsidRPr="00A55335" w:rsidRDefault="006070ED" w:rsidP="009E2643">
      <w:pPr>
        <w:pStyle w:val="Heading4"/>
      </w:pPr>
      <w:r w:rsidRPr="00A55335">
        <w:t>Secondary Comparison</w:t>
      </w:r>
      <w:r w:rsidR="009E2643" w:rsidRPr="00A55335">
        <w:t xml:space="preserve"> (vs </w:t>
      </w:r>
      <w:r w:rsidR="006352A8" w:rsidRPr="00A55335">
        <w:t xml:space="preserve">inactive </w:t>
      </w:r>
      <w:r w:rsidR="009E2643" w:rsidRPr="00A55335">
        <w:t xml:space="preserve">control) </w:t>
      </w:r>
    </w:p>
    <w:p w14:paraId="3911C2D7" w14:textId="04A2DF30" w:rsidR="009E2643" w:rsidRPr="00A55335" w:rsidRDefault="009E2643" w:rsidP="009E2643">
      <w:pPr>
        <w:pStyle w:val="BodyText"/>
      </w:pPr>
      <w:r w:rsidRPr="00A55335">
        <w:t xml:space="preserve">There were no studies </w:t>
      </w:r>
      <w:r w:rsidR="003E172B" w:rsidRPr="00A55335">
        <w:t>found that</w:t>
      </w:r>
      <w:r w:rsidRPr="00A55335">
        <w:t xml:space="preserve"> compared homeopathy to </w:t>
      </w:r>
      <w:r w:rsidR="00BA3DF6" w:rsidRPr="00A55335">
        <w:t xml:space="preserve">inactive </w:t>
      </w:r>
      <w:r w:rsidRPr="00A55335">
        <w:t>control (no intervention, usual care or waitlist) in people with insomnia. The effect of homeopathy compared to inactive control is unknown.</w:t>
      </w:r>
    </w:p>
    <w:p w14:paraId="407D6B0C" w14:textId="77777777" w:rsidR="00DD505D" w:rsidRPr="00A55335" w:rsidRDefault="00DD505D" w:rsidP="004D433B">
      <w:pPr>
        <w:pStyle w:val="Heading3"/>
      </w:pPr>
      <w:bookmarkStart w:id="250" w:name="_Toc183441350"/>
      <w:r w:rsidRPr="00A55335">
        <w:t>Forest plots</w:t>
      </w:r>
      <w:bookmarkEnd w:id="250"/>
    </w:p>
    <w:p w14:paraId="64F97C22" w14:textId="0D64DD22" w:rsidR="00DD505D" w:rsidRPr="00A55335" w:rsidRDefault="00DD505D" w:rsidP="00DD505D">
      <w:pPr>
        <w:pStyle w:val="BodyText"/>
      </w:pPr>
      <w:r w:rsidRPr="00A55335">
        <w:t xml:space="preserve">Outcome results related </w:t>
      </w:r>
      <w:r w:rsidR="009D62B4" w:rsidRPr="00A55335">
        <w:t>to</w:t>
      </w:r>
      <w:r w:rsidRPr="00A55335">
        <w:t xml:space="preserve"> </w:t>
      </w:r>
      <w:r w:rsidR="002A3EF8" w:rsidRPr="00A55335">
        <w:t>the p</w:t>
      </w:r>
      <w:r w:rsidR="006070ED" w:rsidRPr="00A55335">
        <w:t xml:space="preserve">rimary </w:t>
      </w:r>
      <w:r w:rsidR="002A3EF8" w:rsidRPr="00A55335">
        <w:t xml:space="preserve">comparison </w:t>
      </w:r>
      <w:r w:rsidR="00D25042" w:rsidRPr="00A55335">
        <w:t xml:space="preserve">(homeopathy vs placebo) </w:t>
      </w:r>
      <w:r w:rsidRPr="00A55335">
        <w:t xml:space="preserve">in people with insomnia are presented in </w:t>
      </w:r>
      <w:r w:rsidR="00A64F90" w:rsidRPr="00A55335">
        <w:fldChar w:fldCharType="begin"/>
      </w:r>
      <w:r w:rsidR="00A64F90" w:rsidRPr="00A55335">
        <w:instrText xml:space="preserve"> REF _Ref151380401 \h </w:instrText>
      </w:r>
      <w:r w:rsidR="00A64F90" w:rsidRPr="00A55335">
        <w:fldChar w:fldCharType="separate"/>
      </w:r>
      <w:r w:rsidR="00814B04" w:rsidRPr="00A55335">
        <w:t xml:space="preserve">Figure </w:t>
      </w:r>
      <w:r w:rsidR="00814B04">
        <w:rPr>
          <w:noProof/>
        </w:rPr>
        <w:t>37</w:t>
      </w:r>
      <w:r w:rsidR="00A64F90" w:rsidRPr="00A55335">
        <w:fldChar w:fldCharType="end"/>
      </w:r>
      <w:r w:rsidR="00D25042" w:rsidRPr="00A55335">
        <w:t xml:space="preserve"> (insomnia severity), </w:t>
      </w:r>
      <w:r w:rsidR="00A64F90" w:rsidRPr="00A55335">
        <w:fldChar w:fldCharType="begin"/>
      </w:r>
      <w:r w:rsidR="00A64F90" w:rsidRPr="00A55335">
        <w:instrText xml:space="preserve"> REF _Ref151380405 \h </w:instrText>
      </w:r>
      <w:r w:rsidR="00A64F90" w:rsidRPr="00A55335">
        <w:fldChar w:fldCharType="separate"/>
      </w:r>
      <w:r w:rsidR="00814B04" w:rsidRPr="00A55335">
        <w:t xml:space="preserve">Figure </w:t>
      </w:r>
      <w:r w:rsidR="00814B04">
        <w:rPr>
          <w:noProof/>
        </w:rPr>
        <w:t>38</w:t>
      </w:r>
      <w:r w:rsidR="00A64F90" w:rsidRPr="00A55335">
        <w:fldChar w:fldCharType="end"/>
      </w:r>
      <w:r w:rsidR="00D25042" w:rsidRPr="00A55335">
        <w:t xml:space="preserve"> (sleep quality) and</w:t>
      </w:r>
      <w:r w:rsidRPr="00A55335">
        <w:t xml:space="preserve"> </w:t>
      </w:r>
      <w:r w:rsidR="00A64F90" w:rsidRPr="00A55335">
        <w:fldChar w:fldCharType="begin"/>
      </w:r>
      <w:r w:rsidR="00A64F90" w:rsidRPr="00A55335">
        <w:instrText xml:space="preserve"> REF _Ref151380410 \h </w:instrText>
      </w:r>
      <w:r w:rsidR="00A64F90" w:rsidRPr="00A55335">
        <w:fldChar w:fldCharType="separate"/>
      </w:r>
      <w:r w:rsidR="00814B04" w:rsidRPr="00A55335">
        <w:t xml:space="preserve">Figure </w:t>
      </w:r>
      <w:r w:rsidR="00814B04">
        <w:rPr>
          <w:noProof/>
        </w:rPr>
        <w:t>39</w:t>
      </w:r>
      <w:r w:rsidR="00A64F90" w:rsidRPr="00A55335">
        <w:fldChar w:fldCharType="end"/>
      </w:r>
      <w:r w:rsidR="00D25042" w:rsidRPr="00A55335">
        <w:t xml:space="preserve"> (sleep latency)</w:t>
      </w:r>
      <w:r w:rsidRPr="00A55335">
        <w:t>.</w:t>
      </w:r>
    </w:p>
    <w:p w14:paraId="521C0036" w14:textId="4CFBA5BB" w:rsidR="00DD505D" w:rsidRPr="00A55335" w:rsidRDefault="00DD505D" w:rsidP="00DD505D">
      <w:pPr>
        <w:pStyle w:val="Caption"/>
      </w:pPr>
      <w:bookmarkStart w:id="251" w:name="_Ref140069451"/>
      <w:bookmarkStart w:id="252" w:name="_Ref151380401"/>
      <w:bookmarkStart w:id="253" w:name="_Toc183520310"/>
      <w:r w:rsidRPr="00A55335">
        <w:lastRenderedPageBreak/>
        <w:t xml:space="preserve">Figure </w:t>
      </w:r>
      <w:bookmarkEnd w:id="251"/>
      <w:r w:rsidRPr="00A55335">
        <w:fldChar w:fldCharType="begin"/>
      </w:r>
      <w:r w:rsidRPr="00A55335">
        <w:instrText xml:space="preserve"> SEQ Figure \* ARABIC </w:instrText>
      </w:r>
      <w:r w:rsidRPr="00A55335">
        <w:fldChar w:fldCharType="separate"/>
      </w:r>
      <w:r w:rsidR="00814B04">
        <w:rPr>
          <w:noProof/>
        </w:rPr>
        <w:t>37</w:t>
      </w:r>
      <w:r w:rsidRPr="00A55335">
        <w:fldChar w:fldCharType="end"/>
      </w:r>
      <w:bookmarkEnd w:id="252"/>
      <w:r w:rsidRPr="00A55335">
        <w:tab/>
        <w:t xml:space="preserve">Forest plot of </w:t>
      </w:r>
      <w:r w:rsidR="009E2198" w:rsidRPr="00A55335">
        <w:t xml:space="preserve">primary </w:t>
      </w:r>
      <w:r w:rsidRPr="00A55335">
        <w:t xml:space="preserve">comparison: Homeopathy vs placebo: Insomnia </w:t>
      </w:r>
      <w:r w:rsidR="003E172B" w:rsidRPr="00A55335">
        <w:t>–</w:t>
      </w:r>
      <w:r w:rsidRPr="00A55335">
        <w:t xml:space="preserve"> Insomnia severity</w:t>
      </w:r>
      <w:bookmarkEnd w:id="253"/>
    </w:p>
    <w:p w14:paraId="3351B178" w14:textId="685CCC58" w:rsidR="00B84F92" w:rsidRPr="00A55335" w:rsidRDefault="0099252B" w:rsidP="00B84F92">
      <w:pPr>
        <w:pStyle w:val="Pic"/>
      </w:pPr>
      <w:r w:rsidRPr="00A55335">
        <w:rPr>
          <w:noProof/>
        </w:rPr>
        <w:drawing>
          <wp:inline distT="0" distB="0" distL="0" distR="0" wp14:anchorId="7D0B57FB" wp14:editId="075BF22C">
            <wp:extent cx="5847907" cy="3670216"/>
            <wp:effectExtent l="0" t="0" r="635" b="6985"/>
            <wp:docPr id="1291837903" name="Picture 1291837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68684" cy="3683256"/>
                    </a:xfrm>
                    <a:prstGeom prst="rect">
                      <a:avLst/>
                    </a:prstGeom>
                    <a:noFill/>
                    <a:ln>
                      <a:noFill/>
                    </a:ln>
                  </pic:spPr>
                </pic:pic>
              </a:graphicData>
            </a:graphic>
          </wp:inline>
        </w:drawing>
      </w:r>
    </w:p>
    <w:p w14:paraId="0DFDC0AE" w14:textId="77777777" w:rsidR="009E2643" w:rsidRPr="00A55335" w:rsidRDefault="009E2643" w:rsidP="009E2643">
      <w:pPr>
        <w:pStyle w:val="TableFigNotes18"/>
      </w:pPr>
    </w:p>
    <w:p w14:paraId="287EC4FF" w14:textId="5B366857" w:rsidR="00347467" w:rsidRPr="00A55335" w:rsidRDefault="00DD505D" w:rsidP="00DD505D">
      <w:pPr>
        <w:pStyle w:val="Caption"/>
      </w:pPr>
      <w:bookmarkStart w:id="254" w:name="_Ref140069454"/>
      <w:bookmarkStart w:id="255" w:name="_Ref151380405"/>
      <w:bookmarkStart w:id="256" w:name="_Toc183520311"/>
      <w:r w:rsidRPr="00A55335">
        <w:t xml:space="preserve">Figure </w:t>
      </w:r>
      <w:bookmarkEnd w:id="254"/>
      <w:r w:rsidRPr="00A55335">
        <w:fldChar w:fldCharType="begin"/>
      </w:r>
      <w:r w:rsidRPr="00A55335">
        <w:instrText xml:space="preserve"> SEQ Figure \* ARABIC </w:instrText>
      </w:r>
      <w:r w:rsidRPr="00A55335">
        <w:fldChar w:fldCharType="separate"/>
      </w:r>
      <w:r w:rsidR="00814B04">
        <w:rPr>
          <w:noProof/>
        </w:rPr>
        <w:t>38</w:t>
      </w:r>
      <w:r w:rsidRPr="00A55335">
        <w:fldChar w:fldCharType="end"/>
      </w:r>
      <w:bookmarkEnd w:id="255"/>
      <w:r w:rsidRPr="00A55335">
        <w:tab/>
        <w:t xml:space="preserve">Forest plot of </w:t>
      </w:r>
      <w:r w:rsidR="009E2198" w:rsidRPr="00A55335">
        <w:t xml:space="preserve">primary </w:t>
      </w:r>
      <w:r w:rsidRPr="00A55335">
        <w:t xml:space="preserve">comparison: Homeopathy vs placebo: Insomnia </w:t>
      </w:r>
      <w:r w:rsidR="003E172B" w:rsidRPr="00A55335">
        <w:t>–</w:t>
      </w:r>
      <w:r w:rsidRPr="00A55335">
        <w:t xml:space="preserve"> Sleep </w:t>
      </w:r>
      <w:r w:rsidR="00590764" w:rsidRPr="00A55335">
        <w:t>duration</w:t>
      </w:r>
      <w:bookmarkEnd w:id="256"/>
    </w:p>
    <w:p w14:paraId="35757965" w14:textId="4A909A5D" w:rsidR="00DD505D" w:rsidRPr="00A55335" w:rsidRDefault="00347467" w:rsidP="00C0172B">
      <w:pPr>
        <w:pStyle w:val="Pic"/>
      </w:pPr>
      <w:r w:rsidRPr="00A55335">
        <w:rPr>
          <w:noProof/>
        </w:rPr>
        <w:drawing>
          <wp:inline distT="0" distB="0" distL="0" distR="0" wp14:anchorId="120206C9" wp14:editId="12310DA0">
            <wp:extent cx="5729714" cy="394462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5360" cy="3962276"/>
                    </a:xfrm>
                    <a:prstGeom prst="rect">
                      <a:avLst/>
                    </a:prstGeom>
                    <a:noFill/>
                    <a:ln>
                      <a:noFill/>
                    </a:ln>
                  </pic:spPr>
                </pic:pic>
              </a:graphicData>
            </a:graphic>
          </wp:inline>
        </w:drawing>
      </w:r>
    </w:p>
    <w:p w14:paraId="4907EB73" w14:textId="77777777" w:rsidR="009E2643" w:rsidRPr="00A55335" w:rsidRDefault="009E2643" w:rsidP="009E2643">
      <w:pPr>
        <w:pStyle w:val="TableFigNotes18"/>
      </w:pPr>
    </w:p>
    <w:p w14:paraId="160B42AB" w14:textId="022B037C" w:rsidR="00DD505D" w:rsidRPr="00A55335" w:rsidRDefault="00DD505D" w:rsidP="00DD505D">
      <w:pPr>
        <w:pStyle w:val="Caption"/>
      </w:pPr>
      <w:bookmarkStart w:id="257" w:name="_Ref140069458"/>
      <w:bookmarkStart w:id="258" w:name="_Ref151380410"/>
      <w:bookmarkStart w:id="259" w:name="_Ref140069461"/>
      <w:bookmarkStart w:id="260" w:name="_Toc183520312"/>
      <w:r w:rsidRPr="00A55335">
        <w:lastRenderedPageBreak/>
        <w:t xml:space="preserve">Figure </w:t>
      </w:r>
      <w:bookmarkEnd w:id="257"/>
      <w:r w:rsidRPr="00A55335">
        <w:fldChar w:fldCharType="begin"/>
      </w:r>
      <w:r w:rsidRPr="00A55335">
        <w:instrText xml:space="preserve"> SEQ Figure \* ARABIC </w:instrText>
      </w:r>
      <w:r w:rsidRPr="00A55335">
        <w:fldChar w:fldCharType="separate"/>
      </w:r>
      <w:r w:rsidR="00814B04">
        <w:rPr>
          <w:noProof/>
        </w:rPr>
        <w:t>39</w:t>
      </w:r>
      <w:r w:rsidRPr="00A55335">
        <w:fldChar w:fldCharType="end"/>
      </w:r>
      <w:bookmarkEnd w:id="258"/>
      <w:r w:rsidRPr="00A55335">
        <w:tab/>
        <w:t xml:space="preserve">Forest plot of </w:t>
      </w:r>
      <w:r w:rsidR="009E2198" w:rsidRPr="00A55335">
        <w:t xml:space="preserve">primary </w:t>
      </w:r>
      <w:r w:rsidRPr="00A55335">
        <w:t xml:space="preserve">comparison: Homeopathy vs placebo: Insomnia </w:t>
      </w:r>
      <w:r w:rsidR="003E172B" w:rsidRPr="00A55335">
        <w:t>–</w:t>
      </w:r>
      <w:r w:rsidRPr="00A55335">
        <w:t xml:space="preserve"> Sleep latency</w:t>
      </w:r>
      <w:bookmarkEnd w:id="259"/>
      <w:bookmarkEnd w:id="260"/>
    </w:p>
    <w:p w14:paraId="2BB2D022" w14:textId="00AB727A" w:rsidR="00B84F92" w:rsidRPr="00A55335" w:rsidRDefault="00B84F92" w:rsidP="00B84F92">
      <w:pPr>
        <w:pStyle w:val="Pic"/>
      </w:pPr>
      <w:r w:rsidRPr="00A55335">
        <w:rPr>
          <w:noProof/>
        </w:rPr>
        <w:drawing>
          <wp:inline distT="0" distB="0" distL="0" distR="0" wp14:anchorId="4C535AC8" wp14:editId="7AAB61BA">
            <wp:extent cx="5955499" cy="3005593"/>
            <wp:effectExtent l="0" t="0" r="7620" b="4445"/>
            <wp:docPr id="2040536149" name="Picture 204053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70176" cy="3013000"/>
                    </a:xfrm>
                    <a:prstGeom prst="rect">
                      <a:avLst/>
                    </a:prstGeom>
                    <a:noFill/>
                    <a:ln>
                      <a:noFill/>
                    </a:ln>
                  </pic:spPr>
                </pic:pic>
              </a:graphicData>
            </a:graphic>
          </wp:inline>
        </w:drawing>
      </w:r>
    </w:p>
    <w:p w14:paraId="71709CDC" w14:textId="77777777" w:rsidR="009E2643" w:rsidRPr="00A55335" w:rsidRDefault="009E2643" w:rsidP="009E2643">
      <w:pPr>
        <w:pStyle w:val="TableFigNotes18"/>
      </w:pPr>
    </w:p>
    <w:p w14:paraId="4FA921DA" w14:textId="268498D0" w:rsidR="006740B3" w:rsidRPr="00A55335" w:rsidRDefault="006740B3" w:rsidP="002456F7">
      <w:pPr>
        <w:pStyle w:val="BodyText"/>
      </w:pPr>
      <w:r w:rsidRPr="00A55335">
        <w:br w:type="page"/>
      </w:r>
    </w:p>
    <w:p w14:paraId="371AF74F" w14:textId="21E939C1" w:rsidR="00DD505D" w:rsidRPr="00A55335" w:rsidRDefault="00DD505D" w:rsidP="00C373A2">
      <w:pPr>
        <w:pStyle w:val="Heading2"/>
      </w:pPr>
      <w:bookmarkStart w:id="261" w:name="_Toc183441351"/>
      <w:r w:rsidRPr="00A55335">
        <w:lastRenderedPageBreak/>
        <w:t xml:space="preserve">Headache </w:t>
      </w:r>
      <w:r w:rsidR="00945C09" w:rsidRPr="00A55335">
        <w:t>disorders</w:t>
      </w:r>
      <w:bookmarkEnd w:id="261"/>
    </w:p>
    <w:p w14:paraId="208E646C" w14:textId="77777777" w:rsidR="00DD505D" w:rsidRPr="00A55335" w:rsidRDefault="00DD505D" w:rsidP="004D433B">
      <w:pPr>
        <w:pStyle w:val="Heading3"/>
      </w:pPr>
      <w:bookmarkStart w:id="262" w:name="_Toc183441352"/>
      <w:r w:rsidRPr="00A55335">
        <w:t>Description of the condition</w:t>
      </w:r>
      <w:bookmarkEnd w:id="262"/>
      <w:r w:rsidRPr="00A55335">
        <w:t xml:space="preserve"> </w:t>
      </w:r>
    </w:p>
    <w:p w14:paraId="11AF4B18" w14:textId="50C6E689" w:rsidR="00DD505D" w:rsidRPr="00A55335" w:rsidRDefault="00DD505D" w:rsidP="00DD505D">
      <w:pPr>
        <w:pStyle w:val="BodyText"/>
      </w:pPr>
      <w:r w:rsidRPr="00A55335">
        <w:t xml:space="preserve">Headache disorders include tension headaches – a dull aching pain throughout the whole head; cluster headaches </w:t>
      </w:r>
      <w:r w:rsidRPr="00A55335">
        <w:softHyphen/>
        <w:t>– piercing pain affecting one side of the head at a time which occur in a series that can last days o</w:t>
      </w:r>
      <w:r w:rsidR="0029385D" w:rsidRPr="00A55335">
        <w:t>r</w:t>
      </w:r>
      <w:r w:rsidRPr="00A55335">
        <w:t xml:space="preserve"> weeks at a time; and migraines – a pulsing or throbbing pain from deep within the head that can last up to days at a time and includes other symptoms such as nausea, vomiting, sensitivity to light and sound, and affected vision </w:t>
      </w:r>
      <w:r w:rsidRPr="00A55335">
        <w:fldChar w:fldCharType="begin"/>
      </w:r>
      <w:r w:rsidR="006952AD">
        <w:instrText xml:space="preserve"> ADDIN EN.CITE &lt;EndNote&gt;&lt;Cite ExcludeYear="1"&gt;&lt;Author&gt;Alexander L&lt;/Author&gt;&lt;RecNum&gt;128&lt;/RecNum&gt;&lt;DisplayText&gt;(189-191)&lt;/DisplayText&gt;&lt;record&gt;&lt;rec-number&gt;128&lt;/rec-number&gt;&lt;foreign-keys&gt;&lt;key app="EN" db-id="t5prptatr9sp0we5exbxt9zz20fwp55tdza9" timestamp="1681970226"&gt;128&lt;/key&gt;&lt;/foreign-keys&gt;&lt;ref-type name="Web Page"&gt;12&lt;/ref-type&gt;&lt;contributors&gt;&lt;authors&gt;&lt;author&gt;Alexander L, Lance J. &lt;/author&gt;&lt;/authors&gt;&lt;/contributors&gt;&lt;titles&gt;&lt;title&gt;Tension type headache&lt;/title&gt;&lt;/titles&gt;&lt;volume&gt;2023&lt;/volume&gt;&lt;number&gt;13 April &lt;/number&gt;&lt;dates&gt;&lt;/dates&gt;&lt;urls&gt;&lt;related-urls&gt;&lt;url&gt;https://headacheaustralia.org.au/tension-headache/&lt;/url&gt;&lt;/related-urls&gt;&lt;/urls&gt;&lt;/record&gt;&lt;/Cite&gt;&lt;Cite ExcludeYear="1"&gt;&lt;Author&gt;Australia&lt;/Author&gt;&lt;RecNum&gt;129&lt;/RecNum&gt;&lt;record&gt;&lt;rec-number&gt;129&lt;/rec-number&gt;&lt;foreign-keys&gt;&lt;key app="EN" db-id="t5prptatr9sp0we5exbxt9zz20fwp55tdza9" timestamp="1681970226"&gt;129&lt;/key&gt;&lt;/foreign-keys&gt;&lt;ref-type name="Web Page"&gt;12&lt;/ref-type&gt;&lt;contributors&gt;&lt;authors&gt;&lt;author&gt;Migraine Australia&lt;/author&gt;&lt;/authors&gt;&lt;/contributors&gt;&lt;titles&gt;&lt;title&gt;Burden of Migraine&lt;/title&gt;&lt;/titles&gt;&lt;volume&gt;2023&lt;/volume&gt;&lt;number&gt;13 April&lt;/number&gt;&lt;dates&gt;&lt;/dates&gt;&lt;urls&gt;&lt;related-urls&gt;&lt;url&gt;https://www.migraine.org.au/burden&lt;/url&gt;&lt;/related-urls&gt;&lt;/urls&gt;&lt;/record&gt;&lt;/Cite&gt;&lt;Cite&gt;&lt;Author&gt;Channel&lt;/Author&gt;&lt;Year&gt;2018&lt;/Year&gt;&lt;RecNum&gt;130&lt;/RecNum&gt;&lt;record&gt;&lt;rec-number&gt;130&lt;/rec-number&gt;&lt;foreign-keys&gt;&lt;key app="EN" db-id="t5prptatr9sp0we5exbxt9zz20fwp55tdza9" timestamp="1681970226"&gt;130&lt;/key&gt;&lt;/foreign-keys&gt;&lt;ref-type name="Web Page"&gt;12&lt;/ref-type&gt;&lt;contributors&gt;&lt;authors&gt;&lt;author&gt;Better Health Channel&lt;/author&gt;&lt;/authors&gt;&lt;/contributors&gt;&lt;titles&gt;&lt;title&gt;Headache&lt;/title&gt;&lt;/titles&gt;&lt;volume&gt;2023&lt;/volume&gt;&lt;number&gt;13 April &lt;/number&gt;&lt;dates&gt;&lt;year&gt;2018&lt;/year&gt;&lt;/dates&gt;&lt;urls&gt;&lt;related-urls&gt;&lt;url&gt;https://www.betterhealth.vic.gov.au/health/ConditionsAndTreatments/headache&lt;/url&gt;&lt;/related-urls&gt;&lt;/urls&gt;&lt;/record&gt;&lt;/Cite&gt;&lt;/EndNote&gt;</w:instrText>
      </w:r>
      <w:r w:rsidRPr="00A55335">
        <w:fldChar w:fldCharType="separate"/>
      </w:r>
      <w:r w:rsidR="00067842">
        <w:rPr>
          <w:noProof/>
        </w:rPr>
        <w:t>(</w:t>
      </w:r>
      <w:hyperlink w:anchor="_ENREF_189" w:tooltip="Alexander L,  #128" w:history="1">
        <w:r w:rsidR="00EC2769">
          <w:rPr>
            <w:noProof/>
          </w:rPr>
          <w:t>189-191</w:t>
        </w:r>
      </w:hyperlink>
      <w:r w:rsidR="00067842">
        <w:rPr>
          <w:noProof/>
        </w:rPr>
        <w:t>)</w:t>
      </w:r>
      <w:r w:rsidRPr="00A55335">
        <w:fldChar w:fldCharType="end"/>
      </w:r>
      <w:r w:rsidRPr="00A55335">
        <w:t xml:space="preserve">. Tension-type headaches can also be accompanied by tightness or tenderness of scalp, neck and shoulder muscles, along with trouble concentrating, depression and anxiety </w:t>
      </w:r>
      <w:r w:rsidRPr="00A55335">
        <w:fldChar w:fldCharType="begin"/>
      </w:r>
      <w:r w:rsidR="006952AD">
        <w:instrText xml:space="preserve"> ADDIN EN.CITE &lt;EndNote&gt;&lt;Cite ExcludeYear="1"&gt;&lt;Author&gt;Alexander L&lt;/Author&gt;&lt;RecNum&gt;128&lt;/RecNum&gt;&lt;DisplayText&gt;(189)&lt;/DisplayText&gt;&lt;record&gt;&lt;rec-number&gt;128&lt;/rec-number&gt;&lt;foreign-keys&gt;&lt;key app="EN" db-id="t5prptatr9sp0we5exbxt9zz20fwp55tdza9" timestamp="1681970226"&gt;128&lt;/key&gt;&lt;/foreign-keys&gt;&lt;ref-type name="Web Page"&gt;12&lt;/ref-type&gt;&lt;contributors&gt;&lt;authors&gt;&lt;author&gt;Alexander L, Lance J. &lt;/author&gt;&lt;/authors&gt;&lt;/contributors&gt;&lt;titles&gt;&lt;title&gt;Tension type headache&lt;/title&gt;&lt;/titles&gt;&lt;volume&gt;2023&lt;/volume&gt;&lt;number&gt;13 April &lt;/number&gt;&lt;dates&gt;&lt;/dates&gt;&lt;urls&gt;&lt;related-urls&gt;&lt;url&gt;https://headacheaustralia.org.au/tension-headache/&lt;/url&gt;&lt;/related-urls&gt;&lt;/urls&gt;&lt;/record&gt;&lt;/Cite&gt;&lt;/EndNote&gt;</w:instrText>
      </w:r>
      <w:r w:rsidRPr="00A55335">
        <w:fldChar w:fldCharType="separate"/>
      </w:r>
      <w:r w:rsidR="00067842">
        <w:rPr>
          <w:noProof/>
        </w:rPr>
        <w:t>(</w:t>
      </w:r>
      <w:hyperlink w:anchor="_ENREF_189" w:tooltip="Alexander L,  #128" w:history="1">
        <w:r w:rsidR="00EC2769">
          <w:rPr>
            <w:noProof/>
          </w:rPr>
          <w:t>189</w:t>
        </w:r>
      </w:hyperlink>
      <w:r w:rsidR="00067842">
        <w:rPr>
          <w:noProof/>
        </w:rPr>
        <w:t>)</w:t>
      </w:r>
      <w:r w:rsidRPr="00A55335">
        <w:fldChar w:fldCharType="end"/>
      </w:r>
      <w:r w:rsidRPr="00A55335">
        <w:t xml:space="preserve">. While it is unknown what exactly causes headaches and migraines, episodes are thought to be triggered by diet, stress, sleep and hormonal influences among others </w:t>
      </w:r>
      <w:r w:rsidRPr="00A55335">
        <w:fldChar w:fldCharType="begin"/>
      </w:r>
      <w:r w:rsidR="006952AD">
        <w:instrText xml:space="preserve"> ADDIN EN.CITE &lt;EndNote&gt;&lt;Cite ExcludeYear="1"&gt;&lt;Author&gt;Australia&lt;/Author&gt;&lt;RecNum&gt;129&lt;/RecNum&gt;&lt;DisplayText&gt;(190, 191)&lt;/DisplayText&gt;&lt;record&gt;&lt;rec-number&gt;129&lt;/rec-number&gt;&lt;foreign-keys&gt;&lt;key app="EN" db-id="t5prptatr9sp0we5exbxt9zz20fwp55tdza9" timestamp="1681970226"&gt;129&lt;/key&gt;&lt;/foreign-keys&gt;&lt;ref-type name="Web Page"&gt;12&lt;/ref-type&gt;&lt;contributors&gt;&lt;authors&gt;&lt;author&gt;Migraine Australia&lt;/author&gt;&lt;/authors&gt;&lt;/contributors&gt;&lt;titles&gt;&lt;title&gt;Burden of Migraine&lt;/title&gt;&lt;/titles&gt;&lt;volume&gt;2023&lt;/volume&gt;&lt;number&gt;13 April&lt;/number&gt;&lt;dates&gt;&lt;/dates&gt;&lt;urls&gt;&lt;related-urls&gt;&lt;url&gt;https://www.migraine.org.au/burden&lt;/url&gt;&lt;/related-urls&gt;&lt;/urls&gt;&lt;/record&gt;&lt;/Cite&gt;&lt;Cite&gt;&lt;Author&gt;Channel&lt;/Author&gt;&lt;Year&gt;2018&lt;/Year&gt;&lt;RecNum&gt;130&lt;/RecNum&gt;&lt;record&gt;&lt;rec-number&gt;130&lt;/rec-number&gt;&lt;foreign-keys&gt;&lt;key app="EN" db-id="t5prptatr9sp0we5exbxt9zz20fwp55tdza9" timestamp="1681970226"&gt;130&lt;/key&gt;&lt;/foreign-keys&gt;&lt;ref-type name="Web Page"&gt;12&lt;/ref-type&gt;&lt;contributors&gt;&lt;authors&gt;&lt;author&gt;Better Health Channel&lt;/author&gt;&lt;/authors&gt;&lt;/contributors&gt;&lt;titles&gt;&lt;title&gt;Headache&lt;/title&gt;&lt;/titles&gt;&lt;volume&gt;2023&lt;/volume&gt;&lt;number&gt;13 April &lt;/number&gt;&lt;dates&gt;&lt;year&gt;2018&lt;/year&gt;&lt;/dates&gt;&lt;urls&gt;&lt;related-urls&gt;&lt;url&gt;https://www.betterhealth.vic.gov.au/health/ConditionsAndTreatments/headache&lt;/url&gt;&lt;/related-urls&gt;&lt;/urls&gt;&lt;/record&gt;&lt;/Cite&gt;&lt;/EndNote&gt;</w:instrText>
      </w:r>
      <w:r w:rsidRPr="00A55335">
        <w:fldChar w:fldCharType="separate"/>
      </w:r>
      <w:r w:rsidR="00067842">
        <w:rPr>
          <w:noProof/>
        </w:rPr>
        <w:t>(</w:t>
      </w:r>
      <w:hyperlink w:anchor="_ENREF_190" w:tooltip="Australia,  #129" w:history="1">
        <w:r w:rsidR="00EC2769">
          <w:rPr>
            <w:noProof/>
          </w:rPr>
          <w:t>190</w:t>
        </w:r>
      </w:hyperlink>
      <w:r w:rsidR="00067842">
        <w:rPr>
          <w:noProof/>
        </w:rPr>
        <w:t xml:space="preserve">, </w:t>
      </w:r>
      <w:hyperlink w:anchor="_ENREF_191" w:tooltip="Channel, 2018 #130" w:history="1">
        <w:r w:rsidR="00EC2769">
          <w:rPr>
            <w:noProof/>
          </w:rPr>
          <w:t>191</w:t>
        </w:r>
      </w:hyperlink>
      <w:r w:rsidR="00067842">
        <w:rPr>
          <w:noProof/>
        </w:rPr>
        <w:t>)</w:t>
      </w:r>
      <w:r w:rsidRPr="00A55335">
        <w:fldChar w:fldCharType="end"/>
      </w:r>
      <w:r w:rsidR="005172D4" w:rsidRPr="00A55335">
        <w:t>.</w:t>
      </w:r>
    </w:p>
    <w:p w14:paraId="0CE0929E" w14:textId="0FA64F51" w:rsidR="00DD505D" w:rsidRPr="00A55335" w:rsidRDefault="00DD505D" w:rsidP="00DD505D">
      <w:pPr>
        <w:pStyle w:val="BodyText"/>
      </w:pPr>
      <w:r w:rsidRPr="00A55335">
        <w:t xml:space="preserve">Headache disorders are one of the most common health-related conditions in Australia, imposing a significant burden to individuals, society and the economy </w:t>
      </w:r>
      <w:r w:rsidRPr="00A55335">
        <w:fldChar w:fldCharType="begin">
          <w:fldData xml:space="preserve">PEVuZE5vdGU+PENpdGU+PEF1dGhvcj5BdXN0cmFsaWE8L0F1dGhvcj48UmVjTnVtPjEyOTwvUmVj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=
</w:fldData>
        </w:fldChar>
      </w:r>
      <w:r w:rsidR="006952AD">
        <w:instrText xml:space="preserve"> ADDIN EN.CITE </w:instrText>
      </w:r>
      <w:r w:rsidR="006952AD">
        <w:fldChar w:fldCharType="begin">
          <w:fldData xml:space="preserve">PEVuZE5vdGU+PENpdGU+PEF1dGhvcj5BdXN0cmFsaWE8L0F1dGhvcj48UmVjTnVtPjEyOTwvUmVj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=
</w:fldData>
        </w:fldChar>
      </w:r>
      <w:r w:rsidR="006952AD">
        <w:instrText xml:space="preserve"> ADDIN EN.CITE.DATA </w:instrText>
      </w:r>
      <w:r w:rsidR="006952AD">
        <w:fldChar w:fldCharType="end"/>
      </w:r>
      <w:r w:rsidRPr="00A55335">
        <w:fldChar w:fldCharType="separate"/>
      </w:r>
      <w:r w:rsidR="00067842">
        <w:rPr>
          <w:noProof/>
        </w:rPr>
        <w:t>(</w:t>
      </w:r>
      <w:hyperlink w:anchor="_ENREF_190" w:tooltip="Australia,  #129" w:history="1">
        <w:r w:rsidR="00EC2769">
          <w:rPr>
            <w:noProof/>
          </w:rPr>
          <w:t>190</w:t>
        </w:r>
      </w:hyperlink>
      <w:r w:rsidR="00067842">
        <w:rPr>
          <w:noProof/>
        </w:rPr>
        <w:t xml:space="preserve">, </w:t>
      </w:r>
      <w:hyperlink w:anchor="_ENREF_192" w:tooltip="Tu, 2020 #134" w:history="1">
        <w:r w:rsidR="00EC2769">
          <w:rPr>
            <w:noProof/>
          </w:rPr>
          <w:t>192</w:t>
        </w:r>
      </w:hyperlink>
      <w:r w:rsidR="00067842">
        <w:rPr>
          <w:noProof/>
        </w:rPr>
        <w:t>)</w:t>
      </w:r>
      <w:r w:rsidRPr="00A55335">
        <w:fldChar w:fldCharType="end"/>
      </w:r>
      <w:r w:rsidRPr="00A55335">
        <w:t xml:space="preserve">. International studies show that 36% of </w:t>
      </w:r>
      <w:r w:rsidR="004F45D1" w:rsidRPr="00A55335">
        <w:t xml:space="preserve">males </w:t>
      </w:r>
      <w:r w:rsidRPr="00A55335">
        <w:t xml:space="preserve">and 42% of </w:t>
      </w:r>
      <w:r w:rsidR="004F45D1" w:rsidRPr="00A55335">
        <w:t>females</w:t>
      </w:r>
      <w:r w:rsidRPr="00A55335">
        <w:t xml:space="preserve"> suffer tension-type headaches, which translates to around 7 million Australians </w:t>
      </w:r>
      <w:r w:rsidRPr="00A55335">
        <w:fldChar w:fldCharType="begin"/>
      </w:r>
      <w:r w:rsidR="006952AD">
        <w:instrText xml:space="preserve"> ADDIN EN.CITE &lt;EndNote&gt;&lt;Cite&gt;&lt;Author&gt;Alexander L&lt;/Author&gt;&lt;RecNum&gt;128&lt;/RecNum&gt;&lt;DisplayText&gt;(189)&lt;/DisplayText&gt;&lt;record&gt;&lt;rec-number&gt;128&lt;/rec-number&gt;&lt;foreign-keys&gt;&lt;key app="EN" db-id="t5prptatr9sp0we5exbxt9zz20fwp55tdza9" timestamp="1681970226"&gt;128&lt;/key&gt;&lt;/foreign-keys&gt;&lt;ref-type name="Web Page"&gt;12&lt;/ref-type&gt;&lt;contributors&gt;&lt;authors&gt;&lt;author&gt;Alexander L, Lance J. &lt;/author&gt;&lt;/authors&gt;&lt;/contributors&gt;&lt;titles&gt;&lt;title&gt;Tension type headache&lt;/title&gt;&lt;/titles&gt;&lt;volume&gt;2023&lt;/volume&gt;&lt;number&gt;13 April &lt;/number&gt;&lt;dates&gt;&lt;/dates&gt;&lt;urls&gt;&lt;related-urls&gt;&lt;url&gt;https://headacheaustralia.org.au/tension-headache/&lt;/url&gt;&lt;/related-urls&gt;&lt;/urls&gt;&lt;/record&gt;&lt;/Cite&gt;&lt;/EndNote&gt;</w:instrText>
      </w:r>
      <w:r w:rsidRPr="00A55335">
        <w:fldChar w:fldCharType="separate"/>
      </w:r>
      <w:r w:rsidR="00067842">
        <w:rPr>
          <w:noProof/>
        </w:rPr>
        <w:t>(</w:t>
      </w:r>
      <w:hyperlink w:anchor="_ENREF_189" w:tooltip="Alexander L,  #128" w:history="1">
        <w:r w:rsidR="00EC2769">
          <w:rPr>
            <w:noProof/>
          </w:rPr>
          <w:t>189</w:t>
        </w:r>
      </w:hyperlink>
      <w:r w:rsidR="00067842">
        <w:rPr>
          <w:noProof/>
        </w:rPr>
        <w:t>)</w:t>
      </w:r>
      <w:r w:rsidRPr="00A55335">
        <w:fldChar w:fldCharType="end"/>
      </w:r>
      <w:r w:rsidRPr="00A55335">
        <w:t xml:space="preserve">. For migraines, an estimated 1.4 to 4.9 million people in Australia are affected </w:t>
      </w:r>
      <w:r w:rsidRPr="00A55335">
        <w:fldChar w:fldCharType="begin"/>
      </w:r>
      <w:r w:rsidR="006952AD">
        <w:instrText xml:space="preserve"> ADDIN EN.CITE &lt;EndNote&gt;&lt;Cite&gt;&lt;Author&gt;Australia&lt;/Author&gt;&lt;RecNum&gt;131&lt;/RecNum&gt;&lt;DisplayText&gt;(193, 194)&lt;/DisplayText&gt;&lt;record&gt;&lt;rec-number&gt;131&lt;/rec-number&gt;&lt;foreign-keys&gt;&lt;key app="EN" db-id="t5prptatr9sp0we5exbxt9zz20fwp55tdza9" timestamp="1681970226"&gt;131&lt;/key&gt;&lt;/foreign-keys&gt;&lt;ref-type name="Web Page"&gt;12&lt;/ref-type&gt;&lt;contributors&gt;&lt;authors&gt;&lt;author&gt;Migraine and Headache Australia &lt;/author&gt;&lt;/authors&gt;&lt;/contributors&gt;&lt;titles&gt;&lt;title&gt;Migraine&lt;/title&gt;&lt;/titles&gt;&lt;volume&gt;2023&lt;/volume&gt;&lt;number&gt;13 April&lt;/number&gt;&lt;dates&gt;&lt;/dates&gt;&lt;urls&gt;&lt;related-urls&gt;&lt;url&gt;https://headacheaustralia.org.au/migraine/#.&lt;/url&gt;&lt;/related-urls&gt;&lt;/urls&gt;&lt;/record&gt;&lt;/Cite&gt;&lt;Cite&gt;&lt;Author&gt;Australian Bureau of Statistics&lt;/Author&gt;&lt;Year&gt;2018&lt;/Year&gt;&lt;RecNum&gt;411&lt;/RecNum&gt;&lt;record&gt;&lt;rec-number&gt;411&lt;/rec-number&gt;&lt;foreign-keys&gt;&lt;key app="EN" db-id="t5prptatr9sp0we5exbxt9zz20fwp55tdza9" timestamp="1700774034"&gt;411&lt;/key&gt;&lt;/foreign-keys&gt;&lt;ref-type name="Electronic Article"&gt;43&lt;/ref-type&gt;&lt;contributors&gt;&lt;authors&gt;&lt;author&gt;Australian Bureau of Statistics,&lt;/author&gt;&lt;/authors&gt;&lt;/contributors&gt;&lt;titles&gt;&lt;title&gt;National Health Survey: First results 2017-18  &lt;/title&gt;&lt;/titles&gt;&lt;dates&gt;&lt;year&gt;2018&lt;/year&gt;&lt;pub-dates&gt;&lt;date&gt;13/07/2023&lt;/date&gt;&lt;/pub-dates&gt;&lt;/dates&gt;&lt;pub-location&gt;Canberra&lt;/pub-location&gt;&lt;urls&gt;&lt;related-urls&gt;&lt;url&gt;https://www.abs.gov.au/statistics/health/health-conditions-and-risks/national-health-survey-first-results/latest-release.&lt;/url&gt;&lt;/related-urls&gt;&lt;/urls&gt;&lt;/record&gt;&lt;/Cite&gt;&lt;/EndNote&gt;</w:instrText>
      </w:r>
      <w:r w:rsidRPr="00A55335">
        <w:fldChar w:fldCharType="separate"/>
      </w:r>
      <w:r w:rsidR="00067842">
        <w:rPr>
          <w:noProof/>
        </w:rPr>
        <w:t>(</w:t>
      </w:r>
      <w:hyperlink w:anchor="_ENREF_193" w:tooltip="Australia,  #131" w:history="1">
        <w:r w:rsidR="00EC2769">
          <w:rPr>
            <w:noProof/>
          </w:rPr>
          <w:t>193</w:t>
        </w:r>
      </w:hyperlink>
      <w:r w:rsidR="00067842">
        <w:rPr>
          <w:noProof/>
        </w:rPr>
        <w:t xml:space="preserve">, </w:t>
      </w:r>
      <w:hyperlink w:anchor="_ENREF_194" w:tooltip="Australian Bureau of Statistics, 2018 #411" w:history="1">
        <w:r w:rsidR="00EC2769">
          <w:rPr>
            <w:noProof/>
          </w:rPr>
          <w:t>194</w:t>
        </w:r>
      </w:hyperlink>
      <w:r w:rsidR="00067842">
        <w:rPr>
          <w:noProof/>
        </w:rPr>
        <w:t>)</w:t>
      </w:r>
      <w:r w:rsidRPr="00A55335">
        <w:fldChar w:fldCharType="end"/>
      </w:r>
      <w:r w:rsidRPr="00A55335">
        <w:t xml:space="preserve">. Onset usually begins in teenage years, with prevalence declining after one’s 40s. </w:t>
      </w:r>
      <w:r w:rsidR="004F45D1" w:rsidRPr="00A55335">
        <w:t>Females</w:t>
      </w:r>
      <w:r w:rsidRPr="00A55335">
        <w:t xml:space="preserve"> are approximately 3 times more </w:t>
      </w:r>
      <w:r w:rsidR="003A0A5E" w:rsidRPr="00A55335">
        <w:t>likely</w:t>
      </w:r>
      <w:r w:rsidRPr="00A55335">
        <w:t xml:space="preserve"> than men to be affected by migraines, being the 14th largest contributor to non-fatal disease burden for </w:t>
      </w:r>
      <w:r w:rsidR="004F45D1" w:rsidRPr="00A55335">
        <w:t>females</w:t>
      </w:r>
      <w:r w:rsidRPr="00A55335">
        <w:t xml:space="preserve"> in Australia </w:t>
      </w:r>
      <w:r w:rsidRPr="00A55335">
        <w:fldChar w:fldCharType="begin"/>
      </w:r>
      <w:r w:rsidR="006952AD">
        <w:instrText xml:space="preserve"> ADDIN EN.CITE &lt;EndNote&gt;&lt;Cite&gt;&lt;Author&gt;Australian Institute of Health and Welfare&lt;/Author&gt;&lt;Year&gt;2019&lt;/Year&gt;&lt;RecNum&gt;133&lt;/RecNum&gt;&lt;DisplayText&gt;(124)&lt;/DisplayText&gt;&lt;record&gt;&lt;rec-number&gt;133&lt;/rec-number&gt;&lt;foreign-keys&gt;&lt;key app="EN" db-id="t5prptatr9sp0we5exbxt9zz20fwp55tdza9" timestamp="1681970226"&gt;133&lt;/key&gt;&lt;/foreign-keys&gt;&lt;ref-type name="Electronic Article"&gt;43&lt;/ref-type&gt;&lt;contributors&gt;&lt;authors&gt;&lt;author&gt;Australian Institute of Health and Welfare,&lt;/author&gt;&lt;/authors&gt;&lt;/contributors&gt;&lt;titles&gt;&lt;title&gt;Australian Burden of Disease Study: impact and causes of illness and death in Australia 2015&lt;/title&gt;&lt;/titles&gt;&lt;number&gt;19: BOD 22&lt;/number&gt;&lt;dates&gt;&lt;year&gt;2019&lt;/year&gt;&lt;/dates&gt;&lt;pub-location&gt;Canberra: AIHW &lt;/pub-location&gt;&lt;urls&gt;&lt;related-urls&gt;&lt;url&gt;https://www.aihw.gov.au/reports/burden-of-disease/burden-disease-study-illness-death-2015&lt;/url&gt;&lt;/related-urls&gt;&lt;/urls&gt;&lt;electronic-resource-num&gt;10.25816/5ebca2a4fa7dc&lt;/electronic-resource-num&gt;&lt;/record&gt;&lt;/Cite&gt;&lt;/EndNote&gt;</w:instrText>
      </w:r>
      <w:r w:rsidRPr="00A55335">
        <w:fldChar w:fldCharType="separate"/>
      </w:r>
      <w:r w:rsidR="00D04C69">
        <w:rPr>
          <w:noProof/>
        </w:rPr>
        <w:t>(</w:t>
      </w:r>
      <w:hyperlink w:anchor="_ENREF_124" w:tooltip="Australian Institute of Health and Welfare, 2019 #133" w:history="1">
        <w:r w:rsidR="00EC2769">
          <w:rPr>
            <w:noProof/>
          </w:rPr>
          <w:t>124</w:t>
        </w:r>
      </w:hyperlink>
      <w:r w:rsidR="00D04C69">
        <w:rPr>
          <w:noProof/>
        </w:rPr>
        <w:t>)</w:t>
      </w:r>
      <w:r w:rsidRPr="00A55335">
        <w:fldChar w:fldCharType="end"/>
      </w:r>
      <w:r w:rsidRPr="00A55335">
        <w:t>. Migraines impair</w:t>
      </w:r>
      <w:r w:rsidR="00E979B6" w:rsidRPr="00A55335">
        <w:t xml:space="preserve"> </w:t>
      </w:r>
      <w:r w:rsidRPr="00A55335">
        <w:t>individuals</w:t>
      </w:r>
      <w:r w:rsidR="00594863" w:rsidRPr="00A55335">
        <w:t>’</w:t>
      </w:r>
      <w:r w:rsidRPr="00A55335">
        <w:t xml:space="preserve"> capacity to function in work and school environments</w:t>
      </w:r>
      <w:r w:rsidR="00833167" w:rsidRPr="00A55335">
        <w:t xml:space="preserve">, with </w:t>
      </w:r>
      <w:r w:rsidRPr="00A55335">
        <w:t>the health and productivity burden of migraine in Australia estimated to lead to a loss of 2</w:t>
      </w:r>
      <w:r w:rsidR="00833167" w:rsidRPr="00A55335">
        <w:t>,</w:t>
      </w:r>
      <w:r w:rsidRPr="00A55335">
        <w:t>577</w:t>
      </w:r>
      <w:r w:rsidR="00833167" w:rsidRPr="00A55335">
        <w:t>,</w:t>
      </w:r>
      <w:r w:rsidRPr="00A55335">
        <w:t xml:space="preserve">783 </w:t>
      </w:r>
      <w:r w:rsidR="00695657" w:rsidRPr="00A55335">
        <w:t>quality adjusted life years</w:t>
      </w:r>
      <w:r w:rsidR="00695657" w:rsidRPr="00A55335" w:rsidDel="00695657">
        <w:t xml:space="preserve"> </w:t>
      </w:r>
      <w:r w:rsidR="00FC7DBA" w:rsidRPr="00A55335">
        <w:t xml:space="preserve">between </w:t>
      </w:r>
      <w:r w:rsidR="00833167" w:rsidRPr="00A55335">
        <w:t>2020</w:t>
      </w:r>
      <w:r w:rsidR="00FC7DBA" w:rsidRPr="00A55335">
        <w:t xml:space="preserve"> and </w:t>
      </w:r>
      <w:r w:rsidR="00833167" w:rsidRPr="00A55335">
        <w:t xml:space="preserve">2030 </w:t>
      </w:r>
      <w:r w:rsidRPr="00A55335">
        <w:fldChar w:fldCharType="begin">
          <w:fldData xml:space="preserve">PEVuZE5vdGU+PENpdGU+PEF1dGhvcj5UdTwvQXV0aG9yPjxZZWFyPjIwMjA8L1llYXI+PFJlY051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</w:fldData>
        </w:fldChar>
      </w:r>
      <w:r w:rsidR="006952AD">
        <w:instrText xml:space="preserve"> ADDIN EN.CITE </w:instrText>
      </w:r>
      <w:r w:rsidR="006952AD">
        <w:fldChar w:fldCharType="begin">
          <w:fldData xml:space="preserve">PEVuZE5vdGU+PENpdGU+PEF1dGhvcj5UdTwvQXV0aG9yPjxZZWFyPjIwMjA8L1llYXI+PFJlY051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</w:fldData>
        </w:fldChar>
      </w:r>
      <w:r w:rsidR="006952AD">
        <w:instrText xml:space="preserve"> ADDIN EN.CITE.DATA </w:instrText>
      </w:r>
      <w:r w:rsidR="006952AD">
        <w:fldChar w:fldCharType="end"/>
      </w:r>
      <w:r w:rsidRPr="00A55335">
        <w:fldChar w:fldCharType="separate"/>
      </w:r>
      <w:r w:rsidR="00067842">
        <w:rPr>
          <w:noProof/>
        </w:rPr>
        <w:t>(</w:t>
      </w:r>
      <w:hyperlink w:anchor="_ENREF_192" w:tooltip="Tu, 2020 #134" w:history="1">
        <w:r w:rsidR="00EC2769">
          <w:rPr>
            <w:noProof/>
          </w:rPr>
          <w:t>192</w:t>
        </w:r>
      </w:hyperlink>
      <w:r w:rsidR="00067842">
        <w:rPr>
          <w:noProof/>
        </w:rPr>
        <w:t>)</w:t>
      </w:r>
      <w:r w:rsidRPr="00A55335">
        <w:fldChar w:fldCharType="end"/>
      </w:r>
      <w:r w:rsidRPr="00A55335">
        <w:t xml:space="preserve">. </w:t>
      </w:r>
    </w:p>
    <w:p w14:paraId="326EB44F" w14:textId="7DB9384E" w:rsidR="00DD505D" w:rsidRPr="00A55335" w:rsidRDefault="00DD505D" w:rsidP="00DD505D">
      <w:pPr>
        <w:pStyle w:val="BodyText"/>
      </w:pPr>
      <w:r w:rsidRPr="00A55335">
        <w:t xml:space="preserve">Effective management of headaches and migraines includes both acute and preventative treatments to reduce the frequency of attacks. Treatments include pain relief medication, avoiding trigger factors, exercise, and relaxation techniques </w:t>
      </w:r>
      <w:r w:rsidRPr="00A55335">
        <w:fldChar w:fldCharType="begin"/>
      </w:r>
      <w:r w:rsidR="006952AD">
        <w:instrText xml:space="preserve"> ADDIN EN.CITE &lt;EndNote&gt;&lt;Cite&gt;&lt;Author&gt;Australia&lt;/Author&gt;&lt;RecNum&gt;131&lt;/RecNum&gt;&lt;DisplayText&gt;(191, 193)&lt;/DisplayText&gt;&lt;record&gt;&lt;rec-number&gt;131&lt;/rec-number&gt;&lt;foreign-keys&gt;&lt;key app="EN" db-id="t5prptatr9sp0we5exbxt9zz20fwp55tdza9" timestamp="1681970226"&gt;131&lt;/key&gt;&lt;/foreign-keys&gt;&lt;ref-type name="Web Page"&gt;12&lt;/ref-type&gt;&lt;contributors&gt;&lt;authors&gt;&lt;author&gt;Migraine and Headache Australia &lt;/author&gt;&lt;/authors&gt;&lt;/contributors&gt;&lt;titles&gt;&lt;title&gt;Migraine&lt;/title&gt;&lt;/titles&gt;&lt;volume&gt;2023&lt;/volume&gt;&lt;number&gt;13 April&lt;/number&gt;&lt;dates&gt;&lt;/dates&gt;&lt;urls&gt;&lt;related-urls&gt;&lt;url&gt;https://headacheaustralia.org.au/migraine/#.&lt;/url&gt;&lt;/related-urls&gt;&lt;/urls&gt;&lt;/record&gt;&lt;/Cite&gt;&lt;Cite&gt;&lt;Author&gt;Channel&lt;/Author&gt;&lt;Year&gt;2018&lt;/Year&gt;&lt;RecNum&gt;130&lt;/RecNum&gt;&lt;record&gt;&lt;rec-number&gt;130&lt;/rec-number&gt;&lt;foreign-keys&gt;&lt;key app="EN" db-id="t5prptatr9sp0we5exbxt9zz20fwp55tdza9" timestamp="1681970226"&gt;130&lt;/key&gt;&lt;/foreign-keys&gt;&lt;ref-type name="Web Page"&gt;12&lt;/ref-type&gt;&lt;contributors&gt;&lt;authors&gt;&lt;author&gt;Better Health Channel&lt;/author&gt;&lt;/authors&gt;&lt;/contributors&gt;&lt;titles&gt;&lt;title&gt;Headache&lt;/title&gt;&lt;/titles&gt;&lt;volume&gt;2023&lt;/volume&gt;&lt;number&gt;13 April &lt;/number&gt;&lt;dates&gt;&lt;year&gt;2018&lt;/year&gt;&lt;/dates&gt;&lt;urls&gt;&lt;related-urls&gt;&lt;url&gt;https://www.betterhealth.vic.gov.au/health/ConditionsAndTreatments/headache&lt;/url&gt;&lt;/related-urls&gt;&lt;/urls&gt;&lt;/record&gt;&lt;/Cite&gt;&lt;/EndNote&gt;</w:instrText>
      </w:r>
      <w:r w:rsidRPr="00A55335">
        <w:fldChar w:fldCharType="separate"/>
      </w:r>
      <w:r w:rsidR="00067842">
        <w:rPr>
          <w:noProof/>
        </w:rPr>
        <w:t>(</w:t>
      </w:r>
      <w:hyperlink w:anchor="_ENREF_191" w:tooltip="Channel, 2018 #130" w:history="1">
        <w:r w:rsidR="00EC2769">
          <w:rPr>
            <w:noProof/>
          </w:rPr>
          <w:t>191</w:t>
        </w:r>
      </w:hyperlink>
      <w:r w:rsidR="00067842">
        <w:rPr>
          <w:noProof/>
        </w:rPr>
        <w:t xml:space="preserve">, </w:t>
      </w:r>
      <w:hyperlink w:anchor="_ENREF_193" w:tooltip="Australia,  #131" w:history="1">
        <w:r w:rsidR="00EC2769">
          <w:rPr>
            <w:noProof/>
          </w:rPr>
          <w:t>193</w:t>
        </w:r>
      </w:hyperlink>
      <w:r w:rsidR="00067842">
        <w:rPr>
          <w:noProof/>
        </w:rPr>
        <w:t>)</w:t>
      </w:r>
      <w:r w:rsidRPr="00A55335">
        <w:fldChar w:fldCharType="end"/>
      </w:r>
      <w:r w:rsidRPr="00A55335">
        <w:t xml:space="preserve">. </w:t>
      </w:r>
      <w:r w:rsidR="000E15E0" w:rsidRPr="00A55335">
        <w:t>Complementary</w:t>
      </w:r>
      <w:r w:rsidRPr="00A55335">
        <w:t xml:space="preserve"> treatments </w:t>
      </w:r>
      <w:r w:rsidR="00513FF4">
        <w:t xml:space="preserve">thought to assist with </w:t>
      </w:r>
      <w:r w:rsidR="00947AF6">
        <w:t xml:space="preserve">headaches and </w:t>
      </w:r>
      <w:r w:rsidR="00097157">
        <w:t>migraines</w:t>
      </w:r>
      <w:r w:rsidR="00947AF6">
        <w:t xml:space="preserve"> </w:t>
      </w:r>
      <w:r w:rsidRPr="00A55335">
        <w:t xml:space="preserve">include </w:t>
      </w:r>
      <w:r w:rsidR="000E15E0" w:rsidRPr="00A55335">
        <w:t xml:space="preserve">homeopathy, </w:t>
      </w:r>
      <w:r w:rsidRPr="00A55335">
        <w:t xml:space="preserve">aromatherapy, deep breathing, hypnotherapy, biofeedback, yoga, Tai Chi and neck and shoulder massage </w:t>
      </w:r>
      <w:r w:rsidRPr="00A55335">
        <w:fldChar w:fldCharType="begin"/>
      </w:r>
      <w:r w:rsidR="006952AD">
        <w:instrText xml:space="preserve"> ADDIN EN.CITE &lt;EndNote&gt;&lt;Cite&gt;&lt;Author&gt;Australia&lt;/Author&gt;&lt;RecNum&gt;131&lt;/RecNum&gt;&lt;DisplayText&gt;(191, 193)&lt;/DisplayText&gt;&lt;record&gt;&lt;rec-number&gt;131&lt;/rec-number&gt;&lt;foreign-keys&gt;&lt;key app="EN" db-id="t5prptatr9sp0we5exbxt9zz20fwp55tdza9" timestamp="1681970226"&gt;131&lt;/key&gt;&lt;/foreign-keys&gt;&lt;ref-type name="Web Page"&gt;12&lt;/ref-type&gt;&lt;contributors&gt;&lt;authors&gt;&lt;author&gt;Migraine and Headache Australia &lt;/author&gt;&lt;/authors&gt;&lt;/contributors&gt;&lt;titles&gt;&lt;title&gt;Migraine&lt;/title&gt;&lt;/titles&gt;&lt;volume&gt;2023&lt;/volume&gt;&lt;number&gt;13 April&lt;/number&gt;&lt;dates&gt;&lt;/dates&gt;&lt;urls&gt;&lt;related-urls&gt;&lt;url&gt;https://headacheaustralia.org.au/migraine/#.&lt;/url&gt;&lt;/related-urls&gt;&lt;/urls&gt;&lt;/record&gt;&lt;/Cite&gt;&lt;Cite&gt;&lt;Author&gt;Channel&lt;/Author&gt;&lt;Year&gt;2018&lt;/Year&gt;&lt;RecNum&gt;130&lt;/RecNum&gt;&lt;record&gt;&lt;rec-number&gt;130&lt;/rec-number&gt;&lt;foreign-keys&gt;&lt;key app="EN" db-id="t5prptatr9sp0we5exbxt9zz20fwp55tdza9" timestamp="1681970226"&gt;130&lt;/key&gt;&lt;/foreign-keys&gt;&lt;ref-type name="Web Page"&gt;12&lt;/ref-type&gt;&lt;contributors&gt;&lt;authors&gt;&lt;author&gt;Better Health Channel&lt;/author&gt;&lt;/authors&gt;&lt;/contributors&gt;&lt;titles&gt;&lt;title&gt;Headache&lt;/title&gt;&lt;/titles&gt;&lt;volume&gt;2023&lt;/volume&gt;&lt;number&gt;13 April &lt;/number&gt;&lt;dates&gt;&lt;year&gt;2018&lt;/year&gt;&lt;/dates&gt;&lt;urls&gt;&lt;related-urls&gt;&lt;url&gt;https://www.betterhealth.vic.gov.au/health/ConditionsAndTreatments/headache&lt;/url&gt;&lt;/related-urls&gt;&lt;/urls&gt;&lt;/record&gt;&lt;/Cite&gt;&lt;/EndNote&gt;</w:instrText>
      </w:r>
      <w:r w:rsidRPr="00A55335">
        <w:fldChar w:fldCharType="separate"/>
      </w:r>
      <w:r w:rsidR="00067842">
        <w:rPr>
          <w:noProof/>
        </w:rPr>
        <w:t>(</w:t>
      </w:r>
      <w:hyperlink w:anchor="_ENREF_191" w:tooltip="Channel, 2018 #130" w:history="1">
        <w:r w:rsidR="00EC2769">
          <w:rPr>
            <w:noProof/>
          </w:rPr>
          <w:t>191</w:t>
        </w:r>
      </w:hyperlink>
      <w:r w:rsidR="00067842">
        <w:rPr>
          <w:noProof/>
        </w:rPr>
        <w:t xml:space="preserve">, </w:t>
      </w:r>
      <w:hyperlink w:anchor="_ENREF_193" w:tooltip="Australia,  #131" w:history="1">
        <w:r w:rsidR="00EC2769">
          <w:rPr>
            <w:noProof/>
          </w:rPr>
          <w:t>193</w:t>
        </w:r>
      </w:hyperlink>
      <w:r w:rsidR="00067842">
        <w:rPr>
          <w:noProof/>
        </w:rPr>
        <w:t>)</w:t>
      </w:r>
      <w:r w:rsidRPr="00A55335">
        <w:fldChar w:fldCharType="end"/>
      </w:r>
      <w:r w:rsidRPr="00A55335">
        <w:t xml:space="preserve">. </w:t>
      </w:r>
    </w:p>
    <w:p w14:paraId="5C0807A6" w14:textId="77777777" w:rsidR="00DD505D" w:rsidRPr="00A55335" w:rsidRDefault="00DD505D" w:rsidP="004D433B">
      <w:pPr>
        <w:pStyle w:val="Heading3"/>
      </w:pPr>
      <w:bookmarkStart w:id="263" w:name="_Toc183441353"/>
      <w:r w:rsidRPr="00A55335">
        <w:t>Description of studies</w:t>
      </w:r>
      <w:bookmarkEnd w:id="263"/>
      <w:r w:rsidRPr="00A55335">
        <w:t xml:space="preserve"> </w:t>
      </w:r>
    </w:p>
    <w:p w14:paraId="3B1A5A0D" w14:textId="29FFA64D" w:rsidR="00DD505D" w:rsidRPr="00A55335" w:rsidRDefault="00602361" w:rsidP="00DD505D">
      <w:pPr>
        <w:pStyle w:val="BodyText"/>
      </w:pPr>
      <w:r w:rsidRPr="00A55335">
        <w:t>There were 7</w:t>
      </w:r>
      <w:r w:rsidR="00DD505D" w:rsidRPr="00A55335">
        <w:t xml:space="preserve"> citations </w:t>
      </w:r>
      <w:r w:rsidR="00DD505D" w:rsidRPr="00A55335">
        <w:fldChar w:fldCharType="begin">
          <w:fldData xml:space="preserve">PEVuZE5vdGU+PENpdGU+PEF1dGhvcj5HYXVzPC9BdXRob3I+PFllYXI+MTk5NzwvWWVhcj48UmVj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=
</w:fldData>
        </w:fldChar>
      </w:r>
      <w:r w:rsidR="006952AD">
        <w:instrText xml:space="preserve"> ADDIN EN.CITE </w:instrText>
      </w:r>
      <w:r w:rsidR="006952AD">
        <w:fldChar w:fldCharType="begin">
          <w:fldData xml:space="preserve">PEVuZE5vdGU+PENpdGU+PEF1dGhvcj5HYXVzPC9BdXRob3I+PFllYXI+MTk5NzwvWWVhcj48UmVj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=
</w:fldData>
        </w:fldChar>
      </w:r>
      <w:r w:rsidR="006952AD">
        <w:instrText xml:space="preserve"> ADDIN EN.CITE.DATA </w:instrText>
      </w:r>
      <w:r w:rsidR="006952AD">
        <w:fldChar w:fldCharType="end"/>
      </w:r>
      <w:r w:rsidR="00DD505D" w:rsidRPr="00A55335">
        <w:fldChar w:fldCharType="separate"/>
      </w:r>
      <w:r w:rsidR="00D04C69">
        <w:rPr>
          <w:noProof/>
        </w:rPr>
        <w:t>(</w:t>
      </w:r>
      <w:hyperlink w:anchor="_ENREF_195" w:tooltip="Gaus, 1997 #572" w:history="1">
        <w:r w:rsidR="00EC2769">
          <w:rPr>
            <w:noProof/>
          </w:rPr>
          <w:t>195-201</w:t>
        </w:r>
      </w:hyperlink>
      <w:r w:rsidR="00D04C69">
        <w:rPr>
          <w:noProof/>
        </w:rPr>
        <w:t>)</w:t>
      </w:r>
      <w:r w:rsidR="00DD505D" w:rsidRPr="00A55335">
        <w:fldChar w:fldCharType="end"/>
      </w:r>
      <w:r w:rsidR="00DD505D" w:rsidRPr="00A55335">
        <w:t xml:space="preserve"> corresponding to 2 RCTs (Gaus 1992, </w:t>
      </w:r>
      <w:proofErr w:type="spellStart"/>
      <w:r w:rsidR="00DD505D" w:rsidRPr="00A55335">
        <w:t>Straumsheim</w:t>
      </w:r>
      <w:proofErr w:type="spellEnd"/>
      <w:r w:rsidR="00DD505D" w:rsidRPr="00A55335">
        <w:t xml:space="preserve"> 1997), and one quasi RCT (Whitmarsh 1997) identified in the literature</w:t>
      </w:r>
      <w:r w:rsidR="00572D97" w:rsidRPr="00A55335">
        <w:t xml:space="preserve"> search</w:t>
      </w:r>
      <w:r w:rsidR="00DD505D" w:rsidRPr="00A55335">
        <w:t xml:space="preserve">. </w:t>
      </w:r>
      <w:r w:rsidR="00572D97" w:rsidRPr="00A55335">
        <w:t xml:space="preserve">No additional studies were identified in the Department’s public call for evidence. </w:t>
      </w:r>
      <w:r w:rsidR="00DD505D" w:rsidRPr="00A55335">
        <w:t xml:space="preserve">There were 3 </w:t>
      </w:r>
      <w:hyperlink w:anchor="_Ongoing_studies_1" w:history="1">
        <w:r w:rsidR="00DD505D" w:rsidRPr="00A55335">
          <w:rPr>
            <w:rStyle w:val="Hyperlink"/>
            <w:rFonts w:cs="Calibri"/>
          </w:rPr>
          <w:t>ongoing studies</w:t>
        </w:r>
      </w:hyperlink>
      <w:r w:rsidR="00DD505D" w:rsidRPr="00A55335">
        <w:t xml:space="preserve"> and </w:t>
      </w:r>
      <w:r w:rsidR="00CA04FB" w:rsidRPr="00A55335">
        <w:t xml:space="preserve">6 </w:t>
      </w:r>
      <w:hyperlink w:anchor="_Studies_awaiting_classification" w:history="1">
        <w:r w:rsidR="00DD505D" w:rsidRPr="00A55335">
          <w:rPr>
            <w:rStyle w:val="Hyperlink"/>
            <w:rFonts w:cs="Calibri"/>
          </w:rPr>
          <w:t>studies awaiting classification</w:t>
        </w:r>
      </w:hyperlink>
      <w:r w:rsidR="00DD505D" w:rsidRPr="00A55335">
        <w:t xml:space="preserve"> including 2 studies published in a language other than English.</w:t>
      </w:r>
      <w:r w:rsidR="00980CA0" w:rsidRPr="00A55335">
        <w:t xml:space="preserve"> </w:t>
      </w:r>
      <w:r w:rsidR="00DD505D" w:rsidRPr="00A55335">
        <w:t>An overview of the PICO criteria of included studies is provided in Appendix D4.1.1</w:t>
      </w:r>
    </w:p>
    <w:p w14:paraId="7CFD6A07" w14:textId="230A799B" w:rsidR="00DD505D" w:rsidRPr="00A55335" w:rsidRDefault="00DD505D" w:rsidP="00DD505D">
      <w:pPr>
        <w:pStyle w:val="BodyText"/>
      </w:pPr>
      <w:r w:rsidRPr="00A55335">
        <w:t xml:space="preserve">Two studies were carried out </w:t>
      </w:r>
      <w:r w:rsidR="00834BEA" w:rsidRPr="00A55335">
        <w:t>at</w:t>
      </w:r>
      <w:r w:rsidRPr="00A55335">
        <w:t xml:space="preserve"> single centre</w:t>
      </w:r>
      <w:r w:rsidR="00834BEA" w:rsidRPr="00A55335">
        <w:t>s</w:t>
      </w:r>
      <w:r w:rsidRPr="00A55335">
        <w:t xml:space="preserve"> in either Norway (</w:t>
      </w:r>
      <w:proofErr w:type="spellStart"/>
      <w:r w:rsidRPr="00A55335">
        <w:t>Straumsheim</w:t>
      </w:r>
      <w:proofErr w:type="spellEnd"/>
      <w:r w:rsidRPr="00A55335">
        <w:t xml:space="preserve"> 1997) or England (Whitmarsh 1997), and one study was carried out in a multicentre setting in Germany (Gaus 1992). Sample size ranged from 63 to 98 participants (total 229</w:t>
      </w:r>
      <w:r w:rsidR="00834BEA" w:rsidRPr="00A55335">
        <w:t xml:space="preserve"> participants</w:t>
      </w:r>
      <w:r w:rsidRPr="00A55335">
        <w:t xml:space="preserve">), with </w:t>
      </w:r>
      <w:r w:rsidR="00834BEA" w:rsidRPr="00A55335">
        <w:t xml:space="preserve">2 </w:t>
      </w:r>
      <w:r w:rsidRPr="00A55335">
        <w:t>studies enrolling participants with migraines (</w:t>
      </w:r>
      <w:proofErr w:type="spellStart"/>
      <w:r w:rsidRPr="00A55335">
        <w:t>Straumsheim</w:t>
      </w:r>
      <w:proofErr w:type="spellEnd"/>
      <w:r w:rsidRPr="00A55335">
        <w:t xml:space="preserve"> 1997</w:t>
      </w:r>
      <w:r w:rsidR="00834BEA" w:rsidRPr="00A55335">
        <w:t>,</w:t>
      </w:r>
      <w:r w:rsidRPr="00A55335">
        <w:t xml:space="preserve"> Whitmarsh 1997) </w:t>
      </w:r>
      <w:r w:rsidR="00834BEA" w:rsidRPr="00A55335">
        <w:t xml:space="preserve">and one study enrolling people with </w:t>
      </w:r>
      <w:r w:rsidRPr="00A55335">
        <w:t>headache (Gaus 1992)</w:t>
      </w:r>
      <w:r w:rsidR="00747D49" w:rsidRPr="00A55335">
        <w:t>.</w:t>
      </w:r>
    </w:p>
    <w:p w14:paraId="20D98F6C" w14:textId="6F09398E" w:rsidR="00DD505D" w:rsidRPr="00A55335" w:rsidRDefault="00DD505D" w:rsidP="00DD505D">
      <w:pPr>
        <w:pStyle w:val="BodyText"/>
      </w:pPr>
      <w:r w:rsidRPr="00A55335">
        <w:t xml:space="preserve">All three studies used individualised homeopathy which was compared to placebo. Treatments were twice weekly or individually </w:t>
      </w:r>
      <w:r w:rsidR="00834BEA" w:rsidRPr="00A55335">
        <w:t>prescribed</w:t>
      </w:r>
      <w:r w:rsidRPr="00A55335">
        <w:t xml:space="preserve">. Length of </w:t>
      </w:r>
      <w:r w:rsidR="00BF79DE" w:rsidRPr="00A55335">
        <w:t>treatment</w:t>
      </w:r>
      <w:r w:rsidRPr="00A55335">
        <w:t xml:space="preserve"> ranged from 3 (Whitmarsh 1997)</w:t>
      </w:r>
      <w:r w:rsidR="00A63EC1" w:rsidRPr="00A55335">
        <w:t xml:space="preserve"> </w:t>
      </w:r>
      <w:r w:rsidR="00026EC8" w:rsidRPr="00A55335">
        <w:t xml:space="preserve">or </w:t>
      </w:r>
      <w:r w:rsidR="009E472D" w:rsidRPr="00A55335">
        <w:t>4 months (</w:t>
      </w:r>
      <w:proofErr w:type="spellStart"/>
      <w:r w:rsidR="009E472D" w:rsidRPr="00A55335">
        <w:t>Straumsheim</w:t>
      </w:r>
      <w:proofErr w:type="spellEnd"/>
      <w:r w:rsidR="009E472D" w:rsidRPr="00A55335">
        <w:t xml:space="preserve"> 199</w:t>
      </w:r>
      <w:r w:rsidR="00B629A3" w:rsidRPr="00A55335">
        <w:t>7)</w:t>
      </w:r>
      <w:r w:rsidRPr="00A55335">
        <w:t xml:space="preserve"> to</w:t>
      </w:r>
      <w:r w:rsidR="00980CA0" w:rsidRPr="00A55335">
        <w:t xml:space="preserve"> one </w:t>
      </w:r>
      <w:r w:rsidRPr="00A55335">
        <w:t xml:space="preserve">year (Gaus 1992). </w:t>
      </w:r>
    </w:p>
    <w:p w14:paraId="4F084D7F" w14:textId="20C55AFA" w:rsidR="00696972" w:rsidRPr="00A55335" w:rsidRDefault="00DD505D" w:rsidP="00696972">
      <w:pPr>
        <w:pStyle w:val="BodyText"/>
      </w:pPr>
      <w:r w:rsidRPr="00A55335">
        <w:t>Results for</w:t>
      </w:r>
      <w:r w:rsidR="002A3EF8" w:rsidRPr="00A55335">
        <w:t xml:space="preserve"> the</w:t>
      </w:r>
      <w:r w:rsidRPr="00A55335">
        <w:t xml:space="preserve"> </w:t>
      </w:r>
      <w:r w:rsidR="006070ED" w:rsidRPr="00A55335">
        <w:t>Primary Comparison</w:t>
      </w:r>
      <w:r w:rsidR="00F73318" w:rsidRPr="00A55335">
        <w:t xml:space="preserve">: Homeopathy </w:t>
      </w:r>
      <w:r w:rsidR="001B33CB" w:rsidRPr="00A55335">
        <w:t xml:space="preserve">versus placebo </w:t>
      </w:r>
      <w:r w:rsidRPr="00A55335">
        <w:t>are provided in the Summary of Findings table (see</w:t>
      </w:r>
      <w:r w:rsidR="00834BEA" w:rsidRPr="00A55335">
        <w:t xml:space="preserve"> Section </w:t>
      </w:r>
      <w:r w:rsidR="00696972" w:rsidRPr="00A55335">
        <w:fldChar w:fldCharType="begin"/>
      </w:r>
      <w:r w:rsidR="00696972" w:rsidRPr="00A55335">
        <w:instrText xml:space="preserve"> REF _Ref152000466 \r \h </w:instrText>
      </w:r>
      <w:r w:rsidR="00696972" w:rsidRPr="00A55335">
        <w:fldChar w:fldCharType="separate"/>
      </w:r>
      <w:r w:rsidR="00814B04">
        <w:t>4.10.4</w:t>
      </w:r>
      <w:r w:rsidR="00696972" w:rsidRPr="00A55335">
        <w:fldChar w:fldCharType="end"/>
      </w:r>
      <w:r w:rsidRPr="00A55335">
        <w:t xml:space="preserve">). </w:t>
      </w:r>
      <w:r w:rsidR="005C0B26" w:rsidRPr="00A55335">
        <w:t xml:space="preserve">There were no studies found for </w:t>
      </w:r>
      <w:r w:rsidR="002A3EF8" w:rsidRPr="00A55335">
        <w:t xml:space="preserve">the </w:t>
      </w:r>
      <w:r w:rsidR="005C0B26" w:rsidRPr="00A55335">
        <w:t>Secondary Comparison: Homeopathy versus inactive control (no intervention, waitlist or usual care)</w:t>
      </w:r>
      <w:r w:rsidR="006723B5" w:rsidRPr="00A55335">
        <w:t xml:space="preserve"> or the Tertiary Comparison: Homeopathy versus another comparator</w:t>
      </w:r>
      <w:r w:rsidR="00B61473" w:rsidRPr="00A55335">
        <w:t>.</w:t>
      </w:r>
    </w:p>
    <w:p w14:paraId="5B035CDA" w14:textId="0C91DEE0" w:rsidR="00DD505D" w:rsidRPr="00A55335" w:rsidRDefault="00DD505D" w:rsidP="00DD505D">
      <w:pPr>
        <w:pStyle w:val="BodyText"/>
      </w:pPr>
    </w:p>
    <w:p w14:paraId="15FA594F" w14:textId="77777777" w:rsidR="00D92AC6" w:rsidRPr="00A55335" w:rsidRDefault="00D92AC6" w:rsidP="00D92AC6">
      <w:pPr>
        <w:pStyle w:val="BodyText"/>
      </w:pPr>
      <w:r w:rsidRPr="00A55335">
        <w:lastRenderedPageBreak/>
        <w:t xml:space="preserve">We did not stratify according to the intervention (individualised or non-individualised) as there were too few studies per comparison that also included studies with a different mode of intervention. </w:t>
      </w:r>
    </w:p>
    <w:p w14:paraId="2B0E0F28" w14:textId="72439D1B" w:rsidR="00DD505D" w:rsidRPr="00A55335" w:rsidRDefault="00DD505D" w:rsidP="004D433B">
      <w:pPr>
        <w:pStyle w:val="Heading3"/>
      </w:pPr>
      <w:bookmarkStart w:id="264" w:name="_Toc183441354"/>
      <w:r w:rsidRPr="00A55335">
        <w:t>Risk of bias</w:t>
      </w:r>
      <w:r w:rsidR="00755A82">
        <w:t xml:space="preserve"> </w:t>
      </w:r>
      <w:r w:rsidR="00F6589C">
        <w:t>–</w:t>
      </w:r>
      <w:r w:rsidRPr="00A55335">
        <w:t xml:space="preserve"> summary assessment across studies</w:t>
      </w:r>
      <w:bookmarkEnd w:id="264"/>
      <w:r w:rsidRPr="00A55335">
        <w:t xml:space="preserve"> </w:t>
      </w:r>
    </w:p>
    <w:p w14:paraId="16E4D9C6" w14:textId="290E7CE8" w:rsidR="001C48E7" w:rsidRPr="00A55335" w:rsidRDefault="00DD505D" w:rsidP="00DD505D">
      <w:pPr>
        <w:pStyle w:val="BodyText"/>
      </w:pPr>
      <w:r w:rsidRPr="00A55335">
        <w:t xml:space="preserve">The risk of bias for each item in the </w:t>
      </w:r>
      <w:r w:rsidR="00F56A75" w:rsidRPr="00A55335">
        <w:t xml:space="preserve">included </w:t>
      </w:r>
      <w:r w:rsidRPr="00A55335">
        <w:t>RCTs for insomnia and sleep disorders is summarised in</w:t>
      </w:r>
      <w:r w:rsidR="008C7240" w:rsidRPr="00A55335">
        <w:t xml:space="preserve"> </w:t>
      </w:r>
      <w:r w:rsidR="008C7240" w:rsidRPr="00A55335">
        <w:fldChar w:fldCharType="begin"/>
      </w:r>
      <w:r w:rsidR="008C7240" w:rsidRPr="00A55335">
        <w:instrText xml:space="preserve"> REF _Ref151893675 \h </w:instrText>
      </w:r>
      <w:r w:rsidR="008C7240" w:rsidRPr="00A55335">
        <w:fldChar w:fldCharType="separate"/>
      </w:r>
      <w:r w:rsidR="00814B04" w:rsidRPr="00A55335">
        <w:t xml:space="preserve">Figure </w:t>
      </w:r>
      <w:r w:rsidR="00814B04">
        <w:rPr>
          <w:noProof/>
        </w:rPr>
        <w:t>40</w:t>
      </w:r>
      <w:r w:rsidR="008C7240" w:rsidRPr="00A55335">
        <w:fldChar w:fldCharType="end"/>
      </w:r>
      <w:r w:rsidRPr="00A55335">
        <w:t>. Details are provided in Appendix D4.1.2</w:t>
      </w:r>
      <w:r w:rsidR="009B5C71">
        <w:t xml:space="preserve">. </w:t>
      </w:r>
      <w:r w:rsidR="00945C09" w:rsidRPr="00A55335">
        <w:t>No</w:t>
      </w:r>
      <w:r w:rsidR="001C48E7" w:rsidRPr="00A55335">
        <w:t xml:space="preserve"> stud</w:t>
      </w:r>
      <w:r w:rsidR="00945C09" w:rsidRPr="00A55335">
        <w:t>ies</w:t>
      </w:r>
      <w:r w:rsidR="001C48E7" w:rsidRPr="00A55335">
        <w:t xml:space="preserve"> w</w:t>
      </w:r>
      <w:r w:rsidR="00945C09" w:rsidRPr="00A55335">
        <w:t>ere</w:t>
      </w:r>
      <w:r w:rsidR="001C48E7" w:rsidRPr="00A55335">
        <w:t xml:space="preserve"> judged to be at overall low risk of bias. </w:t>
      </w:r>
    </w:p>
    <w:p w14:paraId="5602EA49" w14:textId="3DD89678" w:rsidR="00DD505D" w:rsidRPr="00A55335" w:rsidRDefault="00DD505D" w:rsidP="00DD505D">
      <w:pPr>
        <w:pStyle w:val="Caption"/>
      </w:pPr>
      <w:bookmarkStart w:id="265" w:name="_Ref132288474"/>
      <w:bookmarkStart w:id="266" w:name="_Ref151893675"/>
      <w:bookmarkStart w:id="267" w:name="_Toc183520313"/>
      <w:r w:rsidRPr="00A55335">
        <w:t xml:space="preserve">Figure </w:t>
      </w:r>
      <w:bookmarkEnd w:id="265"/>
      <w:r w:rsidRPr="00A55335">
        <w:fldChar w:fldCharType="begin"/>
      </w:r>
      <w:r w:rsidRPr="00A55335">
        <w:instrText xml:space="preserve"> SEQ Figure \* ARABIC </w:instrText>
      </w:r>
      <w:r w:rsidRPr="00A55335">
        <w:fldChar w:fldCharType="separate"/>
      </w:r>
      <w:r w:rsidR="00814B04">
        <w:rPr>
          <w:noProof/>
        </w:rPr>
        <w:t>40</w:t>
      </w:r>
      <w:r w:rsidRPr="00A55335">
        <w:fldChar w:fldCharType="end"/>
      </w:r>
      <w:bookmarkEnd w:id="266"/>
      <w:r w:rsidRPr="00A55335">
        <w:tab/>
        <w:t>Risk of bias summary: review authors</w:t>
      </w:r>
      <w:r w:rsidR="003E172B" w:rsidRPr="00A55335">
        <w:t>’</w:t>
      </w:r>
      <w:r w:rsidRPr="00A55335">
        <w:t xml:space="preserve"> judgement about each risk of b</w:t>
      </w:r>
      <w:r w:rsidR="005C537F">
        <w:t>i</w:t>
      </w:r>
      <w:r w:rsidRPr="00A55335">
        <w:t xml:space="preserve">as item for each included study: </w:t>
      </w:r>
      <w:r w:rsidR="00F01A95" w:rsidRPr="00A55335">
        <w:t>H</w:t>
      </w:r>
      <w:r w:rsidR="008C7240" w:rsidRPr="00A55335">
        <w:t>eadache disorders</w:t>
      </w:r>
      <w:bookmarkEnd w:id="267"/>
    </w:p>
    <w:p w14:paraId="6DEE46C1" w14:textId="62E93B9D" w:rsidR="00C373A2" w:rsidRPr="00A55335" w:rsidRDefault="009F63C6" w:rsidP="00C373A2">
      <w:pPr>
        <w:pStyle w:val="Pic"/>
      </w:pPr>
      <w:r w:rsidRPr="00A55335">
        <w:rPr>
          <w:noProof/>
        </w:rPr>
        <w:drawing>
          <wp:inline distT="0" distB="0" distL="0" distR="0" wp14:anchorId="5156A71A" wp14:editId="709CD1DC">
            <wp:extent cx="3864334" cy="206232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03314" cy="2083123"/>
                    </a:xfrm>
                    <a:prstGeom prst="rect">
                      <a:avLst/>
                    </a:prstGeom>
                    <a:noFill/>
                    <a:ln>
                      <a:noFill/>
                    </a:ln>
                  </pic:spPr>
                </pic:pic>
              </a:graphicData>
            </a:graphic>
          </wp:inline>
        </w:drawing>
      </w:r>
    </w:p>
    <w:p w14:paraId="03C8B85F" w14:textId="77777777" w:rsidR="00C373A2" w:rsidRPr="00A55335" w:rsidRDefault="00C373A2" w:rsidP="00C373A2">
      <w:pPr>
        <w:pStyle w:val="TableFigNotes18"/>
      </w:pPr>
    </w:p>
    <w:p w14:paraId="6A30CDCF" w14:textId="77777777" w:rsidR="00DD505D" w:rsidRPr="00A55335" w:rsidRDefault="00DD505D" w:rsidP="004D433B">
      <w:pPr>
        <w:pStyle w:val="Heading3"/>
      </w:pPr>
      <w:bookmarkStart w:id="268" w:name="_Ref152000466"/>
      <w:bookmarkStart w:id="269" w:name="_Toc183441355"/>
      <w:r w:rsidRPr="00A55335">
        <w:t>Summary of findings and evidence statements</w:t>
      </w:r>
      <w:bookmarkEnd w:id="268"/>
      <w:bookmarkEnd w:id="269"/>
    </w:p>
    <w:p w14:paraId="11D8B04C" w14:textId="7E493F5E" w:rsidR="006740B3" w:rsidRPr="00A55335" w:rsidRDefault="006070ED" w:rsidP="006740B3">
      <w:pPr>
        <w:pStyle w:val="Heading4"/>
      </w:pPr>
      <w:r w:rsidRPr="00A55335">
        <w:t>Primary Comparison</w:t>
      </w:r>
      <w:r w:rsidR="006740B3" w:rsidRPr="00A55335">
        <w:t xml:space="preserve"> (vs placebo) </w:t>
      </w:r>
    </w:p>
    <w:tbl>
      <w:tblPr>
        <w:tblW w:w="5000" w:type="pct"/>
        <w:tblLayout w:type="fixed"/>
        <w:tblCellMar>
          <w:top w:w="75" w:type="dxa"/>
          <w:left w:w="75" w:type="dxa"/>
          <w:bottom w:w="75" w:type="dxa"/>
          <w:right w:w="75" w:type="dxa"/>
        </w:tblCellMar>
        <w:tblLook w:val="04A0" w:firstRow="1" w:lastRow="0" w:firstColumn="1" w:lastColumn="0" w:noHBand="0" w:noVBand="1"/>
      </w:tblPr>
      <w:tblGrid>
        <w:gridCol w:w="1843"/>
        <w:gridCol w:w="1275"/>
        <w:gridCol w:w="1277"/>
        <w:gridCol w:w="850"/>
        <w:gridCol w:w="1277"/>
        <w:gridCol w:w="1132"/>
        <w:gridCol w:w="2091"/>
      </w:tblGrid>
      <w:tr w:rsidR="00A7712E" w:rsidRPr="00A55335" w14:paraId="6481F644" w14:textId="77777777" w:rsidTr="003071D2">
        <w:trPr>
          <w:cantSplit/>
          <w:tblHeader/>
        </w:trPr>
        <w:tc>
          <w:tcPr>
            <w:tcW w:w="5000" w:type="pct"/>
            <w:gridSpan w:val="7"/>
            <w:tcBorders>
              <w:top w:val="single" w:sz="12" w:space="0" w:color="000000"/>
              <w:left w:val="nil"/>
              <w:bottom w:val="single" w:sz="12" w:space="0" w:color="000000"/>
              <w:right w:val="nil"/>
            </w:tcBorders>
            <w:vAlign w:val="center"/>
            <w:hideMark/>
          </w:tcPr>
          <w:p w14:paraId="5C2076FF" w14:textId="23DB43C6" w:rsidR="00DD505D" w:rsidRPr="00A55335" w:rsidRDefault="00DD505D" w:rsidP="00056710">
            <w:pPr>
              <w:pStyle w:val="TableH1"/>
              <w:rPr>
                <w:lang w:val="en-AU"/>
              </w:rPr>
            </w:pPr>
            <w:r w:rsidRPr="00A55335">
              <w:rPr>
                <w:lang w:val="en-AU"/>
              </w:rPr>
              <w:t xml:space="preserve">Homeopathy compared to placebo for </w:t>
            </w:r>
            <w:r w:rsidR="00945C09" w:rsidRPr="00A55335">
              <w:rPr>
                <w:lang w:val="en-AU"/>
              </w:rPr>
              <w:t>H</w:t>
            </w:r>
            <w:r w:rsidRPr="00A55335">
              <w:rPr>
                <w:lang w:val="en-AU"/>
              </w:rPr>
              <w:t>eadache</w:t>
            </w:r>
            <w:r w:rsidR="008C7240" w:rsidRPr="00A55335">
              <w:rPr>
                <w:lang w:val="en-AU"/>
              </w:rPr>
              <w:t xml:space="preserve"> disorders</w:t>
            </w:r>
          </w:p>
        </w:tc>
      </w:tr>
      <w:tr w:rsidR="00A7712E" w:rsidRPr="00A55335" w14:paraId="4F3E824B" w14:textId="77777777" w:rsidTr="003071D2">
        <w:trPr>
          <w:cantSplit/>
          <w:tblHeader/>
        </w:trPr>
        <w:tc>
          <w:tcPr>
            <w:tcW w:w="5000" w:type="pct"/>
            <w:gridSpan w:val="7"/>
            <w:tcBorders>
              <w:top w:val="single" w:sz="12" w:space="0" w:color="000000"/>
              <w:left w:val="nil"/>
              <w:bottom w:val="single" w:sz="12" w:space="0" w:color="000000"/>
              <w:right w:val="nil"/>
            </w:tcBorders>
            <w:vAlign w:val="center"/>
            <w:hideMark/>
          </w:tcPr>
          <w:p w14:paraId="68D1828A" w14:textId="7D7CB7DA" w:rsidR="00DD505D" w:rsidRPr="00A55335" w:rsidRDefault="00DD505D" w:rsidP="00056710">
            <w:pPr>
              <w:pStyle w:val="Tabletext9pt"/>
            </w:pPr>
            <w:r w:rsidRPr="00A55335">
              <w:rPr>
                <w:rStyle w:val="Strong"/>
              </w:rPr>
              <w:t>Patient or population:</w:t>
            </w:r>
            <w:r w:rsidRPr="00A55335">
              <w:t xml:space="preserve"> </w:t>
            </w:r>
            <w:r w:rsidR="00413EA3" w:rsidRPr="00A55335">
              <w:t>H</w:t>
            </w:r>
            <w:r w:rsidRPr="00A55335">
              <w:t>eadache</w:t>
            </w:r>
            <w:r w:rsidR="008C7240" w:rsidRPr="00A55335">
              <w:t xml:space="preserve"> disorders</w:t>
            </w:r>
          </w:p>
          <w:p w14:paraId="4889E14B" w14:textId="77777777" w:rsidR="00DD505D" w:rsidRPr="00A55335" w:rsidRDefault="00DD505D" w:rsidP="00056710">
            <w:pPr>
              <w:pStyle w:val="Tabletext9pt"/>
            </w:pPr>
            <w:r w:rsidRPr="00A55335">
              <w:rPr>
                <w:rStyle w:val="Strong"/>
              </w:rPr>
              <w:t>Setting:</w:t>
            </w:r>
            <w:r w:rsidRPr="00A55335">
              <w:t xml:space="preserve"> Community</w:t>
            </w:r>
          </w:p>
          <w:p w14:paraId="6C94C911" w14:textId="76466D42" w:rsidR="00DD505D" w:rsidRPr="00A55335" w:rsidRDefault="00DD505D" w:rsidP="00056710">
            <w:pPr>
              <w:pStyle w:val="Tabletext9pt"/>
            </w:pPr>
            <w:r w:rsidRPr="00A55335">
              <w:rPr>
                <w:rStyle w:val="Strong"/>
              </w:rPr>
              <w:t>Intervention:</w:t>
            </w:r>
            <w:r w:rsidRPr="00A55335">
              <w:t xml:space="preserve"> </w:t>
            </w:r>
            <w:r w:rsidR="00056710" w:rsidRPr="00A55335">
              <w:t>H</w:t>
            </w:r>
            <w:r w:rsidRPr="00A55335">
              <w:t>omeopathy</w:t>
            </w:r>
          </w:p>
          <w:p w14:paraId="22F294AD" w14:textId="28F4E5C0" w:rsidR="00DD505D" w:rsidRPr="00A55335" w:rsidRDefault="00DD505D" w:rsidP="00056710">
            <w:pPr>
              <w:pStyle w:val="Tabletext9pt"/>
            </w:pPr>
            <w:r w:rsidRPr="00A55335">
              <w:rPr>
                <w:rStyle w:val="Strong"/>
              </w:rPr>
              <w:t>Comparison:</w:t>
            </w:r>
            <w:r w:rsidRPr="00A55335">
              <w:t xml:space="preserve"> </w:t>
            </w:r>
            <w:r w:rsidR="00056710" w:rsidRPr="00A55335">
              <w:t>P</w:t>
            </w:r>
            <w:r w:rsidRPr="00A55335">
              <w:t>lacebo</w:t>
            </w:r>
          </w:p>
        </w:tc>
      </w:tr>
      <w:tr w:rsidR="00275579" w:rsidRPr="00A55335" w14:paraId="58023688" w14:textId="77777777" w:rsidTr="00CE4C1F">
        <w:trPr>
          <w:cantSplit/>
          <w:tblHeader/>
        </w:trPr>
        <w:tc>
          <w:tcPr>
            <w:tcW w:w="946" w:type="pct"/>
            <w:vMerge w:val="restart"/>
            <w:tcBorders>
              <w:right w:val="single" w:sz="6" w:space="0" w:color="EFEFEF"/>
            </w:tcBorders>
            <w:shd w:val="clear" w:color="auto" w:fill="006579" w:themeFill="accent2"/>
            <w:vAlign w:val="bottom"/>
            <w:hideMark/>
          </w:tcPr>
          <w:p w14:paraId="2C196218" w14:textId="77777777" w:rsidR="00DD505D" w:rsidRPr="00A55335" w:rsidRDefault="00DD505D" w:rsidP="00056710">
            <w:pPr>
              <w:pStyle w:val="Tabletext8pt"/>
              <w:rPr>
                <w:b/>
                <w:bCs/>
                <w:color w:val="F9F9F9" w:themeColor="background1"/>
              </w:rPr>
            </w:pPr>
            <w:r w:rsidRPr="00A55335">
              <w:rPr>
                <w:b/>
                <w:bCs/>
                <w:color w:val="F9F9F9" w:themeColor="background1"/>
              </w:rPr>
              <w:t>Outcomes</w:t>
            </w:r>
          </w:p>
        </w:tc>
        <w:tc>
          <w:tcPr>
            <w:tcW w:w="1309" w:type="pct"/>
            <w:gridSpan w:val="2"/>
            <w:tcBorders>
              <w:top w:val="single" w:sz="6" w:space="0" w:color="EFEFEF"/>
              <w:right w:val="single" w:sz="6" w:space="0" w:color="EFEFEF"/>
            </w:tcBorders>
            <w:shd w:val="clear" w:color="auto" w:fill="E0E0E0"/>
            <w:vAlign w:val="bottom"/>
            <w:hideMark/>
          </w:tcPr>
          <w:p w14:paraId="64D50D4E" w14:textId="77777777" w:rsidR="00DD505D" w:rsidRPr="00A55335" w:rsidRDefault="00DD505D" w:rsidP="00056710">
            <w:pPr>
              <w:pStyle w:val="Tabletext8pt"/>
              <w:rPr>
                <w:rStyle w:val="Strong"/>
              </w:rPr>
            </w:pPr>
            <w:r w:rsidRPr="00A55335">
              <w:rPr>
                <w:rStyle w:val="Strong"/>
              </w:rPr>
              <w:t>Anticipated absolute effects* (95% CI)</w:t>
            </w:r>
          </w:p>
        </w:tc>
        <w:tc>
          <w:tcPr>
            <w:tcW w:w="436" w:type="pct"/>
            <w:vMerge w:val="restart"/>
            <w:tcBorders>
              <w:right w:val="single" w:sz="6" w:space="0" w:color="EFEFEF"/>
            </w:tcBorders>
            <w:shd w:val="clear" w:color="auto" w:fill="006579" w:themeFill="accent2"/>
            <w:vAlign w:val="bottom"/>
            <w:hideMark/>
          </w:tcPr>
          <w:p w14:paraId="5C6C5A54" w14:textId="77777777" w:rsidR="00DD505D" w:rsidRPr="00A55335" w:rsidRDefault="00DD505D" w:rsidP="00056710">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655" w:type="pct"/>
            <w:vMerge w:val="restart"/>
            <w:tcBorders>
              <w:right w:val="single" w:sz="6" w:space="0" w:color="EFEFEF"/>
            </w:tcBorders>
            <w:shd w:val="clear" w:color="auto" w:fill="006579" w:themeFill="accent2"/>
            <w:vAlign w:val="bottom"/>
            <w:hideMark/>
          </w:tcPr>
          <w:p w14:paraId="43D21F0F" w14:textId="77777777" w:rsidR="00DD505D" w:rsidRPr="00A55335" w:rsidRDefault="00DD505D" w:rsidP="00056710">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1" w:type="pct"/>
            <w:vMerge w:val="restart"/>
            <w:tcBorders>
              <w:right w:val="single" w:sz="6" w:space="0" w:color="EFEFEF"/>
            </w:tcBorders>
            <w:shd w:val="clear" w:color="auto" w:fill="006579" w:themeFill="accent2"/>
            <w:vAlign w:val="bottom"/>
            <w:hideMark/>
          </w:tcPr>
          <w:p w14:paraId="6EFE546B" w14:textId="77777777" w:rsidR="00DD505D" w:rsidRPr="00A55335" w:rsidRDefault="00DD505D" w:rsidP="00056710">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73" w:type="pct"/>
            <w:vMerge w:val="restart"/>
            <w:tcBorders>
              <w:right w:val="single" w:sz="6" w:space="0" w:color="EFEFEF"/>
            </w:tcBorders>
            <w:shd w:val="clear" w:color="auto" w:fill="006579" w:themeFill="accent2"/>
            <w:vAlign w:val="bottom"/>
            <w:hideMark/>
          </w:tcPr>
          <w:p w14:paraId="2DF98223" w14:textId="444132E8" w:rsidR="00DD505D" w:rsidRPr="00A55335" w:rsidRDefault="00056710" w:rsidP="00056710">
            <w:pPr>
              <w:pStyle w:val="Tabletext8pt"/>
              <w:rPr>
                <w:b/>
                <w:bCs/>
                <w:color w:val="F9F9F9" w:themeColor="background1"/>
              </w:rPr>
            </w:pPr>
            <w:r w:rsidRPr="00A55335">
              <w:rPr>
                <w:b/>
                <w:bCs/>
                <w:color w:val="F9F9F9" w:themeColor="background1"/>
              </w:rPr>
              <w:t>Evidence statement</w:t>
            </w:r>
          </w:p>
        </w:tc>
      </w:tr>
      <w:tr w:rsidR="00275579" w:rsidRPr="00A55335" w14:paraId="0AD1A737" w14:textId="77777777" w:rsidTr="00CE4C1F">
        <w:trPr>
          <w:cantSplit/>
          <w:tblHeader/>
        </w:trPr>
        <w:tc>
          <w:tcPr>
            <w:tcW w:w="946" w:type="pct"/>
            <w:vMerge/>
            <w:tcBorders>
              <w:right w:val="single" w:sz="6" w:space="0" w:color="EFEFEF"/>
            </w:tcBorders>
            <w:shd w:val="clear" w:color="auto" w:fill="006579" w:themeFill="accent2"/>
            <w:vAlign w:val="center"/>
            <w:hideMark/>
          </w:tcPr>
          <w:p w14:paraId="67F2D3A0" w14:textId="77777777" w:rsidR="00DD505D" w:rsidRPr="00A55335" w:rsidRDefault="00DD505D" w:rsidP="00056710">
            <w:pPr>
              <w:pStyle w:val="Tabletext8pt"/>
            </w:pPr>
          </w:p>
        </w:tc>
        <w:tc>
          <w:tcPr>
            <w:tcW w:w="654" w:type="pct"/>
            <w:tcBorders>
              <w:top w:val="single" w:sz="6" w:space="0" w:color="EFEFEF"/>
              <w:right w:val="single" w:sz="6" w:space="0" w:color="EFEFEF"/>
            </w:tcBorders>
            <w:shd w:val="clear" w:color="auto" w:fill="E0E0E0"/>
            <w:vAlign w:val="bottom"/>
            <w:hideMark/>
          </w:tcPr>
          <w:p w14:paraId="69AD8141" w14:textId="77777777" w:rsidR="00DD505D" w:rsidRPr="00A55335" w:rsidRDefault="00DD505D" w:rsidP="00056710">
            <w:pPr>
              <w:pStyle w:val="Tabletext8pt"/>
              <w:rPr>
                <w:rStyle w:val="Strong"/>
              </w:rPr>
            </w:pPr>
            <w:r w:rsidRPr="00A55335">
              <w:rPr>
                <w:rStyle w:val="Strong"/>
              </w:rPr>
              <w:t>Risk with placebo</w:t>
            </w:r>
          </w:p>
        </w:tc>
        <w:tc>
          <w:tcPr>
            <w:tcW w:w="655" w:type="pct"/>
            <w:tcBorders>
              <w:top w:val="single" w:sz="6" w:space="0" w:color="EFEFEF"/>
              <w:right w:val="single" w:sz="6" w:space="0" w:color="EFEFEF"/>
            </w:tcBorders>
            <w:shd w:val="clear" w:color="auto" w:fill="E0E0E0"/>
            <w:vAlign w:val="bottom"/>
            <w:hideMark/>
          </w:tcPr>
          <w:p w14:paraId="40449C8A" w14:textId="77777777" w:rsidR="00DD505D" w:rsidRPr="00A55335" w:rsidRDefault="00DD505D" w:rsidP="00056710">
            <w:pPr>
              <w:pStyle w:val="Tabletext8pt"/>
              <w:rPr>
                <w:rStyle w:val="Strong"/>
              </w:rPr>
            </w:pPr>
            <w:r w:rsidRPr="00A55335">
              <w:rPr>
                <w:rStyle w:val="Strong"/>
              </w:rPr>
              <w:t>Risk with homeopathy</w:t>
            </w:r>
          </w:p>
        </w:tc>
        <w:tc>
          <w:tcPr>
            <w:tcW w:w="436" w:type="pct"/>
            <w:vMerge/>
            <w:tcBorders>
              <w:right w:val="single" w:sz="6" w:space="0" w:color="EFEFEF"/>
            </w:tcBorders>
            <w:shd w:val="clear" w:color="auto" w:fill="006579" w:themeFill="accent2"/>
            <w:vAlign w:val="center"/>
            <w:hideMark/>
          </w:tcPr>
          <w:p w14:paraId="233632A0" w14:textId="77777777" w:rsidR="00DD505D" w:rsidRPr="00A55335" w:rsidRDefault="00DD505D" w:rsidP="00056710">
            <w:pPr>
              <w:pStyle w:val="Tabletext8pt"/>
              <w:rPr>
                <w:b/>
                <w:bCs/>
                <w:color w:val="F9F9F9" w:themeColor="background1"/>
              </w:rPr>
            </w:pPr>
          </w:p>
        </w:tc>
        <w:tc>
          <w:tcPr>
            <w:tcW w:w="655" w:type="pct"/>
            <w:vMerge/>
            <w:tcBorders>
              <w:right w:val="single" w:sz="6" w:space="0" w:color="EFEFEF"/>
            </w:tcBorders>
            <w:shd w:val="clear" w:color="auto" w:fill="006579" w:themeFill="accent2"/>
            <w:vAlign w:val="center"/>
            <w:hideMark/>
          </w:tcPr>
          <w:p w14:paraId="7140EB74" w14:textId="77777777" w:rsidR="00DD505D" w:rsidRPr="00A55335" w:rsidRDefault="00DD505D" w:rsidP="00056710">
            <w:pPr>
              <w:pStyle w:val="Tabletext8pt"/>
              <w:rPr>
                <w:b/>
                <w:bCs/>
                <w:color w:val="F9F9F9" w:themeColor="background1"/>
              </w:rPr>
            </w:pPr>
          </w:p>
        </w:tc>
        <w:tc>
          <w:tcPr>
            <w:tcW w:w="581" w:type="pct"/>
            <w:vMerge/>
            <w:tcBorders>
              <w:right w:val="single" w:sz="6" w:space="0" w:color="EFEFEF"/>
            </w:tcBorders>
            <w:shd w:val="clear" w:color="auto" w:fill="006579" w:themeFill="accent2"/>
            <w:vAlign w:val="center"/>
            <w:hideMark/>
          </w:tcPr>
          <w:p w14:paraId="6295BE58" w14:textId="77777777" w:rsidR="00DD505D" w:rsidRPr="00A55335" w:rsidRDefault="00DD505D" w:rsidP="00056710">
            <w:pPr>
              <w:pStyle w:val="Tabletext8pt"/>
              <w:rPr>
                <w:b/>
                <w:bCs/>
                <w:color w:val="F9F9F9" w:themeColor="background1"/>
              </w:rPr>
            </w:pPr>
          </w:p>
        </w:tc>
        <w:tc>
          <w:tcPr>
            <w:tcW w:w="1073" w:type="pct"/>
            <w:vMerge/>
            <w:tcBorders>
              <w:right w:val="single" w:sz="6" w:space="0" w:color="EFEFEF"/>
            </w:tcBorders>
            <w:shd w:val="clear" w:color="auto" w:fill="006579" w:themeFill="accent2"/>
            <w:vAlign w:val="center"/>
            <w:hideMark/>
          </w:tcPr>
          <w:p w14:paraId="25B423E4" w14:textId="77777777" w:rsidR="00DD505D" w:rsidRPr="00A55335" w:rsidRDefault="00DD505D" w:rsidP="00056710">
            <w:pPr>
              <w:pStyle w:val="Tabletext8pt"/>
              <w:rPr>
                <w:b/>
                <w:bCs/>
                <w:color w:val="F9F9F9" w:themeColor="background1"/>
              </w:rPr>
            </w:pPr>
          </w:p>
        </w:tc>
      </w:tr>
      <w:tr w:rsidR="006E6BC3" w:rsidRPr="00A55335" w14:paraId="22325121" w14:textId="77777777" w:rsidTr="006E6BC3">
        <w:trPr>
          <w:cantSplit/>
        </w:trPr>
        <w:tc>
          <w:tcPr>
            <w:tcW w:w="946" w:type="pct"/>
            <w:tcBorders>
              <w:top w:val="single" w:sz="6" w:space="0" w:color="000000"/>
              <w:left w:val="nil"/>
              <w:bottom w:val="single" w:sz="6" w:space="0" w:color="000000"/>
              <w:right w:val="nil"/>
            </w:tcBorders>
            <w:vAlign w:val="center"/>
            <w:hideMark/>
          </w:tcPr>
          <w:p w14:paraId="3E8D0BDC" w14:textId="612E125E" w:rsidR="006E6BC3" w:rsidRPr="00A55335" w:rsidRDefault="006E6BC3" w:rsidP="00077CA6">
            <w:pPr>
              <w:pStyle w:val="Tabletext8pt"/>
            </w:pPr>
            <w:r w:rsidRPr="00A55335">
              <w:t xml:space="preserve">Headache/migraine frequency </w:t>
            </w:r>
            <w:r w:rsidRPr="00A55335">
              <w:br/>
              <w:t xml:space="preserve">assessed </w:t>
            </w:r>
            <w:proofErr w:type="gramStart"/>
            <w:r w:rsidRPr="00A55335">
              <w:t>with:</w:t>
            </w:r>
            <w:proofErr w:type="gramEnd"/>
            <w:r w:rsidRPr="00A55335">
              <w:t xml:space="preserve"> self-reported diary, change in number of attacks per month (higher is worse)</w:t>
            </w:r>
            <w:r w:rsidRPr="00A55335">
              <w:br/>
              <w:t xml:space="preserve">follow-up: 3 months </w:t>
            </w:r>
          </w:p>
        </w:tc>
        <w:tc>
          <w:tcPr>
            <w:tcW w:w="1309" w:type="pct"/>
            <w:gridSpan w:val="2"/>
            <w:tcBorders>
              <w:top w:val="single" w:sz="6" w:space="0" w:color="000000"/>
              <w:left w:val="nil"/>
              <w:bottom w:val="single" w:sz="6" w:space="0" w:color="000000"/>
              <w:right w:val="nil"/>
            </w:tcBorders>
            <w:shd w:val="clear" w:color="auto" w:fill="EBEBEB"/>
            <w:vAlign w:val="center"/>
          </w:tcPr>
          <w:p w14:paraId="440CBF87" w14:textId="425DD611" w:rsidR="006E6BC3" w:rsidRPr="00A55335" w:rsidRDefault="006E6BC3" w:rsidP="00891E11">
            <w:pPr>
              <w:pStyle w:val="Tabletext8pt"/>
              <w:jc w:val="center"/>
            </w:pPr>
            <w:r w:rsidRPr="00A55335">
              <w:rPr>
                <w:rFonts w:cs="Montserrat"/>
                <w:color w:val="000000"/>
              </w:rPr>
              <w:t xml:space="preserve">Two studies report no </w:t>
            </w:r>
            <w:r w:rsidR="00D736B2" w:rsidRPr="00A55335">
              <w:rPr>
                <w:rFonts w:cs="Montserrat"/>
                <w:color w:val="000000"/>
              </w:rPr>
              <w:t xml:space="preserve">important </w:t>
            </w:r>
            <w:r w:rsidRPr="00A55335">
              <w:rPr>
                <w:rFonts w:cs="Montserrat"/>
                <w:color w:val="000000"/>
              </w:rPr>
              <w:t>difference between</w:t>
            </w:r>
            <w:r w:rsidR="00446AF8" w:rsidRPr="00A55335">
              <w:rPr>
                <w:rFonts w:cs="Montserrat"/>
                <w:color w:val="000000"/>
              </w:rPr>
              <w:t xml:space="preserve"> groups</w:t>
            </w:r>
            <w:r w:rsidRPr="00A55335">
              <w:rPr>
                <w:rFonts w:cs="Montserrat"/>
                <w:color w:val="000000"/>
              </w:rPr>
              <w:t xml:space="preserve">. </w:t>
            </w:r>
            <w:r w:rsidR="00A71549" w:rsidRPr="00A55335">
              <w:rPr>
                <w:rFonts w:cs="Montserrat"/>
                <w:color w:val="000000"/>
              </w:rPr>
              <w:br/>
            </w:r>
            <w:r w:rsidRPr="00A55335">
              <w:rPr>
                <w:rFonts w:cs="Montserrat"/>
                <w:color w:val="000000"/>
              </w:rPr>
              <w:t xml:space="preserve">One study </w:t>
            </w:r>
            <w:r w:rsidR="00A71549" w:rsidRPr="00A55335">
              <w:rPr>
                <w:rFonts w:cs="Montserrat"/>
                <w:color w:val="000000"/>
              </w:rPr>
              <w:t>suggested</w:t>
            </w:r>
            <w:r w:rsidR="007844A3" w:rsidRPr="00A55335">
              <w:rPr>
                <w:rFonts w:cs="Montserrat"/>
                <w:color w:val="000000"/>
              </w:rPr>
              <w:t xml:space="preserve"> a</w:t>
            </w:r>
            <w:r w:rsidR="00A71549" w:rsidRPr="00A55335">
              <w:rPr>
                <w:rFonts w:cs="Montserrat"/>
                <w:color w:val="000000"/>
              </w:rPr>
              <w:t xml:space="preserve">n </w:t>
            </w:r>
            <w:r w:rsidR="007844A3" w:rsidRPr="00A55335">
              <w:rPr>
                <w:rFonts w:cs="Montserrat"/>
                <w:color w:val="000000"/>
              </w:rPr>
              <w:t xml:space="preserve">estimate </w:t>
            </w:r>
            <w:r w:rsidR="00A71549" w:rsidRPr="00A55335">
              <w:rPr>
                <w:rFonts w:cs="Montserrat"/>
                <w:color w:val="000000"/>
              </w:rPr>
              <w:t xml:space="preserve">of effect </w:t>
            </w:r>
            <w:r w:rsidR="007844A3" w:rsidRPr="00A55335">
              <w:rPr>
                <w:rFonts w:cs="Montserrat"/>
                <w:color w:val="000000"/>
              </w:rPr>
              <w:t xml:space="preserve">favouring placebo </w:t>
            </w:r>
            <w:r w:rsidR="00926344" w:rsidRPr="00A55335">
              <w:rPr>
                <w:rFonts w:cs="Montserrat"/>
                <w:color w:val="000000"/>
              </w:rPr>
              <w:t>but</w:t>
            </w:r>
            <w:r w:rsidR="007844A3" w:rsidRPr="00A55335">
              <w:rPr>
                <w:rFonts w:cs="Montserrat"/>
                <w:color w:val="000000"/>
              </w:rPr>
              <w:t xml:space="preserve"> did not conduct statistical analysis.</w:t>
            </w:r>
          </w:p>
        </w:tc>
        <w:tc>
          <w:tcPr>
            <w:tcW w:w="436" w:type="pct"/>
            <w:tcBorders>
              <w:top w:val="single" w:sz="6" w:space="0" w:color="000000"/>
              <w:left w:val="nil"/>
              <w:bottom w:val="single" w:sz="6" w:space="0" w:color="000000"/>
              <w:right w:val="nil"/>
            </w:tcBorders>
            <w:vAlign w:val="center"/>
            <w:hideMark/>
          </w:tcPr>
          <w:p w14:paraId="381C7842" w14:textId="50D8685E" w:rsidR="006E6BC3" w:rsidRPr="00A55335" w:rsidRDefault="006E6BC3" w:rsidP="007252A0">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0810E331" w14:textId="408F771F" w:rsidR="00EB589D" w:rsidRPr="00A55335" w:rsidRDefault="00EB589D" w:rsidP="007252A0">
            <w:pPr>
              <w:pStyle w:val="Tabletext8pt"/>
              <w:jc w:val="center"/>
            </w:pPr>
            <w:r w:rsidRPr="00A55335">
              <w:t>226</w:t>
            </w:r>
          </w:p>
          <w:p w14:paraId="373E4A21" w14:textId="55F2EBA4" w:rsidR="006E6BC3" w:rsidRPr="00A55335" w:rsidRDefault="006E6BC3" w:rsidP="007252A0">
            <w:pPr>
              <w:pStyle w:val="Tabletext8pt"/>
              <w:jc w:val="center"/>
            </w:pPr>
            <w:r w:rsidRPr="00A55335">
              <w:t>(</w:t>
            </w:r>
            <w:r w:rsidR="00EB589D" w:rsidRPr="00A55335">
              <w:t>3</w:t>
            </w:r>
            <w:r w:rsidRPr="00A55335">
              <w:t xml:space="preserve"> </w:t>
            </w:r>
            <w:r w:rsidR="00555E2F">
              <w:t>RCTs</w:t>
            </w:r>
            <w:r w:rsidRPr="00A55335">
              <w:t>)</w:t>
            </w:r>
          </w:p>
        </w:tc>
        <w:tc>
          <w:tcPr>
            <w:tcW w:w="581" w:type="pct"/>
            <w:tcBorders>
              <w:top w:val="single" w:sz="6" w:space="0" w:color="000000"/>
              <w:left w:val="nil"/>
              <w:bottom w:val="single" w:sz="6" w:space="0" w:color="000000"/>
              <w:right w:val="nil"/>
            </w:tcBorders>
            <w:vAlign w:val="center"/>
            <w:hideMark/>
          </w:tcPr>
          <w:p w14:paraId="6BAE98C5" w14:textId="1E5B3F4E" w:rsidR="006E6BC3" w:rsidRPr="00A55335" w:rsidRDefault="006E6BC3" w:rsidP="00077CA6">
            <w:pPr>
              <w:pStyle w:val="Tabletext8pt"/>
              <w:jc w:val="center"/>
            </w:pPr>
            <w:r w:rsidRPr="00A55335">
              <w:rPr>
                <w:rStyle w:val="quality-sign"/>
                <w:rFonts w:ascii="Cambria Math" w:hAnsi="Cambria Math"/>
              </w:rPr>
              <w:t>⨁</w:t>
            </w:r>
            <w:r w:rsidR="00956599" w:rsidRPr="00A55335">
              <w:rPr>
                <w:rStyle w:val="quality-sign"/>
                <w:rFonts w:ascii="Cambria Math" w:hAnsi="Cambria Math"/>
              </w:rPr>
              <w:t>◯</w:t>
            </w:r>
            <w:r w:rsidR="00D0227B" w:rsidRPr="00A55335">
              <w:rPr>
                <w:rStyle w:val="quality-sign"/>
                <w:rFonts w:ascii="Cambria Math" w:hAnsi="Cambria Math"/>
              </w:rPr>
              <w:t>◯</w:t>
            </w:r>
            <w:r w:rsidRPr="00A55335">
              <w:rPr>
                <w:rStyle w:val="quality-sign"/>
                <w:rFonts w:ascii="Cambria Math" w:hAnsi="Cambria Math"/>
              </w:rPr>
              <w:t>◯</w:t>
            </w:r>
            <w:r w:rsidRPr="00A55335">
              <w:br/>
            </w:r>
            <w:r w:rsidR="00956599" w:rsidRPr="00A55335">
              <w:rPr>
                <w:rStyle w:val="QualitytextChar"/>
              </w:rPr>
              <w:t xml:space="preserve">Very </w:t>
            </w:r>
            <w:r w:rsidR="00D0227B" w:rsidRPr="00A55335">
              <w:rPr>
                <w:rStyle w:val="QualitytextChar"/>
              </w:rPr>
              <w:t xml:space="preserve">LOW </w:t>
            </w:r>
            <w:proofErr w:type="spellStart"/>
            <w:proofErr w:type="gramStart"/>
            <w:r w:rsidRPr="00A55335">
              <w:rPr>
                <w:rFonts w:cs="Montserrat"/>
                <w:color w:val="000000"/>
                <w:vertAlign w:val="superscript"/>
              </w:rPr>
              <w:t>a,b</w:t>
            </w:r>
            <w:proofErr w:type="gramEnd"/>
            <w:r w:rsidRPr="00A55335">
              <w:rPr>
                <w:rFonts w:cs="Montserrat"/>
                <w:color w:val="000000"/>
                <w:vertAlign w:val="superscript"/>
              </w:rPr>
              <w:t>,c,d,e</w:t>
            </w:r>
            <w:proofErr w:type="spellEnd"/>
          </w:p>
        </w:tc>
        <w:tc>
          <w:tcPr>
            <w:tcW w:w="1073" w:type="pct"/>
            <w:tcBorders>
              <w:top w:val="single" w:sz="6" w:space="0" w:color="000000"/>
              <w:left w:val="nil"/>
              <w:bottom w:val="single" w:sz="6" w:space="0" w:color="000000"/>
              <w:right w:val="nil"/>
            </w:tcBorders>
            <w:vAlign w:val="center"/>
            <w:hideMark/>
          </w:tcPr>
          <w:p w14:paraId="2427B408" w14:textId="26ADC4C8" w:rsidR="006E6BC3" w:rsidRPr="00A55335" w:rsidRDefault="00956599" w:rsidP="00077CA6">
            <w:pPr>
              <w:pStyle w:val="Tabletext8pt"/>
            </w:pPr>
            <w:r w:rsidRPr="00A55335">
              <w:t>The evidence is very uncertain about the effect</w:t>
            </w:r>
            <w:r w:rsidR="00F35B39" w:rsidRPr="00A55335">
              <w:t>s</w:t>
            </w:r>
            <w:r w:rsidRPr="00A55335">
              <w:t xml:space="preserve"> of h</w:t>
            </w:r>
            <w:r w:rsidR="006E6BC3" w:rsidRPr="00A55335">
              <w:t xml:space="preserve">omeopathy </w:t>
            </w:r>
            <w:r w:rsidRPr="00A55335">
              <w:t>on</w:t>
            </w:r>
            <w:r w:rsidR="006E6BC3" w:rsidRPr="00A55335">
              <w:t xml:space="preserve"> headache or migraine frequency in people with headache disorders</w:t>
            </w:r>
          </w:p>
        </w:tc>
      </w:tr>
      <w:tr w:rsidR="00277DEF" w:rsidRPr="00A55335" w14:paraId="26233FA1" w14:textId="77777777" w:rsidTr="00CE4C1F">
        <w:trPr>
          <w:cantSplit/>
        </w:trPr>
        <w:tc>
          <w:tcPr>
            <w:tcW w:w="946" w:type="pct"/>
            <w:tcBorders>
              <w:top w:val="single" w:sz="6" w:space="0" w:color="000000"/>
              <w:left w:val="nil"/>
              <w:bottom w:val="single" w:sz="6" w:space="0" w:color="000000"/>
              <w:right w:val="nil"/>
            </w:tcBorders>
            <w:vAlign w:val="center"/>
            <w:hideMark/>
          </w:tcPr>
          <w:p w14:paraId="2808A41A" w14:textId="78ED4E33" w:rsidR="00DD505D" w:rsidRPr="00A55335" w:rsidRDefault="002A1B11" w:rsidP="002A1B11">
            <w:pPr>
              <w:pStyle w:val="Tabletext8pt"/>
              <w:rPr>
                <w:b/>
                <w:bCs/>
                <w:color w:val="F9F9F9" w:themeColor="background1"/>
              </w:rPr>
            </w:pPr>
            <w:r w:rsidRPr="00A55335">
              <w:lastRenderedPageBreak/>
              <w:t>Migraine severity</w:t>
            </w:r>
            <w:r w:rsidRPr="00A55335">
              <w:br/>
              <w:t xml:space="preserve">assessed with: </w:t>
            </w:r>
            <w:r w:rsidR="0017444F" w:rsidRPr="00A55335">
              <w:t>Patient rated mild-moderate-severe</w:t>
            </w:r>
            <w:r w:rsidRPr="00A55335">
              <w:br/>
              <w:t xml:space="preserve">follow-up: </w:t>
            </w:r>
            <w:r w:rsidR="00560F4A" w:rsidRPr="00A55335">
              <w:t xml:space="preserve">4 months </w:t>
            </w:r>
          </w:p>
        </w:tc>
        <w:tc>
          <w:tcPr>
            <w:tcW w:w="1309" w:type="pct"/>
            <w:gridSpan w:val="2"/>
            <w:tcBorders>
              <w:top w:val="single" w:sz="6" w:space="0" w:color="000000"/>
              <w:left w:val="nil"/>
              <w:bottom w:val="single" w:sz="6" w:space="0" w:color="000000"/>
              <w:right w:val="nil"/>
            </w:tcBorders>
            <w:shd w:val="clear" w:color="auto" w:fill="EBEBEB"/>
            <w:vAlign w:val="center"/>
            <w:hideMark/>
          </w:tcPr>
          <w:p w14:paraId="6E8C38FB" w14:textId="4DEA3964" w:rsidR="00DD505D" w:rsidRPr="00A55335" w:rsidRDefault="00956599" w:rsidP="006D722D">
            <w:pPr>
              <w:pStyle w:val="Tabletext8pt"/>
            </w:pPr>
            <w:r w:rsidRPr="00A55335">
              <w:rPr>
                <w:rFonts w:cs="Montserrat"/>
                <w:color w:val="000000"/>
              </w:rPr>
              <w:t>O</w:t>
            </w:r>
            <w:r w:rsidR="003E6E5C" w:rsidRPr="00A55335">
              <w:rPr>
                <w:rFonts w:cs="Montserrat"/>
                <w:color w:val="000000"/>
              </w:rPr>
              <w:t xml:space="preserve">ne study </w:t>
            </w:r>
            <w:r w:rsidRPr="00A55335">
              <w:rPr>
                <w:rFonts w:cs="Montserrat"/>
                <w:color w:val="000000"/>
              </w:rPr>
              <w:t>suggests</w:t>
            </w:r>
            <w:r w:rsidR="003E6E5C" w:rsidRPr="00A55335">
              <w:rPr>
                <w:rFonts w:cs="Montserrat"/>
                <w:color w:val="000000"/>
              </w:rPr>
              <w:t xml:space="preserve"> </w:t>
            </w:r>
            <w:r w:rsidR="00BF1BE2" w:rsidRPr="00A55335">
              <w:rPr>
                <w:rFonts w:cs="Montserrat"/>
                <w:color w:val="000000"/>
              </w:rPr>
              <w:t xml:space="preserve">both homeopathy and placebo groups had a reduction in </w:t>
            </w:r>
            <w:r w:rsidR="00DB1587" w:rsidRPr="00A55335">
              <w:rPr>
                <w:rFonts w:cs="Montserrat"/>
                <w:color w:val="000000"/>
              </w:rPr>
              <w:t>the rate of mild, moderate and severe headac</w:t>
            </w:r>
            <w:r w:rsidR="00DE681D" w:rsidRPr="00A55335">
              <w:rPr>
                <w:rFonts w:cs="Montserrat"/>
                <w:color w:val="000000"/>
              </w:rPr>
              <w:t>hes.</w:t>
            </w:r>
            <w:r w:rsidR="00AD63F3" w:rsidRPr="00A55335">
              <w:rPr>
                <w:rFonts w:cs="Montserrat"/>
                <w:color w:val="000000"/>
              </w:rPr>
              <w:t xml:space="preserve"> </w:t>
            </w:r>
            <w:r w:rsidR="00B74E70" w:rsidRPr="00A55335">
              <w:rPr>
                <w:rFonts w:cs="Montserrat"/>
                <w:color w:val="000000"/>
              </w:rPr>
              <w:t>Reported data are incomplete and not able to be included in the quantitative analysis.</w:t>
            </w:r>
          </w:p>
        </w:tc>
        <w:tc>
          <w:tcPr>
            <w:tcW w:w="436" w:type="pct"/>
            <w:tcBorders>
              <w:top w:val="single" w:sz="6" w:space="0" w:color="000000"/>
              <w:left w:val="nil"/>
              <w:bottom w:val="single" w:sz="6" w:space="0" w:color="000000"/>
              <w:right w:val="nil"/>
            </w:tcBorders>
            <w:vAlign w:val="center"/>
            <w:hideMark/>
          </w:tcPr>
          <w:p w14:paraId="1472F696" w14:textId="7D540A7F" w:rsidR="00DD505D" w:rsidRPr="00A55335" w:rsidRDefault="00537088" w:rsidP="007252A0">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196AA6A5" w14:textId="2B1CA5F5" w:rsidR="00DD505D" w:rsidRPr="00A55335" w:rsidRDefault="006B3B45" w:rsidP="007252A0">
            <w:pPr>
              <w:pStyle w:val="Tabletext8pt"/>
              <w:jc w:val="center"/>
            </w:pPr>
            <w:r w:rsidRPr="00A55335">
              <w:t>63</w:t>
            </w:r>
            <w:r w:rsidRPr="00A55335">
              <w:br/>
            </w:r>
            <w:r w:rsidR="00DD505D" w:rsidRPr="00A55335">
              <w:t>(1 RCT)</w:t>
            </w:r>
          </w:p>
        </w:tc>
        <w:tc>
          <w:tcPr>
            <w:tcW w:w="581" w:type="pct"/>
            <w:tcBorders>
              <w:top w:val="single" w:sz="6" w:space="0" w:color="000000"/>
              <w:left w:val="nil"/>
              <w:bottom w:val="single" w:sz="6" w:space="0" w:color="000000"/>
              <w:right w:val="nil"/>
            </w:tcBorders>
            <w:vAlign w:val="center"/>
            <w:hideMark/>
          </w:tcPr>
          <w:p w14:paraId="2B87CCBA" w14:textId="0862CAB5" w:rsidR="00DD505D" w:rsidRPr="00A55335" w:rsidRDefault="00DD505D" w:rsidP="00413EA3">
            <w:pPr>
              <w:pStyle w:val="Tabletext8pt"/>
              <w:jc w:val="center"/>
            </w:pPr>
            <w:r w:rsidRPr="00A55335">
              <w:rPr>
                <w:rStyle w:val="quality-sign"/>
                <w:rFonts w:ascii="Cambria Math" w:hAnsi="Cambria Math"/>
              </w:rPr>
              <w:t>⨁</w:t>
            </w:r>
            <w:r w:rsidR="00C43F04" w:rsidRPr="00A55335">
              <w:rPr>
                <w:rStyle w:val="quality-sign"/>
                <w:rFonts w:ascii="Cambria Math" w:hAnsi="Cambria Math"/>
              </w:rPr>
              <w:t>◯</w:t>
            </w:r>
            <w:r w:rsidRPr="00A55335">
              <w:rPr>
                <w:rStyle w:val="quality-sign"/>
                <w:rFonts w:ascii="Cambria Math" w:hAnsi="Cambria Math"/>
              </w:rPr>
              <w:t>◯◯</w:t>
            </w:r>
            <w:r w:rsidRPr="00A55335">
              <w:br/>
            </w:r>
            <w:r w:rsidR="00C43F04" w:rsidRPr="00A55335">
              <w:rPr>
                <w:rStyle w:val="QualitytextChar"/>
              </w:rPr>
              <w:t xml:space="preserve">Very </w:t>
            </w:r>
            <w:r w:rsidRPr="00A55335">
              <w:rPr>
                <w:rStyle w:val="QualitytextChar"/>
              </w:rPr>
              <w:t>Low</w:t>
            </w:r>
            <w:r w:rsidR="00413EA3" w:rsidRPr="00A55335">
              <w:rPr>
                <w:rStyle w:val="QualitytextChar"/>
              </w:rPr>
              <w:t xml:space="preserve"> </w:t>
            </w:r>
            <w:proofErr w:type="spellStart"/>
            <w:r w:rsidR="009025C0" w:rsidRPr="00A55335">
              <w:rPr>
                <w:rStyle w:val="FootnoteReference"/>
              </w:rPr>
              <w:t>c,</w:t>
            </w:r>
            <w:r w:rsidR="000809FD" w:rsidRPr="00A55335">
              <w:rPr>
                <w:rStyle w:val="FootnoteReference"/>
              </w:rPr>
              <w:t>d,</w:t>
            </w:r>
            <w:r w:rsidR="009025C0" w:rsidRPr="00A55335">
              <w:rPr>
                <w:rStyle w:val="FootnoteReference"/>
              </w:rPr>
              <w:t>e,</w:t>
            </w:r>
            <w:r w:rsidR="00C43F04" w:rsidRPr="00A55335">
              <w:rPr>
                <w:rStyle w:val="FootnoteReference"/>
              </w:rPr>
              <w:t>f,g</w:t>
            </w:r>
            <w:proofErr w:type="spellEnd"/>
          </w:p>
        </w:tc>
        <w:tc>
          <w:tcPr>
            <w:tcW w:w="1073" w:type="pct"/>
            <w:tcBorders>
              <w:top w:val="single" w:sz="6" w:space="0" w:color="000000"/>
              <w:left w:val="nil"/>
              <w:bottom w:val="single" w:sz="6" w:space="0" w:color="000000"/>
              <w:right w:val="nil"/>
            </w:tcBorders>
            <w:vAlign w:val="center"/>
            <w:hideMark/>
          </w:tcPr>
          <w:p w14:paraId="13C5CBAC" w14:textId="5C6D5655" w:rsidR="00DD505D" w:rsidRPr="00A55335" w:rsidRDefault="00956599" w:rsidP="00056710">
            <w:pPr>
              <w:pStyle w:val="Tabletext8pt"/>
            </w:pPr>
            <w:r w:rsidRPr="00A55335">
              <w:t>The evidence is very uncertain about the effect</w:t>
            </w:r>
            <w:r w:rsidR="00F35B39" w:rsidRPr="00A55335">
              <w:t>s</w:t>
            </w:r>
            <w:r w:rsidRPr="00A55335">
              <w:t xml:space="preserve"> of h</w:t>
            </w:r>
            <w:r w:rsidR="00B74E70" w:rsidRPr="00A55335">
              <w:t xml:space="preserve">omeopathy </w:t>
            </w:r>
            <w:r w:rsidRPr="00A55335">
              <w:t>o</w:t>
            </w:r>
            <w:r w:rsidR="00B74E70" w:rsidRPr="00A55335">
              <w:t>n headache severity in people with headache disorders</w:t>
            </w:r>
          </w:p>
        </w:tc>
      </w:tr>
      <w:tr w:rsidR="00F04B86" w:rsidRPr="00A55335" w14:paraId="50CA80E1" w14:textId="77777777" w:rsidTr="00F04B86">
        <w:trPr>
          <w:cantSplit/>
        </w:trPr>
        <w:tc>
          <w:tcPr>
            <w:tcW w:w="946" w:type="pct"/>
            <w:tcBorders>
              <w:top w:val="single" w:sz="6" w:space="0" w:color="000000"/>
              <w:left w:val="nil"/>
              <w:bottom w:val="single" w:sz="6" w:space="0" w:color="000000"/>
              <w:right w:val="nil"/>
            </w:tcBorders>
            <w:vAlign w:val="center"/>
            <w:hideMark/>
          </w:tcPr>
          <w:p w14:paraId="14E6B4A9" w14:textId="29787E21" w:rsidR="00F04B86" w:rsidRPr="00A55335" w:rsidRDefault="00F04B86" w:rsidP="00056710">
            <w:pPr>
              <w:pStyle w:val="Tabletext8pt"/>
            </w:pPr>
            <w:r w:rsidRPr="00A55335">
              <w:t>Pain intensity</w:t>
            </w:r>
            <w:r w:rsidRPr="00A55335">
              <w:br/>
              <w:t>assessed with: VAS (higher is worse)</w:t>
            </w:r>
            <w:r w:rsidRPr="00A55335">
              <w:br/>
              <w:t>Scale from: 0 to 100</w:t>
            </w:r>
            <w:r w:rsidRPr="00A55335">
              <w:br/>
              <w:t>follow-up: 3 months</w:t>
            </w:r>
          </w:p>
        </w:tc>
        <w:tc>
          <w:tcPr>
            <w:tcW w:w="1309" w:type="pct"/>
            <w:gridSpan w:val="2"/>
            <w:tcBorders>
              <w:top w:val="single" w:sz="6" w:space="0" w:color="000000"/>
              <w:left w:val="nil"/>
              <w:bottom w:val="single" w:sz="6" w:space="0" w:color="000000"/>
              <w:right w:val="nil"/>
            </w:tcBorders>
            <w:shd w:val="clear" w:color="auto" w:fill="EBEBEB"/>
            <w:vAlign w:val="center"/>
            <w:hideMark/>
          </w:tcPr>
          <w:p w14:paraId="71AD6686" w14:textId="3C388FED" w:rsidR="00F04B86" w:rsidRPr="00A55335" w:rsidRDefault="00735DDE" w:rsidP="00891E11">
            <w:pPr>
              <w:pStyle w:val="Tabletext8pt"/>
              <w:jc w:val="center"/>
            </w:pPr>
            <w:r w:rsidRPr="00A55335">
              <w:t>Data</w:t>
            </w:r>
            <w:r w:rsidR="001B0458" w:rsidRPr="00A55335">
              <w:t xml:space="preserve"> from </w:t>
            </w:r>
            <w:r w:rsidRPr="00A55335">
              <w:t>two studies</w:t>
            </w:r>
            <w:r w:rsidR="001B0458" w:rsidRPr="00A55335">
              <w:t xml:space="preserve"> not able to be included in the </w:t>
            </w:r>
            <w:r w:rsidRPr="00A55335">
              <w:t>meta-</w:t>
            </w:r>
            <w:r w:rsidR="001B0458" w:rsidRPr="00A55335">
              <w:t>analysis</w:t>
            </w:r>
            <w:r w:rsidRPr="00A55335">
              <w:t xml:space="preserve"> suggests</w:t>
            </w:r>
            <w:r w:rsidR="001B0458" w:rsidRPr="00A55335">
              <w:t xml:space="preserve"> no difference between </w:t>
            </w:r>
            <w:r w:rsidRPr="00A55335">
              <w:t>homeopathy and placebo</w:t>
            </w:r>
            <w:r w:rsidR="001B0458" w:rsidRPr="00A55335">
              <w:t>.</w:t>
            </w:r>
          </w:p>
        </w:tc>
        <w:tc>
          <w:tcPr>
            <w:tcW w:w="436" w:type="pct"/>
            <w:tcBorders>
              <w:top w:val="single" w:sz="6" w:space="0" w:color="000000"/>
              <w:left w:val="nil"/>
              <w:bottom w:val="single" w:sz="6" w:space="0" w:color="000000"/>
              <w:right w:val="nil"/>
            </w:tcBorders>
            <w:vAlign w:val="center"/>
            <w:hideMark/>
          </w:tcPr>
          <w:p w14:paraId="24430630" w14:textId="59F0A84D" w:rsidR="00F04B86" w:rsidRPr="00A55335" w:rsidRDefault="00F04B86" w:rsidP="007252A0">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3A511B4E" w14:textId="1B83EADA" w:rsidR="00F04B86" w:rsidRPr="00A55335" w:rsidRDefault="00735DDE" w:rsidP="007252A0">
            <w:pPr>
              <w:pStyle w:val="Tabletext8pt"/>
              <w:jc w:val="center"/>
            </w:pPr>
            <w:r w:rsidRPr="00A55335">
              <w:t>163</w:t>
            </w:r>
            <w:r w:rsidR="00F04B86" w:rsidRPr="00A55335">
              <w:br/>
              <w:t>(</w:t>
            </w:r>
            <w:r w:rsidRPr="00A55335">
              <w:t>2</w:t>
            </w:r>
            <w:r w:rsidR="00F04B86" w:rsidRPr="00A55335">
              <w:t xml:space="preserve"> RCT</w:t>
            </w:r>
            <w:r w:rsidRPr="00A55335">
              <w:t>s</w:t>
            </w:r>
            <w:r w:rsidR="00F04B86" w:rsidRPr="00A55335">
              <w:t>)</w:t>
            </w:r>
          </w:p>
        </w:tc>
        <w:tc>
          <w:tcPr>
            <w:tcW w:w="581" w:type="pct"/>
            <w:tcBorders>
              <w:top w:val="single" w:sz="6" w:space="0" w:color="000000"/>
              <w:left w:val="nil"/>
              <w:bottom w:val="single" w:sz="6" w:space="0" w:color="000000"/>
              <w:right w:val="nil"/>
            </w:tcBorders>
            <w:vAlign w:val="center"/>
            <w:hideMark/>
          </w:tcPr>
          <w:p w14:paraId="54915E32" w14:textId="391C39D1" w:rsidR="00F04B86" w:rsidRPr="00A55335" w:rsidRDefault="00F04B86" w:rsidP="00413EA3">
            <w:pPr>
              <w:pStyle w:val="Tabletext8pt"/>
              <w:jc w:val="center"/>
            </w:pPr>
            <w:r w:rsidRPr="00A55335">
              <w:rPr>
                <w:rStyle w:val="quality-sign"/>
                <w:rFonts w:ascii="Cambria Math" w:hAnsi="Cambria Math"/>
              </w:rPr>
              <w:t>⨁</w:t>
            </w:r>
            <w:r w:rsidR="00F35B39" w:rsidRPr="00A55335">
              <w:rPr>
                <w:rStyle w:val="quality-sign"/>
                <w:rFonts w:ascii="Cambria Math" w:hAnsi="Cambria Math"/>
              </w:rPr>
              <w:t>◯</w:t>
            </w:r>
            <w:r w:rsidR="00956599" w:rsidRPr="00A55335">
              <w:rPr>
                <w:rStyle w:val="quality-sign"/>
                <w:rFonts w:ascii="Cambria Math" w:hAnsi="Cambria Math"/>
              </w:rPr>
              <w:t>◯</w:t>
            </w:r>
            <w:r w:rsidRPr="00A55335">
              <w:rPr>
                <w:rStyle w:val="quality-sign"/>
                <w:rFonts w:ascii="Cambria Math" w:hAnsi="Cambria Math"/>
              </w:rPr>
              <w:t>◯</w:t>
            </w:r>
            <w:r w:rsidRPr="00A55335">
              <w:br/>
            </w:r>
            <w:r w:rsidR="00F35B39" w:rsidRPr="00A55335">
              <w:rPr>
                <w:rStyle w:val="QualitytextChar"/>
              </w:rPr>
              <w:t xml:space="preserve">Very </w:t>
            </w:r>
            <w:r w:rsidR="00956599" w:rsidRPr="00A55335">
              <w:rPr>
                <w:rStyle w:val="QualitytextChar"/>
              </w:rPr>
              <w:t>Low</w:t>
            </w:r>
            <w:r w:rsidRPr="00A55335">
              <w:rPr>
                <w:rStyle w:val="QualitytextChar"/>
              </w:rPr>
              <w:t xml:space="preserve"> </w:t>
            </w:r>
            <w:proofErr w:type="spellStart"/>
            <w:r w:rsidRPr="00A55335">
              <w:rPr>
                <w:rStyle w:val="FootnoteReference"/>
              </w:rPr>
              <w:t>b,c,d,e,h</w:t>
            </w:r>
            <w:proofErr w:type="spellEnd"/>
          </w:p>
        </w:tc>
        <w:tc>
          <w:tcPr>
            <w:tcW w:w="1073" w:type="pct"/>
            <w:tcBorders>
              <w:top w:val="single" w:sz="6" w:space="0" w:color="000000"/>
              <w:left w:val="nil"/>
              <w:bottom w:val="single" w:sz="6" w:space="0" w:color="000000"/>
              <w:right w:val="nil"/>
            </w:tcBorders>
            <w:vAlign w:val="center"/>
            <w:hideMark/>
          </w:tcPr>
          <w:p w14:paraId="67D77C5A" w14:textId="0D30360A" w:rsidR="00F04B86" w:rsidRPr="00A55335" w:rsidRDefault="00F35B39" w:rsidP="00056710">
            <w:pPr>
              <w:pStyle w:val="Tabletext8pt"/>
            </w:pPr>
            <w:r w:rsidRPr="00A55335">
              <w:t>The evidence is very uncertain about the effects of h</w:t>
            </w:r>
            <w:r w:rsidR="001B0458" w:rsidRPr="00A55335">
              <w:t xml:space="preserve">omeopathy </w:t>
            </w:r>
            <w:r w:rsidR="000533D4" w:rsidRPr="00A55335">
              <w:t>on</w:t>
            </w:r>
            <w:r w:rsidR="001B0458" w:rsidRPr="00A55335">
              <w:t xml:space="preserve"> pain in people with headache disorders</w:t>
            </w:r>
          </w:p>
        </w:tc>
      </w:tr>
      <w:tr w:rsidR="003B38CF" w:rsidRPr="00A55335" w14:paraId="437C341A" w14:textId="77777777" w:rsidTr="003B38CF">
        <w:trPr>
          <w:cantSplit/>
        </w:trPr>
        <w:tc>
          <w:tcPr>
            <w:tcW w:w="946" w:type="pct"/>
            <w:tcBorders>
              <w:top w:val="single" w:sz="6" w:space="0" w:color="000000"/>
              <w:left w:val="nil"/>
              <w:bottom w:val="single" w:sz="6" w:space="0" w:color="000000"/>
              <w:right w:val="nil"/>
            </w:tcBorders>
            <w:vAlign w:val="center"/>
            <w:hideMark/>
          </w:tcPr>
          <w:p w14:paraId="38B3E283" w14:textId="0672D3DC" w:rsidR="003B38CF" w:rsidRPr="00A55335" w:rsidRDefault="003B38CF" w:rsidP="008F5B77">
            <w:pPr>
              <w:pStyle w:val="Tabletext8pt"/>
            </w:pPr>
            <w:r w:rsidRPr="00A55335">
              <w:t>Headache/migraine duration</w:t>
            </w:r>
            <w:r w:rsidRPr="00A55335">
              <w:br/>
              <w:t xml:space="preserve">assessed </w:t>
            </w:r>
            <w:proofErr w:type="gramStart"/>
            <w:r w:rsidRPr="00A55335">
              <w:t>with:</w:t>
            </w:r>
            <w:proofErr w:type="gramEnd"/>
            <w:r w:rsidRPr="00A55335">
              <w:t xml:space="preserve"> self-reported diary, hours (higher is worse)</w:t>
            </w:r>
            <w:r w:rsidRPr="00A55335">
              <w:br/>
              <w:t>follow-up: 3 months</w:t>
            </w:r>
          </w:p>
        </w:tc>
        <w:tc>
          <w:tcPr>
            <w:tcW w:w="1309" w:type="pct"/>
            <w:gridSpan w:val="2"/>
            <w:tcBorders>
              <w:top w:val="single" w:sz="6" w:space="0" w:color="000000"/>
              <w:left w:val="nil"/>
              <w:bottom w:val="single" w:sz="6" w:space="0" w:color="000000"/>
              <w:right w:val="nil"/>
            </w:tcBorders>
            <w:shd w:val="clear" w:color="auto" w:fill="EBEBEB"/>
            <w:vAlign w:val="center"/>
          </w:tcPr>
          <w:p w14:paraId="68058E02" w14:textId="405092A1" w:rsidR="003B38CF" w:rsidRPr="00A55335" w:rsidRDefault="003B38CF" w:rsidP="00891E11">
            <w:pPr>
              <w:pStyle w:val="Tabletext8pt"/>
              <w:jc w:val="center"/>
            </w:pPr>
            <w:r w:rsidRPr="00A55335">
              <w:t>Results from one study not able to be included in the quantitative analysis. Study authors report no difference between groups.</w:t>
            </w:r>
          </w:p>
        </w:tc>
        <w:tc>
          <w:tcPr>
            <w:tcW w:w="436" w:type="pct"/>
            <w:tcBorders>
              <w:top w:val="single" w:sz="6" w:space="0" w:color="000000"/>
              <w:left w:val="nil"/>
              <w:bottom w:val="single" w:sz="6" w:space="0" w:color="000000"/>
              <w:right w:val="nil"/>
            </w:tcBorders>
            <w:vAlign w:val="center"/>
            <w:hideMark/>
          </w:tcPr>
          <w:p w14:paraId="3825DB70" w14:textId="0DFDAA7F" w:rsidR="003B38CF" w:rsidRPr="00A55335" w:rsidRDefault="003B38CF" w:rsidP="007252A0">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1F602311" w14:textId="1683BA6A" w:rsidR="003B38CF" w:rsidRPr="00A55335" w:rsidRDefault="003B38CF" w:rsidP="007252A0">
            <w:pPr>
              <w:pStyle w:val="Tabletext8pt"/>
              <w:jc w:val="center"/>
            </w:pPr>
            <w:r w:rsidRPr="00A55335">
              <w:t>98</w:t>
            </w:r>
            <w:r w:rsidRPr="00A55335">
              <w:br/>
              <w:t>(1 RCT)</w:t>
            </w:r>
          </w:p>
        </w:tc>
        <w:tc>
          <w:tcPr>
            <w:tcW w:w="581" w:type="pct"/>
            <w:tcBorders>
              <w:top w:val="single" w:sz="6" w:space="0" w:color="000000"/>
              <w:left w:val="nil"/>
              <w:bottom w:val="single" w:sz="6" w:space="0" w:color="000000"/>
              <w:right w:val="nil"/>
            </w:tcBorders>
            <w:vAlign w:val="center"/>
            <w:hideMark/>
          </w:tcPr>
          <w:p w14:paraId="462E12AD" w14:textId="3231F332" w:rsidR="003B38CF" w:rsidRPr="00A55335" w:rsidRDefault="003B38CF" w:rsidP="008F5B77">
            <w:pPr>
              <w:pStyle w:val="Tabletext8pt"/>
              <w:jc w:val="center"/>
            </w:pPr>
            <w:r w:rsidRPr="00A55335">
              <w:rPr>
                <w:rStyle w:val="quality-sign"/>
                <w:rFonts w:ascii="Cambria Math" w:hAnsi="Cambria Math"/>
              </w:rPr>
              <w:t>⨁</w:t>
            </w:r>
            <w:r w:rsidR="00F35B39" w:rsidRPr="00A55335">
              <w:rPr>
                <w:rStyle w:val="quality-sign"/>
                <w:rFonts w:ascii="Cambria Math" w:hAnsi="Cambria Math"/>
              </w:rPr>
              <w:t>◯</w:t>
            </w:r>
            <w:r w:rsidRPr="00A55335">
              <w:rPr>
                <w:rStyle w:val="quality-sign"/>
                <w:rFonts w:ascii="Cambria Math" w:hAnsi="Cambria Math"/>
              </w:rPr>
              <w:t>◯◯</w:t>
            </w:r>
            <w:r w:rsidRPr="00A55335">
              <w:br/>
            </w:r>
            <w:r w:rsidR="00F35B39" w:rsidRPr="00A55335">
              <w:rPr>
                <w:rStyle w:val="QualitytextChar"/>
              </w:rPr>
              <w:t xml:space="preserve">Very </w:t>
            </w:r>
            <w:r w:rsidRPr="00A55335">
              <w:rPr>
                <w:rStyle w:val="QualitytextChar"/>
              </w:rPr>
              <w:t xml:space="preserve">Low </w:t>
            </w:r>
            <w:proofErr w:type="spellStart"/>
            <w:r w:rsidRPr="00A55335">
              <w:rPr>
                <w:rStyle w:val="FootnoteReference"/>
              </w:rPr>
              <w:t>c,d,e,g,h</w:t>
            </w:r>
            <w:proofErr w:type="spellEnd"/>
          </w:p>
        </w:tc>
        <w:tc>
          <w:tcPr>
            <w:tcW w:w="1073" w:type="pct"/>
            <w:tcBorders>
              <w:top w:val="single" w:sz="6" w:space="0" w:color="000000"/>
              <w:left w:val="nil"/>
              <w:bottom w:val="single" w:sz="6" w:space="0" w:color="000000"/>
              <w:right w:val="nil"/>
            </w:tcBorders>
            <w:vAlign w:val="center"/>
            <w:hideMark/>
          </w:tcPr>
          <w:p w14:paraId="708F45F8" w14:textId="7CEDEEFE" w:rsidR="003B38CF" w:rsidRPr="00A55335" w:rsidRDefault="000533D4" w:rsidP="008F5B77">
            <w:pPr>
              <w:pStyle w:val="Tabletext8pt"/>
            </w:pPr>
            <w:r w:rsidRPr="00A55335">
              <w:t>The evidence is very uncertain about the effects of h</w:t>
            </w:r>
            <w:r w:rsidR="003B38CF" w:rsidRPr="00A55335">
              <w:t xml:space="preserve">omeopathy </w:t>
            </w:r>
            <w:r w:rsidRPr="00A55335">
              <w:t>on</w:t>
            </w:r>
            <w:r w:rsidR="003B38CF" w:rsidRPr="00A55335">
              <w:t xml:space="preserve"> headache duration in people with headache disorders</w:t>
            </w:r>
          </w:p>
        </w:tc>
      </w:tr>
      <w:tr w:rsidR="008F5B77" w:rsidRPr="00A55335" w14:paraId="248402C8" w14:textId="77777777" w:rsidTr="00BE55A1">
        <w:trPr>
          <w:cantSplit/>
        </w:trPr>
        <w:tc>
          <w:tcPr>
            <w:tcW w:w="946" w:type="pct"/>
            <w:tcBorders>
              <w:top w:val="single" w:sz="6" w:space="0" w:color="000000"/>
              <w:left w:val="nil"/>
              <w:bottom w:val="single" w:sz="6" w:space="0" w:color="000000"/>
              <w:right w:val="nil"/>
            </w:tcBorders>
            <w:vAlign w:val="center"/>
            <w:hideMark/>
          </w:tcPr>
          <w:p w14:paraId="19201972" w14:textId="3D75995A" w:rsidR="008F5B77" w:rsidRPr="00A55335" w:rsidRDefault="008F5B77" w:rsidP="008F5B77">
            <w:pPr>
              <w:pStyle w:val="Tabletext8pt"/>
            </w:pPr>
            <w:r w:rsidRPr="00A55335">
              <w:t xml:space="preserve">Headache impact </w:t>
            </w:r>
            <w:r w:rsidR="003E172B" w:rsidRPr="00A55335">
              <w:t>–</w:t>
            </w:r>
            <w:r w:rsidRPr="00A55335">
              <w:t xml:space="preserve"> not reported</w:t>
            </w:r>
          </w:p>
        </w:tc>
        <w:tc>
          <w:tcPr>
            <w:tcW w:w="654" w:type="pct"/>
            <w:tcBorders>
              <w:top w:val="single" w:sz="6" w:space="0" w:color="000000"/>
              <w:left w:val="nil"/>
              <w:bottom w:val="single" w:sz="6" w:space="0" w:color="000000"/>
              <w:right w:val="nil"/>
            </w:tcBorders>
            <w:vAlign w:val="center"/>
            <w:hideMark/>
          </w:tcPr>
          <w:p w14:paraId="7F7CF125" w14:textId="77777777" w:rsidR="008F5B77" w:rsidRPr="00A55335" w:rsidRDefault="008F5B77" w:rsidP="00BE55A1">
            <w:pPr>
              <w:pStyle w:val="Tabletext8pt"/>
              <w:jc w:val="center"/>
            </w:pPr>
            <w:r w:rsidRPr="00A55335">
              <w:t>-</w:t>
            </w:r>
          </w:p>
        </w:tc>
        <w:tc>
          <w:tcPr>
            <w:tcW w:w="655" w:type="pct"/>
            <w:tcBorders>
              <w:top w:val="single" w:sz="6" w:space="0" w:color="000000"/>
              <w:left w:val="nil"/>
              <w:bottom w:val="single" w:sz="6" w:space="0" w:color="000000"/>
              <w:right w:val="nil"/>
            </w:tcBorders>
            <w:shd w:val="clear" w:color="auto" w:fill="EBEBEB"/>
            <w:hideMark/>
          </w:tcPr>
          <w:p w14:paraId="773C0443" w14:textId="77777777" w:rsidR="008F5B77" w:rsidRPr="00A55335" w:rsidRDefault="008F5B77" w:rsidP="00BE55A1">
            <w:pPr>
              <w:pStyle w:val="Tabletext8pt"/>
              <w:jc w:val="center"/>
            </w:pPr>
            <w:r w:rsidRPr="00A55335">
              <w:t>-</w:t>
            </w:r>
          </w:p>
        </w:tc>
        <w:tc>
          <w:tcPr>
            <w:tcW w:w="436" w:type="pct"/>
            <w:tcBorders>
              <w:top w:val="single" w:sz="6" w:space="0" w:color="000000"/>
              <w:left w:val="nil"/>
              <w:bottom w:val="single" w:sz="6" w:space="0" w:color="000000"/>
              <w:right w:val="nil"/>
            </w:tcBorders>
            <w:vAlign w:val="center"/>
            <w:hideMark/>
          </w:tcPr>
          <w:p w14:paraId="547C66DD" w14:textId="77777777" w:rsidR="008F5B77" w:rsidRPr="00A55335" w:rsidRDefault="008F5B77" w:rsidP="007252A0">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4383151C" w14:textId="6388E96F" w:rsidR="008F5B77" w:rsidRPr="00A55335" w:rsidRDefault="00506313" w:rsidP="007252A0">
            <w:pPr>
              <w:pStyle w:val="Tabletext8pt"/>
              <w:jc w:val="center"/>
            </w:pPr>
            <w:r w:rsidRPr="00A55335">
              <w:t>(0 studies)</w:t>
            </w:r>
          </w:p>
        </w:tc>
        <w:tc>
          <w:tcPr>
            <w:tcW w:w="581" w:type="pct"/>
            <w:tcBorders>
              <w:top w:val="single" w:sz="6" w:space="0" w:color="000000"/>
              <w:left w:val="nil"/>
              <w:bottom w:val="single" w:sz="6" w:space="0" w:color="000000"/>
              <w:right w:val="nil"/>
            </w:tcBorders>
            <w:vAlign w:val="center"/>
            <w:hideMark/>
          </w:tcPr>
          <w:p w14:paraId="16CDB16F" w14:textId="77777777" w:rsidR="008F5B77" w:rsidRPr="00A55335" w:rsidRDefault="008F5B77" w:rsidP="008F5B77">
            <w:pPr>
              <w:pStyle w:val="Tabletext8pt"/>
            </w:pPr>
            <w:r w:rsidRPr="00A55335">
              <w:t>-</w:t>
            </w:r>
          </w:p>
        </w:tc>
        <w:tc>
          <w:tcPr>
            <w:tcW w:w="1073" w:type="pct"/>
            <w:tcBorders>
              <w:top w:val="single" w:sz="6" w:space="0" w:color="000000"/>
              <w:left w:val="nil"/>
              <w:bottom w:val="single" w:sz="6" w:space="0" w:color="000000"/>
              <w:right w:val="nil"/>
            </w:tcBorders>
            <w:vAlign w:val="center"/>
            <w:hideMark/>
          </w:tcPr>
          <w:p w14:paraId="6C1CB621" w14:textId="62C924E9" w:rsidR="008F5B77" w:rsidRPr="00A55335" w:rsidRDefault="008F5B77" w:rsidP="008F5B77">
            <w:pPr>
              <w:pStyle w:val="Tabletext8pt"/>
            </w:pPr>
            <w:r w:rsidRPr="00A55335">
              <w:t>The effect of homeopathy on headache impact in people with headache</w:t>
            </w:r>
            <w:r w:rsidR="00506313" w:rsidRPr="00A55335">
              <w:t xml:space="preserve"> disorders</w:t>
            </w:r>
            <w:r w:rsidRPr="00A55335">
              <w:t xml:space="preserve"> is unknown</w:t>
            </w:r>
          </w:p>
        </w:tc>
      </w:tr>
      <w:tr w:rsidR="00EF23B5" w:rsidRPr="00A55335" w14:paraId="26D8E111" w14:textId="77777777" w:rsidTr="00BE55A1">
        <w:trPr>
          <w:cantSplit/>
        </w:trPr>
        <w:tc>
          <w:tcPr>
            <w:tcW w:w="946" w:type="pct"/>
            <w:tcBorders>
              <w:top w:val="single" w:sz="6" w:space="0" w:color="000000"/>
              <w:left w:val="nil"/>
              <w:bottom w:val="single" w:sz="6" w:space="0" w:color="000000"/>
              <w:right w:val="nil"/>
            </w:tcBorders>
            <w:vAlign w:val="center"/>
            <w:hideMark/>
          </w:tcPr>
          <w:p w14:paraId="7E01774B" w14:textId="6ABD0B80" w:rsidR="00EF23B5" w:rsidRPr="00A55335" w:rsidRDefault="00EF23B5" w:rsidP="00EF23B5">
            <w:pPr>
              <w:pStyle w:val="Tabletext8pt"/>
            </w:pPr>
            <w:r w:rsidRPr="00A55335">
              <w:t xml:space="preserve">Quality of life </w:t>
            </w:r>
            <w:r w:rsidR="003E172B" w:rsidRPr="00A55335">
              <w:t>–</w:t>
            </w:r>
            <w:r w:rsidRPr="00A55335">
              <w:t xml:space="preserve"> not reported</w:t>
            </w:r>
          </w:p>
        </w:tc>
        <w:tc>
          <w:tcPr>
            <w:tcW w:w="654" w:type="pct"/>
            <w:tcBorders>
              <w:top w:val="single" w:sz="6" w:space="0" w:color="000000"/>
              <w:left w:val="nil"/>
              <w:bottom w:val="single" w:sz="6" w:space="0" w:color="000000"/>
              <w:right w:val="nil"/>
            </w:tcBorders>
            <w:vAlign w:val="center"/>
            <w:hideMark/>
          </w:tcPr>
          <w:p w14:paraId="194A6BA3" w14:textId="77777777" w:rsidR="00EF23B5" w:rsidRPr="00A55335" w:rsidRDefault="00EF23B5" w:rsidP="00BE55A1">
            <w:pPr>
              <w:pStyle w:val="Tabletext8pt"/>
              <w:jc w:val="center"/>
            </w:pPr>
            <w:r w:rsidRPr="00A55335">
              <w:t>-</w:t>
            </w:r>
          </w:p>
        </w:tc>
        <w:tc>
          <w:tcPr>
            <w:tcW w:w="655" w:type="pct"/>
            <w:tcBorders>
              <w:top w:val="single" w:sz="6" w:space="0" w:color="000000"/>
              <w:left w:val="nil"/>
              <w:bottom w:val="single" w:sz="6" w:space="0" w:color="000000"/>
              <w:right w:val="nil"/>
            </w:tcBorders>
            <w:shd w:val="clear" w:color="auto" w:fill="EBEBEB"/>
            <w:hideMark/>
          </w:tcPr>
          <w:p w14:paraId="57101B90" w14:textId="77777777" w:rsidR="00EF23B5" w:rsidRPr="00A55335" w:rsidRDefault="00EF23B5" w:rsidP="00BE55A1">
            <w:pPr>
              <w:pStyle w:val="Tabletext8pt"/>
              <w:jc w:val="center"/>
            </w:pPr>
            <w:r w:rsidRPr="00A55335">
              <w:t>-</w:t>
            </w:r>
          </w:p>
        </w:tc>
        <w:tc>
          <w:tcPr>
            <w:tcW w:w="436" w:type="pct"/>
            <w:tcBorders>
              <w:top w:val="single" w:sz="6" w:space="0" w:color="000000"/>
              <w:left w:val="nil"/>
              <w:bottom w:val="single" w:sz="6" w:space="0" w:color="000000"/>
              <w:right w:val="nil"/>
            </w:tcBorders>
            <w:vAlign w:val="center"/>
            <w:hideMark/>
          </w:tcPr>
          <w:p w14:paraId="1FFE4ADE" w14:textId="77777777" w:rsidR="00EF23B5" w:rsidRPr="00A55335" w:rsidRDefault="00EF23B5" w:rsidP="007252A0">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798ADB2C" w14:textId="716F1799" w:rsidR="00EF23B5" w:rsidRPr="00A55335" w:rsidRDefault="00EF23B5" w:rsidP="007252A0">
            <w:pPr>
              <w:pStyle w:val="Tabletext8pt"/>
              <w:jc w:val="center"/>
            </w:pPr>
            <w:r w:rsidRPr="00A55335">
              <w:t>(0 studies)</w:t>
            </w:r>
          </w:p>
        </w:tc>
        <w:tc>
          <w:tcPr>
            <w:tcW w:w="581" w:type="pct"/>
            <w:tcBorders>
              <w:top w:val="single" w:sz="6" w:space="0" w:color="000000"/>
              <w:left w:val="nil"/>
              <w:bottom w:val="single" w:sz="6" w:space="0" w:color="000000"/>
              <w:right w:val="nil"/>
            </w:tcBorders>
            <w:vAlign w:val="center"/>
            <w:hideMark/>
          </w:tcPr>
          <w:p w14:paraId="5F070D7C" w14:textId="77777777" w:rsidR="00EF23B5" w:rsidRPr="00A55335" w:rsidRDefault="00EF23B5" w:rsidP="007252A0">
            <w:pPr>
              <w:pStyle w:val="Tabletext8pt"/>
              <w:jc w:val="center"/>
            </w:pPr>
            <w:r w:rsidRPr="00A55335">
              <w:t>-</w:t>
            </w:r>
          </w:p>
        </w:tc>
        <w:tc>
          <w:tcPr>
            <w:tcW w:w="1073" w:type="pct"/>
            <w:tcBorders>
              <w:top w:val="single" w:sz="6" w:space="0" w:color="000000"/>
              <w:left w:val="nil"/>
              <w:bottom w:val="single" w:sz="6" w:space="0" w:color="000000"/>
              <w:right w:val="nil"/>
            </w:tcBorders>
            <w:vAlign w:val="center"/>
            <w:hideMark/>
          </w:tcPr>
          <w:p w14:paraId="2C9D3A78" w14:textId="1CEE3367" w:rsidR="00EF23B5" w:rsidRPr="00A55335" w:rsidRDefault="00EF23B5" w:rsidP="00EF23B5">
            <w:pPr>
              <w:pStyle w:val="Tabletext8pt"/>
            </w:pPr>
            <w:r w:rsidRPr="00A55335">
              <w:t>The effect of homeopathy on quality of life in people with headache disorders is unknown</w:t>
            </w:r>
          </w:p>
        </w:tc>
      </w:tr>
      <w:tr w:rsidR="00EF23B5" w:rsidRPr="00A55335" w14:paraId="1FDCB622" w14:textId="77777777" w:rsidTr="00C31FD9">
        <w:trPr>
          <w:cantSplit/>
        </w:trPr>
        <w:tc>
          <w:tcPr>
            <w:tcW w:w="946" w:type="pct"/>
            <w:tcBorders>
              <w:top w:val="single" w:sz="6" w:space="0" w:color="000000"/>
              <w:left w:val="nil"/>
              <w:bottom w:val="single" w:sz="6" w:space="0" w:color="000000"/>
              <w:right w:val="nil"/>
            </w:tcBorders>
            <w:vAlign w:val="center"/>
            <w:hideMark/>
          </w:tcPr>
          <w:p w14:paraId="776B709E" w14:textId="377C342C" w:rsidR="00EF23B5" w:rsidRPr="00A55335" w:rsidRDefault="00EF23B5" w:rsidP="00EF23B5">
            <w:pPr>
              <w:pStyle w:val="Tabletext8pt"/>
            </w:pPr>
            <w:r w:rsidRPr="00A55335">
              <w:t>Medication use</w:t>
            </w:r>
            <w:r w:rsidRPr="00A55335">
              <w:br/>
              <w:t xml:space="preserve">assessed </w:t>
            </w:r>
            <w:proofErr w:type="gramStart"/>
            <w:r w:rsidRPr="00A55335">
              <w:t>with:</w:t>
            </w:r>
            <w:proofErr w:type="gramEnd"/>
            <w:r w:rsidRPr="00A55335">
              <w:t xml:space="preserve"> self-reported diary</w:t>
            </w:r>
            <w:r w:rsidRPr="00A55335">
              <w:br/>
              <w:t>follow-up: 4 months</w:t>
            </w:r>
          </w:p>
        </w:tc>
        <w:tc>
          <w:tcPr>
            <w:tcW w:w="1309" w:type="pct"/>
            <w:gridSpan w:val="2"/>
            <w:tcBorders>
              <w:top w:val="single" w:sz="6" w:space="0" w:color="000000"/>
              <w:left w:val="nil"/>
              <w:bottom w:val="single" w:sz="6" w:space="0" w:color="000000"/>
              <w:right w:val="nil"/>
            </w:tcBorders>
            <w:shd w:val="clear" w:color="auto" w:fill="EBEBEB"/>
            <w:vAlign w:val="center"/>
            <w:hideMark/>
          </w:tcPr>
          <w:p w14:paraId="6FCC65EA" w14:textId="1CF1B936" w:rsidR="00EF23B5" w:rsidRPr="00A55335" w:rsidRDefault="00E97343" w:rsidP="00891E11">
            <w:pPr>
              <w:pStyle w:val="Tabletext8pt"/>
              <w:jc w:val="center"/>
            </w:pPr>
            <w:r w:rsidRPr="00A55335">
              <w:t xml:space="preserve">Two studies do not report sufficient data for inclusion in the meta-analysis, but </w:t>
            </w:r>
            <w:r w:rsidR="00956599" w:rsidRPr="00A55335">
              <w:t>suggest no</w:t>
            </w:r>
            <w:r w:rsidRPr="00A55335">
              <w:t xml:space="preserve"> difference between homeopathy and placebo</w:t>
            </w:r>
            <w:r w:rsidR="00956599" w:rsidRPr="00A55335">
              <w:t xml:space="preserve"> </w:t>
            </w:r>
            <w:proofErr w:type="gramStart"/>
            <w:r w:rsidR="00956599" w:rsidRPr="00A55335">
              <w:t>groups</w:t>
            </w:r>
            <w:r w:rsidR="007643C1" w:rsidRPr="00A55335">
              <w:rPr>
                <w:rFonts w:cs="Montserrat"/>
                <w:color w:val="000000"/>
              </w:rPr>
              <w:t>.^</w:t>
            </w:r>
            <w:proofErr w:type="gramEnd"/>
          </w:p>
        </w:tc>
        <w:tc>
          <w:tcPr>
            <w:tcW w:w="436" w:type="pct"/>
            <w:tcBorders>
              <w:top w:val="single" w:sz="6" w:space="0" w:color="000000"/>
              <w:left w:val="nil"/>
              <w:bottom w:val="single" w:sz="6" w:space="0" w:color="000000"/>
              <w:right w:val="nil"/>
            </w:tcBorders>
            <w:vAlign w:val="center"/>
            <w:hideMark/>
          </w:tcPr>
          <w:p w14:paraId="0F6EC06A" w14:textId="0DD52DAC" w:rsidR="00EF23B5" w:rsidRPr="00A55335" w:rsidRDefault="00EF23B5" w:rsidP="007252A0">
            <w:pPr>
              <w:pStyle w:val="Tabletext8pt"/>
              <w:jc w:val="center"/>
            </w:pPr>
            <w:r w:rsidRPr="00A55335">
              <w:t>-</w:t>
            </w:r>
          </w:p>
        </w:tc>
        <w:tc>
          <w:tcPr>
            <w:tcW w:w="655" w:type="pct"/>
            <w:tcBorders>
              <w:top w:val="single" w:sz="6" w:space="0" w:color="000000"/>
              <w:left w:val="nil"/>
              <w:bottom w:val="single" w:sz="6" w:space="0" w:color="000000"/>
              <w:right w:val="nil"/>
            </w:tcBorders>
            <w:vAlign w:val="center"/>
            <w:hideMark/>
          </w:tcPr>
          <w:p w14:paraId="26D86678" w14:textId="60A6AB72" w:rsidR="00EF23B5" w:rsidRPr="00A55335" w:rsidRDefault="00EF23B5" w:rsidP="007252A0">
            <w:pPr>
              <w:pStyle w:val="Tabletext8pt"/>
              <w:jc w:val="center"/>
            </w:pPr>
            <w:r w:rsidRPr="00A55335">
              <w:t>163</w:t>
            </w:r>
            <w:r w:rsidRPr="00A55335">
              <w:br/>
              <w:t>(2 RCTs)</w:t>
            </w:r>
          </w:p>
        </w:tc>
        <w:tc>
          <w:tcPr>
            <w:tcW w:w="581" w:type="pct"/>
            <w:tcBorders>
              <w:top w:val="single" w:sz="6" w:space="0" w:color="000000"/>
              <w:left w:val="nil"/>
              <w:bottom w:val="single" w:sz="6" w:space="0" w:color="000000"/>
              <w:right w:val="nil"/>
            </w:tcBorders>
            <w:vAlign w:val="center"/>
            <w:hideMark/>
          </w:tcPr>
          <w:p w14:paraId="56DFD9C4" w14:textId="10999BC5" w:rsidR="00EF23B5" w:rsidRPr="00A55335" w:rsidRDefault="00EF23B5" w:rsidP="00EF23B5">
            <w:pPr>
              <w:pStyle w:val="Tabletext8pt"/>
              <w:jc w:val="center"/>
            </w:pPr>
            <w:r w:rsidRPr="00A55335">
              <w:rPr>
                <w:rStyle w:val="quality-sign"/>
                <w:rFonts w:ascii="Cambria Math" w:hAnsi="Cambria Math"/>
              </w:rPr>
              <w:t>⨁</w:t>
            </w:r>
            <w:r w:rsidR="00F35B39" w:rsidRPr="00A55335">
              <w:rPr>
                <w:rStyle w:val="quality-sign"/>
                <w:rFonts w:ascii="Cambria Math" w:hAnsi="Cambria Math"/>
              </w:rPr>
              <w:t>◯</w:t>
            </w:r>
            <w:r w:rsidRPr="00A55335">
              <w:rPr>
                <w:rStyle w:val="quality-sign"/>
                <w:rFonts w:ascii="Cambria Math" w:hAnsi="Cambria Math"/>
              </w:rPr>
              <w:t>◯◯</w:t>
            </w:r>
            <w:r w:rsidRPr="00A55335">
              <w:br/>
            </w:r>
            <w:r w:rsidR="00F35B39" w:rsidRPr="00A55335">
              <w:rPr>
                <w:rStyle w:val="QualitytextChar"/>
              </w:rPr>
              <w:t xml:space="preserve">Very </w:t>
            </w:r>
            <w:r w:rsidRPr="00A55335">
              <w:rPr>
                <w:rStyle w:val="QualitytextChar"/>
              </w:rPr>
              <w:t xml:space="preserve">Low </w:t>
            </w:r>
            <w:proofErr w:type="spellStart"/>
            <w:r w:rsidR="00956599" w:rsidRPr="00A55335">
              <w:rPr>
                <w:rStyle w:val="FootnoteReference"/>
              </w:rPr>
              <w:t>b</w:t>
            </w:r>
            <w:r w:rsidRPr="00A55335">
              <w:rPr>
                <w:rStyle w:val="FootnoteReference"/>
              </w:rPr>
              <w:t>,c,</w:t>
            </w:r>
            <w:r w:rsidR="00956599" w:rsidRPr="00A55335">
              <w:rPr>
                <w:rStyle w:val="FootnoteReference"/>
              </w:rPr>
              <w:t>d,</w:t>
            </w:r>
            <w:r w:rsidRPr="00A55335">
              <w:rPr>
                <w:rStyle w:val="FootnoteReference"/>
              </w:rPr>
              <w:t>e,h</w:t>
            </w:r>
            <w:proofErr w:type="spellEnd"/>
          </w:p>
        </w:tc>
        <w:tc>
          <w:tcPr>
            <w:tcW w:w="1073" w:type="pct"/>
            <w:tcBorders>
              <w:top w:val="single" w:sz="6" w:space="0" w:color="000000"/>
              <w:left w:val="nil"/>
              <w:bottom w:val="single" w:sz="6" w:space="0" w:color="000000"/>
              <w:right w:val="nil"/>
            </w:tcBorders>
            <w:vAlign w:val="center"/>
            <w:hideMark/>
          </w:tcPr>
          <w:p w14:paraId="64B21BAD" w14:textId="10BDA486" w:rsidR="00EF23B5" w:rsidRPr="00A55335" w:rsidRDefault="000533D4" w:rsidP="00EF23B5">
            <w:pPr>
              <w:pStyle w:val="Tabletext8pt"/>
            </w:pPr>
            <w:r w:rsidRPr="00A55335">
              <w:t>The evidence is very uncertain about the effects of h</w:t>
            </w:r>
            <w:r w:rsidR="00EF23B5" w:rsidRPr="00A55335">
              <w:t xml:space="preserve">omeopathy </w:t>
            </w:r>
            <w:r w:rsidRPr="00A55335">
              <w:t>on</w:t>
            </w:r>
            <w:r w:rsidR="00EF23B5" w:rsidRPr="00A55335">
              <w:t xml:space="preserve"> medication use in people with headache disorders</w:t>
            </w:r>
          </w:p>
        </w:tc>
      </w:tr>
      <w:tr w:rsidR="00EF23B5" w:rsidRPr="00A55335" w14:paraId="75782B57" w14:textId="77777777" w:rsidTr="003071D2">
        <w:trPr>
          <w:cantSplit/>
        </w:trPr>
        <w:tc>
          <w:tcPr>
            <w:tcW w:w="5000" w:type="pct"/>
            <w:gridSpan w:val="7"/>
            <w:tcBorders>
              <w:top w:val="single" w:sz="6" w:space="0" w:color="000000"/>
              <w:left w:val="nil"/>
              <w:bottom w:val="single" w:sz="6" w:space="0" w:color="000000"/>
              <w:right w:val="nil"/>
            </w:tcBorders>
            <w:vAlign w:val="center"/>
            <w:hideMark/>
          </w:tcPr>
          <w:p w14:paraId="2C96CC0A" w14:textId="77777777" w:rsidR="00EF23B5" w:rsidRPr="00A55335" w:rsidRDefault="00EF23B5" w:rsidP="00EF23B5">
            <w:pPr>
              <w:pStyle w:val="TableFigNotes18"/>
            </w:pPr>
            <w:r w:rsidRPr="00A55335">
              <w:rPr>
                <w:rStyle w:val="Strong"/>
              </w:rPr>
              <w:lastRenderedPageBreak/>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396AF833" w14:textId="77777777" w:rsidR="00EF23B5" w:rsidRPr="00A55335" w:rsidRDefault="00EF23B5" w:rsidP="00EF23B5">
            <w:pPr>
              <w:pStyle w:val="TableFigNotes18"/>
            </w:pPr>
          </w:p>
          <w:p w14:paraId="3C854AB6" w14:textId="41BD22E9" w:rsidR="00695C64" w:rsidRPr="00A55335" w:rsidRDefault="00695C64" w:rsidP="00703609">
            <w:pPr>
              <w:pStyle w:val="TableFigNotes18"/>
            </w:pPr>
            <w:r w:rsidRPr="00A55335">
              <w:t xml:space="preserve">^ </w:t>
            </w:r>
            <w:r w:rsidR="009B1EB4" w:rsidRPr="00A55335">
              <w:t>O</w:t>
            </w:r>
            <w:r w:rsidR="003D1DA2" w:rsidRPr="00A55335">
              <w:t xml:space="preserve">ne study reported a </w:t>
            </w:r>
            <w:r w:rsidRPr="00A55335">
              <w:t xml:space="preserve">52% reduction </w:t>
            </w:r>
            <w:r w:rsidR="003D1DA2" w:rsidRPr="00A55335">
              <w:t>in</w:t>
            </w:r>
            <w:r w:rsidR="009B1EB4" w:rsidRPr="00A55335">
              <w:t xml:space="preserve"> medication use per attack from baseline</w:t>
            </w:r>
            <w:r w:rsidR="00FC1F10" w:rsidRPr="00A55335">
              <w:t xml:space="preserve"> </w:t>
            </w:r>
            <w:r w:rsidR="005050A1" w:rsidRPr="00A55335">
              <w:t>in</w:t>
            </w:r>
            <w:r w:rsidR="0052733B" w:rsidRPr="00A55335">
              <w:t xml:space="preserve"> </w:t>
            </w:r>
            <w:r w:rsidR="003D1DA2" w:rsidRPr="00A55335">
              <w:t xml:space="preserve">the homeopathy group </w:t>
            </w:r>
            <w:r w:rsidRPr="00A55335">
              <w:t>comp</w:t>
            </w:r>
            <w:r w:rsidR="003D1DA2" w:rsidRPr="00A55335">
              <w:t>a</w:t>
            </w:r>
            <w:r w:rsidRPr="00A55335">
              <w:t>r</w:t>
            </w:r>
            <w:r w:rsidR="003D1DA2" w:rsidRPr="00A55335">
              <w:t xml:space="preserve">ed with </w:t>
            </w:r>
            <w:r w:rsidR="009B1EB4" w:rsidRPr="00A55335">
              <w:t>a</w:t>
            </w:r>
            <w:r w:rsidR="003D1DA2" w:rsidRPr="00A55335">
              <w:t xml:space="preserve"> 42% reduction </w:t>
            </w:r>
            <w:r w:rsidR="00C01BCE" w:rsidRPr="00A55335">
              <w:t xml:space="preserve">in the </w:t>
            </w:r>
            <w:r w:rsidRPr="00A55335">
              <w:t>placebo</w:t>
            </w:r>
            <w:r w:rsidR="00C01BCE" w:rsidRPr="00A55335">
              <w:t xml:space="preserve"> group</w:t>
            </w:r>
            <w:r w:rsidR="00D33268" w:rsidRPr="00A55335">
              <w:t xml:space="preserve"> (</w:t>
            </w:r>
            <w:r w:rsidR="00D33268" w:rsidRPr="00A55335">
              <w:rPr>
                <w:rStyle w:val="Emphasis"/>
              </w:rPr>
              <w:t>p</w:t>
            </w:r>
            <w:r w:rsidR="00D33268" w:rsidRPr="00A55335">
              <w:t xml:space="preserve"> &gt; 0.05)</w:t>
            </w:r>
            <w:r w:rsidRPr="00A55335">
              <w:t>.</w:t>
            </w:r>
            <w:r w:rsidR="00C01BCE" w:rsidRPr="00A55335">
              <w:t xml:space="preserve"> One study reported </w:t>
            </w:r>
            <w:r w:rsidR="009B1EB4" w:rsidRPr="00A55335">
              <w:t xml:space="preserve">a decrease from baseline in the mean daily dose (mg) in both treatment groups across </w:t>
            </w:r>
            <w:r w:rsidR="00D33268" w:rsidRPr="00A55335">
              <w:t>8 medications (</w:t>
            </w:r>
            <w:r w:rsidR="00D33268" w:rsidRPr="00A55335">
              <w:rPr>
                <w:rStyle w:val="Emphasis"/>
              </w:rPr>
              <w:t>p</w:t>
            </w:r>
            <w:r w:rsidR="00D33268" w:rsidRPr="00A55335">
              <w:t xml:space="preserve"> = 0.16)</w:t>
            </w:r>
            <w:r w:rsidR="009B1EB4" w:rsidRPr="00A55335">
              <w:t>.</w:t>
            </w:r>
          </w:p>
          <w:p w14:paraId="4273F483" w14:textId="35775624" w:rsidR="00EF23B5" w:rsidRPr="00A55335" w:rsidRDefault="00EF23B5" w:rsidP="00EF23B5">
            <w:pPr>
              <w:pStyle w:val="TableFigNotes0"/>
            </w:pPr>
            <w:r w:rsidRPr="00A55335">
              <w:rPr>
                <w:rStyle w:val="Strong"/>
              </w:rPr>
              <w:t>CI:</w:t>
            </w:r>
            <w:r w:rsidRPr="00A55335">
              <w:t xml:space="preserve"> confidence interval; </w:t>
            </w:r>
            <w:r w:rsidRPr="00A55335">
              <w:rPr>
                <w:rStyle w:val="Strong"/>
              </w:rPr>
              <w:t>MD:</w:t>
            </w:r>
            <w:r w:rsidRPr="00A55335">
              <w:t xml:space="preserve"> mean difference; </w:t>
            </w:r>
            <w:r w:rsidRPr="00A55335">
              <w:rPr>
                <w:rStyle w:val="Strong"/>
              </w:rPr>
              <w:t>VAS:</w:t>
            </w:r>
            <w:r w:rsidRPr="00A55335">
              <w:t xml:space="preserve"> visual analogue scale</w:t>
            </w:r>
          </w:p>
        </w:tc>
      </w:tr>
      <w:tr w:rsidR="00EF23B5" w:rsidRPr="00A55335" w14:paraId="572734EE" w14:textId="77777777" w:rsidTr="003071D2">
        <w:trPr>
          <w:cantSplit/>
        </w:trPr>
        <w:tc>
          <w:tcPr>
            <w:tcW w:w="5000" w:type="pct"/>
            <w:gridSpan w:val="7"/>
            <w:tcBorders>
              <w:top w:val="single" w:sz="6" w:space="0" w:color="000000"/>
              <w:left w:val="nil"/>
              <w:bottom w:val="single" w:sz="6" w:space="0" w:color="000000"/>
              <w:right w:val="nil"/>
            </w:tcBorders>
            <w:vAlign w:val="center"/>
            <w:hideMark/>
          </w:tcPr>
          <w:p w14:paraId="1E239C13" w14:textId="77777777" w:rsidR="00EF23B5" w:rsidRPr="00A55335" w:rsidRDefault="00EF23B5" w:rsidP="00EF23B5">
            <w:pPr>
              <w:pStyle w:val="TableFigNotes0"/>
            </w:pPr>
            <w:r w:rsidRPr="00A55335">
              <w:rPr>
                <w:rStyle w:val="Strong"/>
              </w:rPr>
              <w:t>GRADE Working Group grades of evidence</w:t>
            </w:r>
            <w:r w:rsidRPr="00A55335">
              <w:rPr>
                <w:rStyle w:val="Strong"/>
              </w:rPr>
              <w:br/>
              <w:t>High certainty</w:t>
            </w:r>
            <w:r w:rsidRPr="00A55335">
              <w:t>: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our confidence in the effect estimate is limited: the true effect may be substantially different from the estimate of the effect.</w:t>
            </w:r>
            <w:r w:rsidRPr="00A55335">
              <w:br/>
            </w:r>
            <w:r w:rsidRPr="00A55335">
              <w:rPr>
                <w:rStyle w:val="Strong"/>
              </w:rPr>
              <w:t>Very low certainty</w:t>
            </w:r>
            <w:r w:rsidRPr="00A55335">
              <w:t>: we have very little confidence in the effect estimate: the true effect is likely to be substantially different from the estimate of effect.</w:t>
            </w:r>
          </w:p>
        </w:tc>
      </w:tr>
    </w:tbl>
    <w:p w14:paraId="162678DD" w14:textId="77777777" w:rsidR="00DD505D" w:rsidRPr="00A55335" w:rsidRDefault="00E35087" w:rsidP="00E35087">
      <w:pPr>
        <w:pStyle w:val="Heading5a"/>
        <w:rPr>
          <w:lang w:val="en-AU"/>
        </w:rPr>
      </w:pPr>
      <w:r w:rsidRPr="00A55335">
        <w:rPr>
          <w:lang w:val="en-AU"/>
        </w:rPr>
        <w:t>Explanations</w:t>
      </w:r>
    </w:p>
    <w:p w14:paraId="79DE164F" w14:textId="77777777" w:rsidR="0071134D" w:rsidRPr="00A55335" w:rsidRDefault="0071134D" w:rsidP="00AC3C66">
      <w:pPr>
        <w:pStyle w:val="TableFigNotes18"/>
      </w:pPr>
      <w:r w:rsidRPr="00A55335">
        <w:t xml:space="preserve">a. </w:t>
      </w:r>
      <w:proofErr w:type="gramStart"/>
      <w:r w:rsidRPr="00A55335">
        <w:t>Serious</w:t>
      </w:r>
      <w:proofErr w:type="gramEnd"/>
      <w:r w:rsidRPr="00A55335">
        <w:t xml:space="preserve"> risk of bias. Two studies contributing results for this outcome were at high risk of bias. Certainty of evidence downgraded.</w:t>
      </w:r>
    </w:p>
    <w:p w14:paraId="580AE0E4" w14:textId="77777777" w:rsidR="0071134D" w:rsidRPr="00A55335" w:rsidRDefault="0071134D" w:rsidP="00AC3C66">
      <w:pPr>
        <w:pStyle w:val="TableFigNotes18"/>
      </w:pPr>
      <w:r w:rsidRPr="00A55335">
        <w:t>b. Inconsistency not assessed as studies do not provide sufficient quantitative data for meta-analysis. Certainty of evidence not downgraded.</w:t>
      </w:r>
    </w:p>
    <w:p w14:paraId="34625EF9" w14:textId="77777777" w:rsidR="0071134D" w:rsidRPr="00A55335" w:rsidRDefault="0071134D" w:rsidP="00AC3C66">
      <w:pPr>
        <w:pStyle w:val="TableFigNotes18"/>
      </w:pPr>
      <w:r w:rsidRPr="00A55335">
        <w:t>c. No serious indirectness. The available evidence is in people with chronic headaches or migraine and is directly generalisable to the Australian population with few caveats. Certainty of evidence not downgraded.</w:t>
      </w:r>
    </w:p>
    <w:p w14:paraId="3CE24F9F" w14:textId="15F5F766" w:rsidR="0071134D" w:rsidRPr="00A55335" w:rsidRDefault="0071134D" w:rsidP="00AC3C66">
      <w:pPr>
        <w:pStyle w:val="TableFigNotes18"/>
      </w:pPr>
      <w:r w:rsidRPr="00A55335">
        <w:t xml:space="preserve">d. </w:t>
      </w:r>
      <w:r w:rsidR="001B7641" w:rsidRPr="00A55335">
        <w:t>Very s</w:t>
      </w:r>
      <w:r w:rsidRPr="00A55335">
        <w:t>erious imprecision. Inadequate reporting of data for meta-analysis. Certainty of evidence downgraded</w:t>
      </w:r>
      <w:r w:rsidR="00AC3C66" w:rsidRPr="00A55335">
        <w:t xml:space="preserve"> 2 levels</w:t>
      </w:r>
      <w:r w:rsidRPr="00A55335">
        <w:t>.</w:t>
      </w:r>
    </w:p>
    <w:p w14:paraId="51156672" w14:textId="3CC101FE" w:rsidR="0071134D" w:rsidRPr="00A55335" w:rsidRDefault="0071134D" w:rsidP="00AC3C66">
      <w:pPr>
        <w:pStyle w:val="TableFigNotes18"/>
      </w:pPr>
      <w:r w:rsidRPr="00A55335">
        <w:t xml:space="preserve">e. Publication bias suspected. </w:t>
      </w:r>
      <w:r w:rsidR="00B02483" w:rsidRPr="00A55335">
        <w:t xml:space="preserve">There is a strong suspicion of non-reporting of results </w:t>
      </w:r>
      <w:r w:rsidR="00956599" w:rsidRPr="00A55335">
        <w:t xml:space="preserve">because the </w:t>
      </w:r>
      <w:r w:rsidR="00956599" w:rsidRPr="00A55335">
        <w:rPr>
          <w:rStyle w:val="Emphasis"/>
        </w:rPr>
        <w:t>p</w:t>
      </w:r>
      <w:r w:rsidR="00956599" w:rsidRPr="00A55335">
        <w:t xml:space="preserve"> value, magnitude or direction of the results generated were considered unfavourable by the study investigators. </w:t>
      </w:r>
      <w:r w:rsidRPr="00A55335">
        <w:t>Certainty of evidence downgraded.</w:t>
      </w:r>
    </w:p>
    <w:p w14:paraId="3D07FB88" w14:textId="77777777" w:rsidR="0071134D" w:rsidRPr="00A55335" w:rsidRDefault="0071134D" w:rsidP="00AC3C66">
      <w:pPr>
        <w:pStyle w:val="TableFigNotes18"/>
      </w:pPr>
      <w:r w:rsidRPr="00A55335">
        <w:t xml:space="preserve">f. </w:t>
      </w:r>
      <w:proofErr w:type="gramStart"/>
      <w:r w:rsidRPr="00A55335">
        <w:t>Serious</w:t>
      </w:r>
      <w:proofErr w:type="gramEnd"/>
      <w:r w:rsidRPr="00A55335">
        <w:t xml:space="preserve"> risk of bias. Single study contributing 100% of the data for this outcome at high risk of bias. Certainty of evidence downgraded.</w:t>
      </w:r>
    </w:p>
    <w:p w14:paraId="2642786E" w14:textId="77777777" w:rsidR="00332047" w:rsidRPr="00A55335" w:rsidRDefault="0071134D">
      <w:pPr>
        <w:pStyle w:val="TableFigNotes18"/>
      </w:pPr>
      <w:r w:rsidRPr="00A55335">
        <w:t>g. Single study. Inconsistency not assessed. Certainty of evidence not downgraded.</w:t>
      </w:r>
      <w:r w:rsidR="00332047" w:rsidRPr="00A55335">
        <w:t xml:space="preserve"> </w:t>
      </w:r>
    </w:p>
    <w:p w14:paraId="1B16E72D" w14:textId="3CD711BA" w:rsidR="00332047" w:rsidRPr="00A55335" w:rsidRDefault="00AC3C66" w:rsidP="00332047">
      <w:pPr>
        <w:pStyle w:val="TableFigNotes18"/>
      </w:pPr>
      <w:r w:rsidRPr="00A55335">
        <w:t>h</w:t>
      </w:r>
      <w:r w:rsidR="00DD505D" w:rsidRPr="00A55335">
        <w:t xml:space="preserve">. </w:t>
      </w:r>
      <w:r w:rsidR="00C45A4F" w:rsidRPr="00A55335">
        <w:t>No s</w:t>
      </w:r>
      <w:r w:rsidR="00DD505D" w:rsidRPr="00A55335">
        <w:t xml:space="preserve">erious risk of bias. Certainty of evidence </w:t>
      </w:r>
      <w:r w:rsidR="008410AA" w:rsidRPr="00A55335">
        <w:t xml:space="preserve">not </w:t>
      </w:r>
      <w:r w:rsidR="00DD505D" w:rsidRPr="00A55335">
        <w:t>downgraded.</w:t>
      </w:r>
    </w:p>
    <w:p w14:paraId="133D25A8" w14:textId="798A1B2E" w:rsidR="00F07DCB" w:rsidRPr="00A55335" w:rsidRDefault="006070ED" w:rsidP="00552FB9">
      <w:pPr>
        <w:pStyle w:val="Heading4"/>
      </w:pPr>
      <w:r w:rsidRPr="00A55335">
        <w:t>Secondary Comparison</w:t>
      </w:r>
      <w:r w:rsidR="00F07DCB" w:rsidRPr="00A55335">
        <w:t xml:space="preserve"> (vs </w:t>
      </w:r>
      <w:r w:rsidR="006352A8" w:rsidRPr="00A55335">
        <w:t xml:space="preserve">inactive </w:t>
      </w:r>
      <w:r w:rsidR="00F07DCB" w:rsidRPr="00A55335">
        <w:t xml:space="preserve">control) </w:t>
      </w:r>
    </w:p>
    <w:p w14:paraId="19766A8D" w14:textId="5794D8E6" w:rsidR="003E172B" w:rsidRPr="00A55335" w:rsidRDefault="003E172B" w:rsidP="007252A0">
      <w:pPr>
        <w:pStyle w:val="BodyText"/>
      </w:pPr>
      <w:r w:rsidRPr="00A55335">
        <w:t xml:space="preserve">There were no studies found that compared homeopathy to </w:t>
      </w:r>
      <w:r w:rsidR="00BA3DF6" w:rsidRPr="00A55335">
        <w:t xml:space="preserve">inactive </w:t>
      </w:r>
      <w:r w:rsidRPr="00A55335">
        <w:t>control (no intervention, usual care or waitlist) in people with headache disorders. The effect of homeopathy compared to inactive control is unknown.</w:t>
      </w:r>
    </w:p>
    <w:p w14:paraId="46878FEE" w14:textId="77777777" w:rsidR="00DD505D" w:rsidRPr="00A55335" w:rsidRDefault="00DD505D" w:rsidP="004D433B">
      <w:pPr>
        <w:pStyle w:val="Heading3"/>
      </w:pPr>
      <w:bookmarkStart w:id="270" w:name="_Toc183441356"/>
      <w:r w:rsidRPr="00A55335">
        <w:t>Forest plots</w:t>
      </w:r>
      <w:bookmarkEnd w:id="270"/>
    </w:p>
    <w:p w14:paraId="5E6C124C" w14:textId="797A7F83" w:rsidR="00F07DCB" w:rsidRPr="00356250" w:rsidRDefault="003E172B" w:rsidP="00494B9E">
      <w:pPr>
        <w:spacing w:after="200"/>
        <w:rPr>
          <w:b/>
          <w:bCs/>
          <w:szCs w:val="18"/>
        </w:rPr>
      </w:pPr>
      <w:r w:rsidRPr="00A55335">
        <w:t>Outcome results related</w:t>
      </w:r>
      <w:r w:rsidR="009D62B4" w:rsidRPr="00A55335">
        <w:t xml:space="preserve"> to</w:t>
      </w:r>
      <w:r w:rsidRPr="00A55335">
        <w:t xml:space="preserve"> </w:t>
      </w:r>
      <w:r w:rsidR="002A3EF8" w:rsidRPr="00A55335">
        <w:t>the p</w:t>
      </w:r>
      <w:r w:rsidR="006070ED" w:rsidRPr="00A55335">
        <w:t xml:space="preserve">rimary </w:t>
      </w:r>
      <w:r w:rsidR="002A3EF8" w:rsidRPr="00A55335">
        <w:t>c</w:t>
      </w:r>
      <w:r w:rsidR="006070ED" w:rsidRPr="00A55335">
        <w:t>omparison</w:t>
      </w:r>
      <w:r w:rsidRPr="00A55335">
        <w:t xml:space="preserve"> (homeopathy vs placebo) in people with</w:t>
      </w:r>
      <w:r w:rsidR="006429E2" w:rsidRPr="00A55335">
        <w:t xml:space="preserve"> headache disorders are presented in </w:t>
      </w:r>
      <w:r w:rsidR="00020A8B" w:rsidRPr="00A55335">
        <w:fldChar w:fldCharType="begin"/>
      </w:r>
      <w:r w:rsidR="00020A8B" w:rsidRPr="00A55335">
        <w:instrText xml:space="preserve"> REF _Ref153272690 \h </w:instrText>
      </w:r>
      <w:r w:rsidR="00020A8B" w:rsidRPr="00A55335">
        <w:fldChar w:fldCharType="separate"/>
      </w:r>
      <w:r w:rsidR="00814B04" w:rsidRPr="00A55335">
        <w:t xml:space="preserve">Figure </w:t>
      </w:r>
      <w:r w:rsidR="00814B04">
        <w:rPr>
          <w:noProof/>
        </w:rPr>
        <w:t>41</w:t>
      </w:r>
      <w:r w:rsidR="00020A8B" w:rsidRPr="00A55335">
        <w:fldChar w:fldCharType="end"/>
      </w:r>
      <w:r w:rsidR="00020A8B" w:rsidRPr="00A55335">
        <w:t xml:space="preserve"> (headache frequency), </w:t>
      </w:r>
      <w:r w:rsidR="00020A8B" w:rsidRPr="00A55335">
        <w:fldChar w:fldCharType="begin"/>
      </w:r>
      <w:r w:rsidR="00020A8B" w:rsidRPr="00A55335">
        <w:instrText xml:space="preserve"> REF _Ref153272693 \h </w:instrText>
      </w:r>
      <w:r w:rsidR="00020A8B" w:rsidRPr="00A55335">
        <w:fldChar w:fldCharType="separate"/>
      </w:r>
      <w:r w:rsidR="00814B04" w:rsidRPr="00A55335">
        <w:t xml:space="preserve">Figure </w:t>
      </w:r>
      <w:r w:rsidR="00814B04">
        <w:rPr>
          <w:noProof/>
        </w:rPr>
        <w:t>42</w:t>
      </w:r>
      <w:r w:rsidR="00020A8B" w:rsidRPr="00A55335">
        <w:fldChar w:fldCharType="end"/>
      </w:r>
      <w:r w:rsidR="00020A8B" w:rsidRPr="00A55335">
        <w:t xml:space="preserve"> (headache severity), </w:t>
      </w:r>
      <w:r w:rsidR="00020A8B" w:rsidRPr="00A55335">
        <w:fldChar w:fldCharType="begin"/>
      </w:r>
      <w:r w:rsidR="00020A8B" w:rsidRPr="00A55335">
        <w:instrText xml:space="preserve"> REF _Ref153272695 \h </w:instrText>
      </w:r>
      <w:r w:rsidR="00020A8B" w:rsidRPr="00A55335">
        <w:fldChar w:fldCharType="separate"/>
      </w:r>
      <w:r w:rsidR="00814B04" w:rsidRPr="00A55335">
        <w:t xml:space="preserve">Figure </w:t>
      </w:r>
      <w:r w:rsidR="00814B04">
        <w:rPr>
          <w:noProof/>
        </w:rPr>
        <w:t>43</w:t>
      </w:r>
      <w:r w:rsidR="00020A8B" w:rsidRPr="00A55335">
        <w:fldChar w:fldCharType="end"/>
      </w:r>
      <w:r w:rsidR="00020A8B" w:rsidRPr="00A55335">
        <w:t xml:space="preserve"> (headache pain intensity)</w:t>
      </w:r>
      <w:r w:rsidR="003D544B" w:rsidRPr="00A55335">
        <w:t xml:space="preserve">, </w:t>
      </w:r>
      <w:r w:rsidR="00020A8B" w:rsidRPr="00A55335">
        <w:fldChar w:fldCharType="begin"/>
      </w:r>
      <w:r w:rsidR="00020A8B" w:rsidRPr="00A55335">
        <w:instrText xml:space="preserve"> REF _Ref153272696 \h </w:instrText>
      </w:r>
      <w:r w:rsidR="00020A8B" w:rsidRPr="00A55335">
        <w:fldChar w:fldCharType="separate"/>
      </w:r>
      <w:r w:rsidR="00814B04" w:rsidRPr="00A55335">
        <w:t xml:space="preserve">Figure </w:t>
      </w:r>
      <w:r w:rsidR="00814B04">
        <w:rPr>
          <w:noProof/>
        </w:rPr>
        <w:t>44</w:t>
      </w:r>
      <w:r w:rsidR="00020A8B" w:rsidRPr="00A55335">
        <w:fldChar w:fldCharType="end"/>
      </w:r>
      <w:r w:rsidR="00020A8B" w:rsidRPr="00A55335">
        <w:t xml:space="preserve"> (headache </w:t>
      </w:r>
      <w:r w:rsidR="00F6152F" w:rsidRPr="00A55335">
        <w:t>duration</w:t>
      </w:r>
      <w:r w:rsidR="00020A8B" w:rsidRPr="00A55335">
        <w:t>)</w:t>
      </w:r>
      <w:r w:rsidR="003D544B" w:rsidRPr="00A55335">
        <w:t xml:space="preserve"> and </w:t>
      </w:r>
      <w:r w:rsidR="00C800CB" w:rsidRPr="00FF507C">
        <w:fldChar w:fldCharType="begin"/>
      </w:r>
      <w:r w:rsidR="00C800CB" w:rsidRPr="00FF507C">
        <w:instrText xml:space="preserve"> REF _Ref167108671 \h </w:instrText>
      </w:r>
      <w:r w:rsidR="00C800CB" w:rsidRPr="00FF507C">
        <w:fldChar w:fldCharType="separate"/>
      </w:r>
      <w:r w:rsidR="00814B04" w:rsidRPr="00A55335">
        <w:t xml:space="preserve">Figure </w:t>
      </w:r>
      <w:r w:rsidR="00814B04">
        <w:rPr>
          <w:noProof/>
        </w:rPr>
        <w:t>45</w:t>
      </w:r>
      <w:r w:rsidR="00C800CB" w:rsidRPr="00FF507C">
        <w:fldChar w:fldCharType="end"/>
      </w:r>
      <w:r w:rsidR="00C800CB" w:rsidRPr="00A55335">
        <w:t xml:space="preserve"> </w:t>
      </w:r>
      <w:r w:rsidR="003D544B" w:rsidRPr="00A55335">
        <w:t>(medication use)</w:t>
      </w:r>
      <w:r w:rsidR="00020A8B" w:rsidRPr="00A55335">
        <w:t>.</w:t>
      </w:r>
    </w:p>
    <w:p w14:paraId="1ECE0A37" w14:textId="3CC36020" w:rsidR="009964E8" w:rsidRPr="00A55335" w:rsidRDefault="00DD505D" w:rsidP="00DD505D">
      <w:pPr>
        <w:pStyle w:val="Caption"/>
      </w:pPr>
      <w:bookmarkStart w:id="271" w:name="_Ref153272690"/>
      <w:bookmarkStart w:id="272" w:name="_Toc183520314"/>
      <w:r w:rsidRPr="00A55335">
        <w:lastRenderedPageBreak/>
        <w:t xml:space="preserve">Figure </w:t>
      </w:r>
      <w:r w:rsidRPr="00A55335">
        <w:rPr>
          <w:b w:val="0"/>
        </w:rPr>
        <w:fldChar w:fldCharType="begin"/>
      </w:r>
      <w:r w:rsidRPr="00A55335">
        <w:instrText xml:space="preserve"> SEQ Figure \* ARABIC </w:instrText>
      </w:r>
      <w:r w:rsidRPr="00A55335">
        <w:rPr>
          <w:b w:val="0"/>
        </w:rPr>
        <w:fldChar w:fldCharType="separate"/>
      </w:r>
      <w:r w:rsidR="00814B04">
        <w:rPr>
          <w:noProof/>
        </w:rPr>
        <w:t>41</w:t>
      </w:r>
      <w:r w:rsidRPr="00A55335">
        <w:rPr>
          <w:b w:val="0"/>
        </w:rPr>
        <w:fldChar w:fldCharType="end"/>
      </w:r>
      <w:bookmarkEnd w:id="271"/>
      <w:r w:rsidRPr="00A55335">
        <w:tab/>
      </w:r>
      <w:r w:rsidR="00864743" w:rsidRPr="009876E6">
        <w:t xml:space="preserve">Forest plot of </w:t>
      </w:r>
      <w:r w:rsidR="00C143DE" w:rsidRPr="009876E6">
        <w:t xml:space="preserve">primary </w:t>
      </w:r>
      <w:r w:rsidR="00864743" w:rsidRPr="009876E6">
        <w:t xml:space="preserve">comparison: Homeopathy vs </w:t>
      </w:r>
      <w:r w:rsidR="00F80A3E" w:rsidRPr="009876E6">
        <w:t>placebo</w:t>
      </w:r>
      <w:r w:rsidR="00864743" w:rsidRPr="009876E6">
        <w:t>: Headache disorders – headache frequency</w:t>
      </w:r>
      <w:bookmarkEnd w:id="272"/>
    </w:p>
    <w:p w14:paraId="36D69ADE" w14:textId="3A3E073C" w:rsidR="009964E8" w:rsidRPr="00A55335" w:rsidRDefault="0059069B" w:rsidP="002A1936">
      <w:pPr>
        <w:pStyle w:val="Pic"/>
      </w:pPr>
      <w:r w:rsidRPr="00A55335">
        <w:rPr>
          <w:noProof/>
        </w:rPr>
        <w:drawing>
          <wp:inline distT="0" distB="0" distL="0" distR="0" wp14:anchorId="77FA3123" wp14:editId="4EFAA6AA">
            <wp:extent cx="6185535" cy="2384425"/>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85535" cy="2384425"/>
                    </a:xfrm>
                    <a:prstGeom prst="rect">
                      <a:avLst/>
                    </a:prstGeom>
                    <a:noFill/>
                    <a:ln>
                      <a:noFill/>
                    </a:ln>
                  </pic:spPr>
                </pic:pic>
              </a:graphicData>
            </a:graphic>
          </wp:inline>
        </w:drawing>
      </w:r>
    </w:p>
    <w:p w14:paraId="0E030203" w14:textId="0F49D49F" w:rsidR="00DD505D" w:rsidRPr="00A55335" w:rsidRDefault="00DD505D" w:rsidP="00DD505D">
      <w:pPr>
        <w:pStyle w:val="Caption"/>
      </w:pPr>
      <w:bookmarkStart w:id="273" w:name="_Ref153272693"/>
      <w:bookmarkStart w:id="274" w:name="_Toc183520315"/>
      <w:r w:rsidRPr="00A55335">
        <w:t xml:space="preserve">Figure </w:t>
      </w:r>
      <w:r w:rsidRPr="00A55335">
        <w:fldChar w:fldCharType="begin"/>
      </w:r>
      <w:r w:rsidRPr="00A55335">
        <w:instrText xml:space="preserve"> SEQ Figure \* ARABIC </w:instrText>
      </w:r>
      <w:r w:rsidRPr="00A55335">
        <w:fldChar w:fldCharType="separate"/>
      </w:r>
      <w:r w:rsidR="00814B04">
        <w:rPr>
          <w:noProof/>
        </w:rPr>
        <w:t>42</w:t>
      </w:r>
      <w:r w:rsidRPr="00A55335">
        <w:fldChar w:fldCharType="end"/>
      </w:r>
      <w:bookmarkEnd w:id="273"/>
      <w:r w:rsidRPr="00A55335">
        <w:tab/>
        <w:t xml:space="preserve">Forest plot of </w:t>
      </w:r>
      <w:r w:rsidR="00C143DE" w:rsidRPr="00A55335">
        <w:t xml:space="preserve">primary </w:t>
      </w:r>
      <w:r w:rsidRPr="00A55335">
        <w:t>comparison: Homeopathy vs</w:t>
      </w:r>
      <w:r w:rsidR="00C800CB" w:rsidRPr="00A55335">
        <w:t xml:space="preserve"> placebo</w:t>
      </w:r>
      <w:r w:rsidRPr="00A55335">
        <w:t xml:space="preserve">: Headache </w:t>
      </w:r>
      <w:r w:rsidR="003F070A" w:rsidRPr="00A55335">
        <w:t>disorders</w:t>
      </w:r>
      <w:r w:rsidRPr="00A55335">
        <w:t xml:space="preserve"> – </w:t>
      </w:r>
      <w:r w:rsidR="00DE77E3" w:rsidRPr="00A55335">
        <w:t xml:space="preserve">headache </w:t>
      </w:r>
      <w:r w:rsidR="003F070A" w:rsidRPr="00A55335">
        <w:t>severity</w:t>
      </w:r>
      <w:bookmarkEnd w:id="274"/>
      <w:r w:rsidRPr="00A55335">
        <w:t xml:space="preserve"> </w:t>
      </w:r>
    </w:p>
    <w:p w14:paraId="52CB9BAF" w14:textId="47B82891" w:rsidR="00D30D1D" w:rsidRPr="00A55335" w:rsidRDefault="00C729CB" w:rsidP="00D30D1D">
      <w:pPr>
        <w:pStyle w:val="Pic"/>
      </w:pPr>
      <w:r w:rsidRPr="00A55335">
        <w:rPr>
          <w:noProof/>
        </w:rPr>
        <w:drawing>
          <wp:inline distT="0" distB="0" distL="0" distR="0" wp14:anchorId="49A153E2" wp14:editId="36FE55BA">
            <wp:extent cx="6185535" cy="453644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85535" cy="4536440"/>
                    </a:xfrm>
                    <a:prstGeom prst="rect">
                      <a:avLst/>
                    </a:prstGeom>
                    <a:noFill/>
                    <a:ln>
                      <a:noFill/>
                    </a:ln>
                  </pic:spPr>
                </pic:pic>
              </a:graphicData>
            </a:graphic>
          </wp:inline>
        </w:drawing>
      </w:r>
    </w:p>
    <w:p w14:paraId="5196F5DB" w14:textId="77777777" w:rsidR="00D30D1D" w:rsidRPr="00A55335" w:rsidRDefault="00D30D1D" w:rsidP="00D30D1D">
      <w:pPr>
        <w:pStyle w:val="TableFigNotes18"/>
      </w:pPr>
    </w:p>
    <w:p w14:paraId="1AAB9D9B" w14:textId="797BF9C7" w:rsidR="00DD505D" w:rsidRPr="00A55335" w:rsidRDefault="00DD505D" w:rsidP="00DD505D">
      <w:pPr>
        <w:pStyle w:val="Caption"/>
      </w:pPr>
      <w:bookmarkStart w:id="275" w:name="_Ref153272695"/>
      <w:bookmarkStart w:id="276" w:name="_Toc183520316"/>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43</w:t>
      </w:r>
      <w:r w:rsidRPr="00A55335">
        <w:fldChar w:fldCharType="end"/>
      </w:r>
      <w:bookmarkEnd w:id="275"/>
      <w:r w:rsidRPr="00A55335">
        <w:tab/>
        <w:t xml:space="preserve">Forest plot of </w:t>
      </w:r>
      <w:r w:rsidR="00332047" w:rsidRPr="00A55335">
        <w:t xml:space="preserve">primary </w:t>
      </w:r>
      <w:r w:rsidRPr="00A55335">
        <w:t>comparison: Homeopathy vs</w:t>
      </w:r>
      <w:r w:rsidR="00C800CB" w:rsidRPr="00A55335">
        <w:t xml:space="preserve"> placebo</w:t>
      </w:r>
      <w:r w:rsidRPr="00A55335">
        <w:t xml:space="preserve">: Headache </w:t>
      </w:r>
      <w:r w:rsidR="003F070A" w:rsidRPr="00A55335">
        <w:t>disorders</w:t>
      </w:r>
      <w:r w:rsidR="003F070A" w:rsidRPr="00A55335" w:rsidDel="003F070A">
        <w:t xml:space="preserve"> </w:t>
      </w:r>
      <w:r w:rsidRPr="00A55335">
        <w:t>–</w:t>
      </w:r>
      <w:r w:rsidR="00D611BC" w:rsidRPr="00A55335">
        <w:t xml:space="preserve"> P</w:t>
      </w:r>
      <w:r w:rsidR="003F070A" w:rsidRPr="00A55335">
        <w:t>ain intensity</w:t>
      </w:r>
      <w:bookmarkEnd w:id="276"/>
    </w:p>
    <w:p w14:paraId="017A3CAF" w14:textId="3C8BF2B5" w:rsidR="00B376C3" w:rsidRPr="00A55335" w:rsidRDefault="006F6C6D" w:rsidP="002A1936">
      <w:pPr>
        <w:pStyle w:val="Pic"/>
      </w:pPr>
      <w:r w:rsidRPr="00A55335">
        <w:rPr>
          <w:noProof/>
        </w:rPr>
        <w:drawing>
          <wp:inline distT="0" distB="0" distL="0" distR="0" wp14:anchorId="2F7C823B" wp14:editId="592294F1">
            <wp:extent cx="5710555" cy="2814955"/>
            <wp:effectExtent l="0" t="0" r="4445"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0555" cy="2814955"/>
                    </a:xfrm>
                    <a:prstGeom prst="rect">
                      <a:avLst/>
                    </a:prstGeom>
                    <a:noFill/>
                    <a:ln>
                      <a:noFill/>
                    </a:ln>
                  </pic:spPr>
                </pic:pic>
              </a:graphicData>
            </a:graphic>
          </wp:inline>
        </w:drawing>
      </w:r>
    </w:p>
    <w:p w14:paraId="17519D8D" w14:textId="736127AA" w:rsidR="00DD505D" w:rsidRPr="00A55335" w:rsidRDefault="00DD505D" w:rsidP="00DD505D">
      <w:pPr>
        <w:pStyle w:val="Caption"/>
      </w:pPr>
      <w:bookmarkStart w:id="277" w:name="_Ref153272696"/>
      <w:bookmarkStart w:id="278" w:name="_Toc183520317"/>
      <w:r w:rsidRPr="00A55335">
        <w:t xml:space="preserve">Figure </w:t>
      </w:r>
      <w:r w:rsidRPr="00A55335">
        <w:fldChar w:fldCharType="begin"/>
      </w:r>
      <w:r w:rsidRPr="00A55335">
        <w:instrText xml:space="preserve"> SEQ Figure \* ARABIC </w:instrText>
      </w:r>
      <w:r w:rsidRPr="00A55335">
        <w:fldChar w:fldCharType="separate"/>
      </w:r>
      <w:r w:rsidR="00814B04">
        <w:rPr>
          <w:noProof/>
        </w:rPr>
        <w:t>44</w:t>
      </w:r>
      <w:r w:rsidRPr="00A55335">
        <w:fldChar w:fldCharType="end"/>
      </w:r>
      <w:bookmarkEnd w:id="277"/>
      <w:r w:rsidRPr="00A55335">
        <w:tab/>
        <w:t xml:space="preserve">Forest plot of </w:t>
      </w:r>
      <w:r w:rsidR="00332047" w:rsidRPr="00A55335">
        <w:t xml:space="preserve">primary </w:t>
      </w:r>
      <w:r w:rsidRPr="00A55335">
        <w:t xml:space="preserve">comparison: Homeopathy vs </w:t>
      </w:r>
      <w:r w:rsidR="00C800CB" w:rsidRPr="00A55335">
        <w:t>placebo</w:t>
      </w:r>
      <w:r w:rsidRPr="00A55335">
        <w:t xml:space="preserve">: Headache </w:t>
      </w:r>
      <w:r w:rsidR="003F070A" w:rsidRPr="00A55335">
        <w:t>disorders</w:t>
      </w:r>
      <w:r w:rsidRPr="00A55335">
        <w:t xml:space="preserve"> – </w:t>
      </w:r>
      <w:r w:rsidR="00DE77E3" w:rsidRPr="00A55335">
        <w:t xml:space="preserve">headache </w:t>
      </w:r>
      <w:r w:rsidR="003F070A" w:rsidRPr="00A55335">
        <w:t>duration</w:t>
      </w:r>
      <w:bookmarkEnd w:id="278"/>
    </w:p>
    <w:p w14:paraId="2E0FA7D1" w14:textId="0774DCCB" w:rsidR="00D30D1D" w:rsidRPr="00A55335" w:rsidRDefault="00D70ED8" w:rsidP="002A1936">
      <w:pPr>
        <w:pStyle w:val="Pic"/>
      </w:pPr>
      <w:r w:rsidRPr="00A55335">
        <w:rPr>
          <w:noProof/>
        </w:rPr>
        <w:drawing>
          <wp:inline distT="0" distB="0" distL="0" distR="0" wp14:anchorId="00B06C20" wp14:editId="2C1760BC">
            <wp:extent cx="5908040" cy="28149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08040" cy="2814955"/>
                    </a:xfrm>
                    <a:prstGeom prst="rect">
                      <a:avLst/>
                    </a:prstGeom>
                    <a:noFill/>
                    <a:ln>
                      <a:noFill/>
                    </a:ln>
                  </pic:spPr>
                </pic:pic>
              </a:graphicData>
            </a:graphic>
          </wp:inline>
        </w:drawing>
      </w:r>
    </w:p>
    <w:p w14:paraId="6BD70CA7" w14:textId="77777777" w:rsidR="00A7004B" w:rsidRDefault="00A7004B">
      <w:pPr>
        <w:spacing w:after="200"/>
        <w:rPr>
          <w:b/>
          <w:bCs/>
          <w:szCs w:val="18"/>
        </w:rPr>
      </w:pPr>
      <w:bookmarkStart w:id="279" w:name="_Ref167108671"/>
      <w:r>
        <w:br w:type="page"/>
      </w:r>
    </w:p>
    <w:p w14:paraId="42C1F563" w14:textId="1172D53C" w:rsidR="003D544B" w:rsidRPr="00A55335" w:rsidRDefault="003D544B" w:rsidP="003D544B">
      <w:pPr>
        <w:pStyle w:val="Caption"/>
      </w:pPr>
      <w:bookmarkStart w:id="280" w:name="_Toc183520318"/>
      <w:r w:rsidRPr="00A55335">
        <w:lastRenderedPageBreak/>
        <w:t xml:space="preserve">Figure </w:t>
      </w:r>
      <w:r w:rsidRPr="00A55335">
        <w:rPr>
          <w:b w:val="0"/>
        </w:rPr>
        <w:fldChar w:fldCharType="begin"/>
      </w:r>
      <w:r w:rsidRPr="00A55335">
        <w:instrText xml:space="preserve"> SEQ Figure \* ARABIC </w:instrText>
      </w:r>
      <w:r w:rsidRPr="00A55335">
        <w:rPr>
          <w:b w:val="0"/>
        </w:rPr>
        <w:fldChar w:fldCharType="separate"/>
      </w:r>
      <w:r w:rsidR="00814B04">
        <w:rPr>
          <w:noProof/>
        </w:rPr>
        <w:t>45</w:t>
      </w:r>
      <w:r w:rsidRPr="00A55335">
        <w:rPr>
          <w:b w:val="0"/>
        </w:rPr>
        <w:fldChar w:fldCharType="end"/>
      </w:r>
      <w:bookmarkEnd w:id="279"/>
      <w:r w:rsidRPr="00A55335">
        <w:tab/>
      </w:r>
      <w:r w:rsidRPr="009876E6">
        <w:t>Forest plot of primary comparison: Homeopathy vs placebo: Headache disorders – medication use</w:t>
      </w:r>
      <w:bookmarkEnd w:id="280"/>
    </w:p>
    <w:p w14:paraId="450DF55E" w14:textId="0CE381D6" w:rsidR="006B368C" w:rsidRPr="00A55335" w:rsidRDefault="009F1706">
      <w:pPr>
        <w:pStyle w:val="Pic"/>
      </w:pPr>
      <w:r w:rsidRPr="00A55335">
        <w:rPr>
          <w:noProof/>
        </w:rPr>
        <w:drawing>
          <wp:inline distT="0" distB="0" distL="0" distR="0" wp14:anchorId="17A2A725" wp14:editId="55F2FD79">
            <wp:extent cx="6185535" cy="2581910"/>
            <wp:effectExtent l="0" t="0" r="5715"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85535" cy="2581910"/>
                    </a:xfrm>
                    <a:prstGeom prst="rect">
                      <a:avLst/>
                    </a:prstGeom>
                    <a:noFill/>
                    <a:ln>
                      <a:noFill/>
                    </a:ln>
                  </pic:spPr>
                </pic:pic>
              </a:graphicData>
            </a:graphic>
          </wp:inline>
        </w:drawing>
      </w:r>
    </w:p>
    <w:p w14:paraId="2C72B1A4" w14:textId="77777777" w:rsidR="00332047" w:rsidRPr="00A55335" w:rsidRDefault="00332047" w:rsidP="00332047">
      <w:pPr>
        <w:pStyle w:val="TableFigNotes18"/>
      </w:pPr>
    </w:p>
    <w:p w14:paraId="5273E16A" w14:textId="20419FFC" w:rsidR="00D10208" w:rsidRPr="00A55335" w:rsidRDefault="00D10208" w:rsidP="002456F7">
      <w:pPr>
        <w:pStyle w:val="BodyText"/>
      </w:pPr>
      <w:r w:rsidRPr="00A55335">
        <w:br w:type="page"/>
      </w:r>
    </w:p>
    <w:p w14:paraId="429B7FCA" w14:textId="77777777" w:rsidR="00DD505D" w:rsidRPr="00A55335" w:rsidRDefault="00DD505D" w:rsidP="00C373A2">
      <w:pPr>
        <w:pStyle w:val="Heading2"/>
      </w:pPr>
      <w:bookmarkStart w:id="281" w:name="_Toc183441357"/>
      <w:r w:rsidRPr="00A55335">
        <w:lastRenderedPageBreak/>
        <w:t>Asthma</w:t>
      </w:r>
      <w:bookmarkEnd w:id="281"/>
      <w:r w:rsidRPr="00A55335">
        <w:t xml:space="preserve"> </w:t>
      </w:r>
    </w:p>
    <w:p w14:paraId="628251E1" w14:textId="77777777" w:rsidR="00DD505D" w:rsidRPr="00A55335" w:rsidRDefault="00DD505D" w:rsidP="004D433B">
      <w:pPr>
        <w:pStyle w:val="Heading3"/>
      </w:pPr>
      <w:bookmarkStart w:id="282" w:name="_Toc183441358"/>
      <w:r w:rsidRPr="00A55335">
        <w:t>Description of the condition</w:t>
      </w:r>
      <w:bookmarkEnd w:id="282"/>
      <w:r w:rsidRPr="00A55335">
        <w:t xml:space="preserve"> </w:t>
      </w:r>
    </w:p>
    <w:p w14:paraId="3C8C1B5A" w14:textId="5FE25E31" w:rsidR="00DD505D" w:rsidRPr="00A55335" w:rsidRDefault="00DD505D" w:rsidP="00DD505D">
      <w:pPr>
        <w:pStyle w:val="BodyText"/>
      </w:pPr>
      <w:r w:rsidRPr="00A55335">
        <w:t xml:space="preserve">Asthma is a chronic inflammatory condition affecting the airways. The causes of asthma are unknown but are thought to be a combination of genetic and environmental factors </w:t>
      </w:r>
      <w:r w:rsidR="00635FCD" w:rsidRPr="00A55335">
        <w:fldChar w:fldCharType="begin"/>
      </w:r>
      <w:r w:rsidR="006952AD">
        <w:instrText xml:space="preserve"> ADDIN EN.CITE &lt;EndNote&gt;&lt;Cite&gt;&lt;Author&gt;Australian Institute of Health and Welfare&lt;/Author&gt;&lt;Year&gt;2023&lt;/Year&gt;&lt;RecNum&gt;409&lt;/RecNum&gt;&lt;DisplayText&gt;(202)&lt;/DisplayText&gt;&lt;record&gt;&lt;rec-number&gt;409&lt;/rec-number&gt;&lt;foreign-keys&gt;&lt;key app="EN" db-id="t5prptatr9sp0we5exbxt9zz20fwp55tdza9" timestamp="1700774034"&gt;409&lt;/key&gt;&lt;/foreign-keys&gt;&lt;ref-type name="Electronic Article"&gt;43&lt;/ref-type&gt;&lt;contributors&gt;&lt;authors&gt;&lt;author&gt;Australian Institute of Health and Welfare,&lt;/author&gt;&lt;/authors&gt;&lt;/contributors&gt;&lt;titles&gt;&lt;title&gt;Chronic respiratory conditions&lt;/title&gt;&lt;/titles&gt;&lt;dates&gt;&lt;year&gt;2023&lt;/year&gt;&lt;/dates&gt;&lt;pub-location&gt;Canberra&lt;/pub-location&gt;&lt;publisher&gt;AIHW&lt;/publisher&gt;&lt;urls&gt;&lt;related-urls&gt;&lt;url&gt;https://www.aihw.gov.au/reports/chronic-respiratory-conditions/chronic-respiratory-conditions&lt;/url&gt;&lt;/related-urls&gt;&lt;/urls&gt;&lt;/record&gt;&lt;/Cite&gt;&lt;/EndNote&gt;</w:instrText>
      </w:r>
      <w:r w:rsidR="00635FCD" w:rsidRPr="00A55335">
        <w:fldChar w:fldCharType="separate"/>
      </w:r>
      <w:r w:rsidR="00D04C69">
        <w:rPr>
          <w:noProof/>
        </w:rPr>
        <w:t>(</w:t>
      </w:r>
      <w:hyperlink w:anchor="_ENREF_202" w:tooltip="Australian Institute of Health and Welfare, 2023 #409" w:history="1">
        <w:r w:rsidR="00EC2769">
          <w:rPr>
            <w:noProof/>
          </w:rPr>
          <w:t>202</w:t>
        </w:r>
      </w:hyperlink>
      <w:r w:rsidR="00D04C69">
        <w:rPr>
          <w:noProof/>
        </w:rPr>
        <w:t>)</w:t>
      </w:r>
      <w:r w:rsidR="00635FCD" w:rsidRPr="00A55335">
        <w:fldChar w:fldCharType="end"/>
      </w:r>
      <w:r w:rsidRPr="00A55335">
        <w:t xml:space="preserve">. An asthma flare up can be triggered by a variety of exposures including dust mites, pollen, air pollution, tobacco smoke, cold air and physical exercise </w:t>
      </w:r>
      <w:r w:rsidR="00635FCD" w:rsidRPr="00A55335">
        <w:fldChar w:fldCharType="begin"/>
      </w:r>
      <w:r w:rsidR="006952AD">
        <w:instrText xml:space="preserve"> ADDIN EN.CITE &lt;EndNote&gt;&lt;Cite&gt;&lt;Author&gt;Australian Institute of Health and Welfare&lt;/Author&gt;&lt;Year&gt;2023&lt;/Year&gt;&lt;RecNum&gt;409&lt;/RecNum&gt;&lt;DisplayText&gt;(202)&lt;/DisplayText&gt;&lt;record&gt;&lt;rec-number&gt;409&lt;/rec-number&gt;&lt;foreign-keys&gt;&lt;key app="EN" db-id="t5prptatr9sp0we5exbxt9zz20fwp55tdza9" timestamp="1700774034"&gt;409&lt;/key&gt;&lt;/foreign-keys&gt;&lt;ref-type name="Electronic Article"&gt;43&lt;/ref-type&gt;&lt;contributors&gt;&lt;authors&gt;&lt;author&gt;Australian Institute of Health and Welfare,&lt;/author&gt;&lt;/authors&gt;&lt;/contributors&gt;&lt;titles&gt;&lt;title&gt;Chronic respiratory conditions&lt;/title&gt;&lt;/titles&gt;&lt;dates&gt;&lt;year&gt;2023&lt;/year&gt;&lt;/dates&gt;&lt;pub-location&gt;Canberra&lt;/pub-location&gt;&lt;publisher&gt;AIHW&lt;/publisher&gt;&lt;urls&gt;&lt;related-urls&gt;&lt;url&gt;https://www.aihw.gov.au/reports/chronic-respiratory-conditions/chronic-respiratory-conditions&lt;/url&gt;&lt;/related-urls&gt;&lt;/urls&gt;&lt;/record&gt;&lt;/Cite&gt;&lt;/EndNote&gt;</w:instrText>
      </w:r>
      <w:r w:rsidR="00635FCD" w:rsidRPr="00A55335">
        <w:fldChar w:fldCharType="separate"/>
      </w:r>
      <w:r w:rsidR="00D04C69">
        <w:rPr>
          <w:noProof/>
        </w:rPr>
        <w:t>(</w:t>
      </w:r>
      <w:hyperlink w:anchor="_ENREF_202" w:tooltip="Australian Institute of Health and Welfare, 2023 #409" w:history="1">
        <w:r w:rsidR="00EC2769">
          <w:rPr>
            <w:noProof/>
          </w:rPr>
          <w:t>202</w:t>
        </w:r>
      </w:hyperlink>
      <w:r w:rsidR="00D04C69">
        <w:rPr>
          <w:noProof/>
        </w:rPr>
        <w:t>)</w:t>
      </w:r>
      <w:r w:rsidR="00635FCD" w:rsidRPr="00A55335">
        <w:fldChar w:fldCharType="end"/>
      </w:r>
      <w:r w:rsidRPr="00A55335">
        <w:t xml:space="preserve">. These stimuli cause a widespread narrowing of the airways resulting in symptoms such as wheezing, shortness of breath, chest tightness and fatigue </w:t>
      </w:r>
      <w:r w:rsidR="00635FCD" w:rsidRPr="00A55335">
        <w:fldChar w:fldCharType="begin"/>
      </w:r>
      <w:r w:rsidR="006952AD">
        <w:instrText xml:space="preserve"> ADDIN EN.CITE &lt;EndNote&gt;&lt;Cite&gt;&lt;Author&gt;Australian Institute of Health and Welfare&lt;/Author&gt;&lt;Year&gt;2023&lt;/Year&gt;&lt;RecNum&gt;409&lt;/RecNum&gt;&lt;DisplayText&gt;(202)&lt;/DisplayText&gt;&lt;record&gt;&lt;rec-number&gt;409&lt;/rec-number&gt;&lt;foreign-keys&gt;&lt;key app="EN" db-id="t5prptatr9sp0we5exbxt9zz20fwp55tdza9" timestamp="1700774034"&gt;409&lt;/key&gt;&lt;/foreign-keys&gt;&lt;ref-type name="Electronic Article"&gt;43&lt;/ref-type&gt;&lt;contributors&gt;&lt;authors&gt;&lt;author&gt;Australian Institute of Health and Welfare,&lt;/author&gt;&lt;/authors&gt;&lt;/contributors&gt;&lt;titles&gt;&lt;title&gt;Chronic respiratory conditions&lt;/title&gt;&lt;/titles&gt;&lt;dates&gt;&lt;year&gt;2023&lt;/year&gt;&lt;/dates&gt;&lt;pub-location&gt;Canberra&lt;/pub-location&gt;&lt;publisher&gt;AIHW&lt;/publisher&gt;&lt;urls&gt;&lt;related-urls&gt;&lt;url&gt;https://www.aihw.gov.au/reports/chronic-respiratory-conditions/chronic-respiratory-conditions&lt;/url&gt;&lt;/related-urls&gt;&lt;/urls&gt;&lt;/record&gt;&lt;/Cite&gt;&lt;/EndNote&gt;</w:instrText>
      </w:r>
      <w:r w:rsidR="00635FCD" w:rsidRPr="00A55335">
        <w:fldChar w:fldCharType="separate"/>
      </w:r>
      <w:r w:rsidR="00D04C69">
        <w:rPr>
          <w:noProof/>
        </w:rPr>
        <w:t>(</w:t>
      </w:r>
      <w:hyperlink w:anchor="_ENREF_202" w:tooltip="Australian Institute of Health and Welfare, 2023 #409" w:history="1">
        <w:r w:rsidR="00EC2769">
          <w:rPr>
            <w:noProof/>
          </w:rPr>
          <w:t>202</w:t>
        </w:r>
      </w:hyperlink>
      <w:r w:rsidR="00D04C69">
        <w:rPr>
          <w:noProof/>
        </w:rPr>
        <w:t>)</w:t>
      </w:r>
      <w:r w:rsidR="00635FCD" w:rsidRPr="00A55335">
        <w:fldChar w:fldCharType="end"/>
      </w:r>
      <w:r w:rsidRPr="00A55335">
        <w:t xml:space="preserve">. There are 5 common types of asthma, differentiated primarily based on their cause – allergic, non-allergic, occupational, exercise-induced, and nocturnal </w:t>
      </w:r>
      <w:r w:rsidR="00A64F90" w:rsidRPr="00A55335">
        <w:fldChar w:fldCharType="begin"/>
      </w:r>
      <w:r w:rsidR="006952AD">
        <w:instrText xml:space="preserve"> ADDIN EN.CITE &lt;EndNote&gt;&lt;Cite ExcludeYear="1"&gt;&lt;Author&gt;Australian Institute of Health and Welfare&lt;/Author&gt;&lt;Year&gt;2020&lt;/Year&gt;&lt;RecNum&gt;410&lt;/RecNum&gt;&lt;DisplayText&gt;(203)&lt;/DisplayText&gt;&lt;record&gt;&lt;rec-number&gt;410&lt;/rec-number&gt;&lt;foreign-keys&gt;&lt;key app="EN" db-id="t5prptatr9sp0we5exbxt9zz20fwp55tdza9" timestamp="1700774034"&gt;410&lt;/key&gt;&lt;/foreign-keys&gt;&lt;ref-type name="Electronic Article"&gt;43&lt;/ref-type&gt;&lt;contributors&gt;&lt;authors&gt;&lt;author&gt;Australian Institute of Health and Welfare,&lt;/author&gt;&lt;/authors&gt;&lt;/contributors&gt;&lt;titles&gt;&lt;title&gt;Arthritis&lt;/title&gt;&lt;/titles&gt;&lt;dates&gt;&lt;year&gt;2020&lt;/year&gt;&lt;/dates&gt;&lt;pub-location&gt;Canberra&lt;/pub-location&gt;&lt;publisher&gt;AIHW&lt;/publisher&gt;&lt;urls&gt;&lt;related-urls&gt;&lt;url&gt;https://www.aihw.gov.au/reports/chronic-musculoskeletal-conditions/arthritis&lt;/url&gt;&lt;/related-urls&gt;&lt;/urls&gt;&lt;/record&gt;&lt;/Cite&gt;&lt;/EndNote&gt;</w:instrText>
      </w:r>
      <w:r w:rsidR="00A64F90" w:rsidRPr="00A55335">
        <w:fldChar w:fldCharType="separate"/>
      </w:r>
      <w:r w:rsidR="00D04C69">
        <w:rPr>
          <w:noProof/>
        </w:rPr>
        <w:t>(</w:t>
      </w:r>
      <w:hyperlink w:anchor="_ENREF_203" w:tooltip="Australian Institute of Health and Welfare, 2020 #410" w:history="1">
        <w:r w:rsidR="00EC2769">
          <w:rPr>
            <w:noProof/>
          </w:rPr>
          <w:t>203</w:t>
        </w:r>
      </w:hyperlink>
      <w:r w:rsidR="00D04C69">
        <w:rPr>
          <w:noProof/>
        </w:rPr>
        <w:t>)</w:t>
      </w:r>
      <w:r w:rsidR="00A64F90" w:rsidRPr="00A55335">
        <w:fldChar w:fldCharType="end"/>
      </w:r>
      <w:r w:rsidRPr="00A55335">
        <w:t xml:space="preserve">. The effects of asthma can range from mild, intermittent symptoms that cause relatively few problems, to a severe and life-threatening condition, with almost 400 people in Australia dying due to asthma in 2018 </w:t>
      </w:r>
      <w:r w:rsidR="00635FCD" w:rsidRPr="00A55335">
        <w:fldChar w:fldCharType="begin"/>
      </w:r>
      <w:r w:rsidR="006952AD">
        <w:instrText xml:space="preserve"> ADDIN EN.CITE &lt;EndNote&gt;&lt;Cite&gt;&lt;Author&gt;Australian Institute of Health and Welfare&lt;/Author&gt;&lt;Year&gt;2023&lt;/Year&gt;&lt;RecNum&gt;409&lt;/RecNum&gt;&lt;DisplayText&gt;(202)&lt;/DisplayText&gt;&lt;record&gt;&lt;rec-number&gt;409&lt;/rec-number&gt;&lt;foreign-keys&gt;&lt;key app="EN" db-id="t5prptatr9sp0we5exbxt9zz20fwp55tdza9" timestamp="1700774034"&gt;409&lt;/key&gt;&lt;/foreign-keys&gt;&lt;ref-type name="Electronic Article"&gt;43&lt;/ref-type&gt;&lt;contributors&gt;&lt;authors&gt;&lt;author&gt;Australian Institute of Health and Welfare,&lt;/author&gt;&lt;/authors&gt;&lt;/contributors&gt;&lt;titles&gt;&lt;title&gt;Chronic respiratory conditions&lt;/title&gt;&lt;/titles&gt;&lt;dates&gt;&lt;year&gt;2023&lt;/year&gt;&lt;/dates&gt;&lt;pub-location&gt;Canberra&lt;/pub-location&gt;&lt;publisher&gt;AIHW&lt;/publisher&gt;&lt;urls&gt;&lt;related-urls&gt;&lt;url&gt;https://www.aihw.gov.au/reports/chronic-respiratory-conditions/chronic-respiratory-conditions&lt;/url&gt;&lt;/related-urls&gt;&lt;/urls&gt;&lt;/record&gt;&lt;/Cite&gt;&lt;/EndNote&gt;</w:instrText>
      </w:r>
      <w:r w:rsidR="00635FCD" w:rsidRPr="00A55335">
        <w:fldChar w:fldCharType="separate"/>
      </w:r>
      <w:r w:rsidR="00D04C69">
        <w:rPr>
          <w:noProof/>
        </w:rPr>
        <w:t>(</w:t>
      </w:r>
      <w:hyperlink w:anchor="_ENREF_202" w:tooltip="Australian Institute of Health and Welfare, 2023 #409" w:history="1">
        <w:r w:rsidR="00EC2769">
          <w:rPr>
            <w:noProof/>
          </w:rPr>
          <w:t>202</w:t>
        </w:r>
      </w:hyperlink>
      <w:r w:rsidR="00D04C69">
        <w:rPr>
          <w:noProof/>
        </w:rPr>
        <w:t>)</w:t>
      </w:r>
      <w:r w:rsidR="00635FCD" w:rsidRPr="00A55335">
        <w:fldChar w:fldCharType="end"/>
      </w:r>
      <w:r w:rsidRPr="00A55335">
        <w:t>.</w:t>
      </w:r>
    </w:p>
    <w:p w14:paraId="660213C6" w14:textId="75EE6150" w:rsidR="00DD505D" w:rsidRPr="00A55335" w:rsidRDefault="00DD505D" w:rsidP="00DD505D">
      <w:pPr>
        <w:pStyle w:val="BodyText"/>
      </w:pPr>
      <w:r w:rsidRPr="00A55335">
        <w:t xml:space="preserve">Around 2.7 million Australians (more than one in ten) report being diagnosed with asthma </w:t>
      </w:r>
      <w:r w:rsidR="00635FCD" w:rsidRPr="00A55335">
        <w:fldChar w:fldCharType="begin"/>
      </w:r>
      <w:r w:rsidR="006952AD">
        <w:instrText xml:space="preserve"> ADDIN EN.CITE &lt;EndNote&gt;&lt;Cite&gt;&lt;Author&gt;Australian Bureau of Statistics&lt;/Author&gt;&lt;Year&gt;2018&lt;/Year&gt;&lt;RecNum&gt;411&lt;/RecNum&gt;&lt;DisplayText&gt;(194)&lt;/DisplayText&gt;&lt;record&gt;&lt;rec-number&gt;411&lt;/rec-number&gt;&lt;foreign-keys&gt;&lt;key app="EN" db-id="t5prptatr9sp0we5exbxt9zz20fwp55tdza9" timestamp="1700774034"&gt;411&lt;/key&gt;&lt;/foreign-keys&gt;&lt;ref-type name="Electronic Article"&gt;43&lt;/ref-type&gt;&lt;contributors&gt;&lt;authors&gt;&lt;author&gt;Australian Bureau of Statistics,&lt;/author&gt;&lt;/authors&gt;&lt;/contributors&gt;&lt;titles&gt;&lt;title&gt;National Health Survey: First results 2017-18  &lt;/title&gt;&lt;/titles&gt;&lt;dates&gt;&lt;year&gt;2018&lt;/year&gt;&lt;pub-dates&gt;&lt;date&gt;13/07/2023&lt;/date&gt;&lt;/pub-dates&gt;&lt;/dates&gt;&lt;pub-location&gt;Canberra&lt;/pub-location&gt;&lt;urls&gt;&lt;related-urls&gt;&lt;url&gt;https://www.abs.gov.au/statistics/health/health-conditions-and-risks/national-health-survey-first-results/latest-release.&lt;/url&gt;&lt;/related-urls&gt;&lt;/urls&gt;&lt;/record&gt;&lt;/Cite&gt;&lt;/EndNote&gt;</w:instrText>
      </w:r>
      <w:r w:rsidR="00635FCD" w:rsidRPr="00A55335">
        <w:fldChar w:fldCharType="separate"/>
      </w:r>
      <w:r w:rsidR="00067842">
        <w:rPr>
          <w:noProof/>
        </w:rPr>
        <w:t>(</w:t>
      </w:r>
      <w:hyperlink w:anchor="_ENREF_194" w:tooltip="Australian Bureau of Statistics, 2018 #411" w:history="1">
        <w:r w:rsidR="00EC2769">
          <w:rPr>
            <w:noProof/>
          </w:rPr>
          <w:t>194</w:t>
        </w:r>
      </w:hyperlink>
      <w:r w:rsidR="00067842">
        <w:rPr>
          <w:noProof/>
        </w:rPr>
        <w:t>)</w:t>
      </w:r>
      <w:r w:rsidR="00635FCD" w:rsidRPr="00A55335">
        <w:fldChar w:fldCharType="end"/>
      </w:r>
      <w:r w:rsidRPr="00A55335">
        <w:t xml:space="preserve">. Asthma is the tenth highest contributor to the total burden of disease in Australia </w:t>
      </w:r>
      <w:r w:rsidR="00635FCD" w:rsidRPr="00A55335">
        <w:fldChar w:fldCharType="begin"/>
      </w:r>
      <w:r w:rsidR="006952AD">
        <w:instrText xml:space="preserve"> ADDIN EN.CITE &lt;EndNote&gt;&lt;Cite&gt;&lt;Author&gt;Australian Institute of Health and Welfare&lt;/Author&gt;&lt;Year&gt;2022&lt;/Year&gt;&lt;RecNum&gt;412&lt;/RecNum&gt;&lt;DisplayText&gt;(204)&lt;/DisplayText&gt;&lt;record&gt;&lt;rec-number&gt;412&lt;/rec-number&gt;&lt;foreign-keys&gt;&lt;key app="EN" db-id="t5prptatr9sp0we5exbxt9zz20fwp55tdza9" timestamp="1700774034"&gt;412&lt;/key&gt;&lt;/foreign-keys&gt;&lt;ref-type name="Electronic Article"&gt;43&lt;/ref-type&gt;&lt;contributors&gt;&lt;authors&gt;&lt;author&gt;Australian Institute of Health and Welfare,&lt;/author&gt;&lt;/authors&gt;&lt;/contributors&gt;&lt;titles&gt;&lt;title&gt;Australian Burden of Disease Study 2022&lt;/title&gt;&lt;/titles&gt;&lt;dates&gt;&lt;year&gt;2022&lt;/year&gt;&lt;/dates&gt;&lt;pub-location&gt;Canberra&lt;/pub-location&gt;&lt;publisher&gt;AIHW&lt;/publisher&gt;&lt;urls&gt;&lt;related-urls&gt;&lt;url&gt;https://www.aihw.gov.au/reports/burden-of-disease/australian-burden-of-disease-study-2022&lt;/url&gt;&lt;/related-urls&gt;&lt;/urls&gt;&lt;electronic-resource-num&gt;10.25816/e2v0-gp02&lt;/electronic-resource-num&gt;&lt;/record&gt;&lt;/Cite&gt;&lt;/EndNote&gt;</w:instrText>
      </w:r>
      <w:r w:rsidR="00635FCD" w:rsidRPr="00A55335">
        <w:fldChar w:fldCharType="separate"/>
      </w:r>
      <w:r w:rsidR="00D04C69">
        <w:rPr>
          <w:noProof/>
        </w:rPr>
        <w:t>(</w:t>
      </w:r>
      <w:hyperlink w:anchor="_ENREF_204" w:tooltip="Australian Institute of Health and Welfare, 2022 #412" w:history="1">
        <w:r w:rsidR="00EC2769">
          <w:rPr>
            <w:noProof/>
          </w:rPr>
          <w:t>204</w:t>
        </w:r>
      </w:hyperlink>
      <w:r w:rsidR="00D04C69">
        <w:rPr>
          <w:noProof/>
        </w:rPr>
        <w:t>)</w:t>
      </w:r>
      <w:r w:rsidR="00635FCD" w:rsidRPr="00A55335">
        <w:fldChar w:fldCharType="end"/>
      </w:r>
      <w:r w:rsidRPr="00A55335">
        <w:t xml:space="preserve">. The burden is highest among children, with asthma being the leading cause of burden for children aged between 5 and 14 years </w:t>
      </w:r>
      <w:r w:rsidR="00635FCD" w:rsidRPr="00A55335">
        <w:fldChar w:fldCharType="begin"/>
      </w:r>
      <w:r w:rsidR="006952AD">
        <w:instrText xml:space="preserve"> ADDIN EN.CITE &lt;EndNote&gt;&lt;Cite&gt;&lt;Author&gt;Australian Institute of Health and Welfare&lt;/Author&gt;&lt;Year&gt;2022&lt;/Year&gt;&lt;RecNum&gt;412&lt;/RecNum&gt;&lt;DisplayText&gt;(204)&lt;/DisplayText&gt;&lt;record&gt;&lt;rec-number&gt;412&lt;/rec-number&gt;&lt;foreign-keys&gt;&lt;key app="EN" db-id="t5prptatr9sp0we5exbxt9zz20fwp55tdza9" timestamp="1700774034"&gt;412&lt;/key&gt;&lt;/foreign-keys&gt;&lt;ref-type name="Electronic Article"&gt;43&lt;/ref-type&gt;&lt;contributors&gt;&lt;authors&gt;&lt;author&gt;Australian Institute of Health and Welfare,&lt;/author&gt;&lt;/authors&gt;&lt;/contributors&gt;&lt;titles&gt;&lt;title&gt;Australian Burden of Disease Study 2022&lt;/title&gt;&lt;/titles&gt;&lt;dates&gt;&lt;year&gt;2022&lt;/year&gt;&lt;/dates&gt;&lt;pub-location&gt;Canberra&lt;/pub-location&gt;&lt;publisher&gt;AIHW&lt;/publisher&gt;&lt;urls&gt;&lt;related-urls&gt;&lt;url&gt;https://www.aihw.gov.au/reports/burden-of-disease/australian-burden-of-disease-study-2022&lt;/url&gt;&lt;/related-urls&gt;&lt;/urls&gt;&lt;electronic-resource-num&gt;10.25816/e2v0-gp02&lt;/electronic-resource-num&gt;&lt;/record&gt;&lt;/Cite&gt;&lt;/EndNote&gt;</w:instrText>
      </w:r>
      <w:r w:rsidR="00635FCD" w:rsidRPr="00A55335">
        <w:fldChar w:fldCharType="separate"/>
      </w:r>
      <w:r w:rsidR="00D04C69">
        <w:rPr>
          <w:noProof/>
        </w:rPr>
        <w:t>(</w:t>
      </w:r>
      <w:hyperlink w:anchor="_ENREF_204" w:tooltip="Australian Institute of Health and Welfare, 2022 #412" w:history="1">
        <w:r w:rsidR="00EC2769">
          <w:rPr>
            <w:noProof/>
          </w:rPr>
          <w:t>204</w:t>
        </w:r>
      </w:hyperlink>
      <w:r w:rsidR="00D04C69">
        <w:rPr>
          <w:noProof/>
        </w:rPr>
        <w:t>)</w:t>
      </w:r>
      <w:r w:rsidR="00635FCD" w:rsidRPr="00A55335">
        <w:fldChar w:fldCharType="end"/>
      </w:r>
      <w:r w:rsidRPr="00A55335">
        <w:t xml:space="preserve">. It has been estimated that the total cost of asthma to Australia in terms of both economic and health costs were $28 billion in 2015 </w:t>
      </w:r>
      <w:r w:rsidR="00635FCD" w:rsidRPr="00A55335">
        <w:fldChar w:fldCharType="begin"/>
      </w:r>
      <w:r w:rsidR="006952AD">
        <w:instrText xml:space="preserve"> ADDIN EN.CITE &lt;EndNote&gt;&lt;Cite&gt;&lt;Year&gt;2015&lt;/Year&gt;&lt;RecNum&gt;413&lt;/RecNum&gt;&lt;DisplayText&gt;(205)&lt;/DisplayText&gt;&lt;record&gt;&lt;rec-number&gt;413&lt;/rec-number&gt;&lt;foreign-keys&gt;&lt;key app="EN" db-id="t5prptatr9sp0we5exbxt9zz20fwp55tdza9" timestamp="1700774034"&gt;413&lt;/key&gt;&lt;/foreign-keys&gt;&lt;ref-type name="Government Document"&gt;46&lt;/ref-type&gt;&lt;contributors&gt;&lt;secondary-authors&gt;&lt;author&gt;Asthma Australia, National Asthma Council&lt;/author&gt;&lt;/secondary-authors&gt;&lt;/contributors&gt;&lt;titles&gt;&lt;title&gt;The Hidden Cost of Asthma&lt;/title&gt;&lt;/titles&gt;&lt;volume&gt;2023&lt;/volume&gt;&lt;number&gt;10 September&lt;/number&gt;&lt;dates&gt;&lt;year&gt;2015&lt;/year&gt;&lt;/dates&gt;&lt;pub-location&gt;Canberra&lt;/pub-location&gt;&lt;publisher&gt;Deloitte Access Economics&lt;/publisher&gt;&lt;urls&gt;&lt;related-urls&gt;&lt;url&gt;https://asthma.org.au/wp-content/uploads/2022/03/HIdden-cost-of-asthma-final-report-revised-181115-v2-2.pdf&lt;/url&gt;&lt;/related-urls&gt;&lt;/urls&gt;&lt;custom1&gt;2023&lt;/custom1&gt;&lt;custom2&gt;10 September&lt;/custom2&gt;&lt;/record&gt;&lt;/Cite&gt;&lt;/EndNote&gt;</w:instrText>
      </w:r>
      <w:r w:rsidR="00635FCD" w:rsidRPr="00A55335">
        <w:fldChar w:fldCharType="separate"/>
      </w:r>
      <w:r w:rsidR="00D04C69">
        <w:rPr>
          <w:noProof/>
        </w:rPr>
        <w:t>(</w:t>
      </w:r>
      <w:hyperlink w:anchor="_ENREF_205" w:tooltip=", 2015 #413" w:history="1">
        <w:r w:rsidR="00EC2769">
          <w:rPr>
            <w:noProof/>
          </w:rPr>
          <w:t>205</w:t>
        </w:r>
      </w:hyperlink>
      <w:r w:rsidR="00D04C69">
        <w:rPr>
          <w:noProof/>
        </w:rPr>
        <w:t>)</w:t>
      </w:r>
      <w:r w:rsidR="00635FCD" w:rsidRPr="00A55335">
        <w:fldChar w:fldCharType="end"/>
      </w:r>
      <w:r w:rsidRPr="00A55335">
        <w:t>.</w:t>
      </w:r>
    </w:p>
    <w:p w14:paraId="78BD8917" w14:textId="45B1F309" w:rsidR="00DD505D" w:rsidRPr="00A55335" w:rsidRDefault="00DD505D" w:rsidP="00DD505D">
      <w:pPr>
        <w:pStyle w:val="BodyText"/>
      </w:pPr>
      <w:r w:rsidRPr="00A55335">
        <w:t>The key conventional method of managing asthma is through pharmacological intervention, which can be categorised as preventers and relievers</w:t>
      </w:r>
      <w:r w:rsidR="00D16679" w:rsidRPr="00A55335">
        <w:t xml:space="preserve">, as well as by their pharmacological or chemical classes </w:t>
      </w:r>
      <w:r w:rsidR="00D16679" w:rsidRPr="00A55335">
        <w:fldChar w:fldCharType="begin"/>
      </w:r>
      <w:r w:rsidR="006952AD">
        <w:instrText xml:space="preserve"> ADDIN EN.CITE &lt;EndNote&gt;&lt;Cite&gt;&lt;Author&gt;White&lt;/Author&gt;&lt;Year&gt;2003&lt;/Year&gt;&lt;RecNum&gt;415&lt;/RecNum&gt;&lt;DisplayText&gt;(206)&lt;/DisplayText&gt;&lt;record&gt;&lt;rec-number&gt;415&lt;/rec-number&gt;&lt;foreign-keys&gt;&lt;key app="EN" db-id="t5prptatr9sp0we5exbxt9zz20fwp55tdza9" timestamp="1700774034"&gt;415&lt;/key&gt;&lt;/foreign-keys&gt;&lt;ref-type name="Journal Article"&gt;17&lt;/ref-type&gt;&lt;contributors&gt;&lt;authors&gt;&lt;author&gt;White, A.&lt;/author&gt;&lt;author&gt;Slade, P.&lt;/author&gt;&lt;author&gt;Hunt, C.&lt;/author&gt;&lt;author&gt;Hart, A.&lt;/author&gt;&lt;author&gt;Ernst, E.&lt;/author&gt;&lt;/authors&gt;&lt;/contributors&gt;&lt;auth-address&gt;Complementary Medicine, Peninsula Medical School, University of Exeter, Exeter EX2 4NT, UK. adrian.white@pms.ac.uk&lt;/auth-address&gt;&lt;titles&gt;&lt;title&gt;Individualised homeopathy as an adjunct in the treatment of childhood asthma: a randomised placebo controlled trial&lt;/title&gt;&lt;secondary-title&gt;Thorax&lt;/secondary-title&gt;&lt;/titles&gt;&lt;periodical&gt;&lt;full-title&gt;Thorax&lt;/full-title&gt;&lt;/periodical&gt;&lt;pages&gt;317-21&lt;/pages&gt;&lt;volume&gt;58&lt;/volume&gt;&lt;number&gt;4&lt;/number&gt;&lt;keywords&gt;&lt;keyword&gt;Administration, Inhalation&lt;/keyword&gt;&lt;keyword&gt;Adolescent&lt;/keyword&gt;&lt;keyword&gt;Anti-Asthmatic Agents/administration &amp;amp; dosage&lt;/keyword&gt;&lt;keyword&gt;Asthma/*drug therapy&lt;/keyword&gt;&lt;keyword&gt;Child&lt;/keyword&gt;&lt;keyword&gt;Double-Blind Method&lt;/keyword&gt;&lt;keyword&gt;Humans&lt;/keyword&gt;&lt;keyword&gt;Infant&lt;/keyword&gt;&lt;keyword&gt;Materia Medica/*therapeutic use&lt;/keyword&gt;&lt;keyword&gt;Quality of Life&lt;/keyword&gt;&lt;keyword&gt;Treatment Outcome&lt;/keyword&gt;&lt;/keywords&gt;&lt;dates&gt;&lt;year&gt;2003&lt;/year&gt;&lt;pub-dates&gt;&lt;date&gt;Apr&lt;/date&gt;&lt;/pub-dates&gt;&lt;/dates&gt;&lt;isbn&gt;0040-6376 (Print)&amp;#xD;1468-3296 (Electronic)&amp;#xD;0040-6376 (Linking)&lt;/isbn&gt;&lt;accession-num&gt;12668794&lt;/accession-num&gt;&lt;urls&gt;&lt;related-urls&gt;&lt;url&gt;https://www.ncbi.nlm.nih.gov/pubmed/12668794&lt;/url&gt;&lt;/related-urls&gt;&lt;/urls&gt;&lt;custom2&gt;PMC1746635&lt;/custom2&gt;&lt;electronic-resource-num&gt;10.1136/thorax.58.4.317&lt;/electronic-resource-num&gt;&lt;remote-database-name&gt;Medline&lt;/remote-database-name&gt;&lt;remote-database-provider&gt;NLM&lt;/remote-database-provider&gt;&lt;/record&gt;&lt;/Cite&gt;&lt;/EndNote&gt;</w:instrText>
      </w:r>
      <w:r w:rsidR="00D16679" w:rsidRPr="00A55335">
        <w:fldChar w:fldCharType="separate"/>
      </w:r>
      <w:r w:rsidR="00D04C69">
        <w:rPr>
          <w:noProof/>
        </w:rPr>
        <w:t>(</w:t>
      </w:r>
      <w:hyperlink w:anchor="_ENREF_206" w:tooltip="White, 2003 #415" w:history="1">
        <w:r w:rsidR="00EC2769">
          <w:rPr>
            <w:noProof/>
          </w:rPr>
          <w:t>206</w:t>
        </w:r>
      </w:hyperlink>
      <w:r w:rsidR="00D04C69">
        <w:rPr>
          <w:noProof/>
        </w:rPr>
        <w:t>)</w:t>
      </w:r>
      <w:r w:rsidR="00D16679" w:rsidRPr="00A55335">
        <w:fldChar w:fldCharType="end"/>
      </w:r>
      <w:r w:rsidRPr="00A55335">
        <w:t xml:space="preserve">. Alternatively, some people choose to use complementary or alternative therapies such as homeopathy </w:t>
      </w:r>
      <w:r w:rsidR="00D21C2D">
        <w:t>for</w:t>
      </w:r>
      <w:r w:rsidRPr="00A55335">
        <w:t xml:space="preserve"> their symptoms </w:t>
      </w:r>
      <w:r w:rsidR="00635FCD" w:rsidRPr="00A55335">
        <w:fldChar w:fldCharType="begin"/>
      </w:r>
      <w:r w:rsidR="006952AD">
        <w:instrText xml:space="preserve"> ADDIN EN.CITE &lt;EndNote&gt;&lt;Cite&gt;&lt;Author&gt;White&lt;/Author&gt;&lt;Year&gt;2003&lt;/Year&gt;&lt;RecNum&gt;415&lt;/RecNum&gt;&lt;DisplayText&gt;(206)&lt;/DisplayText&gt;&lt;record&gt;&lt;rec-number&gt;415&lt;/rec-number&gt;&lt;foreign-keys&gt;&lt;key app="EN" db-id="t5prptatr9sp0we5exbxt9zz20fwp55tdza9" timestamp="1700774034"&gt;415&lt;/key&gt;&lt;/foreign-keys&gt;&lt;ref-type name="Journal Article"&gt;17&lt;/ref-type&gt;&lt;contributors&gt;&lt;authors&gt;&lt;author&gt;White, A.&lt;/author&gt;&lt;author&gt;Slade, P.&lt;/author&gt;&lt;author&gt;Hunt, C.&lt;/author&gt;&lt;author&gt;Hart, A.&lt;/author&gt;&lt;author&gt;Ernst, E.&lt;/author&gt;&lt;/authors&gt;&lt;/contributors&gt;&lt;auth-address&gt;Complementary Medicine, Peninsula Medical School, University of Exeter, Exeter EX2 4NT, UK. adrian.white@pms.ac.uk&lt;/auth-address&gt;&lt;titles&gt;&lt;title&gt;Individualised homeopathy as an adjunct in the treatment of childhood asthma: a randomised placebo controlled trial&lt;/title&gt;&lt;secondary-title&gt;Thorax&lt;/secondary-title&gt;&lt;/titles&gt;&lt;periodical&gt;&lt;full-title&gt;Thorax&lt;/full-title&gt;&lt;/periodical&gt;&lt;pages&gt;317-21&lt;/pages&gt;&lt;volume&gt;58&lt;/volume&gt;&lt;number&gt;4&lt;/number&gt;&lt;keywords&gt;&lt;keyword&gt;Administration, Inhalation&lt;/keyword&gt;&lt;keyword&gt;Adolescent&lt;/keyword&gt;&lt;keyword&gt;Anti-Asthmatic Agents/administration &amp;amp; dosage&lt;/keyword&gt;&lt;keyword&gt;Asthma/*drug therapy&lt;/keyword&gt;&lt;keyword&gt;Child&lt;/keyword&gt;&lt;keyword&gt;Double-Blind Method&lt;/keyword&gt;&lt;keyword&gt;Humans&lt;/keyword&gt;&lt;keyword&gt;Infant&lt;/keyword&gt;&lt;keyword&gt;Materia Medica/*therapeutic use&lt;/keyword&gt;&lt;keyword&gt;Quality of Life&lt;/keyword&gt;&lt;keyword&gt;Treatment Outcome&lt;/keyword&gt;&lt;/keywords&gt;&lt;dates&gt;&lt;year&gt;2003&lt;/year&gt;&lt;pub-dates&gt;&lt;date&gt;Apr&lt;/date&gt;&lt;/pub-dates&gt;&lt;/dates&gt;&lt;isbn&gt;0040-6376 (Print)&amp;#xD;1468-3296 (Electronic)&amp;#xD;0040-6376 (Linking)&lt;/isbn&gt;&lt;accession-num&gt;12668794&lt;/accession-num&gt;&lt;urls&gt;&lt;related-urls&gt;&lt;url&gt;https://www.ncbi.nlm.nih.gov/pubmed/12668794&lt;/url&gt;&lt;/related-urls&gt;&lt;/urls&gt;&lt;custom2&gt;PMC1746635&lt;/custom2&gt;&lt;electronic-resource-num&gt;10.1136/thorax.58.4.317&lt;/electronic-resource-num&gt;&lt;remote-database-name&gt;Medline&lt;/remote-database-name&gt;&lt;remote-database-provider&gt;NLM&lt;/remote-database-provider&gt;&lt;/record&gt;&lt;/Cite&gt;&lt;/EndNote&gt;</w:instrText>
      </w:r>
      <w:r w:rsidR="00635FCD" w:rsidRPr="00A55335">
        <w:fldChar w:fldCharType="separate"/>
      </w:r>
      <w:r w:rsidR="00D04C69">
        <w:rPr>
          <w:noProof/>
        </w:rPr>
        <w:t>(</w:t>
      </w:r>
      <w:hyperlink w:anchor="_ENREF_206" w:tooltip="White, 2003 #415" w:history="1">
        <w:r w:rsidR="00EC2769">
          <w:rPr>
            <w:noProof/>
          </w:rPr>
          <w:t>206</w:t>
        </w:r>
      </w:hyperlink>
      <w:r w:rsidR="00D04C69">
        <w:rPr>
          <w:noProof/>
        </w:rPr>
        <w:t>)</w:t>
      </w:r>
      <w:r w:rsidR="00635FCD" w:rsidRPr="00A55335">
        <w:fldChar w:fldCharType="end"/>
      </w:r>
      <w:r w:rsidRPr="00A55335">
        <w:t>.</w:t>
      </w:r>
    </w:p>
    <w:p w14:paraId="1A41225B" w14:textId="77777777" w:rsidR="00DD505D" w:rsidRPr="00A55335" w:rsidRDefault="00DD505D" w:rsidP="004D433B">
      <w:pPr>
        <w:pStyle w:val="Heading3"/>
      </w:pPr>
      <w:bookmarkStart w:id="283" w:name="_Toc183441359"/>
      <w:r w:rsidRPr="00A55335">
        <w:t>Description of studies</w:t>
      </w:r>
      <w:bookmarkEnd w:id="283"/>
      <w:r w:rsidRPr="00A55335">
        <w:t xml:space="preserve"> </w:t>
      </w:r>
    </w:p>
    <w:p w14:paraId="4FCFBF38" w14:textId="5A786368" w:rsidR="00DD505D" w:rsidRPr="00A55335" w:rsidRDefault="001221A6" w:rsidP="00DD505D">
      <w:pPr>
        <w:pStyle w:val="BodyText"/>
      </w:pPr>
      <w:r w:rsidRPr="00A55335">
        <w:t>There were 1</w:t>
      </w:r>
      <w:r w:rsidR="00FB609D" w:rsidRPr="00A55335">
        <w:t>1</w:t>
      </w:r>
      <w:r w:rsidR="00DD505D" w:rsidRPr="00A55335">
        <w:t xml:space="preserve"> citations </w:t>
      </w:r>
      <w:r w:rsidR="009C17FF" w:rsidRPr="00A55335">
        <w:fldChar w:fldCharType="begin">
          <w:fldData xml:space="preserve">PEVuZE5vdGU+PENpdGU+PEF1dGhvcj5MZXdpdGg8L0F1dGhvcj48WWVhcj4yMDAyPC9ZZWFyPjxS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</w:fldData>
        </w:fldChar>
      </w:r>
      <w:r w:rsidR="00DD10E6">
        <w:instrText xml:space="preserve"> ADDIN EN.CITE </w:instrText>
      </w:r>
      <w:r w:rsidR="00DD10E6">
        <w:fldChar w:fldCharType="begin">
          <w:fldData xml:space="preserve">PEVuZE5vdGU+PENpdGU+PEF1dGhvcj5MZXdpdGg8L0F1dGhvcj48WWVhcj4yMDAyPC9ZZWFyPjxS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</w:fldData>
        </w:fldChar>
      </w:r>
      <w:r w:rsidR="00DD10E6">
        <w:instrText xml:space="preserve"> ADDIN EN.CITE.DATA </w:instrText>
      </w:r>
      <w:r w:rsidR="00DD10E6">
        <w:fldChar w:fldCharType="end"/>
      </w:r>
      <w:r w:rsidR="009C17FF" w:rsidRPr="00A55335">
        <w:fldChar w:fldCharType="separate"/>
      </w:r>
      <w:r w:rsidR="00DD10E6">
        <w:rPr>
          <w:noProof/>
        </w:rPr>
        <w:t>(</w:t>
      </w:r>
      <w:hyperlink w:anchor="_ENREF_153" w:tooltip=", 2023 #386" w:history="1">
        <w:r w:rsidR="00EC2769">
          <w:rPr>
            <w:noProof/>
          </w:rPr>
          <w:t>153</w:t>
        </w:r>
      </w:hyperlink>
      <w:r w:rsidR="00DD10E6">
        <w:rPr>
          <w:noProof/>
        </w:rPr>
        <w:t xml:space="preserve">, </w:t>
      </w:r>
      <w:hyperlink w:anchor="_ENREF_206" w:tooltip="White, 2003 #415" w:history="1">
        <w:r w:rsidR="00EC2769">
          <w:rPr>
            <w:noProof/>
          </w:rPr>
          <w:t>206-216</w:t>
        </w:r>
      </w:hyperlink>
      <w:r w:rsidR="00DD10E6">
        <w:rPr>
          <w:noProof/>
        </w:rPr>
        <w:t>)</w:t>
      </w:r>
      <w:r w:rsidR="009C17FF" w:rsidRPr="00A55335">
        <w:fldChar w:fldCharType="end"/>
      </w:r>
      <w:r w:rsidR="00DD505D" w:rsidRPr="00A55335">
        <w:t xml:space="preserve"> corresponding to 5 RCTs (Lewith 2002, </w:t>
      </w:r>
      <w:proofErr w:type="spellStart"/>
      <w:r w:rsidR="00DD505D" w:rsidRPr="00A55335">
        <w:t>Qutubuddin</w:t>
      </w:r>
      <w:proofErr w:type="spellEnd"/>
      <w:r w:rsidR="00DD505D" w:rsidRPr="00A55335">
        <w:t xml:space="preserve"> 2019, </w:t>
      </w:r>
      <w:r w:rsidR="00711CE8" w:rsidRPr="00A55335">
        <w:t xml:space="preserve">Reilly 1994, </w:t>
      </w:r>
      <w:proofErr w:type="spellStart"/>
      <w:r w:rsidR="00DD505D" w:rsidRPr="00A55335">
        <w:t>Topcu</w:t>
      </w:r>
      <w:proofErr w:type="spellEnd"/>
      <w:r w:rsidR="00DD505D" w:rsidRPr="00A55335">
        <w:t xml:space="preserve"> 2010, White 2003) and</w:t>
      </w:r>
      <w:r w:rsidR="00980CA0" w:rsidRPr="00A55335">
        <w:t xml:space="preserve"> one </w:t>
      </w:r>
      <w:r w:rsidR="00DD505D" w:rsidRPr="00A55335">
        <w:t>quasi RCT (Thompson 2008</w:t>
      </w:r>
      <w:r w:rsidRPr="00A55335">
        <w:t>)</w:t>
      </w:r>
      <w:r w:rsidR="00DD505D" w:rsidRPr="00A55335">
        <w:t xml:space="preserve"> identified in the literature</w:t>
      </w:r>
      <w:r w:rsidRPr="00A55335">
        <w:t xml:space="preserve"> search</w:t>
      </w:r>
      <w:r w:rsidR="00DD505D" w:rsidRPr="00A55335">
        <w:t xml:space="preserve">. </w:t>
      </w:r>
      <w:r w:rsidR="00711CE8" w:rsidRPr="00A55335">
        <w:t xml:space="preserve">No additional studies were identified in the Department’s public call for evidence. </w:t>
      </w:r>
      <w:r w:rsidR="00DD505D" w:rsidRPr="00A55335">
        <w:t>There was</w:t>
      </w:r>
      <w:r w:rsidR="00980CA0" w:rsidRPr="00A55335">
        <w:t xml:space="preserve"> one </w:t>
      </w:r>
      <w:hyperlink w:anchor="_Ongoing_studies" w:history="1">
        <w:r w:rsidR="00DD505D" w:rsidRPr="00A55335">
          <w:rPr>
            <w:rStyle w:val="Hyperlink"/>
          </w:rPr>
          <w:t>ongoing study</w:t>
        </w:r>
      </w:hyperlink>
      <w:r w:rsidR="00DD505D" w:rsidRPr="00A55335">
        <w:t xml:space="preserve"> and </w:t>
      </w:r>
      <w:r w:rsidR="00E3777E" w:rsidRPr="00A55335">
        <w:t xml:space="preserve">5 </w:t>
      </w:r>
      <w:hyperlink w:anchor="_Studies_awaiting_classification" w:history="1">
        <w:r w:rsidR="00DD505D" w:rsidRPr="00A55335">
          <w:rPr>
            <w:rStyle w:val="Hyperlink"/>
          </w:rPr>
          <w:t>studies awaiting classification</w:t>
        </w:r>
      </w:hyperlink>
      <w:r w:rsidR="00DD505D" w:rsidRPr="00A55335">
        <w:rPr>
          <w:rStyle w:val="Hyperlink"/>
        </w:rPr>
        <w:t>,</w:t>
      </w:r>
      <w:r w:rsidR="00DD505D" w:rsidRPr="00A55335">
        <w:t xml:space="preserve"> including 2 studies published in a language other than English. An overview of the PICO criteria of included studies is provided in Appendix D5.1.1.</w:t>
      </w:r>
    </w:p>
    <w:p w14:paraId="265B6003" w14:textId="5B1DDABE" w:rsidR="00DD505D" w:rsidRPr="00A55335" w:rsidRDefault="006A21BF" w:rsidP="00DD505D">
      <w:pPr>
        <w:pStyle w:val="BodyText"/>
      </w:pPr>
      <w:r w:rsidRPr="00A55335">
        <w:t xml:space="preserve">Four studies were conducted in </w:t>
      </w:r>
      <w:r w:rsidR="00772559" w:rsidRPr="00A55335">
        <w:t xml:space="preserve">single </w:t>
      </w:r>
      <w:r w:rsidRPr="00A55335">
        <w:t>outpatient clinics</w:t>
      </w:r>
      <w:r w:rsidR="00772559" w:rsidRPr="00A55335">
        <w:t xml:space="preserve"> in </w:t>
      </w:r>
      <w:r w:rsidR="00412CA9" w:rsidRPr="00A55335">
        <w:t xml:space="preserve">England (Thompson 2008), </w:t>
      </w:r>
      <w:r w:rsidR="00F90B60" w:rsidRPr="00A55335">
        <w:t>Denmark (</w:t>
      </w:r>
      <w:proofErr w:type="spellStart"/>
      <w:r w:rsidR="00F90B60" w:rsidRPr="00A55335">
        <w:t>Topcu</w:t>
      </w:r>
      <w:proofErr w:type="spellEnd"/>
      <w:r w:rsidR="00F90B60" w:rsidRPr="00A55335">
        <w:t xml:space="preserve"> 2010), </w:t>
      </w:r>
      <w:r w:rsidRPr="00A55335">
        <w:t>India (</w:t>
      </w:r>
      <w:proofErr w:type="spellStart"/>
      <w:r w:rsidRPr="00A55335">
        <w:t>Qutubuddin</w:t>
      </w:r>
      <w:proofErr w:type="spellEnd"/>
      <w:r w:rsidRPr="00A55335">
        <w:t xml:space="preserve"> 2019)</w:t>
      </w:r>
      <w:r w:rsidR="00F90B60" w:rsidRPr="00A55335">
        <w:t xml:space="preserve"> or </w:t>
      </w:r>
      <w:r w:rsidR="00772559" w:rsidRPr="00A55335">
        <w:t>Scotland (Reilly 1994)</w:t>
      </w:r>
      <w:r w:rsidR="00A6643A" w:rsidRPr="00A55335">
        <w:t xml:space="preserve"> and 2</w:t>
      </w:r>
      <w:r w:rsidR="00DD505D" w:rsidRPr="00A55335">
        <w:t xml:space="preserve"> </w:t>
      </w:r>
      <w:r w:rsidR="001221A6" w:rsidRPr="00A55335">
        <w:t>RCTs</w:t>
      </w:r>
      <w:r w:rsidR="00DD505D" w:rsidRPr="00A55335">
        <w:t xml:space="preserve"> (Lewith 2002</w:t>
      </w:r>
      <w:r w:rsidR="001221A6" w:rsidRPr="00A55335">
        <w:t xml:space="preserve">, </w:t>
      </w:r>
      <w:r w:rsidR="00DD505D" w:rsidRPr="00A55335">
        <w:t xml:space="preserve">White 2003) were conducted in general practice clinics throughout the United Kingdom. </w:t>
      </w:r>
      <w:r w:rsidR="00B8289D" w:rsidRPr="00A55335">
        <w:t xml:space="preserve">All studies enrolled people with asthma, with </w:t>
      </w:r>
      <w:r w:rsidR="005A619E" w:rsidRPr="00A55335">
        <w:t xml:space="preserve">participants in </w:t>
      </w:r>
      <w:r w:rsidR="00B8289D" w:rsidRPr="00A55335">
        <w:t>2</w:t>
      </w:r>
      <w:r w:rsidR="00DD505D" w:rsidRPr="00A55335">
        <w:t xml:space="preserve"> </w:t>
      </w:r>
      <w:r w:rsidR="00B8289D" w:rsidRPr="00A55335">
        <w:t>RCTs</w:t>
      </w:r>
      <w:r w:rsidR="00DD505D" w:rsidRPr="00A55335">
        <w:t xml:space="preserve"> </w:t>
      </w:r>
      <w:r w:rsidR="00877875" w:rsidRPr="00A55335">
        <w:t>(</w:t>
      </w:r>
      <w:r w:rsidR="005A619E" w:rsidRPr="00A55335">
        <w:t xml:space="preserve">Lewith 2002, </w:t>
      </w:r>
      <w:r w:rsidR="00877875" w:rsidRPr="00A55335">
        <w:t xml:space="preserve">Reilly 1994) </w:t>
      </w:r>
      <w:r w:rsidR="007558BD" w:rsidRPr="00A55335">
        <w:t>having flareup</w:t>
      </w:r>
      <w:r w:rsidR="00A6643A" w:rsidRPr="00A55335">
        <w:t>s associated with allergies</w:t>
      </w:r>
      <w:r w:rsidR="00D2532A" w:rsidRPr="00A55335">
        <w:t xml:space="preserve"> and participants</w:t>
      </w:r>
      <w:r w:rsidR="006B0FA4" w:rsidRPr="00A55335">
        <w:t xml:space="preserve"> </w:t>
      </w:r>
      <w:r w:rsidR="001B29A6" w:rsidRPr="00A55335">
        <w:t xml:space="preserve">in </w:t>
      </w:r>
      <w:r w:rsidR="006B0FA4" w:rsidRPr="00A55335">
        <w:t>2 studies</w:t>
      </w:r>
      <w:r w:rsidR="00BD6C7C" w:rsidRPr="00A55335">
        <w:t xml:space="preserve"> (Thompson 2008, White 2003)</w:t>
      </w:r>
      <w:r w:rsidR="001B29A6" w:rsidRPr="00A55335">
        <w:t xml:space="preserve"> being children (aged below 15 years)</w:t>
      </w:r>
      <w:r w:rsidR="00297030" w:rsidRPr="00A55335">
        <w:t>. S</w:t>
      </w:r>
      <w:r w:rsidR="00877875" w:rsidRPr="00A55335">
        <w:t>ample sizes rang</w:t>
      </w:r>
      <w:r w:rsidR="00297030" w:rsidRPr="00A55335">
        <w:t>ed</w:t>
      </w:r>
      <w:r w:rsidR="00877875" w:rsidRPr="00A55335">
        <w:t xml:space="preserve"> from 28 to 242</w:t>
      </w:r>
      <w:r w:rsidR="001B29A6" w:rsidRPr="00A55335">
        <w:t xml:space="preserve"> (total </w:t>
      </w:r>
      <w:r w:rsidR="005D0657" w:rsidRPr="00A55335">
        <w:t>626 participants)</w:t>
      </w:r>
      <w:r w:rsidR="00DD505D" w:rsidRPr="00A55335">
        <w:t xml:space="preserve">. </w:t>
      </w:r>
    </w:p>
    <w:p w14:paraId="6C1232B5" w14:textId="77777777" w:rsidR="00AC6210" w:rsidRPr="00A55335" w:rsidRDefault="005D0657" w:rsidP="00DD505D">
      <w:pPr>
        <w:pStyle w:val="BodyText"/>
      </w:pPr>
      <w:r w:rsidRPr="00A55335">
        <w:t xml:space="preserve">Four studies compared </w:t>
      </w:r>
      <w:r w:rsidR="008E21AF" w:rsidRPr="00A55335">
        <w:t xml:space="preserve">an oral </w:t>
      </w:r>
      <w:r w:rsidRPr="00A55335">
        <w:t>homeopath</w:t>
      </w:r>
      <w:r w:rsidR="008E21AF" w:rsidRPr="00A55335">
        <w:t>ic treatment</w:t>
      </w:r>
      <w:r w:rsidRPr="00A55335">
        <w:t xml:space="preserve"> </w:t>
      </w:r>
      <w:r w:rsidR="008E21AF" w:rsidRPr="00A55335">
        <w:t>with</w:t>
      </w:r>
      <w:r w:rsidRPr="00A55335">
        <w:t xml:space="preserve"> placebo.</w:t>
      </w:r>
      <w:r w:rsidR="009047DF" w:rsidRPr="00A55335">
        <w:t xml:space="preserve"> Of these, </w:t>
      </w:r>
      <w:r w:rsidR="00467BA8" w:rsidRPr="00A55335">
        <w:t>3</w:t>
      </w:r>
      <w:r w:rsidR="009047DF" w:rsidRPr="00A55335">
        <w:t xml:space="preserve"> RCT</w:t>
      </w:r>
      <w:r w:rsidR="00467BA8" w:rsidRPr="00A55335">
        <w:t>s</w:t>
      </w:r>
      <w:r w:rsidRPr="00A55335">
        <w:t xml:space="preserve"> </w:t>
      </w:r>
      <w:r w:rsidR="009047DF" w:rsidRPr="00A55335">
        <w:t xml:space="preserve">(Reilly 1994, </w:t>
      </w:r>
      <w:proofErr w:type="spellStart"/>
      <w:r w:rsidR="009047DF" w:rsidRPr="00A55335">
        <w:t>Qutubuddin</w:t>
      </w:r>
      <w:proofErr w:type="spellEnd"/>
      <w:r w:rsidR="009047DF" w:rsidRPr="00A55335">
        <w:t xml:space="preserve"> 2019, White 2003)</w:t>
      </w:r>
      <w:r w:rsidR="00467BA8" w:rsidRPr="00A55335">
        <w:t xml:space="preserve"> administered individualised homeopathy</w:t>
      </w:r>
      <w:r w:rsidR="00707AEE" w:rsidRPr="00A55335">
        <w:t xml:space="preserve"> determined after</w:t>
      </w:r>
      <w:r w:rsidR="00467BA8" w:rsidRPr="00A55335">
        <w:t xml:space="preserve"> consultation with a homeopath, </w:t>
      </w:r>
      <w:r w:rsidR="00707AEE" w:rsidRPr="00A55335">
        <w:t xml:space="preserve">with </w:t>
      </w:r>
      <w:r w:rsidR="00802C24" w:rsidRPr="00A55335">
        <w:t>consults</w:t>
      </w:r>
      <w:r w:rsidR="00707AEE" w:rsidRPr="00A55335">
        <w:t xml:space="preserve"> </w:t>
      </w:r>
      <w:r w:rsidR="00467BA8" w:rsidRPr="00A55335">
        <w:t xml:space="preserve">ranging </w:t>
      </w:r>
      <w:r w:rsidR="00802C24" w:rsidRPr="00A55335">
        <w:t xml:space="preserve">between </w:t>
      </w:r>
      <w:r w:rsidR="00467BA8" w:rsidRPr="00A55335">
        <w:t xml:space="preserve">1 </w:t>
      </w:r>
      <w:r w:rsidR="00802C24" w:rsidRPr="00A55335">
        <w:t xml:space="preserve">to </w:t>
      </w:r>
      <w:r w:rsidR="00467BA8" w:rsidRPr="00A55335">
        <w:t>12 sessions throughout the study period. The other RCT (Lewith 2002) used non-individualised homeopathy, with participants prescribed an ultramolecular dose of dust mites, taken 3 times orally over 24 hours.</w:t>
      </w:r>
    </w:p>
    <w:p w14:paraId="6A4B9E85" w14:textId="77777777" w:rsidR="00510F3D" w:rsidRPr="00A55335" w:rsidRDefault="00007FDD" w:rsidP="00DD505D">
      <w:pPr>
        <w:pStyle w:val="BodyText"/>
      </w:pPr>
      <w:r w:rsidRPr="00A55335">
        <w:t xml:space="preserve">Two </w:t>
      </w:r>
      <w:r w:rsidR="00DD505D" w:rsidRPr="00A55335">
        <w:t>stud</w:t>
      </w:r>
      <w:r w:rsidRPr="00A55335">
        <w:t>ies</w:t>
      </w:r>
      <w:r w:rsidR="00DD505D" w:rsidRPr="00A55335">
        <w:t xml:space="preserve"> (Thompson 2008</w:t>
      </w:r>
      <w:r w:rsidRPr="00A55335">
        <w:t xml:space="preserve">, </w:t>
      </w:r>
      <w:proofErr w:type="spellStart"/>
      <w:r w:rsidRPr="00A55335">
        <w:t>Topcu</w:t>
      </w:r>
      <w:proofErr w:type="spellEnd"/>
      <w:r w:rsidRPr="00A55335">
        <w:t xml:space="preserve"> 2010</w:t>
      </w:r>
      <w:r w:rsidR="00DD505D" w:rsidRPr="00A55335">
        <w:t>) compared individualised homeopathy with an inactive control (no intervention). One study (</w:t>
      </w:r>
      <w:proofErr w:type="spellStart"/>
      <w:r w:rsidR="00DD505D" w:rsidRPr="00A55335">
        <w:t>Topcu</w:t>
      </w:r>
      <w:proofErr w:type="spellEnd"/>
      <w:r w:rsidR="00DD505D" w:rsidRPr="00A55335">
        <w:t xml:space="preserve"> 2010) included </w:t>
      </w:r>
      <w:r w:rsidR="00AC6210" w:rsidRPr="00A55335">
        <w:t xml:space="preserve">a third </w:t>
      </w:r>
      <w:r w:rsidR="00DD505D" w:rsidRPr="00A55335">
        <w:t xml:space="preserve">treatment </w:t>
      </w:r>
      <w:r w:rsidR="00AC6210" w:rsidRPr="00A55335">
        <w:t xml:space="preserve">group, being </w:t>
      </w:r>
      <w:r w:rsidR="00DD505D" w:rsidRPr="00A55335">
        <w:t xml:space="preserve">reflexology. </w:t>
      </w:r>
    </w:p>
    <w:p w14:paraId="19B251BE" w14:textId="4363E4C1" w:rsidR="00DD505D" w:rsidRPr="00A55335" w:rsidRDefault="00DD505D" w:rsidP="00DD505D">
      <w:pPr>
        <w:pStyle w:val="BodyText"/>
      </w:pPr>
      <w:r w:rsidRPr="00A55335">
        <w:t xml:space="preserve">Participants across all included studies continued to receive usual care as a co-intervention. </w:t>
      </w:r>
      <w:r w:rsidR="00821916" w:rsidRPr="00A55335">
        <w:t>S</w:t>
      </w:r>
      <w:r w:rsidRPr="00A55335">
        <w:t>tudy durations ranged from 4 to 52 weeks.</w:t>
      </w:r>
    </w:p>
    <w:p w14:paraId="68F6A363" w14:textId="7569FE18" w:rsidR="00DD505D" w:rsidRPr="00A55335" w:rsidRDefault="00DD505D" w:rsidP="00DD505D">
      <w:pPr>
        <w:pStyle w:val="BodyText"/>
      </w:pPr>
      <w:r w:rsidRPr="00A55335">
        <w:lastRenderedPageBreak/>
        <w:t xml:space="preserve">Results for </w:t>
      </w:r>
      <w:r w:rsidR="00332047" w:rsidRPr="00A55335">
        <w:t xml:space="preserve">the </w:t>
      </w:r>
      <w:r w:rsidR="006070ED" w:rsidRPr="00A55335">
        <w:t>Primary Comparison</w:t>
      </w:r>
      <w:r w:rsidR="00F73318" w:rsidRPr="00A55335">
        <w:t xml:space="preserve">: Homeopathy </w:t>
      </w:r>
      <w:r w:rsidR="001B33CB" w:rsidRPr="00A55335">
        <w:t xml:space="preserve">versus placebo and </w:t>
      </w:r>
      <w:r w:rsidR="006070ED" w:rsidRPr="00A55335">
        <w:t>Secondary Comparison</w:t>
      </w:r>
      <w:r w:rsidR="00F73318" w:rsidRPr="00A55335">
        <w:t xml:space="preserve">: Homeopathy </w:t>
      </w:r>
      <w:r w:rsidRPr="00A55335">
        <w:t>versus control (no intervention, waitlist or usual care) are provided in the Summary of Findings table (see</w:t>
      </w:r>
      <w:r w:rsidR="00821916" w:rsidRPr="00A55335">
        <w:t xml:space="preserve"> Section </w:t>
      </w:r>
      <w:r w:rsidR="00821916" w:rsidRPr="00A55335">
        <w:fldChar w:fldCharType="begin"/>
      </w:r>
      <w:r w:rsidR="00821916" w:rsidRPr="00A55335">
        <w:instrText xml:space="preserve"> REF _Ref143515860 \r \h </w:instrText>
      </w:r>
      <w:r w:rsidR="00821916" w:rsidRPr="00A55335">
        <w:fldChar w:fldCharType="separate"/>
      </w:r>
      <w:r w:rsidR="00814B04">
        <w:t>4.11.4</w:t>
      </w:r>
      <w:r w:rsidR="00821916" w:rsidRPr="00A55335">
        <w:fldChar w:fldCharType="end"/>
      </w:r>
      <w:r w:rsidRPr="00A55335">
        <w:t xml:space="preserve">). Results of studies that compared homeopathy with another comparator </w:t>
      </w:r>
      <w:r w:rsidR="009C3276" w:rsidRPr="00A55335">
        <w:t xml:space="preserve">(Tertiary Comparison) </w:t>
      </w:r>
      <w:r w:rsidRPr="00A55335">
        <w:t>are presented in Appendix F2.</w:t>
      </w:r>
    </w:p>
    <w:p w14:paraId="3F906AD9"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58E7041A" w14:textId="77777777" w:rsidR="00DD505D" w:rsidRPr="00A55335" w:rsidRDefault="00DD505D" w:rsidP="004D433B">
      <w:pPr>
        <w:pStyle w:val="Heading3"/>
      </w:pPr>
      <w:bookmarkStart w:id="284" w:name="_Toc183441360"/>
      <w:r w:rsidRPr="00A55335">
        <w:t>Risk of bias – summary assessment across studies</w:t>
      </w:r>
      <w:bookmarkEnd w:id="284"/>
      <w:r w:rsidRPr="00A55335">
        <w:t xml:space="preserve"> </w:t>
      </w:r>
    </w:p>
    <w:p w14:paraId="5997C70E" w14:textId="3F1EF0F6" w:rsidR="00886A7E" w:rsidRPr="00A55335" w:rsidRDefault="00DD505D" w:rsidP="00DD505D">
      <w:pPr>
        <w:pStyle w:val="BodyText"/>
      </w:pPr>
      <w:r w:rsidRPr="00A55335">
        <w:t xml:space="preserve">The risk of bias for each item in the </w:t>
      </w:r>
      <w:r w:rsidR="00F56A75" w:rsidRPr="00A55335">
        <w:t xml:space="preserve">included </w:t>
      </w:r>
      <w:r w:rsidRPr="00A55335">
        <w:t xml:space="preserve">RCTs for asthma is summarised in </w:t>
      </w:r>
      <w:r w:rsidRPr="00A55335">
        <w:fldChar w:fldCharType="begin"/>
      </w:r>
      <w:r w:rsidRPr="00A55335">
        <w:instrText xml:space="preserve"> REF _Ref143515938 \h </w:instrText>
      </w:r>
      <w:r w:rsidRPr="00A55335">
        <w:fldChar w:fldCharType="separate"/>
      </w:r>
      <w:r w:rsidR="00814B04" w:rsidRPr="00A55335">
        <w:t xml:space="preserve">Figure </w:t>
      </w:r>
      <w:r w:rsidR="00814B04">
        <w:rPr>
          <w:noProof/>
        </w:rPr>
        <w:t>46</w:t>
      </w:r>
      <w:r w:rsidRPr="00A55335">
        <w:fldChar w:fldCharType="end"/>
      </w:r>
      <w:r w:rsidRPr="00A55335">
        <w:t>. Details are provided in Appendix D5.1.</w:t>
      </w:r>
      <w:r w:rsidR="00886A7E" w:rsidRPr="00A55335">
        <w:t>2</w:t>
      </w:r>
      <w:r w:rsidRPr="00A55335">
        <w:t>.</w:t>
      </w:r>
      <w:r w:rsidR="003D77FD" w:rsidRPr="00A55335">
        <w:t xml:space="preserve"> </w:t>
      </w:r>
      <w:r w:rsidR="00886A7E" w:rsidRPr="00A55335">
        <w:t xml:space="preserve">No studies </w:t>
      </w:r>
      <w:r w:rsidR="00571606" w:rsidRPr="00A55335">
        <w:t>were</w:t>
      </w:r>
      <w:r w:rsidR="00886A7E" w:rsidRPr="00A55335">
        <w:t xml:space="preserve"> judged to be at overall low risk of bias. </w:t>
      </w:r>
    </w:p>
    <w:p w14:paraId="42C395DE" w14:textId="31648D6B" w:rsidR="00DD505D" w:rsidRPr="00A55335" w:rsidRDefault="00DD505D" w:rsidP="00DD505D">
      <w:pPr>
        <w:pStyle w:val="Caption"/>
      </w:pPr>
      <w:bookmarkStart w:id="285" w:name="_Ref140155876"/>
      <w:bookmarkStart w:id="286" w:name="_Ref143515938"/>
      <w:bookmarkStart w:id="287" w:name="_Toc183520319"/>
      <w:r w:rsidRPr="00A55335">
        <w:t xml:space="preserve">Figure </w:t>
      </w:r>
      <w:bookmarkEnd w:id="285"/>
      <w:r w:rsidRPr="00A55335">
        <w:fldChar w:fldCharType="begin"/>
      </w:r>
      <w:r w:rsidRPr="00A55335">
        <w:instrText xml:space="preserve"> SEQ Figure \* ARABIC </w:instrText>
      </w:r>
      <w:r w:rsidRPr="00A55335">
        <w:fldChar w:fldCharType="separate"/>
      </w:r>
      <w:r w:rsidR="00814B04">
        <w:rPr>
          <w:noProof/>
        </w:rPr>
        <w:t>46</w:t>
      </w:r>
      <w:r w:rsidRPr="00A55335">
        <w:fldChar w:fldCharType="end"/>
      </w:r>
      <w:bookmarkEnd w:id="286"/>
      <w:r w:rsidR="002D76A7" w:rsidRPr="00A55335">
        <w:tab/>
      </w:r>
      <w:r w:rsidRPr="00A55335">
        <w:t xml:space="preserve">Risk of bias summary: review authors' judgement about each risk of bias item for each included study: </w:t>
      </w:r>
      <w:r w:rsidR="00F01A95" w:rsidRPr="00A55335">
        <w:t>A</w:t>
      </w:r>
      <w:r w:rsidRPr="00A55335">
        <w:t>sthma</w:t>
      </w:r>
      <w:bookmarkEnd w:id="287"/>
    </w:p>
    <w:p w14:paraId="2EE4BD35" w14:textId="6844FE50" w:rsidR="00AC0A80" w:rsidRPr="00A55335" w:rsidRDefault="00AC0A80" w:rsidP="00AC0A80">
      <w:pPr>
        <w:pStyle w:val="Pic"/>
      </w:pPr>
      <w:r w:rsidRPr="00A55335">
        <w:rPr>
          <w:noProof/>
        </w:rPr>
        <w:drawing>
          <wp:inline distT="0" distB="0" distL="0" distR="0" wp14:anchorId="39DD2598" wp14:editId="06570995">
            <wp:extent cx="3764478" cy="2451559"/>
            <wp:effectExtent l="0" t="0" r="7620" b="6350"/>
            <wp:docPr id="1778520036" name="Picture 1778520036" descr="A chart with red and green circles and cro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520036" name="Picture 1778520036" descr="A chart with red and green circles and crosses&#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32885" cy="2496108"/>
                    </a:xfrm>
                    <a:prstGeom prst="rect">
                      <a:avLst/>
                    </a:prstGeom>
                    <a:noFill/>
                    <a:ln>
                      <a:noFill/>
                    </a:ln>
                  </pic:spPr>
                </pic:pic>
              </a:graphicData>
            </a:graphic>
          </wp:inline>
        </w:drawing>
      </w:r>
    </w:p>
    <w:p w14:paraId="5B0C9BB5" w14:textId="77777777" w:rsidR="00AC0A80" w:rsidRPr="00A55335" w:rsidRDefault="00AC0A80" w:rsidP="00AC0A80">
      <w:pPr>
        <w:pStyle w:val="TableFigNotes18"/>
      </w:pPr>
    </w:p>
    <w:p w14:paraId="7ED31A21" w14:textId="77777777" w:rsidR="00DD505D" w:rsidRPr="00A55335" w:rsidRDefault="00DD505D" w:rsidP="004D433B">
      <w:pPr>
        <w:pStyle w:val="Heading3"/>
      </w:pPr>
      <w:bookmarkStart w:id="288" w:name="_Ref143515860"/>
      <w:bookmarkStart w:id="289" w:name="_Toc183441361"/>
      <w:r w:rsidRPr="00A55335">
        <w:t>Summary of findings and evidence statements</w:t>
      </w:r>
      <w:bookmarkEnd w:id="288"/>
      <w:bookmarkEnd w:id="289"/>
    </w:p>
    <w:p w14:paraId="7F4141B3" w14:textId="516B0078" w:rsidR="009D032F" w:rsidRPr="00A55335" w:rsidRDefault="006070ED" w:rsidP="009D032F">
      <w:pPr>
        <w:pStyle w:val="Heading4"/>
      </w:pPr>
      <w:r w:rsidRPr="00A55335">
        <w:t>Primary Comparison</w:t>
      </w:r>
      <w:r w:rsidR="009D032F" w:rsidRPr="00A55335">
        <w:t xml:space="preserve"> (vs placebo) </w:t>
      </w:r>
    </w:p>
    <w:tbl>
      <w:tblPr>
        <w:tblW w:w="5000" w:type="pct"/>
        <w:tblLayout w:type="fixed"/>
        <w:tblCellMar>
          <w:top w:w="57" w:type="dxa"/>
          <w:left w:w="57" w:type="dxa"/>
          <w:bottom w:w="57" w:type="dxa"/>
          <w:right w:w="57" w:type="dxa"/>
        </w:tblCellMar>
        <w:tblLook w:val="04A0" w:firstRow="1" w:lastRow="0" w:firstColumn="1" w:lastColumn="0" w:noHBand="0" w:noVBand="1"/>
      </w:tblPr>
      <w:tblGrid>
        <w:gridCol w:w="1701"/>
        <w:gridCol w:w="1347"/>
        <w:gridCol w:w="1347"/>
        <w:gridCol w:w="850"/>
        <w:gridCol w:w="1134"/>
        <w:gridCol w:w="1134"/>
        <w:gridCol w:w="2232"/>
      </w:tblGrid>
      <w:tr w:rsidR="00DD505D" w:rsidRPr="00A55335" w14:paraId="57F6A54C" w14:textId="77777777" w:rsidTr="00550DFC">
        <w:trPr>
          <w:cantSplit/>
          <w:tblHeader/>
        </w:trPr>
        <w:tc>
          <w:tcPr>
            <w:tcW w:w="5000" w:type="pct"/>
            <w:gridSpan w:val="7"/>
            <w:tcBorders>
              <w:top w:val="single" w:sz="12" w:space="0" w:color="000000"/>
              <w:left w:val="nil"/>
              <w:bottom w:val="single" w:sz="12" w:space="0" w:color="000000"/>
              <w:right w:val="nil"/>
            </w:tcBorders>
            <w:vAlign w:val="center"/>
            <w:hideMark/>
          </w:tcPr>
          <w:p w14:paraId="0F80B6EF" w14:textId="77777777" w:rsidR="00DD505D" w:rsidRPr="00A55335" w:rsidRDefault="00DD505D" w:rsidP="009D032F">
            <w:pPr>
              <w:pStyle w:val="TableH1"/>
              <w:rPr>
                <w:lang w:val="en-AU"/>
              </w:rPr>
            </w:pPr>
            <w:bookmarkStart w:id="290" w:name="_Hlk142993158"/>
            <w:r w:rsidRPr="00A55335">
              <w:rPr>
                <w:lang w:val="en-AU"/>
              </w:rPr>
              <w:t>Homeopathy compared to Placebo for Asthma</w:t>
            </w:r>
          </w:p>
        </w:tc>
      </w:tr>
      <w:tr w:rsidR="00DD505D" w:rsidRPr="00A55335" w14:paraId="1931368D" w14:textId="77777777" w:rsidTr="00550DFC">
        <w:trPr>
          <w:cantSplit/>
          <w:tblHeader/>
        </w:trPr>
        <w:tc>
          <w:tcPr>
            <w:tcW w:w="5000" w:type="pct"/>
            <w:gridSpan w:val="7"/>
            <w:tcBorders>
              <w:top w:val="single" w:sz="12" w:space="0" w:color="000000"/>
              <w:left w:val="nil"/>
              <w:bottom w:val="single" w:sz="12" w:space="0" w:color="000000"/>
              <w:right w:val="nil"/>
            </w:tcBorders>
            <w:vAlign w:val="center"/>
            <w:hideMark/>
          </w:tcPr>
          <w:p w14:paraId="2C303079" w14:textId="77777777" w:rsidR="00DD505D" w:rsidRPr="00A55335" w:rsidRDefault="00DD505D" w:rsidP="009D032F">
            <w:pPr>
              <w:pStyle w:val="Tabletext9pt"/>
            </w:pPr>
            <w:r w:rsidRPr="00A55335">
              <w:rPr>
                <w:rStyle w:val="Strong"/>
              </w:rPr>
              <w:t xml:space="preserve">Patient or population: </w:t>
            </w:r>
            <w:r w:rsidRPr="00A55335">
              <w:t>Asthma</w:t>
            </w:r>
          </w:p>
          <w:p w14:paraId="4FC05FF5" w14:textId="77777777" w:rsidR="00DD505D" w:rsidRPr="00A55335" w:rsidRDefault="00DD505D" w:rsidP="009D032F">
            <w:pPr>
              <w:pStyle w:val="Tabletext9pt"/>
            </w:pPr>
            <w:r w:rsidRPr="00A55335">
              <w:rPr>
                <w:rStyle w:val="Strong"/>
              </w:rPr>
              <w:t xml:space="preserve">Setting: </w:t>
            </w:r>
            <w:r w:rsidRPr="00A55335">
              <w:t>Outpatient clinics</w:t>
            </w:r>
          </w:p>
          <w:p w14:paraId="222E1738" w14:textId="77777777" w:rsidR="00DD505D" w:rsidRPr="00A55335" w:rsidRDefault="00DD505D" w:rsidP="009D032F">
            <w:pPr>
              <w:pStyle w:val="Tabletext9pt"/>
            </w:pPr>
            <w:r w:rsidRPr="00A55335">
              <w:rPr>
                <w:rStyle w:val="Strong"/>
              </w:rPr>
              <w:t xml:space="preserve">Intervention: </w:t>
            </w:r>
            <w:r w:rsidRPr="00A55335">
              <w:t>Homeopathy</w:t>
            </w:r>
          </w:p>
          <w:p w14:paraId="5D3D7152" w14:textId="77777777" w:rsidR="00DD505D" w:rsidRPr="00A55335" w:rsidRDefault="00DD505D" w:rsidP="009D032F">
            <w:pPr>
              <w:pStyle w:val="Tabletext9pt"/>
            </w:pPr>
            <w:r w:rsidRPr="00A55335">
              <w:rPr>
                <w:rStyle w:val="Strong"/>
              </w:rPr>
              <w:t>Comparison:</w:t>
            </w:r>
            <w:r w:rsidRPr="00A55335">
              <w:t xml:space="preserve"> Placebo</w:t>
            </w:r>
          </w:p>
        </w:tc>
      </w:tr>
      <w:tr w:rsidR="00891CAE" w:rsidRPr="00A55335" w14:paraId="5C513689" w14:textId="77777777" w:rsidTr="004B2C44">
        <w:trPr>
          <w:cantSplit/>
          <w:tblHeader/>
        </w:trPr>
        <w:tc>
          <w:tcPr>
            <w:tcW w:w="873" w:type="pct"/>
            <w:vMerge w:val="restart"/>
            <w:tcBorders>
              <w:right w:val="single" w:sz="6" w:space="0" w:color="EFEFEF"/>
            </w:tcBorders>
            <w:shd w:val="clear" w:color="auto" w:fill="006579" w:themeFill="accent2"/>
            <w:vAlign w:val="bottom"/>
            <w:hideMark/>
          </w:tcPr>
          <w:p w14:paraId="100677F2" w14:textId="77777777" w:rsidR="00DD505D" w:rsidRPr="00A55335" w:rsidRDefault="00DD505D" w:rsidP="003C48C8">
            <w:pPr>
              <w:pStyle w:val="Tabletext8pt"/>
              <w:rPr>
                <w:b/>
                <w:bCs/>
                <w:color w:val="F9F9F9" w:themeColor="background1"/>
              </w:rPr>
            </w:pPr>
            <w:r w:rsidRPr="00A55335">
              <w:rPr>
                <w:b/>
                <w:bCs/>
                <w:color w:val="F9F9F9" w:themeColor="background1"/>
              </w:rPr>
              <w:t>Outcomes</w:t>
            </w:r>
          </w:p>
        </w:tc>
        <w:tc>
          <w:tcPr>
            <w:tcW w:w="1382" w:type="pct"/>
            <w:gridSpan w:val="2"/>
            <w:tcBorders>
              <w:top w:val="single" w:sz="6" w:space="0" w:color="EFEFEF"/>
              <w:right w:val="single" w:sz="6" w:space="0" w:color="EFEFEF"/>
            </w:tcBorders>
            <w:shd w:val="clear" w:color="auto" w:fill="E0E0E0"/>
            <w:vAlign w:val="bottom"/>
            <w:hideMark/>
          </w:tcPr>
          <w:p w14:paraId="633445A5" w14:textId="2D24E0D3" w:rsidR="00DD505D" w:rsidRPr="00A55335" w:rsidRDefault="00DD505D" w:rsidP="00442534">
            <w:pPr>
              <w:pStyle w:val="Tabletext8pt"/>
              <w:rPr>
                <w:rStyle w:val="Strong"/>
              </w:rPr>
            </w:pPr>
            <w:r w:rsidRPr="00A55335">
              <w:rPr>
                <w:rStyle w:val="Strong"/>
              </w:rPr>
              <w:t>Anticipated absolute effects* (95% CI)</w:t>
            </w:r>
          </w:p>
        </w:tc>
        <w:tc>
          <w:tcPr>
            <w:tcW w:w="436" w:type="pct"/>
            <w:vMerge w:val="restart"/>
            <w:tcBorders>
              <w:right w:val="single" w:sz="6" w:space="0" w:color="EFEFEF"/>
            </w:tcBorders>
            <w:shd w:val="clear" w:color="auto" w:fill="006579" w:themeFill="accent2"/>
            <w:vAlign w:val="bottom"/>
            <w:hideMark/>
          </w:tcPr>
          <w:p w14:paraId="6760B6C3" w14:textId="77777777" w:rsidR="00DD505D" w:rsidRPr="00A55335" w:rsidRDefault="00DD505D" w:rsidP="003C48C8">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2" w:type="pct"/>
            <w:vMerge w:val="restart"/>
            <w:tcBorders>
              <w:right w:val="single" w:sz="6" w:space="0" w:color="EFEFEF"/>
            </w:tcBorders>
            <w:shd w:val="clear" w:color="auto" w:fill="006579" w:themeFill="accent2"/>
            <w:vAlign w:val="bottom"/>
            <w:hideMark/>
          </w:tcPr>
          <w:p w14:paraId="04503F4B" w14:textId="77777777" w:rsidR="00DD505D" w:rsidRPr="00A55335" w:rsidRDefault="00DD505D" w:rsidP="003C48C8">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2" w:type="pct"/>
            <w:vMerge w:val="restart"/>
            <w:tcBorders>
              <w:right w:val="single" w:sz="6" w:space="0" w:color="EFEFEF"/>
            </w:tcBorders>
            <w:shd w:val="clear" w:color="auto" w:fill="006579" w:themeFill="accent2"/>
            <w:vAlign w:val="bottom"/>
            <w:hideMark/>
          </w:tcPr>
          <w:p w14:paraId="1598DBAB" w14:textId="77777777" w:rsidR="00DD505D" w:rsidRPr="00A55335" w:rsidRDefault="00DD505D" w:rsidP="003C48C8">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145" w:type="pct"/>
            <w:vMerge w:val="restart"/>
            <w:tcBorders>
              <w:right w:val="single" w:sz="6" w:space="0" w:color="EFEFEF"/>
            </w:tcBorders>
            <w:shd w:val="clear" w:color="auto" w:fill="006579" w:themeFill="accent2"/>
            <w:vAlign w:val="bottom"/>
            <w:hideMark/>
          </w:tcPr>
          <w:p w14:paraId="242FE42C" w14:textId="3DD88B71" w:rsidR="00DD505D" w:rsidRPr="00A55335" w:rsidRDefault="00891CAE" w:rsidP="003C48C8">
            <w:pPr>
              <w:pStyle w:val="Tabletext8pt"/>
              <w:rPr>
                <w:b/>
                <w:bCs/>
                <w:color w:val="F9F9F9" w:themeColor="background1"/>
              </w:rPr>
            </w:pPr>
            <w:r w:rsidRPr="00A55335">
              <w:rPr>
                <w:b/>
                <w:bCs/>
                <w:color w:val="F9F9F9" w:themeColor="background1"/>
              </w:rPr>
              <w:t>Evidence statement</w:t>
            </w:r>
          </w:p>
        </w:tc>
      </w:tr>
      <w:tr w:rsidR="00891CAE" w:rsidRPr="00A55335" w14:paraId="7CB1E791" w14:textId="77777777" w:rsidTr="004B2C44">
        <w:trPr>
          <w:cantSplit/>
          <w:tblHeader/>
        </w:trPr>
        <w:tc>
          <w:tcPr>
            <w:tcW w:w="873" w:type="pct"/>
            <w:vMerge/>
            <w:tcBorders>
              <w:right w:val="single" w:sz="6" w:space="0" w:color="EFEFEF"/>
            </w:tcBorders>
            <w:shd w:val="clear" w:color="auto" w:fill="006579" w:themeFill="accent2"/>
            <w:vAlign w:val="center"/>
            <w:hideMark/>
          </w:tcPr>
          <w:p w14:paraId="32A61BB5" w14:textId="77777777" w:rsidR="00DD505D" w:rsidRPr="00A55335" w:rsidRDefault="00DD505D" w:rsidP="0083297B">
            <w:pPr>
              <w:pStyle w:val="Tabletext8pt"/>
            </w:pPr>
          </w:p>
        </w:tc>
        <w:tc>
          <w:tcPr>
            <w:tcW w:w="691" w:type="pct"/>
            <w:tcBorders>
              <w:top w:val="single" w:sz="6" w:space="0" w:color="EFEFEF"/>
              <w:bottom w:val="single" w:sz="6" w:space="0" w:color="000000"/>
              <w:right w:val="single" w:sz="6" w:space="0" w:color="EFEFEF"/>
            </w:tcBorders>
            <w:shd w:val="clear" w:color="auto" w:fill="E0E0E0"/>
            <w:vAlign w:val="bottom"/>
            <w:hideMark/>
          </w:tcPr>
          <w:p w14:paraId="2981C4D9" w14:textId="77777777" w:rsidR="00DD505D" w:rsidRPr="00A55335" w:rsidRDefault="00DD505D" w:rsidP="00442534">
            <w:pPr>
              <w:pStyle w:val="Tabletext8pt"/>
              <w:rPr>
                <w:rStyle w:val="Strong"/>
              </w:rPr>
            </w:pPr>
            <w:r w:rsidRPr="00A55335">
              <w:rPr>
                <w:rStyle w:val="Strong"/>
              </w:rPr>
              <w:t>Risk with Placebo</w:t>
            </w:r>
          </w:p>
        </w:tc>
        <w:tc>
          <w:tcPr>
            <w:tcW w:w="691" w:type="pct"/>
            <w:tcBorders>
              <w:top w:val="single" w:sz="6" w:space="0" w:color="EFEFEF"/>
              <w:right w:val="single" w:sz="6" w:space="0" w:color="EFEFEF"/>
            </w:tcBorders>
            <w:shd w:val="clear" w:color="auto" w:fill="E0E0E0"/>
            <w:vAlign w:val="bottom"/>
            <w:hideMark/>
          </w:tcPr>
          <w:p w14:paraId="7269875B" w14:textId="77777777" w:rsidR="00DD505D" w:rsidRPr="00A55335" w:rsidRDefault="00DD505D" w:rsidP="00442534">
            <w:pPr>
              <w:pStyle w:val="Tabletext8pt"/>
              <w:rPr>
                <w:rStyle w:val="Strong"/>
              </w:rPr>
            </w:pPr>
            <w:r w:rsidRPr="00A55335">
              <w:rPr>
                <w:rStyle w:val="Strong"/>
              </w:rPr>
              <w:t>Risk with Homeopathy</w:t>
            </w:r>
          </w:p>
        </w:tc>
        <w:tc>
          <w:tcPr>
            <w:tcW w:w="436" w:type="pct"/>
            <w:vMerge/>
            <w:tcBorders>
              <w:right w:val="single" w:sz="6" w:space="0" w:color="EFEFEF"/>
            </w:tcBorders>
            <w:shd w:val="clear" w:color="auto" w:fill="006579" w:themeFill="accent2"/>
            <w:vAlign w:val="center"/>
            <w:hideMark/>
          </w:tcPr>
          <w:p w14:paraId="557A95AF" w14:textId="77777777" w:rsidR="00DD505D" w:rsidRPr="00A55335" w:rsidRDefault="00DD505D" w:rsidP="0083297B">
            <w:pPr>
              <w:pStyle w:val="Tabletext8pt"/>
            </w:pPr>
          </w:p>
        </w:tc>
        <w:tc>
          <w:tcPr>
            <w:tcW w:w="582" w:type="pct"/>
            <w:vMerge/>
            <w:tcBorders>
              <w:right w:val="single" w:sz="6" w:space="0" w:color="EFEFEF"/>
            </w:tcBorders>
            <w:shd w:val="clear" w:color="auto" w:fill="006579" w:themeFill="accent2"/>
            <w:vAlign w:val="center"/>
            <w:hideMark/>
          </w:tcPr>
          <w:p w14:paraId="5ACD3C81" w14:textId="77777777" w:rsidR="00DD505D" w:rsidRPr="00A55335" w:rsidRDefault="00DD505D" w:rsidP="0083297B">
            <w:pPr>
              <w:pStyle w:val="Tabletext8pt"/>
            </w:pPr>
          </w:p>
        </w:tc>
        <w:tc>
          <w:tcPr>
            <w:tcW w:w="582" w:type="pct"/>
            <w:vMerge/>
            <w:tcBorders>
              <w:right w:val="single" w:sz="6" w:space="0" w:color="EFEFEF"/>
            </w:tcBorders>
            <w:shd w:val="clear" w:color="auto" w:fill="006579" w:themeFill="accent2"/>
            <w:vAlign w:val="center"/>
            <w:hideMark/>
          </w:tcPr>
          <w:p w14:paraId="0E970A37" w14:textId="77777777" w:rsidR="00DD505D" w:rsidRPr="00A55335" w:rsidRDefault="00DD505D" w:rsidP="0083297B">
            <w:pPr>
              <w:pStyle w:val="Tabletext8pt"/>
            </w:pPr>
          </w:p>
        </w:tc>
        <w:tc>
          <w:tcPr>
            <w:tcW w:w="1145" w:type="pct"/>
            <w:vMerge/>
            <w:tcBorders>
              <w:right w:val="single" w:sz="6" w:space="0" w:color="EFEFEF"/>
            </w:tcBorders>
            <w:shd w:val="clear" w:color="auto" w:fill="006579" w:themeFill="accent2"/>
            <w:vAlign w:val="center"/>
            <w:hideMark/>
          </w:tcPr>
          <w:p w14:paraId="536FA24B" w14:textId="77777777" w:rsidR="00DD505D" w:rsidRPr="00A55335" w:rsidRDefault="00DD505D" w:rsidP="0083297B">
            <w:pPr>
              <w:pStyle w:val="Tabletext8pt"/>
            </w:pPr>
          </w:p>
        </w:tc>
      </w:tr>
      <w:tr w:rsidR="00550DFC" w:rsidRPr="00A55335" w14:paraId="5D02B317" w14:textId="77777777" w:rsidTr="004B2C44">
        <w:trPr>
          <w:cantSplit/>
        </w:trPr>
        <w:tc>
          <w:tcPr>
            <w:tcW w:w="873" w:type="pct"/>
            <w:tcBorders>
              <w:top w:val="single" w:sz="6" w:space="0" w:color="000000"/>
              <w:left w:val="nil"/>
              <w:bottom w:val="single" w:sz="6" w:space="0" w:color="000000"/>
              <w:right w:val="nil"/>
            </w:tcBorders>
            <w:vAlign w:val="center"/>
            <w:hideMark/>
          </w:tcPr>
          <w:p w14:paraId="500D9B16" w14:textId="1979025D" w:rsidR="00DD505D" w:rsidRPr="00A55335" w:rsidRDefault="00DD505D" w:rsidP="0083297B">
            <w:pPr>
              <w:pStyle w:val="Tabletext8pt"/>
            </w:pPr>
            <w:r w:rsidRPr="00A55335">
              <w:t>Asthma symptoms</w:t>
            </w:r>
            <w:r w:rsidRPr="00A55335">
              <w:br/>
              <w:t>assessed with: ACQ</w:t>
            </w:r>
            <w:r w:rsidR="00211092" w:rsidRPr="00A55335">
              <w:t xml:space="preserve"> or VAS</w:t>
            </w:r>
            <w:r w:rsidR="00D4673E" w:rsidRPr="00A55335">
              <w:t xml:space="preserve"> (higher is worse)</w:t>
            </w:r>
            <w:r w:rsidRPr="00A55335">
              <w:br/>
              <w:t xml:space="preserve">follow-up: </w:t>
            </w:r>
            <w:r w:rsidR="00211092" w:rsidRPr="00A55335">
              <w:t xml:space="preserve">range </w:t>
            </w:r>
            <w:r w:rsidR="000F686A" w:rsidRPr="00A55335">
              <w:t xml:space="preserve">4 weeks to </w:t>
            </w:r>
            <w:r w:rsidRPr="00A55335">
              <w:t>6 months</w:t>
            </w:r>
          </w:p>
        </w:tc>
        <w:tc>
          <w:tcPr>
            <w:tcW w:w="691" w:type="pct"/>
            <w:tcBorders>
              <w:top w:val="single" w:sz="6" w:space="0" w:color="000000"/>
              <w:left w:val="nil"/>
              <w:bottom w:val="single" w:sz="4" w:space="0" w:color="auto"/>
              <w:right w:val="nil"/>
            </w:tcBorders>
            <w:shd w:val="clear" w:color="auto" w:fill="EBEBEB"/>
            <w:vAlign w:val="center"/>
            <w:hideMark/>
          </w:tcPr>
          <w:p w14:paraId="35038D1C" w14:textId="77777777" w:rsidR="00DD505D" w:rsidRPr="00A55335" w:rsidRDefault="00DD505D" w:rsidP="0083297B">
            <w:pPr>
              <w:pStyle w:val="Tabletext8pt"/>
            </w:pPr>
            <w:r w:rsidRPr="00A55335">
              <w:t>-</w:t>
            </w:r>
          </w:p>
        </w:tc>
        <w:tc>
          <w:tcPr>
            <w:tcW w:w="691" w:type="pct"/>
            <w:tcBorders>
              <w:top w:val="single" w:sz="6" w:space="0" w:color="000000"/>
              <w:left w:val="nil"/>
              <w:bottom w:val="single" w:sz="6" w:space="0" w:color="000000"/>
              <w:right w:val="nil"/>
            </w:tcBorders>
            <w:shd w:val="clear" w:color="auto" w:fill="EBEBEB"/>
            <w:hideMark/>
          </w:tcPr>
          <w:p w14:paraId="64493726" w14:textId="06CF5629" w:rsidR="00DD505D" w:rsidRPr="00A55335" w:rsidRDefault="00DD505D" w:rsidP="0083297B">
            <w:pPr>
              <w:pStyle w:val="Tabletext8pt"/>
            </w:pPr>
            <w:r w:rsidRPr="00A55335">
              <w:t>SMD</w:t>
            </w:r>
            <w:r w:rsidRPr="00A55335">
              <w:rPr>
                <w:rStyle w:val="Strong"/>
              </w:rPr>
              <w:t xml:space="preserve"> 2.</w:t>
            </w:r>
            <w:r w:rsidR="00211092" w:rsidRPr="00A55335">
              <w:rPr>
                <w:rStyle w:val="Strong"/>
              </w:rPr>
              <w:t xml:space="preserve">03 </w:t>
            </w:r>
            <w:r w:rsidRPr="00A55335">
              <w:rPr>
                <w:rStyle w:val="Strong"/>
              </w:rPr>
              <w:t>SD lower</w:t>
            </w:r>
            <w:r w:rsidRPr="00A55335">
              <w:br/>
              <w:t>(3.</w:t>
            </w:r>
            <w:r w:rsidR="00211092" w:rsidRPr="00A55335">
              <w:t xml:space="preserve">48 </w:t>
            </w:r>
            <w:r w:rsidRPr="00A55335">
              <w:t xml:space="preserve">lower to </w:t>
            </w:r>
            <w:r w:rsidR="00211092" w:rsidRPr="00A55335">
              <w:t>0.59</w:t>
            </w:r>
            <w:r w:rsidRPr="00A55335">
              <w:t xml:space="preserve"> lower)</w:t>
            </w:r>
          </w:p>
        </w:tc>
        <w:tc>
          <w:tcPr>
            <w:tcW w:w="436" w:type="pct"/>
            <w:tcBorders>
              <w:top w:val="single" w:sz="6" w:space="0" w:color="000000"/>
              <w:left w:val="nil"/>
              <w:bottom w:val="single" w:sz="6" w:space="0" w:color="000000"/>
              <w:right w:val="nil"/>
            </w:tcBorders>
            <w:vAlign w:val="center"/>
            <w:hideMark/>
          </w:tcPr>
          <w:p w14:paraId="67D58DAF" w14:textId="77777777" w:rsidR="00DD505D" w:rsidRPr="00A55335" w:rsidRDefault="00DD505D" w:rsidP="00124F63">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06A96D76" w14:textId="66C070DB" w:rsidR="00DD505D" w:rsidRPr="00A55335" w:rsidRDefault="000F686A" w:rsidP="00124F63">
            <w:pPr>
              <w:pStyle w:val="Tabletext8pt"/>
              <w:jc w:val="center"/>
            </w:pPr>
            <w:r w:rsidRPr="00A55335">
              <w:t>168</w:t>
            </w:r>
            <w:r w:rsidR="00DD505D" w:rsidRPr="00A55335">
              <w:br/>
              <w:t>(</w:t>
            </w:r>
            <w:r w:rsidRPr="00A55335">
              <w:t xml:space="preserve">2 </w:t>
            </w:r>
            <w:r w:rsidR="00DD505D" w:rsidRPr="00A55335">
              <w:t>RCT</w:t>
            </w:r>
            <w:r w:rsidRPr="00A55335">
              <w:t>s</w:t>
            </w:r>
            <w:r w:rsidR="00DD505D" w:rsidRPr="00A55335">
              <w:t xml:space="preserve">) </w:t>
            </w:r>
            <w:r w:rsidR="00DD505D" w:rsidRPr="00A55335">
              <w:rPr>
                <w:rStyle w:val="FootnoteReference"/>
              </w:rPr>
              <w:t>†</w:t>
            </w:r>
          </w:p>
        </w:tc>
        <w:tc>
          <w:tcPr>
            <w:tcW w:w="582" w:type="pct"/>
            <w:tcBorders>
              <w:top w:val="single" w:sz="6" w:space="0" w:color="000000"/>
              <w:left w:val="nil"/>
              <w:bottom w:val="single" w:sz="6" w:space="0" w:color="000000"/>
              <w:right w:val="nil"/>
            </w:tcBorders>
            <w:vAlign w:val="center"/>
            <w:hideMark/>
          </w:tcPr>
          <w:p w14:paraId="2CD8F726" w14:textId="7FB65C4B" w:rsidR="00DD505D" w:rsidRPr="00A55335" w:rsidRDefault="00DD505D" w:rsidP="00124F63">
            <w:pPr>
              <w:pStyle w:val="Tabletext8pt"/>
              <w:jc w:val="center"/>
            </w:pPr>
            <w:r w:rsidRPr="00A55335">
              <w:rPr>
                <w:rStyle w:val="quality-sign"/>
                <w:rFonts w:ascii="Cambria Math" w:hAnsi="Cambria Math"/>
              </w:rPr>
              <w:t>⨁</w:t>
            </w:r>
            <w:r w:rsidR="003256B2" w:rsidRPr="00A55335">
              <w:rPr>
                <w:rStyle w:val="quality-sign"/>
                <w:rFonts w:ascii="Cambria Math" w:hAnsi="Cambria Math"/>
              </w:rPr>
              <w:t>◯</w:t>
            </w:r>
            <w:r w:rsidRPr="00A55335">
              <w:rPr>
                <w:rStyle w:val="quality-sign"/>
                <w:rFonts w:ascii="Cambria Math" w:hAnsi="Cambria Math"/>
              </w:rPr>
              <w:t>◯◯</w:t>
            </w:r>
            <w:r w:rsidRPr="00A55335">
              <w:br/>
            </w:r>
            <w:r w:rsidR="003256B2" w:rsidRPr="00A55335">
              <w:rPr>
                <w:rStyle w:val="QualitytextChar"/>
              </w:rPr>
              <w:t xml:space="preserve">Very </w:t>
            </w:r>
            <w:r w:rsidRPr="00A55335">
              <w:rPr>
                <w:rStyle w:val="QualitytextChar"/>
              </w:rPr>
              <w:t>Low</w:t>
            </w:r>
            <w:r w:rsidRPr="00A55335">
              <w:t xml:space="preserve"> </w:t>
            </w:r>
            <w:proofErr w:type="spellStart"/>
            <w:r w:rsidRPr="00A55335">
              <w:rPr>
                <w:rStyle w:val="FootnoteReference"/>
              </w:rPr>
              <w:t>a,b</w:t>
            </w:r>
            <w:r w:rsidR="00630796" w:rsidRPr="00A55335">
              <w:rPr>
                <w:rStyle w:val="FootnoteReference"/>
              </w:rPr>
              <w:t>,c,d,e</w:t>
            </w:r>
            <w:proofErr w:type="spellEnd"/>
          </w:p>
        </w:tc>
        <w:tc>
          <w:tcPr>
            <w:tcW w:w="1145" w:type="pct"/>
            <w:tcBorders>
              <w:top w:val="single" w:sz="6" w:space="0" w:color="000000"/>
              <w:left w:val="nil"/>
              <w:bottom w:val="single" w:sz="6" w:space="0" w:color="000000"/>
              <w:right w:val="nil"/>
            </w:tcBorders>
            <w:vAlign w:val="center"/>
            <w:hideMark/>
          </w:tcPr>
          <w:p w14:paraId="1A8E37E3" w14:textId="380FFE2F" w:rsidR="00DD505D" w:rsidRPr="00A55335" w:rsidRDefault="003256B2" w:rsidP="0083297B">
            <w:pPr>
              <w:pStyle w:val="Tabletext8pt"/>
            </w:pPr>
            <w:r w:rsidRPr="00A55335">
              <w:t>The evidence is very uncertain about the effect of h</w:t>
            </w:r>
            <w:r w:rsidR="00BD443B" w:rsidRPr="00A55335">
              <w:t xml:space="preserve">omeopathy </w:t>
            </w:r>
            <w:r w:rsidRPr="00A55335">
              <w:t xml:space="preserve">on </w:t>
            </w:r>
            <w:r w:rsidR="00DD505D" w:rsidRPr="00A55335">
              <w:t>asthma symptoms in people with asthma</w:t>
            </w:r>
            <w:r w:rsidR="009B5C71">
              <w:t xml:space="preserve"> </w:t>
            </w:r>
            <w:r w:rsidR="00F94803" w:rsidRPr="00A55335">
              <w:t>**</w:t>
            </w:r>
          </w:p>
        </w:tc>
      </w:tr>
      <w:tr w:rsidR="00097608" w:rsidRPr="00A55335" w14:paraId="42DA2F05" w14:textId="77777777" w:rsidTr="004B2C44">
        <w:trPr>
          <w:cantSplit/>
        </w:trPr>
        <w:tc>
          <w:tcPr>
            <w:tcW w:w="873" w:type="pct"/>
            <w:tcBorders>
              <w:top w:val="single" w:sz="6" w:space="0" w:color="000000"/>
              <w:left w:val="nil"/>
              <w:bottom w:val="single" w:sz="6" w:space="0" w:color="000000"/>
              <w:right w:val="nil"/>
            </w:tcBorders>
            <w:vAlign w:val="center"/>
          </w:tcPr>
          <w:p w14:paraId="646AA0FB" w14:textId="79346D1F" w:rsidR="00097608" w:rsidRPr="00A55335" w:rsidRDefault="00097608" w:rsidP="00097608">
            <w:pPr>
              <w:pStyle w:val="Tabletext8pt"/>
            </w:pPr>
            <w:r w:rsidRPr="00A55335">
              <w:lastRenderedPageBreak/>
              <w:t>Pulmonary function</w:t>
            </w:r>
            <w:r w:rsidRPr="00A55335">
              <w:br/>
              <w:t>assessed with: FEV</w:t>
            </w:r>
            <w:r w:rsidRPr="00A55335">
              <w:rPr>
                <w:vertAlign w:val="subscript"/>
              </w:rPr>
              <w:t>1</w:t>
            </w:r>
            <w:r w:rsidRPr="00A55335">
              <w:t>/FVC ratio (</w:t>
            </w:r>
            <w:r w:rsidR="00B9013A" w:rsidRPr="00A55335">
              <w:t>higher is better</w:t>
            </w:r>
            <w:r w:rsidRPr="00A55335">
              <w:t>)</w:t>
            </w:r>
            <w:r w:rsidRPr="00A55335">
              <w:br/>
              <w:t>follow-up: 6 months</w:t>
            </w:r>
          </w:p>
        </w:tc>
        <w:tc>
          <w:tcPr>
            <w:tcW w:w="691" w:type="pct"/>
            <w:tcBorders>
              <w:top w:val="single" w:sz="6" w:space="0" w:color="000000"/>
              <w:left w:val="nil"/>
              <w:bottom w:val="single" w:sz="4" w:space="0" w:color="auto"/>
              <w:right w:val="nil"/>
            </w:tcBorders>
            <w:shd w:val="clear" w:color="auto" w:fill="EBEBEB"/>
            <w:vAlign w:val="center"/>
          </w:tcPr>
          <w:p w14:paraId="69AEB1B2" w14:textId="60184081" w:rsidR="00097608" w:rsidRPr="00A55335" w:rsidRDefault="00097608" w:rsidP="00097608">
            <w:pPr>
              <w:pStyle w:val="Tabletext8pt"/>
            </w:pPr>
            <w:r w:rsidRPr="00A55335">
              <w:t>The mean FEV</w:t>
            </w:r>
            <w:r w:rsidRPr="00A55335">
              <w:rPr>
                <w:vertAlign w:val="subscript"/>
              </w:rPr>
              <w:t>1</w:t>
            </w:r>
            <w:r w:rsidRPr="00A55335">
              <w:t xml:space="preserve">/FVC ratio was </w:t>
            </w:r>
            <w:r w:rsidRPr="00A55335">
              <w:rPr>
                <w:rStyle w:val="Strong"/>
              </w:rPr>
              <w:t>82</w:t>
            </w:r>
            <w:r w:rsidR="00E62419" w:rsidRPr="00A55335">
              <w:rPr>
                <w:rStyle w:val="Strong"/>
              </w:rPr>
              <w:t>.</w:t>
            </w:r>
            <w:r w:rsidRPr="00A55335">
              <w:rPr>
                <w:rStyle w:val="Strong"/>
              </w:rPr>
              <w:t>5</w:t>
            </w:r>
            <w:r w:rsidR="00E62419" w:rsidRPr="00A55335">
              <w:rPr>
                <w:rStyle w:val="Strong"/>
              </w:rPr>
              <w:t>%</w:t>
            </w:r>
          </w:p>
        </w:tc>
        <w:tc>
          <w:tcPr>
            <w:tcW w:w="691" w:type="pct"/>
            <w:tcBorders>
              <w:top w:val="single" w:sz="6" w:space="0" w:color="000000"/>
              <w:left w:val="nil"/>
              <w:bottom w:val="single" w:sz="6" w:space="0" w:color="000000"/>
              <w:right w:val="nil"/>
            </w:tcBorders>
            <w:shd w:val="clear" w:color="auto" w:fill="EBEBEB"/>
          </w:tcPr>
          <w:p w14:paraId="6DE3E4CF" w14:textId="7D8279AB" w:rsidR="00097608" w:rsidRPr="00A55335" w:rsidRDefault="00097608" w:rsidP="00097608">
            <w:pPr>
              <w:pStyle w:val="Tabletext8pt"/>
            </w:pPr>
            <w:r w:rsidRPr="00A55335">
              <w:t xml:space="preserve">MD </w:t>
            </w:r>
            <w:r w:rsidRPr="00A55335">
              <w:rPr>
                <w:rStyle w:val="Strong"/>
              </w:rPr>
              <w:t>5</w:t>
            </w:r>
            <w:r w:rsidR="00654A0A" w:rsidRPr="00A55335">
              <w:rPr>
                <w:rStyle w:val="Strong"/>
              </w:rPr>
              <w:t>%</w:t>
            </w:r>
            <w:r w:rsidRPr="00A55335">
              <w:rPr>
                <w:rStyle w:val="Strong"/>
              </w:rPr>
              <w:t xml:space="preserve"> </w:t>
            </w:r>
            <w:r w:rsidR="00B97AB2" w:rsidRPr="00A55335">
              <w:rPr>
                <w:rStyle w:val="Strong"/>
              </w:rPr>
              <w:t>higher</w:t>
            </w:r>
            <w:r w:rsidRPr="00A55335">
              <w:t xml:space="preserve"> </w:t>
            </w:r>
            <w:r w:rsidR="00611DCC" w:rsidRPr="00A55335">
              <w:t>(</w:t>
            </w:r>
            <w:r w:rsidR="00B4799A" w:rsidRPr="00A55335">
              <w:t>8</w:t>
            </w:r>
            <w:r w:rsidR="00611DCC" w:rsidRPr="00A55335">
              <w:t>%</w:t>
            </w:r>
            <w:r w:rsidRPr="00A55335">
              <w:t xml:space="preserve"> </w:t>
            </w:r>
            <w:r w:rsidR="002F3822" w:rsidRPr="00A55335">
              <w:t>higher</w:t>
            </w:r>
            <w:r w:rsidRPr="00A55335">
              <w:t xml:space="preserve"> to </w:t>
            </w:r>
            <w:r w:rsidR="00B4799A" w:rsidRPr="00A55335">
              <w:t>1</w:t>
            </w:r>
            <w:r w:rsidR="00611DCC" w:rsidRPr="00A55335">
              <w:t>%</w:t>
            </w:r>
            <w:r w:rsidRPr="00A55335">
              <w:t xml:space="preserve"> </w:t>
            </w:r>
            <w:r w:rsidR="002F3822" w:rsidRPr="00A55335">
              <w:t>higher</w:t>
            </w:r>
            <w:r w:rsidRPr="00A55335">
              <w:t>)</w:t>
            </w:r>
          </w:p>
        </w:tc>
        <w:tc>
          <w:tcPr>
            <w:tcW w:w="436" w:type="pct"/>
            <w:tcBorders>
              <w:top w:val="single" w:sz="6" w:space="0" w:color="000000"/>
              <w:left w:val="nil"/>
              <w:bottom w:val="single" w:sz="6" w:space="0" w:color="000000"/>
              <w:right w:val="nil"/>
            </w:tcBorders>
            <w:vAlign w:val="center"/>
          </w:tcPr>
          <w:p w14:paraId="5ACDCFA9" w14:textId="13DEF119" w:rsidR="00097608" w:rsidRPr="00A55335" w:rsidRDefault="00060D56" w:rsidP="00097608">
            <w:pPr>
              <w:pStyle w:val="Tabletext8pt"/>
              <w:jc w:val="center"/>
            </w:pPr>
            <w:r w:rsidRPr="00A55335">
              <w:t>-</w:t>
            </w:r>
          </w:p>
        </w:tc>
        <w:tc>
          <w:tcPr>
            <w:tcW w:w="582" w:type="pct"/>
            <w:tcBorders>
              <w:top w:val="single" w:sz="6" w:space="0" w:color="000000"/>
              <w:left w:val="nil"/>
              <w:bottom w:val="single" w:sz="6" w:space="0" w:color="000000"/>
              <w:right w:val="nil"/>
            </w:tcBorders>
            <w:vAlign w:val="center"/>
          </w:tcPr>
          <w:p w14:paraId="44D04A24" w14:textId="6B75EA1C" w:rsidR="0058086E" w:rsidRPr="00A55335" w:rsidRDefault="0058086E" w:rsidP="0058086E">
            <w:pPr>
              <w:pStyle w:val="Tabletext8pt"/>
              <w:jc w:val="center"/>
              <w:rPr>
                <w:rStyle w:val="Tabletext9ptChar"/>
              </w:rPr>
            </w:pPr>
            <w:r w:rsidRPr="00A55335">
              <w:t>140</w:t>
            </w:r>
          </w:p>
          <w:p w14:paraId="24A466FB" w14:textId="59683182" w:rsidR="00097608" w:rsidRPr="00A55335" w:rsidRDefault="0058086E" w:rsidP="0058086E">
            <w:pPr>
              <w:pStyle w:val="Tabletext8pt"/>
              <w:jc w:val="center"/>
            </w:pPr>
            <w:r w:rsidRPr="00A55335">
              <w:t>(1 RCT)</w:t>
            </w:r>
          </w:p>
        </w:tc>
        <w:tc>
          <w:tcPr>
            <w:tcW w:w="582" w:type="pct"/>
            <w:tcBorders>
              <w:top w:val="single" w:sz="6" w:space="0" w:color="000000"/>
              <w:left w:val="nil"/>
              <w:bottom w:val="single" w:sz="6" w:space="0" w:color="000000"/>
              <w:right w:val="nil"/>
            </w:tcBorders>
            <w:vAlign w:val="center"/>
          </w:tcPr>
          <w:p w14:paraId="520F63D4" w14:textId="16FF077C" w:rsidR="00097608" w:rsidRPr="00A55335" w:rsidRDefault="00097608" w:rsidP="00097608">
            <w:pPr>
              <w:pStyle w:val="Tabletext8pt"/>
              <w:jc w:val="center"/>
              <w:rPr>
                <w:rStyle w:val="quality-sign"/>
                <w:rFonts w:ascii="Cambria Math" w:hAnsi="Cambria Math"/>
              </w:rPr>
            </w:pPr>
            <w:r w:rsidRPr="00A55335">
              <w:rPr>
                <w:rStyle w:val="quality-sign"/>
                <w:rFonts w:ascii="Cambria Math" w:hAnsi="Cambria Math"/>
              </w:rPr>
              <w:t>⨁</w:t>
            </w:r>
            <w:r w:rsidR="00734B52" w:rsidRPr="00A55335">
              <w:rPr>
                <w:rStyle w:val="quality-sign"/>
                <w:rFonts w:ascii="Cambria Math" w:hAnsi="Cambria Math"/>
              </w:rPr>
              <w:t>⨁</w:t>
            </w:r>
            <w:r w:rsidRPr="00A55335">
              <w:rPr>
                <w:rStyle w:val="quality-sign"/>
                <w:rFonts w:ascii="Cambria Math" w:hAnsi="Cambria Math"/>
              </w:rPr>
              <w:t>◯◯</w:t>
            </w:r>
            <w:r w:rsidRPr="00A55335">
              <w:br/>
            </w:r>
            <w:r w:rsidRPr="00A55335">
              <w:rPr>
                <w:rStyle w:val="QualitytextChar"/>
              </w:rPr>
              <w:t>Low</w:t>
            </w:r>
            <w:r w:rsidRPr="00A55335">
              <w:t xml:space="preserve"> </w:t>
            </w:r>
            <w:proofErr w:type="spellStart"/>
            <w:r w:rsidRPr="00A55335">
              <w:rPr>
                <w:rStyle w:val="FootnoteReference"/>
              </w:rPr>
              <w:t>a,c,</w:t>
            </w:r>
            <w:r w:rsidR="00D61F82" w:rsidRPr="00A55335">
              <w:rPr>
                <w:rStyle w:val="FootnoteReference"/>
              </w:rPr>
              <w:t>d</w:t>
            </w:r>
            <w:r w:rsidR="00E444D1" w:rsidRPr="00A55335">
              <w:rPr>
                <w:rStyle w:val="FootnoteReference"/>
              </w:rPr>
              <w:t>,</w:t>
            </w:r>
            <w:r w:rsidRPr="00A55335">
              <w:rPr>
                <w:rStyle w:val="FootnoteReference"/>
              </w:rPr>
              <w:t>e,f</w:t>
            </w:r>
            <w:proofErr w:type="spellEnd"/>
          </w:p>
        </w:tc>
        <w:tc>
          <w:tcPr>
            <w:tcW w:w="1145" w:type="pct"/>
            <w:tcBorders>
              <w:top w:val="single" w:sz="6" w:space="0" w:color="000000"/>
              <w:left w:val="nil"/>
              <w:bottom w:val="single" w:sz="6" w:space="0" w:color="000000"/>
              <w:right w:val="nil"/>
            </w:tcBorders>
            <w:vAlign w:val="center"/>
          </w:tcPr>
          <w:p w14:paraId="3375A225" w14:textId="6FDC9FCD" w:rsidR="00097608" w:rsidRPr="00A55335" w:rsidRDefault="00B834A7" w:rsidP="00097608">
            <w:pPr>
              <w:pStyle w:val="Tabletext8pt"/>
            </w:pPr>
            <w:r w:rsidRPr="00A55335">
              <w:t>H</w:t>
            </w:r>
            <w:r w:rsidR="00097608" w:rsidRPr="00A55335">
              <w:t>omeopathy</w:t>
            </w:r>
            <w:r w:rsidR="0043441A" w:rsidRPr="00A55335">
              <w:t xml:space="preserve"> may have little to no difference</w:t>
            </w:r>
            <w:r w:rsidR="00097608" w:rsidRPr="00A55335">
              <w:t xml:space="preserve"> on pulmonary function </w:t>
            </w:r>
            <w:r w:rsidR="0043441A" w:rsidRPr="00A55335">
              <w:t>(FEV</w:t>
            </w:r>
            <w:r w:rsidR="0043441A" w:rsidRPr="00A55335">
              <w:rPr>
                <w:vertAlign w:val="subscript"/>
              </w:rPr>
              <w:t>1</w:t>
            </w:r>
            <w:r w:rsidR="0043441A" w:rsidRPr="00A55335">
              <w:t xml:space="preserve">/FVC ratio) </w:t>
            </w:r>
            <w:r w:rsidR="00097608" w:rsidRPr="00A55335">
              <w:t xml:space="preserve">in people with asthma </w:t>
            </w:r>
            <w:r w:rsidR="00097608" w:rsidRPr="00A55335">
              <w:rPr>
                <w:rStyle w:val="FootnoteReference"/>
              </w:rPr>
              <w:t>#</w:t>
            </w:r>
          </w:p>
        </w:tc>
      </w:tr>
      <w:tr w:rsidR="00097608" w:rsidRPr="00A55335" w14:paraId="567D2053" w14:textId="77777777" w:rsidTr="004B2C44">
        <w:trPr>
          <w:cantSplit/>
          <w:trHeight w:val="699"/>
        </w:trPr>
        <w:tc>
          <w:tcPr>
            <w:tcW w:w="873" w:type="pct"/>
            <w:vMerge w:val="restart"/>
            <w:tcBorders>
              <w:top w:val="single" w:sz="6" w:space="0" w:color="000000"/>
              <w:left w:val="nil"/>
              <w:right w:val="nil"/>
            </w:tcBorders>
            <w:vAlign w:val="center"/>
            <w:hideMark/>
          </w:tcPr>
          <w:p w14:paraId="4B9D58F7" w14:textId="464E377B" w:rsidR="00097608" w:rsidRPr="00A55335" w:rsidRDefault="00097608" w:rsidP="00097608">
            <w:pPr>
              <w:pStyle w:val="Tabletext8pt"/>
            </w:pPr>
            <w:r w:rsidRPr="00A55335">
              <w:t>Pulmonary function</w:t>
            </w:r>
            <w:r w:rsidRPr="00A55335">
              <w:br/>
              <w:t>assessed with: FEV</w:t>
            </w:r>
            <w:r w:rsidRPr="00A55335">
              <w:rPr>
                <w:vertAlign w:val="subscript"/>
              </w:rPr>
              <w:t>1</w:t>
            </w:r>
            <w:r w:rsidRPr="00A55335">
              <w:t xml:space="preserve"> (higher is better)</w:t>
            </w:r>
            <w:r w:rsidRPr="00A55335">
              <w:br/>
              <w:t>follow-up: range 4 weeks to 6 months</w:t>
            </w:r>
          </w:p>
        </w:tc>
        <w:tc>
          <w:tcPr>
            <w:tcW w:w="691" w:type="pct"/>
            <w:tcBorders>
              <w:top w:val="single" w:sz="4" w:space="0" w:color="auto"/>
              <w:left w:val="nil"/>
              <w:right w:val="nil"/>
            </w:tcBorders>
            <w:shd w:val="clear" w:color="auto" w:fill="EBEBEB"/>
            <w:vAlign w:val="center"/>
            <w:hideMark/>
          </w:tcPr>
          <w:p w14:paraId="6E6ACCE0" w14:textId="1E30ADD1" w:rsidR="00097608" w:rsidRPr="00A55335" w:rsidRDefault="00097608" w:rsidP="00097608">
            <w:pPr>
              <w:pStyle w:val="Tabletext8pt"/>
            </w:pPr>
            <w:r w:rsidRPr="00A55335">
              <w:t>The mean FEV</w:t>
            </w:r>
            <w:r w:rsidRPr="00A55335">
              <w:rPr>
                <w:vertAlign w:val="subscript"/>
              </w:rPr>
              <w:t>1</w:t>
            </w:r>
            <w:r w:rsidRPr="00A55335">
              <w:t xml:space="preserve"> (% predicted) was </w:t>
            </w:r>
            <w:r w:rsidRPr="00A55335">
              <w:rPr>
                <w:rStyle w:val="Strong"/>
              </w:rPr>
              <w:t>67.3%</w:t>
            </w:r>
          </w:p>
        </w:tc>
        <w:tc>
          <w:tcPr>
            <w:tcW w:w="691" w:type="pct"/>
            <w:tcBorders>
              <w:top w:val="single" w:sz="6" w:space="0" w:color="000000"/>
              <w:left w:val="nil"/>
              <w:right w:val="nil"/>
            </w:tcBorders>
            <w:shd w:val="clear" w:color="auto" w:fill="EBEBEB"/>
            <w:hideMark/>
          </w:tcPr>
          <w:p w14:paraId="1242A2B7" w14:textId="2876F880" w:rsidR="00097608" w:rsidRPr="00A55335" w:rsidRDefault="00097608" w:rsidP="00097608">
            <w:pPr>
              <w:pStyle w:val="Tabletext8pt"/>
            </w:pPr>
            <w:r w:rsidRPr="00A55335">
              <w:t>MD</w:t>
            </w:r>
            <w:r w:rsidRPr="00A55335">
              <w:rPr>
                <w:rStyle w:val="Strong"/>
              </w:rPr>
              <w:t xml:space="preserve"> 1.67%</w:t>
            </w:r>
            <w:r w:rsidRPr="00A55335">
              <w:t xml:space="preserve"> </w:t>
            </w:r>
            <w:r w:rsidRPr="00A55335">
              <w:rPr>
                <w:rStyle w:val="Strong"/>
              </w:rPr>
              <w:t>higher</w:t>
            </w:r>
            <w:r w:rsidRPr="00A55335">
              <w:br/>
              <w:t>(19.71 higher to 16.37 lower)</w:t>
            </w:r>
          </w:p>
        </w:tc>
        <w:tc>
          <w:tcPr>
            <w:tcW w:w="436" w:type="pct"/>
            <w:vMerge w:val="restart"/>
            <w:tcBorders>
              <w:top w:val="single" w:sz="6" w:space="0" w:color="000000"/>
              <w:left w:val="nil"/>
              <w:right w:val="nil"/>
            </w:tcBorders>
            <w:vAlign w:val="center"/>
            <w:hideMark/>
          </w:tcPr>
          <w:p w14:paraId="21690B57" w14:textId="77777777" w:rsidR="00097608" w:rsidRPr="00A55335" w:rsidRDefault="00097608" w:rsidP="00097608">
            <w:pPr>
              <w:pStyle w:val="Tabletext8pt"/>
              <w:jc w:val="center"/>
            </w:pPr>
            <w:r w:rsidRPr="00A55335">
              <w:t>-</w:t>
            </w:r>
          </w:p>
        </w:tc>
        <w:tc>
          <w:tcPr>
            <w:tcW w:w="582" w:type="pct"/>
            <w:vMerge w:val="restart"/>
            <w:tcBorders>
              <w:top w:val="single" w:sz="6" w:space="0" w:color="000000"/>
              <w:left w:val="nil"/>
              <w:right w:val="nil"/>
            </w:tcBorders>
            <w:vAlign w:val="center"/>
            <w:hideMark/>
          </w:tcPr>
          <w:p w14:paraId="55E4DFAC" w14:textId="055D623F" w:rsidR="00097608" w:rsidRPr="00A55335" w:rsidRDefault="00097608" w:rsidP="00097608">
            <w:pPr>
              <w:pStyle w:val="Tabletext8pt"/>
              <w:jc w:val="center"/>
            </w:pPr>
            <w:r w:rsidRPr="00A55335">
              <w:t>410</w:t>
            </w:r>
            <w:r w:rsidRPr="00A55335">
              <w:br/>
              <w:t>(3 RCTs)</w:t>
            </w:r>
          </w:p>
        </w:tc>
        <w:tc>
          <w:tcPr>
            <w:tcW w:w="582" w:type="pct"/>
            <w:vMerge w:val="restart"/>
            <w:tcBorders>
              <w:top w:val="single" w:sz="6" w:space="0" w:color="000000"/>
              <w:left w:val="nil"/>
              <w:right w:val="nil"/>
            </w:tcBorders>
            <w:vAlign w:val="center"/>
            <w:hideMark/>
          </w:tcPr>
          <w:p w14:paraId="4865A5DF" w14:textId="6A8ECF12" w:rsidR="00097608" w:rsidRPr="00A55335" w:rsidRDefault="00097608" w:rsidP="00097608">
            <w:pPr>
              <w:pStyle w:val="Tabletext8pt"/>
              <w:jc w:val="center"/>
            </w:pPr>
            <w:r w:rsidRPr="00A55335">
              <w:rPr>
                <w:rStyle w:val="quality-sign"/>
                <w:rFonts w:ascii="Cambria Math" w:hAnsi="Cambria Math"/>
              </w:rPr>
              <w:t>⨁◯◯◯</w:t>
            </w:r>
            <w:r w:rsidRPr="00A55335">
              <w:br/>
            </w:r>
            <w:r w:rsidRPr="00A55335">
              <w:rPr>
                <w:rStyle w:val="QualitytextChar"/>
              </w:rPr>
              <w:t>Very Low</w:t>
            </w:r>
            <w:r w:rsidRPr="00A55335">
              <w:t xml:space="preserve"> </w:t>
            </w:r>
            <w:proofErr w:type="spellStart"/>
            <w:r w:rsidRPr="00A55335">
              <w:rPr>
                <w:rStyle w:val="FootnoteReference"/>
              </w:rPr>
              <w:t>a,b,c,e,</w:t>
            </w:r>
            <w:r w:rsidR="004B2C44" w:rsidRPr="00A55335">
              <w:rPr>
                <w:rStyle w:val="FootnoteReference"/>
              </w:rPr>
              <w:t>g</w:t>
            </w:r>
            <w:proofErr w:type="spellEnd"/>
          </w:p>
        </w:tc>
        <w:tc>
          <w:tcPr>
            <w:tcW w:w="1145" w:type="pct"/>
            <w:vMerge w:val="restart"/>
            <w:tcBorders>
              <w:top w:val="single" w:sz="6" w:space="0" w:color="000000"/>
              <w:left w:val="nil"/>
              <w:right w:val="nil"/>
            </w:tcBorders>
            <w:vAlign w:val="center"/>
            <w:hideMark/>
          </w:tcPr>
          <w:p w14:paraId="7E99346C" w14:textId="7DEB69B0" w:rsidR="00097608" w:rsidRPr="00A55335" w:rsidRDefault="00097608" w:rsidP="00097608">
            <w:pPr>
              <w:pStyle w:val="Tabletext8pt"/>
            </w:pPr>
            <w:r w:rsidRPr="00A55335">
              <w:t xml:space="preserve">The evidence is very uncertain about the effect of homeopathy on pulmonary function </w:t>
            </w:r>
            <w:r w:rsidR="00FA37A6" w:rsidRPr="00A55335">
              <w:t>(FEV</w:t>
            </w:r>
            <w:r w:rsidR="00FA37A6" w:rsidRPr="00A55335">
              <w:rPr>
                <w:vertAlign w:val="subscript"/>
              </w:rPr>
              <w:t>1</w:t>
            </w:r>
            <w:r w:rsidR="00FA37A6" w:rsidRPr="00A55335">
              <w:t xml:space="preserve">) </w:t>
            </w:r>
            <w:r w:rsidRPr="00A55335">
              <w:t xml:space="preserve">in people with asthma </w:t>
            </w:r>
            <w:r w:rsidRPr="00A55335">
              <w:rPr>
                <w:rStyle w:val="FootnoteReference"/>
              </w:rPr>
              <w:t>#</w:t>
            </w:r>
            <w:r w:rsidR="00B9013A" w:rsidRPr="00A55335">
              <w:rPr>
                <w:rStyle w:val="FootnoteReference"/>
              </w:rPr>
              <w:t>#</w:t>
            </w:r>
          </w:p>
        </w:tc>
      </w:tr>
      <w:tr w:rsidR="00097608" w:rsidRPr="00A55335" w14:paraId="0A023B8D" w14:textId="77777777" w:rsidTr="004B2C44">
        <w:trPr>
          <w:cantSplit/>
          <w:trHeight w:val="697"/>
        </w:trPr>
        <w:tc>
          <w:tcPr>
            <w:tcW w:w="873" w:type="pct"/>
            <w:vMerge/>
            <w:tcBorders>
              <w:left w:val="nil"/>
              <w:right w:val="nil"/>
            </w:tcBorders>
            <w:vAlign w:val="center"/>
          </w:tcPr>
          <w:p w14:paraId="189E7BCC" w14:textId="77777777" w:rsidR="00097608" w:rsidRPr="00A55335" w:rsidRDefault="00097608" w:rsidP="00097608">
            <w:pPr>
              <w:pStyle w:val="Tabletext8pt"/>
            </w:pPr>
          </w:p>
        </w:tc>
        <w:tc>
          <w:tcPr>
            <w:tcW w:w="691" w:type="pct"/>
            <w:tcBorders>
              <w:left w:val="nil"/>
              <w:right w:val="nil"/>
            </w:tcBorders>
            <w:shd w:val="clear" w:color="auto" w:fill="EBEBEB"/>
            <w:vAlign w:val="center"/>
          </w:tcPr>
          <w:p w14:paraId="13000C31" w14:textId="267FF51D" w:rsidR="00097608" w:rsidRPr="00A55335" w:rsidRDefault="00097608" w:rsidP="00097608">
            <w:pPr>
              <w:pStyle w:val="Tabletext8pt"/>
            </w:pPr>
            <w:r w:rsidRPr="00A55335">
              <w:t>The mean FEV</w:t>
            </w:r>
            <w:r w:rsidRPr="00A55335">
              <w:rPr>
                <w:vertAlign w:val="subscript"/>
              </w:rPr>
              <w:t xml:space="preserve">1 </w:t>
            </w:r>
            <w:r w:rsidRPr="00A55335">
              <w:t>(L/second)</w:t>
            </w:r>
            <w:r w:rsidRPr="00A55335">
              <w:rPr>
                <w:vertAlign w:val="subscript"/>
              </w:rPr>
              <w:t xml:space="preserve"> </w:t>
            </w:r>
            <w:r w:rsidRPr="00A55335">
              <w:t xml:space="preserve">was </w:t>
            </w:r>
            <w:r w:rsidRPr="00A55335">
              <w:rPr>
                <w:rStyle w:val="Strong"/>
              </w:rPr>
              <w:t>0.414</w:t>
            </w:r>
            <w:r w:rsidRPr="00A55335">
              <w:t xml:space="preserve"> </w:t>
            </w:r>
          </w:p>
        </w:tc>
        <w:tc>
          <w:tcPr>
            <w:tcW w:w="691" w:type="pct"/>
            <w:tcBorders>
              <w:left w:val="nil"/>
              <w:right w:val="nil"/>
            </w:tcBorders>
            <w:shd w:val="clear" w:color="auto" w:fill="EBEBEB"/>
          </w:tcPr>
          <w:p w14:paraId="03E0676E" w14:textId="216D44B7" w:rsidR="00097608" w:rsidRPr="00A55335" w:rsidRDefault="00097608" w:rsidP="00097608">
            <w:pPr>
              <w:pStyle w:val="Tabletext8pt"/>
            </w:pPr>
            <w:r w:rsidRPr="00A55335">
              <w:t xml:space="preserve">MD </w:t>
            </w:r>
            <w:r w:rsidRPr="00A55335">
              <w:rPr>
                <w:rStyle w:val="Strong"/>
              </w:rPr>
              <w:t xml:space="preserve">0.28 </w:t>
            </w:r>
            <w:r w:rsidR="00A547B6" w:rsidRPr="00A55335">
              <w:rPr>
                <w:rStyle w:val="Strong"/>
              </w:rPr>
              <w:t>lower</w:t>
            </w:r>
            <w:r w:rsidRPr="00A55335">
              <w:t xml:space="preserve"> (0.14 </w:t>
            </w:r>
            <w:r w:rsidR="00A959CD" w:rsidRPr="00A55335">
              <w:t>higher</w:t>
            </w:r>
            <w:r w:rsidRPr="00A55335">
              <w:t xml:space="preserve"> to 0.69 </w:t>
            </w:r>
            <w:r w:rsidR="00A959CD" w:rsidRPr="00A55335">
              <w:t>lower</w:t>
            </w:r>
            <w:r w:rsidRPr="00A55335">
              <w:t>)</w:t>
            </w:r>
          </w:p>
        </w:tc>
        <w:tc>
          <w:tcPr>
            <w:tcW w:w="436" w:type="pct"/>
            <w:vMerge/>
            <w:tcBorders>
              <w:left w:val="nil"/>
              <w:right w:val="nil"/>
            </w:tcBorders>
            <w:vAlign w:val="center"/>
          </w:tcPr>
          <w:p w14:paraId="52ECA035" w14:textId="77777777" w:rsidR="00097608" w:rsidRPr="00A55335" w:rsidRDefault="00097608" w:rsidP="00097608">
            <w:pPr>
              <w:pStyle w:val="Tabletext8pt"/>
              <w:jc w:val="center"/>
            </w:pPr>
          </w:p>
        </w:tc>
        <w:tc>
          <w:tcPr>
            <w:tcW w:w="582" w:type="pct"/>
            <w:vMerge/>
            <w:tcBorders>
              <w:left w:val="nil"/>
              <w:right w:val="nil"/>
            </w:tcBorders>
            <w:vAlign w:val="center"/>
          </w:tcPr>
          <w:p w14:paraId="5ACAE266" w14:textId="77777777" w:rsidR="00097608" w:rsidRPr="00A55335" w:rsidRDefault="00097608" w:rsidP="00097608">
            <w:pPr>
              <w:pStyle w:val="Tabletext8pt"/>
              <w:jc w:val="center"/>
            </w:pPr>
          </w:p>
        </w:tc>
        <w:tc>
          <w:tcPr>
            <w:tcW w:w="582" w:type="pct"/>
            <w:vMerge/>
            <w:tcBorders>
              <w:left w:val="nil"/>
              <w:right w:val="nil"/>
            </w:tcBorders>
            <w:vAlign w:val="center"/>
          </w:tcPr>
          <w:p w14:paraId="345C5865" w14:textId="77777777" w:rsidR="00097608" w:rsidRPr="00A55335" w:rsidRDefault="00097608" w:rsidP="00097608">
            <w:pPr>
              <w:pStyle w:val="Tabletext8pt"/>
              <w:jc w:val="center"/>
              <w:rPr>
                <w:rStyle w:val="quality-sign"/>
                <w:rFonts w:ascii="Cambria Math" w:hAnsi="Cambria Math"/>
              </w:rPr>
            </w:pPr>
          </w:p>
        </w:tc>
        <w:tc>
          <w:tcPr>
            <w:tcW w:w="1145" w:type="pct"/>
            <w:vMerge/>
            <w:tcBorders>
              <w:left w:val="nil"/>
              <w:right w:val="nil"/>
            </w:tcBorders>
            <w:vAlign w:val="center"/>
          </w:tcPr>
          <w:p w14:paraId="55B7DF66" w14:textId="77777777" w:rsidR="00097608" w:rsidRPr="00A55335" w:rsidRDefault="00097608" w:rsidP="00097608">
            <w:pPr>
              <w:pStyle w:val="Tabletext8pt"/>
            </w:pPr>
          </w:p>
        </w:tc>
      </w:tr>
      <w:tr w:rsidR="009D2C9E" w:rsidRPr="00A55335" w14:paraId="56849003" w14:textId="77777777" w:rsidTr="004B2C44">
        <w:trPr>
          <w:cantSplit/>
        </w:trPr>
        <w:tc>
          <w:tcPr>
            <w:tcW w:w="873" w:type="pct"/>
            <w:tcBorders>
              <w:top w:val="single" w:sz="6" w:space="0" w:color="000000"/>
              <w:left w:val="nil"/>
              <w:bottom w:val="single" w:sz="6" w:space="0" w:color="000000"/>
              <w:right w:val="nil"/>
            </w:tcBorders>
            <w:vAlign w:val="center"/>
            <w:hideMark/>
          </w:tcPr>
          <w:p w14:paraId="194DEB31" w14:textId="499034A5" w:rsidR="009D2C9E" w:rsidRPr="00A55335" w:rsidRDefault="009D2C9E" w:rsidP="009D2C9E">
            <w:pPr>
              <w:pStyle w:val="Tabletext8pt"/>
            </w:pPr>
            <w:r w:rsidRPr="00A55335">
              <w:t>Quality of life</w:t>
            </w:r>
            <w:r w:rsidRPr="00A55335">
              <w:br/>
              <w:t>assessed with: CAQ – active living; ABP (higher is worse)</w:t>
            </w:r>
            <w:r w:rsidRPr="00A55335">
              <w:br/>
              <w:t>Scale from: 0 to 100</w:t>
            </w:r>
            <w:r w:rsidRPr="00A55335">
              <w:br/>
              <w:t>follow-up: 12 months</w:t>
            </w:r>
          </w:p>
        </w:tc>
        <w:tc>
          <w:tcPr>
            <w:tcW w:w="691" w:type="pct"/>
            <w:tcBorders>
              <w:top w:val="single" w:sz="4" w:space="0" w:color="auto"/>
              <w:left w:val="nil"/>
              <w:bottom w:val="single" w:sz="4" w:space="0" w:color="auto"/>
              <w:right w:val="nil"/>
            </w:tcBorders>
            <w:shd w:val="clear" w:color="auto" w:fill="EBEBEB"/>
            <w:vAlign w:val="center"/>
          </w:tcPr>
          <w:p w14:paraId="5D4484E0" w14:textId="6504021D" w:rsidR="009D2C9E" w:rsidRPr="00A55335" w:rsidRDefault="009D2C9E" w:rsidP="009D2C9E">
            <w:pPr>
              <w:pStyle w:val="Tabletext8pt"/>
            </w:pPr>
          </w:p>
        </w:tc>
        <w:tc>
          <w:tcPr>
            <w:tcW w:w="691" w:type="pct"/>
            <w:tcBorders>
              <w:top w:val="single" w:sz="6" w:space="0" w:color="000000"/>
              <w:left w:val="nil"/>
              <w:bottom w:val="single" w:sz="4" w:space="0" w:color="auto"/>
              <w:right w:val="nil"/>
            </w:tcBorders>
            <w:shd w:val="clear" w:color="auto" w:fill="EBEBEB"/>
            <w:hideMark/>
          </w:tcPr>
          <w:p w14:paraId="28AA698E" w14:textId="32BF82D6" w:rsidR="009D2C9E" w:rsidRPr="00A55335" w:rsidRDefault="009D2C9E" w:rsidP="009D2C9E">
            <w:pPr>
              <w:pStyle w:val="Tabletext8pt"/>
            </w:pPr>
            <w:r w:rsidRPr="00A55335">
              <w:t>SMD</w:t>
            </w:r>
            <w:r w:rsidRPr="00A55335">
              <w:rPr>
                <w:rStyle w:val="Strong"/>
              </w:rPr>
              <w:t xml:space="preserve"> 0.00 SD</w:t>
            </w:r>
            <w:r w:rsidRPr="00A55335">
              <w:br/>
              <w:t>(0.23 lower to 0.23 higher)</w:t>
            </w:r>
          </w:p>
        </w:tc>
        <w:tc>
          <w:tcPr>
            <w:tcW w:w="436" w:type="pct"/>
            <w:tcBorders>
              <w:top w:val="single" w:sz="6" w:space="0" w:color="000000"/>
              <w:left w:val="nil"/>
              <w:bottom w:val="single" w:sz="6" w:space="0" w:color="000000"/>
              <w:right w:val="nil"/>
            </w:tcBorders>
            <w:vAlign w:val="center"/>
            <w:hideMark/>
          </w:tcPr>
          <w:p w14:paraId="2CA040CF" w14:textId="77777777" w:rsidR="009D2C9E" w:rsidRPr="00A55335" w:rsidRDefault="009D2C9E" w:rsidP="009D2C9E">
            <w:pPr>
              <w:pStyle w:val="Tabletext8pt"/>
              <w:jc w:val="center"/>
            </w:pPr>
            <w:r w:rsidRPr="00A55335">
              <w:t>-</w:t>
            </w:r>
          </w:p>
        </w:tc>
        <w:tc>
          <w:tcPr>
            <w:tcW w:w="582" w:type="pct"/>
            <w:tcBorders>
              <w:top w:val="single" w:sz="6" w:space="0" w:color="000000"/>
              <w:left w:val="nil"/>
              <w:bottom w:val="single" w:sz="6" w:space="0" w:color="000000"/>
              <w:right w:val="nil"/>
            </w:tcBorders>
            <w:vAlign w:val="center"/>
            <w:hideMark/>
          </w:tcPr>
          <w:p w14:paraId="1AE2FEF9" w14:textId="71279BA8" w:rsidR="009D2C9E" w:rsidRPr="00A55335" w:rsidRDefault="009D2C9E" w:rsidP="009D2C9E">
            <w:pPr>
              <w:pStyle w:val="Tabletext8pt"/>
              <w:jc w:val="center"/>
            </w:pPr>
            <w:r w:rsidRPr="00A55335">
              <w:t>291</w:t>
            </w:r>
            <w:r w:rsidRPr="00A55335">
              <w:br/>
              <w:t>(2 RCTs)</w:t>
            </w:r>
          </w:p>
        </w:tc>
        <w:tc>
          <w:tcPr>
            <w:tcW w:w="582" w:type="pct"/>
            <w:tcBorders>
              <w:top w:val="single" w:sz="6" w:space="0" w:color="000000"/>
              <w:left w:val="nil"/>
              <w:bottom w:val="single" w:sz="6" w:space="0" w:color="000000"/>
              <w:right w:val="nil"/>
            </w:tcBorders>
            <w:vAlign w:val="center"/>
            <w:hideMark/>
          </w:tcPr>
          <w:p w14:paraId="115C4BA9" w14:textId="4298AFC3" w:rsidR="009D2C9E" w:rsidRPr="00A55335" w:rsidRDefault="009D2C9E" w:rsidP="009D2C9E">
            <w:pPr>
              <w:pStyle w:val="Tabletext8pt"/>
              <w:jc w:val="center"/>
            </w:pPr>
            <w:r w:rsidRPr="00A55335">
              <w:rPr>
                <w:rFonts w:ascii="Cambria Math" w:eastAsia="Cambria Math" w:hAnsi="Cambria Math" w:cs="Cambria Math"/>
                <w:color w:val="000000"/>
              </w:rPr>
              <w:t>⨁⨁</w:t>
            </w:r>
            <w:r w:rsidR="0006007F" w:rsidRPr="00A55335">
              <w:rPr>
                <w:rFonts w:ascii="Cambria Math" w:eastAsia="Cambria Math" w:hAnsi="Cambria Math" w:cs="Cambria Math"/>
                <w:color w:val="000000"/>
              </w:rPr>
              <w:t>◯</w:t>
            </w:r>
            <w:r w:rsidRPr="00A55335">
              <w:rPr>
                <w:rFonts w:ascii="Cambria Math" w:eastAsia="Cambria Math" w:hAnsi="Cambria Math" w:cs="Cambria Math"/>
                <w:color w:val="000000"/>
              </w:rPr>
              <w:t>◯</w:t>
            </w:r>
            <w:r w:rsidRPr="00A55335">
              <w:rPr>
                <w:rFonts w:cs="Montserrat"/>
                <w:color w:val="000000"/>
              </w:rPr>
              <w:br/>
            </w:r>
            <w:r w:rsidR="0006007F" w:rsidRPr="00A55335">
              <w:rPr>
                <w:rFonts w:cs="Montserrat"/>
                <w:color w:val="000000"/>
              </w:rPr>
              <w:t xml:space="preserve">LOW </w:t>
            </w:r>
            <w:proofErr w:type="spellStart"/>
            <w:proofErr w:type="gramStart"/>
            <w:r w:rsidRPr="00A55335">
              <w:rPr>
                <w:rFonts w:cs="Montserrat"/>
                <w:color w:val="000000"/>
                <w:vertAlign w:val="superscript"/>
              </w:rPr>
              <w:t>a,c</w:t>
            </w:r>
            <w:proofErr w:type="gramEnd"/>
            <w:r w:rsidRPr="00A55335">
              <w:rPr>
                <w:rFonts w:cs="Montserrat"/>
                <w:color w:val="000000"/>
                <w:vertAlign w:val="superscript"/>
              </w:rPr>
              <w:t>,h</w:t>
            </w:r>
            <w:r w:rsidR="0006007F" w:rsidRPr="00A55335">
              <w:rPr>
                <w:rFonts w:cs="Montserrat"/>
                <w:color w:val="000000"/>
                <w:vertAlign w:val="superscript"/>
              </w:rPr>
              <w:t>,</w:t>
            </w:r>
            <w:r w:rsidR="000538FC" w:rsidRPr="00A55335">
              <w:rPr>
                <w:rFonts w:cs="Montserrat"/>
                <w:color w:val="000000"/>
                <w:vertAlign w:val="superscript"/>
              </w:rPr>
              <w:t>i,</w:t>
            </w:r>
            <w:r w:rsidR="0006007F" w:rsidRPr="00A55335">
              <w:rPr>
                <w:rFonts w:cs="Montserrat"/>
                <w:color w:val="000000"/>
                <w:vertAlign w:val="superscript"/>
              </w:rPr>
              <w:t>j</w:t>
            </w:r>
            <w:proofErr w:type="spellEnd"/>
          </w:p>
        </w:tc>
        <w:tc>
          <w:tcPr>
            <w:tcW w:w="1145" w:type="pct"/>
            <w:tcBorders>
              <w:top w:val="single" w:sz="6" w:space="0" w:color="000000"/>
              <w:left w:val="nil"/>
              <w:bottom w:val="single" w:sz="6" w:space="0" w:color="000000"/>
              <w:right w:val="nil"/>
            </w:tcBorders>
            <w:vAlign w:val="center"/>
            <w:hideMark/>
          </w:tcPr>
          <w:p w14:paraId="1CCF4486" w14:textId="332C3E29" w:rsidR="009D2C9E" w:rsidRPr="00A55335" w:rsidRDefault="009D2C9E" w:rsidP="009D2C9E">
            <w:pPr>
              <w:pStyle w:val="Tabletext8pt"/>
            </w:pPr>
            <w:r w:rsidRPr="00A55335">
              <w:t xml:space="preserve">Homeopathy </w:t>
            </w:r>
            <w:r w:rsidR="009E5279" w:rsidRPr="00A55335">
              <w:t xml:space="preserve">may </w:t>
            </w:r>
            <w:r w:rsidR="0038781B" w:rsidRPr="00A55335">
              <w:t>have</w:t>
            </w:r>
            <w:r w:rsidR="009E5279" w:rsidRPr="00A55335">
              <w:t xml:space="preserve"> </w:t>
            </w:r>
            <w:r w:rsidRPr="00A55335">
              <w:t xml:space="preserve">little to no effect on quality of life in people with asthma </w:t>
            </w:r>
            <w:r w:rsidR="00F94803">
              <w:t>**</w:t>
            </w:r>
          </w:p>
        </w:tc>
      </w:tr>
      <w:tr w:rsidR="009D2C9E" w:rsidRPr="00A55335" w14:paraId="5A307A01" w14:textId="77777777" w:rsidTr="004B2C44">
        <w:trPr>
          <w:cantSplit/>
        </w:trPr>
        <w:tc>
          <w:tcPr>
            <w:tcW w:w="873" w:type="pct"/>
            <w:tcBorders>
              <w:top w:val="single" w:sz="6" w:space="0" w:color="000000"/>
              <w:left w:val="nil"/>
              <w:bottom w:val="single" w:sz="6" w:space="0" w:color="000000"/>
              <w:right w:val="nil"/>
            </w:tcBorders>
            <w:vAlign w:val="center"/>
          </w:tcPr>
          <w:p w14:paraId="369599EF" w14:textId="77777777" w:rsidR="009D2C9E" w:rsidRPr="00A55335" w:rsidRDefault="009D2C9E" w:rsidP="009D2C9E">
            <w:pPr>
              <w:pStyle w:val="Tabletext8pt"/>
            </w:pPr>
            <w:r w:rsidRPr="00A55335">
              <w:t>Hospitalisation – not reported</w:t>
            </w:r>
          </w:p>
        </w:tc>
        <w:tc>
          <w:tcPr>
            <w:tcW w:w="691" w:type="pct"/>
            <w:tcBorders>
              <w:top w:val="single" w:sz="4" w:space="0" w:color="auto"/>
              <w:left w:val="nil"/>
              <w:bottom w:val="single" w:sz="6" w:space="0" w:color="000000"/>
              <w:right w:val="nil"/>
            </w:tcBorders>
            <w:shd w:val="clear" w:color="auto" w:fill="EBEBEB"/>
            <w:vAlign w:val="center"/>
          </w:tcPr>
          <w:p w14:paraId="243F2D4F" w14:textId="77777777" w:rsidR="009D2C9E" w:rsidRPr="00A55335" w:rsidRDefault="009D2C9E" w:rsidP="009D2C9E">
            <w:pPr>
              <w:pStyle w:val="Tabletext8pt"/>
            </w:pPr>
            <w:r w:rsidRPr="00A55335">
              <w:t>-</w:t>
            </w:r>
          </w:p>
        </w:tc>
        <w:tc>
          <w:tcPr>
            <w:tcW w:w="691" w:type="pct"/>
            <w:tcBorders>
              <w:top w:val="single" w:sz="4" w:space="0" w:color="auto"/>
              <w:left w:val="nil"/>
              <w:bottom w:val="single" w:sz="6" w:space="0" w:color="000000"/>
              <w:right w:val="nil"/>
            </w:tcBorders>
            <w:shd w:val="clear" w:color="auto" w:fill="EBEBEB"/>
          </w:tcPr>
          <w:p w14:paraId="26B9EE1E" w14:textId="77777777" w:rsidR="009D2C9E" w:rsidRPr="00A55335" w:rsidRDefault="009D2C9E" w:rsidP="009D2C9E">
            <w:pPr>
              <w:pStyle w:val="Tabletext8pt"/>
            </w:pPr>
            <w:r w:rsidRPr="00A55335">
              <w:t>-</w:t>
            </w:r>
          </w:p>
        </w:tc>
        <w:tc>
          <w:tcPr>
            <w:tcW w:w="436" w:type="pct"/>
            <w:tcBorders>
              <w:top w:val="single" w:sz="6" w:space="0" w:color="000000"/>
              <w:left w:val="nil"/>
              <w:bottom w:val="single" w:sz="6" w:space="0" w:color="000000"/>
              <w:right w:val="nil"/>
            </w:tcBorders>
            <w:vAlign w:val="center"/>
          </w:tcPr>
          <w:p w14:paraId="45F0B423" w14:textId="77777777" w:rsidR="009D2C9E" w:rsidRPr="00A55335" w:rsidRDefault="009D2C9E" w:rsidP="009D2C9E">
            <w:pPr>
              <w:pStyle w:val="Tabletext8pt"/>
              <w:jc w:val="center"/>
            </w:pPr>
            <w:r w:rsidRPr="00A55335">
              <w:t>-</w:t>
            </w:r>
          </w:p>
        </w:tc>
        <w:tc>
          <w:tcPr>
            <w:tcW w:w="582" w:type="pct"/>
            <w:tcBorders>
              <w:top w:val="single" w:sz="6" w:space="0" w:color="000000"/>
              <w:left w:val="nil"/>
              <w:bottom w:val="single" w:sz="6" w:space="0" w:color="000000"/>
              <w:right w:val="nil"/>
            </w:tcBorders>
            <w:vAlign w:val="center"/>
          </w:tcPr>
          <w:p w14:paraId="3E3B883E" w14:textId="69941235" w:rsidR="009D2C9E" w:rsidRPr="00A55335" w:rsidRDefault="009D2C9E" w:rsidP="009D2C9E">
            <w:pPr>
              <w:pStyle w:val="Tabletext8pt"/>
              <w:jc w:val="center"/>
            </w:pPr>
            <w:r w:rsidRPr="00A55335">
              <w:t>(0 studies)</w:t>
            </w:r>
          </w:p>
        </w:tc>
        <w:tc>
          <w:tcPr>
            <w:tcW w:w="582" w:type="pct"/>
            <w:tcBorders>
              <w:top w:val="single" w:sz="6" w:space="0" w:color="000000"/>
              <w:left w:val="nil"/>
              <w:bottom w:val="single" w:sz="6" w:space="0" w:color="000000"/>
              <w:right w:val="nil"/>
            </w:tcBorders>
            <w:vAlign w:val="center"/>
          </w:tcPr>
          <w:p w14:paraId="0CE69116" w14:textId="7B684604" w:rsidR="009D2C9E" w:rsidRPr="00A55335" w:rsidRDefault="009D2C9E" w:rsidP="009D2C9E">
            <w:pPr>
              <w:pStyle w:val="Qualitytext"/>
              <w:rPr>
                <w:rStyle w:val="quality-sign"/>
                <w:rFonts w:ascii="Cambria Math" w:hAnsi="Cambria Math"/>
                <w:caps w:val="0"/>
              </w:rPr>
            </w:pPr>
            <w:r w:rsidRPr="00A55335">
              <w:rPr>
                <w:rStyle w:val="quality-sign"/>
                <w:rFonts w:ascii="Cambria Math" w:hAnsi="Cambria Math"/>
                <w:caps w:val="0"/>
              </w:rPr>
              <w:t>-</w:t>
            </w:r>
          </w:p>
        </w:tc>
        <w:tc>
          <w:tcPr>
            <w:tcW w:w="1145" w:type="pct"/>
            <w:tcBorders>
              <w:top w:val="single" w:sz="6" w:space="0" w:color="000000"/>
              <w:left w:val="nil"/>
              <w:bottom w:val="single" w:sz="6" w:space="0" w:color="000000"/>
              <w:right w:val="nil"/>
            </w:tcBorders>
            <w:vAlign w:val="center"/>
          </w:tcPr>
          <w:p w14:paraId="0458B550" w14:textId="43969AD8" w:rsidR="009D2C9E" w:rsidRPr="00A55335" w:rsidRDefault="009D2C9E" w:rsidP="009D2C9E">
            <w:pPr>
              <w:pStyle w:val="Tabletext8pt"/>
            </w:pPr>
            <w:r w:rsidRPr="00A55335">
              <w:t>The effect of homeopathy on hospitalisations in people with asthma is unknown</w:t>
            </w:r>
          </w:p>
        </w:tc>
      </w:tr>
      <w:tr w:rsidR="009D2C9E" w:rsidRPr="00A55335" w14:paraId="32DA2064" w14:textId="77777777" w:rsidTr="004B2C44">
        <w:trPr>
          <w:cantSplit/>
        </w:trPr>
        <w:tc>
          <w:tcPr>
            <w:tcW w:w="873" w:type="pct"/>
            <w:tcBorders>
              <w:top w:val="single" w:sz="6" w:space="0" w:color="000000"/>
              <w:left w:val="nil"/>
              <w:bottom w:val="single" w:sz="6" w:space="0" w:color="000000"/>
              <w:right w:val="nil"/>
            </w:tcBorders>
            <w:vAlign w:val="center"/>
          </w:tcPr>
          <w:p w14:paraId="1A958412" w14:textId="6E0C784B" w:rsidR="009D2C9E" w:rsidRPr="00A55335" w:rsidRDefault="009D2C9E" w:rsidP="00023A23">
            <w:pPr>
              <w:pStyle w:val="Tabletext8pt"/>
            </w:pPr>
            <w:r w:rsidRPr="00A55335">
              <w:t xml:space="preserve">Medication use assessed </w:t>
            </w:r>
            <w:proofErr w:type="gramStart"/>
            <w:r w:rsidRPr="00A55335">
              <w:t>with:</w:t>
            </w:r>
            <w:proofErr w:type="gramEnd"/>
            <w:r w:rsidRPr="00A55335">
              <w:t xml:space="preserve"> number of participants with a reduction in inhaler use</w:t>
            </w:r>
            <w:r w:rsidR="00023A23">
              <w:br/>
            </w:r>
            <w:r w:rsidRPr="00A55335">
              <w:t>follow-up: 12 months</w:t>
            </w:r>
          </w:p>
        </w:tc>
        <w:tc>
          <w:tcPr>
            <w:tcW w:w="691" w:type="pct"/>
            <w:tcBorders>
              <w:top w:val="single" w:sz="4" w:space="0" w:color="auto"/>
              <w:left w:val="nil"/>
              <w:bottom w:val="single" w:sz="6" w:space="0" w:color="000000"/>
              <w:right w:val="nil"/>
            </w:tcBorders>
            <w:shd w:val="clear" w:color="auto" w:fill="EBEBEB"/>
            <w:vAlign w:val="center"/>
          </w:tcPr>
          <w:p w14:paraId="74F877D5" w14:textId="332029B0" w:rsidR="009D2C9E" w:rsidRPr="00A55335" w:rsidRDefault="009D2C9E" w:rsidP="009D2C9E">
            <w:pPr>
              <w:pStyle w:val="Tabletext8pt"/>
            </w:pPr>
            <w:r w:rsidRPr="00A55335">
              <w:t>391 per 1,000</w:t>
            </w:r>
          </w:p>
        </w:tc>
        <w:tc>
          <w:tcPr>
            <w:tcW w:w="691" w:type="pct"/>
            <w:tcBorders>
              <w:top w:val="single" w:sz="4" w:space="0" w:color="auto"/>
              <w:left w:val="nil"/>
              <w:bottom w:val="single" w:sz="6" w:space="0" w:color="000000"/>
              <w:right w:val="nil"/>
            </w:tcBorders>
            <w:shd w:val="clear" w:color="auto" w:fill="EBEBEB"/>
          </w:tcPr>
          <w:p w14:paraId="7B1A29A6" w14:textId="4C15CFE1" w:rsidR="009D2C9E" w:rsidRPr="00A55335" w:rsidRDefault="009D2C9E" w:rsidP="009D2C9E">
            <w:pPr>
              <w:pStyle w:val="Tabletext8pt"/>
            </w:pPr>
            <w:r w:rsidRPr="00A55335">
              <w:rPr>
                <w:rStyle w:val="Strong"/>
              </w:rPr>
              <w:t>376 per 1,000</w:t>
            </w:r>
            <w:r w:rsidRPr="00A55335">
              <w:br/>
              <w:t>(266 to 528)</w:t>
            </w:r>
            <w:r w:rsidR="002374FF">
              <w:t xml:space="preserve"> ^</w:t>
            </w:r>
          </w:p>
        </w:tc>
        <w:tc>
          <w:tcPr>
            <w:tcW w:w="436" w:type="pct"/>
            <w:tcBorders>
              <w:top w:val="single" w:sz="6" w:space="0" w:color="000000"/>
              <w:left w:val="nil"/>
              <w:bottom w:val="single" w:sz="6" w:space="0" w:color="000000"/>
              <w:right w:val="nil"/>
            </w:tcBorders>
            <w:vAlign w:val="center"/>
          </w:tcPr>
          <w:p w14:paraId="35BCCE80" w14:textId="73EC0CCA" w:rsidR="009D2C9E" w:rsidRPr="00A55335" w:rsidRDefault="009D2C9E" w:rsidP="009D2C9E">
            <w:pPr>
              <w:pStyle w:val="Tabletext8pt"/>
              <w:jc w:val="center"/>
            </w:pPr>
            <w:r w:rsidRPr="00A55335">
              <w:rPr>
                <w:rStyle w:val="Strong"/>
              </w:rPr>
              <w:t>RR 0.96</w:t>
            </w:r>
            <w:r w:rsidRPr="00A55335">
              <w:t xml:space="preserve"> (0.68 to 1.35)</w:t>
            </w:r>
          </w:p>
        </w:tc>
        <w:tc>
          <w:tcPr>
            <w:tcW w:w="582" w:type="pct"/>
            <w:tcBorders>
              <w:top w:val="single" w:sz="6" w:space="0" w:color="000000"/>
              <w:left w:val="nil"/>
              <w:bottom w:val="single" w:sz="6" w:space="0" w:color="000000"/>
              <w:right w:val="nil"/>
            </w:tcBorders>
            <w:vAlign w:val="center"/>
          </w:tcPr>
          <w:p w14:paraId="6B4DE65D" w14:textId="41B3A901" w:rsidR="009D2C9E" w:rsidRPr="00A55335" w:rsidRDefault="009D2C9E" w:rsidP="009D2C9E">
            <w:pPr>
              <w:pStyle w:val="Tabletext8pt"/>
              <w:jc w:val="center"/>
              <w:rPr>
                <w:rStyle w:val="Tabletext9ptChar"/>
              </w:rPr>
            </w:pPr>
            <w:r w:rsidRPr="00A55335">
              <w:t>89</w:t>
            </w:r>
          </w:p>
          <w:p w14:paraId="274ACE75" w14:textId="2C54DC91" w:rsidR="009D2C9E" w:rsidRPr="00A55335" w:rsidRDefault="009D2C9E" w:rsidP="009D2C9E">
            <w:pPr>
              <w:pStyle w:val="Tabletext8pt"/>
              <w:jc w:val="center"/>
            </w:pPr>
            <w:r w:rsidRPr="00A55335">
              <w:t>(1 RCT)</w:t>
            </w:r>
            <w:r w:rsidRPr="00A55335">
              <w:rPr>
                <w:rStyle w:val="FootnoteReference"/>
              </w:rPr>
              <w:t>†</w:t>
            </w:r>
          </w:p>
        </w:tc>
        <w:tc>
          <w:tcPr>
            <w:tcW w:w="582" w:type="pct"/>
            <w:tcBorders>
              <w:top w:val="single" w:sz="6" w:space="0" w:color="000000"/>
              <w:left w:val="nil"/>
              <w:bottom w:val="single" w:sz="6" w:space="0" w:color="000000"/>
              <w:right w:val="nil"/>
            </w:tcBorders>
            <w:vAlign w:val="center"/>
          </w:tcPr>
          <w:p w14:paraId="7BDF1CB1" w14:textId="350F29AC" w:rsidR="009D2C9E" w:rsidRPr="00A55335" w:rsidRDefault="009D2C9E" w:rsidP="009D2C9E">
            <w:pPr>
              <w:pStyle w:val="Tabletext8pt"/>
              <w:jc w:val="center"/>
            </w:pPr>
            <w:r w:rsidRPr="00A55335">
              <w:rPr>
                <w:rFonts w:cs="Cambria Math"/>
              </w:rPr>
              <w:t>⨁</w:t>
            </w:r>
            <w:r w:rsidRPr="00A55335">
              <w:rPr>
                <w:rFonts w:ascii="Cambria Math" w:hAnsi="Cambria Math" w:cs="Cambria Math"/>
              </w:rPr>
              <w:t>⨁</w:t>
            </w:r>
            <w:r w:rsidRPr="00A55335">
              <w:rPr>
                <w:rFonts w:cs="Cambria Math"/>
              </w:rPr>
              <w:t>◯◯</w:t>
            </w:r>
            <w:r w:rsidRPr="00A55335">
              <w:br/>
            </w:r>
            <w:r w:rsidRPr="00A55335">
              <w:rPr>
                <w:rStyle w:val="QualitytextChar"/>
              </w:rPr>
              <w:t>Low</w:t>
            </w:r>
            <w:r w:rsidRPr="00A55335">
              <w:t xml:space="preserve"> </w:t>
            </w:r>
            <w:proofErr w:type="spellStart"/>
            <w:r w:rsidRPr="00A55335">
              <w:rPr>
                <w:rStyle w:val="FootnoteReference"/>
              </w:rPr>
              <w:t>a,c,f,i</w:t>
            </w:r>
            <w:r w:rsidR="00023A23">
              <w:rPr>
                <w:rStyle w:val="FootnoteReference"/>
              </w:rPr>
              <w:t>,k</w:t>
            </w:r>
            <w:proofErr w:type="spellEnd"/>
          </w:p>
        </w:tc>
        <w:tc>
          <w:tcPr>
            <w:tcW w:w="1145" w:type="pct"/>
            <w:tcBorders>
              <w:top w:val="single" w:sz="6" w:space="0" w:color="000000"/>
              <w:left w:val="nil"/>
              <w:bottom w:val="single" w:sz="6" w:space="0" w:color="000000"/>
              <w:right w:val="nil"/>
            </w:tcBorders>
            <w:vAlign w:val="center"/>
          </w:tcPr>
          <w:p w14:paraId="395CA95D" w14:textId="29F671E7" w:rsidR="009D2C9E" w:rsidRPr="00A55335" w:rsidRDefault="003E2ADF" w:rsidP="009D2C9E">
            <w:pPr>
              <w:pStyle w:val="Tabletext8pt"/>
            </w:pPr>
            <w:r w:rsidRPr="00A55335">
              <w:t>H</w:t>
            </w:r>
            <w:r w:rsidR="009D2C9E" w:rsidRPr="00A55335">
              <w:t>omeopathy may have little to no effect on medication use in people with asthma</w:t>
            </w:r>
            <w:r w:rsidR="00C94956">
              <w:t xml:space="preserve"> ***</w:t>
            </w:r>
          </w:p>
        </w:tc>
      </w:tr>
      <w:tr w:rsidR="009D2C9E" w:rsidRPr="00A55335" w14:paraId="21C7E5CD" w14:textId="77777777" w:rsidTr="00550DFC">
        <w:trPr>
          <w:cantSplit/>
        </w:trPr>
        <w:tc>
          <w:tcPr>
            <w:tcW w:w="5000" w:type="pct"/>
            <w:gridSpan w:val="7"/>
            <w:tcBorders>
              <w:top w:val="single" w:sz="6" w:space="0" w:color="000000"/>
              <w:left w:val="nil"/>
              <w:bottom w:val="single" w:sz="6" w:space="0" w:color="000000"/>
              <w:right w:val="nil"/>
            </w:tcBorders>
            <w:vAlign w:val="center"/>
            <w:hideMark/>
          </w:tcPr>
          <w:p w14:paraId="16F1F7BF" w14:textId="77777777" w:rsidR="009D2C9E" w:rsidRPr="00A55335" w:rsidRDefault="009D2C9E" w:rsidP="009D2C9E">
            <w:pPr>
              <w:pStyle w:val="TableFigNotes18"/>
            </w:pPr>
            <w:r w:rsidRPr="00A55335">
              <w:rPr>
                <w:rStyle w:val="Strong"/>
              </w:rPr>
              <w:lastRenderedPageBreak/>
              <w:t>*The risk in the intervention group (and its 95% confidence interval)</w:t>
            </w:r>
            <w:r w:rsidRPr="00A55335">
              <w:t xml:space="preserve"> is based on the assumed risk in the comparison group and the </w:t>
            </w:r>
            <w:r w:rsidRPr="00A55335">
              <w:rPr>
                <w:rStyle w:val="Strong"/>
              </w:rPr>
              <w:t>relative effect</w:t>
            </w:r>
            <w:r w:rsidRPr="00A55335">
              <w:t xml:space="preserve"> of the intervention (and its 95% CI).</w:t>
            </w:r>
          </w:p>
          <w:p w14:paraId="02BE78CD" w14:textId="532D74E9" w:rsidR="009D2C9E" w:rsidRPr="00A55335" w:rsidRDefault="009D2C9E" w:rsidP="009D2C9E">
            <w:pPr>
              <w:pStyle w:val="TableFigNotes18"/>
            </w:pPr>
            <w:r w:rsidRPr="00A55335">
              <w:t xml:space="preserve">** As a rule of thumb, an SMD of 0.2 is considered a small difference, 0.5 is considered medium, and 0.8 is considered large </w:t>
            </w:r>
            <w:r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Pr="00A55335">
              <w:fldChar w:fldCharType="separate"/>
            </w:r>
            <w:r w:rsidRPr="00A55335">
              <w:rPr>
                <w:noProof/>
              </w:rPr>
              <w:t>(</w:t>
            </w:r>
            <w:hyperlink w:anchor="_ENREF_83" w:tooltip="Faraone, 2008 #165" w:history="1">
              <w:r w:rsidR="00EC2769" w:rsidRPr="00A55335">
                <w:rPr>
                  <w:noProof/>
                </w:rPr>
                <w:t>83</w:t>
              </w:r>
            </w:hyperlink>
            <w:r w:rsidRPr="00A55335">
              <w:rPr>
                <w:noProof/>
              </w:rPr>
              <w:t>)</w:t>
            </w:r>
            <w:r w:rsidRPr="00A55335">
              <w:fldChar w:fldCharType="end"/>
            </w:r>
            <w:r w:rsidRPr="00A55335">
              <w:t>.</w:t>
            </w:r>
          </w:p>
          <w:p w14:paraId="3FBEF043" w14:textId="30BFF27F" w:rsidR="00196574" w:rsidRPr="00196574" w:rsidRDefault="00C94956" w:rsidP="00196574">
            <w:pPr>
              <w:pStyle w:val="TableFigNotes18"/>
            </w:pPr>
            <w:r>
              <w:t>*</w:t>
            </w:r>
            <w:r w:rsidR="00196574" w:rsidRPr="00196574">
              <w:t>** A 25% relative risk reduction was considered important (i.e. RR &lt; 0.75).</w:t>
            </w:r>
          </w:p>
          <w:p w14:paraId="3219FE33" w14:textId="7AAF3CAF" w:rsidR="009D2C9E" w:rsidRPr="00A55335" w:rsidRDefault="00C94956" w:rsidP="009D2C9E">
            <w:pPr>
              <w:pStyle w:val="TableFigNotes18"/>
            </w:pPr>
            <w:r>
              <w:br/>
            </w:r>
            <w:r w:rsidR="002374FF">
              <w:t>^ The ARD is 16 fewer per 1,000 (</w:t>
            </w:r>
            <w:r w:rsidR="000F01E4">
              <w:t xml:space="preserve">from 125 fewer to 137 more) i.e. </w:t>
            </w:r>
            <w:r w:rsidR="002374FF">
              <w:t>1.6% reduction</w:t>
            </w:r>
            <w:r w:rsidR="00A26605">
              <w:t>.</w:t>
            </w:r>
            <w:r w:rsidR="002374FF">
              <w:br/>
            </w:r>
            <w:r w:rsidR="002374FF">
              <w:br/>
            </w:r>
            <w:r w:rsidR="009D2C9E" w:rsidRPr="00A55335">
              <w:t xml:space="preserve"># 5% lower than normal is suggestive of airflow obstruction, with normal values typically between 75% to 85% </w:t>
            </w:r>
            <w:r w:rsidR="009D2C9E" w:rsidRPr="00A55335">
              <w:fldChar w:fldCharType="begin">
                <w:fldData xml:space="preserve">PEVuZE5vdGU+PENpdGU+PEF1dGhvcj5QZWxsZWdyaW5vPC9BdXRob3I+PFllYXI+MjAwNTwvWWVh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==
</w:fldData>
              </w:fldChar>
            </w:r>
            <w:r w:rsidR="00D9067C">
              <w:instrText xml:space="preserve"> ADDIN EN.CITE </w:instrText>
            </w:r>
            <w:r w:rsidR="00D9067C">
              <w:fldChar w:fldCharType="begin">
                <w:fldData xml:space="preserve">PEVuZE5vdGU+PENpdGU+PEF1dGhvcj5QZWxsZWdyaW5vPC9BdXRob3I+PFllYXI+MjAwNTwvWWVh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==
</w:fldData>
              </w:fldChar>
            </w:r>
            <w:r w:rsidR="00D9067C">
              <w:instrText xml:space="preserve"> ADDIN EN.CITE.DATA </w:instrText>
            </w:r>
            <w:r w:rsidR="00D9067C">
              <w:fldChar w:fldCharType="end"/>
            </w:r>
            <w:r w:rsidR="009D2C9E" w:rsidRPr="00A55335">
              <w:fldChar w:fldCharType="separate"/>
            </w:r>
            <w:r w:rsidR="00D9067C">
              <w:rPr>
                <w:noProof/>
              </w:rPr>
              <w:t>(</w:t>
            </w:r>
            <w:hyperlink w:anchor="_ENREF_217" w:tooltip="Pellegrino, 2005 #689" w:history="1">
              <w:r w:rsidR="00EC2769">
                <w:rPr>
                  <w:noProof/>
                </w:rPr>
                <w:t>217</w:t>
              </w:r>
            </w:hyperlink>
            <w:r w:rsidR="00D9067C">
              <w:rPr>
                <w:noProof/>
              </w:rPr>
              <w:t>)</w:t>
            </w:r>
            <w:r w:rsidR="009D2C9E" w:rsidRPr="00A55335">
              <w:fldChar w:fldCharType="end"/>
            </w:r>
            <w:r w:rsidR="009D2C9E" w:rsidRPr="00A55335">
              <w:t>.</w:t>
            </w:r>
          </w:p>
          <w:p w14:paraId="46386CCC" w14:textId="3F66D033" w:rsidR="009D2C9E" w:rsidRPr="00A55335" w:rsidRDefault="009D2C9E" w:rsidP="009D2C9E">
            <w:pPr>
              <w:pStyle w:val="TableFigNotes18"/>
            </w:pPr>
            <w:r w:rsidRPr="00A55335">
              <w:t xml:space="preserve">## Changes of 200 mL in adults (or 12%) considered clinically important </w:t>
            </w:r>
            <w:r w:rsidRPr="00A55335">
              <w:fldChar w:fldCharType="begin">
                <w:fldData xml:space="preserve">PEVuZE5vdGU+PENpdGU+PEF1dGhvcj5QZWxsZWdyaW5vPC9BdXRob3I+PFllYXI+MjAwNTwvWWVh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==
</w:fldData>
              </w:fldChar>
            </w:r>
            <w:r w:rsidR="003E3F2E">
              <w:instrText xml:space="preserve"> ADDIN EN.CITE </w:instrText>
            </w:r>
            <w:r w:rsidR="003E3F2E">
              <w:fldChar w:fldCharType="begin">
                <w:fldData xml:space="preserve">PEVuZE5vdGU+PENpdGU+PEF1dGhvcj5QZWxsZWdyaW5vPC9BdXRob3I+PFllYXI+MjAwNTwvWWVh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==
</w:fldData>
              </w:fldChar>
            </w:r>
            <w:r w:rsidR="003E3F2E">
              <w:instrText xml:space="preserve"> ADDIN EN.CITE.DATA </w:instrText>
            </w:r>
            <w:r w:rsidR="003E3F2E">
              <w:fldChar w:fldCharType="end"/>
            </w:r>
            <w:r w:rsidRPr="00A55335">
              <w:fldChar w:fldCharType="separate"/>
            </w:r>
            <w:r w:rsidR="003E3F2E">
              <w:rPr>
                <w:noProof/>
              </w:rPr>
              <w:t>(</w:t>
            </w:r>
            <w:hyperlink w:anchor="_ENREF_217" w:tooltip="Pellegrino, 2005 #689" w:history="1">
              <w:r w:rsidR="00EC2769">
                <w:rPr>
                  <w:noProof/>
                </w:rPr>
                <w:t>217</w:t>
              </w:r>
            </w:hyperlink>
            <w:r w:rsidR="003E3F2E">
              <w:rPr>
                <w:noProof/>
              </w:rPr>
              <w:t>)</w:t>
            </w:r>
            <w:r w:rsidRPr="00A55335">
              <w:fldChar w:fldCharType="end"/>
            </w:r>
            <w:r w:rsidRPr="00A55335">
              <w:t>.</w:t>
            </w:r>
          </w:p>
          <w:p w14:paraId="3E673D7B" w14:textId="77777777" w:rsidR="009D2C9E" w:rsidRPr="00A55335" w:rsidRDefault="009D2C9E" w:rsidP="009D2C9E">
            <w:pPr>
              <w:pStyle w:val="TableFigNotes18"/>
            </w:pPr>
          </w:p>
          <w:p w14:paraId="4C01DC7A" w14:textId="7067128A" w:rsidR="009D2C9E" w:rsidRPr="00A55335" w:rsidRDefault="009D2C9E" w:rsidP="009D2C9E">
            <w:pPr>
              <w:pStyle w:val="TableFigNotes18"/>
            </w:pPr>
            <w:r w:rsidRPr="00A55335">
              <w:t>† Data from 1 RCT (202 participants) not included here as the study does not report any values, but authors report there is no significant difference between the groups at the end of treatment.</w:t>
            </w:r>
          </w:p>
          <w:p w14:paraId="4D03B1C6" w14:textId="6E10DDA3" w:rsidR="009D2C9E" w:rsidRPr="00A55335" w:rsidRDefault="009D2C9E" w:rsidP="009D2C9E">
            <w:pPr>
              <w:pStyle w:val="TableFigNotes0"/>
            </w:pPr>
            <w:r w:rsidRPr="00A55335">
              <w:rPr>
                <w:rStyle w:val="Strong"/>
              </w:rPr>
              <w:t xml:space="preserve">ABP: </w:t>
            </w:r>
            <w:r w:rsidRPr="00A55335">
              <w:t>Asthma bother profile;</w:t>
            </w:r>
            <w:r w:rsidRPr="00A55335">
              <w:rPr>
                <w:rStyle w:val="Strong"/>
              </w:rPr>
              <w:t xml:space="preserve"> ACQ:</w:t>
            </w:r>
            <w:r w:rsidRPr="00A55335">
              <w:t xml:space="preserve"> Asthma control questionnaire; </w:t>
            </w:r>
            <w:r w:rsidR="00230D48">
              <w:rPr>
                <w:rStyle w:val="Strong"/>
              </w:rPr>
              <w:t xml:space="preserve">ARD: </w:t>
            </w:r>
            <w:r w:rsidR="00230D48">
              <w:rPr>
                <w:rStyle w:val="Strong"/>
                <w:b w:val="0"/>
                <w:bCs w:val="0"/>
              </w:rPr>
              <w:t>a</w:t>
            </w:r>
            <w:r w:rsidR="00230D48" w:rsidRPr="00FA6A2A">
              <w:rPr>
                <w:rStyle w:val="Strong"/>
                <w:b w:val="0"/>
                <w:bCs w:val="0"/>
              </w:rPr>
              <w:t xml:space="preserve">bsolute risk difference; </w:t>
            </w:r>
            <w:r w:rsidRPr="00A55335">
              <w:rPr>
                <w:rStyle w:val="Strong"/>
              </w:rPr>
              <w:t>CAQ:</w:t>
            </w:r>
            <w:r w:rsidRPr="00A55335">
              <w:t xml:space="preserve"> Childhood asthma questionnaire; </w:t>
            </w:r>
            <w:r w:rsidRPr="00A55335">
              <w:rPr>
                <w:rStyle w:val="Strong"/>
              </w:rPr>
              <w:t>CI:</w:t>
            </w:r>
            <w:r w:rsidRPr="00A55335">
              <w:t xml:space="preserve"> confidence interval; </w:t>
            </w:r>
            <w:r w:rsidRPr="00A55335">
              <w:rPr>
                <w:rStyle w:val="Strong"/>
              </w:rPr>
              <w:t>FEV1:</w:t>
            </w:r>
            <w:r w:rsidRPr="00A55335">
              <w:t xml:space="preserve"> forced expiratory volume in first second; </w:t>
            </w:r>
            <w:r w:rsidRPr="00A55335">
              <w:rPr>
                <w:rStyle w:val="Strong"/>
              </w:rPr>
              <w:t>FVC:</w:t>
            </w:r>
            <w:r w:rsidRPr="00A55335">
              <w:t xml:space="preserve"> forced vital capacity; </w:t>
            </w:r>
            <w:r w:rsidRPr="00A55335">
              <w:rPr>
                <w:rStyle w:val="Strong"/>
              </w:rPr>
              <w:t>MD:</w:t>
            </w:r>
            <w:r w:rsidRPr="00A55335">
              <w:t xml:space="preserve"> mean difference; </w:t>
            </w:r>
            <w:r w:rsidRPr="00A55335">
              <w:rPr>
                <w:rStyle w:val="Strong"/>
              </w:rPr>
              <w:t>SMD:</w:t>
            </w:r>
            <w:r w:rsidRPr="00A55335">
              <w:t xml:space="preserve"> standardised mean difference.</w:t>
            </w:r>
          </w:p>
        </w:tc>
      </w:tr>
      <w:tr w:rsidR="009D2C9E" w:rsidRPr="00A55335" w14:paraId="662C8AC7" w14:textId="77777777" w:rsidTr="00550DFC">
        <w:trPr>
          <w:cantSplit/>
        </w:trPr>
        <w:tc>
          <w:tcPr>
            <w:tcW w:w="5000" w:type="pct"/>
            <w:gridSpan w:val="7"/>
            <w:tcBorders>
              <w:top w:val="single" w:sz="6" w:space="0" w:color="000000"/>
              <w:left w:val="nil"/>
              <w:bottom w:val="single" w:sz="6" w:space="0" w:color="000000"/>
              <w:right w:val="nil"/>
            </w:tcBorders>
            <w:vAlign w:val="center"/>
            <w:hideMark/>
          </w:tcPr>
          <w:p w14:paraId="0CC7C065" w14:textId="77777777" w:rsidR="009D2C9E" w:rsidRPr="00A55335" w:rsidRDefault="009D2C9E" w:rsidP="009D2C9E">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55D4D4F3" w14:textId="77777777" w:rsidR="00DD505D" w:rsidRPr="00A55335" w:rsidRDefault="00E35087" w:rsidP="00E35087">
      <w:pPr>
        <w:pStyle w:val="Heading5a"/>
        <w:rPr>
          <w:lang w:val="en-AU"/>
        </w:rPr>
      </w:pPr>
      <w:r w:rsidRPr="00A55335">
        <w:rPr>
          <w:lang w:val="en-AU"/>
        </w:rPr>
        <w:t>Explanations</w:t>
      </w:r>
    </w:p>
    <w:p w14:paraId="60FA5441" w14:textId="7B3C610F" w:rsidR="00DD505D" w:rsidRPr="00A55335" w:rsidRDefault="00DD505D" w:rsidP="00550DFC">
      <w:pPr>
        <w:pStyle w:val="Footnote"/>
      </w:pPr>
      <w:r w:rsidRPr="00A55335">
        <w:t xml:space="preserve">a. </w:t>
      </w:r>
      <w:proofErr w:type="gramStart"/>
      <w:r w:rsidRPr="00A55335">
        <w:t>Serious</w:t>
      </w:r>
      <w:proofErr w:type="gramEnd"/>
      <w:r w:rsidRPr="00A55335">
        <w:t xml:space="preserve"> risk of bias.</w:t>
      </w:r>
      <w:r w:rsidR="00980CA0" w:rsidRPr="00A55335">
        <w:t xml:space="preserve"> </w:t>
      </w:r>
      <w:r w:rsidRPr="00A55335">
        <w:t>RCT</w:t>
      </w:r>
      <w:r w:rsidR="00630796" w:rsidRPr="00A55335">
        <w:t>s</w:t>
      </w:r>
      <w:r w:rsidRPr="00A55335">
        <w:t xml:space="preserve"> contributing 100% of data </w:t>
      </w:r>
      <w:r w:rsidR="00630796" w:rsidRPr="00A55335">
        <w:t xml:space="preserve">were </w:t>
      </w:r>
      <w:r w:rsidRPr="00A55335">
        <w:t>at high risk of bias. Certainty of evidence downgraded.</w:t>
      </w:r>
    </w:p>
    <w:p w14:paraId="216C15A7" w14:textId="6E1F1EBF" w:rsidR="00146B0A" w:rsidRPr="00A55335" w:rsidRDefault="00146B0A" w:rsidP="00550DFC">
      <w:pPr>
        <w:pStyle w:val="Footnote"/>
      </w:pPr>
      <w:r w:rsidRPr="00A55335">
        <w:t xml:space="preserve">b. </w:t>
      </w:r>
      <w:proofErr w:type="gramStart"/>
      <w:r w:rsidRPr="00A55335">
        <w:t>Serious</w:t>
      </w:r>
      <w:proofErr w:type="gramEnd"/>
      <w:r w:rsidRPr="00A55335">
        <w:t xml:space="preserve"> inconsistency. Statistical heterogeneity was high (I</w:t>
      </w:r>
      <w:r w:rsidRPr="00A55335">
        <w:rPr>
          <w:rStyle w:val="FootnoteReference"/>
        </w:rPr>
        <w:t>2</w:t>
      </w:r>
      <w:r w:rsidRPr="00A55335">
        <w:t xml:space="preserve"> </w:t>
      </w:r>
      <w:r w:rsidR="00DD0E4E" w:rsidRPr="00A55335">
        <w:t>≥</w:t>
      </w:r>
      <w:r w:rsidRPr="00A55335">
        <w:t xml:space="preserve"> </w:t>
      </w:r>
      <w:r w:rsidR="0014299C" w:rsidRPr="00A55335">
        <w:t>90</w:t>
      </w:r>
      <w:r w:rsidRPr="00A55335">
        <w:t>%)</w:t>
      </w:r>
      <w:r w:rsidR="00320A9B" w:rsidRPr="00A55335">
        <w:t xml:space="preserve"> with minimal overlap </w:t>
      </w:r>
      <w:r w:rsidR="004F754C" w:rsidRPr="00A55335">
        <w:t xml:space="preserve">in </w:t>
      </w:r>
      <w:r w:rsidR="00DD0E4E" w:rsidRPr="00A55335">
        <w:t xml:space="preserve">point estimates or </w:t>
      </w:r>
      <w:r w:rsidR="004F754C" w:rsidRPr="00A55335">
        <w:t>confidence intervals. Certainty of evidence downgraded.</w:t>
      </w:r>
    </w:p>
    <w:p w14:paraId="564AAB72" w14:textId="3872FCBE" w:rsidR="006409DF" w:rsidRPr="00A55335" w:rsidRDefault="006409DF" w:rsidP="00550DFC">
      <w:pPr>
        <w:pStyle w:val="Footnote"/>
      </w:pPr>
      <w:r w:rsidRPr="00A55335">
        <w:t>c. No serious indirectness. The available evidence is in people with asthma</w:t>
      </w:r>
      <w:r w:rsidR="000876FD" w:rsidRPr="00A55335">
        <w:t xml:space="preserve"> (allergic and bronchial) is directly applicable to the Australian population with few caveats. Certainty of evidence not downgraded.</w:t>
      </w:r>
    </w:p>
    <w:p w14:paraId="7E7F239E" w14:textId="5D615568" w:rsidR="00DD505D" w:rsidRPr="00A55335" w:rsidRDefault="000876FD" w:rsidP="00550DFC">
      <w:pPr>
        <w:pStyle w:val="Footnote"/>
      </w:pPr>
      <w:r w:rsidRPr="00A55335">
        <w:t>d</w:t>
      </w:r>
      <w:r w:rsidR="00DD505D" w:rsidRPr="00A55335">
        <w:t xml:space="preserve">. </w:t>
      </w:r>
      <w:r w:rsidR="002B701B" w:rsidRPr="00A55335">
        <w:t>No s</w:t>
      </w:r>
      <w:r w:rsidR="00DD505D" w:rsidRPr="00A55335">
        <w:t xml:space="preserve">erious imprecision. Certainty of evidence </w:t>
      </w:r>
      <w:r w:rsidR="002B701B" w:rsidRPr="00A55335">
        <w:t xml:space="preserve">not </w:t>
      </w:r>
      <w:r w:rsidR="00DD505D" w:rsidRPr="00A55335">
        <w:t>downgraded</w:t>
      </w:r>
      <w:r w:rsidR="002B701B" w:rsidRPr="00A55335">
        <w:t>.</w:t>
      </w:r>
    </w:p>
    <w:p w14:paraId="125C95C9" w14:textId="42770CEA" w:rsidR="002B701B" w:rsidRPr="00A55335" w:rsidRDefault="002B701B" w:rsidP="00550DFC">
      <w:pPr>
        <w:pStyle w:val="Footnote"/>
      </w:pPr>
      <w:r w:rsidRPr="00A55335">
        <w:t xml:space="preserve">e. Publication bias suspected. Missing data </w:t>
      </w:r>
      <w:r w:rsidR="005C38E7" w:rsidRPr="00A55335">
        <w:t xml:space="preserve">from </w:t>
      </w:r>
      <w:r w:rsidR="006B2453" w:rsidRPr="00A55335">
        <w:t xml:space="preserve">at least 2 studies probably because the </w:t>
      </w:r>
      <w:r w:rsidR="006B2453" w:rsidRPr="00A55335">
        <w:rPr>
          <w:rStyle w:val="Emphasis"/>
        </w:rPr>
        <w:t>p</w:t>
      </w:r>
      <w:r w:rsidR="006B2453" w:rsidRPr="00A55335">
        <w:t xml:space="preserve"> value, magnitude or direction of the results generated were considered unfavourable by the study investigators.</w:t>
      </w:r>
      <w:r w:rsidR="00956599" w:rsidRPr="00A55335">
        <w:t xml:space="preserve"> Certainty of evidence downgraded.</w:t>
      </w:r>
      <w:r w:rsidR="00D258A9" w:rsidRPr="00A55335">
        <w:t xml:space="preserve"> </w:t>
      </w:r>
      <w:r w:rsidR="005C38E7" w:rsidRPr="00A55335">
        <w:t xml:space="preserve"> </w:t>
      </w:r>
    </w:p>
    <w:p w14:paraId="22ACC468" w14:textId="06A923A6" w:rsidR="006C3BF8" w:rsidRPr="00A55335" w:rsidRDefault="006C3BF8" w:rsidP="00550DFC">
      <w:pPr>
        <w:pStyle w:val="Footnote"/>
      </w:pPr>
      <w:r w:rsidRPr="00A55335">
        <w:t xml:space="preserve">f. </w:t>
      </w:r>
      <w:r w:rsidR="005A4D49" w:rsidRPr="00A55335">
        <w:t>Single study. Inconsistency not assessed. Certainty of evidence not downgraded.</w:t>
      </w:r>
    </w:p>
    <w:p w14:paraId="326CD51C" w14:textId="7D203D71" w:rsidR="00DD505D" w:rsidRPr="00A55335" w:rsidRDefault="004B2C44" w:rsidP="00550DFC">
      <w:pPr>
        <w:pStyle w:val="Footnote"/>
      </w:pPr>
      <w:r w:rsidRPr="00A55335">
        <w:t>g</w:t>
      </w:r>
      <w:r w:rsidR="00DD505D" w:rsidRPr="00A55335">
        <w:t xml:space="preserve">. Very serious imprecision. Wide confidence intervals </w:t>
      </w:r>
      <w:r w:rsidR="00DD0E4E" w:rsidRPr="00A55335">
        <w:t>(</w:t>
      </w:r>
      <w:r w:rsidR="00C372F2" w:rsidRPr="00A55335">
        <w:t>upper and lower bounds overlap with both an important and no important effect)</w:t>
      </w:r>
      <w:r w:rsidR="00DD505D" w:rsidRPr="00A55335">
        <w:t>. Certainty of evidence downgraded</w:t>
      </w:r>
      <w:bookmarkEnd w:id="290"/>
      <w:r w:rsidR="00C372F2" w:rsidRPr="00A55335">
        <w:t xml:space="preserve"> 2 levels</w:t>
      </w:r>
      <w:r w:rsidR="00DD505D" w:rsidRPr="00A55335">
        <w:t>.</w:t>
      </w:r>
    </w:p>
    <w:p w14:paraId="5D42F0FB" w14:textId="58E21EC5" w:rsidR="00E66D68" w:rsidRPr="00A55335" w:rsidRDefault="004B2C44" w:rsidP="00550DFC">
      <w:pPr>
        <w:pStyle w:val="Footnote"/>
      </w:pPr>
      <w:r w:rsidRPr="00A55335">
        <w:t>h</w:t>
      </w:r>
      <w:r w:rsidR="00E66D68" w:rsidRPr="00A55335">
        <w:t>. No serious inconsistency. Certainty of evidence not downgraded.</w:t>
      </w:r>
    </w:p>
    <w:p w14:paraId="69CB8A02" w14:textId="75C35C2E" w:rsidR="00E66D68" w:rsidRPr="00A55335" w:rsidRDefault="004B2C44" w:rsidP="00550DFC">
      <w:pPr>
        <w:pStyle w:val="Footnote"/>
      </w:pPr>
      <w:proofErr w:type="spellStart"/>
      <w:r w:rsidRPr="00A55335">
        <w:t>i</w:t>
      </w:r>
      <w:proofErr w:type="spellEnd"/>
      <w:r w:rsidR="00E66D68" w:rsidRPr="00A55335">
        <w:t>. Publication bias not suspected. Certainty of evidence not downgraded.</w:t>
      </w:r>
    </w:p>
    <w:p w14:paraId="7DCF9B70" w14:textId="76F4F7E2" w:rsidR="00BC5B4F" w:rsidRDefault="004B2C44" w:rsidP="00550DFC">
      <w:pPr>
        <w:pStyle w:val="Footnote"/>
      </w:pPr>
      <w:r w:rsidRPr="00A55335">
        <w:t>j</w:t>
      </w:r>
      <w:r w:rsidR="00BC5B4F" w:rsidRPr="00A55335">
        <w:t xml:space="preserve">. </w:t>
      </w:r>
      <w:proofErr w:type="gramStart"/>
      <w:r w:rsidR="00BC5B4F" w:rsidRPr="00A55335">
        <w:t>Serious</w:t>
      </w:r>
      <w:proofErr w:type="gramEnd"/>
      <w:r w:rsidR="00BC5B4F" w:rsidRPr="00A55335">
        <w:t xml:space="preserve"> imprecision. Wide confidence intervals (upper and lower bounds overlap with both an important </w:t>
      </w:r>
      <w:r w:rsidR="00544F19">
        <w:t>benefit (SMD 0.2</w:t>
      </w:r>
      <w:r w:rsidR="00420761">
        <w:t>3</w:t>
      </w:r>
      <w:r w:rsidR="00544F19">
        <w:t xml:space="preserve"> lower) </w:t>
      </w:r>
      <w:r w:rsidR="00BC5B4F" w:rsidRPr="00A55335">
        <w:t xml:space="preserve">and important </w:t>
      </w:r>
      <w:r w:rsidR="00544F19">
        <w:t>harm</w:t>
      </w:r>
      <w:r w:rsidR="00420761">
        <w:t>s</w:t>
      </w:r>
      <w:r w:rsidR="00544F19">
        <w:t xml:space="preserve"> </w:t>
      </w:r>
      <w:r w:rsidR="00420761">
        <w:t>(</w:t>
      </w:r>
      <w:r w:rsidR="00544F19">
        <w:t>SMD 0.2</w:t>
      </w:r>
      <w:r w:rsidR="00420761">
        <w:t>3</w:t>
      </w:r>
      <w:r w:rsidR="00544F19">
        <w:t xml:space="preserve"> higher</w:t>
      </w:r>
      <w:r w:rsidR="00BC5B4F" w:rsidRPr="00A55335">
        <w:t>). Certainty of evidence downgraded.</w:t>
      </w:r>
    </w:p>
    <w:p w14:paraId="2B79759D" w14:textId="2AF4B8A7" w:rsidR="00544F19" w:rsidRPr="00A55335" w:rsidRDefault="00547F47" w:rsidP="00550DFC">
      <w:pPr>
        <w:pStyle w:val="Footnote"/>
      </w:pPr>
      <w:r>
        <w:t>k.</w:t>
      </w:r>
      <w:r w:rsidR="00420761">
        <w:t xml:space="preserve"> </w:t>
      </w:r>
      <w:proofErr w:type="gramStart"/>
      <w:r w:rsidRPr="00A55335">
        <w:t>Serious</w:t>
      </w:r>
      <w:proofErr w:type="gramEnd"/>
      <w:r w:rsidRPr="00A55335">
        <w:t xml:space="preserve"> imprecision. Wide confidence intervals (upper and lower bounds overlap with both an important </w:t>
      </w:r>
      <w:r>
        <w:t>benefit (</w:t>
      </w:r>
      <w:r w:rsidR="004E5D85">
        <w:t>125 fewer</w:t>
      </w:r>
      <w:r>
        <w:t xml:space="preserve">) </w:t>
      </w:r>
      <w:r w:rsidRPr="00A55335">
        <w:t xml:space="preserve">and important </w:t>
      </w:r>
      <w:r>
        <w:t>harm</w:t>
      </w:r>
      <w:r w:rsidR="00420761">
        <w:t>s (</w:t>
      </w:r>
      <w:r w:rsidR="004E5D85">
        <w:t>137 more</w:t>
      </w:r>
      <w:r w:rsidRPr="00A55335">
        <w:t>). Certainty of evidence downgraded</w:t>
      </w:r>
      <w:r>
        <w:t>.</w:t>
      </w:r>
    </w:p>
    <w:p w14:paraId="66BEB399" w14:textId="1340B993" w:rsidR="00550DFC" w:rsidRPr="00A55335" w:rsidRDefault="006070ED" w:rsidP="00550DFC">
      <w:pPr>
        <w:pStyle w:val="Heading4"/>
      </w:pPr>
      <w:r w:rsidRPr="00A55335">
        <w:lastRenderedPageBreak/>
        <w:t>Secondary Comparison</w:t>
      </w:r>
      <w:r w:rsidR="00550DFC" w:rsidRPr="00A55335">
        <w:t xml:space="preserve"> (vs </w:t>
      </w:r>
      <w:r w:rsidR="006352A8" w:rsidRPr="00A55335">
        <w:t xml:space="preserve">inactive </w:t>
      </w:r>
      <w:r w:rsidR="00550DFC" w:rsidRPr="00A55335">
        <w:t xml:space="preserve">control) </w:t>
      </w:r>
    </w:p>
    <w:tbl>
      <w:tblPr>
        <w:tblW w:w="5047" w:type="pct"/>
        <w:tblInd w:w="-57" w:type="dxa"/>
        <w:tblLayout w:type="fixed"/>
        <w:tblCellMar>
          <w:top w:w="57" w:type="dxa"/>
          <w:left w:w="57" w:type="dxa"/>
          <w:bottom w:w="57" w:type="dxa"/>
          <w:right w:w="57" w:type="dxa"/>
        </w:tblCellMar>
        <w:tblLook w:val="04A0" w:firstRow="1" w:lastRow="0" w:firstColumn="1" w:lastColumn="0" w:noHBand="0" w:noVBand="1"/>
      </w:tblPr>
      <w:tblGrid>
        <w:gridCol w:w="57"/>
        <w:gridCol w:w="1702"/>
        <w:gridCol w:w="1417"/>
        <w:gridCol w:w="155"/>
        <w:gridCol w:w="1263"/>
        <w:gridCol w:w="852"/>
        <w:gridCol w:w="1133"/>
        <w:gridCol w:w="1133"/>
        <w:gridCol w:w="10"/>
        <w:gridCol w:w="2115"/>
      </w:tblGrid>
      <w:tr w:rsidR="00550DFC" w:rsidRPr="00A55335" w14:paraId="7BFCCCC3" w14:textId="77777777" w:rsidTr="00D62A66">
        <w:trPr>
          <w:gridBefore w:val="1"/>
          <w:wBefore w:w="29" w:type="pct"/>
          <w:cantSplit/>
          <w:tblHeader/>
        </w:trPr>
        <w:tc>
          <w:tcPr>
            <w:tcW w:w="4971" w:type="pct"/>
            <w:gridSpan w:val="9"/>
            <w:tcBorders>
              <w:top w:val="single" w:sz="12" w:space="0" w:color="000000"/>
              <w:left w:val="nil"/>
              <w:bottom w:val="single" w:sz="12" w:space="0" w:color="000000"/>
              <w:right w:val="nil"/>
            </w:tcBorders>
            <w:vAlign w:val="center"/>
            <w:hideMark/>
          </w:tcPr>
          <w:p w14:paraId="111F61EF" w14:textId="3F1508F9" w:rsidR="00550DFC" w:rsidRPr="00A55335" w:rsidRDefault="00550DFC">
            <w:pPr>
              <w:pStyle w:val="TableH1"/>
              <w:rPr>
                <w:lang w:val="en-AU"/>
              </w:rPr>
            </w:pPr>
            <w:r w:rsidRPr="00A55335">
              <w:rPr>
                <w:lang w:val="en-AU"/>
              </w:rPr>
              <w:t xml:space="preserve">Homeopathy compared to </w:t>
            </w:r>
            <w:r w:rsidR="006352A8" w:rsidRPr="00A55335">
              <w:rPr>
                <w:lang w:val="en-AU"/>
              </w:rPr>
              <w:t>Inactive c</w:t>
            </w:r>
            <w:r w:rsidRPr="00A55335">
              <w:rPr>
                <w:lang w:val="en-AU"/>
              </w:rPr>
              <w:t>ontrol for Asthma</w:t>
            </w:r>
          </w:p>
        </w:tc>
      </w:tr>
      <w:tr w:rsidR="00550DFC" w:rsidRPr="00A55335" w14:paraId="7C1581EA" w14:textId="77777777" w:rsidTr="00D62A66">
        <w:trPr>
          <w:gridBefore w:val="1"/>
          <w:wBefore w:w="29" w:type="pct"/>
          <w:cantSplit/>
          <w:tblHeader/>
        </w:trPr>
        <w:tc>
          <w:tcPr>
            <w:tcW w:w="4971" w:type="pct"/>
            <w:gridSpan w:val="9"/>
            <w:tcBorders>
              <w:top w:val="single" w:sz="12" w:space="0" w:color="000000"/>
              <w:left w:val="nil"/>
              <w:bottom w:val="single" w:sz="12" w:space="0" w:color="000000"/>
              <w:right w:val="nil"/>
            </w:tcBorders>
            <w:vAlign w:val="center"/>
            <w:hideMark/>
          </w:tcPr>
          <w:p w14:paraId="2C4844DC" w14:textId="77777777" w:rsidR="00550DFC" w:rsidRPr="00A55335" w:rsidRDefault="00550DFC">
            <w:pPr>
              <w:pStyle w:val="Tabletext9pt"/>
            </w:pPr>
            <w:r w:rsidRPr="00A55335">
              <w:rPr>
                <w:rStyle w:val="Strong"/>
              </w:rPr>
              <w:t xml:space="preserve">Patient or population: </w:t>
            </w:r>
            <w:r w:rsidRPr="00A55335">
              <w:t>Asthma</w:t>
            </w:r>
          </w:p>
          <w:p w14:paraId="6B8674AD" w14:textId="77777777" w:rsidR="00550DFC" w:rsidRPr="00A55335" w:rsidRDefault="00550DFC">
            <w:pPr>
              <w:pStyle w:val="Tabletext9pt"/>
            </w:pPr>
            <w:r w:rsidRPr="00A55335">
              <w:rPr>
                <w:rStyle w:val="Strong"/>
              </w:rPr>
              <w:t xml:space="preserve">Setting: </w:t>
            </w:r>
            <w:r w:rsidRPr="00A55335">
              <w:t>Outpatient clinics</w:t>
            </w:r>
          </w:p>
          <w:p w14:paraId="2036F900" w14:textId="77777777" w:rsidR="00550DFC" w:rsidRPr="00A55335" w:rsidRDefault="00550DFC">
            <w:pPr>
              <w:pStyle w:val="Tabletext9pt"/>
            </w:pPr>
            <w:r w:rsidRPr="00A55335">
              <w:rPr>
                <w:rStyle w:val="Strong"/>
              </w:rPr>
              <w:t xml:space="preserve">Intervention: </w:t>
            </w:r>
            <w:r w:rsidRPr="00A55335">
              <w:t>Homeopathy</w:t>
            </w:r>
          </w:p>
          <w:p w14:paraId="77FB3B0E" w14:textId="25061106" w:rsidR="00550DFC" w:rsidRPr="00A55335" w:rsidRDefault="00550DFC">
            <w:pPr>
              <w:pStyle w:val="Tabletext9pt"/>
            </w:pPr>
            <w:r w:rsidRPr="00A55335">
              <w:rPr>
                <w:rStyle w:val="Strong"/>
              </w:rPr>
              <w:t>Comparison:</w:t>
            </w:r>
            <w:r w:rsidRPr="00A55335">
              <w:t xml:space="preserve"> </w:t>
            </w:r>
            <w:r w:rsidR="006352A8" w:rsidRPr="00A55335">
              <w:t xml:space="preserve">Inactive Control </w:t>
            </w:r>
            <w:r w:rsidRPr="00A55335">
              <w:t>(no intervention)</w:t>
            </w:r>
          </w:p>
        </w:tc>
      </w:tr>
      <w:tr w:rsidR="001541A8" w:rsidRPr="00A55335" w14:paraId="66B73E3A" w14:textId="77777777" w:rsidTr="00D62A66">
        <w:trPr>
          <w:gridBefore w:val="1"/>
          <w:wBefore w:w="29" w:type="pct"/>
          <w:cantSplit/>
          <w:tblHeader/>
        </w:trPr>
        <w:tc>
          <w:tcPr>
            <w:tcW w:w="865" w:type="pct"/>
            <w:vMerge w:val="restart"/>
            <w:tcBorders>
              <w:right w:val="single" w:sz="6" w:space="0" w:color="EFEFEF"/>
            </w:tcBorders>
            <w:shd w:val="clear" w:color="auto" w:fill="006579" w:themeFill="accent2"/>
            <w:vAlign w:val="bottom"/>
            <w:hideMark/>
          </w:tcPr>
          <w:p w14:paraId="76275512" w14:textId="77777777" w:rsidR="00560C92" w:rsidRPr="00A55335" w:rsidRDefault="00560C92">
            <w:pPr>
              <w:pStyle w:val="Tabletext8pt"/>
              <w:rPr>
                <w:b/>
                <w:bCs/>
                <w:color w:val="F9F9F9" w:themeColor="background1"/>
              </w:rPr>
            </w:pPr>
            <w:r w:rsidRPr="00A55335">
              <w:rPr>
                <w:b/>
                <w:bCs/>
                <w:color w:val="F9F9F9" w:themeColor="background1"/>
              </w:rPr>
              <w:t>Outcomes</w:t>
            </w:r>
          </w:p>
        </w:tc>
        <w:tc>
          <w:tcPr>
            <w:tcW w:w="1441" w:type="pct"/>
            <w:gridSpan w:val="3"/>
            <w:tcBorders>
              <w:top w:val="single" w:sz="6" w:space="0" w:color="EFEFEF"/>
              <w:right w:val="single" w:sz="6" w:space="0" w:color="EFEFEF"/>
            </w:tcBorders>
            <w:shd w:val="clear" w:color="auto" w:fill="E0E0E0"/>
            <w:vAlign w:val="bottom"/>
            <w:hideMark/>
          </w:tcPr>
          <w:p w14:paraId="5DF784AE" w14:textId="77777777" w:rsidR="00560C92" w:rsidRPr="00A55335" w:rsidRDefault="00560C92">
            <w:pPr>
              <w:pStyle w:val="Tabletext8pt"/>
              <w:rPr>
                <w:rStyle w:val="Strong"/>
              </w:rPr>
            </w:pPr>
            <w:r w:rsidRPr="00A55335">
              <w:rPr>
                <w:rStyle w:val="Strong"/>
              </w:rPr>
              <w:t>Anticipated absolute effects* (95% CI)</w:t>
            </w:r>
          </w:p>
        </w:tc>
        <w:tc>
          <w:tcPr>
            <w:tcW w:w="433" w:type="pct"/>
            <w:vMerge w:val="restart"/>
            <w:tcBorders>
              <w:right w:val="single" w:sz="6" w:space="0" w:color="EFEFEF"/>
            </w:tcBorders>
            <w:shd w:val="clear" w:color="auto" w:fill="006579" w:themeFill="accent2"/>
            <w:vAlign w:val="bottom"/>
            <w:hideMark/>
          </w:tcPr>
          <w:p w14:paraId="7BA9EBD6" w14:textId="77777777" w:rsidR="00560C92" w:rsidRPr="00A55335" w:rsidRDefault="00560C92">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76" w:type="pct"/>
            <w:vMerge w:val="restart"/>
            <w:tcBorders>
              <w:right w:val="single" w:sz="6" w:space="0" w:color="EFEFEF"/>
            </w:tcBorders>
            <w:shd w:val="clear" w:color="auto" w:fill="006579" w:themeFill="accent2"/>
            <w:vAlign w:val="bottom"/>
            <w:hideMark/>
          </w:tcPr>
          <w:p w14:paraId="40C96EC6" w14:textId="77777777" w:rsidR="00560C92" w:rsidRPr="00A55335" w:rsidRDefault="00560C92">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76" w:type="pct"/>
            <w:vMerge w:val="restart"/>
            <w:tcBorders>
              <w:right w:val="single" w:sz="6" w:space="0" w:color="EFEFEF"/>
            </w:tcBorders>
            <w:shd w:val="clear" w:color="auto" w:fill="006579" w:themeFill="accent2"/>
            <w:vAlign w:val="bottom"/>
            <w:hideMark/>
          </w:tcPr>
          <w:p w14:paraId="0AAB697D" w14:textId="77777777" w:rsidR="00560C92" w:rsidRPr="00A55335" w:rsidRDefault="00560C92">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80" w:type="pct"/>
            <w:gridSpan w:val="2"/>
            <w:vMerge w:val="restart"/>
            <w:tcBorders>
              <w:right w:val="single" w:sz="6" w:space="0" w:color="EFEFEF"/>
            </w:tcBorders>
            <w:shd w:val="clear" w:color="auto" w:fill="006579" w:themeFill="accent2"/>
            <w:vAlign w:val="bottom"/>
            <w:hideMark/>
          </w:tcPr>
          <w:p w14:paraId="6CFAA5CB" w14:textId="77777777" w:rsidR="00560C92" w:rsidRPr="00A55335" w:rsidRDefault="00560C92">
            <w:pPr>
              <w:pStyle w:val="Tabletext8pt"/>
              <w:rPr>
                <w:b/>
                <w:bCs/>
                <w:color w:val="F9F9F9" w:themeColor="background1"/>
              </w:rPr>
            </w:pPr>
            <w:r w:rsidRPr="00A55335">
              <w:rPr>
                <w:b/>
                <w:bCs/>
                <w:color w:val="F9F9F9" w:themeColor="background1"/>
              </w:rPr>
              <w:t>Evidence statement</w:t>
            </w:r>
          </w:p>
        </w:tc>
      </w:tr>
      <w:tr w:rsidR="001541A8" w:rsidRPr="00A55335" w14:paraId="418BE510" w14:textId="77777777" w:rsidTr="00D62A66">
        <w:trPr>
          <w:gridBefore w:val="1"/>
          <w:wBefore w:w="29" w:type="pct"/>
          <w:cantSplit/>
          <w:tblHeader/>
        </w:trPr>
        <w:tc>
          <w:tcPr>
            <w:tcW w:w="865" w:type="pct"/>
            <w:vMerge/>
            <w:tcBorders>
              <w:right w:val="single" w:sz="6" w:space="0" w:color="EFEFEF"/>
            </w:tcBorders>
            <w:shd w:val="clear" w:color="auto" w:fill="006579" w:themeFill="accent2"/>
            <w:vAlign w:val="center"/>
            <w:hideMark/>
          </w:tcPr>
          <w:p w14:paraId="1EDB1D0D" w14:textId="77777777" w:rsidR="00560C92" w:rsidRPr="00A55335" w:rsidRDefault="00560C92">
            <w:pPr>
              <w:pStyle w:val="Tabletext8pt"/>
            </w:pPr>
          </w:p>
        </w:tc>
        <w:tc>
          <w:tcPr>
            <w:tcW w:w="720" w:type="pct"/>
            <w:tcBorders>
              <w:top w:val="single" w:sz="6" w:space="0" w:color="EFEFEF"/>
              <w:bottom w:val="single" w:sz="6" w:space="0" w:color="EFEFEF"/>
              <w:right w:val="single" w:sz="6" w:space="0" w:color="EFEFEF"/>
            </w:tcBorders>
            <w:shd w:val="clear" w:color="auto" w:fill="E0E0E0"/>
            <w:vAlign w:val="bottom"/>
            <w:hideMark/>
          </w:tcPr>
          <w:p w14:paraId="56F6375D" w14:textId="1084E45E" w:rsidR="00560C92" w:rsidRPr="00A55335" w:rsidRDefault="00560C92">
            <w:pPr>
              <w:pStyle w:val="Tabletext8pt"/>
              <w:rPr>
                <w:rStyle w:val="Strong"/>
              </w:rPr>
            </w:pPr>
            <w:r w:rsidRPr="00A55335">
              <w:rPr>
                <w:rStyle w:val="Strong"/>
              </w:rPr>
              <w:t xml:space="preserve">Risk with control </w:t>
            </w:r>
          </w:p>
        </w:tc>
        <w:tc>
          <w:tcPr>
            <w:tcW w:w="721" w:type="pct"/>
            <w:gridSpan w:val="2"/>
            <w:tcBorders>
              <w:top w:val="single" w:sz="6" w:space="0" w:color="EFEFEF"/>
              <w:bottom w:val="single" w:sz="6" w:space="0" w:color="EFEFEF"/>
              <w:right w:val="single" w:sz="6" w:space="0" w:color="EFEFEF"/>
            </w:tcBorders>
            <w:shd w:val="clear" w:color="auto" w:fill="E0E0E0"/>
            <w:vAlign w:val="bottom"/>
            <w:hideMark/>
          </w:tcPr>
          <w:p w14:paraId="3EB6DB1A" w14:textId="77777777" w:rsidR="00560C92" w:rsidRPr="00A55335" w:rsidRDefault="00560C92">
            <w:pPr>
              <w:pStyle w:val="Tabletext8pt"/>
              <w:rPr>
                <w:rStyle w:val="Strong"/>
              </w:rPr>
            </w:pPr>
            <w:r w:rsidRPr="00A55335">
              <w:rPr>
                <w:rStyle w:val="Strong"/>
              </w:rPr>
              <w:t>Risk with Homeopathy</w:t>
            </w:r>
          </w:p>
        </w:tc>
        <w:tc>
          <w:tcPr>
            <w:tcW w:w="433" w:type="pct"/>
            <w:vMerge/>
            <w:tcBorders>
              <w:right w:val="single" w:sz="6" w:space="0" w:color="EFEFEF"/>
            </w:tcBorders>
            <w:shd w:val="clear" w:color="auto" w:fill="006579" w:themeFill="accent2"/>
            <w:vAlign w:val="center"/>
            <w:hideMark/>
          </w:tcPr>
          <w:p w14:paraId="08005901" w14:textId="77777777" w:rsidR="00560C92" w:rsidRPr="00A55335" w:rsidRDefault="00560C92">
            <w:pPr>
              <w:pStyle w:val="Tabletext8pt"/>
            </w:pPr>
          </w:p>
        </w:tc>
        <w:tc>
          <w:tcPr>
            <w:tcW w:w="576" w:type="pct"/>
            <w:vMerge/>
            <w:tcBorders>
              <w:right w:val="single" w:sz="6" w:space="0" w:color="EFEFEF"/>
            </w:tcBorders>
            <w:shd w:val="clear" w:color="auto" w:fill="006579" w:themeFill="accent2"/>
            <w:vAlign w:val="center"/>
            <w:hideMark/>
          </w:tcPr>
          <w:p w14:paraId="106325B3" w14:textId="77777777" w:rsidR="00560C92" w:rsidRPr="00A55335" w:rsidRDefault="00560C92">
            <w:pPr>
              <w:pStyle w:val="Tabletext8pt"/>
            </w:pPr>
          </w:p>
        </w:tc>
        <w:tc>
          <w:tcPr>
            <w:tcW w:w="576" w:type="pct"/>
            <w:vMerge/>
            <w:tcBorders>
              <w:right w:val="single" w:sz="6" w:space="0" w:color="EFEFEF"/>
            </w:tcBorders>
            <w:shd w:val="clear" w:color="auto" w:fill="006579" w:themeFill="accent2"/>
            <w:vAlign w:val="center"/>
            <w:hideMark/>
          </w:tcPr>
          <w:p w14:paraId="46AA0F8E" w14:textId="77777777" w:rsidR="00560C92" w:rsidRPr="00A55335" w:rsidRDefault="00560C92">
            <w:pPr>
              <w:pStyle w:val="Tabletext8pt"/>
            </w:pPr>
          </w:p>
        </w:tc>
        <w:tc>
          <w:tcPr>
            <w:tcW w:w="1080" w:type="pct"/>
            <w:gridSpan w:val="2"/>
            <w:vMerge/>
            <w:tcBorders>
              <w:right w:val="single" w:sz="6" w:space="0" w:color="EFEFEF"/>
            </w:tcBorders>
            <w:shd w:val="clear" w:color="auto" w:fill="006579" w:themeFill="accent2"/>
            <w:vAlign w:val="center"/>
            <w:hideMark/>
          </w:tcPr>
          <w:p w14:paraId="05239807" w14:textId="77777777" w:rsidR="00560C92" w:rsidRPr="00A55335" w:rsidRDefault="00560C92">
            <w:pPr>
              <w:pStyle w:val="Tabletext8pt"/>
            </w:pPr>
          </w:p>
        </w:tc>
      </w:tr>
      <w:tr w:rsidR="001541A8" w:rsidRPr="00A55335" w14:paraId="525DFEEC" w14:textId="77777777" w:rsidTr="007252A0">
        <w:trPr>
          <w:gridBefore w:val="1"/>
          <w:wBefore w:w="29" w:type="pct"/>
          <w:cantSplit/>
          <w:trHeight w:val="550"/>
        </w:trPr>
        <w:tc>
          <w:tcPr>
            <w:tcW w:w="865" w:type="pct"/>
            <w:tcBorders>
              <w:top w:val="single" w:sz="6" w:space="0" w:color="000000"/>
              <w:left w:val="nil"/>
              <w:bottom w:val="single" w:sz="6" w:space="0" w:color="000000"/>
              <w:right w:val="nil"/>
            </w:tcBorders>
            <w:vAlign w:val="center"/>
          </w:tcPr>
          <w:p w14:paraId="00DA6DF4" w14:textId="552D6F53" w:rsidR="006A506C" w:rsidRPr="00A55335" w:rsidRDefault="006A506C" w:rsidP="006A506C">
            <w:pPr>
              <w:pStyle w:val="Tabletext8pt"/>
            </w:pPr>
            <w:r w:rsidRPr="00A55335">
              <w:t>Asthma symptoms</w:t>
            </w:r>
            <w:r w:rsidRPr="00A55335">
              <w:br/>
              <w:t>assessed with: ACQ</w:t>
            </w:r>
            <w:r w:rsidR="0038411D" w:rsidRPr="00A55335">
              <w:t xml:space="preserve"> (higher is worse)</w:t>
            </w:r>
            <w:r w:rsidR="00B6618F" w:rsidRPr="00A55335">
              <w:br/>
              <w:t>follow-up:</w:t>
            </w:r>
            <w:r w:rsidR="00B43C05" w:rsidRPr="00A55335">
              <w:t xml:space="preserve"> range 16 weeks to </w:t>
            </w:r>
            <w:r w:rsidR="00B6618F" w:rsidRPr="00A55335">
              <w:t xml:space="preserve">26 weeks </w:t>
            </w:r>
          </w:p>
        </w:tc>
        <w:tc>
          <w:tcPr>
            <w:tcW w:w="720" w:type="pct"/>
            <w:tcBorders>
              <w:top w:val="single" w:sz="6" w:space="0" w:color="000000"/>
              <w:left w:val="nil"/>
              <w:bottom w:val="single" w:sz="6" w:space="0" w:color="000000"/>
              <w:right w:val="nil"/>
            </w:tcBorders>
            <w:shd w:val="clear" w:color="auto" w:fill="EBEBEB"/>
            <w:vAlign w:val="center"/>
          </w:tcPr>
          <w:p w14:paraId="56B8CC55" w14:textId="76FCCDFD" w:rsidR="006A506C" w:rsidRPr="00A55335" w:rsidRDefault="006A506C" w:rsidP="007252A0">
            <w:pPr>
              <w:pStyle w:val="Tabletext8pt"/>
              <w:jc w:val="center"/>
            </w:pPr>
            <w:r w:rsidRPr="00A55335">
              <w:t>-</w:t>
            </w:r>
          </w:p>
        </w:tc>
        <w:tc>
          <w:tcPr>
            <w:tcW w:w="721" w:type="pct"/>
            <w:gridSpan w:val="2"/>
            <w:tcBorders>
              <w:top w:val="single" w:sz="6" w:space="0" w:color="000000"/>
              <w:left w:val="nil"/>
              <w:bottom w:val="single" w:sz="6" w:space="0" w:color="000000"/>
              <w:right w:val="nil"/>
            </w:tcBorders>
            <w:shd w:val="clear" w:color="auto" w:fill="EBEBEB"/>
          </w:tcPr>
          <w:p w14:paraId="0A83B68B" w14:textId="7A4E10DF" w:rsidR="006A506C" w:rsidRPr="00A55335" w:rsidRDefault="006A506C" w:rsidP="007252A0">
            <w:pPr>
              <w:pStyle w:val="Tabletext8pt"/>
              <w:jc w:val="center"/>
            </w:pPr>
            <w:r w:rsidRPr="00A55335">
              <w:t>SMD</w:t>
            </w:r>
            <w:r w:rsidRPr="00A55335">
              <w:rPr>
                <w:rStyle w:val="Strong"/>
              </w:rPr>
              <w:t xml:space="preserve"> 0.21</w:t>
            </w:r>
            <w:r w:rsidR="00B43C05" w:rsidRPr="00A55335">
              <w:rPr>
                <w:rStyle w:val="Strong"/>
              </w:rPr>
              <w:t xml:space="preserve"> SD</w:t>
            </w:r>
            <w:r w:rsidRPr="00A55335">
              <w:rPr>
                <w:rStyle w:val="Strong"/>
              </w:rPr>
              <w:t xml:space="preserve"> higher</w:t>
            </w:r>
            <w:r w:rsidRPr="00A55335">
              <w:br/>
              <w:t>(0.21 lower to 0.64 higher)</w:t>
            </w:r>
          </w:p>
        </w:tc>
        <w:tc>
          <w:tcPr>
            <w:tcW w:w="433" w:type="pct"/>
            <w:tcBorders>
              <w:top w:val="single" w:sz="6" w:space="0" w:color="000000"/>
              <w:left w:val="nil"/>
              <w:bottom w:val="single" w:sz="6" w:space="0" w:color="000000"/>
              <w:right w:val="nil"/>
            </w:tcBorders>
            <w:vAlign w:val="center"/>
          </w:tcPr>
          <w:p w14:paraId="79FEB361" w14:textId="0EA93B48" w:rsidR="006A506C" w:rsidRPr="00A55335" w:rsidRDefault="006A506C" w:rsidP="007252A0">
            <w:pPr>
              <w:pStyle w:val="Tabletext8pt"/>
              <w:jc w:val="center"/>
            </w:pPr>
            <w:r w:rsidRPr="00A55335">
              <w:t>-</w:t>
            </w:r>
          </w:p>
        </w:tc>
        <w:tc>
          <w:tcPr>
            <w:tcW w:w="576" w:type="pct"/>
            <w:tcBorders>
              <w:top w:val="single" w:sz="6" w:space="0" w:color="000000"/>
              <w:left w:val="nil"/>
              <w:bottom w:val="single" w:sz="6" w:space="0" w:color="000000"/>
              <w:right w:val="nil"/>
            </w:tcBorders>
            <w:vAlign w:val="center"/>
          </w:tcPr>
          <w:p w14:paraId="3B349BFB" w14:textId="0D53F840" w:rsidR="006A506C" w:rsidRPr="00A55335" w:rsidRDefault="006A506C" w:rsidP="007252A0">
            <w:pPr>
              <w:pStyle w:val="Tabletext8pt"/>
              <w:jc w:val="center"/>
            </w:pPr>
            <w:r w:rsidRPr="00A55335">
              <w:rPr>
                <w:rFonts w:eastAsia="Times New Roman"/>
              </w:rPr>
              <w:t>86</w:t>
            </w:r>
            <w:r w:rsidRPr="00A55335">
              <w:rPr>
                <w:rFonts w:eastAsia="Times New Roman"/>
              </w:rPr>
              <w:br/>
              <w:t>(2 RCTs)</w:t>
            </w:r>
          </w:p>
        </w:tc>
        <w:tc>
          <w:tcPr>
            <w:tcW w:w="581" w:type="pct"/>
            <w:gridSpan w:val="2"/>
            <w:tcBorders>
              <w:top w:val="single" w:sz="6" w:space="0" w:color="000000"/>
              <w:left w:val="nil"/>
              <w:bottom w:val="single" w:sz="6" w:space="0" w:color="000000"/>
              <w:right w:val="nil"/>
            </w:tcBorders>
            <w:vAlign w:val="center"/>
          </w:tcPr>
          <w:p w14:paraId="6C50BCE1" w14:textId="6BB5AEA5" w:rsidR="006A506C" w:rsidRPr="00A55335" w:rsidRDefault="006A506C" w:rsidP="004B2271">
            <w:pPr>
              <w:pStyle w:val="Tabletext8pt"/>
              <w:jc w:val="center"/>
            </w:pPr>
            <w:r w:rsidRPr="00A55335">
              <w:rPr>
                <w:rStyle w:val="quality-sign"/>
                <w:rFonts w:ascii="Cambria Math" w:hAnsi="Cambria Math"/>
              </w:rPr>
              <w:t>⨁⨁◯◯</w:t>
            </w:r>
            <w:r w:rsidRPr="00A55335">
              <w:br/>
            </w:r>
            <w:r w:rsidRPr="00A55335">
              <w:rPr>
                <w:rStyle w:val="QualitytextChar"/>
              </w:rPr>
              <w:t xml:space="preserve">Low </w:t>
            </w:r>
            <w:proofErr w:type="spellStart"/>
            <w:r w:rsidRPr="00A55335">
              <w:rPr>
                <w:rStyle w:val="FootnoteReference"/>
              </w:rPr>
              <w:t>a</w:t>
            </w:r>
            <w:r w:rsidR="0012642D" w:rsidRPr="00A55335">
              <w:rPr>
                <w:rStyle w:val="FootnoteReference"/>
              </w:rPr>
              <w:t>,b,c,d,e</w:t>
            </w:r>
            <w:proofErr w:type="spellEnd"/>
          </w:p>
        </w:tc>
        <w:tc>
          <w:tcPr>
            <w:tcW w:w="1075" w:type="pct"/>
            <w:tcBorders>
              <w:top w:val="single" w:sz="6" w:space="0" w:color="000000"/>
              <w:left w:val="nil"/>
              <w:bottom w:val="single" w:sz="6" w:space="0" w:color="000000"/>
              <w:right w:val="nil"/>
            </w:tcBorders>
          </w:tcPr>
          <w:p w14:paraId="706AF5A0" w14:textId="63160E3C" w:rsidR="006A506C" w:rsidRPr="00A55335" w:rsidRDefault="005D3002" w:rsidP="006A506C">
            <w:pPr>
              <w:pStyle w:val="Tabletext8pt"/>
            </w:pPr>
            <w:r w:rsidRPr="00A55335">
              <w:t>H</w:t>
            </w:r>
            <w:r w:rsidR="00BD443B" w:rsidRPr="00A55335">
              <w:t>omeopathy may result</w:t>
            </w:r>
            <w:r w:rsidR="006A506C" w:rsidRPr="00A55335">
              <w:t xml:space="preserve"> in little to no difference in </w:t>
            </w:r>
            <w:r w:rsidR="0038411D" w:rsidRPr="00A55335">
              <w:t xml:space="preserve">symptom severity </w:t>
            </w:r>
            <w:r w:rsidR="006A506C" w:rsidRPr="00A55335">
              <w:t>in people with asthma</w:t>
            </w:r>
            <w:r w:rsidR="009B5C71">
              <w:t xml:space="preserve"> </w:t>
            </w:r>
            <w:r w:rsidR="009B28C6">
              <w:t>**</w:t>
            </w:r>
          </w:p>
        </w:tc>
      </w:tr>
      <w:tr w:rsidR="001541A8" w:rsidRPr="00A55335" w14:paraId="2522D368" w14:textId="77777777" w:rsidTr="007252A0">
        <w:trPr>
          <w:gridBefore w:val="1"/>
          <w:wBefore w:w="29" w:type="pct"/>
          <w:cantSplit/>
        </w:trPr>
        <w:tc>
          <w:tcPr>
            <w:tcW w:w="865" w:type="pct"/>
            <w:tcBorders>
              <w:top w:val="single" w:sz="6" w:space="0" w:color="000000"/>
              <w:left w:val="nil"/>
              <w:bottom w:val="single" w:sz="6" w:space="0" w:color="000000"/>
              <w:right w:val="nil"/>
            </w:tcBorders>
            <w:vAlign w:val="center"/>
          </w:tcPr>
          <w:p w14:paraId="4A883CC6" w14:textId="244D75E5" w:rsidR="006A506C" w:rsidRPr="00A55335" w:rsidRDefault="006A506C" w:rsidP="006A506C">
            <w:pPr>
              <w:pStyle w:val="Tabletext8pt"/>
            </w:pPr>
            <w:r w:rsidRPr="00A55335">
              <w:t>Pulmonary function</w:t>
            </w:r>
            <w:r w:rsidRPr="00A55335">
              <w:br/>
              <w:t>assessed with: PEF</w:t>
            </w:r>
            <w:r w:rsidR="00EC223D" w:rsidRPr="00A55335">
              <w:t xml:space="preserve">R </w:t>
            </w:r>
            <w:r w:rsidR="00CA1A51" w:rsidRPr="00A55335">
              <w:t xml:space="preserve">(L/min) </w:t>
            </w:r>
            <w:r w:rsidR="00EC223D" w:rsidRPr="00A55335">
              <w:t>(higher is better)</w:t>
            </w:r>
            <w:r w:rsidR="00EC223D" w:rsidRPr="00A55335">
              <w:br/>
              <w:t>follow-up: 16 weeks</w:t>
            </w:r>
          </w:p>
        </w:tc>
        <w:tc>
          <w:tcPr>
            <w:tcW w:w="720" w:type="pct"/>
            <w:tcBorders>
              <w:top w:val="single" w:sz="6" w:space="0" w:color="000000"/>
              <w:left w:val="nil"/>
              <w:bottom w:val="single" w:sz="6" w:space="0" w:color="000000"/>
              <w:right w:val="nil"/>
            </w:tcBorders>
            <w:shd w:val="clear" w:color="auto" w:fill="EBEBEB"/>
            <w:vAlign w:val="center"/>
          </w:tcPr>
          <w:p w14:paraId="3B815931" w14:textId="135C0D82" w:rsidR="006A506C" w:rsidRPr="00A55335" w:rsidRDefault="006A506C" w:rsidP="007252A0">
            <w:pPr>
              <w:pStyle w:val="Tabletext8pt"/>
              <w:jc w:val="center"/>
              <w:rPr>
                <w:rFonts w:eastAsia="Times New Roman"/>
              </w:rPr>
            </w:pPr>
            <w:r w:rsidRPr="00A55335">
              <w:rPr>
                <w:rFonts w:eastAsia="Times New Roman"/>
              </w:rPr>
              <w:t>The mean morning PEF</w:t>
            </w:r>
            <w:r w:rsidR="00C80086" w:rsidRPr="00A55335">
              <w:rPr>
                <w:rFonts w:eastAsia="Times New Roman"/>
              </w:rPr>
              <w:t>R</w:t>
            </w:r>
            <w:r w:rsidRPr="00A55335">
              <w:rPr>
                <w:rFonts w:eastAsia="Times New Roman"/>
              </w:rPr>
              <w:t xml:space="preserve"> was </w:t>
            </w:r>
            <w:r w:rsidRPr="00A55335">
              <w:rPr>
                <w:rStyle w:val="Strong"/>
              </w:rPr>
              <w:t>282.0</w:t>
            </w:r>
          </w:p>
          <w:p w14:paraId="6C4771CF" w14:textId="77777777" w:rsidR="006A506C" w:rsidRPr="00A55335" w:rsidRDefault="006A506C" w:rsidP="007252A0">
            <w:pPr>
              <w:pStyle w:val="Tabletext8pt"/>
              <w:jc w:val="center"/>
              <w:rPr>
                <w:rFonts w:eastAsia="Times New Roman"/>
              </w:rPr>
            </w:pPr>
          </w:p>
          <w:p w14:paraId="6790513E" w14:textId="4D7EF8EF" w:rsidR="006A506C" w:rsidRPr="00A55335" w:rsidRDefault="006A506C" w:rsidP="007252A0">
            <w:pPr>
              <w:pStyle w:val="Tabletext8pt"/>
              <w:jc w:val="center"/>
            </w:pPr>
            <w:r w:rsidRPr="00A55335">
              <w:rPr>
                <w:rFonts w:eastAsia="Times New Roman"/>
              </w:rPr>
              <w:t>The mean evening PEF</w:t>
            </w:r>
            <w:r w:rsidR="00B07471" w:rsidRPr="00A55335">
              <w:rPr>
                <w:rFonts w:eastAsia="Times New Roman"/>
              </w:rPr>
              <w:t>R</w:t>
            </w:r>
            <w:r w:rsidRPr="00A55335">
              <w:rPr>
                <w:rFonts w:eastAsia="Times New Roman"/>
              </w:rPr>
              <w:t xml:space="preserve"> was </w:t>
            </w:r>
            <w:r w:rsidRPr="00A55335">
              <w:rPr>
                <w:rStyle w:val="Strong"/>
              </w:rPr>
              <w:t>289.0</w:t>
            </w:r>
          </w:p>
        </w:tc>
        <w:tc>
          <w:tcPr>
            <w:tcW w:w="721" w:type="pct"/>
            <w:gridSpan w:val="2"/>
            <w:tcBorders>
              <w:top w:val="single" w:sz="6" w:space="0" w:color="000000"/>
              <w:left w:val="nil"/>
              <w:bottom w:val="single" w:sz="6" w:space="0" w:color="000000"/>
              <w:right w:val="nil"/>
            </w:tcBorders>
            <w:shd w:val="clear" w:color="auto" w:fill="EBEBEB"/>
          </w:tcPr>
          <w:p w14:paraId="10495A0A" w14:textId="78029DE5" w:rsidR="006A506C" w:rsidRPr="00A55335" w:rsidRDefault="006A506C" w:rsidP="007252A0">
            <w:pPr>
              <w:pStyle w:val="Tabletext8pt"/>
              <w:jc w:val="center"/>
            </w:pPr>
            <w:r w:rsidRPr="00A55335">
              <w:t xml:space="preserve">MD </w:t>
            </w:r>
            <w:r w:rsidRPr="00A55335">
              <w:rPr>
                <w:rStyle w:val="Strong"/>
              </w:rPr>
              <w:t xml:space="preserve">61.0 lower </w:t>
            </w:r>
            <w:r w:rsidRPr="00A55335">
              <w:t>(</w:t>
            </w:r>
            <w:r w:rsidR="00EC3020">
              <w:t>5.24</w:t>
            </w:r>
            <w:r w:rsidR="00991E9D">
              <w:t xml:space="preserve"> lower to </w:t>
            </w:r>
            <w:r w:rsidRPr="00A55335">
              <w:t>116.76 lower)</w:t>
            </w:r>
          </w:p>
          <w:p w14:paraId="690FE46F" w14:textId="77777777" w:rsidR="006A506C" w:rsidRPr="00A55335" w:rsidRDefault="006A506C" w:rsidP="007252A0">
            <w:pPr>
              <w:pStyle w:val="Tabletext8pt"/>
              <w:jc w:val="center"/>
            </w:pPr>
          </w:p>
          <w:p w14:paraId="2689A525" w14:textId="49FB6106" w:rsidR="006A506C" w:rsidRPr="00A55335" w:rsidRDefault="006A506C" w:rsidP="007252A0">
            <w:pPr>
              <w:pStyle w:val="Tabletext8pt"/>
              <w:jc w:val="center"/>
              <w:rPr>
                <w:rStyle w:val="Strong"/>
              </w:rPr>
            </w:pPr>
            <w:r w:rsidRPr="00A55335">
              <w:t xml:space="preserve">MD </w:t>
            </w:r>
            <w:r w:rsidRPr="00A55335">
              <w:rPr>
                <w:rStyle w:val="Strong"/>
              </w:rPr>
              <w:t>70.0 lower</w:t>
            </w:r>
            <w:r w:rsidRPr="00A55335">
              <w:t xml:space="preserve"> (</w:t>
            </w:r>
            <w:r w:rsidR="00A77A3A">
              <w:t xml:space="preserve">16.15 lower to </w:t>
            </w:r>
            <w:r w:rsidRPr="00A55335">
              <w:t>123.85 lower)</w:t>
            </w:r>
          </w:p>
        </w:tc>
        <w:tc>
          <w:tcPr>
            <w:tcW w:w="433" w:type="pct"/>
            <w:tcBorders>
              <w:top w:val="single" w:sz="6" w:space="0" w:color="000000"/>
              <w:left w:val="nil"/>
              <w:bottom w:val="single" w:sz="6" w:space="0" w:color="000000"/>
              <w:right w:val="nil"/>
            </w:tcBorders>
            <w:vAlign w:val="center"/>
          </w:tcPr>
          <w:p w14:paraId="09914C52" w14:textId="2ADF62D8" w:rsidR="006A506C" w:rsidRPr="00A55335" w:rsidRDefault="006A506C" w:rsidP="007252A0">
            <w:pPr>
              <w:pStyle w:val="Tabletext8pt"/>
              <w:jc w:val="center"/>
            </w:pPr>
            <w:r w:rsidRPr="00A55335">
              <w:t>-</w:t>
            </w:r>
          </w:p>
        </w:tc>
        <w:tc>
          <w:tcPr>
            <w:tcW w:w="576" w:type="pct"/>
            <w:tcBorders>
              <w:top w:val="single" w:sz="6" w:space="0" w:color="000000"/>
              <w:left w:val="nil"/>
              <w:bottom w:val="single" w:sz="6" w:space="0" w:color="000000"/>
              <w:right w:val="nil"/>
            </w:tcBorders>
            <w:vAlign w:val="center"/>
          </w:tcPr>
          <w:p w14:paraId="26298B08" w14:textId="56DFC352" w:rsidR="006A506C" w:rsidRPr="00A55335" w:rsidRDefault="006A506C" w:rsidP="007252A0">
            <w:pPr>
              <w:pStyle w:val="Tabletext8pt"/>
              <w:jc w:val="center"/>
              <w:rPr>
                <w:rFonts w:eastAsia="Times New Roman"/>
              </w:rPr>
            </w:pPr>
            <w:r w:rsidRPr="00A55335">
              <w:rPr>
                <w:rFonts w:eastAsia="Times New Roman"/>
              </w:rPr>
              <w:t>35</w:t>
            </w:r>
            <w:r w:rsidRPr="00A55335">
              <w:rPr>
                <w:rFonts w:eastAsia="Times New Roman"/>
              </w:rPr>
              <w:br/>
              <w:t>(1 RCT)</w:t>
            </w:r>
            <w:r w:rsidRPr="00A55335">
              <w:rPr>
                <w:rFonts w:eastAsia="Times New Roman"/>
                <w:szCs w:val="18"/>
              </w:rPr>
              <w:t xml:space="preserve"> </w:t>
            </w:r>
            <w:r w:rsidRPr="00A55335">
              <w:rPr>
                <w:rStyle w:val="FootnoteReference"/>
              </w:rPr>
              <w:t>†</w:t>
            </w:r>
          </w:p>
        </w:tc>
        <w:tc>
          <w:tcPr>
            <w:tcW w:w="581" w:type="pct"/>
            <w:gridSpan w:val="2"/>
            <w:tcBorders>
              <w:top w:val="single" w:sz="6" w:space="0" w:color="000000"/>
              <w:left w:val="nil"/>
              <w:bottom w:val="single" w:sz="6" w:space="0" w:color="000000"/>
              <w:right w:val="nil"/>
            </w:tcBorders>
            <w:vAlign w:val="center"/>
          </w:tcPr>
          <w:p w14:paraId="22C76FF3" w14:textId="5617800E" w:rsidR="006A506C" w:rsidRPr="00A55335" w:rsidRDefault="006A506C" w:rsidP="004B2271">
            <w:pPr>
              <w:pStyle w:val="Tabletext8pt"/>
              <w:jc w:val="center"/>
              <w:rPr>
                <w:rStyle w:val="quality-sign"/>
                <w:rFonts w:ascii="Cambria Math" w:hAnsi="Cambria Math" w:cs="Cambria Math"/>
              </w:rPr>
            </w:pPr>
            <w:r w:rsidRPr="00A55335">
              <w:rPr>
                <w:rStyle w:val="quality-sign"/>
                <w:rFonts w:ascii="Cambria Math" w:hAnsi="Cambria Math"/>
              </w:rPr>
              <w:t>⨁</w:t>
            </w:r>
            <w:r w:rsidR="00B7498E" w:rsidRPr="00A55335">
              <w:rPr>
                <w:rStyle w:val="quality-sign"/>
                <w:rFonts w:ascii="Cambria Math" w:hAnsi="Cambria Math"/>
              </w:rPr>
              <w:t>◯</w:t>
            </w:r>
            <w:r w:rsidRPr="00A55335">
              <w:rPr>
                <w:rStyle w:val="quality-sign"/>
                <w:rFonts w:ascii="Cambria Math" w:hAnsi="Cambria Math"/>
              </w:rPr>
              <w:t>◯◯</w:t>
            </w:r>
            <w:r w:rsidRPr="00A55335">
              <w:rPr>
                <w:highlight w:val="yellow"/>
              </w:rPr>
              <w:br/>
            </w:r>
            <w:r w:rsidR="00B7498E" w:rsidRPr="00A55335">
              <w:rPr>
                <w:rStyle w:val="QualitytextChar"/>
              </w:rPr>
              <w:t xml:space="preserve">Very </w:t>
            </w:r>
            <w:r w:rsidRPr="00A55335">
              <w:rPr>
                <w:rStyle w:val="QualitytextChar"/>
              </w:rPr>
              <w:t xml:space="preserve">Low </w:t>
            </w:r>
            <w:proofErr w:type="spellStart"/>
            <w:r w:rsidR="002E21C5" w:rsidRPr="00A55335">
              <w:rPr>
                <w:rStyle w:val="FootnoteReference"/>
              </w:rPr>
              <w:t>a,c,e,f,g</w:t>
            </w:r>
            <w:proofErr w:type="spellEnd"/>
          </w:p>
        </w:tc>
        <w:tc>
          <w:tcPr>
            <w:tcW w:w="1075" w:type="pct"/>
            <w:tcBorders>
              <w:top w:val="single" w:sz="6" w:space="0" w:color="000000"/>
              <w:left w:val="nil"/>
              <w:bottom w:val="single" w:sz="6" w:space="0" w:color="000000"/>
              <w:right w:val="nil"/>
            </w:tcBorders>
            <w:vAlign w:val="center"/>
          </w:tcPr>
          <w:p w14:paraId="581E800A" w14:textId="38E60307" w:rsidR="006A506C" w:rsidRPr="00A55335" w:rsidRDefault="00B7498E" w:rsidP="006A506C">
            <w:pPr>
              <w:pStyle w:val="Tabletext8pt"/>
            </w:pPr>
            <w:r w:rsidRPr="00A55335">
              <w:rPr>
                <w:rFonts w:eastAsia="Times New Roman"/>
              </w:rPr>
              <w:t>The evidence is very uncertain about the effect of homeopathy on</w:t>
            </w:r>
            <w:r w:rsidR="006A506C" w:rsidRPr="00A55335">
              <w:rPr>
                <w:rFonts w:eastAsia="Times New Roman"/>
              </w:rPr>
              <w:t xml:space="preserve"> pulmonary function in people with asthma</w:t>
            </w:r>
            <w:r w:rsidR="00DA356E">
              <w:rPr>
                <w:rFonts w:eastAsia="Times New Roman"/>
              </w:rPr>
              <w:t xml:space="preserve"> </w:t>
            </w:r>
            <w:r w:rsidR="00EC51F7" w:rsidRPr="00F76E01">
              <w:rPr>
                <w:rFonts w:eastAsia="Times New Roman"/>
                <w:vertAlign w:val="superscript"/>
              </w:rPr>
              <w:t>#</w:t>
            </w:r>
            <w:r w:rsidR="00C75FCE">
              <w:rPr>
                <w:rFonts w:eastAsia="Times New Roman"/>
                <w:vertAlign w:val="superscript"/>
              </w:rPr>
              <w:t xml:space="preserve"> </w:t>
            </w:r>
            <w:r w:rsidR="00C75FCE">
              <w:rPr>
                <w:rFonts w:eastAsia="Times New Roman"/>
              </w:rPr>
              <w:t>***</w:t>
            </w:r>
          </w:p>
        </w:tc>
      </w:tr>
      <w:tr w:rsidR="001541A8" w:rsidRPr="00A55335" w14:paraId="718558BE" w14:textId="77777777" w:rsidTr="007252A0">
        <w:trPr>
          <w:gridBefore w:val="1"/>
          <w:wBefore w:w="29" w:type="pct"/>
          <w:cantSplit/>
        </w:trPr>
        <w:tc>
          <w:tcPr>
            <w:tcW w:w="865" w:type="pct"/>
            <w:tcBorders>
              <w:top w:val="single" w:sz="6" w:space="0" w:color="000000"/>
              <w:left w:val="nil"/>
              <w:bottom w:val="single" w:sz="6" w:space="0" w:color="000000"/>
              <w:right w:val="nil"/>
            </w:tcBorders>
            <w:vAlign w:val="center"/>
          </w:tcPr>
          <w:p w14:paraId="22C4E08B" w14:textId="65DE0CFC" w:rsidR="006A506C" w:rsidRPr="00A55335" w:rsidRDefault="006A506C" w:rsidP="006A506C">
            <w:pPr>
              <w:pStyle w:val="Tabletext8pt"/>
            </w:pPr>
            <w:r w:rsidRPr="00A55335">
              <w:t>Quality of life</w:t>
            </w:r>
            <w:r w:rsidR="00D62A66" w:rsidRPr="00A55335">
              <w:t xml:space="preserve"> – </w:t>
            </w:r>
            <w:r w:rsidRPr="00A55335">
              <w:t>assessed with: AQLQ</w:t>
            </w:r>
            <w:r w:rsidR="00776A14" w:rsidRPr="00A55335">
              <w:t>, PAQLQ</w:t>
            </w:r>
            <w:r w:rsidR="001E493A" w:rsidRPr="00A55335">
              <w:t xml:space="preserve"> (higher is better)</w:t>
            </w:r>
            <w:r w:rsidRPr="00A55335">
              <w:br/>
              <w:t xml:space="preserve">follow-up: </w:t>
            </w:r>
            <w:r w:rsidR="00685186" w:rsidRPr="00A55335">
              <w:t xml:space="preserve">range </w:t>
            </w:r>
            <w:r w:rsidR="00776A14" w:rsidRPr="00A55335">
              <w:t xml:space="preserve">16 </w:t>
            </w:r>
            <w:r w:rsidR="008B42D7" w:rsidRPr="00A55335">
              <w:t xml:space="preserve">weeks </w:t>
            </w:r>
            <w:r w:rsidR="00776A14" w:rsidRPr="00A55335">
              <w:t xml:space="preserve">to </w:t>
            </w:r>
            <w:r w:rsidRPr="00A55335">
              <w:t>52 weeks</w:t>
            </w:r>
          </w:p>
        </w:tc>
        <w:tc>
          <w:tcPr>
            <w:tcW w:w="720" w:type="pct"/>
            <w:tcBorders>
              <w:top w:val="single" w:sz="6" w:space="0" w:color="000000"/>
              <w:left w:val="nil"/>
              <w:bottom w:val="single" w:sz="6" w:space="0" w:color="000000"/>
              <w:right w:val="nil"/>
            </w:tcBorders>
            <w:shd w:val="clear" w:color="auto" w:fill="EBEBEB"/>
            <w:vAlign w:val="center"/>
          </w:tcPr>
          <w:p w14:paraId="60D2AE98" w14:textId="12A50707" w:rsidR="006A506C" w:rsidRPr="00A55335" w:rsidRDefault="006A506C" w:rsidP="007252A0">
            <w:pPr>
              <w:pStyle w:val="Tabletext8pt"/>
              <w:jc w:val="center"/>
              <w:rPr>
                <w:rStyle w:val="Strong"/>
              </w:rPr>
            </w:pPr>
            <w:r w:rsidRPr="00A55335">
              <w:rPr>
                <w:rFonts w:eastAsia="Times New Roman"/>
              </w:rPr>
              <w:t xml:space="preserve">The mean symptoms score was </w:t>
            </w:r>
            <w:r w:rsidR="00C72D7B" w:rsidRPr="00A55335">
              <w:rPr>
                <w:rStyle w:val="Strong"/>
              </w:rPr>
              <w:t>5.6</w:t>
            </w:r>
          </w:p>
          <w:p w14:paraId="42C126D2" w14:textId="77777777" w:rsidR="002B2E3F" w:rsidRPr="00A55335" w:rsidRDefault="002B2E3F" w:rsidP="008D0C2A">
            <w:pPr>
              <w:pStyle w:val="Tabletext8pt"/>
              <w:jc w:val="center"/>
              <w:rPr>
                <w:rStyle w:val="Strong"/>
              </w:rPr>
            </w:pPr>
          </w:p>
          <w:p w14:paraId="4D424CCB" w14:textId="77777777" w:rsidR="002B2E3F" w:rsidRPr="00A55335" w:rsidRDefault="002B2E3F" w:rsidP="007252A0">
            <w:pPr>
              <w:pStyle w:val="Tabletext8pt"/>
              <w:jc w:val="center"/>
              <w:rPr>
                <w:rStyle w:val="Strong"/>
              </w:rPr>
            </w:pPr>
            <w:r w:rsidRPr="00A55335">
              <w:rPr>
                <w:rFonts w:eastAsia="Times New Roman"/>
              </w:rPr>
              <w:t xml:space="preserve">The mean </w:t>
            </w:r>
            <w:r w:rsidRPr="00A55335">
              <w:t>activity limitation</w:t>
            </w:r>
            <w:r w:rsidRPr="00A55335">
              <w:rPr>
                <w:rFonts w:eastAsia="Times New Roman"/>
              </w:rPr>
              <w:t xml:space="preserve"> score was </w:t>
            </w:r>
            <w:r w:rsidRPr="00A55335">
              <w:rPr>
                <w:rStyle w:val="Strong"/>
              </w:rPr>
              <w:t>5.8</w:t>
            </w:r>
          </w:p>
          <w:p w14:paraId="171E6D3D" w14:textId="77777777" w:rsidR="002B2E3F" w:rsidRPr="00A55335" w:rsidRDefault="002B2E3F" w:rsidP="008D0C2A">
            <w:pPr>
              <w:pStyle w:val="Tabletext8pt"/>
              <w:jc w:val="center"/>
              <w:rPr>
                <w:rStyle w:val="Strong"/>
              </w:rPr>
            </w:pPr>
          </w:p>
          <w:p w14:paraId="75E6EA84" w14:textId="1B17C7A1" w:rsidR="002B2E3F" w:rsidRPr="00A55335" w:rsidRDefault="002B2E3F" w:rsidP="007252A0">
            <w:pPr>
              <w:pStyle w:val="Tabletext8pt"/>
              <w:jc w:val="center"/>
              <w:rPr>
                <w:rFonts w:eastAsia="Times New Roman"/>
              </w:rPr>
            </w:pPr>
            <w:r w:rsidRPr="00A55335">
              <w:rPr>
                <w:rFonts w:eastAsia="Times New Roman"/>
              </w:rPr>
              <w:t xml:space="preserve">The mean </w:t>
            </w:r>
            <w:r w:rsidRPr="00A55335">
              <w:t>emotional function</w:t>
            </w:r>
            <w:r w:rsidRPr="00A55335">
              <w:rPr>
                <w:rFonts w:eastAsia="Times New Roman"/>
              </w:rPr>
              <w:t xml:space="preserve"> score was </w:t>
            </w:r>
            <w:r w:rsidRPr="00A55335">
              <w:rPr>
                <w:rStyle w:val="Strong"/>
              </w:rPr>
              <w:t>5.95</w:t>
            </w:r>
          </w:p>
        </w:tc>
        <w:tc>
          <w:tcPr>
            <w:tcW w:w="721" w:type="pct"/>
            <w:gridSpan w:val="2"/>
            <w:tcBorders>
              <w:top w:val="single" w:sz="6" w:space="0" w:color="000000"/>
              <w:left w:val="nil"/>
              <w:bottom w:val="single" w:sz="6" w:space="0" w:color="000000"/>
              <w:right w:val="nil"/>
            </w:tcBorders>
            <w:shd w:val="clear" w:color="auto" w:fill="EBEBEB"/>
          </w:tcPr>
          <w:p w14:paraId="35AD32F5" w14:textId="34131F88" w:rsidR="002B2E3F" w:rsidRPr="00A55335" w:rsidRDefault="006A506C" w:rsidP="007252A0">
            <w:pPr>
              <w:pStyle w:val="Tabletext8pt"/>
              <w:jc w:val="center"/>
            </w:pPr>
            <w:r w:rsidRPr="00A55335">
              <w:t xml:space="preserve">MD </w:t>
            </w:r>
            <w:r w:rsidRPr="00A55335">
              <w:rPr>
                <w:rStyle w:val="Strong"/>
              </w:rPr>
              <w:t>0.</w:t>
            </w:r>
            <w:r w:rsidR="00F67F21" w:rsidRPr="00A55335">
              <w:rPr>
                <w:rStyle w:val="Strong"/>
              </w:rPr>
              <w:t xml:space="preserve">05 </w:t>
            </w:r>
            <w:r w:rsidR="003B22B3" w:rsidRPr="00A55335">
              <w:rPr>
                <w:rStyle w:val="Strong"/>
              </w:rPr>
              <w:t>higher</w:t>
            </w:r>
            <w:r w:rsidR="00105775" w:rsidRPr="00A55335">
              <w:t xml:space="preserve"> </w:t>
            </w:r>
            <w:r w:rsidRPr="00A55335">
              <w:t>(0.</w:t>
            </w:r>
            <w:r w:rsidR="003B22B3" w:rsidRPr="00A55335">
              <w:t>47</w:t>
            </w:r>
            <w:r w:rsidR="00105775" w:rsidRPr="00A55335">
              <w:t xml:space="preserve"> </w:t>
            </w:r>
            <w:r w:rsidRPr="00A55335">
              <w:t>higher</w:t>
            </w:r>
            <w:r w:rsidR="007A4167" w:rsidRPr="00A55335">
              <w:t xml:space="preserve"> to 0.36 lower</w:t>
            </w:r>
            <w:r w:rsidRPr="00A55335">
              <w:t>)</w:t>
            </w:r>
            <w:r w:rsidR="002B2E3F" w:rsidRPr="00A55335">
              <w:br/>
            </w:r>
          </w:p>
          <w:p w14:paraId="19D05681" w14:textId="5CAD830A" w:rsidR="002B2E3F" w:rsidRPr="00A55335" w:rsidRDefault="002B2E3F" w:rsidP="007252A0">
            <w:pPr>
              <w:pStyle w:val="Tabletext8pt"/>
              <w:jc w:val="center"/>
            </w:pPr>
            <w:r w:rsidRPr="00A55335">
              <w:t xml:space="preserve">MD </w:t>
            </w:r>
            <w:r w:rsidRPr="00A55335">
              <w:rPr>
                <w:rStyle w:val="Strong"/>
              </w:rPr>
              <w:t>0.10 higher</w:t>
            </w:r>
            <w:r w:rsidRPr="00A55335">
              <w:t xml:space="preserve"> (0.54 higher to 0.34 lower)</w:t>
            </w:r>
            <w:r w:rsidR="00697003" w:rsidRPr="00A55335">
              <w:br/>
            </w:r>
          </w:p>
          <w:p w14:paraId="786852BD" w14:textId="77777777" w:rsidR="002B2E3F" w:rsidRPr="00A55335" w:rsidRDefault="002B2E3F" w:rsidP="007252A0">
            <w:pPr>
              <w:pStyle w:val="Tabletext8pt"/>
              <w:jc w:val="center"/>
            </w:pPr>
          </w:p>
          <w:p w14:paraId="36BFC8BC" w14:textId="7AC59A9E" w:rsidR="002B2E3F" w:rsidRPr="00A55335" w:rsidRDefault="002B2E3F" w:rsidP="007252A0">
            <w:pPr>
              <w:pStyle w:val="Tabletext8pt"/>
              <w:jc w:val="center"/>
            </w:pPr>
            <w:r w:rsidRPr="00A55335">
              <w:t xml:space="preserve">MD </w:t>
            </w:r>
            <w:r w:rsidRPr="00A55335">
              <w:rPr>
                <w:rStyle w:val="Strong"/>
              </w:rPr>
              <w:t>0.10 lower</w:t>
            </w:r>
            <w:r w:rsidRPr="00A55335">
              <w:t xml:space="preserve"> (0.27 higher to 0.47 lower)</w:t>
            </w:r>
          </w:p>
        </w:tc>
        <w:tc>
          <w:tcPr>
            <w:tcW w:w="433" w:type="pct"/>
            <w:tcBorders>
              <w:top w:val="single" w:sz="6" w:space="0" w:color="000000"/>
              <w:left w:val="nil"/>
              <w:bottom w:val="single" w:sz="6" w:space="0" w:color="000000"/>
              <w:right w:val="nil"/>
            </w:tcBorders>
            <w:vAlign w:val="center"/>
          </w:tcPr>
          <w:p w14:paraId="768494A8" w14:textId="3B62B75D" w:rsidR="006A506C" w:rsidRPr="00A55335" w:rsidRDefault="006A506C" w:rsidP="007252A0">
            <w:pPr>
              <w:pStyle w:val="Tabletext8pt"/>
              <w:jc w:val="center"/>
            </w:pPr>
            <w:r w:rsidRPr="00A55335">
              <w:t>-</w:t>
            </w:r>
          </w:p>
        </w:tc>
        <w:tc>
          <w:tcPr>
            <w:tcW w:w="576" w:type="pct"/>
            <w:tcBorders>
              <w:top w:val="single" w:sz="6" w:space="0" w:color="000000"/>
              <w:left w:val="nil"/>
              <w:bottom w:val="single" w:sz="6" w:space="0" w:color="000000"/>
              <w:right w:val="nil"/>
            </w:tcBorders>
            <w:vAlign w:val="center"/>
          </w:tcPr>
          <w:p w14:paraId="5747F25B" w14:textId="2DDCA858" w:rsidR="006A506C" w:rsidRPr="00A55335" w:rsidRDefault="002A679A" w:rsidP="007252A0">
            <w:pPr>
              <w:pStyle w:val="Tabletext8pt"/>
              <w:jc w:val="center"/>
              <w:rPr>
                <w:rFonts w:eastAsia="Times New Roman"/>
              </w:rPr>
            </w:pPr>
            <w:r w:rsidRPr="00A55335">
              <w:rPr>
                <w:rFonts w:eastAsia="Times New Roman"/>
              </w:rPr>
              <w:t>86</w:t>
            </w:r>
            <w:r w:rsidR="006A506C" w:rsidRPr="00A55335">
              <w:rPr>
                <w:rFonts w:eastAsia="Times New Roman"/>
              </w:rPr>
              <w:br/>
              <w:t>(</w:t>
            </w:r>
            <w:r w:rsidR="00472EB6" w:rsidRPr="00A55335">
              <w:rPr>
                <w:rFonts w:eastAsia="Times New Roman"/>
              </w:rPr>
              <w:t xml:space="preserve">2 </w:t>
            </w:r>
            <w:r w:rsidR="006A506C" w:rsidRPr="00A55335">
              <w:rPr>
                <w:rFonts w:eastAsia="Times New Roman"/>
              </w:rPr>
              <w:t>RCT</w:t>
            </w:r>
            <w:r w:rsidR="00472EB6" w:rsidRPr="00A55335">
              <w:rPr>
                <w:rFonts w:eastAsia="Times New Roman"/>
              </w:rPr>
              <w:t>s</w:t>
            </w:r>
            <w:r w:rsidR="006A506C" w:rsidRPr="00A55335">
              <w:rPr>
                <w:rFonts w:eastAsia="Times New Roman"/>
              </w:rPr>
              <w:t>)</w:t>
            </w:r>
          </w:p>
        </w:tc>
        <w:tc>
          <w:tcPr>
            <w:tcW w:w="581" w:type="pct"/>
            <w:gridSpan w:val="2"/>
            <w:tcBorders>
              <w:top w:val="single" w:sz="6" w:space="0" w:color="000000"/>
              <w:left w:val="nil"/>
              <w:bottom w:val="single" w:sz="6" w:space="0" w:color="000000"/>
              <w:right w:val="nil"/>
            </w:tcBorders>
            <w:vAlign w:val="center"/>
          </w:tcPr>
          <w:p w14:paraId="7E297AAD" w14:textId="0532F7D0" w:rsidR="006A506C" w:rsidRPr="00A55335" w:rsidRDefault="006A506C" w:rsidP="004B2271">
            <w:pPr>
              <w:pStyle w:val="Tabletext8pt"/>
              <w:jc w:val="center"/>
              <w:rPr>
                <w:rStyle w:val="quality-sign"/>
                <w:rFonts w:ascii="Cambria Math" w:hAnsi="Cambria Math" w:cs="Cambria Math"/>
              </w:rPr>
            </w:pPr>
            <w:r w:rsidRPr="00A55335">
              <w:rPr>
                <w:rStyle w:val="quality-sign"/>
                <w:rFonts w:ascii="Cambria Math" w:hAnsi="Cambria Math"/>
              </w:rPr>
              <w:t>⨁⨁◯◯</w:t>
            </w:r>
            <w:r w:rsidRPr="00A55335">
              <w:br/>
            </w:r>
            <w:r w:rsidRPr="00A55335">
              <w:rPr>
                <w:rStyle w:val="QualitytextChar"/>
              </w:rPr>
              <w:t xml:space="preserve">Low </w:t>
            </w:r>
            <w:proofErr w:type="spellStart"/>
            <w:r w:rsidR="002B2E3F" w:rsidRPr="00A55335">
              <w:rPr>
                <w:rStyle w:val="FootnoteReference"/>
              </w:rPr>
              <w:t>a,b,c,d,e</w:t>
            </w:r>
            <w:proofErr w:type="spellEnd"/>
          </w:p>
        </w:tc>
        <w:tc>
          <w:tcPr>
            <w:tcW w:w="1075" w:type="pct"/>
            <w:tcBorders>
              <w:top w:val="single" w:sz="6" w:space="0" w:color="000000"/>
              <w:left w:val="nil"/>
              <w:bottom w:val="single" w:sz="6" w:space="0" w:color="000000"/>
              <w:right w:val="nil"/>
            </w:tcBorders>
            <w:vAlign w:val="center"/>
          </w:tcPr>
          <w:p w14:paraId="18543516" w14:textId="3C1DDDDF" w:rsidR="006A506C" w:rsidRPr="00A55335" w:rsidRDefault="00BD443B" w:rsidP="006A506C">
            <w:pPr>
              <w:pStyle w:val="Tabletext8pt"/>
              <w:rPr>
                <w:rFonts w:eastAsia="Times New Roman"/>
              </w:rPr>
            </w:pPr>
            <w:r w:rsidRPr="00A55335">
              <w:rPr>
                <w:rFonts w:eastAsia="Times New Roman"/>
              </w:rPr>
              <w:t>Homeopathy may result</w:t>
            </w:r>
            <w:r w:rsidR="006A506C" w:rsidRPr="00A55335">
              <w:rPr>
                <w:rFonts w:eastAsia="Times New Roman"/>
              </w:rPr>
              <w:t xml:space="preserve"> in little to no difference in </w:t>
            </w:r>
            <w:r w:rsidR="004B2271" w:rsidRPr="00A55335">
              <w:rPr>
                <w:rFonts w:eastAsia="Times New Roman"/>
              </w:rPr>
              <w:t xml:space="preserve">health-related </w:t>
            </w:r>
            <w:r w:rsidR="006A506C" w:rsidRPr="00A55335">
              <w:rPr>
                <w:rFonts w:eastAsia="Times New Roman"/>
              </w:rPr>
              <w:t>quality of life in people with asthma</w:t>
            </w:r>
            <w:r w:rsidR="00105775" w:rsidRPr="00A55335">
              <w:rPr>
                <w:rFonts w:eastAsia="Times New Roman"/>
              </w:rPr>
              <w:t xml:space="preserve"> </w:t>
            </w:r>
            <w:r w:rsidR="00105775" w:rsidRPr="009B5C71">
              <w:rPr>
                <w:rFonts w:eastAsia="Times New Roman"/>
                <w:vertAlign w:val="superscript"/>
              </w:rPr>
              <w:t>#</w:t>
            </w:r>
            <w:r w:rsidR="00F76E01">
              <w:rPr>
                <w:rFonts w:eastAsia="Times New Roman"/>
                <w:vertAlign w:val="superscript"/>
              </w:rPr>
              <w:t>#</w:t>
            </w:r>
          </w:p>
        </w:tc>
      </w:tr>
      <w:tr w:rsidR="00D62A66" w:rsidRPr="00A55335" w14:paraId="3685F147" w14:textId="77777777" w:rsidTr="007252A0">
        <w:trPr>
          <w:cantSplit/>
        </w:trPr>
        <w:tc>
          <w:tcPr>
            <w:tcW w:w="894" w:type="pct"/>
            <w:gridSpan w:val="2"/>
            <w:tcBorders>
              <w:top w:val="single" w:sz="6" w:space="0" w:color="000000"/>
              <w:left w:val="nil"/>
              <w:bottom w:val="single" w:sz="6" w:space="0" w:color="000000"/>
              <w:right w:val="nil"/>
            </w:tcBorders>
            <w:vAlign w:val="center"/>
          </w:tcPr>
          <w:p w14:paraId="192D33EA" w14:textId="35B6001B" w:rsidR="00D62A66" w:rsidRPr="00A55335" w:rsidRDefault="00D62A66" w:rsidP="00F0758E">
            <w:pPr>
              <w:pStyle w:val="Tabletext8pt"/>
            </w:pPr>
            <w:r w:rsidRPr="00A55335">
              <w:t xml:space="preserve">Quality of life – </w:t>
            </w:r>
            <w:r w:rsidR="00824276" w:rsidRPr="00A55335">
              <w:t>environmental stimuli</w:t>
            </w:r>
            <w:r w:rsidR="000259F2" w:rsidRPr="00A55335">
              <w:br/>
              <w:t>assessed</w:t>
            </w:r>
            <w:r w:rsidRPr="00A55335">
              <w:t xml:space="preserve"> with: AQLQ</w:t>
            </w:r>
            <w:r w:rsidR="00824276" w:rsidRPr="00A55335">
              <w:t xml:space="preserve"> (hi</w:t>
            </w:r>
            <w:r w:rsidR="000259F2" w:rsidRPr="00A55335">
              <w:t>gher is better)</w:t>
            </w:r>
            <w:r w:rsidR="00B60E14" w:rsidRPr="00A55335">
              <w:br/>
            </w:r>
            <w:r w:rsidRPr="00A55335">
              <w:t>follow-up: 52 weeks</w:t>
            </w:r>
          </w:p>
        </w:tc>
        <w:tc>
          <w:tcPr>
            <w:tcW w:w="720" w:type="pct"/>
            <w:tcBorders>
              <w:top w:val="single" w:sz="6" w:space="0" w:color="000000"/>
              <w:left w:val="nil"/>
              <w:bottom w:val="single" w:sz="6" w:space="0" w:color="000000"/>
              <w:right w:val="nil"/>
            </w:tcBorders>
            <w:shd w:val="clear" w:color="auto" w:fill="EBEBEB"/>
            <w:vAlign w:val="center"/>
          </w:tcPr>
          <w:p w14:paraId="762D58AB" w14:textId="69269C17" w:rsidR="00D62A66" w:rsidRPr="00A55335" w:rsidRDefault="00D62A66" w:rsidP="007252A0">
            <w:pPr>
              <w:pStyle w:val="Tabletext8pt"/>
              <w:jc w:val="center"/>
              <w:rPr>
                <w:rFonts w:eastAsia="Times New Roman"/>
              </w:rPr>
            </w:pPr>
            <w:r w:rsidRPr="00A55335">
              <w:rPr>
                <w:rFonts w:eastAsia="Times New Roman"/>
              </w:rPr>
              <w:t xml:space="preserve">The mean </w:t>
            </w:r>
            <w:r w:rsidR="000259F2" w:rsidRPr="00A55335">
              <w:t>environmental stimuli</w:t>
            </w:r>
            <w:r w:rsidRPr="00A55335">
              <w:rPr>
                <w:rFonts w:eastAsia="Times New Roman"/>
              </w:rPr>
              <w:t xml:space="preserve"> score was </w:t>
            </w:r>
            <w:r w:rsidR="000259F2" w:rsidRPr="00A55335">
              <w:rPr>
                <w:rStyle w:val="Strong"/>
              </w:rPr>
              <w:t>6.1</w:t>
            </w:r>
          </w:p>
        </w:tc>
        <w:tc>
          <w:tcPr>
            <w:tcW w:w="721" w:type="pct"/>
            <w:gridSpan w:val="2"/>
            <w:tcBorders>
              <w:top w:val="single" w:sz="6" w:space="0" w:color="000000"/>
              <w:left w:val="nil"/>
              <w:bottom w:val="single" w:sz="6" w:space="0" w:color="000000"/>
              <w:right w:val="nil"/>
            </w:tcBorders>
            <w:shd w:val="clear" w:color="auto" w:fill="EBEBEB"/>
          </w:tcPr>
          <w:p w14:paraId="44AF8EF5" w14:textId="47DC7D07" w:rsidR="00D62A66" w:rsidRPr="00A55335" w:rsidRDefault="00D62A66" w:rsidP="007252A0">
            <w:pPr>
              <w:pStyle w:val="Tabletext8pt"/>
              <w:jc w:val="center"/>
            </w:pPr>
            <w:r w:rsidRPr="00A55335">
              <w:t xml:space="preserve">MD </w:t>
            </w:r>
            <w:r w:rsidRPr="00A55335">
              <w:rPr>
                <w:rStyle w:val="Strong"/>
              </w:rPr>
              <w:t>0.</w:t>
            </w:r>
            <w:r w:rsidR="000259F2" w:rsidRPr="00A55335">
              <w:rPr>
                <w:rStyle w:val="Strong"/>
              </w:rPr>
              <w:t>10</w:t>
            </w:r>
            <w:r w:rsidRPr="00A55335">
              <w:rPr>
                <w:rStyle w:val="Strong"/>
              </w:rPr>
              <w:t xml:space="preserve"> lower</w:t>
            </w:r>
            <w:r w:rsidRPr="00A55335">
              <w:t xml:space="preserve"> (0.</w:t>
            </w:r>
            <w:r w:rsidR="00472EB6" w:rsidRPr="00A55335">
              <w:t>45</w:t>
            </w:r>
            <w:r w:rsidRPr="00A55335">
              <w:t xml:space="preserve"> higher</w:t>
            </w:r>
            <w:r w:rsidR="00472EB6" w:rsidRPr="00A55335">
              <w:t xml:space="preserve"> to 0.65 lower</w:t>
            </w:r>
            <w:r w:rsidRPr="00A55335">
              <w:t>)</w:t>
            </w:r>
          </w:p>
        </w:tc>
        <w:tc>
          <w:tcPr>
            <w:tcW w:w="433" w:type="pct"/>
            <w:tcBorders>
              <w:top w:val="single" w:sz="6" w:space="0" w:color="000000"/>
              <w:left w:val="nil"/>
              <w:bottom w:val="single" w:sz="6" w:space="0" w:color="000000"/>
              <w:right w:val="nil"/>
            </w:tcBorders>
            <w:vAlign w:val="center"/>
          </w:tcPr>
          <w:p w14:paraId="1E0C2A24" w14:textId="77777777" w:rsidR="00D62A66" w:rsidRPr="00A55335" w:rsidRDefault="00D62A66" w:rsidP="00F0758E">
            <w:pPr>
              <w:pStyle w:val="Tabletext8pt"/>
              <w:jc w:val="center"/>
            </w:pPr>
            <w:r w:rsidRPr="00A55335">
              <w:t>-</w:t>
            </w:r>
          </w:p>
        </w:tc>
        <w:tc>
          <w:tcPr>
            <w:tcW w:w="576" w:type="pct"/>
            <w:tcBorders>
              <w:top w:val="single" w:sz="6" w:space="0" w:color="000000"/>
              <w:left w:val="nil"/>
              <w:bottom w:val="single" w:sz="6" w:space="0" w:color="000000"/>
              <w:right w:val="nil"/>
            </w:tcBorders>
            <w:vAlign w:val="center"/>
          </w:tcPr>
          <w:p w14:paraId="53B97873" w14:textId="77777777" w:rsidR="00D62A66" w:rsidRPr="00A55335" w:rsidRDefault="00D62A66" w:rsidP="00F0758E">
            <w:pPr>
              <w:pStyle w:val="Tabletext8pt"/>
              <w:jc w:val="center"/>
              <w:rPr>
                <w:rFonts w:eastAsia="Times New Roman"/>
              </w:rPr>
            </w:pPr>
            <w:r w:rsidRPr="00A55335">
              <w:rPr>
                <w:rFonts w:eastAsia="Times New Roman"/>
              </w:rPr>
              <w:t>51</w:t>
            </w:r>
            <w:r w:rsidRPr="00A55335">
              <w:rPr>
                <w:rFonts w:eastAsia="Times New Roman"/>
              </w:rPr>
              <w:br/>
              <w:t>(1 RCT)</w:t>
            </w:r>
          </w:p>
        </w:tc>
        <w:tc>
          <w:tcPr>
            <w:tcW w:w="581" w:type="pct"/>
            <w:gridSpan w:val="2"/>
            <w:tcBorders>
              <w:top w:val="single" w:sz="6" w:space="0" w:color="000000"/>
              <w:left w:val="nil"/>
              <w:bottom w:val="single" w:sz="6" w:space="0" w:color="000000"/>
              <w:right w:val="nil"/>
            </w:tcBorders>
            <w:vAlign w:val="center"/>
          </w:tcPr>
          <w:p w14:paraId="0D4EB7A9" w14:textId="79EAEBE1" w:rsidR="00D62A66" w:rsidRPr="00A55335" w:rsidRDefault="00D62A66" w:rsidP="00F0758E">
            <w:pPr>
              <w:pStyle w:val="Tabletext8pt"/>
              <w:jc w:val="center"/>
              <w:rPr>
                <w:rStyle w:val="quality-sign"/>
                <w:rFonts w:ascii="Cambria Math" w:hAnsi="Cambria Math" w:cs="Cambria Math"/>
              </w:rPr>
            </w:pPr>
            <w:r w:rsidRPr="00A55335">
              <w:rPr>
                <w:rStyle w:val="quality-sign"/>
                <w:rFonts w:ascii="Cambria Math" w:hAnsi="Cambria Math"/>
              </w:rPr>
              <w:t>⨁⨁◯◯</w:t>
            </w:r>
            <w:r w:rsidRPr="00A55335">
              <w:br/>
            </w:r>
            <w:r w:rsidRPr="00A55335">
              <w:rPr>
                <w:rStyle w:val="QualitytextChar"/>
              </w:rPr>
              <w:t xml:space="preserve">Low </w:t>
            </w:r>
            <w:proofErr w:type="spellStart"/>
            <w:r w:rsidR="00354664" w:rsidRPr="00A55335">
              <w:rPr>
                <w:rStyle w:val="FootnoteReference"/>
              </w:rPr>
              <w:t>a,b,c,d,e</w:t>
            </w:r>
            <w:proofErr w:type="spellEnd"/>
          </w:p>
        </w:tc>
        <w:tc>
          <w:tcPr>
            <w:tcW w:w="1075" w:type="pct"/>
            <w:tcBorders>
              <w:top w:val="single" w:sz="6" w:space="0" w:color="000000"/>
              <w:left w:val="nil"/>
              <w:bottom w:val="single" w:sz="6" w:space="0" w:color="000000"/>
              <w:right w:val="nil"/>
            </w:tcBorders>
            <w:vAlign w:val="center"/>
          </w:tcPr>
          <w:p w14:paraId="1FE886BE" w14:textId="39C60868" w:rsidR="00D62A66" w:rsidRPr="00A55335" w:rsidRDefault="005D3002" w:rsidP="00F0758E">
            <w:pPr>
              <w:pStyle w:val="Tabletext8pt"/>
              <w:rPr>
                <w:rFonts w:eastAsia="Times New Roman"/>
              </w:rPr>
            </w:pPr>
            <w:r w:rsidRPr="00A55335">
              <w:rPr>
                <w:rFonts w:eastAsia="Times New Roman"/>
              </w:rPr>
              <w:t>H</w:t>
            </w:r>
            <w:r w:rsidR="00D62A66" w:rsidRPr="00A55335">
              <w:rPr>
                <w:rFonts w:eastAsia="Times New Roman"/>
              </w:rPr>
              <w:t xml:space="preserve">omeopathy may result in little to no difference in health-related quality of life in people with asthma </w:t>
            </w:r>
            <w:r w:rsidR="00D62A66" w:rsidRPr="009B5C71">
              <w:rPr>
                <w:rFonts w:eastAsia="Times New Roman"/>
                <w:vertAlign w:val="superscript"/>
              </w:rPr>
              <w:t>#</w:t>
            </w:r>
            <w:r w:rsidR="00C75FCE">
              <w:rPr>
                <w:rFonts w:eastAsia="Times New Roman"/>
                <w:vertAlign w:val="superscript"/>
              </w:rPr>
              <w:t>#</w:t>
            </w:r>
          </w:p>
        </w:tc>
      </w:tr>
      <w:tr w:rsidR="00D80977" w:rsidRPr="00A55335" w14:paraId="291E0B02" w14:textId="77777777" w:rsidTr="007252A0">
        <w:trPr>
          <w:cantSplit/>
        </w:trPr>
        <w:tc>
          <w:tcPr>
            <w:tcW w:w="894" w:type="pct"/>
            <w:gridSpan w:val="2"/>
            <w:tcBorders>
              <w:top w:val="single" w:sz="6" w:space="0" w:color="000000"/>
              <w:left w:val="nil"/>
              <w:bottom w:val="single" w:sz="6" w:space="0" w:color="000000"/>
              <w:right w:val="nil"/>
            </w:tcBorders>
            <w:vAlign w:val="center"/>
          </w:tcPr>
          <w:p w14:paraId="316B65D5" w14:textId="3D3FD7C8" w:rsidR="00D80977" w:rsidRPr="00A55335" w:rsidRDefault="00D80977" w:rsidP="00B60E14">
            <w:pPr>
              <w:pStyle w:val="Tabletext8pt"/>
            </w:pPr>
            <w:r w:rsidRPr="00A55335">
              <w:t>Hospitalisation</w:t>
            </w:r>
            <w:r w:rsidRPr="00A55335">
              <w:br/>
              <w:t>assessed with: number requiring inpatient care</w:t>
            </w:r>
            <w:r w:rsidR="00B60E14" w:rsidRPr="00A55335">
              <w:br/>
            </w:r>
            <w:r w:rsidRPr="00A55335">
              <w:t>follow-up: 16 weeks</w:t>
            </w:r>
          </w:p>
        </w:tc>
        <w:tc>
          <w:tcPr>
            <w:tcW w:w="720" w:type="pct"/>
            <w:tcBorders>
              <w:top w:val="single" w:sz="6" w:space="0" w:color="000000"/>
              <w:left w:val="nil"/>
              <w:bottom w:val="single" w:sz="6" w:space="0" w:color="000000"/>
              <w:right w:val="nil"/>
            </w:tcBorders>
            <w:shd w:val="clear" w:color="auto" w:fill="EBEBEB"/>
            <w:vAlign w:val="center"/>
          </w:tcPr>
          <w:p w14:paraId="002E5BFF" w14:textId="7555C038" w:rsidR="00D80977" w:rsidRPr="00A55335" w:rsidRDefault="00AF1BE8" w:rsidP="007252A0">
            <w:pPr>
              <w:pStyle w:val="Tabletext8pt"/>
              <w:jc w:val="center"/>
              <w:rPr>
                <w:rFonts w:eastAsia="Times New Roman"/>
              </w:rPr>
            </w:pPr>
            <w:r w:rsidRPr="00A55335">
              <w:rPr>
                <w:rFonts w:eastAsia="Times New Roman"/>
              </w:rPr>
              <w:t>118 per 1,000</w:t>
            </w:r>
          </w:p>
        </w:tc>
        <w:tc>
          <w:tcPr>
            <w:tcW w:w="721" w:type="pct"/>
            <w:gridSpan w:val="2"/>
            <w:tcBorders>
              <w:top w:val="single" w:sz="6" w:space="0" w:color="000000"/>
              <w:left w:val="nil"/>
              <w:bottom w:val="single" w:sz="6" w:space="0" w:color="000000"/>
              <w:right w:val="nil"/>
            </w:tcBorders>
            <w:shd w:val="clear" w:color="auto" w:fill="EBEBEB"/>
          </w:tcPr>
          <w:p w14:paraId="39324921" w14:textId="77777777" w:rsidR="00AF1BE8" w:rsidRPr="00A55335" w:rsidRDefault="00AF1BE8" w:rsidP="008D0C2A">
            <w:pPr>
              <w:pStyle w:val="Tabletext8pt"/>
              <w:jc w:val="center"/>
              <w:rPr>
                <w:rStyle w:val="Strong"/>
              </w:rPr>
            </w:pPr>
            <w:r w:rsidRPr="00A55335">
              <w:rPr>
                <w:rStyle w:val="Strong"/>
              </w:rPr>
              <w:t>125 per 1,000</w:t>
            </w:r>
          </w:p>
          <w:p w14:paraId="0D8C0148" w14:textId="00B96973" w:rsidR="00D80977" w:rsidRPr="00A55335" w:rsidRDefault="00AF1BE8" w:rsidP="007252A0">
            <w:pPr>
              <w:pStyle w:val="Tabletext8pt"/>
              <w:jc w:val="center"/>
            </w:pPr>
            <w:r w:rsidRPr="00A55335">
              <w:rPr>
                <w:rFonts w:eastAsia="Times New Roman"/>
              </w:rPr>
              <w:t>(20 to 788)</w:t>
            </w:r>
            <w:r w:rsidR="00430DF2">
              <w:rPr>
                <w:rFonts w:eastAsia="Times New Roman"/>
              </w:rPr>
              <w:t xml:space="preserve"> ^</w:t>
            </w:r>
          </w:p>
        </w:tc>
        <w:tc>
          <w:tcPr>
            <w:tcW w:w="433" w:type="pct"/>
            <w:tcBorders>
              <w:top w:val="single" w:sz="6" w:space="0" w:color="000000"/>
              <w:left w:val="nil"/>
              <w:bottom w:val="single" w:sz="6" w:space="0" w:color="000000"/>
              <w:right w:val="nil"/>
            </w:tcBorders>
            <w:vAlign w:val="center"/>
          </w:tcPr>
          <w:p w14:paraId="44202256" w14:textId="77777777" w:rsidR="00AF1BE8" w:rsidRPr="00A55335" w:rsidRDefault="00AF1BE8" w:rsidP="00AF1BE8">
            <w:pPr>
              <w:pStyle w:val="Tabletext8pt"/>
              <w:rPr>
                <w:rStyle w:val="Strong"/>
              </w:rPr>
            </w:pPr>
            <w:r w:rsidRPr="00A55335">
              <w:rPr>
                <w:rStyle w:val="Strong"/>
              </w:rPr>
              <w:t>RR 1.06</w:t>
            </w:r>
          </w:p>
          <w:p w14:paraId="4F19F11D" w14:textId="28EBCD7A" w:rsidR="00D80977" w:rsidRPr="00A55335" w:rsidRDefault="00AF1BE8" w:rsidP="007252A0">
            <w:pPr>
              <w:pStyle w:val="Tabletext8pt"/>
              <w:jc w:val="center"/>
              <w:rPr>
                <w:rFonts w:ascii="Arial Narrow" w:hAnsi="Arial Narrow"/>
              </w:rPr>
            </w:pPr>
            <w:r w:rsidRPr="00A55335">
              <w:rPr>
                <w:rFonts w:eastAsia="Times New Roman"/>
              </w:rPr>
              <w:t>(0.17 to 6.70)</w:t>
            </w:r>
          </w:p>
        </w:tc>
        <w:tc>
          <w:tcPr>
            <w:tcW w:w="576" w:type="pct"/>
            <w:tcBorders>
              <w:top w:val="single" w:sz="6" w:space="0" w:color="000000"/>
              <w:left w:val="nil"/>
              <w:bottom w:val="single" w:sz="6" w:space="0" w:color="000000"/>
              <w:right w:val="nil"/>
            </w:tcBorders>
            <w:vAlign w:val="center"/>
          </w:tcPr>
          <w:p w14:paraId="3143B218" w14:textId="04B16421" w:rsidR="00D80977" w:rsidRPr="00A55335" w:rsidRDefault="009023E5" w:rsidP="007252A0">
            <w:pPr>
              <w:pStyle w:val="Tabletext8pt"/>
              <w:jc w:val="center"/>
              <w:rPr>
                <w:rFonts w:eastAsia="Times New Roman"/>
              </w:rPr>
            </w:pPr>
            <w:r w:rsidRPr="00A55335">
              <w:rPr>
                <w:rFonts w:eastAsia="Times New Roman"/>
              </w:rPr>
              <w:t>35</w:t>
            </w:r>
            <w:r w:rsidR="00D80977" w:rsidRPr="00A55335">
              <w:rPr>
                <w:rFonts w:eastAsia="Times New Roman"/>
              </w:rPr>
              <w:br/>
              <w:t>(1 RCT)</w:t>
            </w:r>
          </w:p>
        </w:tc>
        <w:tc>
          <w:tcPr>
            <w:tcW w:w="581" w:type="pct"/>
            <w:gridSpan w:val="2"/>
            <w:tcBorders>
              <w:top w:val="single" w:sz="6" w:space="0" w:color="000000"/>
              <w:left w:val="nil"/>
              <w:bottom w:val="single" w:sz="6" w:space="0" w:color="000000"/>
              <w:right w:val="nil"/>
            </w:tcBorders>
            <w:vAlign w:val="center"/>
          </w:tcPr>
          <w:p w14:paraId="0D14167E" w14:textId="4D81D6FA" w:rsidR="00D80977" w:rsidRPr="00A55335" w:rsidRDefault="00D80977" w:rsidP="008D0C2A">
            <w:pPr>
              <w:pStyle w:val="Tabletext8pt"/>
              <w:jc w:val="center"/>
            </w:pPr>
            <w:r w:rsidRPr="00A55335">
              <w:rPr>
                <w:rFonts w:ascii="Cambria Math" w:hAnsi="Cambria Math" w:cs="Cambria Math"/>
              </w:rPr>
              <w:t>⨁</w:t>
            </w:r>
            <w:r w:rsidR="007A62B8" w:rsidRPr="00A55335">
              <w:rPr>
                <w:rFonts w:ascii="Cambria Math" w:hAnsi="Cambria Math" w:cs="Cambria Math"/>
              </w:rPr>
              <w:t>⨁</w:t>
            </w:r>
            <w:r w:rsidRPr="00A55335">
              <w:rPr>
                <w:rFonts w:ascii="Cambria Math" w:hAnsi="Cambria Math" w:cs="Cambria Math"/>
              </w:rPr>
              <w:t>◯◯</w:t>
            </w:r>
            <w:r w:rsidRPr="00A55335">
              <w:br/>
            </w:r>
            <w:r w:rsidR="009023E5" w:rsidRPr="00A55335">
              <w:rPr>
                <w:rStyle w:val="QualitytextChar"/>
              </w:rPr>
              <w:t>Low</w:t>
            </w:r>
            <w:r w:rsidRPr="00A55335">
              <w:t xml:space="preserve"> </w:t>
            </w:r>
            <w:proofErr w:type="spellStart"/>
            <w:r w:rsidR="009023E5" w:rsidRPr="00A55335">
              <w:rPr>
                <w:rStyle w:val="FootnoteReference"/>
              </w:rPr>
              <w:t>a,c,e,g</w:t>
            </w:r>
            <w:r w:rsidR="007A62B8" w:rsidRPr="00A55335">
              <w:rPr>
                <w:rStyle w:val="FootnoteReference"/>
              </w:rPr>
              <w:t>,h</w:t>
            </w:r>
            <w:proofErr w:type="spellEnd"/>
          </w:p>
        </w:tc>
        <w:tc>
          <w:tcPr>
            <w:tcW w:w="1075" w:type="pct"/>
            <w:tcBorders>
              <w:top w:val="single" w:sz="6" w:space="0" w:color="000000"/>
              <w:left w:val="nil"/>
              <w:bottom w:val="single" w:sz="6" w:space="0" w:color="000000"/>
              <w:right w:val="nil"/>
            </w:tcBorders>
            <w:vAlign w:val="center"/>
          </w:tcPr>
          <w:p w14:paraId="56AF9618" w14:textId="26550AFC" w:rsidR="00D80977" w:rsidRPr="00A55335" w:rsidRDefault="005D3002" w:rsidP="0084321D">
            <w:pPr>
              <w:pStyle w:val="Tabletext8pt"/>
            </w:pPr>
            <w:r w:rsidRPr="00A55335">
              <w:t>H</w:t>
            </w:r>
            <w:r w:rsidR="00D80977" w:rsidRPr="00A55335">
              <w:t xml:space="preserve">omeopathy may result in little to no difference in </w:t>
            </w:r>
            <w:r w:rsidR="009327BF" w:rsidRPr="00A55335">
              <w:t>need for hospitalisation</w:t>
            </w:r>
            <w:r w:rsidR="00D80977" w:rsidRPr="00A55335">
              <w:t xml:space="preserve"> in people with asthma</w:t>
            </w:r>
            <w:r w:rsidR="00C75FCE">
              <w:t xml:space="preserve"> ****</w:t>
            </w:r>
          </w:p>
        </w:tc>
      </w:tr>
      <w:tr w:rsidR="00D80977" w:rsidRPr="00A55335" w14:paraId="7C5E3464" w14:textId="77777777" w:rsidTr="007252A0">
        <w:trPr>
          <w:cantSplit/>
        </w:trPr>
        <w:tc>
          <w:tcPr>
            <w:tcW w:w="894" w:type="pct"/>
            <w:gridSpan w:val="2"/>
            <w:tcBorders>
              <w:top w:val="single" w:sz="6" w:space="0" w:color="000000"/>
              <w:left w:val="nil"/>
              <w:bottom w:val="single" w:sz="6" w:space="0" w:color="000000"/>
              <w:right w:val="nil"/>
            </w:tcBorders>
            <w:vAlign w:val="center"/>
          </w:tcPr>
          <w:p w14:paraId="0DB9038F" w14:textId="42D7CF4E" w:rsidR="00D80977" w:rsidRPr="00A55335" w:rsidRDefault="00D80977" w:rsidP="00B60E14">
            <w:pPr>
              <w:pStyle w:val="Tabletext8pt"/>
            </w:pPr>
            <w:r w:rsidRPr="00A55335">
              <w:lastRenderedPageBreak/>
              <w:t>Medication use</w:t>
            </w:r>
            <w:r w:rsidRPr="00A55335">
              <w:br/>
              <w:t xml:space="preserve">assessed </w:t>
            </w:r>
            <w:proofErr w:type="gramStart"/>
            <w:r w:rsidRPr="00A55335">
              <w:t>with:</w:t>
            </w:r>
            <w:proofErr w:type="gramEnd"/>
            <w:r w:rsidRPr="00A55335">
              <w:t xml:space="preserve"> rescue medication use (doses per week)</w:t>
            </w:r>
            <w:r w:rsidR="00B60E14" w:rsidRPr="00A55335">
              <w:br/>
            </w:r>
            <w:r w:rsidRPr="00A55335">
              <w:t>follow-up: 16 weeks</w:t>
            </w:r>
          </w:p>
        </w:tc>
        <w:tc>
          <w:tcPr>
            <w:tcW w:w="799" w:type="pct"/>
            <w:gridSpan w:val="2"/>
            <w:tcBorders>
              <w:top w:val="single" w:sz="6" w:space="0" w:color="000000"/>
              <w:left w:val="nil"/>
              <w:bottom w:val="single" w:sz="6" w:space="0" w:color="000000"/>
              <w:right w:val="nil"/>
            </w:tcBorders>
            <w:shd w:val="clear" w:color="auto" w:fill="EBEBEB"/>
            <w:vAlign w:val="center"/>
          </w:tcPr>
          <w:p w14:paraId="0DCA3DF9" w14:textId="25E69E2E" w:rsidR="00D80977" w:rsidRPr="00A55335" w:rsidRDefault="00D80977" w:rsidP="007252A0">
            <w:pPr>
              <w:pStyle w:val="Tabletext8pt"/>
              <w:jc w:val="center"/>
              <w:rPr>
                <w:rFonts w:eastAsia="Times New Roman"/>
              </w:rPr>
            </w:pPr>
            <w:r w:rsidRPr="00A55335">
              <w:rPr>
                <w:rFonts w:eastAsia="Times New Roman"/>
              </w:rPr>
              <w:t xml:space="preserve">The mean </w:t>
            </w:r>
            <w:r w:rsidR="0084321D" w:rsidRPr="00A55335">
              <w:rPr>
                <w:rFonts w:eastAsia="Times New Roman"/>
              </w:rPr>
              <w:t xml:space="preserve">number of </w:t>
            </w:r>
            <w:r w:rsidRPr="00A55335">
              <w:t>doses per week</w:t>
            </w:r>
            <w:r w:rsidRPr="00A55335">
              <w:rPr>
                <w:rFonts w:eastAsia="Times New Roman"/>
              </w:rPr>
              <w:t xml:space="preserve"> was </w:t>
            </w:r>
            <w:r w:rsidRPr="00A55335">
              <w:rPr>
                <w:rStyle w:val="Strong"/>
              </w:rPr>
              <w:t>66.4</w:t>
            </w:r>
          </w:p>
        </w:tc>
        <w:tc>
          <w:tcPr>
            <w:tcW w:w="642" w:type="pct"/>
            <w:tcBorders>
              <w:top w:val="single" w:sz="6" w:space="0" w:color="000000"/>
              <w:left w:val="nil"/>
              <w:bottom w:val="single" w:sz="6" w:space="0" w:color="000000"/>
              <w:right w:val="nil"/>
            </w:tcBorders>
            <w:shd w:val="clear" w:color="auto" w:fill="EBEBEB"/>
          </w:tcPr>
          <w:p w14:paraId="22B84134" w14:textId="3CED3F08" w:rsidR="00D80977" w:rsidRPr="00A55335" w:rsidRDefault="00D80977" w:rsidP="007252A0">
            <w:pPr>
              <w:pStyle w:val="Tabletext8pt"/>
              <w:jc w:val="center"/>
            </w:pPr>
            <w:r w:rsidRPr="00A55335">
              <w:t xml:space="preserve">MD </w:t>
            </w:r>
            <w:r w:rsidRPr="00A55335">
              <w:rPr>
                <w:rStyle w:val="Strong"/>
              </w:rPr>
              <w:t>2.2</w:t>
            </w:r>
            <w:r w:rsidR="0084321D" w:rsidRPr="00A55335">
              <w:rPr>
                <w:rStyle w:val="Strong"/>
              </w:rPr>
              <w:t>0</w:t>
            </w:r>
            <w:r w:rsidRPr="00A55335">
              <w:rPr>
                <w:rStyle w:val="Strong"/>
              </w:rPr>
              <w:t xml:space="preserve"> </w:t>
            </w:r>
            <w:r w:rsidR="0084321D" w:rsidRPr="00A55335">
              <w:rPr>
                <w:rStyle w:val="Strong"/>
              </w:rPr>
              <w:t>fewer</w:t>
            </w:r>
            <w:r w:rsidRPr="00A55335">
              <w:t xml:space="preserve"> (</w:t>
            </w:r>
            <w:r w:rsidR="0084321D" w:rsidRPr="00A55335">
              <w:t>49.01 fewer</w:t>
            </w:r>
            <w:r w:rsidRPr="00A55335">
              <w:t xml:space="preserve"> to </w:t>
            </w:r>
            <w:r w:rsidR="0084321D" w:rsidRPr="00A55335">
              <w:t>44.61 more</w:t>
            </w:r>
            <w:r w:rsidRPr="00A55335">
              <w:t>)</w:t>
            </w:r>
            <w:r w:rsidR="00645E69">
              <w:t xml:space="preserve"> </w:t>
            </w:r>
            <w:r w:rsidR="00F63FAA">
              <w:t>^</w:t>
            </w:r>
            <w:r w:rsidR="00645E69">
              <w:t>^</w:t>
            </w:r>
          </w:p>
        </w:tc>
        <w:tc>
          <w:tcPr>
            <w:tcW w:w="433" w:type="pct"/>
            <w:tcBorders>
              <w:top w:val="single" w:sz="6" w:space="0" w:color="000000"/>
              <w:left w:val="nil"/>
              <w:bottom w:val="single" w:sz="6" w:space="0" w:color="000000"/>
              <w:right w:val="nil"/>
            </w:tcBorders>
            <w:vAlign w:val="center"/>
          </w:tcPr>
          <w:p w14:paraId="11AA2B84" w14:textId="77777777" w:rsidR="00D80977" w:rsidRPr="00A55335" w:rsidRDefault="00D80977" w:rsidP="00D80977">
            <w:pPr>
              <w:pStyle w:val="Tabletext8pt"/>
              <w:jc w:val="center"/>
              <w:rPr>
                <w:rFonts w:ascii="Arial Narrow" w:hAnsi="Arial Narrow"/>
              </w:rPr>
            </w:pPr>
            <w:r w:rsidRPr="00A55335">
              <w:t>-</w:t>
            </w:r>
          </w:p>
        </w:tc>
        <w:tc>
          <w:tcPr>
            <w:tcW w:w="576" w:type="pct"/>
            <w:tcBorders>
              <w:top w:val="single" w:sz="6" w:space="0" w:color="000000"/>
              <w:left w:val="nil"/>
              <w:bottom w:val="single" w:sz="6" w:space="0" w:color="000000"/>
              <w:right w:val="nil"/>
            </w:tcBorders>
            <w:vAlign w:val="center"/>
          </w:tcPr>
          <w:p w14:paraId="48542AF3" w14:textId="7351717B" w:rsidR="00D80977" w:rsidRPr="00A55335" w:rsidRDefault="00375077" w:rsidP="00D80977">
            <w:pPr>
              <w:pStyle w:val="Tabletext8pt"/>
              <w:jc w:val="center"/>
              <w:rPr>
                <w:rFonts w:eastAsia="Times New Roman"/>
              </w:rPr>
            </w:pPr>
            <w:r w:rsidRPr="00A55335">
              <w:rPr>
                <w:rFonts w:eastAsia="Times New Roman"/>
              </w:rPr>
              <w:t>35</w:t>
            </w:r>
            <w:r w:rsidR="00D80977" w:rsidRPr="00A55335">
              <w:rPr>
                <w:rFonts w:eastAsia="Times New Roman"/>
              </w:rPr>
              <w:br/>
              <w:t>(</w:t>
            </w:r>
            <w:r w:rsidR="00124779" w:rsidRPr="00A55335">
              <w:rPr>
                <w:rFonts w:eastAsia="Times New Roman"/>
              </w:rPr>
              <w:t>1</w:t>
            </w:r>
            <w:r w:rsidR="00D80977" w:rsidRPr="00A55335">
              <w:rPr>
                <w:rFonts w:eastAsia="Times New Roman"/>
              </w:rPr>
              <w:t xml:space="preserve"> RCT)</w:t>
            </w:r>
            <w:r w:rsidR="00124779" w:rsidRPr="00A55335">
              <w:rPr>
                <w:rStyle w:val="FootnoteReference"/>
              </w:rPr>
              <w:t xml:space="preserve"> †</w:t>
            </w:r>
          </w:p>
        </w:tc>
        <w:tc>
          <w:tcPr>
            <w:tcW w:w="581" w:type="pct"/>
            <w:gridSpan w:val="2"/>
            <w:tcBorders>
              <w:top w:val="single" w:sz="6" w:space="0" w:color="000000"/>
              <w:left w:val="nil"/>
              <w:bottom w:val="single" w:sz="6" w:space="0" w:color="000000"/>
              <w:right w:val="nil"/>
            </w:tcBorders>
            <w:vAlign w:val="center"/>
          </w:tcPr>
          <w:p w14:paraId="6000931D" w14:textId="4BC60B54" w:rsidR="00D80977" w:rsidRPr="00A55335" w:rsidRDefault="00D80977" w:rsidP="007252A0">
            <w:pPr>
              <w:pStyle w:val="Tabletext8pt"/>
            </w:pPr>
            <w:r w:rsidRPr="00A55335">
              <w:t>⨁⨁◯◯</w:t>
            </w:r>
            <w:r w:rsidRPr="00A55335">
              <w:br/>
            </w:r>
            <w:r w:rsidRPr="00A55335">
              <w:rPr>
                <w:rStyle w:val="QualitytextChar"/>
              </w:rPr>
              <w:t>Low</w:t>
            </w:r>
            <w:r w:rsidRPr="00A55335">
              <w:t xml:space="preserve"> </w:t>
            </w:r>
            <w:proofErr w:type="spellStart"/>
            <w:r w:rsidRPr="00A55335">
              <w:rPr>
                <w:rStyle w:val="FootnoteReference"/>
              </w:rPr>
              <w:t>a,b,c,e</w:t>
            </w:r>
            <w:r w:rsidR="00375077" w:rsidRPr="00A55335">
              <w:rPr>
                <w:rStyle w:val="FootnoteReference"/>
              </w:rPr>
              <w:t>,</w:t>
            </w:r>
            <w:r w:rsidR="007F0291">
              <w:rPr>
                <w:rStyle w:val="FootnoteReference"/>
              </w:rPr>
              <w:t>i</w:t>
            </w:r>
            <w:proofErr w:type="spellEnd"/>
          </w:p>
        </w:tc>
        <w:tc>
          <w:tcPr>
            <w:tcW w:w="1075" w:type="pct"/>
            <w:tcBorders>
              <w:top w:val="single" w:sz="6" w:space="0" w:color="000000"/>
              <w:left w:val="nil"/>
              <w:bottom w:val="single" w:sz="6" w:space="0" w:color="000000"/>
              <w:right w:val="nil"/>
            </w:tcBorders>
            <w:vAlign w:val="center"/>
          </w:tcPr>
          <w:p w14:paraId="1118B82C" w14:textId="71EF1004" w:rsidR="00D80977" w:rsidRPr="00A55335" w:rsidRDefault="00F87F0B" w:rsidP="0084321D">
            <w:pPr>
              <w:pStyle w:val="Tabletext8pt"/>
            </w:pPr>
            <w:r w:rsidRPr="00A55335">
              <w:t>H</w:t>
            </w:r>
            <w:r w:rsidR="00D80977" w:rsidRPr="00A55335">
              <w:t xml:space="preserve">omeopathy may result in little to no difference in </w:t>
            </w:r>
            <w:r w:rsidR="00124779" w:rsidRPr="00A55335">
              <w:t>medication use</w:t>
            </w:r>
            <w:r w:rsidR="00D80977" w:rsidRPr="00A55335">
              <w:t xml:space="preserve"> in people with asthma</w:t>
            </w:r>
            <w:r w:rsidR="000B118A">
              <w:t xml:space="preserve"> ***</w:t>
            </w:r>
          </w:p>
        </w:tc>
      </w:tr>
      <w:tr w:rsidR="00D80977" w:rsidRPr="00A55335" w14:paraId="6E353AB9" w14:textId="77777777" w:rsidTr="00D62A66">
        <w:trPr>
          <w:gridBefore w:val="1"/>
          <w:wBefore w:w="29" w:type="pct"/>
          <w:cantSplit/>
        </w:trPr>
        <w:tc>
          <w:tcPr>
            <w:tcW w:w="4971" w:type="pct"/>
            <w:gridSpan w:val="9"/>
            <w:tcBorders>
              <w:top w:val="single" w:sz="6" w:space="0" w:color="000000"/>
              <w:left w:val="nil"/>
              <w:bottom w:val="single" w:sz="6" w:space="0" w:color="000000"/>
              <w:right w:val="nil"/>
            </w:tcBorders>
            <w:vAlign w:val="center"/>
          </w:tcPr>
          <w:p w14:paraId="0775150A" w14:textId="661A2418" w:rsidR="00D80977" w:rsidRPr="00A55335" w:rsidRDefault="00D80977" w:rsidP="00D80977">
            <w:pPr>
              <w:pStyle w:val="TableFigNotes18"/>
            </w:pP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5764828A" w14:textId="59FA6FCC" w:rsidR="00D80977" w:rsidRPr="00A55335" w:rsidRDefault="00D80977" w:rsidP="00D80977">
            <w:pPr>
              <w:pStyle w:val="TableFigNotes18"/>
            </w:pPr>
            <w:r w:rsidRPr="00A55335">
              <w:t xml:space="preserve">** As a rule of thumb, an SMD of 0.2 is considered a small difference, 0.5 is considered medium, and 0.8 is considered large </w:t>
            </w:r>
            <w:r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Pr="00A55335">
              <w:fldChar w:fldCharType="separate"/>
            </w:r>
            <w:r w:rsidR="00FA37A6" w:rsidRPr="00A55335">
              <w:rPr>
                <w:noProof/>
              </w:rPr>
              <w:t>(</w:t>
            </w:r>
            <w:hyperlink w:anchor="_ENREF_83" w:tooltip="Faraone, 2008 #165" w:history="1">
              <w:r w:rsidR="00EC2769" w:rsidRPr="00A55335">
                <w:rPr>
                  <w:noProof/>
                </w:rPr>
                <w:t>83</w:t>
              </w:r>
            </w:hyperlink>
            <w:r w:rsidR="00FA37A6" w:rsidRPr="00A55335">
              <w:rPr>
                <w:noProof/>
              </w:rPr>
              <w:t>)</w:t>
            </w:r>
            <w:r w:rsidRPr="00A55335">
              <w:fldChar w:fldCharType="end"/>
            </w:r>
            <w:r w:rsidRPr="00A55335">
              <w:t>.</w:t>
            </w:r>
          </w:p>
          <w:p w14:paraId="2AD24E76" w14:textId="78B94787" w:rsidR="00401A00" w:rsidRPr="00196574" w:rsidRDefault="00C75FCE" w:rsidP="00401A00">
            <w:pPr>
              <w:pStyle w:val="TableFigNotes18"/>
            </w:pPr>
            <w:r>
              <w:t xml:space="preserve">*** </w:t>
            </w:r>
            <w:r w:rsidRPr="009B5C71">
              <w:t>Effect estimates were considered on 3 levels: small (MD &lt;10% of the scale), moderate (MD between 10% to 20% of the scale) or large (MD more than 20% of the scale).</w:t>
            </w:r>
            <w:r>
              <w:br/>
            </w:r>
            <w:r w:rsidR="00401A00">
              <w:t>*</w:t>
            </w:r>
            <w:r>
              <w:t>*</w:t>
            </w:r>
            <w:r w:rsidR="00401A00" w:rsidRPr="00196574">
              <w:t>** A 25% relative risk reduction was considered important (i.e. RR &lt; 0.75).</w:t>
            </w:r>
          </w:p>
          <w:p w14:paraId="1EC446FF" w14:textId="61FA176D" w:rsidR="00EC51F7" w:rsidRDefault="00A1315A" w:rsidP="00D80977">
            <w:pPr>
              <w:pStyle w:val="TableFigNotes18"/>
            </w:pPr>
            <w:r>
              <w:br/>
            </w:r>
            <w:r w:rsidR="00F63FAA">
              <w:t>^</w:t>
            </w:r>
            <w:r w:rsidR="009F70F7">
              <w:t xml:space="preserve"> The ARD is </w:t>
            </w:r>
            <w:r w:rsidR="00E747CE">
              <w:t>7 more</w:t>
            </w:r>
            <w:r w:rsidR="009F70F7">
              <w:t xml:space="preserve"> per 1,000 (from </w:t>
            </w:r>
            <w:r w:rsidR="00E747CE">
              <w:t>98</w:t>
            </w:r>
            <w:r w:rsidR="009F70F7">
              <w:t xml:space="preserve"> fewer to </w:t>
            </w:r>
            <w:r w:rsidR="00E747CE">
              <w:t>671</w:t>
            </w:r>
            <w:r w:rsidR="009F70F7">
              <w:t xml:space="preserve"> more) i.e. </w:t>
            </w:r>
            <w:r w:rsidR="00AF7A04">
              <w:t>0.7</w:t>
            </w:r>
            <w:r w:rsidR="009F70F7">
              <w:t>% reduction.</w:t>
            </w:r>
            <w:r w:rsidR="009F70F7">
              <w:br/>
            </w:r>
            <w:r w:rsidR="00F63FAA">
              <w:t xml:space="preserve">^^ </w:t>
            </w:r>
            <w:r w:rsidR="00F63FAA" w:rsidRPr="00593113">
              <w:t xml:space="preserve">SMD </w:t>
            </w:r>
            <w:r w:rsidR="00F63FAA">
              <w:t>–</w:t>
            </w:r>
            <w:r w:rsidR="00F63FAA" w:rsidRPr="00593113">
              <w:t xml:space="preserve">0.03 </w:t>
            </w:r>
            <w:r w:rsidR="00F63FAA">
              <w:t>(95% CI –</w:t>
            </w:r>
            <w:r w:rsidR="00F63FAA" w:rsidRPr="00593113">
              <w:t>0.69, 0.63</w:t>
            </w:r>
            <w:r w:rsidR="00F63FAA">
              <w:t>)</w:t>
            </w:r>
            <w:r w:rsidR="00F63FAA">
              <w:br/>
            </w:r>
            <w:r w:rsidR="00F63FAA">
              <w:br/>
            </w:r>
            <w:r w:rsidR="00EC51F7">
              <w:t>#</w:t>
            </w:r>
            <w:r w:rsidR="00EC51F7" w:rsidRPr="00791426">
              <w:t xml:space="preserve"> An MCID for the PEFR is not established</w:t>
            </w:r>
            <w:r w:rsidR="00EC51F7">
              <w:t xml:space="preserve">. Changes in </w:t>
            </w:r>
            <w:r w:rsidR="00EC51F7" w:rsidRPr="00791426">
              <w:t xml:space="preserve">peak flow measurements </w:t>
            </w:r>
            <w:r w:rsidR="00EC51F7">
              <w:t xml:space="preserve">are </w:t>
            </w:r>
            <w:r w:rsidR="00EC51F7" w:rsidRPr="00791426">
              <w:t xml:space="preserve">dependent on the </w:t>
            </w:r>
            <w:r w:rsidR="007B2AB1">
              <w:t>individual</w:t>
            </w:r>
            <w:r w:rsidR="00A20003">
              <w:t xml:space="preserve">. </w:t>
            </w:r>
            <w:r w:rsidR="00EC51F7" w:rsidRPr="00791426">
              <w:t>age, weight, height etc.</w:t>
            </w:r>
            <w:r w:rsidR="00307EA6" w:rsidRPr="00307EA6">
              <w:rPr>
                <w:sz w:val="18"/>
                <w:szCs w:val="20"/>
                <w:shd w:val="clear" w:color="auto" w:fill="FFFFFF"/>
              </w:rPr>
              <w:t xml:space="preserve"> </w:t>
            </w:r>
            <w:r w:rsidR="00307EA6" w:rsidRPr="00307EA6">
              <w:t>Fifty percent to 80% of personal best</w:t>
            </w:r>
            <w:r w:rsidR="00307EA6">
              <w:t xml:space="preserve"> suggests airway obstruction. Less than 50% of personal best </w:t>
            </w:r>
            <w:r w:rsidR="00A30702" w:rsidRPr="00A30702">
              <w:t>indicate</w:t>
            </w:r>
            <w:r w:rsidR="00A30702">
              <w:t>s</w:t>
            </w:r>
            <w:r w:rsidR="00A30702" w:rsidRPr="00A30702">
              <w:t xml:space="preserve"> serious airway obstruction</w:t>
            </w:r>
            <w:r w:rsidR="00A30702">
              <w:t>.</w:t>
            </w:r>
          </w:p>
          <w:p w14:paraId="54720A45" w14:textId="45F76740" w:rsidR="00D80977" w:rsidRPr="00A55335" w:rsidRDefault="00F76E01" w:rsidP="00D80977">
            <w:pPr>
              <w:pStyle w:val="TableFigNotes18"/>
            </w:pPr>
            <w:r>
              <w:t>#</w:t>
            </w:r>
            <w:r w:rsidR="00D80977" w:rsidRPr="00A55335">
              <w:t xml:space="preserve"># A change score of 0.5 is considered the MCID for this outcome measure </w:t>
            </w:r>
            <w:r w:rsidR="0081725A" w:rsidRPr="00A55335">
              <w:fldChar w:fldCharType="begin"/>
            </w:r>
            <w:r w:rsidR="003D43CC">
              <w:instrText xml:space="preserve"> ADDIN EN.CITE &lt;EndNote&gt;&lt;Cite&gt;&lt;Author&gt;Juniper&lt;/Author&gt;&lt;Year&gt;1994&lt;/Year&gt;&lt;RecNum&gt;726&lt;/RecNum&gt;&lt;DisplayText&gt;(218)&lt;/DisplayText&gt;&lt;record&gt;&lt;rec-number&gt;726&lt;/rec-number&gt;&lt;foreign-keys&gt;&lt;key app="EN" db-id="t5prptatr9sp0we5exbxt9zz20fwp55tdza9" timestamp="1702594429"&gt;726&lt;/key&gt;&lt;/foreign-keys&gt;&lt;ref-type name="Journal Article"&gt;17&lt;/ref-type&gt;&lt;contributors&gt;&lt;authors&gt;&lt;author&gt;Juniper, E. F.&lt;/author&gt;&lt;author&gt;Guyatt, G. H.&lt;/author&gt;&lt;author&gt;Willan, A.&lt;/author&gt;&lt;author&gt;Griffith, L. E.&lt;/author&gt;&lt;/authors&gt;&lt;/contributors&gt;&lt;auth-address&gt;Department of Clinical Epidemiology and Biostatistics, McMaster University Medical Centre, Hamilton, Ontario, Canada.&lt;/auth-address&gt;&lt;titles&gt;&lt;title&gt;Determining a minimal important change in a disease-specific Quality of Life Questionnaire&lt;/title&gt;&lt;secondary-title&gt;J Clin Epidemiol&lt;/secondary-title&gt;&lt;/titles&gt;&lt;periodical&gt;&lt;full-title&gt;J Clin Epidemiol&lt;/full-title&gt;&lt;/periodical&gt;&lt;pages&gt;81-7&lt;/pages&gt;&lt;volume&gt;47&lt;/volume&gt;&lt;number&gt;1&lt;/number&gt;&lt;keywords&gt;&lt;keyword&gt;Adult&lt;/keyword&gt;&lt;keyword&gt;Asthma/*psychology&lt;/keyword&gt;&lt;keyword&gt;Female&lt;/keyword&gt;&lt;keyword&gt;Humans&lt;/keyword&gt;&lt;keyword&gt;Male&lt;/keyword&gt;&lt;keyword&gt;*Quality of Life&lt;/keyword&gt;&lt;keyword&gt;Surveys and Questionnaires&lt;/keyword&gt;&lt;/keywords&gt;&lt;dates&gt;&lt;year&gt;1994&lt;/year&gt;&lt;pub-dates&gt;&lt;date&gt;Jan&lt;/date&gt;&lt;/pub-dates&gt;&lt;/dates&gt;&lt;isbn&gt;0895-4356 (Print)&amp;#xD;0895-4356 (Linking)&lt;/isbn&gt;&lt;accession-num&gt;8283197&lt;/accession-num&gt;&lt;urls&gt;&lt;related-urls&gt;&lt;url&gt;https://www.ncbi.nlm.nih.gov/pubmed/8283197&lt;/url&gt;&lt;/related-urls&gt;&lt;/urls&gt;&lt;electronic-resource-num&gt;10.1016/0895-4356(94)90036-1&lt;/electronic-resource-num&gt;&lt;remote-database-name&gt;Medline&lt;/remote-database-name&gt;&lt;remote-database-provider&gt;NLM&lt;/remote-database-provider&gt;&lt;/record&gt;&lt;/Cite&gt;&lt;/EndNote&gt;</w:instrText>
            </w:r>
            <w:r w:rsidR="0081725A" w:rsidRPr="00A55335">
              <w:fldChar w:fldCharType="separate"/>
            </w:r>
            <w:r w:rsidR="003D43CC">
              <w:rPr>
                <w:noProof/>
              </w:rPr>
              <w:t>(</w:t>
            </w:r>
            <w:hyperlink w:anchor="_ENREF_218" w:tooltip="Juniper, 1994 #726" w:history="1">
              <w:r w:rsidR="00EC2769">
                <w:rPr>
                  <w:noProof/>
                </w:rPr>
                <w:t>218</w:t>
              </w:r>
            </w:hyperlink>
            <w:r w:rsidR="003D43CC">
              <w:rPr>
                <w:noProof/>
              </w:rPr>
              <w:t>)</w:t>
            </w:r>
            <w:r w:rsidR="0081725A" w:rsidRPr="00A55335">
              <w:fldChar w:fldCharType="end"/>
            </w:r>
            <w:r w:rsidR="00D80977" w:rsidRPr="00A55335">
              <w:t xml:space="preserve">. </w:t>
            </w:r>
          </w:p>
          <w:p w14:paraId="1D3B0FB2" w14:textId="45F0D6A7" w:rsidR="00D80977" w:rsidRPr="00A55335" w:rsidRDefault="00D80977" w:rsidP="00D80977">
            <w:pPr>
              <w:pStyle w:val="TableFigNotes18"/>
            </w:pPr>
          </w:p>
          <w:p w14:paraId="6E9E3335" w14:textId="2D1AF724" w:rsidR="00593113" w:rsidRDefault="00593113" w:rsidP="00D80977">
            <w:pPr>
              <w:pStyle w:val="TableFigNotes18"/>
            </w:pPr>
          </w:p>
          <w:p w14:paraId="1A982DEC" w14:textId="15581159" w:rsidR="00D80977" w:rsidRPr="00A55335" w:rsidRDefault="00D80977" w:rsidP="00D80977">
            <w:pPr>
              <w:pStyle w:val="TableFigNotes18"/>
            </w:pPr>
            <w:r w:rsidRPr="00A55335">
              <w:t>† Data from one RCT (51 participants) not included as the data were incomplete. Study authors reported there was no important difference between the homeopathy and control groups at the end of treatment (</w:t>
            </w:r>
            <w:r w:rsidR="00124779" w:rsidRPr="00A55335">
              <w:t>52 weeks</w:t>
            </w:r>
            <w:r w:rsidRPr="00A55335">
              <w:t>).</w:t>
            </w:r>
          </w:p>
          <w:p w14:paraId="5B267A78" w14:textId="10CE6FE4" w:rsidR="00D80977" w:rsidRPr="00A55335" w:rsidRDefault="00D80977" w:rsidP="00D80977">
            <w:pPr>
              <w:pStyle w:val="TableFigNotes0"/>
              <w:rPr>
                <w:rStyle w:val="Strong"/>
                <w:b w:val="0"/>
                <w:bCs w:val="0"/>
              </w:rPr>
            </w:pPr>
            <w:r w:rsidRPr="00A55335">
              <w:rPr>
                <w:rStyle w:val="Strong"/>
              </w:rPr>
              <w:t>ACQ:</w:t>
            </w:r>
            <w:r w:rsidRPr="00A55335">
              <w:t xml:space="preserve"> Asthma control questionnaire; </w:t>
            </w:r>
            <w:r w:rsidRPr="00A55335">
              <w:rPr>
                <w:rStyle w:val="Strong"/>
              </w:rPr>
              <w:t>AQLQ:</w:t>
            </w:r>
            <w:r w:rsidRPr="00A55335">
              <w:t xml:space="preserve"> Asthma quality of life questionnaire; </w:t>
            </w:r>
            <w:r w:rsidRPr="00A55335">
              <w:rPr>
                <w:rStyle w:val="Strong"/>
              </w:rPr>
              <w:t>CI:</w:t>
            </w:r>
            <w:r w:rsidRPr="00A55335">
              <w:t xml:space="preserve"> confidence interval; </w:t>
            </w:r>
            <w:r w:rsidRPr="00A55335">
              <w:rPr>
                <w:rStyle w:val="Strong"/>
              </w:rPr>
              <w:t>PAQLQ:</w:t>
            </w:r>
            <w:r w:rsidRPr="00A55335">
              <w:t xml:space="preserve"> Paediatric asthma quality of life questionnaire; </w:t>
            </w:r>
            <w:r w:rsidRPr="00A55335">
              <w:rPr>
                <w:rStyle w:val="Strong"/>
              </w:rPr>
              <w:t>PEFR:</w:t>
            </w:r>
            <w:r w:rsidRPr="00A55335">
              <w:t xml:space="preserve"> peak expiratory flow rate; </w:t>
            </w:r>
            <w:r w:rsidRPr="00A55335">
              <w:rPr>
                <w:rStyle w:val="Strong"/>
              </w:rPr>
              <w:t>SMD:</w:t>
            </w:r>
            <w:r w:rsidRPr="00A55335">
              <w:t xml:space="preserve"> standardised mean difference.</w:t>
            </w:r>
          </w:p>
        </w:tc>
      </w:tr>
      <w:tr w:rsidR="00D80977" w:rsidRPr="00A55335" w14:paraId="1E5368F6" w14:textId="77777777" w:rsidTr="00D62A66">
        <w:trPr>
          <w:gridBefore w:val="1"/>
          <w:wBefore w:w="29" w:type="pct"/>
          <w:cantSplit/>
        </w:trPr>
        <w:tc>
          <w:tcPr>
            <w:tcW w:w="4971" w:type="pct"/>
            <w:gridSpan w:val="9"/>
            <w:tcBorders>
              <w:top w:val="single" w:sz="6" w:space="0" w:color="000000"/>
              <w:left w:val="nil"/>
              <w:bottom w:val="single" w:sz="6" w:space="0" w:color="000000"/>
              <w:right w:val="nil"/>
            </w:tcBorders>
            <w:vAlign w:val="center"/>
            <w:hideMark/>
          </w:tcPr>
          <w:p w14:paraId="0B1ACDBC" w14:textId="77777777" w:rsidR="00D80977" w:rsidRPr="00A55335" w:rsidRDefault="00D80977" w:rsidP="00D80977">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15A4B197" w14:textId="77777777" w:rsidR="00550DFC" w:rsidRPr="00A55335" w:rsidRDefault="00550DFC" w:rsidP="006A506C">
      <w:pPr>
        <w:pStyle w:val="Heading5a"/>
        <w:rPr>
          <w:lang w:val="en-AU"/>
        </w:rPr>
      </w:pPr>
      <w:r w:rsidRPr="00A55335">
        <w:rPr>
          <w:lang w:val="en-AU"/>
        </w:rPr>
        <w:t>Explanations</w:t>
      </w:r>
    </w:p>
    <w:p w14:paraId="595F9D08" w14:textId="6406BC71" w:rsidR="0012642D" w:rsidRPr="00A55335" w:rsidRDefault="00550DFC" w:rsidP="006A506C">
      <w:pPr>
        <w:pStyle w:val="Footnote"/>
      </w:pPr>
      <w:r w:rsidRPr="00A55335">
        <w:t xml:space="preserve">a. </w:t>
      </w:r>
      <w:r w:rsidR="0012642D" w:rsidRPr="00A55335">
        <w:t>No serious risk of bias.</w:t>
      </w:r>
      <w:r w:rsidR="00AE51F7" w:rsidRPr="00A55335">
        <w:t xml:space="preserve"> Certainty of evidence not downgraded.</w:t>
      </w:r>
    </w:p>
    <w:p w14:paraId="04F8B92F" w14:textId="6A73E5FA" w:rsidR="00AE51F7" w:rsidRPr="00A55335" w:rsidRDefault="0012642D" w:rsidP="006A506C">
      <w:pPr>
        <w:pStyle w:val="Footnote"/>
      </w:pPr>
      <w:r w:rsidRPr="00A55335">
        <w:t xml:space="preserve">b. </w:t>
      </w:r>
      <w:r w:rsidR="00AE51F7" w:rsidRPr="00A55335">
        <w:t>No serious i</w:t>
      </w:r>
      <w:r w:rsidRPr="00A55335">
        <w:t>nconsistency</w:t>
      </w:r>
      <w:r w:rsidR="00AE51F7" w:rsidRPr="00A55335">
        <w:t>. Certainty of evidence not downgraded.</w:t>
      </w:r>
    </w:p>
    <w:p w14:paraId="3F3F0034" w14:textId="5D6F493C" w:rsidR="00492E7B" w:rsidRPr="00A55335" w:rsidRDefault="00492E7B" w:rsidP="00492E7B">
      <w:pPr>
        <w:pStyle w:val="Footnote"/>
      </w:pPr>
      <w:r w:rsidRPr="00A55335">
        <w:t xml:space="preserve">c. No serious indirectness. The available evidence is in </w:t>
      </w:r>
      <w:r w:rsidR="004C4B04" w:rsidRPr="00A55335">
        <w:t xml:space="preserve">adults </w:t>
      </w:r>
      <w:r w:rsidR="0080402E" w:rsidRPr="00A55335">
        <w:t xml:space="preserve">or children </w:t>
      </w:r>
      <w:r w:rsidRPr="00A55335">
        <w:t>with bronchial asthma is directly applicable to the Australian population with few caveats. Certainty of evidence not downgraded.</w:t>
      </w:r>
    </w:p>
    <w:p w14:paraId="6A3D993D" w14:textId="2658E7EB" w:rsidR="00550DFC" w:rsidRPr="00A55335" w:rsidRDefault="00492E7B" w:rsidP="006A506C">
      <w:pPr>
        <w:pStyle w:val="Footnote"/>
      </w:pPr>
      <w:r w:rsidRPr="00A55335">
        <w:t xml:space="preserve">d. </w:t>
      </w:r>
      <w:r w:rsidR="00697003" w:rsidRPr="00A55335">
        <w:t>Very s</w:t>
      </w:r>
      <w:r w:rsidRPr="00A55335">
        <w:t>erious imprecision.</w:t>
      </w:r>
      <w:r w:rsidR="00C51805" w:rsidRPr="00A55335">
        <w:t xml:space="preserve"> </w:t>
      </w:r>
      <w:r w:rsidR="00550DFC" w:rsidRPr="00A55335">
        <w:t xml:space="preserve">Wide confidence intervals </w:t>
      </w:r>
      <w:r w:rsidR="00F66DB2" w:rsidRPr="00A55335">
        <w:t xml:space="preserve">(upper and lower bounds overlap with both </w:t>
      </w:r>
      <w:r w:rsidR="00B10918">
        <w:t xml:space="preserve">small </w:t>
      </w:r>
      <w:r w:rsidR="00F66DB2" w:rsidRPr="00A55335">
        <w:t>important</w:t>
      </w:r>
      <w:r w:rsidR="00B10918">
        <w:t xml:space="preserve"> benefit [SMD </w:t>
      </w:r>
      <w:r w:rsidR="001B0BD7">
        <w:t>–</w:t>
      </w:r>
      <w:r w:rsidR="00B10918">
        <w:t>0.21]</w:t>
      </w:r>
      <w:r w:rsidR="00F66DB2" w:rsidRPr="00A55335">
        <w:t xml:space="preserve"> and important </w:t>
      </w:r>
      <w:r w:rsidR="00CA5ACC">
        <w:t>harms [SMD 0.64]</w:t>
      </w:r>
      <w:r w:rsidR="00C51805" w:rsidRPr="00A55335">
        <w:t>)</w:t>
      </w:r>
      <w:r w:rsidR="00550DFC" w:rsidRPr="00A55335">
        <w:t xml:space="preserve">. Certainty of evidence downgraded </w:t>
      </w:r>
      <w:r w:rsidR="00862AF2" w:rsidRPr="00A55335">
        <w:t>2</w:t>
      </w:r>
      <w:r w:rsidR="00550DFC" w:rsidRPr="00A55335">
        <w:t xml:space="preserve"> levels. </w:t>
      </w:r>
    </w:p>
    <w:p w14:paraId="444E3B34" w14:textId="77777777" w:rsidR="00C51805" w:rsidRPr="00A55335" w:rsidRDefault="00C51805" w:rsidP="00C51805">
      <w:pPr>
        <w:pStyle w:val="Footnote"/>
      </w:pPr>
      <w:r w:rsidRPr="00A55335">
        <w:t>e. Publication bias not suspected. Certainty of evidence not downgraded.</w:t>
      </w:r>
    </w:p>
    <w:p w14:paraId="3E52AECF" w14:textId="49796865" w:rsidR="004C4B04" w:rsidRPr="00A55335" w:rsidRDefault="00595333" w:rsidP="004C4B04">
      <w:pPr>
        <w:pStyle w:val="Footnote"/>
      </w:pPr>
      <w:r w:rsidRPr="00A55335">
        <w:t xml:space="preserve">f. </w:t>
      </w:r>
      <w:proofErr w:type="gramStart"/>
      <w:r w:rsidR="00B7498E" w:rsidRPr="00A55335">
        <w:t>Serious</w:t>
      </w:r>
      <w:proofErr w:type="gramEnd"/>
      <w:r w:rsidR="00B7498E" w:rsidRPr="00A55335">
        <w:t xml:space="preserve"> i</w:t>
      </w:r>
      <w:r w:rsidRPr="00A55335">
        <w:t>nconsistency</w:t>
      </w:r>
      <w:r w:rsidR="00B7498E" w:rsidRPr="00A55335">
        <w:t xml:space="preserve">. One study suggested an effect that favours the control, and one study suggested no important difference. </w:t>
      </w:r>
      <w:r w:rsidR="004C4B04" w:rsidRPr="00A55335">
        <w:t>Certainty of evidence downgraded.</w:t>
      </w:r>
    </w:p>
    <w:p w14:paraId="720432EE" w14:textId="32E59242" w:rsidR="009023E5" w:rsidRPr="00A55335" w:rsidRDefault="0080402E" w:rsidP="00434C28">
      <w:pPr>
        <w:pStyle w:val="Footnote"/>
      </w:pPr>
      <w:r w:rsidRPr="00A55335">
        <w:lastRenderedPageBreak/>
        <w:t xml:space="preserve">g. Very serious imprecision. </w:t>
      </w:r>
      <w:r w:rsidR="0034681E" w:rsidRPr="00A55335">
        <w:t>Single</w:t>
      </w:r>
      <w:r w:rsidR="00550DFC" w:rsidRPr="00A55335">
        <w:t xml:space="preserve"> small study with wide confidence intervals</w:t>
      </w:r>
      <w:r w:rsidR="009615E1" w:rsidRPr="00A55335">
        <w:t xml:space="preserve"> (</w:t>
      </w:r>
      <w:r w:rsidR="00327749">
        <w:t xml:space="preserve">upper and </w:t>
      </w:r>
      <w:r w:rsidR="009615E1" w:rsidRPr="00A55335">
        <w:t>lower bound</w:t>
      </w:r>
      <w:r w:rsidR="00327749">
        <w:t>s</w:t>
      </w:r>
      <w:r w:rsidR="002E21C5" w:rsidRPr="00A55335">
        <w:t xml:space="preserve"> overlap with no important </w:t>
      </w:r>
      <w:r w:rsidR="00555A1D">
        <w:t xml:space="preserve">benefit </w:t>
      </w:r>
      <w:r w:rsidR="00840A9F">
        <w:t>[</w:t>
      </w:r>
      <w:r w:rsidR="00FA0F59">
        <w:t>&lt;</w:t>
      </w:r>
      <w:r w:rsidR="00C75FCE">
        <w:t>10</w:t>
      </w:r>
      <w:r w:rsidR="00FA0F59">
        <w:t>% change in peak flow)</w:t>
      </w:r>
      <w:r w:rsidR="001C3C01">
        <w:t xml:space="preserve"> </w:t>
      </w:r>
      <w:r w:rsidR="00840A9F">
        <w:t>and important harms</w:t>
      </w:r>
      <w:r w:rsidR="00C75FCE">
        <w:t xml:space="preserve"> more than 50% change in peak flow</w:t>
      </w:r>
      <w:r w:rsidR="002E21C5" w:rsidRPr="00A55335">
        <w:t>)</w:t>
      </w:r>
      <w:r w:rsidR="00550DFC" w:rsidRPr="00A55335">
        <w:t xml:space="preserve">. Certainty of evidence downgraded </w:t>
      </w:r>
      <w:r w:rsidR="009615E1" w:rsidRPr="00A55335">
        <w:t xml:space="preserve">2 </w:t>
      </w:r>
      <w:r w:rsidR="00550DFC" w:rsidRPr="00A55335">
        <w:t>levels.</w:t>
      </w:r>
    </w:p>
    <w:p w14:paraId="420A4D6C" w14:textId="0A99867E" w:rsidR="00550DFC" w:rsidRDefault="009023E5" w:rsidP="009023E5">
      <w:pPr>
        <w:pStyle w:val="Footnote"/>
      </w:pPr>
      <w:r w:rsidRPr="00A55335">
        <w:t>h. Single study. Inconsistency not assessed. Certainty of evidence not downgraded.</w:t>
      </w:r>
    </w:p>
    <w:p w14:paraId="46B1CA63" w14:textId="06D9CB99" w:rsidR="007F0291" w:rsidRDefault="007F0291" w:rsidP="009023E5">
      <w:pPr>
        <w:pStyle w:val="Footnote"/>
      </w:pPr>
      <w:proofErr w:type="spellStart"/>
      <w:r>
        <w:t>i</w:t>
      </w:r>
      <w:proofErr w:type="spellEnd"/>
      <w:r w:rsidRPr="00A55335">
        <w:t>. Very serious imprecision. Single small study with wide confidence intervals (</w:t>
      </w:r>
      <w:r>
        <w:t xml:space="preserve">upper and </w:t>
      </w:r>
      <w:r w:rsidRPr="00A55335">
        <w:t>lower bound</w:t>
      </w:r>
      <w:r>
        <w:t>s</w:t>
      </w:r>
      <w:r w:rsidRPr="00A55335">
        <w:t xml:space="preserve"> overlap with </w:t>
      </w:r>
      <w:r>
        <w:t>both</w:t>
      </w:r>
      <w:r w:rsidR="00555A1D">
        <w:t xml:space="preserve"> an</w:t>
      </w:r>
      <w:r>
        <w:t xml:space="preserve"> </w:t>
      </w:r>
      <w:r w:rsidRPr="00A55335">
        <w:t xml:space="preserve">important </w:t>
      </w:r>
      <w:r w:rsidR="00555A1D">
        <w:t>benefit</w:t>
      </w:r>
      <w:r>
        <w:t xml:space="preserve"> </w:t>
      </w:r>
      <w:r w:rsidR="00776B10">
        <w:t>(49</w:t>
      </w:r>
      <w:r w:rsidR="00663BA5">
        <w:t>.01</w:t>
      </w:r>
      <w:r w:rsidR="00776B10">
        <w:t xml:space="preserve"> fewer doses</w:t>
      </w:r>
      <w:r w:rsidR="00D102A5">
        <w:t xml:space="preserve"> or &gt;75%</w:t>
      </w:r>
      <w:r w:rsidR="00B61F4B">
        <w:t xml:space="preserve"> of the mean</w:t>
      </w:r>
      <w:r>
        <w:t xml:space="preserve">) and important harms </w:t>
      </w:r>
      <w:r w:rsidR="00776B10">
        <w:t>(</w:t>
      </w:r>
      <w:proofErr w:type="gramStart"/>
      <w:r w:rsidR="00776B10">
        <w:t>44..</w:t>
      </w:r>
      <w:proofErr w:type="gramEnd"/>
      <w:r w:rsidR="00776B10">
        <w:t>61 more doses</w:t>
      </w:r>
      <w:r w:rsidR="00B61F4B">
        <w:t xml:space="preserve"> or &gt;75% of the mean</w:t>
      </w:r>
      <w:r w:rsidRPr="00A55335">
        <w:t xml:space="preserve">). Certainty of evidence downgraded </w:t>
      </w:r>
      <w:r>
        <w:t>2</w:t>
      </w:r>
      <w:r w:rsidRPr="00A55335">
        <w:t xml:space="preserve"> levels.</w:t>
      </w:r>
    </w:p>
    <w:p w14:paraId="66769FE7" w14:textId="77777777" w:rsidR="00550DFC" w:rsidRPr="00A55335" w:rsidRDefault="00550DFC" w:rsidP="004D433B">
      <w:pPr>
        <w:pStyle w:val="Heading3"/>
      </w:pPr>
      <w:bookmarkStart w:id="291" w:name="_Toc183441362"/>
      <w:r w:rsidRPr="00A55335">
        <w:t>Forest plots</w:t>
      </w:r>
      <w:bookmarkEnd w:id="291"/>
    </w:p>
    <w:p w14:paraId="4A3D3516" w14:textId="38B86514" w:rsidR="00523E05" w:rsidRPr="00A55335" w:rsidRDefault="00550DFC" w:rsidP="00550DFC">
      <w:pPr>
        <w:pStyle w:val="BodyText"/>
      </w:pPr>
      <w:r w:rsidRPr="00A55335">
        <w:t xml:space="preserve">Outcome results related </w:t>
      </w:r>
      <w:r w:rsidR="009D62B4" w:rsidRPr="00A55335">
        <w:t>to</w:t>
      </w:r>
      <w:r w:rsidRPr="00A55335">
        <w:t xml:space="preserve"> </w:t>
      </w:r>
      <w:r w:rsidR="00726EE5" w:rsidRPr="00A55335">
        <w:t>the p</w:t>
      </w:r>
      <w:r w:rsidR="006070ED" w:rsidRPr="00A55335">
        <w:t xml:space="preserve">rimary </w:t>
      </w:r>
      <w:r w:rsidR="00726EE5" w:rsidRPr="00A55335">
        <w:t xml:space="preserve">comparison </w:t>
      </w:r>
      <w:r w:rsidR="006A506C" w:rsidRPr="00A55335">
        <w:t xml:space="preserve">(homeopathy vs placebo) </w:t>
      </w:r>
      <w:r w:rsidRPr="00A55335">
        <w:t xml:space="preserve">in people with asthma are presented in </w:t>
      </w:r>
      <w:r w:rsidR="00345E44" w:rsidRPr="00A55335">
        <w:fldChar w:fldCharType="begin"/>
      </w:r>
      <w:r w:rsidR="00345E44" w:rsidRPr="00A55335">
        <w:instrText xml:space="preserve"> REF _Ref153457781 \h </w:instrText>
      </w:r>
      <w:r w:rsidR="00345E44" w:rsidRPr="00A55335">
        <w:fldChar w:fldCharType="separate"/>
      </w:r>
      <w:r w:rsidR="00814B04" w:rsidRPr="00A55335">
        <w:t xml:space="preserve">Figure </w:t>
      </w:r>
      <w:r w:rsidR="00814B04">
        <w:rPr>
          <w:noProof/>
        </w:rPr>
        <w:t>47</w:t>
      </w:r>
      <w:r w:rsidR="00345E44" w:rsidRPr="00A55335">
        <w:fldChar w:fldCharType="end"/>
      </w:r>
      <w:r w:rsidR="00EA02BC" w:rsidRPr="00A55335">
        <w:t xml:space="preserve"> </w:t>
      </w:r>
      <w:r w:rsidR="006A506C" w:rsidRPr="00A55335">
        <w:t>(asthma symptoms)</w:t>
      </w:r>
      <w:r w:rsidR="00761A88" w:rsidRPr="00A55335">
        <w:t xml:space="preserve">, </w:t>
      </w:r>
      <w:r w:rsidR="00761A88" w:rsidRPr="00A55335">
        <w:fldChar w:fldCharType="begin"/>
      </w:r>
      <w:r w:rsidR="00761A88" w:rsidRPr="00A55335">
        <w:instrText xml:space="preserve"> REF _Ref153457784 \h </w:instrText>
      </w:r>
      <w:r w:rsidR="00761A88" w:rsidRPr="00A55335">
        <w:fldChar w:fldCharType="separate"/>
      </w:r>
      <w:r w:rsidR="00814B04" w:rsidRPr="00A55335">
        <w:t xml:space="preserve">Figure </w:t>
      </w:r>
      <w:r w:rsidR="00814B04">
        <w:rPr>
          <w:noProof/>
        </w:rPr>
        <w:t>48</w:t>
      </w:r>
      <w:r w:rsidR="00761A88" w:rsidRPr="00A55335">
        <w:fldChar w:fldCharType="end"/>
      </w:r>
      <w:r w:rsidR="00761A88" w:rsidRPr="00A55335">
        <w:t xml:space="preserve"> (pulmonary function - FEV</w:t>
      </w:r>
      <w:r w:rsidR="00761A88" w:rsidRPr="00A55335">
        <w:rPr>
          <w:vertAlign w:val="subscript"/>
        </w:rPr>
        <w:t>1</w:t>
      </w:r>
      <w:r w:rsidR="00761A88" w:rsidRPr="00A55335">
        <w:t xml:space="preserve">), </w:t>
      </w:r>
      <w:r w:rsidR="00761A88" w:rsidRPr="00A55335">
        <w:fldChar w:fldCharType="begin"/>
      </w:r>
      <w:r w:rsidR="00761A88" w:rsidRPr="00A55335">
        <w:instrText xml:space="preserve"> REF _Ref153457786 \h </w:instrText>
      </w:r>
      <w:r w:rsidR="00761A88" w:rsidRPr="00A55335">
        <w:fldChar w:fldCharType="separate"/>
      </w:r>
      <w:r w:rsidR="00814B04" w:rsidRPr="00A55335">
        <w:t xml:space="preserve">Figure </w:t>
      </w:r>
      <w:r w:rsidR="00814B04">
        <w:rPr>
          <w:noProof/>
        </w:rPr>
        <w:t>49</w:t>
      </w:r>
      <w:r w:rsidR="00761A88" w:rsidRPr="00A55335">
        <w:fldChar w:fldCharType="end"/>
      </w:r>
      <w:r w:rsidR="00761A88" w:rsidRPr="00A55335">
        <w:t xml:space="preserve"> (pulmonary function - PEFR)</w:t>
      </w:r>
      <w:r w:rsidR="0077603D" w:rsidRPr="00A55335">
        <w:t>,</w:t>
      </w:r>
      <w:r w:rsidR="00761A88" w:rsidRPr="00A55335">
        <w:t xml:space="preserve"> </w:t>
      </w:r>
      <w:r w:rsidR="00761A88" w:rsidRPr="00A55335">
        <w:fldChar w:fldCharType="begin"/>
      </w:r>
      <w:r w:rsidR="00761A88" w:rsidRPr="00A55335">
        <w:instrText xml:space="preserve"> REF _Ref143000798 \h </w:instrText>
      </w:r>
      <w:r w:rsidR="00761A88" w:rsidRPr="00A55335">
        <w:fldChar w:fldCharType="separate"/>
      </w:r>
      <w:r w:rsidR="00814B04" w:rsidRPr="00A55335">
        <w:t xml:space="preserve">Figure </w:t>
      </w:r>
      <w:r w:rsidR="00814B04">
        <w:rPr>
          <w:noProof/>
        </w:rPr>
        <w:t>50</w:t>
      </w:r>
      <w:r w:rsidR="00761A88" w:rsidRPr="00A55335">
        <w:fldChar w:fldCharType="end"/>
      </w:r>
      <w:r w:rsidR="0077603D" w:rsidRPr="00A55335">
        <w:t xml:space="preserve"> (quality of life)</w:t>
      </w:r>
      <w:r w:rsidR="00523E05" w:rsidRPr="00A55335">
        <w:t xml:space="preserve"> and</w:t>
      </w:r>
      <w:r w:rsidR="0077603D" w:rsidRPr="00A55335">
        <w:t xml:space="preserve"> </w:t>
      </w:r>
      <w:r w:rsidR="00761A88" w:rsidRPr="00A55335">
        <w:fldChar w:fldCharType="begin"/>
      </w:r>
      <w:r w:rsidR="00761A88" w:rsidRPr="00A55335">
        <w:instrText xml:space="preserve"> REF _Ref153457788 \h </w:instrText>
      </w:r>
      <w:r w:rsidR="00761A88" w:rsidRPr="00A55335">
        <w:fldChar w:fldCharType="separate"/>
      </w:r>
      <w:r w:rsidR="00814B04" w:rsidRPr="00A55335">
        <w:t xml:space="preserve">Figure </w:t>
      </w:r>
      <w:r w:rsidR="00814B04">
        <w:rPr>
          <w:noProof/>
        </w:rPr>
        <w:t>51</w:t>
      </w:r>
      <w:r w:rsidR="00761A88" w:rsidRPr="00A55335">
        <w:fldChar w:fldCharType="end"/>
      </w:r>
      <w:r w:rsidR="00523E05" w:rsidRPr="00A55335">
        <w:t xml:space="preserve"> (medication use).</w:t>
      </w:r>
    </w:p>
    <w:p w14:paraId="6FE13ECD" w14:textId="234F3889" w:rsidR="00550DFC" w:rsidRPr="00A55335" w:rsidRDefault="00523E05" w:rsidP="00550DFC">
      <w:pPr>
        <w:pStyle w:val="BodyText"/>
      </w:pPr>
      <w:r w:rsidRPr="00A55335">
        <w:t xml:space="preserve">Outcome results related </w:t>
      </w:r>
      <w:r w:rsidR="009D62B4" w:rsidRPr="00A55335">
        <w:t>to</w:t>
      </w:r>
      <w:r w:rsidR="00726EE5" w:rsidRPr="00A55335">
        <w:t xml:space="preserve"> the s</w:t>
      </w:r>
      <w:r w:rsidR="006070ED" w:rsidRPr="00A55335">
        <w:t xml:space="preserve">econdary </w:t>
      </w:r>
      <w:r w:rsidR="00726EE5" w:rsidRPr="00A55335">
        <w:t xml:space="preserve">comparison </w:t>
      </w:r>
      <w:r w:rsidRPr="00A55335">
        <w:t xml:space="preserve">(homeopathy vs inactive control) in people with asthma are presented in </w:t>
      </w:r>
      <w:r w:rsidR="00761A88" w:rsidRPr="00A55335">
        <w:fldChar w:fldCharType="begin"/>
      </w:r>
      <w:r w:rsidR="00761A88" w:rsidRPr="00A55335">
        <w:instrText xml:space="preserve"> REF _Ref153457789 \h </w:instrText>
      </w:r>
      <w:r w:rsidR="00761A88" w:rsidRPr="00A55335">
        <w:fldChar w:fldCharType="separate"/>
      </w:r>
      <w:r w:rsidR="00814B04" w:rsidRPr="00A55335">
        <w:t xml:space="preserve">Figure </w:t>
      </w:r>
      <w:r w:rsidR="00814B04">
        <w:rPr>
          <w:noProof/>
        </w:rPr>
        <w:t>52</w:t>
      </w:r>
      <w:r w:rsidR="00761A88" w:rsidRPr="00A55335">
        <w:fldChar w:fldCharType="end"/>
      </w:r>
      <w:r w:rsidRPr="00A55335">
        <w:t xml:space="preserve"> (asthma symptoms)</w:t>
      </w:r>
      <w:r w:rsidR="00262AC9" w:rsidRPr="00A55335">
        <w:t>,</w:t>
      </w:r>
      <w:r w:rsidRPr="00A55335">
        <w:t xml:space="preserve"> </w:t>
      </w:r>
      <w:r w:rsidR="00761A88" w:rsidRPr="00A55335">
        <w:fldChar w:fldCharType="begin"/>
      </w:r>
      <w:r w:rsidR="00761A88" w:rsidRPr="00A55335">
        <w:instrText xml:space="preserve"> REF _Ref153457791 \h </w:instrText>
      </w:r>
      <w:r w:rsidR="00761A88" w:rsidRPr="00A55335">
        <w:fldChar w:fldCharType="separate"/>
      </w:r>
      <w:r w:rsidR="00814B04" w:rsidRPr="00A55335">
        <w:t xml:space="preserve">Figure </w:t>
      </w:r>
      <w:r w:rsidR="00814B04">
        <w:rPr>
          <w:noProof/>
        </w:rPr>
        <w:t>53</w:t>
      </w:r>
      <w:r w:rsidR="00761A88" w:rsidRPr="00A55335">
        <w:fldChar w:fldCharType="end"/>
      </w:r>
      <w:r w:rsidR="00262AC9" w:rsidRPr="00A55335">
        <w:t xml:space="preserve"> (pulmonary function – PEFR)</w:t>
      </w:r>
      <w:r w:rsidR="00E155E0" w:rsidRPr="00A55335">
        <w:t xml:space="preserve">, </w:t>
      </w:r>
      <w:r w:rsidR="00E155E0" w:rsidRPr="00A55335">
        <w:fldChar w:fldCharType="begin"/>
      </w:r>
      <w:r w:rsidR="00E155E0" w:rsidRPr="00A55335">
        <w:instrText xml:space="preserve"> REF _Ref153530224 \h </w:instrText>
      </w:r>
      <w:r w:rsidR="00E155E0" w:rsidRPr="00A55335">
        <w:fldChar w:fldCharType="separate"/>
      </w:r>
      <w:r w:rsidR="00814B04" w:rsidRPr="00A55335">
        <w:t xml:space="preserve">Figure </w:t>
      </w:r>
      <w:r w:rsidR="00814B04">
        <w:rPr>
          <w:noProof/>
        </w:rPr>
        <w:t>54</w:t>
      </w:r>
      <w:r w:rsidR="00E155E0" w:rsidRPr="00A55335">
        <w:fldChar w:fldCharType="end"/>
      </w:r>
      <w:r w:rsidR="00E155E0" w:rsidRPr="00A55335">
        <w:t xml:space="preserve"> (quality of life)</w:t>
      </w:r>
      <w:r w:rsidR="004E60B3" w:rsidRPr="00A55335">
        <w:t xml:space="preserve">, </w:t>
      </w:r>
      <w:r w:rsidR="004E60B3" w:rsidRPr="00A55335">
        <w:fldChar w:fldCharType="begin"/>
      </w:r>
      <w:r w:rsidR="004E60B3" w:rsidRPr="00A55335">
        <w:instrText xml:space="preserve"> REF _Ref153533275 \h </w:instrText>
      </w:r>
      <w:r w:rsidR="004E60B3" w:rsidRPr="00A55335">
        <w:fldChar w:fldCharType="separate"/>
      </w:r>
      <w:r w:rsidR="00814B04" w:rsidRPr="00A55335">
        <w:t xml:space="preserve">Figure </w:t>
      </w:r>
      <w:r w:rsidR="00814B04">
        <w:rPr>
          <w:noProof/>
        </w:rPr>
        <w:t>55</w:t>
      </w:r>
      <w:r w:rsidR="004E60B3" w:rsidRPr="00A55335">
        <w:fldChar w:fldCharType="end"/>
      </w:r>
      <w:r w:rsidR="004E60B3" w:rsidRPr="00A55335">
        <w:t xml:space="preserve"> (hospitalisation)</w:t>
      </w:r>
      <w:r w:rsidR="00E155E0" w:rsidRPr="00A55335">
        <w:t xml:space="preserve"> and </w:t>
      </w:r>
      <w:r w:rsidR="00E155E0" w:rsidRPr="00A55335">
        <w:fldChar w:fldCharType="begin"/>
      </w:r>
      <w:r w:rsidR="00E155E0" w:rsidRPr="00A55335">
        <w:instrText xml:space="preserve"> REF _Ref153530226 \h </w:instrText>
      </w:r>
      <w:r w:rsidR="00E155E0" w:rsidRPr="00A55335">
        <w:fldChar w:fldCharType="separate"/>
      </w:r>
      <w:r w:rsidR="00814B04" w:rsidRPr="00A55335">
        <w:t xml:space="preserve">Figure </w:t>
      </w:r>
      <w:r w:rsidR="00814B04">
        <w:rPr>
          <w:noProof/>
        </w:rPr>
        <w:t>56</w:t>
      </w:r>
      <w:r w:rsidR="00E155E0" w:rsidRPr="00A55335">
        <w:fldChar w:fldCharType="end"/>
      </w:r>
      <w:r w:rsidR="00262AC9" w:rsidRPr="00A55335">
        <w:t xml:space="preserve"> </w:t>
      </w:r>
      <w:r w:rsidR="00E155E0" w:rsidRPr="00A55335">
        <w:t>(medication use)</w:t>
      </w:r>
      <w:r w:rsidR="00550DFC" w:rsidRPr="00A55335">
        <w:t>.</w:t>
      </w:r>
    </w:p>
    <w:p w14:paraId="6506C301" w14:textId="538FC902" w:rsidR="00550DFC" w:rsidRPr="00A55335" w:rsidRDefault="00550DFC" w:rsidP="00550DFC">
      <w:pPr>
        <w:pStyle w:val="Caption"/>
      </w:pPr>
      <w:bookmarkStart w:id="292" w:name="_Ref140502249"/>
      <w:bookmarkStart w:id="293" w:name="_Ref153457781"/>
      <w:bookmarkStart w:id="294" w:name="_Toc183520320"/>
      <w:r w:rsidRPr="00A55335">
        <w:t xml:space="preserve">Figure </w:t>
      </w:r>
      <w:bookmarkEnd w:id="292"/>
      <w:r w:rsidRPr="00A55335">
        <w:fldChar w:fldCharType="begin"/>
      </w:r>
      <w:r w:rsidRPr="00A55335">
        <w:instrText xml:space="preserve"> SEQ Figure \* ARABIC </w:instrText>
      </w:r>
      <w:r w:rsidRPr="00A55335">
        <w:fldChar w:fldCharType="separate"/>
      </w:r>
      <w:r w:rsidR="00814B04">
        <w:rPr>
          <w:noProof/>
        </w:rPr>
        <w:t>47</w:t>
      </w:r>
      <w:r w:rsidRPr="00A55335">
        <w:fldChar w:fldCharType="end"/>
      </w:r>
      <w:bookmarkEnd w:id="293"/>
      <w:r w:rsidRPr="00A55335">
        <w:tab/>
        <w:t xml:space="preserve">Forest plot of </w:t>
      </w:r>
      <w:r w:rsidR="006A19C3" w:rsidRPr="00A55335">
        <w:t xml:space="preserve">primary </w:t>
      </w:r>
      <w:r w:rsidRPr="00A55335">
        <w:t>comparison: Homeopathy vs placebo: Asthma – asthma symptoms</w:t>
      </w:r>
      <w:bookmarkEnd w:id="294"/>
    </w:p>
    <w:p w14:paraId="2DB9ED88" w14:textId="16FAF50A" w:rsidR="00550DFC" w:rsidRPr="00A55335" w:rsidRDefault="00103E02" w:rsidP="00550DFC">
      <w:pPr>
        <w:pStyle w:val="Pic"/>
      </w:pPr>
      <w:r w:rsidRPr="00A55335">
        <w:rPr>
          <w:noProof/>
        </w:rPr>
        <w:drawing>
          <wp:inline distT="0" distB="0" distL="0" distR="0" wp14:anchorId="349750A8" wp14:editId="0B6120E6">
            <wp:extent cx="5959298" cy="4201064"/>
            <wp:effectExtent l="0" t="0" r="3810" b="9525"/>
            <wp:docPr id="244065707" name="Picture 24406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68860" cy="4207805"/>
                    </a:xfrm>
                    <a:prstGeom prst="rect">
                      <a:avLst/>
                    </a:prstGeom>
                    <a:noFill/>
                    <a:ln>
                      <a:noFill/>
                    </a:ln>
                  </pic:spPr>
                </pic:pic>
              </a:graphicData>
            </a:graphic>
          </wp:inline>
        </w:drawing>
      </w:r>
    </w:p>
    <w:p w14:paraId="281F5F45" w14:textId="77777777" w:rsidR="00103E02" w:rsidRPr="00A55335" w:rsidRDefault="00103E02" w:rsidP="007252A0">
      <w:pPr>
        <w:pStyle w:val="TableFigNotes18"/>
      </w:pPr>
    </w:p>
    <w:p w14:paraId="634EE183" w14:textId="1384AE8B" w:rsidR="00550DFC" w:rsidRPr="00A55335" w:rsidRDefault="00550DFC" w:rsidP="00550DFC">
      <w:pPr>
        <w:pStyle w:val="Caption"/>
      </w:pPr>
      <w:bookmarkStart w:id="295" w:name="_Ref140502303"/>
      <w:bookmarkStart w:id="296" w:name="_Ref153457784"/>
      <w:bookmarkStart w:id="297" w:name="_Toc183520321"/>
      <w:r w:rsidRPr="00A55335">
        <w:lastRenderedPageBreak/>
        <w:t xml:space="preserve">Figure </w:t>
      </w:r>
      <w:bookmarkEnd w:id="295"/>
      <w:r w:rsidRPr="00A55335">
        <w:fldChar w:fldCharType="begin"/>
      </w:r>
      <w:r w:rsidRPr="00A55335">
        <w:instrText xml:space="preserve"> SEQ Figure \* ARABIC </w:instrText>
      </w:r>
      <w:r w:rsidRPr="00A55335">
        <w:fldChar w:fldCharType="separate"/>
      </w:r>
      <w:r w:rsidR="00814B04">
        <w:rPr>
          <w:noProof/>
        </w:rPr>
        <w:t>48</w:t>
      </w:r>
      <w:r w:rsidRPr="00A55335">
        <w:fldChar w:fldCharType="end"/>
      </w:r>
      <w:bookmarkEnd w:id="296"/>
      <w:r w:rsidRPr="00A55335">
        <w:tab/>
        <w:t xml:space="preserve">Forest plot of </w:t>
      </w:r>
      <w:r w:rsidR="006A19C3" w:rsidRPr="00A55335">
        <w:t xml:space="preserve">primary </w:t>
      </w:r>
      <w:r w:rsidRPr="00A55335">
        <w:t xml:space="preserve">comparison: Homeopathy vs placebo: Asthma </w:t>
      </w:r>
      <w:r w:rsidR="00EA02BC" w:rsidRPr="00A55335">
        <w:t>–</w:t>
      </w:r>
      <w:r w:rsidRPr="00A55335">
        <w:t xml:space="preserve"> pulmonary function</w:t>
      </w:r>
      <w:r w:rsidR="00761A88" w:rsidRPr="00A55335">
        <w:t xml:space="preserve"> (FEV</w:t>
      </w:r>
      <w:r w:rsidR="00761A88" w:rsidRPr="00A55335">
        <w:rPr>
          <w:vertAlign w:val="subscript"/>
        </w:rPr>
        <w:t>1</w:t>
      </w:r>
      <w:r w:rsidR="00EA02BC" w:rsidRPr="00A55335">
        <w:t>)</w:t>
      </w:r>
      <w:bookmarkEnd w:id="297"/>
    </w:p>
    <w:p w14:paraId="6ED2E538" w14:textId="340391EB" w:rsidR="003D49FE" w:rsidRPr="00A55335" w:rsidRDefault="003D49FE" w:rsidP="003D49FE">
      <w:pPr>
        <w:pStyle w:val="Pic"/>
      </w:pPr>
      <w:r w:rsidRPr="00A55335">
        <w:rPr>
          <w:noProof/>
        </w:rPr>
        <w:drawing>
          <wp:inline distT="0" distB="0" distL="0" distR="0" wp14:anchorId="2433BDA9" wp14:editId="514C5C9E">
            <wp:extent cx="5881983" cy="5038725"/>
            <wp:effectExtent l="0" t="0" r="5080" b="0"/>
            <wp:docPr id="1470245470" name="Picture 147024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86445" cy="5042548"/>
                    </a:xfrm>
                    <a:prstGeom prst="rect">
                      <a:avLst/>
                    </a:prstGeom>
                    <a:noFill/>
                    <a:ln>
                      <a:noFill/>
                    </a:ln>
                  </pic:spPr>
                </pic:pic>
              </a:graphicData>
            </a:graphic>
          </wp:inline>
        </w:drawing>
      </w:r>
    </w:p>
    <w:p w14:paraId="60CF50BD" w14:textId="77777777" w:rsidR="00550DFC" w:rsidRPr="00A55335" w:rsidRDefault="00550DFC" w:rsidP="00550DFC">
      <w:pPr>
        <w:pStyle w:val="TableFigNotes18"/>
      </w:pPr>
    </w:p>
    <w:p w14:paraId="6D1B83BF" w14:textId="4A74ECE5" w:rsidR="00EA02BC" w:rsidRPr="00A55335" w:rsidRDefault="00550DFC" w:rsidP="00EA02BC">
      <w:pPr>
        <w:pStyle w:val="Caption"/>
      </w:pPr>
      <w:bookmarkStart w:id="298" w:name="_Ref140502348"/>
      <w:bookmarkStart w:id="299" w:name="_Ref153457786"/>
      <w:bookmarkStart w:id="300" w:name="_Toc183520322"/>
      <w:r w:rsidRPr="00A55335">
        <w:t xml:space="preserve">Figure </w:t>
      </w:r>
      <w:bookmarkEnd w:id="298"/>
      <w:r w:rsidRPr="00A55335">
        <w:fldChar w:fldCharType="begin"/>
      </w:r>
      <w:r w:rsidRPr="00A55335">
        <w:instrText xml:space="preserve"> SEQ Figure \* ARABIC </w:instrText>
      </w:r>
      <w:r w:rsidRPr="00A55335">
        <w:fldChar w:fldCharType="separate"/>
      </w:r>
      <w:r w:rsidR="00814B04">
        <w:rPr>
          <w:noProof/>
        </w:rPr>
        <w:t>49</w:t>
      </w:r>
      <w:r w:rsidRPr="00A55335">
        <w:fldChar w:fldCharType="end"/>
      </w:r>
      <w:bookmarkEnd w:id="299"/>
      <w:r w:rsidRPr="00A55335">
        <w:tab/>
      </w:r>
      <w:r w:rsidR="00EA02BC" w:rsidRPr="00A55335">
        <w:t xml:space="preserve">Forest plot of </w:t>
      </w:r>
      <w:r w:rsidR="006A19C3" w:rsidRPr="00A55335">
        <w:t xml:space="preserve">primary </w:t>
      </w:r>
      <w:r w:rsidR="00EA02BC" w:rsidRPr="00A55335">
        <w:t>comparison: Homeopathy vs placebo: Asthma – pulmonary function (PEFR)</w:t>
      </w:r>
      <w:bookmarkEnd w:id="300"/>
    </w:p>
    <w:p w14:paraId="74FA84D3" w14:textId="4FE95EDB" w:rsidR="00EA02BC" w:rsidRPr="00A55335" w:rsidRDefault="00510160" w:rsidP="00EA02BC">
      <w:pPr>
        <w:pStyle w:val="Pic"/>
      </w:pPr>
      <w:r w:rsidRPr="00A55335">
        <w:rPr>
          <w:noProof/>
        </w:rPr>
        <w:drawing>
          <wp:inline distT="0" distB="0" distL="0" distR="0" wp14:anchorId="46E8D49F" wp14:editId="5F9B0541">
            <wp:extent cx="5798901" cy="2171700"/>
            <wp:effectExtent l="0" t="0" r="0" b="0"/>
            <wp:docPr id="1070798030" name="Picture 107079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02289" cy="2172969"/>
                    </a:xfrm>
                    <a:prstGeom prst="rect">
                      <a:avLst/>
                    </a:prstGeom>
                    <a:noFill/>
                    <a:ln>
                      <a:noFill/>
                    </a:ln>
                  </pic:spPr>
                </pic:pic>
              </a:graphicData>
            </a:graphic>
          </wp:inline>
        </w:drawing>
      </w:r>
    </w:p>
    <w:p w14:paraId="0041A736" w14:textId="38931A2E" w:rsidR="00EA02BC" w:rsidRPr="00A55335" w:rsidRDefault="00EA02BC" w:rsidP="00EA02BC">
      <w:pPr>
        <w:pStyle w:val="TableFigNotes18"/>
      </w:pPr>
    </w:p>
    <w:p w14:paraId="7B10BBDA" w14:textId="026E583D" w:rsidR="00510160" w:rsidRPr="00A55335" w:rsidRDefault="00550DFC" w:rsidP="0077603D">
      <w:pPr>
        <w:pStyle w:val="Caption"/>
      </w:pPr>
      <w:bookmarkStart w:id="301" w:name="_Ref143000798"/>
      <w:bookmarkStart w:id="302" w:name="_Toc183520323"/>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50</w:t>
      </w:r>
      <w:r w:rsidRPr="00A55335">
        <w:fldChar w:fldCharType="end"/>
      </w:r>
      <w:bookmarkEnd w:id="301"/>
      <w:r w:rsidRPr="00A55335">
        <w:tab/>
        <w:t xml:space="preserve">Forest plot of </w:t>
      </w:r>
      <w:r w:rsidR="006A19C3" w:rsidRPr="00A55335">
        <w:t xml:space="preserve">primary </w:t>
      </w:r>
      <w:r w:rsidRPr="00A55335">
        <w:t xml:space="preserve">comparison: Homeopathy vs placebo: Asthma – </w:t>
      </w:r>
      <w:r w:rsidR="00510160" w:rsidRPr="00A55335">
        <w:t>quality of life</w:t>
      </w:r>
      <w:bookmarkEnd w:id="302"/>
    </w:p>
    <w:p w14:paraId="4C039E98" w14:textId="707CD307" w:rsidR="00510160" w:rsidRPr="00A55335" w:rsidRDefault="00FC4ABE" w:rsidP="00510160">
      <w:pPr>
        <w:pStyle w:val="Pic"/>
      </w:pPr>
      <w:r w:rsidRPr="00A55335">
        <w:rPr>
          <w:noProof/>
        </w:rPr>
        <w:drawing>
          <wp:inline distT="0" distB="0" distL="0" distR="0" wp14:anchorId="18240F24" wp14:editId="7F665136">
            <wp:extent cx="5648325" cy="3954842"/>
            <wp:effectExtent l="0" t="0" r="0" b="7620"/>
            <wp:docPr id="405257062" name="Picture 405257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55759" cy="3960047"/>
                    </a:xfrm>
                    <a:prstGeom prst="rect">
                      <a:avLst/>
                    </a:prstGeom>
                    <a:noFill/>
                    <a:ln>
                      <a:noFill/>
                    </a:ln>
                  </pic:spPr>
                </pic:pic>
              </a:graphicData>
            </a:graphic>
          </wp:inline>
        </w:drawing>
      </w:r>
    </w:p>
    <w:p w14:paraId="3BED40B5" w14:textId="77777777" w:rsidR="00FC4ABE" w:rsidRPr="00A55335" w:rsidRDefault="00FC4ABE" w:rsidP="00FC4ABE">
      <w:pPr>
        <w:pStyle w:val="TableFigNotes18"/>
      </w:pPr>
    </w:p>
    <w:p w14:paraId="2E7CB86C" w14:textId="0EFF4806" w:rsidR="00550DFC" w:rsidRPr="00A55335" w:rsidRDefault="00F87982" w:rsidP="00550DFC">
      <w:pPr>
        <w:pStyle w:val="Caption"/>
      </w:pPr>
      <w:bookmarkStart w:id="303" w:name="_Ref140502553"/>
      <w:bookmarkStart w:id="304" w:name="_Ref153457788"/>
      <w:bookmarkStart w:id="305" w:name="_Toc183520324"/>
      <w:r w:rsidRPr="00A55335">
        <w:t xml:space="preserve">Figure </w:t>
      </w:r>
      <w:bookmarkEnd w:id="303"/>
      <w:r w:rsidRPr="00A55335">
        <w:fldChar w:fldCharType="begin"/>
      </w:r>
      <w:r w:rsidRPr="00A55335">
        <w:instrText xml:space="preserve"> SEQ Figure \* ARABIC </w:instrText>
      </w:r>
      <w:r w:rsidRPr="00A55335">
        <w:fldChar w:fldCharType="separate"/>
      </w:r>
      <w:r w:rsidR="00814B04">
        <w:rPr>
          <w:noProof/>
        </w:rPr>
        <w:t>51</w:t>
      </w:r>
      <w:r w:rsidRPr="00A55335">
        <w:fldChar w:fldCharType="end"/>
      </w:r>
      <w:bookmarkEnd w:id="304"/>
      <w:r w:rsidRPr="00A55335">
        <w:tab/>
        <w:t xml:space="preserve">Forest plot of </w:t>
      </w:r>
      <w:r w:rsidR="006A19C3" w:rsidRPr="00A55335">
        <w:t xml:space="preserve">primary </w:t>
      </w:r>
      <w:r w:rsidRPr="00A55335">
        <w:t xml:space="preserve">comparison: Homeopathy vs placebo: Asthma – </w:t>
      </w:r>
      <w:r w:rsidR="00550DFC" w:rsidRPr="00A55335">
        <w:t>medication use</w:t>
      </w:r>
    </w:p>
    <w:bookmarkEnd w:id="305"/>
    <w:p w14:paraId="01BBDF94" w14:textId="6A112C83" w:rsidR="00550DFC" w:rsidRPr="00A55335" w:rsidRDefault="006B4529" w:rsidP="00550DFC">
      <w:pPr>
        <w:pStyle w:val="Pic"/>
      </w:pPr>
      <w:r w:rsidRPr="00A55335">
        <w:rPr>
          <w:noProof/>
        </w:rPr>
        <w:drawing>
          <wp:inline distT="0" distB="0" distL="0" distR="0" wp14:anchorId="1E9F6993" wp14:editId="2CF2879F">
            <wp:extent cx="5491118" cy="3505200"/>
            <wp:effectExtent l="0" t="0" r="0" b="0"/>
            <wp:docPr id="1730192491" name="Picture 173019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99171" cy="3510341"/>
                    </a:xfrm>
                    <a:prstGeom prst="rect">
                      <a:avLst/>
                    </a:prstGeom>
                    <a:noFill/>
                    <a:ln>
                      <a:noFill/>
                    </a:ln>
                  </pic:spPr>
                </pic:pic>
              </a:graphicData>
            </a:graphic>
          </wp:inline>
        </w:drawing>
      </w:r>
    </w:p>
    <w:p w14:paraId="5EDF431D" w14:textId="77777777" w:rsidR="00F87982" w:rsidRPr="00A55335" w:rsidRDefault="00F87982" w:rsidP="00F87982">
      <w:pPr>
        <w:pStyle w:val="TableFigNotes18"/>
      </w:pPr>
    </w:p>
    <w:p w14:paraId="5CD787C1" w14:textId="39DB58BF" w:rsidR="00203CBA" w:rsidRPr="00A55335" w:rsidRDefault="00550DFC" w:rsidP="00203CBA">
      <w:pPr>
        <w:pStyle w:val="Caption"/>
      </w:pPr>
      <w:bookmarkStart w:id="306" w:name="_Ref140502557"/>
      <w:bookmarkStart w:id="307" w:name="_Ref153457789"/>
      <w:bookmarkStart w:id="308" w:name="_Toc183520325"/>
      <w:r w:rsidRPr="00A55335">
        <w:lastRenderedPageBreak/>
        <w:t xml:space="preserve">Figure </w:t>
      </w:r>
      <w:bookmarkEnd w:id="306"/>
      <w:r w:rsidRPr="00A55335">
        <w:fldChar w:fldCharType="begin"/>
      </w:r>
      <w:r w:rsidRPr="00A55335">
        <w:instrText xml:space="preserve"> SEQ Figure \* ARABIC </w:instrText>
      </w:r>
      <w:r w:rsidRPr="00A55335">
        <w:fldChar w:fldCharType="separate"/>
      </w:r>
      <w:r w:rsidR="00814B04">
        <w:rPr>
          <w:noProof/>
        </w:rPr>
        <w:t>52</w:t>
      </w:r>
      <w:r w:rsidRPr="00A55335">
        <w:fldChar w:fldCharType="end"/>
      </w:r>
      <w:bookmarkEnd w:id="307"/>
      <w:r w:rsidRPr="00A55335">
        <w:tab/>
      </w:r>
      <w:r w:rsidR="00203CBA" w:rsidRPr="00A55335">
        <w:t xml:space="preserve">Forest plot of </w:t>
      </w:r>
      <w:r w:rsidR="006A19C3" w:rsidRPr="00A55335">
        <w:t xml:space="preserve">secondary </w:t>
      </w:r>
      <w:r w:rsidR="00203CBA" w:rsidRPr="00A55335">
        <w:t xml:space="preserve">comparison: Homeopathy vs </w:t>
      </w:r>
      <w:r w:rsidR="006A19C3" w:rsidRPr="00A55335">
        <w:t xml:space="preserve">inactive </w:t>
      </w:r>
      <w:r w:rsidR="00203CBA" w:rsidRPr="00A55335">
        <w:t xml:space="preserve">control (no intervention): Asthma </w:t>
      </w:r>
      <w:r w:rsidR="009A6DE7" w:rsidRPr="00A55335">
        <w:t>–</w:t>
      </w:r>
      <w:r w:rsidR="00203CBA" w:rsidRPr="00A55335">
        <w:t xml:space="preserve"> </w:t>
      </w:r>
      <w:r w:rsidR="009A6DE7" w:rsidRPr="00A55335">
        <w:t xml:space="preserve">asthma </w:t>
      </w:r>
      <w:r w:rsidR="00203CBA" w:rsidRPr="00A55335">
        <w:t>symptoms</w:t>
      </w:r>
      <w:bookmarkEnd w:id="308"/>
    </w:p>
    <w:p w14:paraId="015124F0" w14:textId="7581334B" w:rsidR="00203CBA" w:rsidRPr="00A55335" w:rsidRDefault="00523E05" w:rsidP="00203CBA">
      <w:pPr>
        <w:pStyle w:val="Pic"/>
      </w:pPr>
      <w:r w:rsidRPr="00A55335">
        <w:rPr>
          <w:noProof/>
        </w:rPr>
        <w:drawing>
          <wp:inline distT="0" distB="0" distL="0" distR="0" wp14:anchorId="32278C9C" wp14:editId="74377139">
            <wp:extent cx="6025116" cy="2381250"/>
            <wp:effectExtent l="0" t="0" r="0" b="0"/>
            <wp:docPr id="91301645" name="Picture 9130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27520" cy="2382200"/>
                    </a:xfrm>
                    <a:prstGeom prst="rect">
                      <a:avLst/>
                    </a:prstGeom>
                    <a:noFill/>
                    <a:ln>
                      <a:noFill/>
                    </a:ln>
                  </pic:spPr>
                </pic:pic>
              </a:graphicData>
            </a:graphic>
          </wp:inline>
        </w:drawing>
      </w:r>
    </w:p>
    <w:p w14:paraId="0B75CDE1" w14:textId="77777777" w:rsidR="00262AC9" w:rsidRPr="00A55335" w:rsidRDefault="00262AC9" w:rsidP="00262AC9">
      <w:pPr>
        <w:pStyle w:val="TableFigNotes18"/>
      </w:pPr>
    </w:p>
    <w:p w14:paraId="657D48DF" w14:textId="187444C7" w:rsidR="00262AC9" w:rsidRPr="00A55335" w:rsidRDefault="00550DFC" w:rsidP="00262AC9">
      <w:pPr>
        <w:pStyle w:val="Caption"/>
      </w:pPr>
      <w:bookmarkStart w:id="309" w:name="_Ref140502560"/>
      <w:bookmarkStart w:id="310" w:name="_Ref153457791"/>
      <w:bookmarkStart w:id="311" w:name="_Toc183520326"/>
      <w:r w:rsidRPr="00A55335">
        <w:t xml:space="preserve">Figure </w:t>
      </w:r>
      <w:bookmarkEnd w:id="309"/>
      <w:r w:rsidRPr="00A55335">
        <w:fldChar w:fldCharType="begin"/>
      </w:r>
      <w:r w:rsidRPr="00A55335">
        <w:instrText xml:space="preserve"> SEQ Figure \* ARABIC </w:instrText>
      </w:r>
      <w:r w:rsidRPr="00A55335">
        <w:fldChar w:fldCharType="separate"/>
      </w:r>
      <w:r w:rsidR="00814B04">
        <w:rPr>
          <w:noProof/>
        </w:rPr>
        <w:t>53</w:t>
      </w:r>
      <w:r w:rsidRPr="00A55335">
        <w:fldChar w:fldCharType="end"/>
      </w:r>
      <w:bookmarkEnd w:id="310"/>
      <w:r w:rsidRPr="00A55335">
        <w:tab/>
      </w:r>
      <w:r w:rsidR="00262AC9" w:rsidRPr="00A55335">
        <w:t>Forest plot of</w:t>
      </w:r>
      <w:r w:rsidR="006A19C3" w:rsidRPr="00A55335">
        <w:t xml:space="preserve"> secondary</w:t>
      </w:r>
      <w:r w:rsidR="00262AC9" w:rsidRPr="00A55335">
        <w:t xml:space="preserve"> comparison: Homeopathy vs </w:t>
      </w:r>
      <w:r w:rsidR="006A19C3" w:rsidRPr="00A55335">
        <w:t xml:space="preserve">inactive </w:t>
      </w:r>
      <w:r w:rsidR="00262AC9" w:rsidRPr="00A55335">
        <w:t>control (no intervention): Asthma – pulmonary function</w:t>
      </w:r>
      <w:bookmarkEnd w:id="311"/>
    </w:p>
    <w:p w14:paraId="1336008C" w14:textId="34E4D791" w:rsidR="00262AC9" w:rsidRPr="00A55335" w:rsidRDefault="00EE281B" w:rsidP="00262AC9">
      <w:pPr>
        <w:pStyle w:val="Pic"/>
      </w:pPr>
      <w:r w:rsidRPr="00A55335">
        <w:rPr>
          <w:noProof/>
        </w:rPr>
        <w:drawing>
          <wp:inline distT="0" distB="0" distL="0" distR="0" wp14:anchorId="077A9615" wp14:editId="2E0C463A">
            <wp:extent cx="6036993" cy="3157870"/>
            <wp:effectExtent l="0" t="0" r="1905" b="4445"/>
            <wp:docPr id="180102395" name="Picture 18010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45769" cy="3162461"/>
                    </a:xfrm>
                    <a:prstGeom prst="rect">
                      <a:avLst/>
                    </a:prstGeom>
                    <a:noFill/>
                    <a:ln>
                      <a:noFill/>
                    </a:ln>
                  </pic:spPr>
                </pic:pic>
              </a:graphicData>
            </a:graphic>
          </wp:inline>
        </w:drawing>
      </w:r>
    </w:p>
    <w:p w14:paraId="26CA31B3" w14:textId="315C9C42" w:rsidR="008F4951" w:rsidRPr="00A55335" w:rsidRDefault="006651C3" w:rsidP="008F4951">
      <w:pPr>
        <w:pStyle w:val="TableFigNotes18"/>
      </w:pPr>
      <w:r w:rsidRPr="00A55335">
        <w:t xml:space="preserve">Note: </w:t>
      </w:r>
      <w:r w:rsidR="008F4951" w:rsidRPr="00A55335">
        <w:t>Data inverted to ensure consistency in direction of effect</w:t>
      </w:r>
    </w:p>
    <w:p w14:paraId="70E7D55E" w14:textId="7442C3FF" w:rsidR="00550DFC" w:rsidRPr="00A55335" w:rsidRDefault="00EE281B" w:rsidP="00550DFC">
      <w:pPr>
        <w:pStyle w:val="Caption"/>
      </w:pPr>
      <w:bookmarkStart w:id="312" w:name="_Ref153530224"/>
      <w:bookmarkStart w:id="313" w:name="_Toc183520327"/>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54</w:t>
      </w:r>
      <w:r w:rsidRPr="00A55335">
        <w:fldChar w:fldCharType="end"/>
      </w:r>
      <w:bookmarkEnd w:id="312"/>
      <w:r w:rsidRPr="00A55335">
        <w:tab/>
      </w:r>
      <w:r w:rsidR="00550DFC" w:rsidRPr="00A55335">
        <w:t xml:space="preserve">Forest plot of </w:t>
      </w:r>
      <w:r w:rsidR="006A19C3" w:rsidRPr="00A55335">
        <w:t xml:space="preserve">secondary </w:t>
      </w:r>
      <w:r w:rsidR="00550DFC" w:rsidRPr="00A55335">
        <w:t xml:space="preserve">comparison: Homeopathy vs </w:t>
      </w:r>
      <w:r w:rsidR="006A19C3" w:rsidRPr="00A55335">
        <w:t xml:space="preserve">inactive </w:t>
      </w:r>
      <w:r w:rsidR="00550DFC" w:rsidRPr="00A55335">
        <w:t xml:space="preserve">control (no intervention): Asthma </w:t>
      </w:r>
      <w:r w:rsidR="00327F77">
        <w:t>–</w:t>
      </w:r>
      <w:r w:rsidR="00550DFC" w:rsidRPr="00A55335">
        <w:t xml:space="preserve"> </w:t>
      </w:r>
      <w:r w:rsidR="0045730C" w:rsidRPr="00A55335">
        <w:t xml:space="preserve">quality </w:t>
      </w:r>
      <w:r w:rsidR="00550DFC" w:rsidRPr="00A55335">
        <w:t>of life</w:t>
      </w:r>
      <w:bookmarkEnd w:id="313"/>
    </w:p>
    <w:p w14:paraId="6E914675" w14:textId="35FAC7E8" w:rsidR="00EE281B" w:rsidRPr="00A55335" w:rsidRDefault="0045730C" w:rsidP="00EE281B">
      <w:pPr>
        <w:pStyle w:val="Pic"/>
      </w:pPr>
      <w:r w:rsidRPr="00A55335">
        <w:rPr>
          <w:noProof/>
        </w:rPr>
        <w:drawing>
          <wp:inline distT="0" distB="0" distL="0" distR="0" wp14:anchorId="3B883404" wp14:editId="45B27446">
            <wp:extent cx="5908115" cy="4253023"/>
            <wp:effectExtent l="0" t="0" r="0" b="0"/>
            <wp:docPr id="1921377208" name="Picture 192137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17248" cy="4259598"/>
                    </a:xfrm>
                    <a:prstGeom prst="rect">
                      <a:avLst/>
                    </a:prstGeom>
                    <a:noFill/>
                    <a:ln>
                      <a:noFill/>
                    </a:ln>
                  </pic:spPr>
                </pic:pic>
              </a:graphicData>
            </a:graphic>
          </wp:inline>
        </w:drawing>
      </w:r>
    </w:p>
    <w:p w14:paraId="47EC08CE" w14:textId="77777777" w:rsidR="00EE281B" w:rsidRPr="00A55335" w:rsidRDefault="00EE281B" w:rsidP="00EE281B">
      <w:pPr>
        <w:pStyle w:val="TableFigNotes18"/>
      </w:pPr>
      <w:r w:rsidRPr="00A55335">
        <w:t>Note: Data inverted to ensure consistency in direction of effect</w:t>
      </w:r>
    </w:p>
    <w:p w14:paraId="7269C84A" w14:textId="0E7A0906" w:rsidR="008F0DEE" w:rsidRPr="00A55335" w:rsidRDefault="008F0DEE" w:rsidP="008F0DEE">
      <w:pPr>
        <w:pStyle w:val="Caption"/>
      </w:pPr>
      <w:bookmarkStart w:id="314" w:name="_Ref153533275"/>
      <w:bookmarkStart w:id="315" w:name="_Toc183520328"/>
      <w:r w:rsidRPr="00A55335">
        <w:t xml:space="preserve">Figure </w:t>
      </w:r>
      <w:r w:rsidRPr="00A55335">
        <w:fldChar w:fldCharType="begin"/>
      </w:r>
      <w:r w:rsidRPr="00A55335">
        <w:instrText xml:space="preserve"> SEQ Figure \* ARABIC </w:instrText>
      </w:r>
      <w:r w:rsidRPr="00A55335">
        <w:fldChar w:fldCharType="separate"/>
      </w:r>
      <w:r w:rsidR="00814B04">
        <w:rPr>
          <w:noProof/>
        </w:rPr>
        <w:t>55</w:t>
      </w:r>
      <w:r w:rsidRPr="00A55335">
        <w:fldChar w:fldCharType="end"/>
      </w:r>
      <w:bookmarkEnd w:id="314"/>
      <w:r w:rsidRPr="00A55335">
        <w:tab/>
        <w:t xml:space="preserve">Forest plot of </w:t>
      </w:r>
      <w:r w:rsidR="006A19C3" w:rsidRPr="00A55335">
        <w:t xml:space="preserve">secondary </w:t>
      </w:r>
      <w:r w:rsidRPr="00A55335">
        <w:t>comparison: Homeopathy vs</w:t>
      </w:r>
      <w:r w:rsidR="006A19C3" w:rsidRPr="00A55335">
        <w:t xml:space="preserve"> inactive</w:t>
      </w:r>
      <w:r w:rsidRPr="00A55335">
        <w:t xml:space="preserve"> control (no intervention): Asthma – hospitalisation</w:t>
      </w:r>
      <w:bookmarkEnd w:id="315"/>
    </w:p>
    <w:p w14:paraId="7784A41A" w14:textId="4C3AE553" w:rsidR="008F0DEE" w:rsidRPr="00A55335" w:rsidRDefault="00217434" w:rsidP="008F0DEE">
      <w:pPr>
        <w:pStyle w:val="Pic"/>
      </w:pPr>
      <w:r w:rsidRPr="00A55335">
        <w:rPr>
          <w:noProof/>
        </w:rPr>
        <w:drawing>
          <wp:inline distT="0" distB="0" distL="0" distR="0" wp14:anchorId="166E987A" wp14:editId="31198267">
            <wp:extent cx="6127636" cy="1786270"/>
            <wp:effectExtent l="0" t="0" r="6985" b="4445"/>
            <wp:docPr id="151367497" name="Picture 15136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32469" cy="1787679"/>
                    </a:xfrm>
                    <a:prstGeom prst="rect">
                      <a:avLst/>
                    </a:prstGeom>
                    <a:noFill/>
                    <a:ln>
                      <a:noFill/>
                    </a:ln>
                  </pic:spPr>
                </pic:pic>
              </a:graphicData>
            </a:graphic>
          </wp:inline>
        </w:drawing>
      </w:r>
    </w:p>
    <w:p w14:paraId="1E1C1FC5" w14:textId="77777777" w:rsidR="008F0DEE" w:rsidRPr="00A55335" w:rsidRDefault="008F0DEE" w:rsidP="007252A0">
      <w:pPr>
        <w:pStyle w:val="TableFigNotes18"/>
      </w:pPr>
    </w:p>
    <w:p w14:paraId="64250EEE" w14:textId="2993A163" w:rsidR="0057190B" w:rsidRPr="00A55335" w:rsidRDefault="0057190B" w:rsidP="0057190B">
      <w:pPr>
        <w:pStyle w:val="Caption"/>
      </w:pPr>
      <w:bookmarkStart w:id="316" w:name="_Ref153530226"/>
      <w:bookmarkStart w:id="317" w:name="_Toc183520329"/>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56</w:t>
      </w:r>
      <w:r w:rsidRPr="00A55335">
        <w:fldChar w:fldCharType="end"/>
      </w:r>
      <w:bookmarkEnd w:id="316"/>
      <w:r w:rsidRPr="00A55335">
        <w:tab/>
        <w:t xml:space="preserve">Forest plot of </w:t>
      </w:r>
      <w:r w:rsidR="006A19C3" w:rsidRPr="00A55335">
        <w:t xml:space="preserve">secondary </w:t>
      </w:r>
      <w:r w:rsidRPr="00A55335">
        <w:t xml:space="preserve">comparison: Homeopathy vs </w:t>
      </w:r>
      <w:r w:rsidR="006A19C3" w:rsidRPr="00A55335">
        <w:t xml:space="preserve">inactive </w:t>
      </w:r>
      <w:r w:rsidRPr="00A55335">
        <w:t>control (no intervention): Asthma – medication use</w:t>
      </w:r>
      <w:bookmarkEnd w:id="317"/>
    </w:p>
    <w:p w14:paraId="01C4596F" w14:textId="64925D75" w:rsidR="0057190B" w:rsidRPr="00A55335" w:rsidRDefault="0057190B" w:rsidP="0057190B">
      <w:pPr>
        <w:pStyle w:val="Pic"/>
      </w:pPr>
      <w:r w:rsidRPr="00A55335">
        <w:rPr>
          <w:noProof/>
        </w:rPr>
        <w:drawing>
          <wp:inline distT="0" distB="0" distL="0" distR="0" wp14:anchorId="5E182C9D" wp14:editId="2FBDC658">
            <wp:extent cx="5756484" cy="2802576"/>
            <wp:effectExtent l="0" t="0" r="0" b="0"/>
            <wp:docPr id="1362988174" name="Picture 136298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9898" cy="2804238"/>
                    </a:xfrm>
                    <a:prstGeom prst="rect">
                      <a:avLst/>
                    </a:prstGeom>
                    <a:noFill/>
                    <a:ln>
                      <a:noFill/>
                    </a:ln>
                  </pic:spPr>
                </pic:pic>
              </a:graphicData>
            </a:graphic>
          </wp:inline>
        </w:drawing>
      </w:r>
    </w:p>
    <w:p w14:paraId="1F3487B6" w14:textId="77777777" w:rsidR="0057190B" w:rsidRPr="00A55335" w:rsidRDefault="0057190B" w:rsidP="007252A0">
      <w:pPr>
        <w:pStyle w:val="TableFigNotes18"/>
      </w:pPr>
    </w:p>
    <w:p w14:paraId="43372E0E" w14:textId="622A1FB3" w:rsidR="00115ACB" w:rsidRPr="00A55335" w:rsidRDefault="00115ACB" w:rsidP="007252A0">
      <w:pPr>
        <w:pStyle w:val="BodyText"/>
      </w:pPr>
      <w:bookmarkStart w:id="318" w:name="_Toc153530344"/>
      <w:bookmarkStart w:id="319" w:name="_Toc153549848"/>
      <w:bookmarkStart w:id="320" w:name="_Toc153807865"/>
      <w:bookmarkStart w:id="321" w:name="_Toc153894290"/>
      <w:bookmarkStart w:id="322" w:name="_Toc153915170"/>
      <w:bookmarkStart w:id="323" w:name="_Toc153970424"/>
      <w:bookmarkStart w:id="324" w:name="_Toc153530345"/>
      <w:bookmarkStart w:id="325" w:name="_Toc153549849"/>
      <w:bookmarkStart w:id="326" w:name="_Toc153807866"/>
      <w:bookmarkStart w:id="327" w:name="_Toc153894291"/>
      <w:bookmarkStart w:id="328" w:name="_Toc153915171"/>
      <w:bookmarkStart w:id="329" w:name="_Toc153970425"/>
      <w:bookmarkEnd w:id="318"/>
      <w:bookmarkEnd w:id="319"/>
      <w:bookmarkEnd w:id="320"/>
      <w:bookmarkEnd w:id="321"/>
      <w:bookmarkEnd w:id="322"/>
      <w:bookmarkEnd w:id="323"/>
      <w:bookmarkEnd w:id="324"/>
      <w:bookmarkEnd w:id="325"/>
      <w:bookmarkEnd w:id="326"/>
      <w:bookmarkEnd w:id="327"/>
      <w:bookmarkEnd w:id="328"/>
      <w:bookmarkEnd w:id="329"/>
      <w:r w:rsidRPr="00A55335">
        <w:br w:type="page"/>
      </w:r>
    </w:p>
    <w:p w14:paraId="4E00E79A" w14:textId="77777777" w:rsidR="00DD505D" w:rsidRPr="00A55335" w:rsidRDefault="00DD505D" w:rsidP="00262B17">
      <w:pPr>
        <w:pStyle w:val="Heading2"/>
      </w:pPr>
      <w:bookmarkStart w:id="330" w:name="_Toc153549851"/>
      <w:bookmarkStart w:id="331" w:name="_Toc153807868"/>
      <w:bookmarkStart w:id="332" w:name="_Toc153894293"/>
      <w:bookmarkStart w:id="333" w:name="_Toc153915173"/>
      <w:bookmarkStart w:id="334" w:name="_Toc153970427"/>
      <w:bookmarkStart w:id="335" w:name="_Toc183441363"/>
      <w:bookmarkEnd w:id="330"/>
      <w:bookmarkEnd w:id="331"/>
      <w:bookmarkEnd w:id="332"/>
      <w:bookmarkEnd w:id="333"/>
      <w:bookmarkEnd w:id="334"/>
      <w:r w:rsidRPr="00A55335">
        <w:lastRenderedPageBreak/>
        <w:t>Diarrhoea</w:t>
      </w:r>
      <w:bookmarkEnd w:id="335"/>
      <w:r w:rsidRPr="00A55335">
        <w:t xml:space="preserve"> </w:t>
      </w:r>
    </w:p>
    <w:p w14:paraId="13C1D989" w14:textId="77777777" w:rsidR="00DD505D" w:rsidRPr="00A55335" w:rsidRDefault="00DD505D" w:rsidP="004D433B">
      <w:pPr>
        <w:pStyle w:val="Heading3"/>
      </w:pPr>
      <w:bookmarkStart w:id="336" w:name="_Toc183441364"/>
      <w:r w:rsidRPr="00A55335">
        <w:t>Description of the condition</w:t>
      </w:r>
      <w:bookmarkEnd w:id="336"/>
      <w:r w:rsidRPr="00A55335">
        <w:t xml:space="preserve"> </w:t>
      </w:r>
    </w:p>
    <w:p w14:paraId="0EC32767" w14:textId="43F9F6F9" w:rsidR="00DD505D" w:rsidRPr="00A55335" w:rsidRDefault="00DD505D" w:rsidP="00DD505D">
      <w:pPr>
        <w:pStyle w:val="BodyText"/>
      </w:pPr>
      <w:r w:rsidRPr="00A55335">
        <w:t xml:space="preserve">Diarrhoea (medically referred to as </w:t>
      </w:r>
      <w:r w:rsidRPr="00A55335">
        <w:rPr>
          <w:rStyle w:val="Emphasis"/>
        </w:rPr>
        <w:t>gastroenteritis</w:t>
      </w:r>
      <w:r w:rsidRPr="00A55335">
        <w:t xml:space="preserve">) involves increased frequency and fluidity of stools or bowel movements </w:t>
      </w:r>
      <w:r w:rsidRPr="00A55335">
        <w:fldChar w:fldCharType="begin"/>
      </w:r>
      <w:r w:rsidR="00421784">
        <w:instrText xml:space="preserve"> ADDIN EN.CITE &lt;EndNote&gt;&lt;Cite&gt;&lt;Author&gt;Elliott&lt;/Author&gt;&lt;Year&gt;2004&lt;/Year&gt;&lt;RecNum&gt;142&lt;/RecNum&gt;&lt;DisplayText&gt;(219)&lt;/DisplayText&gt;&lt;record&gt;&lt;rec-number&gt;142&lt;/rec-number&gt;&lt;foreign-keys&gt;&lt;key app="EN" db-id="t5prptatr9sp0we5exbxt9zz20fwp55tdza9" timestamp="1681970227"&gt;142&lt;/key&gt;&lt;/foreign-keys&gt;&lt;ref-type name="Journal Article"&gt;17&lt;/ref-type&gt;&lt;contributors&gt;&lt;authors&gt;&lt;author&gt;Elliott, E. J.&lt;/author&gt;&lt;author&gt;Dalby-Payne, J. R.&lt;/author&gt;&lt;/authors&gt;&lt;/contributors&gt;&lt;auth-address&gt;The Children&amp;apos;s Hospital at Westmead, NSW. Elizabe2@chw.edu.au&lt;/auth-address&gt;&lt;titles&gt;&lt;title&gt;2. Acute infectious diarrhoea and dehydration in children&lt;/title&gt;&lt;secondary-title&gt;Med J Aust&lt;/secondary-title&gt;&lt;/titles&gt;&lt;periodical&gt;&lt;full-title&gt;Med J Aust&lt;/full-title&gt;&lt;/periodical&gt;&lt;pages&gt;565-70&lt;/pages&gt;&lt;volume&gt;181&lt;/volume&gt;&lt;number&gt;10&lt;/number&gt;&lt;keywords&gt;&lt;keyword&gt;Acute Disease&lt;/keyword&gt;&lt;keyword&gt;Child&lt;/keyword&gt;&lt;keyword&gt;Dehydration/etiology/therapy&lt;/keyword&gt;&lt;keyword&gt;Fluid Therapy&lt;/keyword&gt;&lt;keyword&gt;Gastroenteritis/complications/*therapy/virology&lt;/keyword&gt;&lt;keyword&gt;Hospitalization&lt;/keyword&gt;&lt;keyword&gt;Humans&lt;/keyword&gt;&lt;keyword&gt;Rotavirus Infections/therapy&lt;/keyword&gt;&lt;/keywords&gt;&lt;dates&gt;&lt;year&gt;2004&lt;/year&gt;&lt;pub-dates&gt;&lt;date&gt;Nov 15&lt;/date&gt;&lt;/pub-dates&gt;&lt;/dates&gt;&lt;publisher&gt;John Wiley &amp;amp; Sons, Ltd&lt;/publisher&gt;&lt;isbn&gt;0025-729X (Print)&amp;#xD;0025-729X (Linking)&lt;/isbn&gt;&lt;accession-num&gt;15540971&lt;/accession-num&gt;&lt;work-type&gt;https://doi.org/10.5694/j.1326-5377.2004.tb06449.x&lt;/work-type&gt;&lt;urls&gt;&lt;related-urls&gt;&lt;url&gt;https://www.ncbi.nlm.nih.gov/pubmed/15540971&lt;/url&gt;&lt;/related-urls&gt;&lt;/urls&gt;&lt;electronic-resource-num&gt;10.5694/j.1326-5377.2004.tb06449.x&lt;/electronic-resource-num&gt;&lt;remote-database-name&gt;Medline&lt;/remote-database-name&gt;&lt;remote-database-provider&gt;NLM&lt;/remote-database-provider&gt;&lt;access-date&gt;2023/04/17&lt;/access-date&gt;&lt;/record&gt;&lt;/Cite&gt;&lt;/EndNote&gt;</w:instrText>
      </w:r>
      <w:r w:rsidRPr="00A55335">
        <w:fldChar w:fldCharType="separate"/>
      </w:r>
      <w:r w:rsidR="00421784">
        <w:rPr>
          <w:noProof/>
        </w:rPr>
        <w:t>(</w:t>
      </w:r>
      <w:hyperlink w:anchor="_ENREF_219" w:tooltip="Elliott, 2004 #142" w:history="1">
        <w:r w:rsidR="00EC2769">
          <w:rPr>
            <w:noProof/>
          </w:rPr>
          <w:t>219</w:t>
        </w:r>
      </w:hyperlink>
      <w:r w:rsidR="00421784">
        <w:rPr>
          <w:noProof/>
        </w:rPr>
        <w:t>)</w:t>
      </w:r>
      <w:r w:rsidRPr="00A55335">
        <w:fldChar w:fldCharType="end"/>
      </w:r>
      <w:r w:rsidRPr="00A55335">
        <w:t xml:space="preserve">. Acute diarrhoea is typically resolved in less than seven days and is commonly caused by viral pathogens (such as rotavirus or norovirus) transmitted via low quality drinking water, inadequate sanitation, and poor hygiene </w:t>
      </w:r>
      <w:r w:rsidRPr="00A55335">
        <w:fldChar w:fldCharType="begin">
          <w:fldData xml:space="preserve">PEVuZE5vdGU+PENpdGU+PEF1dGhvcj5FbGxpb3R0PC9BdXRob3I+PFllYXI+MjAwNDwvWWVhcj48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</w:fldData>
        </w:fldChar>
      </w:r>
      <w:r w:rsidR="003C08E8">
        <w:instrText xml:space="preserve"> ADDIN EN.CITE </w:instrText>
      </w:r>
      <w:r w:rsidR="003C08E8">
        <w:fldChar w:fldCharType="begin">
          <w:fldData xml:space="preserve">PEVuZE5vdGU+PENpdGU+PEF1dGhvcj5FbGxpb3R0PC9BdXRob3I+PFllYXI+MjAwNDwvWWVhcj48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</w:fldData>
        </w:fldChar>
      </w:r>
      <w:r w:rsidR="003C08E8">
        <w:instrText xml:space="preserve"> ADDIN EN.CITE.DATA </w:instrText>
      </w:r>
      <w:r w:rsidR="003C08E8">
        <w:fldChar w:fldCharType="end"/>
      </w:r>
      <w:r w:rsidRPr="00A55335">
        <w:fldChar w:fldCharType="separate"/>
      </w:r>
      <w:r w:rsidR="003C08E8">
        <w:rPr>
          <w:noProof/>
        </w:rPr>
        <w:t>(</w:t>
      </w:r>
      <w:hyperlink w:anchor="_ENREF_219" w:tooltip="Elliott, 2004 #142" w:history="1">
        <w:r w:rsidR="00EC2769">
          <w:rPr>
            <w:noProof/>
          </w:rPr>
          <w:t>219</w:t>
        </w:r>
      </w:hyperlink>
      <w:r w:rsidR="003C08E8">
        <w:rPr>
          <w:noProof/>
        </w:rPr>
        <w:t xml:space="preserve">, </w:t>
      </w:r>
      <w:hyperlink w:anchor="_ENREF_220" w:tooltip="World Health Organisation (WHO), 2017 #424" w:history="1">
        <w:r w:rsidR="00EC2769">
          <w:rPr>
            <w:noProof/>
          </w:rPr>
          <w:t>220</w:t>
        </w:r>
      </w:hyperlink>
      <w:r w:rsidR="003C08E8">
        <w:rPr>
          <w:noProof/>
        </w:rPr>
        <w:t>)</w:t>
      </w:r>
      <w:r w:rsidRPr="00A55335">
        <w:fldChar w:fldCharType="end"/>
      </w:r>
      <w:r w:rsidRPr="00A55335">
        <w:t xml:space="preserve">. Abdominal pain, vomiting, fever, loss of appetite, and dehydration are common symptoms of acute diarrhoea </w:t>
      </w:r>
      <w:r w:rsidRPr="00A55335">
        <w:fldChar w:fldCharType="begin">
          <w:fldData xml:space="preserve">PEVuZE5vdGU+PENpdGU+PEF1dGhvcj5UaGUgUm95YWwgQ2hpbGRyZW4mYXBvcztzIEhvc3BpdGFs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</w:fldData>
        </w:fldChar>
      </w:r>
      <w:r w:rsidR="002E7FE2">
        <w:instrText xml:space="preserve"> ADDIN EN.CITE </w:instrText>
      </w:r>
      <w:r w:rsidR="002E7FE2">
        <w:fldChar w:fldCharType="begin">
          <w:fldData xml:space="preserve">PEVuZE5vdGU+PENpdGU+PEF1dGhvcj5UaGUgUm95YWwgQ2hpbGRyZW4mYXBvcztzIEhvc3BpdGFs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</w:fldData>
        </w:fldChar>
      </w:r>
      <w:r w:rsidR="002E7FE2">
        <w:instrText xml:space="preserve"> ADDIN EN.CITE.DATA </w:instrText>
      </w:r>
      <w:r w:rsidR="002E7FE2">
        <w:fldChar w:fldCharType="end"/>
      </w:r>
      <w:r w:rsidRPr="00A55335">
        <w:fldChar w:fldCharType="separate"/>
      </w:r>
      <w:r w:rsidR="002E7FE2">
        <w:rPr>
          <w:noProof/>
        </w:rPr>
        <w:t>(</w:t>
      </w:r>
      <w:hyperlink w:anchor="_ENREF_219" w:tooltip="Elliott, 2004 #142" w:history="1">
        <w:r w:rsidR="00EC2769">
          <w:rPr>
            <w:noProof/>
          </w:rPr>
          <w:t>219</w:t>
        </w:r>
      </w:hyperlink>
      <w:r w:rsidR="002E7FE2">
        <w:rPr>
          <w:noProof/>
        </w:rPr>
        <w:t xml:space="preserve">, </w:t>
      </w:r>
      <w:hyperlink w:anchor="_ENREF_221" w:tooltip="The Royal Children's Hospital Melbourne, 2020 #143" w:history="1">
        <w:r w:rsidR="00EC2769">
          <w:rPr>
            <w:noProof/>
          </w:rPr>
          <w:t>221</w:t>
        </w:r>
      </w:hyperlink>
      <w:r w:rsidR="002E7FE2">
        <w:rPr>
          <w:noProof/>
        </w:rPr>
        <w:t>)</w:t>
      </w:r>
      <w:r w:rsidRPr="00A55335">
        <w:fldChar w:fldCharType="end"/>
      </w:r>
      <w:r w:rsidRPr="00A55335">
        <w:t xml:space="preserve">. </w:t>
      </w:r>
    </w:p>
    <w:p w14:paraId="2AE2ADAE" w14:textId="6D2E1F74" w:rsidR="00DC29C9" w:rsidRPr="00A55335" w:rsidRDefault="00DD505D" w:rsidP="00DD505D">
      <w:pPr>
        <w:pStyle w:val="BodyText"/>
      </w:pPr>
      <w:r w:rsidRPr="00A55335">
        <w:t xml:space="preserve">Approximately 17.7 million cases of acute diarrhoea occur in Australia per year, of which 13.9% are in children </w:t>
      </w:r>
      <w:r w:rsidR="001F72B7" w:rsidRPr="00A55335">
        <w:t>under</w:t>
      </w:r>
      <w:r w:rsidRPr="00A55335">
        <w:t xml:space="preserve"> 5 years</w:t>
      </w:r>
      <w:r w:rsidR="001F72B7" w:rsidRPr="00A55335">
        <w:t xml:space="preserve"> of age</w:t>
      </w:r>
      <w:r w:rsidRPr="00A55335">
        <w:t xml:space="preserve"> (approximately 2.5 million cases) </w:t>
      </w:r>
      <w:r w:rsidRPr="00A55335">
        <w:fldChar w:fldCharType="begin">
          <w:fldData xml:space="preserve">PEVuZE5vdGU+PENpdGU+PEF1dGhvcj5TdW5kZXJsYW5kPC9BdXRob3I+PFllYXI+MjAxOTwvWWVh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</w:fldData>
        </w:fldChar>
      </w:r>
      <w:r w:rsidR="005E3E74">
        <w:instrText xml:space="preserve"> ADDIN EN.CITE </w:instrText>
      </w:r>
      <w:r w:rsidR="005E3E74">
        <w:fldChar w:fldCharType="begin">
          <w:fldData xml:space="preserve">PEVuZE5vdGU+PENpdGU+PEF1dGhvcj5TdW5kZXJsYW5kPC9BdXRob3I+PFllYXI+MjAxOTwvWWVh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</w:fldData>
        </w:fldChar>
      </w:r>
      <w:r w:rsidR="005E3E74">
        <w:instrText xml:space="preserve"> ADDIN EN.CITE.DATA </w:instrText>
      </w:r>
      <w:r w:rsidR="005E3E74">
        <w:fldChar w:fldCharType="end"/>
      </w:r>
      <w:r w:rsidRPr="00A55335">
        <w:fldChar w:fldCharType="separate"/>
      </w:r>
      <w:r w:rsidR="005E3E74">
        <w:rPr>
          <w:noProof/>
        </w:rPr>
        <w:t>(</w:t>
      </w:r>
      <w:hyperlink w:anchor="_ENREF_222" w:tooltip="Sunderland, 2019 #582" w:history="1">
        <w:r w:rsidR="00EC2769">
          <w:rPr>
            <w:noProof/>
          </w:rPr>
          <w:t>222</w:t>
        </w:r>
      </w:hyperlink>
      <w:r w:rsidR="005E3E74">
        <w:rPr>
          <w:noProof/>
        </w:rPr>
        <w:t>)</w:t>
      </w:r>
      <w:r w:rsidRPr="00A55335">
        <w:fldChar w:fldCharType="end"/>
      </w:r>
      <w:r w:rsidRPr="00A55335">
        <w:t xml:space="preserve">. </w:t>
      </w:r>
      <w:r w:rsidR="001F72B7" w:rsidRPr="00A55335">
        <w:t>G</w:t>
      </w:r>
      <w:r w:rsidRPr="00A55335">
        <w:t xml:space="preserve">lobally, diarrhoea is the second leading cause of death and leading cause of malnutrition in children under 5 years, </w:t>
      </w:r>
      <w:r w:rsidR="008B41A9" w:rsidRPr="00A55335">
        <w:t xml:space="preserve">but, </w:t>
      </w:r>
      <w:r w:rsidRPr="00A55335">
        <w:t>in Australia</w:t>
      </w:r>
      <w:r w:rsidR="008B41A9" w:rsidRPr="00A55335">
        <w:t>,</w:t>
      </w:r>
      <w:r w:rsidRPr="00A55335">
        <w:t xml:space="preserve"> most cases are self-limiting </w:t>
      </w:r>
      <w:r w:rsidRPr="00A55335">
        <w:fldChar w:fldCharType="begin"/>
      </w:r>
      <w:r w:rsidR="00E6425D">
        <w:instrText xml:space="preserve"> ADDIN EN.CITE &lt;EndNote&gt;&lt;Cite&gt;&lt;Author&gt;World Health Organisation (WHO)&lt;/Author&gt;&lt;Year&gt;2017&lt;/Year&gt;&lt;RecNum&gt;424&lt;/RecNum&gt;&lt;DisplayText&gt;(220)&lt;/DisplayText&gt;&lt;record&gt;&lt;rec-number&gt;424&lt;/rec-number&gt;&lt;foreign-keys&gt;&lt;key app="EN" db-id="t5prptatr9sp0we5exbxt9zz20fwp55tdza9" timestamp="1700774034"&gt;424&lt;/key&gt;&lt;/foreign-keys&gt;&lt;ref-type name="Generic"&gt;13&lt;/ref-type&gt;&lt;contributors&gt;&lt;authors&gt;&lt;author&gt;World Health Organisation (WHO),&lt;/author&gt;&lt;/authors&gt;&lt;/contributors&gt;&lt;titles&gt;&lt;title&gt;Diarrhoeal disease&lt;/title&gt;&lt;/titles&gt;&lt;dates&gt;&lt;year&gt;2017&lt;/year&gt;&lt;/dates&gt;&lt;urls&gt;&lt;related-urls&gt;&lt;url&gt;https://www.who.int/news-room/fact-sheets/detail/diarrhoeal-disease&lt;/url&gt;&lt;/related-urls&gt;&lt;/urls&gt;&lt;/record&gt;&lt;/Cite&gt;&lt;/EndNote&gt;</w:instrText>
      </w:r>
      <w:r w:rsidRPr="00A55335">
        <w:fldChar w:fldCharType="separate"/>
      </w:r>
      <w:r w:rsidR="00E6425D">
        <w:rPr>
          <w:noProof/>
        </w:rPr>
        <w:t>(</w:t>
      </w:r>
      <w:hyperlink w:anchor="_ENREF_220" w:tooltip="World Health Organisation (WHO), 2017 #424" w:history="1">
        <w:r w:rsidR="00EC2769">
          <w:rPr>
            <w:noProof/>
          </w:rPr>
          <w:t>220</w:t>
        </w:r>
      </w:hyperlink>
      <w:r w:rsidR="00E6425D">
        <w:rPr>
          <w:noProof/>
        </w:rPr>
        <w:t>)</w:t>
      </w:r>
      <w:r w:rsidRPr="00A55335">
        <w:fldChar w:fldCharType="end"/>
      </w:r>
      <w:r w:rsidRPr="00A55335">
        <w:t xml:space="preserve">. In particular, the inclusion of rotavirus vaccinations in the Australian National Immunisation Program </w:t>
      </w:r>
      <w:r w:rsidR="009E08E6" w:rsidRPr="00A55335">
        <w:t xml:space="preserve">since </w:t>
      </w:r>
      <w:r w:rsidRPr="00A55335">
        <w:t xml:space="preserve">2007 </w:t>
      </w:r>
      <w:r w:rsidR="009E08E6" w:rsidRPr="00A55335">
        <w:t>has</w:t>
      </w:r>
      <w:r w:rsidRPr="00A55335">
        <w:t xml:space="preserve"> significantly reduced healthcare utilisation relating to acute diarrhoeal episodes </w:t>
      </w:r>
      <w:r w:rsidRPr="00A55335">
        <w:fldChar w:fldCharType="begin">
          <w:fldData xml:space="preserve">PEVuZE5vdGU+PENpdGU+PEF1dGhvcj5QYXRlbDwvQXV0aG9yPjxZZWFyPjIwMTA8L1llYXI+PFJl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=
</w:fldData>
        </w:fldChar>
      </w:r>
      <w:r w:rsidR="00FC1F86">
        <w:instrText xml:space="preserve"> ADDIN EN.CITE </w:instrText>
      </w:r>
      <w:r w:rsidR="00FC1F86">
        <w:fldChar w:fldCharType="begin">
          <w:fldData xml:space="preserve">PEVuZE5vdGU+PENpdGU+PEF1dGhvcj5QYXRlbDwvQXV0aG9yPjxZZWFyPjIwMTA8L1llYXI+PFJl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=
</w:fldData>
        </w:fldChar>
      </w:r>
      <w:r w:rsidR="00FC1F86">
        <w:instrText xml:space="preserve"> ADDIN EN.CITE.DATA </w:instrText>
      </w:r>
      <w:r w:rsidR="00FC1F86">
        <w:fldChar w:fldCharType="end"/>
      </w:r>
      <w:r w:rsidRPr="00A55335">
        <w:fldChar w:fldCharType="separate"/>
      </w:r>
      <w:r w:rsidR="00FC1F86">
        <w:rPr>
          <w:noProof/>
        </w:rPr>
        <w:t>(</w:t>
      </w:r>
      <w:hyperlink w:anchor="_ENREF_221" w:tooltip="The Royal Children's Hospital Melbourne, 2020 #143" w:history="1">
        <w:r w:rsidR="00EC2769">
          <w:rPr>
            <w:noProof/>
          </w:rPr>
          <w:t>221</w:t>
        </w:r>
      </w:hyperlink>
      <w:r w:rsidR="00FC1F86">
        <w:rPr>
          <w:noProof/>
        </w:rPr>
        <w:t xml:space="preserve">, </w:t>
      </w:r>
      <w:hyperlink w:anchor="_ENREF_223" w:tooltip="Patel, 2010 #583" w:history="1">
        <w:r w:rsidR="00EC2769">
          <w:rPr>
            <w:noProof/>
          </w:rPr>
          <w:t>223</w:t>
        </w:r>
      </w:hyperlink>
      <w:r w:rsidR="00FC1F86">
        <w:rPr>
          <w:noProof/>
        </w:rPr>
        <w:t xml:space="preserve">, </w:t>
      </w:r>
      <w:hyperlink w:anchor="_ENREF_224" w:tooltip="Sunderland, 2019 #144" w:history="1">
        <w:r w:rsidR="00EC2769">
          <w:rPr>
            <w:noProof/>
          </w:rPr>
          <w:t>224</w:t>
        </w:r>
      </w:hyperlink>
      <w:r w:rsidR="00FC1F86">
        <w:rPr>
          <w:noProof/>
        </w:rPr>
        <w:t>)</w:t>
      </w:r>
      <w:r w:rsidRPr="00A55335">
        <w:fldChar w:fldCharType="end"/>
      </w:r>
      <w:r w:rsidRPr="00A55335">
        <w:t xml:space="preserve">. Nevertheless, acute diarrhoeal cases continue to be a significant cost burden to the Australian public health system, with some instances requiring interventional therapies like rehydration treatment and other medications, including anti-nausea medicines </w:t>
      </w:r>
      <w:r w:rsidRPr="00A55335">
        <w:fldChar w:fldCharType="begin">
          <w:fldData xml:space="preserve">PEVuZE5vdGU+PENpdGU+PEF1dGhvcj5UaGUgUm95YWwgQ2hpbGRyZW4mYXBvcztzIEhvc3BpdGFs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</w:fldData>
        </w:fldChar>
      </w:r>
      <w:r w:rsidR="00225E2D">
        <w:instrText xml:space="preserve"> ADDIN EN.CITE </w:instrText>
      </w:r>
      <w:r w:rsidR="00225E2D">
        <w:fldChar w:fldCharType="begin">
          <w:fldData xml:space="preserve">PEVuZE5vdGU+PENpdGU+PEF1dGhvcj5UaGUgUm95YWwgQ2hpbGRyZW4mYXBvcztzIEhvc3BpdGFs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</w:fldData>
        </w:fldChar>
      </w:r>
      <w:r w:rsidR="00225E2D">
        <w:instrText xml:space="preserve"> ADDIN EN.CITE.DATA </w:instrText>
      </w:r>
      <w:r w:rsidR="00225E2D">
        <w:fldChar w:fldCharType="end"/>
      </w:r>
      <w:r w:rsidRPr="00A55335">
        <w:fldChar w:fldCharType="separate"/>
      </w:r>
      <w:r w:rsidR="00225E2D">
        <w:rPr>
          <w:noProof/>
        </w:rPr>
        <w:t>(</w:t>
      </w:r>
      <w:hyperlink w:anchor="_ENREF_219" w:tooltip="Elliott, 2004 #142" w:history="1">
        <w:r w:rsidR="00EC2769">
          <w:rPr>
            <w:noProof/>
          </w:rPr>
          <w:t>219</w:t>
        </w:r>
      </w:hyperlink>
      <w:r w:rsidR="00225E2D">
        <w:rPr>
          <w:noProof/>
        </w:rPr>
        <w:t xml:space="preserve">, </w:t>
      </w:r>
      <w:hyperlink w:anchor="_ENREF_221" w:tooltip="The Royal Children's Hospital Melbourne, 2020 #143" w:history="1">
        <w:r w:rsidR="00EC2769">
          <w:rPr>
            <w:noProof/>
          </w:rPr>
          <w:t>221</w:t>
        </w:r>
      </w:hyperlink>
      <w:r w:rsidR="00225E2D">
        <w:rPr>
          <w:noProof/>
        </w:rPr>
        <w:t>)</w:t>
      </w:r>
      <w:r w:rsidRPr="00A55335">
        <w:fldChar w:fldCharType="end"/>
      </w:r>
      <w:r w:rsidRPr="00A55335">
        <w:t>. As such, health care utilisation relating to acute diarrhoea is estimated to cost AUD$419 million per year (inflated for 2022)</w:t>
      </w:r>
      <w:r w:rsidRPr="00A55335">
        <w:fldChar w:fldCharType="begin">
          <w:fldData xml:space="preserve">PEVuZE5vdGU+PENpdGU+PEF1dGhvcj5TdW5kZXJsYW5kPC9BdXRob3I+PFllYXI+MjAxOTwvWWVh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=
</w:fldData>
        </w:fldChar>
      </w:r>
      <w:r w:rsidR="00FF1B0A">
        <w:instrText xml:space="preserve"> ADDIN EN.CITE </w:instrText>
      </w:r>
      <w:r w:rsidR="00FF1B0A">
        <w:fldChar w:fldCharType="begin">
          <w:fldData xml:space="preserve">PEVuZE5vdGU+PENpdGU+PEF1dGhvcj5TdW5kZXJsYW5kPC9BdXRob3I+PFllYXI+MjAxOTwvWWVh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=
</w:fldData>
        </w:fldChar>
      </w:r>
      <w:r w:rsidR="00FF1B0A">
        <w:instrText xml:space="preserve"> ADDIN EN.CITE.DATA </w:instrText>
      </w:r>
      <w:r w:rsidR="00FF1B0A">
        <w:fldChar w:fldCharType="end"/>
      </w:r>
      <w:r w:rsidRPr="00A55335">
        <w:fldChar w:fldCharType="separate"/>
      </w:r>
      <w:r w:rsidR="00FF1B0A">
        <w:rPr>
          <w:noProof/>
        </w:rPr>
        <w:t>(</w:t>
      </w:r>
      <w:hyperlink w:anchor="_ENREF_224" w:tooltip="Sunderland, 2019 #144" w:history="1">
        <w:r w:rsidR="00EC2769">
          <w:rPr>
            <w:noProof/>
          </w:rPr>
          <w:t>224</w:t>
        </w:r>
      </w:hyperlink>
      <w:r w:rsidR="00FF1B0A">
        <w:rPr>
          <w:noProof/>
        </w:rPr>
        <w:t>)</w:t>
      </w:r>
      <w:r w:rsidRPr="00A55335">
        <w:fldChar w:fldCharType="end"/>
      </w:r>
      <w:r w:rsidRPr="00A55335">
        <w:t xml:space="preserve">. </w:t>
      </w:r>
    </w:p>
    <w:p w14:paraId="64F9A18D" w14:textId="77777777" w:rsidR="00DD505D" w:rsidRPr="00A55335" w:rsidRDefault="00DD505D" w:rsidP="004D433B">
      <w:pPr>
        <w:pStyle w:val="Heading3"/>
      </w:pPr>
      <w:bookmarkStart w:id="337" w:name="_Toc183441365"/>
      <w:r w:rsidRPr="00A55335">
        <w:t>Description of studies</w:t>
      </w:r>
      <w:bookmarkEnd w:id="337"/>
      <w:r w:rsidRPr="00A55335">
        <w:t xml:space="preserve"> </w:t>
      </w:r>
    </w:p>
    <w:p w14:paraId="57B793A2" w14:textId="1EFA9777" w:rsidR="00DD505D" w:rsidRPr="00A55335" w:rsidRDefault="00DD505D" w:rsidP="00DD505D">
      <w:pPr>
        <w:pStyle w:val="BodyText"/>
      </w:pPr>
      <w:r w:rsidRPr="00A55335">
        <w:t>Th</w:t>
      </w:r>
      <w:r w:rsidR="00C1423B" w:rsidRPr="00A55335">
        <w:t>ere were 3</w:t>
      </w:r>
      <w:r w:rsidRPr="00A55335">
        <w:t xml:space="preserve"> citations </w:t>
      </w:r>
      <w:r w:rsidRPr="00A55335">
        <w:fldChar w:fldCharType="begin">
          <w:fldData xml:space="preserve">PEVuZE5vdGU+PENpdGU+PEF1dGhvcj5KYWNvYnM8L0F1dGhvcj48WWVhcj4xOTkzPC9ZZWFyPjxS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==
</w:fldData>
        </w:fldChar>
      </w:r>
      <w:r w:rsidR="00A87186">
        <w:instrText xml:space="preserve"> ADDIN EN.CITE </w:instrText>
      </w:r>
      <w:r w:rsidR="00A87186">
        <w:fldChar w:fldCharType="begin">
          <w:fldData xml:space="preserve">PEVuZE5vdGU+PENpdGU+PEF1dGhvcj5KYWNvYnM8L0F1dGhvcj48WWVhcj4xOTkzPC9ZZWFyPjxS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==
</w:fldData>
        </w:fldChar>
      </w:r>
      <w:r w:rsidR="00A87186">
        <w:instrText xml:space="preserve"> ADDIN EN.CITE.DATA </w:instrText>
      </w:r>
      <w:r w:rsidR="00A87186">
        <w:fldChar w:fldCharType="end"/>
      </w:r>
      <w:r w:rsidRPr="00A55335">
        <w:fldChar w:fldCharType="separate"/>
      </w:r>
      <w:r w:rsidR="00A87186">
        <w:rPr>
          <w:noProof/>
        </w:rPr>
        <w:t>(</w:t>
      </w:r>
      <w:hyperlink w:anchor="_ENREF_225" w:tooltip="Jacobs, 1993 #584" w:history="1">
        <w:r w:rsidR="00EC2769">
          <w:rPr>
            <w:noProof/>
          </w:rPr>
          <w:t>225-227</w:t>
        </w:r>
      </w:hyperlink>
      <w:r w:rsidR="00A87186">
        <w:rPr>
          <w:noProof/>
        </w:rPr>
        <w:t>)</w:t>
      </w:r>
      <w:r w:rsidRPr="00A55335">
        <w:fldChar w:fldCharType="end"/>
      </w:r>
      <w:r w:rsidRPr="00A55335">
        <w:t xml:space="preserve"> corresponding to 2 RCTs (Jacobs 2000</w:t>
      </w:r>
      <w:r w:rsidR="00FB76A5" w:rsidRPr="00A55335">
        <w:t>,</w:t>
      </w:r>
      <w:r w:rsidRPr="00A55335">
        <w:t xml:space="preserve"> Jacobs 2006) and one </w:t>
      </w:r>
      <w:r w:rsidR="0095338D" w:rsidRPr="00A55335">
        <w:t>quasi RCT</w:t>
      </w:r>
      <w:r w:rsidRPr="00A55335">
        <w:t xml:space="preserve"> (Jacobs 1993) identified in the literature search. </w:t>
      </w:r>
      <w:r w:rsidR="00C95994" w:rsidRPr="00A55335">
        <w:t xml:space="preserve"> One additional quasi RCT (Patel 2010)</w:t>
      </w:r>
      <w:r w:rsidR="00C95994" w:rsidRPr="00A55335">
        <w:fldChar w:fldCharType="begin"/>
      </w:r>
      <w:r w:rsidR="00FB6CDB">
        <w:instrText xml:space="preserve"> ADDIN EN.CITE &lt;EndNote&gt;&lt;Cite&gt;&lt;Author&gt;Manoj&lt;/Author&gt;&lt;Year&gt;2010&lt;/Year&gt;&lt;RecNum&gt;425&lt;/RecNum&gt;&lt;DisplayText&gt;(228)&lt;/DisplayText&gt;&lt;record&gt;&lt;rec-number&gt;425&lt;/rec-number&gt;&lt;foreign-keys&gt;&lt;key app="EN" db-id="t5prptatr9sp0we5exbxt9zz20fwp55tdza9" timestamp="1700774034"&gt;425&lt;/key&gt;&lt;/foreign-keys&gt;&lt;ref-type name="Journal Article"&gt;17&lt;/ref-type&gt;&lt;contributors&gt;&lt;authors&gt;&lt;author&gt;Manoj, Patel&lt;/author&gt;&lt;author&gt;Pawaskar, Navin&lt;/author&gt;&lt;author&gt;Mundra, Pradeep&lt;/author&gt;&lt;author&gt;Tamboli, Prashant&lt;/author&gt;&lt;author&gt;Kothare, Gandhali&lt;/author&gt;&lt;/authors&gt;&lt;/contributors&gt;&lt;titles&gt;&lt;title&gt;An approach to acute diarrhoeal disorders through sector and constitutional homoeopathic treatment in tribal children attending balwadis&lt;/title&gt;&lt;secondary-title&gt;Indian Journal of Research in Homoeopathy&lt;/secondary-title&gt;&lt;/titles&gt;&lt;periodical&gt;&lt;full-title&gt;Indian journal of research in homoeopathy&lt;/full-title&gt;&lt;/periodical&gt;&lt;pages&gt;36-48&lt;/pages&gt;&lt;volume&gt;4&lt;/volume&gt;&lt;number&gt;4&lt;/number&gt;&lt;section&gt;36&lt;/section&gt;&lt;dates&gt;&lt;year&gt;2010&lt;/year&gt;&lt;/dates&gt;&lt;isbn&gt;2320-7094&lt;/isbn&gt;&lt;urls&gt;&lt;/urls&gt;&lt;electronic-resource-num&gt;10.53945/2320-7094.1763&lt;/electronic-resource-num&gt;&lt;/record&gt;&lt;/Cite&gt;&lt;/EndNote&gt;</w:instrText>
      </w:r>
      <w:r w:rsidR="00C95994" w:rsidRPr="00A55335">
        <w:fldChar w:fldCharType="separate"/>
      </w:r>
      <w:r w:rsidR="00FB6CDB">
        <w:rPr>
          <w:noProof/>
        </w:rPr>
        <w:t>(</w:t>
      </w:r>
      <w:hyperlink w:anchor="_ENREF_228" w:tooltip="Manoj, 2010 #425" w:history="1">
        <w:r w:rsidR="00EC2769">
          <w:rPr>
            <w:noProof/>
          </w:rPr>
          <w:t>228</w:t>
        </w:r>
      </w:hyperlink>
      <w:r w:rsidR="00FB6CDB">
        <w:rPr>
          <w:noProof/>
        </w:rPr>
        <w:t>)</w:t>
      </w:r>
      <w:r w:rsidR="00C95994" w:rsidRPr="00A55335">
        <w:fldChar w:fldCharType="end"/>
      </w:r>
      <w:r w:rsidR="00C95994" w:rsidRPr="00A55335">
        <w:t xml:space="preserve"> was found in the Department’s public call for evidence. </w:t>
      </w:r>
      <w:r w:rsidRPr="00A55335">
        <w:t xml:space="preserve">There were no </w:t>
      </w:r>
      <w:hyperlink w:anchor="_Ongoing_studies_1" w:history="1">
        <w:r w:rsidRPr="00A55335">
          <w:rPr>
            <w:rStyle w:val="Hyperlink"/>
            <w:rFonts w:cs="Calibri"/>
          </w:rPr>
          <w:t>ongoing studies</w:t>
        </w:r>
      </w:hyperlink>
      <w:r w:rsidRPr="00A55335">
        <w:t xml:space="preserve"> </w:t>
      </w:r>
      <w:r w:rsidR="00C95994" w:rsidRPr="00A55335">
        <w:t xml:space="preserve">and </w:t>
      </w:r>
      <w:r w:rsidR="002E685F" w:rsidRPr="00A55335">
        <w:t xml:space="preserve">2 studies </w:t>
      </w:r>
      <w:hyperlink w:anchor="_Studies_awaiting_classification" w:history="1">
        <w:r w:rsidRPr="00A55335">
          <w:rPr>
            <w:rStyle w:val="Hyperlink"/>
            <w:rFonts w:cs="Calibri"/>
          </w:rPr>
          <w:t>awaiting classification</w:t>
        </w:r>
      </w:hyperlink>
      <w:r w:rsidRPr="00A55335">
        <w:t>. An overview of the PICO criteria of including studies is provided in Appendix D</w:t>
      </w:r>
      <w:r w:rsidR="00C029E4" w:rsidRPr="00A55335">
        <w:t>6.1.1</w:t>
      </w:r>
      <w:r w:rsidRPr="00A55335">
        <w:t>.</w:t>
      </w:r>
    </w:p>
    <w:p w14:paraId="38A79FE5" w14:textId="453B7DCB" w:rsidR="00DD505D" w:rsidRPr="00A55335" w:rsidRDefault="00DD505D" w:rsidP="00DD505D">
      <w:pPr>
        <w:pStyle w:val="BodyText"/>
      </w:pPr>
      <w:r w:rsidRPr="00A55335">
        <w:t>Three studies were conducted in community health centres in Nicaragua (Jacobs 1993), Honduras (Jacobs 2006), and India (Patel 2010). One study was carried out in a health clinic in Nepal (Jacobs 2000). Sample size ranged from 34 to 342 participants (803 total participants), with all studies enrolling participants with acute childhood diarrhoea.</w:t>
      </w:r>
    </w:p>
    <w:p w14:paraId="11ADD934" w14:textId="1655B9E7" w:rsidR="00DD505D" w:rsidRPr="00A55335" w:rsidRDefault="00DD505D" w:rsidP="00DD505D">
      <w:pPr>
        <w:pStyle w:val="BodyText"/>
      </w:pPr>
      <w:r w:rsidRPr="00A55335">
        <w:t>Three studies (Jacobs 1993, Jacobs 2000, Patel 2010) used individualised homeopathy which was compared to placebo. One study (Jacobs 2006) used non-individualised homeopathy which was also compared to placebo. In all four studies, participants received rehydration therapy as a co-intervention.</w:t>
      </w:r>
    </w:p>
    <w:p w14:paraId="55725E88" w14:textId="5EA6E452" w:rsidR="00DD505D" w:rsidRPr="00A55335" w:rsidRDefault="00DD505D" w:rsidP="00DD505D">
      <w:pPr>
        <w:pStyle w:val="BodyText"/>
      </w:pPr>
      <w:r w:rsidRPr="00A55335">
        <w:t xml:space="preserve">Administration of homeopathic </w:t>
      </w:r>
      <w:r w:rsidR="004A24BA" w:rsidRPr="00A55335">
        <w:t xml:space="preserve">treatment </w:t>
      </w:r>
      <w:r w:rsidRPr="00A55335">
        <w:t xml:space="preserve">varied between studies. </w:t>
      </w:r>
      <w:r w:rsidR="004A24BA" w:rsidRPr="00A55335">
        <w:t>In o</w:t>
      </w:r>
      <w:r w:rsidRPr="00A55335">
        <w:t xml:space="preserve">ne study (Jacobs 1993) the intervention </w:t>
      </w:r>
      <w:r w:rsidR="004A24BA" w:rsidRPr="00A55335">
        <w:t>was</w:t>
      </w:r>
      <w:r w:rsidRPr="00A55335">
        <w:t xml:space="preserve"> administered twice daily. </w:t>
      </w:r>
      <w:r w:rsidR="001D4629" w:rsidRPr="00A55335">
        <w:t>In 2</w:t>
      </w:r>
      <w:r w:rsidRPr="00A55335">
        <w:t xml:space="preserve"> studies (Jacobs 2000</w:t>
      </w:r>
      <w:r w:rsidR="001D4629" w:rsidRPr="00A55335">
        <w:t>,</w:t>
      </w:r>
      <w:r w:rsidRPr="00A55335">
        <w:t xml:space="preserve"> Jacobs 2006) the intervention </w:t>
      </w:r>
      <w:r w:rsidR="001D4629" w:rsidRPr="00A55335">
        <w:t xml:space="preserve">was </w:t>
      </w:r>
      <w:r w:rsidRPr="00A55335">
        <w:t xml:space="preserve">to be administered after every unformed stool. One study (Patel 2010) did not specify the administration requirements of the intervention as it was individualised with some </w:t>
      </w:r>
      <w:r w:rsidR="001D4629" w:rsidRPr="00A55335">
        <w:t>participants</w:t>
      </w:r>
      <w:r w:rsidRPr="00A55335">
        <w:t xml:space="preserve"> </w:t>
      </w:r>
      <w:r w:rsidR="001D4629" w:rsidRPr="00A55335">
        <w:t xml:space="preserve">(n=100) </w:t>
      </w:r>
      <w:r w:rsidR="00F35297" w:rsidRPr="00A55335">
        <w:t>receiving</w:t>
      </w:r>
      <w:r w:rsidR="004877F7" w:rsidRPr="00A55335">
        <w:t xml:space="preserve"> </w:t>
      </w:r>
      <w:r w:rsidR="00054D96" w:rsidRPr="00A55335">
        <w:t xml:space="preserve">treatment for acute symptoms </w:t>
      </w:r>
      <w:r w:rsidR="00A1201B" w:rsidRPr="00A55335">
        <w:t>and others (n=100)</w:t>
      </w:r>
      <w:r w:rsidR="00671646" w:rsidRPr="00A55335">
        <w:t xml:space="preserve"> </w:t>
      </w:r>
      <w:r w:rsidRPr="00A55335">
        <w:t>receiving</w:t>
      </w:r>
      <w:r w:rsidR="00A1201B" w:rsidRPr="00A55335">
        <w:t xml:space="preserve"> </w:t>
      </w:r>
      <w:r w:rsidR="00D70DB0" w:rsidRPr="00A55335">
        <w:t>treatment</w:t>
      </w:r>
      <w:r w:rsidR="00A1201B" w:rsidRPr="00A55335">
        <w:t xml:space="preserve"> for acute</w:t>
      </w:r>
      <w:r w:rsidR="00D70DB0" w:rsidRPr="00A55335">
        <w:t xml:space="preserve"> symptoms followed by </w:t>
      </w:r>
      <w:r w:rsidRPr="00A55335">
        <w:t xml:space="preserve">constitutional homeopathic </w:t>
      </w:r>
      <w:r w:rsidR="00936D6D" w:rsidRPr="00A55335">
        <w:t>treatment</w:t>
      </w:r>
      <w:r w:rsidR="00D70DB0" w:rsidRPr="00A55335">
        <w:t xml:space="preserve"> that </w:t>
      </w:r>
      <w:r w:rsidR="00A437A6" w:rsidRPr="00A55335">
        <w:t>aimed to prevent recurrent attacks</w:t>
      </w:r>
      <w:r w:rsidRPr="00A55335">
        <w:t xml:space="preserve">. Length of follow up ranged from 5 days (Jacobs 2000) to 2 years (Patel 2010). </w:t>
      </w:r>
    </w:p>
    <w:p w14:paraId="7BEBB2BD" w14:textId="7A7FCA5D" w:rsidR="00D92AC6" w:rsidRPr="00A55335" w:rsidRDefault="00DD505D" w:rsidP="00DD505D">
      <w:pPr>
        <w:pStyle w:val="BodyText"/>
      </w:pPr>
      <w:r w:rsidRPr="00A55335">
        <w:t xml:space="preserve">Results for </w:t>
      </w:r>
      <w:r w:rsidR="00726EE5" w:rsidRPr="00A55335">
        <w:t xml:space="preserve">the </w:t>
      </w:r>
      <w:r w:rsidR="006070ED" w:rsidRPr="00A55335">
        <w:t>Primary Comparison</w:t>
      </w:r>
      <w:r w:rsidR="00F73318" w:rsidRPr="00A55335">
        <w:t xml:space="preserve">: Homeopathy </w:t>
      </w:r>
      <w:r w:rsidR="001B33CB" w:rsidRPr="00A55335">
        <w:t xml:space="preserve">versus placebo </w:t>
      </w:r>
      <w:r w:rsidRPr="00A55335">
        <w:t xml:space="preserve">are provided in the Summary of Findings table (see </w:t>
      </w:r>
      <w:r w:rsidR="00936D6D" w:rsidRPr="00A55335">
        <w:t xml:space="preserve">Section </w:t>
      </w:r>
      <w:r w:rsidR="00936D6D" w:rsidRPr="00A55335">
        <w:fldChar w:fldCharType="begin"/>
      </w:r>
      <w:r w:rsidR="00936D6D" w:rsidRPr="00A55335">
        <w:instrText xml:space="preserve"> REF _Ref152079663 \r \h </w:instrText>
      </w:r>
      <w:r w:rsidR="003A72AF" w:rsidRPr="00A55335">
        <w:instrText xml:space="preserve"> \* MERGEFORMAT </w:instrText>
      </w:r>
      <w:r w:rsidR="00936D6D" w:rsidRPr="00A55335">
        <w:fldChar w:fldCharType="separate"/>
      </w:r>
      <w:r w:rsidR="00814B04">
        <w:t>4.12.4</w:t>
      </w:r>
      <w:r w:rsidR="00936D6D" w:rsidRPr="00A55335">
        <w:fldChar w:fldCharType="end"/>
      </w:r>
      <w:r w:rsidRPr="00A55335">
        <w:t>).</w:t>
      </w:r>
      <w:r w:rsidR="009C3276" w:rsidRPr="00A55335">
        <w:t xml:space="preserve"> There were no studies found for Secondary Comparison: Homeopathy versus inactive control (no intervention, waitlist or usual care) or Tertiary Comparison: Homeopathy versus another comparator. </w:t>
      </w:r>
    </w:p>
    <w:p w14:paraId="50611FCA"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0C420964" w14:textId="77777777" w:rsidR="00DD505D" w:rsidRPr="00A55335" w:rsidRDefault="00DD505D" w:rsidP="00D92AC6">
      <w:pPr>
        <w:pStyle w:val="Heading3"/>
      </w:pPr>
      <w:bookmarkStart w:id="338" w:name="_Toc183441366"/>
      <w:r w:rsidRPr="00A55335">
        <w:lastRenderedPageBreak/>
        <w:t>Risk of bias – summary assessment across studies</w:t>
      </w:r>
      <w:bookmarkEnd w:id="338"/>
      <w:r w:rsidRPr="00A55335">
        <w:t xml:space="preserve"> </w:t>
      </w:r>
    </w:p>
    <w:p w14:paraId="55C74E45" w14:textId="00448339" w:rsidR="005C2115" w:rsidRPr="00A55335" w:rsidRDefault="00571606" w:rsidP="005C2115">
      <w:pPr>
        <w:pStyle w:val="BodyText"/>
      </w:pPr>
      <w:r w:rsidRPr="00A55335">
        <w:t>The risk of bias for each item in the in</w:t>
      </w:r>
      <w:r w:rsidR="008B3F2C" w:rsidRPr="00A55335">
        <w:t>clu</w:t>
      </w:r>
      <w:r w:rsidRPr="00A55335">
        <w:t xml:space="preserve">ded RCTs for diarrhoea are summarised in </w:t>
      </w:r>
      <w:r w:rsidRPr="00A55335">
        <w:fldChar w:fldCharType="begin"/>
      </w:r>
      <w:r w:rsidRPr="00A55335">
        <w:instrText xml:space="preserve"> REF _Ref151893818 \h </w:instrText>
      </w:r>
      <w:r w:rsidRPr="00A55335">
        <w:fldChar w:fldCharType="separate"/>
      </w:r>
      <w:r w:rsidR="00814B04" w:rsidRPr="00A55335">
        <w:t xml:space="preserve">Figure </w:t>
      </w:r>
      <w:r w:rsidR="00814B04">
        <w:rPr>
          <w:noProof/>
        </w:rPr>
        <w:t>57</w:t>
      </w:r>
      <w:r w:rsidRPr="00A55335">
        <w:fldChar w:fldCharType="end"/>
      </w:r>
      <w:r w:rsidRPr="00A55335">
        <w:t>. Details are provided in Appendix D6.1.2</w:t>
      </w:r>
      <w:r w:rsidR="005713F1">
        <w:t>.</w:t>
      </w:r>
      <w:r w:rsidR="0042232E" w:rsidRPr="00A55335">
        <w:t xml:space="preserve"> </w:t>
      </w:r>
      <w:r w:rsidRPr="00A55335">
        <w:t>No studies were</w:t>
      </w:r>
      <w:r w:rsidR="005C2115" w:rsidRPr="00A55335">
        <w:t xml:space="preserve"> judged to be at overall low risk of bias. </w:t>
      </w:r>
    </w:p>
    <w:p w14:paraId="28928A6C" w14:textId="77C317C1" w:rsidR="00DD505D" w:rsidRPr="00A55335" w:rsidRDefault="00DD505D" w:rsidP="00DD505D">
      <w:pPr>
        <w:pStyle w:val="Caption"/>
      </w:pPr>
      <w:bookmarkStart w:id="339" w:name="_Ref132713261"/>
      <w:bookmarkStart w:id="340" w:name="_Ref151893818"/>
      <w:bookmarkStart w:id="341" w:name="_Ref132713256"/>
      <w:bookmarkStart w:id="342" w:name="_Toc183520330"/>
      <w:r w:rsidRPr="00A55335">
        <w:t xml:space="preserve">Figure </w:t>
      </w:r>
      <w:bookmarkEnd w:id="339"/>
      <w:r w:rsidRPr="00A55335">
        <w:fldChar w:fldCharType="begin"/>
      </w:r>
      <w:r w:rsidRPr="00A55335">
        <w:instrText xml:space="preserve"> SEQ Figure \* ARABIC </w:instrText>
      </w:r>
      <w:r w:rsidRPr="00A55335">
        <w:fldChar w:fldCharType="separate"/>
      </w:r>
      <w:r w:rsidR="00814B04">
        <w:rPr>
          <w:noProof/>
        </w:rPr>
        <w:t>57</w:t>
      </w:r>
      <w:r w:rsidRPr="00A55335">
        <w:fldChar w:fldCharType="end"/>
      </w:r>
      <w:bookmarkEnd w:id="340"/>
      <w:r w:rsidR="00AC0A80" w:rsidRPr="00A55335">
        <w:tab/>
      </w:r>
      <w:r w:rsidRPr="00A55335">
        <w:t xml:space="preserve">Risk of bias summary: review authors' judgement about each risk of bias item for each included study: </w:t>
      </w:r>
      <w:bookmarkEnd w:id="341"/>
      <w:r w:rsidR="00F01A95" w:rsidRPr="00A55335">
        <w:t>D</w:t>
      </w:r>
      <w:r w:rsidRPr="00A55335">
        <w:t>iarrhoea</w:t>
      </w:r>
      <w:bookmarkEnd w:id="342"/>
    </w:p>
    <w:p w14:paraId="19D2F83E" w14:textId="539C2487" w:rsidR="00AC0A80" w:rsidRPr="00A55335" w:rsidRDefault="00AC0A80" w:rsidP="00AC0A80">
      <w:pPr>
        <w:pStyle w:val="Pic"/>
      </w:pPr>
      <w:r w:rsidRPr="00A55335">
        <w:rPr>
          <w:noProof/>
        </w:rPr>
        <w:drawing>
          <wp:inline distT="0" distB="0" distL="0" distR="0" wp14:anchorId="28322463" wp14:editId="42A8AFC4">
            <wp:extent cx="3413051" cy="1855475"/>
            <wp:effectExtent l="0" t="0" r="0" b="0"/>
            <wp:docPr id="36035526" name="Picture 36035526" descr="A chart of different colored circles and cro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5526" name="Picture 1" descr="A chart of different colored circles and crosses&#10;&#10;Description automatically generated"/>
                    <pic:cNvPicPr/>
                  </pic:nvPicPr>
                  <pic:blipFill rotWithShape="1">
                    <a:blip r:embed="rId76" cstate="print">
                      <a:extLst>
                        <a:ext uri="{28A0092B-C50C-407E-A947-70E740481C1C}">
                          <a14:useLocalDpi xmlns:a14="http://schemas.microsoft.com/office/drawing/2010/main" val="0"/>
                        </a:ext>
                      </a:extLst>
                    </a:blip>
                    <a:srcRect b="9162"/>
                    <a:stretch/>
                  </pic:blipFill>
                  <pic:spPr bwMode="auto">
                    <a:xfrm>
                      <a:off x="0" y="0"/>
                      <a:ext cx="3446646" cy="1873738"/>
                    </a:xfrm>
                    <a:prstGeom prst="rect">
                      <a:avLst/>
                    </a:prstGeom>
                    <a:ln>
                      <a:noFill/>
                    </a:ln>
                    <a:extLst>
                      <a:ext uri="{53640926-AAD7-44D8-BBD7-CCE9431645EC}">
                        <a14:shadowObscured xmlns:a14="http://schemas.microsoft.com/office/drawing/2010/main"/>
                      </a:ext>
                    </a:extLst>
                  </pic:spPr>
                </pic:pic>
              </a:graphicData>
            </a:graphic>
          </wp:inline>
        </w:drawing>
      </w:r>
    </w:p>
    <w:p w14:paraId="05E015DC" w14:textId="77777777" w:rsidR="00AC0A80" w:rsidRPr="00A55335" w:rsidRDefault="00AC0A80" w:rsidP="00AC0A80">
      <w:pPr>
        <w:pStyle w:val="TableFigNotes18"/>
      </w:pPr>
    </w:p>
    <w:p w14:paraId="2D08426B" w14:textId="1D08EC81" w:rsidR="00DD505D" w:rsidRPr="00A55335" w:rsidRDefault="00DD505D" w:rsidP="004D433B">
      <w:pPr>
        <w:pStyle w:val="Heading3"/>
      </w:pPr>
      <w:bookmarkStart w:id="343" w:name="_Toc150518923"/>
      <w:bookmarkStart w:id="344" w:name="_Toc151195389"/>
      <w:bookmarkStart w:id="345" w:name="_Ref152079663"/>
      <w:bookmarkStart w:id="346" w:name="_Toc183441367"/>
      <w:bookmarkEnd w:id="343"/>
      <w:bookmarkEnd w:id="344"/>
      <w:r w:rsidRPr="00A55335">
        <w:t>Summary of findings and evidence statements</w:t>
      </w:r>
      <w:bookmarkEnd w:id="345"/>
      <w:bookmarkEnd w:id="346"/>
    </w:p>
    <w:p w14:paraId="60A2C2D0" w14:textId="1F297CC6" w:rsidR="006A506C" w:rsidRPr="00A55335" w:rsidRDefault="006070ED" w:rsidP="006A506C">
      <w:pPr>
        <w:pStyle w:val="Heading4"/>
      </w:pPr>
      <w:r w:rsidRPr="00A55335">
        <w:t>Primary Comparison</w:t>
      </w:r>
      <w:r w:rsidR="006A506C" w:rsidRPr="00A55335">
        <w:t xml:space="preserve"> (vs placebo) </w:t>
      </w:r>
    </w:p>
    <w:tbl>
      <w:tblPr>
        <w:tblW w:w="5038" w:type="pct"/>
        <w:tblInd w:w="-75" w:type="dxa"/>
        <w:tblLayout w:type="fixed"/>
        <w:tblCellMar>
          <w:top w:w="75" w:type="dxa"/>
          <w:left w:w="75" w:type="dxa"/>
          <w:bottom w:w="75" w:type="dxa"/>
          <w:right w:w="75" w:type="dxa"/>
        </w:tblCellMar>
        <w:tblLook w:val="04A0" w:firstRow="1" w:lastRow="0" w:firstColumn="1" w:lastColumn="0" w:noHBand="0" w:noVBand="1"/>
      </w:tblPr>
      <w:tblGrid>
        <w:gridCol w:w="1919"/>
        <w:gridCol w:w="1345"/>
        <w:gridCol w:w="1347"/>
        <w:gridCol w:w="850"/>
        <w:gridCol w:w="1131"/>
        <w:gridCol w:w="1275"/>
        <w:gridCol w:w="1952"/>
      </w:tblGrid>
      <w:tr w:rsidR="00DD505D" w:rsidRPr="00A55335" w14:paraId="284C8E36" w14:textId="77777777" w:rsidTr="00A1201B">
        <w:trPr>
          <w:cantSplit/>
          <w:tblHeader/>
        </w:trPr>
        <w:tc>
          <w:tcPr>
            <w:tcW w:w="5000" w:type="pct"/>
            <w:gridSpan w:val="7"/>
            <w:tcBorders>
              <w:top w:val="single" w:sz="12" w:space="0" w:color="000000"/>
              <w:left w:val="nil"/>
              <w:bottom w:val="single" w:sz="12" w:space="0" w:color="000000"/>
              <w:right w:val="nil"/>
            </w:tcBorders>
            <w:hideMark/>
          </w:tcPr>
          <w:p w14:paraId="705C844E" w14:textId="20FE088B" w:rsidR="00DD505D" w:rsidRPr="00A55335" w:rsidRDefault="00DD505D" w:rsidP="006E064B">
            <w:pPr>
              <w:pStyle w:val="TableH1"/>
              <w:rPr>
                <w:lang w:val="en-AU"/>
              </w:rPr>
            </w:pPr>
            <w:r w:rsidRPr="00A55335">
              <w:rPr>
                <w:lang w:val="en-AU"/>
              </w:rPr>
              <w:t xml:space="preserve">Homeopathy compared to placebo for </w:t>
            </w:r>
            <w:r w:rsidR="00F01A95" w:rsidRPr="00A55335">
              <w:rPr>
                <w:lang w:val="en-AU"/>
              </w:rPr>
              <w:t>D</w:t>
            </w:r>
            <w:r w:rsidRPr="00A55335">
              <w:rPr>
                <w:lang w:val="en-AU"/>
              </w:rPr>
              <w:t>iarrhoea</w:t>
            </w:r>
          </w:p>
        </w:tc>
      </w:tr>
      <w:tr w:rsidR="00DD505D" w:rsidRPr="00A55335" w14:paraId="14889604" w14:textId="77777777" w:rsidTr="00A1201B">
        <w:trPr>
          <w:cantSplit/>
          <w:tblHeader/>
        </w:trPr>
        <w:tc>
          <w:tcPr>
            <w:tcW w:w="5000" w:type="pct"/>
            <w:gridSpan w:val="7"/>
            <w:tcBorders>
              <w:top w:val="single" w:sz="12" w:space="0" w:color="000000"/>
              <w:left w:val="nil"/>
              <w:bottom w:val="single" w:sz="12" w:space="0" w:color="000000"/>
              <w:right w:val="nil"/>
            </w:tcBorders>
            <w:hideMark/>
          </w:tcPr>
          <w:p w14:paraId="1BF87A6C" w14:textId="77A98AA1" w:rsidR="00DD505D" w:rsidRPr="00A55335" w:rsidRDefault="00DD505D" w:rsidP="006E064B">
            <w:pPr>
              <w:pStyle w:val="Tabletext9pt"/>
            </w:pPr>
            <w:r w:rsidRPr="00A55335">
              <w:rPr>
                <w:rStyle w:val="Strong"/>
              </w:rPr>
              <w:t>Patient or population:</w:t>
            </w:r>
            <w:r w:rsidRPr="00A55335">
              <w:t xml:space="preserve"> </w:t>
            </w:r>
            <w:r w:rsidR="006A506C" w:rsidRPr="00A55335">
              <w:t>D</w:t>
            </w:r>
            <w:r w:rsidRPr="00A55335">
              <w:t>iarrhoea</w:t>
            </w:r>
          </w:p>
          <w:p w14:paraId="267D3BAE" w14:textId="7A270032" w:rsidR="00DD505D" w:rsidRPr="00A55335" w:rsidRDefault="00DD505D" w:rsidP="006E064B">
            <w:pPr>
              <w:pStyle w:val="Tabletext9pt"/>
            </w:pPr>
            <w:r w:rsidRPr="00A55335">
              <w:rPr>
                <w:rStyle w:val="Strong"/>
              </w:rPr>
              <w:t xml:space="preserve">Setting: </w:t>
            </w:r>
            <w:r w:rsidRPr="00A55335">
              <w:t>Community</w:t>
            </w:r>
          </w:p>
          <w:p w14:paraId="2D674FC3" w14:textId="453F70E1" w:rsidR="00DD505D" w:rsidRPr="00A55335" w:rsidRDefault="00DD505D" w:rsidP="006E064B">
            <w:pPr>
              <w:pStyle w:val="Tabletext9pt"/>
            </w:pPr>
            <w:r w:rsidRPr="00A55335">
              <w:rPr>
                <w:rStyle w:val="Strong"/>
              </w:rPr>
              <w:t>Intervention:</w:t>
            </w:r>
            <w:r w:rsidRPr="00A55335">
              <w:t xml:space="preserve"> Homeopathy</w:t>
            </w:r>
          </w:p>
          <w:p w14:paraId="6F6BC59A" w14:textId="2DDA452D" w:rsidR="00DD505D" w:rsidRPr="00A55335" w:rsidRDefault="00DD505D" w:rsidP="006E064B">
            <w:pPr>
              <w:pStyle w:val="Tabletext9pt"/>
            </w:pPr>
            <w:r w:rsidRPr="00A55335">
              <w:rPr>
                <w:rStyle w:val="Strong"/>
              </w:rPr>
              <w:t xml:space="preserve">Comparison: </w:t>
            </w:r>
            <w:r w:rsidRPr="00A55335">
              <w:t>Placebo (as adjunct to rehydration therapy)</w:t>
            </w:r>
          </w:p>
        </w:tc>
      </w:tr>
      <w:tr w:rsidR="009F6E25" w:rsidRPr="00A55335" w14:paraId="2E12CC09" w14:textId="77777777" w:rsidTr="00A1201B">
        <w:tblPrEx>
          <w:tblCellMar>
            <w:top w:w="57" w:type="dxa"/>
            <w:left w:w="57" w:type="dxa"/>
            <w:bottom w:w="57" w:type="dxa"/>
            <w:right w:w="57" w:type="dxa"/>
          </w:tblCellMar>
        </w:tblPrEx>
        <w:trPr>
          <w:cantSplit/>
          <w:tblHeader/>
        </w:trPr>
        <w:tc>
          <w:tcPr>
            <w:tcW w:w="977" w:type="pct"/>
            <w:vMerge w:val="restart"/>
            <w:tcBorders>
              <w:right w:val="single" w:sz="6" w:space="0" w:color="EFEFEF"/>
            </w:tcBorders>
            <w:shd w:val="clear" w:color="auto" w:fill="006579" w:themeFill="accent2"/>
            <w:vAlign w:val="bottom"/>
            <w:hideMark/>
          </w:tcPr>
          <w:p w14:paraId="187BCF17" w14:textId="77777777" w:rsidR="00740546" w:rsidRPr="00A55335" w:rsidRDefault="00740546">
            <w:pPr>
              <w:pStyle w:val="Tabletext8pt"/>
              <w:rPr>
                <w:b/>
                <w:bCs/>
                <w:color w:val="F9F9F9" w:themeColor="background1"/>
              </w:rPr>
            </w:pPr>
            <w:r w:rsidRPr="00A55335">
              <w:rPr>
                <w:b/>
                <w:bCs/>
                <w:color w:val="F9F9F9" w:themeColor="background1"/>
              </w:rPr>
              <w:t>Outcomes</w:t>
            </w:r>
          </w:p>
        </w:tc>
        <w:tc>
          <w:tcPr>
            <w:tcW w:w="1371" w:type="pct"/>
            <w:gridSpan w:val="2"/>
            <w:tcBorders>
              <w:top w:val="single" w:sz="6" w:space="0" w:color="EFEFEF"/>
              <w:right w:val="single" w:sz="6" w:space="0" w:color="EFEFEF"/>
            </w:tcBorders>
            <w:shd w:val="clear" w:color="auto" w:fill="E0E0E0"/>
            <w:vAlign w:val="bottom"/>
            <w:hideMark/>
          </w:tcPr>
          <w:p w14:paraId="60C46591" w14:textId="77777777" w:rsidR="00740546" w:rsidRPr="00A55335" w:rsidRDefault="00740546">
            <w:pPr>
              <w:pStyle w:val="Tabletext8pt"/>
              <w:rPr>
                <w:rStyle w:val="Strong"/>
              </w:rPr>
            </w:pPr>
            <w:r w:rsidRPr="00A55335">
              <w:rPr>
                <w:rStyle w:val="Strong"/>
              </w:rPr>
              <w:t>Anticipated absolute effects* (95% CI)</w:t>
            </w:r>
          </w:p>
        </w:tc>
        <w:tc>
          <w:tcPr>
            <w:tcW w:w="433" w:type="pct"/>
            <w:vMerge w:val="restart"/>
            <w:tcBorders>
              <w:right w:val="single" w:sz="6" w:space="0" w:color="EFEFEF"/>
            </w:tcBorders>
            <w:shd w:val="clear" w:color="auto" w:fill="006579" w:themeFill="accent2"/>
            <w:vAlign w:val="bottom"/>
            <w:hideMark/>
          </w:tcPr>
          <w:p w14:paraId="69795F10" w14:textId="77777777" w:rsidR="00740546" w:rsidRPr="00A55335" w:rsidRDefault="00740546">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76" w:type="pct"/>
            <w:vMerge w:val="restart"/>
            <w:tcBorders>
              <w:right w:val="single" w:sz="6" w:space="0" w:color="EFEFEF"/>
            </w:tcBorders>
            <w:shd w:val="clear" w:color="auto" w:fill="006579" w:themeFill="accent2"/>
            <w:vAlign w:val="bottom"/>
            <w:hideMark/>
          </w:tcPr>
          <w:p w14:paraId="7040DE86" w14:textId="77777777" w:rsidR="00740546" w:rsidRPr="00A55335" w:rsidRDefault="00740546">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649" w:type="pct"/>
            <w:vMerge w:val="restart"/>
            <w:tcBorders>
              <w:right w:val="single" w:sz="6" w:space="0" w:color="EFEFEF"/>
            </w:tcBorders>
            <w:shd w:val="clear" w:color="auto" w:fill="006579" w:themeFill="accent2"/>
            <w:vAlign w:val="bottom"/>
            <w:hideMark/>
          </w:tcPr>
          <w:p w14:paraId="03A5A23C" w14:textId="77777777" w:rsidR="00740546" w:rsidRPr="00A55335" w:rsidRDefault="00740546">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994" w:type="pct"/>
            <w:vMerge w:val="restart"/>
            <w:tcBorders>
              <w:right w:val="single" w:sz="6" w:space="0" w:color="EFEFEF"/>
            </w:tcBorders>
            <w:shd w:val="clear" w:color="auto" w:fill="006579" w:themeFill="accent2"/>
            <w:vAlign w:val="bottom"/>
            <w:hideMark/>
          </w:tcPr>
          <w:p w14:paraId="044D8C7A" w14:textId="77777777" w:rsidR="00740546" w:rsidRPr="00A55335" w:rsidRDefault="00740546">
            <w:pPr>
              <w:pStyle w:val="Tabletext8pt"/>
              <w:rPr>
                <w:b/>
                <w:bCs/>
                <w:color w:val="F9F9F9" w:themeColor="background1"/>
              </w:rPr>
            </w:pPr>
            <w:r w:rsidRPr="00A55335">
              <w:rPr>
                <w:b/>
                <w:bCs/>
                <w:color w:val="F9F9F9" w:themeColor="background1"/>
              </w:rPr>
              <w:t>Evidence statement</w:t>
            </w:r>
          </w:p>
        </w:tc>
      </w:tr>
      <w:tr w:rsidR="009F6E25" w:rsidRPr="00A55335" w14:paraId="16EBAD77" w14:textId="77777777" w:rsidTr="00D03B4B">
        <w:tblPrEx>
          <w:tblCellMar>
            <w:top w:w="57" w:type="dxa"/>
            <w:left w:w="57" w:type="dxa"/>
            <w:bottom w:w="57" w:type="dxa"/>
            <w:right w:w="57" w:type="dxa"/>
          </w:tblCellMar>
        </w:tblPrEx>
        <w:trPr>
          <w:cantSplit/>
          <w:tblHeader/>
        </w:trPr>
        <w:tc>
          <w:tcPr>
            <w:tcW w:w="977" w:type="pct"/>
            <w:vMerge/>
            <w:tcBorders>
              <w:right w:val="single" w:sz="6" w:space="0" w:color="EFEFEF"/>
            </w:tcBorders>
            <w:shd w:val="clear" w:color="auto" w:fill="006579" w:themeFill="accent2"/>
            <w:vAlign w:val="center"/>
            <w:hideMark/>
          </w:tcPr>
          <w:p w14:paraId="222A3316" w14:textId="77777777" w:rsidR="00740546" w:rsidRPr="00A55335" w:rsidRDefault="00740546">
            <w:pPr>
              <w:pStyle w:val="Tabletext8pt"/>
            </w:pPr>
          </w:p>
        </w:tc>
        <w:tc>
          <w:tcPr>
            <w:tcW w:w="685" w:type="pct"/>
            <w:tcBorders>
              <w:top w:val="single" w:sz="6" w:space="0" w:color="EFEFEF"/>
              <w:right w:val="single" w:sz="6" w:space="0" w:color="EFEFEF"/>
            </w:tcBorders>
            <w:shd w:val="clear" w:color="auto" w:fill="E0E0E0"/>
            <w:vAlign w:val="bottom"/>
            <w:hideMark/>
          </w:tcPr>
          <w:p w14:paraId="47F6A736" w14:textId="77777777" w:rsidR="00740546" w:rsidRPr="00A55335" w:rsidRDefault="00740546">
            <w:pPr>
              <w:pStyle w:val="Tabletext8pt"/>
              <w:rPr>
                <w:rStyle w:val="Strong"/>
              </w:rPr>
            </w:pPr>
            <w:r w:rsidRPr="00A55335">
              <w:rPr>
                <w:rStyle w:val="Strong"/>
              </w:rPr>
              <w:t>Risk with Placebo</w:t>
            </w:r>
          </w:p>
        </w:tc>
        <w:tc>
          <w:tcPr>
            <w:tcW w:w="686" w:type="pct"/>
            <w:tcBorders>
              <w:top w:val="single" w:sz="6" w:space="0" w:color="EFEFEF"/>
              <w:right w:val="single" w:sz="6" w:space="0" w:color="EFEFEF"/>
            </w:tcBorders>
            <w:shd w:val="clear" w:color="auto" w:fill="E0E0E0"/>
            <w:vAlign w:val="bottom"/>
            <w:hideMark/>
          </w:tcPr>
          <w:p w14:paraId="5C79A2C0" w14:textId="77777777" w:rsidR="00740546" w:rsidRPr="00A55335" w:rsidRDefault="00740546">
            <w:pPr>
              <w:pStyle w:val="Tabletext8pt"/>
              <w:rPr>
                <w:rStyle w:val="Strong"/>
              </w:rPr>
            </w:pPr>
            <w:r w:rsidRPr="00A55335">
              <w:rPr>
                <w:rStyle w:val="Strong"/>
              </w:rPr>
              <w:t>Risk with Homeopathy</w:t>
            </w:r>
          </w:p>
        </w:tc>
        <w:tc>
          <w:tcPr>
            <w:tcW w:w="433" w:type="pct"/>
            <w:vMerge/>
            <w:tcBorders>
              <w:right w:val="single" w:sz="6" w:space="0" w:color="EFEFEF"/>
            </w:tcBorders>
            <w:shd w:val="clear" w:color="auto" w:fill="006579" w:themeFill="accent2"/>
            <w:vAlign w:val="center"/>
            <w:hideMark/>
          </w:tcPr>
          <w:p w14:paraId="41657B50" w14:textId="77777777" w:rsidR="00740546" w:rsidRPr="00A55335" w:rsidRDefault="00740546">
            <w:pPr>
              <w:pStyle w:val="Tabletext8pt"/>
            </w:pPr>
          </w:p>
        </w:tc>
        <w:tc>
          <w:tcPr>
            <w:tcW w:w="576" w:type="pct"/>
            <w:vMerge/>
            <w:tcBorders>
              <w:right w:val="single" w:sz="6" w:space="0" w:color="EFEFEF"/>
            </w:tcBorders>
            <w:shd w:val="clear" w:color="auto" w:fill="006579" w:themeFill="accent2"/>
            <w:vAlign w:val="center"/>
            <w:hideMark/>
          </w:tcPr>
          <w:p w14:paraId="6D38848D" w14:textId="77777777" w:rsidR="00740546" w:rsidRPr="00A55335" w:rsidRDefault="00740546">
            <w:pPr>
              <w:pStyle w:val="Tabletext8pt"/>
            </w:pPr>
          </w:p>
        </w:tc>
        <w:tc>
          <w:tcPr>
            <w:tcW w:w="649" w:type="pct"/>
            <w:vMerge/>
            <w:tcBorders>
              <w:right w:val="single" w:sz="6" w:space="0" w:color="EFEFEF"/>
            </w:tcBorders>
            <w:shd w:val="clear" w:color="auto" w:fill="006579" w:themeFill="accent2"/>
            <w:vAlign w:val="center"/>
            <w:hideMark/>
          </w:tcPr>
          <w:p w14:paraId="2C4202EB" w14:textId="77777777" w:rsidR="00740546" w:rsidRPr="00A55335" w:rsidRDefault="00740546">
            <w:pPr>
              <w:pStyle w:val="Tabletext8pt"/>
            </w:pPr>
          </w:p>
        </w:tc>
        <w:tc>
          <w:tcPr>
            <w:tcW w:w="994" w:type="pct"/>
            <w:vMerge/>
            <w:tcBorders>
              <w:right w:val="single" w:sz="6" w:space="0" w:color="EFEFEF"/>
            </w:tcBorders>
            <w:shd w:val="clear" w:color="auto" w:fill="006579" w:themeFill="accent2"/>
            <w:vAlign w:val="center"/>
            <w:hideMark/>
          </w:tcPr>
          <w:p w14:paraId="7B76C836" w14:textId="77777777" w:rsidR="00740546" w:rsidRPr="00A55335" w:rsidRDefault="00740546">
            <w:pPr>
              <w:pStyle w:val="Tabletext8pt"/>
            </w:pPr>
          </w:p>
        </w:tc>
      </w:tr>
      <w:tr w:rsidR="009F6E25" w:rsidRPr="00A55335" w14:paraId="267E9868" w14:textId="77777777" w:rsidTr="00D03B4B">
        <w:tblPrEx>
          <w:tblCellMar>
            <w:top w:w="57" w:type="dxa"/>
            <w:left w:w="57" w:type="dxa"/>
            <w:bottom w:w="57" w:type="dxa"/>
            <w:right w:w="57" w:type="dxa"/>
          </w:tblCellMar>
        </w:tblPrEx>
        <w:trPr>
          <w:cantSplit/>
        </w:trPr>
        <w:tc>
          <w:tcPr>
            <w:tcW w:w="977" w:type="pct"/>
            <w:tcBorders>
              <w:top w:val="single" w:sz="6" w:space="0" w:color="000000"/>
              <w:left w:val="nil"/>
              <w:bottom w:val="single" w:sz="6" w:space="0" w:color="000000"/>
              <w:right w:val="nil"/>
            </w:tcBorders>
            <w:vAlign w:val="center"/>
          </w:tcPr>
          <w:p w14:paraId="19509708" w14:textId="12FB443F" w:rsidR="00E52A6A" w:rsidRPr="00A55335" w:rsidRDefault="00E52A6A" w:rsidP="00740546">
            <w:pPr>
              <w:pStyle w:val="Tabletext8pt"/>
              <w:rPr>
                <w:szCs w:val="18"/>
              </w:rPr>
            </w:pPr>
            <w:r w:rsidRPr="00A55335">
              <w:rPr>
                <w:szCs w:val="18"/>
              </w:rPr>
              <w:t xml:space="preserve">Symptom severity </w:t>
            </w:r>
            <w:r w:rsidRPr="00A55335">
              <w:rPr>
                <w:rFonts w:eastAsia="Times New Roman"/>
                <w:szCs w:val="18"/>
              </w:rPr>
              <w:br/>
            </w:r>
            <w:r w:rsidRPr="00A55335">
              <w:rPr>
                <w:szCs w:val="18"/>
              </w:rPr>
              <w:t xml:space="preserve">assessed </w:t>
            </w:r>
            <w:proofErr w:type="gramStart"/>
            <w:r w:rsidRPr="00A55335">
              <w:rPr>
                <w:szCs w:val="18"/>
              </w:rPr>
              <w:t>with:</w:t>
            </w:r>
            <w:proofErr w:type="gramEnd"/>
            <w:r w:rsidRPr="00A55335">
              <w:rPr>
                <w:szCs w:val="18"/>
              </w:rPr>
              <w:t xml:space="preserve"> number of</w:t>
            </w:r>
            <w:r w:rsidR="00E71F82">
              <w:rPr>
                <w:szCs w:val="18"/>
              </w:rPr>
              <w:t xml:space="preserve"> loose</w:t>
            </w:r>
            <w:r w:rsidRPr="00A55335">
              <w:rPr>
                <w:szCs w:val="18"/>
              </w:rPr>
              <w:t xml:space="preserve"> stools</w:t>
            </w:r>
            <w:r w:rsidR="008145C3" w:rsidRPr="00A55335">
              <w:rPr>
                <w:szCs w:val="18"/>
              </w:rPr>
              <w:t xml:space="preserve"> per </w:t>
            </w:r>
            <w:r w:rsidRPr="00A55335">
              <w:rPr>
                <w:szCs w:val="18"/>
              </w:rPr>
              <w:t xml:space="preserve">day </w:t>
            </w:r>
            <w:r w:rsidRPr="00A55335">
              <w:t>(higher is worse)</w:t>
            </w:r>
            <w:r w:rsidRPr="00A55335">
              <w:br/>
              <w:t>follow-up: up to 7 days</w:t>
            </w:r>
          </w:p>
        </w:tc>
        <w:tc>
          <w:tcPr>
            <w:tcW w:w="685" w:type="pct"/>
            <w:tcBorders>
              <w:top w:val="single" w:sz="6" w:space="0" w:color="000000"/>
              <w:left w:val="nil"/>
              <w:bottom w:val="single" w:sz="6" w:space="0" w:color="000000"/>
              <w:right w:val="nil"/>
            </w:tcBorders>
            <w:shd w:val="clear" w:color="auto" w:fill="EBEBEB"/>
            <w:vAlign w:val="center"/>
          </w:tcPr>
          <w:p w14:paraId="43BED790" w14:textId="6336D6D3" w:rsidR="00E52A6A" w:rsidRPr="00A55335" w:rsidRDefault="00E52A6A" w:rsidP="00443090">
            <w:pPr>
              <w:pStyle w:val="Tabletext8pt"/>
              <w:jc w:val="center"/>
              <w:rPr>
                <w:rFonts w:eastAsia="Times New Roman"/>
                <w:szCs w:val="18"/>
              </w:rPr>
            </w:pPr>
            <w:r w:rsidRPr="00A55335">
              <w:rPr>
                <w:rFonts w:eastAsia="Times New Roman"/>
                <w:szCs w:val="18"/>
              </w:rPr>
              <w:t xml:space="preserve">The mean number of stools was </w:t>
            </w:r>
            <w:r w:rsidRPr="00A55335">
              <w:rPr>
                <w:rStyle w:val="Strong"/>
              </w:rPr>
              <w:t>2.8</w:t>
            </w:r>
            <w:r w:rsidRPr="00A55335">
              <w:rPr>
                <w:rFonts w:eastAsia="Times New Roman"/>
                <w:szCs w:val="18"/>
              </w:rPr>
              <w:t xml:space="preserve"> per day</w:t>
            </w:r>
          </w:p>
        </w:tc>
        <w:tc>
          <w:tcPr>
            <w:tcW w:w="686" w:type="pct"/>
            <w:tcBorders>
              <w:top w:val="single" w:sz="6" w:space="0" w:color="000000"/>
              <w:left w:val="nil"/>
              <w:bottom w:val="single" w:sz="6" w:space="0" w:color="000000"/>
              <w:right w:val="nil"/>
            </w:tcBorders>
            <w:shd w:val="clear" w:color="auto" w:fill="EBEBEB"/>
            <w:vAlign w:val="center"/>
          </w:tcPr>
          <w:p w14:paraId="0B6077FF" w14:textId="6482C48E" w:rsidR="00E52A6A" w:rsidRPr="00A55335" w:rsidRDefault="00E52A6A" w:rsidP="007252A0">
            <w:pPr>
              <w:pStyle w:val="Tabletext8pt"/>
              <w:jc w:val="center"/>
              <w:rPr>
                <w:rFonts w:eastAsia="Times New Roman"/>
                <w:szCs w:val="18"/>
              </w:rPr>
            </w:pPr>
            <w:r w:rsidRPr="00A55335">
              <w:t xml:space="preserve">MD </w:t>
            </w:r>
            <w:r w:rsidRPr="00A55335">
              <w:rPr>
                <w:rStyle w:val="Strong"/>
              </w:rPr>
              <w:t xml:space="preserve">0.2 fewer </w:t>
            </w:r>
            <w:r w:rsidRPr="00A55335">
              <w:t xml:space="preserve">(0.76 fewer to 0.36 </w:t>
            </w:r>
            <w:proofErr w:type="gramStart"/>
            <w:r w:rsidRPr="00A55335">
              <w:t>more)</w:t>
            </w:r>
            <w:r w:rsidR="00BA1313">
              <w:t>^</w:t>
            </w:r>
            <w:proofErr w:type="gramEnd"/>
          </w:p>
        </w:tc>
        <w:tc>
          <w:tcPr>
            <w:tcW w:w="433" w:type="pct"/>
            <w:tcBorders>
              <w:top w:val="single" w:sz="6" w:space="0" w:color="000000"/>
              <w:left w:val="nil"/>
              <w:bottom w:val="single" w:sz="6" w:space="0" w:color="000000"/>
              <w:right w:val="nil"/>
            </w:tcBorders>
            <w:vAlign w:val="center"/>
          </w:tcPr>
          <w:p w14:paraId="0EE82C75" w14:textId="77777777" w:rsidR="00E52A6A" w:rsidRPr="00A55335" w:rsidRDefault="00E52A6A" w:rsidP="007252A0">
            <w:pPr>
              <w:pStyle w:val="Tabletext8pt"/>
              <w:jc w:val="center"/>
            </w:pPr>
            <w:r w:rsidRPr="00A55335">
              <w:t>-</w:t>
            </w:r>
          </w:p>
        </w:tc>
        <w:tc>
          <w:tcPr>
            <w:tcW w:w="576" w:type="pct"/>
            <w:tcBorders>
              <w:top w:val="single" w:sz="6" w:space="0" w:color="000000"/>
              <w:left w:val="nil"/>
              <w:bottom w:val="single" w:sz="6" w:space="0" w:color="000000"/>
              <w:right w:val="nil"/>
            </w:tcBorders>
            <w:vAlign w:val="center"/>
          </w:tcPr>
          <w:p w14:paraId="7BFE4E88" w14:textId="780B10A4" w:rsidR="00E52A6A" w:rsidRPr="00A55335" w:rsidRDefault="000176A2" w:rsidP="007252A0">
            <w:pPr>
              <w:pStyle w:val="Tabletext8pt"/>
              <w:jc w:val="center"/>
            </w:pPr>
            <w:r w:rsidRPr="00A55335">
              <w:rPr>
                <w:rFonts w:cs="Montserrat"/>
                <w:color w:val="000000"/>
              </w:rPr>
              <w:t xml:space="preserve">292 </w:t>
            </w:r>
            <w:r w:rsidR="00E52A6A" w:rsidRPr="00A55335">
              <w:rPr>
                <w:szCs w:val="18"/>
              </w:rPr>
              <w:br/>
              <w:t xml:space="preserve">(1 RCT) </w:t>
            </w:r>
            <w:r w:rsidR="00E52A6A" w:rsidRPr="00A55335">
              <w:rPr>
                <w:rStyle w:val="FootnoteReference"/>
              </w:rPr>
              <w:t>†</w:t>
            </w:r>
          </w:p>
        </w:tc>
        <w:tc>
          <w:tcPr>
            <w:tcW w:w="649" w:type="pct"/>
            <w:tcBorders>
              <w:top w:val="single" w:sz="6" w:space="0" w:color="000000"/>
              <w:left w:val="nil"/>
              <w:bottom w:val="single" w:sz="6" w:space="0" w:color="000000"/>
              <w:right w:val="nil"/>
            </w:tcBorders>
            <w:vAlign w:val="center"/>
          </w:tcPr>
          <w:p w14:paraId="6617A2ED" w14:textId="6AD5058D" w:rsidR="00E52A6A" w:rsidRPr="00A55335" w:rsidRDefault="00E52A6A" w:rsidP="00FA2794">
            <w:pPr>
              <w:pStyle w:val="Tabletext8pt"/>
              <w:jc w:val="center"/>
              <w:rPr>
                <w:rStyle w:val="quality-sign"/>
                <w:rFonts w:ascii="Cambria Math" w:hAnsi="Cambria Math" w:cs="Cambria Math"/>
                <w:szCs w:val="18"/>
              </w:rPr>
            </w:pPr>
            <w:r w:rsidRPr="00A55335">
              <w:rPr>
                <w:rStyle w:val="quality-sign"/>
                <w:rFonts w:ascii="Cambria Math" w:hAnsi="Cambria Math"/>
              </w:rPr>
              <w:t>⨁⨁◯◯</w:t>
            </w:r>
            <w:r w:rsidRPr="00A55335">
              <w:rPr>
                <w:rFonts w:eastAsia="Times New Roman"/>
                <w:szCs w:val="18"/>
              </w:rPr>
              <w:br/>
            </w:r>
            <w:r w:rsidR="009F4307" w:rsidRPr="00A55335">
              <w:rPr>
                <w:rFonts w:cs="Montserrat"/>
                <w:smallCaps/>
                <w:color w:val="000000"/>
              </w:rPr>
              <w:t xml:space="preserve">Low </w:t>
            </w:r>
            <w:proofErr w:type="spellStart"/>
            <w:proofErr w:type="gramStart"/>
            <w:r w:rsidR="009F4307" w:rsidRPr="00A55335">
              <w:rPr>
                <w:rFonts w:cs="Montserrat"/>
                <w:color w:val="000000"/>
                <w:vertAlign w:val="superscript"/>
              </w:rPr>
              <w:t>a,b</w:t>
            </w:r>
            <w:proofErr w:type="gramEnd"/>
            <w:r w:rsidR="009F4307" w:rsidRPr="00A55335">
              <w:rPr>
                <w:rFonts w:cs="Montserrat"/>
                <w:color w:val="000000"/>
                <w:vertAlign w:val="superscript"/>
              </w:rPr>
              <w:t>,c,d,e</w:t>
            </w:r>
            <w:proofErr w:type="spellEnd"/>
          </w:p>
        </w:tc>
        <w:tc>
          <w:tcPr>
            <w:tcW w:w="994" w:type="pct"/>
            <w:tcBorders>
              <w:top w:val="single" w:sz="6" w:space="0" w:color="000000"/>
              <w:left w:val="nil"/>
              <w:bottom w:val="single" w:sz="6" w:space="0" w:color="000000"/>
              <w:right w:val="nil"/>
            </w:tcBorders>
            <w:vAlign w:val="center"/>
          </w:tcPr>
          <w:p w14:paraId="33D2511D" w14:textId="3F7EAF72" w:rsidR="00E52A6A" w:rsidRPr="00A55335" w:rsidRDefault="00E33340" w:rsidP="00740546">
            <w:pPr>
              <w:pStyle w:val="Tabletext8pt"/>
              <w:rPr>
                <w:rFonts w:eastAsia="Times New Roman"/>
                <w:szCs w:val="18"/>
              </w:rPr>
            </w:pPr>
            <w:r w:rsidRPr="00A55335">
              <w:rPr>
                <w:rFonts w:eastAsia="Times New Roman"/>
                <w:szCs w:val="18"/>
              </w:rPr>
              <w:t>H</w:t>
            </w:r>
            <w:r w:rsidR="00E52A6A" w:rsidRPr="00A55335">
              <w:rPr>
                <w:rFonts w:eastAsia="Times New Roman"/>
                <w:szCs w:val="18"/>
              </w:rPr>
              <w:t>omeopathy may have little to no effect on symptom severity in infants with diarrhoea</w:t>
            </w:r>
            <w:r w:rsidR="007C7D32">
              <w:rPr>
                <w:rFonts w:eastAsia="Times New Roman"/>
                <w:szCs w:val="18"/>
              </w:rPr>
              <w:t xml:space="preserve"> **</w:t>
            </w:r>
          </w:p>
        </w:tc>
      </w:tr>
      <w:tr w:rsidR="009F6E25" w:rsidRPr="00A55335" w14:paraId="48714CC0" w14:textId="77777777" w:rsidTr="00D03B4B">
        <w:tblPrEx>
          <w:tblCellMar>
            <w:top w:w="57" w:type="dxa"/>
            <w:left w:w="57" w:type="dxa"/>
            <w:bottom w:w="57" w:type="dxa"/>
            <w:right w:w="57" w:type="dxa"/>
          </w:tblCellMar>
        </w:tblPrEx>
        <w:trPr>
          <w:cantSplit/>
        </w:trPr>
        <w:tc>
          <w:tcPr>
            <w:tcW w:w="977" w:type="pct"/>
            <w:tcBorders>
              <w:top w:val="single" w:sz="6" w:space="0" w:color="000000"/>
              <w:left w:val="nil"/>
              <w:bottom w:val="single" w:sz="6" w:space="0" w:color="000000"/>
              <w:right w:val="nil"/>
            </w:tcBorders>
            <w:vAlign w:val="center"/>
          </w:tcPr>
          <w:p w14:paraId="0E615B54" w14:textId="07889CEC" w:rsidR="00545A59" w:rsidRPr="00A55335" w:rsidRDefault="00545A59" w:rsidP="00545A59">
            <w:pPr>
              <w:pStyle w:val="Tabletext8pt"/>
              <w:rPr>
                <w:szCs w:val="18"/>
              </w:rPr>
            </w:pPr>
            <w:r w:rsidRPr="00A55335">
              <w:rPr>
                <w:szCs w:val="18"/>
              </w:rPr>
              <w:t xml:space="preserve">Symptom severity </w:t>
            </w:r>
            <w:r w:rsidRPr="00A55335">
              <w:rPr>
                <w:rFonts w:eastAsia="Times New Roman"/>
                <w:szCs w:val="18"/>
              </w:rPr>
              <w:br/>
            </w:r>
            <w:r w:rsidRPr="00A55335">
              <w:rPr>
                <w:szCs w:val="18"/>
              </w:rPr>
              <w:t>assessed with: Clinical grading (improved)</w:t>
            </w:r>
            <w:r w:rsidRPr="00A55335">
              <w:t xml:space="preserve"> </w:t>
            </w:r>
            <w:r w:rsidRPr="00A55335">
              <w:br/>
              <w:t>follow-up: 24-hours</w:t>
            </w:r>
          </w:p>
        </w:tc>
        <w:tc>
          <w:tcPr>
            <w:tcW w:w="685" w:type="pct"/>
            <w:tcBorders>
              <w:top w:val="single" w:sz="6" w:space="0" w:color="000000"/>
              <w:left w:val="nil"/>
              <w:bottom w:val="single" w:sz="6" w:space="0" w:color="000000"/>
              <w:right w:val="nil"/>
            </w:tcBorders>
            <w:shd w:val="clear" w:color="auto" w:fill="EBEBEB"/>
            <w:vAlign w:val="center"/>
          </w:tcPr>
          <w:p w14:paraId="47F96415" w14:textId="1EF8B8DE" w:rsidR="00545A59" w:rsidRPr="00A55335" w:rsidRDefault="00545A59" w:rsidP="00545A59">
            <w:pPr>
              <w:pStyle w:val="Tabletext8pt"/>
              <w:jc w:val="center"/>
              <w:rPr>
                <w:rFonts w:eastAsia="Times New Roman"/>
                <w:szCs w:val="18"/>
              </w:rPr>
            </w:pPr>
            <w:r w:rsidRPr="00A55335">
              <w:rPr>
                <w:rFonts w:eastAsia="Times New Roman"/>
                <w:szCs w:val="18"/>
              </w:rPr>
              <w:t>180 per 1,000</w:t>
            </w:r>
          </w:p>
        </w:tc>
        <w:tc>
          <w:tcPr>
            <w:tcW w:w="686" w:type="pct"/>
            <w:tcBorders>
              <w:top w:val="single" w:sz="6" w:space="0" w:color="000000"/>
              <w:left w:val="nil"/>
              <w:bottom w:val="single" w:sz="6" w:space="0" w:color="000000"/>
              <w:right w:val="nil"/>
            </w:tcBorders>
            <w:shd w:val="clear" w:color="auto" w:fill="EBEBEB"/>
            <w:vAlign w:val="center"/>
          </w:tcPr>
          <w:p w14:paraId="46D8D9CA" w14:textId="77777777" w:rsidR="00545A59" w:rsidRPr="00A55335" w:rsidRDefault="00545A59" w:rsidP="00545A59">
            <w:pPr>
              <w:pStyle w:val="Tabletext8pt"/>
              <w:jc w:val="center"/>
              <w:rPr>
                <w:rStyle w:val="Strong"/>
              </w:rPr>
            </w:pPr>
            <w:r w:rsidRPr="00A55335">
              <w:rPr>
                <w:rStyle w:val="Strong"/>
              </w:rPr>
              <w:t>661 per 1,000</w:t>
            </w:r>
          </w:p>
          <w:p w14:paraId="458146CE" w14:textId="16686E60" w:rsidR="00545A59" w:rsidRPr="00A55335" w:rsidRDefault="00545A59" w:rsidP="00545A59">
            <w:pPr>
              <w:pStyle w:val="Tabletext8pt"/>
              <w:jc w:val="center"/>
            </w:pPr>
            <w:r w:rsidRPr="00A55335">
              <w:rPr>
                <w:rFonts w:eastAsia="Times New Roman"/>
                <w:szCs w:val="18"/>
              </w:rPr>
              <w:t xml:space="preserve">(271 to </w:t>
            </w:r>
            <w:proofErr w:type="gramStart"/>
            <w:r w:rsidRPr="00A55335">
              <w:rPr>
                <w:rFonts w:eastAsia="Times New Roman"/>
                <w:szCs w:val="18"/>
              </w:rPr>
              <w:t>418)</w:t>
            </w:r>
            <w:r w:rsidR="00383E2D">
              <w:rPr>
                <w:rFonts w:eastAsia="Times New Roman"/>
                <w:szCs w:val="18"/>
              </w:rPr>
              <w:t>^</w:t>
            </w:r>
            <w:proofErr w:type="gramEnd"/>
            <w:r w:rsidR="00383E2D">
              <w:rPr>
                <w:rFonts w:eastAsia="Times New Roman"/>
                <w:szCs w:val="18"/>
              </w:rPr>
              <w:t>^</w:t>
            </w:r>
          </w:p>
        </w:tc>
        <w:tc>
          <w:tcPr>
            <w:tcW w:w="433" w:type="pct"/>
            <w:tcBorders>
              <w:top w:val="single" w:sz="6" w:space="0" w:color="000000"/>
              <w:left w:val="nil"/>
              <w:bottom w:val="single" w:sz="6" w:space="0" w:color="000000"/>
              <w:right w:val="nil"/>
            </w:tcBorders>
            <w:vAlign w:val="center"/>
          </w:tcPr>
          <w:p w14:paraId="0112F1E6" w14:textId="77777777" w:rsidR="00545A59" w:rsidRPr="00A55335" w:rsidRDefault="00545A59" w:rsidP="00545A59">
            <w:pPr>
              <w:pStyle w:val="Tabletext8pt"/>
              <w:jc w:val="center"/>
              <w:rPr>
                <w:rStyle w:val="Strong"/>
              </w:rPr>
            </w:pPr>
            <w:r w:rsidRPr="00A55335">
              <w:rPr>
                <w:rStyle w:val="Strong"/>
              </w:rPr>
              <w:t>RR 3.67</w:t>
            </w:r>
          </w:p>
          <w:p w14:paraId="0B862A20" w14:textId="4ED6B662" w:rsidR="00545A59" w:rsidRPr="00A55335" w:rsidRDefault="00545A59" w:rsidP="00545A59">
            <w:pPr>
              <w:pStyle w:val="Tabletext8pt"/>
              <w:jc w:val="center"/>
            </w:pPr>
            <w:r w:rsidRPr="00A55335">
              <w:rPr>
                <w:rFonts w:eastAsia="Times New Roman"/>
                <w:szCs w:val="18"/>
              </w:rPr>
              <w:t>(2.39 to 5.64)</w:t>
            </w:r>
          </w:p>
        </w:tc>
        <w:tc>
          <w:tcPr>
            <w:tcW w:w="576" w:type="pct"/>
            <w:tcBorders>
              <w:top w:val="single" w:sz="6" w:space="0" w:color="000000"/>
              <w:left w:val="nil"/>
              <w:bottom w:val="single" w:sz="6" w:space="0" w:color="000000"/>
              <w:right w:val="nil"/>
            </w:tcBorders>
            <w:vAlign w:val="center"/>
          </w:tcPr>
          <w:p w14:paraId="350AC692" w14:textId="1E1F9F6D" w:rsidR="00545A59" w:rsidRPr="00A55335" w:rsidDel="000176A2" w:rsidRDefault="00545A59" w:rsidP="00545A59">
            <w:pPr>
              <w:pStyle w:val="Tabletext8pt"/>
              <w:jc w:val="center"/>
              <w:rPr>
                <w:rFonts w:cs="Montserrat"/>
                <w:color w:val="000000"/>
              </w:rPr>
            </w:pPr>
            <w:r w:rsidRPr="00A55335">
              <w:rPr>
                <w:rFonts w:eastAsia="Times New Roman"/>
                <w:szCs w:val="18"/>
              </w:rPr>
              <w:t>300</w:t>
            </w:r>
            <w:r w:rsidRPr="00A55335">
              <w:rPr>
                <w:rFonts w:eastAsia="Times New Roman"/>
                <w:szCs w:val="18"/>
              </w:rPr>
              <w:br/>
              <w:t>(1 RCT)</w:t>
            </w:r>
          </w:p>
        </w:tc>
        <w:tc>
          <w:tcPr>
            <w:tcW w:w="649" w:type="pct"/>
            <w:tcBorders>
              <w:top w:val="single" w:sz="6" w:space="0" w:color="000000"/>
              <w:left w:val="nil"/>
              <w:bottom w:val="single" w:sz="6" w:space="0" w:color="000000"/>
              <w:right w:val="nil"/>
            </w:tcBorders>
            <w:vAlign w:val="center"/>
          </w:tcPr>
          <w:p w14:paraId="7970AAAC" w14:textId="67E5FB82" w:rsidR="00545A59" w:rsidRPr="00A55335" w:rsidRDefault="00545A59" w:rsidP="00545A59">
            <w:pPr>
              <w:pStyle w:val="Tabletext8pt"/>
              <w:jc w:val="center"/>
              <w:rPr>
                <w:rStyle w:val="quality-sign"/>
                <w:rFonts w:ascii="Cambria Math" w:hAnsi="Cambria Math"/>
              </w:rPr>
            </w:pPr>
            <w:r w:rsidRPr="00A55335">
              <w:rPr>
                <w:rFonts w:ascii="Cambria Math" w:eastAsia="Cambria Math" w:hAnsi="Cambria Math" w:cs="Cambria Math"/>
                <w:color w:val="000000"/>
              </w:rPr>
              <w:t>⨁◯◯◯</w:t>
            </w:r>
            <w:r w:rsidRPr="00A55335">
              <w:rPr>
                <w:rFonts w:cs="Montserrat"/>
                <w:color w:val="000000"/>
              </w:rPr>
              <w:br/>
            </w:r>
            <w:r w:rsidRPr="00A55335">
              <w:rPr>
                <w:rFonts w:cs="Montserrat"/>
                <w:smallCaps/>
                <w:color w:val="000000"/>
              </w:rPr>
              <w:t xml:space="preserve">Very Low </w:t>
            </w:r>
            <w:proofErr w:type="spellStart"/>
            <w:proofErr w:type="gramStart"/>
            <w:r w:rsidRPr="00A55335">
              <w:rPr>
                <w:rFonts w:cs="Montserrat"/>
                <w:color w:val="000000"/>
                <w:vertAlign w:val="superscript"/>
              </w:rPr>
              <w:t>c,f</w:t>
            </w:r>
            <w:proofErr w:type="gramEnd"/>
            <w:r w:rsidRPr="00A55335">
              <w:rPr>
                <w:rFonts w:cs="Montserrat"/>
                <w:color w:val="000000"/>
                <w:vertAlign w:val="superscript"/>
              </w:rPr>
              <w:t>,g,h,i</w:t>
            </w:r>
            <w:proofErr w:type="spellEnd"/>
          </w:p>
        </w:tc>
        <w:tc>
          <w:tcPr>
            <w:tcW w:w="994" w:type="pct"/>
            <w:tcBorders>
              <w:top w:val="single" w:sz="6" w:space="0" w:color="000000"/>
              <w:left w:val="nil"/>
              <w:bottom w:val="single" w:sz="6" w:space="0" w:color="000000"/>
              <w:right w:val="nil"/>
            </w:tcBorders>
            <w:vAlign w:val="center"/>
          </w:tcPr>
          <w:p w14:paraId="72508E4E" w14:textId="610E558E" w:rsidR="00545A59" w:rsidRPr="00A55335" w:rsidRDefault="00545A59" w:rsidP="00545A59">
            <w:pPr>
              <w:pStyle w:val="Tabletext8pt"/>
              <w:rPr>
                <w:rFonts w:eastAsia="Times New Roman"/>
                <w:szCs w:val="18"/>
              </w:rPr>
            </w:pPr>
            <w:r w:rsidRPr="00A55335">
              <w:t>The evidence is very uncertain about the effect of homeopathy on global improvement in infants with diarrhoea</w:t>
            </w:r>
            <w:r w:rsidR="000C1C49">
              <w:t xml:space="preserve"> ***</w:t>
            </w:r>
          </w:p>
        </w:tc>
      </w:tr>
      <w:tr w:rsidR="009F6E25" w:rsidRPr="00A55335" w14:paraId="13A76EC4" w14:textId="77777777" w:rsidTr="00D03B4B">
        <w:tblPrEx>
          <w:tblCellMar>
            <w:top w:w="57" w:type="dxa"/>
            <w:left w:w="57" w:type="dxa"/>
            <w:bottom w:w="57" w:type="dxa"/>
            <w:right w:w="57" w:type="dxa"/>
          </w:tblCellMar>
        </w:tblPrEx>
        <w:trPr>
          <w:cantSplit/>
        </w:trPr>
        <w:tc>
          <w:tcPr>
            <w:tcW w:w="977" w:type="pct"/>
            <w:tcBorders>
              <w:top w:val="single" w:sz="6" w:space="0" w:color="000000"/>
              <w:left w:val="nil"/>
              <w:bottom w:val="single" w:sz="6" w:space="0" w:color="000000"/>
              <w:right w:val="nil"/>
            </w:tcBorders>
            <w:vAlign w:val="center"/>
          </w:tcPr>
          <w:p w14:paraId="6A6A6CCB" w14:textId="149690A9" w:rsidR="00D03B4B" w:rsidRPr="00A55335" w:rsidRDefault="00D03B4B" w:rsidP="00740546">
            <w:pPr>
              <w:pStyle w:val="Tabletext8pt"/>
            </w:pPr>
            <w:r w:rsidRPr="00A55335">
              <w:rPr>
                <w:szCs w:val="18"/>
              </w:rPr>
              <w:lastRenderedPageBreak/>
              <w:t>Symptom duration</w:t>
            </w:r>
            <w:r w:rsidRPr="00A55335">
              <w:rPr>
                <w:rFonts w:eastAsia="Times New Roman"/>
                <w:szCs w:val="18"/>
              </w:rPr>
              <w:br/>
            </w:r>
            <w:r w:rsidRPr="00A55335">
              <w:rPr>
                <w:szCs w:val="18"/>
              </w:rPr>
              <w:t xml:space="preserve">assessed </w:t>
            </w:r>
            <w:proofErr w:type="gramStart"/>
            <w:r w:rsidRPr="00A55335">
              <w:rPr>
                <w:szCs w:val="18"/>
              </w:rPr>
              <w:t>with:</w:t>
            </w:r>
            <w:proofErr w:type="gramEnd"/>
            <w:r w:rsidRPr="00A55335">
              <w:rPr>
                <w:szCs w:val="18"/>
              </w:rPr>
              <w:t xml:space="preserve"> duration of diarrhoea, days </w:t>
            </w:r>
            <w:r w:rsidRPr="00A55335">
              <w:t>(higher is worse)</w:t>
            </w:r>
            <w:r w:rsidRPr="00A55335">
              <w:br/>
              <w:t>follow-up: up to 7 days</w:t>
            </w:r>
          </w:p>
        </w:tc>
        <w:tc>
          <w:tcPr>
            <w:tcW w:w="1371" w:type="pct"/>
            <w:gridSpan w:val="2"/>
            <w:tcBorders>
              <w:top w:val="single" w:sz="6" w:space="0" w:color="000000"/>
              <w:left w:val="nil"/>
              <w:bottom w:val="single" w:sz="6" w:space="0" w:color="000000"/>
              <w:right w:val="nil"/>
            </w:tcBorders>
            <w:shd w:val="clear" w:color="auto" w:fill="EBEBEB"/>
            <w:vAlign w:val="center"/>
          </w:tcPr>
          <w:p w14:paraId="1D3E1CCF" w14:textId="6E5910EA" w:rsidR="00D03B4B" w:rsidRPr="00A55335" w:rsidRDefault="00D03B4B" w:rsidP="007252A0">
            <w:pPr>
              <w:pStyle w:val="Tabletext8pt"/>
              <w:jc w:val="center"/>
            </w:pPr>
            <w:r w:rsidRPr="00A55335">
              <w:rPr>
                <w:rFonts w:eastAsia="Times New Roman"/>
                <w:szCs w:val="18"/>
              </w:rPr>
              <w:t>Two studies report</w:t>
            </w:r>
            <w:r w:rsidR="007230D4" w:rsidRPr="00A55335">
              <w:rPr>
                <w:rFonts w:eastAsia="Times New Roman"/>
                <w:szCs w:val="18"/>
              </w:rPr>
              <w:t>ed</w:t>
            </w:r>
            <w:r w:rsidRPr="00A55335">
              <w:rPr>
                <w:rFonts w:eastAsia="Times New Roman"/>
                <w:szCs w:val="18"/>
              </w:rPr>
              <w:t xml:space="preserve"> no difference in symptom duration between homeopathy and placebo. One study report</w:t>
            </w:r>
            <w:r w:rsidR="007230D4" w:rsidRPr="00A55335">
              <w:rPr>
                <w:rFonts w:eastAsia="Times New Roman"/>
                <w:szCs w:val="18"/>
              </w:rPr>
              <w:t xml:space="preserve">ed </w:t>
            </w:r>
            <w:r w:rsidR="00247E35" w:rsidRPr="00A55335">
              <w:rPr>
                <w:rFonts w:eastAsia="Times New Roman"/>
                <w:szCs w:val="18"/>
              </w:rPr>
              <w:t>improvement</w:t>
            </w:r>
            <w:r w:rsidR="007230D4" w:rsidRPr="00A55335">
              <w:rPr>
                <w:rFonts w:eastAsia="Times New Roman"/>
                <w:szCs w:val="18"/>
              </w:rPr>
              <w:t xml:space="preserve"> </w:t>
            </w:r>
            <w:r w:rsidR="0024771C" w:rsidRPr="00A55335">
              <w:rPr>
                <w:rFonts w:eastAsia="Times New Roman"/>
                <w:szCs w:val="18"/>
              </w:rPr>
              <w:t xml:space="preserve">in </w:t>
            </w:r>
            <w:r w:rsidR="007230D4" w:rsidRPr="00A55335">
              <w:rPr>
                <w:rFonts w:eastAsia="Times New Roman"/>
                <w:szCs w:val="18"/>
              </w:rPr>
              <w:t>favour of homeopathy.</w:t>
            </w:r>
            <w:r w:rsidRPr="00A55335">
              <w:rPr>
                <w:rFonts w:eastAsia="Times New Roman"/>
                <w:szCs w:val="18"/>
              </w:rPr>
              <w:t xml:space="preserve"> </w:t>
            </w:r>
          </w:p>
        </w:tc>
        <w:tc>
          <w:tcPr>
            <w:tcW w:w="433" w:type="pct"/>
            <w:tcBorders>
              <w:top w:val="single" w:sz="6" w:space="0" w:color="000000"/>
              <w:left w:val="nil"/>
              <w:bottom w:val="single" w:sz="6" w:space="0" w:color="000000"/>
              <w:right w:val="nil"/>
            </w:tcBorders>
            <w:vAlign w:val="center"/>
          </w:tcPr>
          <w:p w14:paraId="72E3EA24" w14:textId="29027F3A" w:rsidR="00D03B4B" w:rsidRPr="00A55335" w:rsidRDefault="00D03B4B" w:rsidP="007252A0">
            <w:pPr>
              <w:pStyle w:val="Tabletext8pt"/>
              <w:jc w:val="center"/>
            </w:pPr>
            <w:r w:rsidRPr="00A55335">
              <w:t>-</w:t>
            </w:r>
          </w:p>
        </w:tc>
        <w:tc>
          <w:tcPr>
            <w:tcW w:w="576" w:type="pct"/>
            <w:tcBorders>
              <w:top w:val="single" w:sz="6" w:space="0" w:color="000000"/>
              <w:left w:val="nil"/>
              <w:bottom w:val="single" w:sz="6" w:space="0" w:color="000000"/>
              <w:right w:val="nil"/>
            </w:tcBorders>
            <w:vAlign w:val="center"/>
          </w:tcPr>
          <w:p w14:paraId="2C9A6915" w14:textId="4473F602" w:rsidR="00D03B4B" w:rsidRPr="00A55335" w:rsidRDefault="00545A59" w:rsidP="007252A0">
            <w:pPr>
              <w:pStyle w:val="Tabletext8pt"/>
              <w:jc w:val="center"/>
            </w:pPr>
            <w:r w:rsidRPr="00A55335">
              <w:rPr>
                <w:rFonts w:cs="Montserrat"/>
                <w:color w:val="000000"/>
              </w:rPr>
              <w:t>448</w:t>
            </w:r>
            <w:r w:rsidR="00D03B4B" w:rsidRPr="00A55335">
              <w:rPr>
                <w:rFonts w:cs="Montserrat"/>
                <w:color w:val="000000"/>
              </w:rPr>
              <w:t xml:space="preserve"> </w:t>
            </w:r>
            <w:r w:rsidR="00D03B4B" w:rsidRPr="00A55335">
              <w:rPr>
                <w:rFonts w:cs="Montserrat"/>
                <w:color w:val="000000"/>
              </w:rPr>
              <w:br/>
              <w:t>(</w:t>
            </w:r>
            <w:r w:rsidRPr="00A55335">
              <w:rPr>
                <w:rFonts w:cs="Montserrat"/>
                <w:color w:val="000000"/>
              </w:rPr>
              <w:t>3</w:t>
            </w:r>
            <w:r w:rsidR="00D03B4B" w:rsidRPr="00A55335">
              <w:rPr>
                <w:rFonts w:cs="Montserrat"/>
                <w:color w:val="000000"/>
              </w:rPr>
              <w:t xml:space="preserve"> RCT</w:t>
            </w:r>
            <w:r w:rsidRPr="00A55335">
              <w:rPr>
                <w:rFonts w:cs="Montserrat"/>
                <w:color w:val="000000"/>
              </w:rPr>
              <w:t>s</w:t>
            </w:r>
            <w:r w:rsidR="00D03B4B" w:rsidRPr="00A55335">
              <w:rPr>
                <w:rFonts w:cs="Montserrat"/>
                <w:color w:val="000000"/>
              </w:rPr>
              <w:t>)</w:t>
            </w:r>
          </w:p>
        </w:tc>
        <w:tc>
          <w:tcPr>
            <w:tcW w:w="649" w:type="pct"/>
            <w:tcBorders>
              <w:top w:val="single" w:sz="6" w:space="0" w:color="000000"/>
              <w:left w:val="nil"/>
              <w:bottom w:val="single" w:sz="6" w:space="0" w:color="000000"/>
              <w:right w:val="nil"/>
            </w:tcBorders>
            <w:vAlign w:val="center"/>
          </w:tcPr>
          <w:p w14:paraId="3ABE03CD" w14:textId="13CEA8C4" w:rsidR="00D03B4B" w:rsidRPr="00A55335" w:rsidRDefault="00D03B4B" w:rsidP="00FA2794">
            <w:pPr>
              <w:pStyle w:val="Tabletext8pt"/>
              <w:jc w:val="center"/>
            </w:pPr>
            <w:r w:rsidRPr="00A55335">
              <w:rPr>
                <w:rStyle w:val="quality-sign"/>
                <w:rFonts w:ascii="Cambria Math" w:hAnsi="Cambria Math"/>
              </w:rPr>
              <w:t>⨁⨁◯◯</w:t>
            </w:r>
            <w:r w:rsidRPr="00A55335">
              <w:rPr>
                <w:rFonts w:eastAsia="Times New Roman"/>
                <w:szCs w:val="18"/>
              </w:rPr>
              <w:br/>
            </w:r>
            <w:r w:rsidRPr="00A55335">
              <w:rPr>
                <w:rStyle w:val="QualitytextChar"/>
              </w:rPr>
              <w:t xml:space="preserve">Low </w:t>
            </w:r>
            <w:proofErr w:type="spellStart"/>
            <w:r w:rsidRPr="00A55335">
              <w:rPr>
                <w:rStyle w:val="FootnoteReference"/>
              </w:rPr>
              <w:t>a,b,c,d,e</w:t>
            </w:r>
            <w:proofErr w:type="spellEnd"/>
          </w:p>
        </w:tc>
        <w:tc>
          <w:tcPr>
            <w:tcW w:w="994" w:type="pct"/>
            <w:tcBorders>
              <w:top w:val="single" w:sz="6" w:space="0" w:color="000000"/>
              <w:left w:val="nil"/>
              <w:bottom w:val="single" w:sz="6" w:space="0" w:color="000000"/>
              <w:right w:val="nil"/>
            </w:tcBorders>
            <w:vAlign w:val="center"/>
          </w:tcPr>
          <w:p w14:paraId="26A499A7" w14:textId="473FD4D2" w:rsidR="00D03B4B" w:rsidRPr="00A55335" w:rsidRDefault="00D03B4B" w:rsidP="00740546">
            <w:pPr>
              <w:pStyle w:val="Tabletext8pt"/>
            </w:pPr>
            <w:r w:rsidRPr="00A55335">
              <w:rPr>
                <w:rFonts w:eastAsia="Times New Roman"/>
                <w:szCs w:val="18"/>
              </w:rPr>
              <w:t>Homeopathy may have little to no effect on symptom duration in infants with diarrhoea</w:t>
            </w:r>
          </w:p>
        </w:tc>
      </w:tr>
      <w:tr w:rsidR="009F6E25" w:rsidRPr="00A55335" w14:paraId="583A9CF3" w14:textId="77777777" w:rsidTr="00D03B4B">
        <w:tblPrEx>
          <w:tblCellMar>
            <w:top w:w="57" w:type="dxa"/>
            <w:left w:w="57" w:type="dxa"/>
            <w:bottom w:w="57" w:type="dxa"/>
            <w:right w:w="57" w:type="dxa"/>
          </w:tblCellMar>
        </w:tblPrEx>
        <w:trPr>
          <w:cantSplit/>
        </w:trPr>
        <w:tc>
          <w:tcPr>
            <w:tcW w:w="977" w:type="pct"/>
            <w:tcBorders>
              <w:top w:val="single" w:sz="6" w:space="0" w:color="000000"/>
              <w:left w:val="nil"/>
              <w:bottom w:val="single" w:sz="6" w:space="0" w:color="000000"/>
              <w:right w:val="nil"/>
            </w:tcBorders>
            <w:vAlign w:val="center"/>
          </w:tcPr>
          <w:p w14:paraId="6F320D87" w14:textId="7BBEC229" w:rsidR="008145C3" w:rsidRPr="00A55335" w:rsidRDefault="008145C3" w:rsidP="008145C3">
            <w:pPr>
              <w:pStyle w:val="Tabletext8pt"/>
              <w:rPr>
                <w:szCs w:val="18"/>
              </w:rPr>
            </w:pPr>
            <w:r w:rsidRPr="00A55335">
              <w:rPr>
                <w:szCs w:val="18"/>
              </w:rPr>
              <w:t>Hospitalisation – not reported</w:t>
            </w:r>
          </w:p>
        </w:tc>
        <w:tc>
          <w:tcPr>
            <w:tcW w:w="685" w:type="pct"/>
            <w:tcBorders>
              <w:top w:val="single" w:sz="6" w:space="0" w:color="000000"/>
              <w:left w:val="nil"/>
              <w:bottom w:val="single" w:sz="6" w:space="0" w:color="000000"/>
              <w:right w:val="nil"/>
            </w:tcBorders>
            <w:shd w:val="clear" w:color="auto" w:fill="EBEBEB"/>
            <w:vAlign w:val="center"/>
          </w:tcPr>
          <w:p w14:paraId="6E3DF38F" w14:textId="602B944E" w:rsidR="008145C3" w:rsidRPr="00A55335" w:rsidRDefault="008145C3" w:rsidP="008145C3">
            <w:pPr>
              <w:pStyle w:val="Tabletext8pt"/>
              <w:jc w:val="center"/>
              <w:rPr>
                <w:rFonts w:eastAsia="Times New Roman"/>
                <w:szCs w:val="18"/>
              </w:rPr>
            </w:pPr>
            <w:r w:rsidRPr="00A55335">
              <w:rPr>
                <w:rFonts w:eastAsia="Times New Roman"/>
                <w:szCs w:val="18"/>
              </w:rPr>
              <w:t>-</w:t>
            </w:r>
          </w:p>
        </w:tc>
        <w:tc>
          <w:tcPr>
            <w:tcW w:w="686" w:type="pct"/>
            <w:tcBorders>
              <w:top w:val="single" w:sz="6" w:space="0" w:color="000000"/>
              <w:left w:val="nil"/>
              <w:bottom w:val="single" w:sz="6" w:space="0" w:color="000000"/>
              <w:right w:val="nil"/>
            </w:tcBorders>
            <w:shd w:val="clear" w:color="auto" w:fill="EBEBEB"/>
            <w:vAlign w:val="center"/>
          </w:tcPr>
          <w:p w14:paraId="59B5ABDC" w14:textId="02E56675" w:rsidR="008145C3" w:rsidRPr="00A55335" w:rsidRDefault="008145C3" w:rsidP="008D0C2A">
            <w:pPr>
              <w:pStyle w:val="Tabletext8pt"/>
              <w:jc w:val="center"/>
              <w:rPr>
                <w:rStyle w:val="Strong"/>
              </w:rPr>
            </w:pPr>
            <w:r w:rsidRPr="00A55335">
              <w:rPr>
                <w:rStyle w:val="Strong"/>
              </w:rPr>
              <w:t>-</w:t>
            </w:r>
          </w:p>
        </w:tc>
        <w:tc>
          <w:tcPr>
            <w:tcW w:w="433" w:type="pct"/>
            <w:tcBorders>
              <w:top w:val="single" w:sz="6" w:space="0" w:color="000000"/>
              <w:left w:val="nil"/>
              <w:bottom w:val="single" w:sz="6" w:space="0" w:color="000000"/>
              <w:right w:val="nil"/>
            </w:tcBorders>
            <w:vAlign w:val="center"/>
          </w:tcPr>
          <w:p w14:paraId="298EFAF4" w14:textId="35983C1E" w:rsidR="008145C3" w:rsidRPr="00A55335" w:rsidRDefault="008145C3" w:rsidP="008D0C2A">
            <w:pPr>
              <w:pStyle w:val="Tabletext8pt"/>
              <w:jc w:val="center"/>
              <w:rPr>
                <w:rStyle w:val="Strong"/>
              </w:rPr>
            </w:pPr>
            <w:r w:rsidRPr="00A55335">
              <w:rPr>
                <w:rStyle w:val="Strong"/>
              </w:rPr>
              <w:t>-</w:t>
            </w:r>
          </w:p>
        </w:tc>
        <w:tc>
          <w:tcPr>
            <w:tcW w:w="576" w:type="pct"/>
            <w:tcBorders>
              <w:top w:val="single" w:sz="6" w:space="0" w:color="000000"/>
              <w:left w:val="nil"/>
              <w:bottom w:val="single" w:sz="6" w:space="0" w:color="000000"/>
              <w:right w:val="nil"/>
            </w:tcBorders>
            <w:vAlign w:val="center"/>
          </w:tcPr>
          <w:p w14:paraId="6D3E28EC" w14:textId="2C472BC9" w:rsidR="008145C3" w:rsidRPr="00A55335" w:rsidRDefault="008145C3" w:rsidP="008145C3">
            <w:pPr>
              <w:pStyle w:val="Tabletext8pt"/>
              <w:jc w:val="center"/>
              <w:rPr>
                <w:rFonts w:eastAsia="Times New Roman"/>
                <w:szCs w:val="18"/>
              </w:rPr>
            </w:pPr>
            <w:r w:rsidRPr="00A55335">
              <w:rPr>
                <w:rFonts w:eastAsia="Times New Roman"/>
                <w:szCs w:val="18"/>
              </w:rPr>
              <w:t>(0 studies)</w:t>
            </w:r>
          </w:p>
        </w:tc>
        <w:tc>
          <w:tcPr>
            <w:tcW w:w="649" w:type="pct"/>
            <w:tcBorders>
              <w:top w:val="single" w:sz="6" w:space="0" w:color="000000"/>
              <w:left w:val="nil"/>
              <w:bottom w:val="single" w:sz="6" w:space="0" w:color="000000"/>
              <w:right w:val="nil"/>
            </w:tcBorders>
            <w:vAlign w:val="center"/>
          </w:tcPr>
          <w:p w14:paraId="04B4CE1D" w14:textId="4167832E" w:rsidR="008145C3" w:rsidRPr="00A55335" w:rsidRDefault="008145C3" w:rsidP="008145C3">
            <w:pPr>
              <w:pStyle w:val="Tabletext8pt"/>
              <w:jc w:val="center"/>
              <w:rPr>
                <w:rStyle w:val="quality-sign"/>
                <w:rFonts w:ascii="Cambria Math" w:hAnsi="Cambria Math"/>
              </w:rPr>
            </w:pPr>
            <w:r w:rsidRPr="00A55335">
              <w:rPr>
                <w:rStyle w:val="quality-sign"/>
                <w:rFonts w:ascii="Cambria Math" w:hAnsi="Cambria Math"/>
              </w:rPr>
              <w:t>-</w:t>
            </w:r>
          </w:p>
        </w:tc>
        <w:tc>
          <w:tcPr>
            <w:tcW w:w="994" w:type="pct"/>
            <w:tcBorders>
              <w:top w:val="single" w:sz="6" w:space="0" w:color="000000"/>
              <w:left w:val="nil"/>
              <w:bottom w:val="single" w:sz="6" w:space="0" w:color="000000"/>
              <w:right w:val="nil"/>
            </w:tcBorders>
            <w:vAlign w:val="center"/>
          </w:tcPr>
          <w:p w14:paraId="2753E310" w14:textId="535ED9A1" w:rsidR="008145C3" w:rsidRPr="00A55335" w:rsidRDefault="00AE4FE3" w:rsidP="008145C3">
            <w:pPr>
              <w:pStyle w:val="Tabletext8pt"/>
            </w:pPr>
            <w:r w:rsidRPr="00A55335">
              <w:t>The effect of homeopathy on hospitalisation in infants with diarrhoea is unknown</w:t>
            </w:r>
          </w:p>
        </w:tc>
      </w:tr>
      <w:tr w:rsidR="008145C3" w:rsidRPr="00A55335" w14:paraId="5BA50614" w14:textId="77777777" w:rsidTr="00A1201B">
        <w:trPr>
          <w:cantSplit/>
        </w:trPr>
        <w:tc>
          <w:tcPr>
            <w:tcW w:w="5000" w:type="pct"/>
            <w:gridSpan w:val="7"/>
            <w:tcBorders>
              <w:top w:val="single" w:sz="6" w:space="0" w:color="000000"/>
              <w:left w:val="nil"/>
              <w:bottom w:val="single" w:sz="6" w:space="0" w:color="000000"/>
              <w:right w:val="nil"/>
            </w:tcBorders>
            <w:hideMark/>
          </w:tcPr>
          <w:p w14:paraId="30911C93" w14:textId="77777777" w:rsidR="008145C3" w:rsidRPr="00A55335" w:rsidRDefault="008145C3" w:rsidP="008145C3">
            <w:pPr>
              <w:pStyle w:val="TableFigNotes18"/>
            </w:pPr>
            <w:r w:rsidRPr="00A55335">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64963C8A" w14:textId="1F9B4819" w:rsidR="007C7D32" w:rsidRPr="00A55335" w:rsidRDefault="007C7D32" w:rsidP="007C7D32">
            <w:pPr>
              <w:pStyle w:val="TableFigNotes18"/>
            </w:pPr>
            <w:r w:rsidRPr="00A55335">
              <w:t xml:space="preserve">** As a rule of thumb, an SMD of 0.2 is considered a small difference, 0.5 is considered medium, and 0.8 is considered large </w:t>
            </w:r>
            <w:r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Pr="00A55335">
              <w:fldChar w:fldCharType="separate"/>
            </w:r>
            <w:r w:rsidRPr="00A55335">
              <w:rPr>
                <w:noProof/>
              </w:rPr>
              <w:t>(</w:t>
            </w:r>
            <w:hyperlink w:anchor="_ENREF_83" w:tooltip="Faraone, 2008 #165" w:history="1">
              <w:r w:rsidR="00EC2769" w:rsidRPr="00A55335">
                <w:rPr>
                  <w:noProof/>
                </w:rPr>
                <w:t>83</w:t>
              </w:r>
            </w:hyperlink>
            <w:r w:rsidRPr="00A55335">
              <w:rPr>
                <w:noProof/>
              </w:rPr>
              <w:t>)</w:t>
            </w:r>
            <w:r w:rsidRPr="00A55335">
              <w:fldChar w:fldCharType="end"/>
            </w:r>
            <w:r w:rsidRPr="00A55335">
              <w:t>.</w:t>
            </w:r>
          </w:p>
          <w:p w14:paraId="729D6B59" w14:textId="3CDDF330" w:rsidR="007C7D32" w:rsidRPr="00196574" w:rsidRDefault="007C7D32" w:rsidP="007C7D32">
            <w:pPr>
              <w:pStyle w:val="TableFigNotes18"/>
            </w:pPr>
            <w:r>
              <w:t>*</w:t>
            </w:r>
            <w:r w:rsidRPr="00196574">
              <w:t>** A 25% relative risk reduction was considered important (i.e. RR &lt; 0.75).</w:t>
            </w:r>
          </w:p>
          <w:p w14:paraId="21DF1716" w14:textId="795F151A" w:rsidR="008145C3" w:rsidRPr="00A55335" w:rsidRDefault="003D59E1" w:rsidP="008145C3">
            <w:pPr>
              <w:pStyle w:val="TableFigNotes18"/>
            </w:pPr>
            <w:r w:rsidRPr="00A55335">
              <w:rPr>
                <w:rStyle w:val="TableFigNotes18Char"/>
              </w:rPr>
              <w:t>**Effect estimates were considered on 3 levels: small (MD &lt;10% of the scale), moderate (MD between 10% to 20% of the scale) or large (MD more than 20% of the scale).</w:t>
            </w:r>
            <w:r>
              <w:rPr>
                <w:rStyle w:val="TableFigNotes18Char"/>
              </w:rPr>
              <w:br/>
            </w:r>
            <w:r>
              <w:br/>
              <w:t>^ SMD –0.08 (95% CI –0.31, 0.15).</w:t>
            </w:r>
            <w:r w:rsidR="00BA1313">
              <w:br/>
              <w:t xml:space="preserve">^^ </w:t>
            </w:r>
            <w:r w:rsidR="001952BD" w:rsidRPr="00BC53A3">
              <w:t xml:space="preserve">The ARD is </w:t>
            </w:r>
            <w:r w:rsidR="001952BD">
              <w:t>481 more</w:t>
            </w:r>
            <w:r w:rsidR="001952BD" w:rsidRPr="00BC53A3">
              <w:t xml:space="preserve"> per 100</w:t>
            </w:r>
            <w:r w:rsidR="001952BD">
              <w:t>0</w:t>
            </w:r>
            <w:r w:rsidR="001952BD" w:rsidRPr="00BC53A3">
              <w:t xml:space="preserve"> </w:t>
            </w:r>
            <w:r w:rsidR="001952BD">
              <w:t xml:space="preserve">(from 250 more to 835 more) i.e. 48.1% </w:t>
            </w:r>
            <w:r w:rsidR="00D01CB3">
              <w:t>more</w:t>
            </w:r>
            <w:r w:rsidR="00096AF0">
              <w:t xml:space="preserve"> with</w:t>
            </w:r>
            <w:r w:rsidR="003E581F">
              <w:t xml:space="preserve"> symptom relief</w:t>
            </w:r>
            <w:r w:rsidR="001952BD">
              <w:t xml:space="preserve">. </w:t>
            </w:r>
            <w:r>
              <w:br/>
            </w:r>
          </w:p>
          <w:p w14:paraId="1C3DFBD1" w14:textId="43493028" w:rsidR="008145C3" w:rsidRPr="00A55335" w:rsidRDefault="008145C3" w:rsidP="008145C3">
            <w:pPr>
              <w:pStyle w:val="TableFigNotes18"/>
            </w:pPr>
            <w:r w:rsidRPr="00A55335">
              <w:rPr>
                <w:rStyle w:val="FootnoteReference"/>
              </w:rPr>
              <w:t xml:space="preserve">† </w:t>
            </w:r>
            <w:r w:rsidRPr="00A55335">
              <w:t>Data from 2 studies were incomplete and not able to be included in the data synthesis</w:t>
            </w:r>
            <w:r w:rsidR="00F654C3">
              <w:t xml:space="preserve">. </w:t>
            </w:r>
            <w:r w:rsidR="00F654C3" w:rsidRPr="00791426">
              <w:t xml:space="preserve">One study </w:t>
            </w:r>
            <w:r w:rsidR="00D63B6A">
              <w:t xml:space="preserve">(123 participants) </w:t>
            </w:r>
            <w:r w:rsidR="00F654C3" w:rsidRPr="00791426">
              <w:t xml:space="preserve">suggested there was no difference between groups </w:t>
            </w:r>
            <w:r w:rsidR="00F654C3">
              <w:t xml:space="preserve">and the other study </w:t>
            </w:r>
            <w:r w:rsidR="00D63B6A">
              <w:t xml:space="preserve">(33 participants) </w:t>
            </w:r>
            <w:r w:rsidR="00F654C3" w:rsidRPr="00791426">
              <w:t>suggested improvement</w:t>
            </w:r>
            <w:r w:rsidR="00F654C3">
              <w:t>s</w:t>
            </w:r>
            <w:r w:rsidR="00F654C3" w:rsidRPr="00791426">
              <w:t xml:space="preserve"> favoured the homeopathy group</w:t>
            </w:r>
            <w:r w:rsidRPr="00A55335">
              <w:t xml:space="preserve"> (see Appendix D6.1.3.1).</w:t>
            </w:r>
          </w:p>
          <w:p w14:paraId="099CB3A9" w14:textId="49232E58" w:rsidR="008145C3" w:rsidRPr="00A55335" w:rsidRDefault="00232A6D" w:rsidP="008145C3">
            <w:pPr>
              <w:pStyle w:val="TableFigNotes0"/>
            </w:pPr>
            <w:r>
              <w:rPr>
                <w:rStyle w:val="Strong"/>
              </w:rPr>
              <w:t xml:space="preserve">ARD: </w:t>
            </w:r>
            <w:r w:rsidRPr="00232A6D">
              <w:rPr>
                <w:rStyle w:val="Strong"/>
                <w:b w:val="0"/>
                <w:bCs w:val="0"/>
              </w:rPr>
              <w:t>absolute risk difference;</w:t>
            </w:r>
            <w:r>
              <w:rPr>
                <w:rStyle w:val="Strong"/>
              </w:rPr>
              <w:t xml:space="preserve"> </w:t>
            </w:r>
            <w:r w:rsidR="008145C3" w:rsidRPr="00A55335">
              <w:rPr>
                <w:rStyle w:val="Strong"/>
              </w:rPr>
              <w:t>CI:</w:t>
            </w:r>
            <w:r w:rsidR="008145C3" w:rsidRPr="00A55335">
              <w:t xml:space="preserve"> confidence interval</w:t>
            </w:r>
          </w:p>
        </w:tc>
      </w:tr>
      <w:tr w:rsidR="008145C3" w:rsidRPr="00A55335" w14:paraId="0D700F57" w14:textId="77777777" w:rsidTr="00A1201B">
        <w:trPr>
          <w:cantSplit/>
        </w:trPr>
        <w:tc>
          <w:tcPr>
            <w:tcW w:w="5000" w:type="pct"/>
            <w:gridSpan w:val="7"/>
            <w:tcBorders>
              <w:top w:val="single" w:sz="6" w:space="0" w:color="000000"/>
              <w:left w:val="nil"/>
              <w:bottom w:val="single" w:sz="6" w:space="0" w:color="000000"/>
              <w:right w:val="nil"/>
            </w:tcBorders>
            <w:vAlign w:val="bottom"/>
            <w:hideMark/>
          </w:tcPr>
          <w:p w14:paraId="64E70322" w14:textId="77777777" w:rsidR="008145C3" w:rsidRPr="00A55335" w:rsidRDefault="008145C3" w:rsidP="008145C3">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5B314B97" w14:textId="77A3D31B" w:rsidR="00DD505D" w:rsidRPr="00A55335" w:rsidRDefault="00E35087" w:rsidP="007D0F82">
      <w:pPr>
        <w:pStyle w:val="Heading5a"/>
        <w:rPr>
          <w:lang w:val="en-AU"/>
        </w:rPr>
      </w:pPr>
      <w:r w:rsidRPr="00A55335">
        <w:rPr>
          <w:lang w:val="en-AU"/>
        </w:rPr>
        <w:t>Explanations</w:t>
      </w:r>
    </w:p>
    <w:p w14:paraId="0D2DC0D1" w14:textId="77777777" w:rsidR="00DD505D" w:rsidRPr="00A55335" w:rsidRDefault="00DD505D" w:rsidP="00924A15">
      <w:pPr>
        <w:pStyle w:val="Footnote"/>
      </w:pPr>
      <w:r w:rsidRPr="00A55335">
        <w:t>a. No serious risk of bias. Certainty of evidence not downgraded.</w:t>
      </w:r>
    </w:p>
    <w:p w14:paraId="2F4AC70D" w14:textId="4BC07CF6" w:rsidR="00DD505D" w:rsidRPr="00A55335" w:rsidRDefault="00DD505D" w:rsidP="00924A15">
      <w:pPr>
        <w:pStyle w:val="Footnote"/>
      </w:pPr>
      <w:r w:rsidRPr="00A55335">
        <w:t xml:space="preserve">b. </w:t>
      </w:r>
      <w:proofErr w:type="gramStart"/>
      <w:r w:rsidRPr="00A55335">
        <w:t>Serious</w:t>
      </w:r>
      <w:proofErr w:type="gramEnd"/>
      <w:r w:rsidRPr="00A55335">
        <w:t xml:space="preserve"> inconsistency. Two studies reported no difference between homeopathy and placebo </w:t>
      </w:r>
      <w:r w:rsidR="00462CD8" w:rsidRPr="00A55335">
        <w:t xml:space="preserve">groups </w:t>
      </w:r>
      <w:r w:rsidRPr="00A55335">
        <w:t xml:space="preserve">and one study </w:t>
      </w:r>
      <w:r w:rsidR="00462CD8" w:rsidRPr="00A55335">
        <w:t xml:space="preserve">suggested </w:t>
      </w:r>
      <w:r w:rsidRPr="00A55335">
        <w:t>an effect in favour of homeopathy. Certainty of evidence downgraded.</w:t>
      </w:r>
    </w:p>
    <w:p w14:paraId="62C30F3E" w14:textId="0C9328D6" w:rsidR="00DD505D" w:rsidRPr="00A55335" w:rsidRDefault="00DD505D" w:rsidP="00924A15">
      <w:pPr>
        <w:pStyle w:val="Footnote"/>
      </w:pPr>
      <w:r w:rsidRPr="00A55335">
        <w:t xml:space="preserve">c. </w:t>
      </w:r>
      <w:proofErr w:type="gramStart"/>
      <w:r w:rsidRPr="00A55335">
        <w:t>Serious</w:t>
      </w:r>
      <w:proofErr w:type="gramEnd"/>
      <w:r w:rsidRPr="00A55335">
        <w:t xml:space="preserve"> indirectness. Studies were conducted in settings that are likely to be substantially different from the Australian healthcare context</w:t>
      </w:r>
      <w:r w:rsidR="004072F6" w:rsidRPr="00A55335">
        <w:t xml:space="preserve"> (Honduras, Nicaragua</w:t>
      </w:r>
      <w:r w:rsidR="000C174A" w:rsidRPr="00A55335">
        <w:t>, India</w:t>
      </w:r>
      <w:r w:rsidR="004072F6" w:rsidRPr="00A55335">
        <w:t xml:space="preserve"> and Nepal)</w:t>
      </w:r>
      <w:r w:rsidRPr="00A55335">
        <w:t>. The evidence is not directly generalisable. Certainty of evidence downgraded.</w:t>
      </w:r>
    </w:p>
    <w:p w14:paraId="6289663F" w14:textId="2DF03541" w:rsidR="0037173B" w:rsidRPr="00A55335" w:rsidRDefault="00DD505D" w:rsidP="0037173B">
      <w:pPr>
        <w:pStyle w:val="Footnote"/>
      </w:pPr>
      <w:r w:rsidRPr="00A55335">
        <w:t xml:space="preserve">d. </w:t>
      </w:r>
      <w:r w:rsidR="0037173B" w:rsidRPr="00A55335">
        <w:t>No serious imprecision. Certainty of evidence not downgraded.</w:t>
      </w:r>
    </w:p>
    <w:p w14:paraId="702CAF56" w14:textId="762CA33C" w:rsidR="00DD505D" w:rsidRPr="00A55335" w:rsidRDefault="0037173B" w:rsidP="00924A15">
      <w:pPr>
        <w:pStyle w:val="Footnote"/>
      </w:pPr>
      <w:r w:rsidRPr="00A55335">
        <w:t xml:space="preserve">e. </w:t>
      </w:r>
      <w:r w:rsidR="005154F3" w:rsidRPr="00A55335">
        <w:t>P</w:t>
      </w:r>
      <w:r w:rsidR="00DD505D" w:rsidRPr="00A55335">
        <w:t xml:space="preserve">ublication bias </w:t>
      </w:r>
      <w:r w:rsidR="005154F3" w:rsidRPr="00A55335">
        <w:t xml:space="preserve">not </w:t>
      </w:r>
      <w:r w:rsidR="00DD505D" w:rsidRPr="00A55335">
        <w:t>suspected. Certainty of evidence not downgraded.</w:t>
      </w:r>
    </w:p>
    <w:p w14:paraId="7D4F7312" w14:textId="73F9CD9F" w:rsidR="00DD505D" w:rsidRPr="00A55335" w:rsidRDefault="0037173B" w:rsidP="00924A15">
      <w:pPr>
        <w:pStyle w:val="Footnote"/>
      </w:pPr>
      <w:r w:rsidRPr="00A55335">
        <w:t>f</w:t>
      </w:r>
      <w:r w:rsidR="00DD505D" w:rsidRPr="00A55335">
        <w:t xml:space="preserve">. </w:t>
      </w:r>
      <w:proofErr w:type="gramStart"/>
      <w:r w:rsidR="00DD505D" w:rsidRPr="00A55335">
        <w:t>Serious</w:t>
      </w:r>
      <w:proofErr w:type="gramEnd"/>
      <w:r w:rsidR="00DD505D" w:rsidRPr="00A55335">
        <w:t xml:space="preserve"> </w:t>
      </w:r>
      <w:r w:rsidR="00F6380E" w:rsidRPr="00A55335">
        <w:t xml:space="preserve">risk of bias. </w:t>
      </w:r>
      <w:r w:rsidR="00F8636F" w:rsidRPr="00A55335">
        <w:t xml:space="preserve">One study contributing 100% </w:t>
      </w:r>
      <w:r w:rsidR="00D55E4D" w:rsidRPr="00A55335">
        <w:t xml:space="preserve">of data </w:t>
      </w:r>
      <w:r w:rsidR="00F8636F" w:rsidRPr="00A55335">
        <w:t xml:space="preserve">was at high risk of bias. </w:t>
      </w:r>
      <w:r w:rsidR="00DD505D" w:rsidRPr="00A55335">
        <w:t>Certainty of evidence downgraded.</w:t>
      </w:r>
    </w:p>
    <w:p w14:paraId="762C583E" w14:textId="3C2B24D3" w:rsidR="00F6380E" w:rsidRPr="00A55335" w:rsidRDefault="00F6380E" w:rsidP="00924A15">
      <w:pPr>
        <w:pStyle w:val="Footnote"/>
      </w:pPr>
      <w:r w:rsidRPr="00A55335">
        <w:lastRenderedPageBreak/>
        <w:t>g. Single study. Inconsistency not assessed. Certainty of evidence not downgraded</w:t>
      </w:r>
      <w:r w:rsidR="00BD3F44" w:rsidRPr="00A55335">
        <w:t>.</w:t>
      </w:r>
    </w:p>
    <w:p w14:paraId="23912184" w14:textId="2D15EFCA" w:rsidR="00D55E4D" w:rsidRPr="00A55335" w:rsidRDefault="00BD3F44" w:rsidP="00924A15">
      <w:pPr>
        <w:pStyle w:val="Footnote"/>
      </w:pPr>
      <w:r w:rsidRPr="00A55335">
        <w:t xml:space="preserve">h. </w:t>
      </w:r>
      <w:proofErr w:type="gramStart"/>
      <w:r w:rsidRPr="00A55335">
        <w:t>Serious</w:t>
      </w:r>
      <w:proofErr w:type="gramEnd"/>
      <w:r w:rsidRPr="00A55335">
        <w:t xml:space="preserve"> imprecision. </w:t>
      </w:r>
      <w:r w:rsidR="008505F7" w:rsidRPr="00A55335">
        <w:t>Single study with w</w:t>
      </w:r>
      <w:r w:rsidRPr="00A55335">
        <w:t>ide</w:t>
      </w:r>
      <w:r w:rsidR="008505F7" w:rsidRPr="00A55335">
        <w:t xml:space="preserve"> confidence interval</w:t>
      </w:r>
      <w:r w:rsidR="00BA447F" w:rsidRPr="00A55335">
        <w:t>.</w:t>
      </w:r>
      <w:r w:rsidRPr="00A55335">
        <w:t xml:space="preserve"> </w:t>
      </w:r>
      <w:r w:rsidR="00B27AF4" w:rsidRPr="00A55335">
        <w:t>Certainty of evidence downgraded.</w:t>
      </w:r>
    </w:p>
    <w:p w14:paraId="2C9216C1" w14:textId="19397DF5" w:rsidR="00192919" w:rsidRPr="00A55335" w:rsidRDefault="00192919" w:rsidP="00924A15">
      <w:pPr>
        <w:pStyle w:val="Footnote"/>
      </w:pPr>
      <w:proofErr w:type="spellStart"/>
      <w:r w:rsidRPr="00A55335">
        <w:t>i</w:t>
      </w:r>
      <w:proofErr w:type="spellEnd"/>
      <w:r w:rsidRPr="00A55335">
        <w:t xml:space="preserve">. Publication bias suspected. The is a strong suspicion of non-reporting </w:t>
      </w:r>
      <w:r w:rsidR="00567E87" w:rsidRPr="00A55335">
        <w:t xml:space="preserve">of results because the </w:t>
      </w:r>
      <w:r w:rsidR="00567E87" w:rsidRPr="00A55335">
        <w:rPr>
          <w:rStyle w:val="Emphasis"/>
        </w:rPr>
        <w:t>p</w:t>
      </w:r>
      <w:r w:rsidR="00567E87" w:rsidRPr="00A55335">
        <w:t xml:space="preserve"> value, magnitude or direction of the results generated were considered unfavourable by the study investigators. Certainty of evidence downgraded.</w:t>
      </w:r>
    </w:p>
    <w:p w14:paraId="6996C23B" w14:textId="0A1207E4" w:rsidR="007D0F82" w:rsidRPr="00A55335" w:rsidRDefault="006070ED" w:rsidP="007D0F82">
      <w:pPr>
        <w:pStyle w:val="Heading4"/>
      </w:pPr>
      <w:r w:rsidRPr="00A55335">
        <w:t>Secondary Comparison</w:t>
      </w:r>
      <w:r w:rsidR="007D0F82" w:rsidRPr="00A55335">
        <w:t xml:space="preserve"> (vs </w:t>
      </w:r>
      <w:r w:rsidR="006352A8" w:rsidRPr="00A55335">
        <w:t xml:space="preserve">inactive </w:t>
      </w:r>
      <w:r w:rsidR="007D0F82" w:rsidRPr="00A55335">
        <w:t>control)</w:t>
      </w:r>
    </w:p>
    <w:p w14:paraId="57A6451F" w14:textId="341EC0E7" w:rsidR="007D0F82" w:rsidRPr="00A55335" w:rsidRDefault="007D0F82" w:rsidP="007D0F82">
      <w:pPr>
        <w:pStyle w:val="BodyText"/>
      </w:pPr>
      <w:r w:rsidRPr="00A55335">
        <w:t xml:space="preserve">There were no studies comparing homeopathy with </w:t>
      </w:r>
      <w:r w:rsidR="00BA3DF6" w:rsidRPr="00A55335">
        <w:t xml:space="preserve">inactive </w:t>
      </w:r>
      <w:r w:rsidRPr="00A55335">
        <w:t>control in digestive disorders (diarrhoea).</w:t>
      </w:r>
    </w:p>
    <w:p w14:paraId="6BFE6B0E" w14:textId="77777777" w:rsidR="00DD505D" w:rsidRPr="00A55335" w:rsidRDefault="00DD505D" w:rsidP="004D433B">
      <w:pPr>
        <w:pStyle w:val="Heading3"/>
      </w:pPr>
      <w:bookmarkStart w:id="347" w:name="_Toc183441368"/>
      <w:r w:rsidRPr="00A55335">
        <w:t>Forest plots</w:t>
      </w:r>
      <w:bookmarkEnd w:id="347"/>
    </w:p>
    <w:p w14:paraId="1D5F366E" w14:textId="31B75C9B" w:rsidR="00DD505D" w:rsidRPr="00A55335" w:rsidRDefault="00DD505D" w:rsidP="00A26B75">
      <w:pPr>
        <w:pStyle w:val="BodyText"/>
      </w:pPr>
      <w:r w:rsidRPr="00A55335">
        <w:t xml:space="preserve">Outcome results relating to </w:t>
      </w:r>
      <w:r w:rsidR="00726EE5" w:rsidRPr="00A55335">
        <w:t>the p</w:t>
      </w:r>
      <w:r w:rsidR="006070ED" w:rsidRPr="00A55335">
        <w:t xml:space="preserve">rimary </w:t>
      </w:r>
      <w:r w:rsidR="00726EE5" w:rsidRPr="00A55335">
        <w:t>c</w:t>
      </w:r>
      <w:r w:rsidR="006070ED" w:rsidRPr="00A55335">
        <w:t>omparison</w:t>
      </w:r>
      <w:r w:rsidR="0042232E" w:rsidRPr="00A55335">
        <w:t xml:space="preserve"> (homeopathy vs placebo) </w:t>
      </w:r>
      <w:r w:rsidR="00A26B75" w:rsidRPr="00A55335">
        <w:t>in</w:t>
      </w:r>
      <w:r w:rsidR="0042232E" w:rsidRPr="00A55335">
        <w:t xml:space="preserve"> children with </w:t>
      </w:r>
      <w:r w:rsidRPr="00A55335">
        <w:t>diarrhoea</w:t>
      </w:r>
      <w:r w:rsidR="00A26B75" w:rsidRPr="00A55335">
        <w:t xml:space="preserve"> </w:t>
      </w:r>
      <w:r w:rsidRPr="00A55335">
        <w:t>are presented in</w:t>
      </w:r>
      <w:r w:rsidR="004C1A2C" w:rsidRPr="00A55335">
        <w:t xml:space="preserve"> </w:t>
      </w:r>
      <w:r w:rsidR="004C1A2C" w:rsidRPr="00A55335">
        <w:fldChar w:fldCharType="begin"/>
      </w:r>
      <w:r w:rsidR="004C1A2C" w:rsidRPr="00A55335">
        <w:instrText xml:space="preserve"> REF _Ref152079859 \h </w:instrText>
      </w:r>
      <w:r w:rsidR="004C1A2C" w:rsidRPr="00A55335">
        <w:fldChar w:fldCharType="separate"/>
      </w:r>
      <w:r w:rsidR="00814B04" w:rsidRPr="00A55335">
        <w:t xml:space="preserve">Figure </w:t>
      </w:r>
      <w:r w:rsidR="00814B04">
        <w:rPr>
          <w:noProof/>
        </w:rPr>
        <w:t>58</w:t>
      </w:r>
      <w:r w:rsidR="004C1A2C" w:rsidRPr="00A55335">
        <w:fldChar w:fldCharType="end"/>
      </w:r>
      <w:r w:rsidR="004C1A2C" w:rsidRPr="00A55335">
        <w:t xml:space="preserve"> (symptom severity – number of stools/day),</w:t>
      </w:r>
      <w:r w:rsidRPr="00A55335">
        <w:t xml:space="preserve"> </w:t>
      </w:r>
      <w:r w:rsidR="00A26B75" w:rsidRPr="00A55335">
        <w:fldChar w:fldCharType="begin"/>
      </w:r>
      <w:r w:rsidR="00A26B75" w:rsidRPr="00A55335">
        <w:instrText xml:space="preserve"> REF _Ref152079855 \h </w:instrText>
      </w:r>
      <w:r w:rsidR="00A26B75" w:rsidRPr="00A55335">
        <w:fldChar w:fldCharType="separate"/>
      </w:r>
      <w:r w:rsidR="00814B04" w:rsidRPr="00A55335">
        <w:t xml:space="preserve">Figure </w:t>
      </w:r>
      <w:r w:rsidR="00814B04">
        <w:rPr>
          <w:noProof/>
        </w:rPr>
        <w:t>59</w:t>
      </w:r>
      <w:r w:rsidR="00A26B75" w:rsidRPr="00A55335">
        <w:fldChar w:fldCharType="end"/>
      </w:r>
      <w:r w:rsidR="00A26B75" w:rsidRPr="00A55335">
        <w:t xml:space="preserve"> (symptom duration)</w:t>
      </w:r>
      <w:r w:rsidR="00193A49" w:rsidRPr="00A55335">
        <w:t xml:space="preserve"> and </w:t>
      </w:r>
      <w:r w:rsidR="00193A49" w:rsidRPr="00A55335">
        <w:fldChar w:fldCharType="begin"/>
      </w:r>
      <w:r w:rsidR="00193A49" w:rsidRPr="00A55335">
        <w:instrText xml:space="preserve"> REF _Ref153544602 \h </w:instrText>
      </w:r>
      <w:r w:rsidR="00193A49" w:rsidRPr="00A55335">
        <w:fldChar w:fldCharType="separate"/>
      </w:r>
      <w:r w:rsidR="00814B04" w:rsidRPr="00A55335">
        <w:t xml:space="preserve">Figure </w:t>
      </w:r>
      <w:r w:rsidR="00814B04">
        <w:rPr>
          <w:noProof/>
        </w:rPr>
        <w:t>60</w:t>
      </w:r>
      <w:r w:rsidR="00193A49" w:rsidRPr="00A55335">
        <w:fldChar w:fldCharType="end"/>
      </w:r>
      <w:r w:rsidR="00193A49" w:rsidRPr="00A55335">
        <w:t xml:space="preserve"> (symptom severity – global improvement)</w:t>
      </w:r>
      <w:r w:rsidRPr="00A55335">
        <w:t>.</w:t>
      </w:r>
    </w:p>
    <w:p w14:paraId="733EFA95" w14:textId="401674FB" w:rsidR="00DD505D" w:rsidRPr="00A55335" w:rsidRDefault="00DD505D" w:rsidP="00A26B75">
      <w:pPr>
        <w:pStyle w:val="TableFigNotes18"/>
      </w:pPr>
    </w:p>
    <w:p w14:paraId="52201FD0" w14:textId="560B13EE" w:rsidR="00DD505D" w:rsidRPr="00A55335" w:rsidRDefault="00DD505D" w:rsidP="00DD505D">
      <w:pPr>
        <w:pStyle w:val="Caption"/>
      </w:pPr>
      <w:bookmarkStart w:id="348" w:name="_Ref140833230"/>
      <w:bookmarkStart w:id="349" w:name="_Ref152079859"/>
      <w:bookmarkStart w:id="350" w:name="_Toc183520331"/>
      <w:r w:rsidRPr="00A55335">
        <w:t xml:space="preserve">Figure </w:t>
      </w:r>
      <w:bookmarkEnd w:id="348"/>
      <w:r w:rsidRPr="00A55335">
        <w:fldChar w:fldCharType="begin"/>
      </w:r>
      <w:r w:rsidRPr="00A55335">
        <w:instrText xml:space="preserve"> SEQ Figure \* ARABIC </w:instrText>
      </w:r>
      <w:r w:rsidRPr="00A55335">
        <w:fldChar w:fldCharType="separate"/>
      </w:r>
      <w:r w:rsidR="00814B04">
        <w:rPr>
          <w:noProof/>
        </w:rPr>
        <w:t>58</w:t>
      </w:r>
      <w:r w:rsidRPr="00A55335">
        <w:fldChar w:fldCharType="end"/>
      </w:r>
      <w:bookmarkEnd w:id="349"/>
      <w:r w:rsidRPr="00A55335">
        <w:t xml:space="preserve"> </w:t>
      </w:r>
      <w:r w:rsidR="00A87600" w:rsidRPr="00A55335">
        <w:tab/>
      </w:r>
      <w:r w:rsidRPr="00A55335">
        <w:t xml:space="preserve">Forest plot of </w:t>
      </w:r>
      <w:r w:rsidR="009D3231" w:rsidRPr="00A55335">
        <w:t xml:space="preserve">primary </w:t>
      </w:r>
      <w:r w:rsidRPr="00A55335">
        <w:t xml:space="preserve">comparison: Homeopathy vs placebo: </w:t>
      </w:r>
      <w:r w:rsidR="00193A49" w:rsidRPr="00A55335">
        <w:t xml:space="preserve">Diarrhoea – </w:t>
      </w:r>
      <w:r w:rsidRPr="00A55335">
        <w:t>symptom severity</w:t>
      </w:r>
      <w:r w:rsidR="00193A49" w:rsidRPr="00A55335">
        <w:t xml:space="preserve">, number of </w:t>
      </w:r>
      <w:proofErr w:type="gramStart"/>
      <w:r w:rsidR="00193A49" w:rsidRPr="00A55335">
        <w:t>stools/day</w:t>
      </w:r>
      <w:bookmarkEnd w:id="350"/>
      <w:proofErr w:type="gramEnd"/>
    </w:p>
    <w:p w14:paraId="03EF9331" w14:textId="19B1CD7F" w:rsidR="007A55B0" w:rsidRPr="00A55335" w:rsidRDefault="00566C7A" w:rsidP="00646EE2">
      <w:pPr>
        <w:pStyle w:val="Pic"/>
      </w:pPr>
      <w:r>
        <w:rPr>
          <w:noProof/>
        </w:rPr>
        <w:drawing>
          <wp:inline distT="0" distB="0" distL="0" distR="0" wp14:anchorId="0E4838EF" wp14:editId="42B795BA">
            <wp:extent cx="5847549" cy="3333750"/>
            <wp:effectExtent l="0" t="0" r="1270" b="0"/>
            <wp:docPr id="3335636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50742" cy="3335571"/>
                    </a:xfrm>
                    <a:prstGeom prst="rect">
                      <a:avLst/>
                    </a:prstGeom>
                    <a:noFill/>
                    <a:ln>
                      <a:noFill/>
                    </a:ln>
                  </pic:spPr>
                </pic:pic>
              </a:graphicData>
            </a:graphic>
          </wp:inline>
        </w:drawing>
      </w:r>
    </w:p>
    <w:p w14:paraId="5F5EC459" w14:textId="692682BA" w:rsidR="00193A49" w:rsidRPr="00A55335" w:rsidRDefault="00193A49" w:rsidP="00193A49">
      <w:pPr>
        <w:pStyle w:val="Pic"/>
      </w:pPr>
    </w:p>
    <w:p w14:paraId="255FE0F1" w14:textId="77777777" w:rsidR="00193A49" w:rsidRPr="00A55335" w:rsidRDefault="00193A49" w:rsidP="00193A49">
      <w:pPr>
        <w:pStyle w:val="TableFigNotes18"/>
      </w:pPr>
    </w:p>
    <w:p w14:paraId="6A5170E6" w14:textId="49A6A77B" w:rsidR="000F4D13" w:rsidRPr="00A55335" w:rsidRDefault="000F4D13" w:rsidP="000F4D13">
      <w:pPr>
        <w:pStyle w:val="Caption"/>
      </w:pPr>
      <w:bookmarkStart w:id="351" w:name="_Ref140833173"/>
      <w:bookmarkStart w:id="352" w:name="_Ref152079855"/>
      <w:bookmarkStart w:id="353" w:name="_Ref140833168"/>
      <w:bookmarkStart w:id="354" w:name="_Toc183520332"/>
      <w:r w:rsidRPr="00A55335">
        <w:lastRenderedPageBreak/>
        <w:t xml:space="preserve">Figure </w:t>
      </w:r>
      <w:bookmarkEnd w:id="351"/>
      <w:r w:rsidRPr="00A55335">
        <w:fldChar w:fldCharType="begin"/>
      </w:r>
      <w:r w:rsidRPr="00A55335">
        <w:instrText xml:space="preserve"> SEQ Figure \* ARABIC </w:instrText>
      </w:r>
      <w:r w:rsidRPr="00A55335">
        <w:fldChar w:fldCharType="separate"/>
      </w:r>
      <w:r w:rsidR="00814B04">
        <w:rPr>
          <w:noProof/>
        </w:rPr>
        <w:t>59</w:t>
      </w:r>
      <w:r w:rsidRPr="00A55335">
        <w:fldChar w:fldCharType="end"/>
      </w:r>
      <w:bookmarkEnd w:id="352"/>
      <w:r w:rsidRPr="00A55335">
        <w:t xml:space="preserve"> </w:t>
      </w:r>
      <w:r w:rsidRPr="00A55335">
        <w:tab/>
        <w:t xml:space="preserve">Forest plot of </w:t>
      </w:r>
      <w:r w:rsidR="009D3231" w:rsidRPr="00A55335">
        <w:t xml:space="preserve">primary </w:t>
      </w:r>
      <w:r w:rsidRPr="00A55335">
        <w:t>comparison: Homeopathy vs placebo: Diarrhoea – symptom duration</w:t>
      </w:r>
      <w:bookmarkEnd w:id="353"/>
      <w:bookmarkEnd w:id="354"/>
    </w:p>
    <w:p w14:paraId="11CA4F0A" w14:textId="478C74C7" w:rsidR="00C136A4" w:rsidRPr="00A55335" w:rsidRDefault="00C136A4" w:rsidP="00646EE2">
      <w:pPr>
        <w:pStyle w:val="Pic"/>
      </w:pPr>
      <w:r w:rsidRPr="00A55335">
        <w:rPr>
          <w:noProof/>
        </w:rPr>
        <w:drawing>
          <wp:inline distT="0" distB="0" distL="0" distR="0" wp14:anchorId="39E52653" wp14:editId="56732797">
            <wp:extent cx="5903726" cy="3305175"/>
            <wp:effectExtent l="0" t="0" r="1905" b="0"/>
            <wp:docPr id="4217038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06203" cy="3306562"/>
                    </a:xfrm>
                    <a:prstGeom prst="rect">
                      <a:avLst/>
                    </a:prstGeom>
                    <a:noFill/>
                    <a:ln>
                      <a:noFill/>
                    </a:ln>
                  </pic:spPr>
                </pic:pic>
              </a:graphicData>
            </a:graphic>
          </wp:inline>
        </w:drawing>
      </w:r>
    </w:p>
    <w:p w14:paraId="516505D0" w14:textId="7BF6A96A" w:rsidR="000F4D13" w:rsidRPr="00A55335" w:rsidRDefault="000F4D13" w:rsidP="000F4D13">
      <w:pPr>
        <w:pStyle w:val="Pic"/>
      </w:pPr>
    </w:p>
    <w:p w14:paraId="39D4C335" w14:textId="77777777" w:rsidR="000F4D13" w:rsidRPr="00A55335" w:rsidRDefault="000F4D13" w:rsidP="000F4D13">
      <w:pPr>
        <w:pStyle w:val="BodyText"/>
      </w:pPr>
    </w:p>
    <w:p w14:paraId="73D46C15" w14:textId="1F23DDBF" w:rsidR="00193A49" w:rsidRPr="00A55335" w:rsidRDefault="00193A49" w:rsidP="00193A49">
      <w:pPr>
        <w:pStyle w:val="Caption"/>
      </w:pPr>
      <w:bookmarkStart w:id="355" w:name="_Ref153544602"/>
      <w:bookmarkStart w:id="356" w:name="_Toc183520333"/>
      <w:r w:rsidRPr="00A55335">
        <w:t xml:space="preserve">Figure </w:t>
      </w:r>
      <w:r w:rsidRPr="00A55335">
        <w:fldChar w:fldCharType="begin"/>
      </w:r>
      <w:r w:rsidRPr="00A55335">
        <w:instrText xml:space="preserve"> SEQ Figure \* ARABIC </w:instrText>
      </w:r>
      <w:r w:rsidRPr="00A55335">
        <w:fldChar w:fldCharType="separate"/>
      </w:r>
      <w:r w:rsidR="00814B04">
        <w:rPr>
          <w:noProof/>
        </w:rPr>
        <w:t>60</w:t>
      </w:r>
      <w:r w:rsidRPr="00A55335">
        <w:fldChar w:fldCharType="end"/>
      </w:r>
      <w:bookmarkEnd w:id="355"/>
      <w:r w:rsidRPr="00A55335">
        <w:t xml:space="preserve"> </w:t>
      </w:r>
      <w:r w:rsidRPr="00A55335">
        <w:tab/>
        <w:t xml:space="preserve">Forest plot of </w:t>
      </w:r>
      <w:r w:rsidR="009D3231" w:rsidRPr="00A55335">
        <w:t xml:space="preserve">primary </w:t>
      </w:r>
      <w:r w:rsidRPr="00A55335">
        <w:t>comparison: Homeopathy vs placebo: Diarrhoea – symptom severity, global improvement</w:t>
      </w:r>
    </w:p>
    <w:bookmarkEnd w:id="356"/>
    <w:p w14:paraId="00A95540" w14:textId="22A2EB01" w:rsidR="00F44E9F" w:rsidRPr="00A55335" w:rsidRDefault="001001D5" w:rsidP="00646EE2">
      <w:pPr>
        <w:pStyle w:val="Pic"/>
      </w:pPr>
      <w:r w:rsidRPr="00A55335">
        <w:rPr>
          <w:noProof/>
        </w:rPr>
        <w:drawing>
          <wp:inline distT="0" distB="0" distL="0" distR="0" wp14:anchorId="5CF2E183" wp14:editId="11022BE3">
            <wp:extent cx="5785411" cy="2085975"/>
            <wp:effectExtent l="0" t="0" r="6350" b="0"/>
            <wp:docPr id="20097934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90702" cy="2087883"/>
                    </a:xfrm>
                    <a:prstGeom prst="rect">
                      <a:avLst/>
                    </a:prstGeom>
                    <a:noFill/>
                    <a:ln>
                      <a:noFill/>
                    </a:ln>
                  </pic:spPr>
                </pic:pic>
              </a:graphicData>
            </a:graphic>
          </wp:inline>
        </w:drawing>
      </w:r>
    </w:p>
    <w:p w14:paraId="0DD0CD0B" w14:textId="0067A5E6" w:rsidR="005E68EE" w:rsidRPr="00A55335" w:rsidRDefault="005E68EE" w:rsidP="005E68EE">
      <w:pPr>
        <w:pStyle w:val="Pic"/>
      </w:pPr>
    </w:p>
    <w:p w14:paraId="15DCB776" w14:textId="0FBE5527" w:rsidR="003631FD" w:rsidRPr="00A55335" w:rsidRDefault="003631FD" w:rsidP="007252A0">
      <w:pPr>
        <w:pStyle w:val="BodyText"/>
      </w:pPr>
      <w:r w:rsidRPr="00A55335">
        <w:br w:type="page"/>
      </w:r>
    </w:p>
    <w:p w14:paraId="2237891C" w14:textId="426933FE" w:rsidR="00DD505D" w:rsidRPr="00A55335" w:rsidRDefault="00DD505D" w:rsidP="00C373A2">
      <w:pPr>
        <w:pStyle w:val="Heading2"/>
      </w:pPr>
      <w:bookmarkStart w:id="357" w:name="_Toc183441369"/>
      <w:r w:rsidRPr="00A55335">
        <w:lastRenderedPageBreak/>
        <w:t>Infantile colic</w:t>
      </w:r>
      <w:r w:rsidR="00E3745A" w:rsidRPr="00A55335">
        <w:t xml:space="preserve"> and other digestive disorders</w:t>
      </w:r>
      <w:bookmarkEnd w:id="357"/>
    </w:p>
    <w:p w14:paraId="4793C912" w14:textId="1AD10345" w:rsidR="00DD505D" w:rsidRPr="00A55335" w:rsidRDefault="00DD505D" w:rsidP="004D433B">
      <w:pPr>
        <w:pStyle w:val="Heading3"/>
      </w:pPr>
      <w:bookmarkStart w:id="358" w:name="_Toc183441370"/>
      <w:r w:rsidRPr="00A55335">
        <w:t>Description of the condition</w:t>
      </w:r>
      <w:r w:rsidR="001F2460" w:rsidRPr="00A55335">
        <w:t>s</w:t>
      </w:r>
      <w:bookmarkEnd w:id="358"/>
      <w:r w:rsidRPr="00A55335">
        <w:t xml:space="preserve"> </w:t>
      </w:r>
    </w:p>
    <w:p w14:paraId="754AB113" w14:textId="77777777" w:rsidR="00A74E91" w:rsidRPr="00A55335" w:rsidRDefault="00A74E91" w:rsidP="00A74E91">
      <w:pPr>
        <w:pStyle w:val="Heading4"/>
      </w:pPr>
      <w:r w:rsidRPr="00A55335">
        <w:t>Infantile colic</w:t>
      </w:r>
    </w:p>
    <w:p w14:paraId="4D780B21" w14:textId="57B14127" w:rsidR="00A74E91" w:rsidRPr="00A55335" w:rsidRDefault="00A74E91" w:rsidP="00A74E91">
      <w:pPr>
        <w:pStyle w:val="BodyText"/>
      </w:pPr>
      <w:r w:rsidRPr="00A55335">
        <w:t xml:space="preserve">Infantile colic describes excessive crying, fussing, and sleeping problems that cannot be otherwise explained </w:t>
      </w:r>
      <w:r w:rsidRPr="00A55335">
        <w:fldChar w:fldCharType="begin"/>
      </w:r>
      <w:r w:rsidR="00903F93">
        <w:instrText xml:space="preserve"> ADDIN EN.CITE &lt;EndNote&gt;&lt;Cite&gt;&lt;Author&gt;V. Sung&lt;/Author&gt;&lt;Year&gt;2018&lt;/Year&gt;&lt;RecNum&gt;659&lt;/RecNum&gt;&lt;DisplayText&gt;(229)&lt;/DisplayText&gt;&lt;record&gt;&lt;rec-number&gt;659&lt;/rec-number&gt;&lt;foreign-keys&gt;&lt;key app="EN" db-id="t5prptatr9sp0we5exbxt9zz20fwp55tdza9" timestamp="1701381033"&gt;659&lt;/key&gt;&lt;/foreign-keys&gt;&lt;ref-type name="Journal Article"&gt;17&lt;/ref-type&gt;&lt;contributors&gt;&lt;authors&gt;&lt;author&gt;V. Sung,&lt;/author&gt;&lt;/authors&gt;&lt;/contributors&gt;&lt;titles&gt;&lt;title&gt;Infantile colic&lt;/title&gt;&lt;secondary-title&gt;Aust Prescr&lt;/secondary-title&gt;&lt;/titles&gt;&lt;periodical&gt;&lt;full-title&gt;Aust Prescr&lt;/full-title&gt;&lt;/periodical&gt;&lt;pages&gt;105-10&lt;/pages&gt;&lt;volume&gt;41&lt;/volume&gt;&lt;dates&gt;&lt;year&gt;2018&lt;/year&gt;&lt;/dates&gt;&lt;urls&gt;&lt;related-urls&gt;&lt;url&gt;https://australianprescriber.tg.org.au/articles/infantile-colic.html#authors&lt;/url&gt;&lt;/related-urls&gt;&lt;/urls&gt;&lt;/record&gt;&lt;/Cite&gt;&lt;/EndNote&gt;</w:instrText>
      </w:r>
      <w:r w:rsidRPr="00A55335">
        <w:fldChar w:fldCharType="separate"/>
      </w:r>
      <w:r w:rsidR="00903F93">
        <w:rPr>
          <w:noProof/>
        </w:rPr>
        <w:t>(</w:t>
      </w:r>
      <w:hyperlink w:anchor="_ENREF_229" w:tooltip="V. Sung, 2018 #659" w:history="1">
        <w:r w:rsidR="00EC2769">
          <w:rPr>
            <w:noProof/>
          </w:rPr>
          <w:t>229</w:t>
        </w:r>
      </w:hyperlink>
      <w:r w:rsidR="00903F93">
        <w:rPr>
          <w:noProof/>
        </w:rPr>
        <w:t>)</w:t>
      </w:r>
      <w:r w:rsidRPr="00A55335">
        <w:fldChar w:fldCharType="end"/>
      </w:r>
      <w:r w:rsidRPr="00A55335">
        <w:t xml:space="preserve">. Colic is estimated to affect up to 28% of infants and is one of the most common presentations in primary health settings </w:t>
      </w:r>
      <w:r w:rsidRPr="00A55335">
        <w:fldChar w:fldCharType="begin">
          <w:fldData xml:space="preserve">PEVuZE5vdGU+PENpdGU+PEF1dGhvcj5IamVybjwvQXV0aG9yPjxZZWFyPjIwMjA8L1llYXI+PFJl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</w:fldData>
        </w:fldChar>
      </w:r>
      <w:r w:rsidR="00512078">
        <w:instrText xml:space="preserve"> ADDIN EN.CITE </w:instrText>
      </w:r>
      <w:r w:rsidR="00512078">
        <w:fldChar w:fldCharType="begin">
          <w:fldData xml:space="preserve">PEVuZE5vdGU+PENpdGU+PEF1dGhvcj5IamVybjwvQXV0aG9yPjxZZWFyPjIwMjA8L1llYXI+PFJl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</w:fldData>
        </w:fldChar>
      </w:r>
      <w:r w:rsidR="00512078">
        <w:instrText xml:space="preserve"> ADDIN EN.CITE.DATA </w:instrText>
      </w:r>
      <w:r w:rsidR="00512078">
        <w:fldChar w:fldCharType="end"/>
      </w:r>
      <w:r w:rsidRPr="00A55335">
        <w:fldChar w:fldCharType="separate"/>
      </w:r>
      <w:r w:rsidR="00512078">
        <w:rPr>
          <w:noProof/>
        </w:rPr>
        <w:t>(</w:t>
      </w:r>
      <w:hyperlink w:anchor="_ENREF_229" w:tooltip="V. Sung, 2018 #659" w:history="1">
        <w:r w:rsidR="00EC2769">
          <w:rPr>
            <w:noProof/>
          </w:rPr>
          <w:t>229</w:t>
        </w:r>
      </w:hyperlink>
      <w:r w:rsidR="00512078">
        <w:rPr>
          <w:noProof/>
        </w:rPr>
        <w:t xml:space="preserve">, </w:t>
      </w:r>
      <w:hyperlink w:anchor="_ENREF_230" w:tooltip="Hjern, 2020 #660" w:history="1">
        <w:r w:rsidR="00EC2769">
          <w:rPr>
            <w:noProof/>
          </w:rPr>
          <w:t>230</w:t>
        </w:r>
      </w:hyperlink>
      <w:r w:rsidR="00512078">
        <w:rPr>
          <w:noProof/>
        </w:rPr>
        <w:t>)</w:t>
      </w:r>
      <w:r w:rsidRPr="00A55335">
        <w:fldChar w:fldCharType="end"/>
      </w:r>
      <w:r w:rsidRPr="00A55335">
        <w:t xml:space="preserve">. Although many cases are self-resolving in the first six months of life, the burden of infantile colic is significant. It is strongly associated with post-natal depression, early breastfeeding cessation, family dysfunction, and development delay </w:t>
      </w:r>
      <w:r w:rsidRPr="00A55335">
        <w:fldChar w:fldCharType="begin">
          <w:fldData xml:space="preserve">PEVuZE5vdGU+PENpdGU+PEF1dGhvcj5IamVybjwvQXV0aG9yPjxZZWFyPjIwMjA8L1llYXI+PFJl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</w:fldData>
        </w:fldChar>
      </w:r>
      <w:r w:rsidR="00D70FB5">
        <w:instrText xml:space="preserve"> ADDIN EN.CITE </w:instrText>
      </w:r>
      <w:r w:rsidR="00D70FB5">
        <w:fldChar w:fldCharType="begin">
          <w:fldData xml:space="preserve">PEVuZE5vdGU+PENpdGU+PEF1dGhvcj5IamVybjwvQXV0aG9yPjxZZWFyPjIwMjA8L1llYXI+PFJl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</w:fldData>
        </w:fldChar>
      </w:r>
      <w:r w:rsidR="00D70FB5">
        <w:instrText xml:space="preserve"> ADDIN EN.CITE.DATA </w:instrText>
      </w:r>
      <w:r w:rsidR="00D70FB5">
        <w:fldChar w:fldCharType="end"/>
      </w:r>
      <w:r w:rsidRPr="00A55335">
        <w:fldChar w:fldCharType="separate"/>
      </w:r>
      <w:r w:rsidR="00D70FB5">
        <w:rPr>
          <w:noProof/>
        </w:rPr>
        <w:t>(</w:t>
      </w:r>
      <w:hyperlink w:anchor="_ENREF_229" w:tooltip="V. Sung, 2018 #659" w:history="1">
        <w:r w:rsidR="00EC2769">
          <w:rPr>
            <w:noProof/>
          </w:rPr>
          <w:t>229</w:t>
        </w:r>
      </w:hyperlink>
      <w:r w:rsidR="00D70FB5">
        <w:rPr>
          <w:noProof/>
        </w:rPr>
        <w:t xml:space="preserve">, </w:t>
      </w:r>
      <w:hyperlink w:anchor="_ENREF_230" w:tooltip="Hjern, 2020 #660" w:history="1">
        <w:r w:rsidR="00EC2769">
          <w:rPr>
            <w:noProof/>
          </w:rPr>
          <w:t>230</w:t>
        </w:r>
      </w:hyperlink>
      <w:r w:rsidR="00D70FB5">
        <w:rPr>
          <w:noProof/>
        </w:rPr>
        <w:t>)</w:t>
      </w:r>
      <w:r w:rsidRPr="00A55335">
        <w:fldChar w:fldCharType="end"/>
      </w:r>
      <w:r w:rsidRPr="00A55335">
        <w:t xml:space="preserve">. </w:t>
      </w:r>
    </w:p>
    <w:p w14:paraId="114FDA1E" w14:textId="79BC7A31" w:rsidR="00A74E91" w:rsidRPr="00A55335" w:rsidRDefault="00A74E91" w:rsidP="00A74E91">
      <w:pPr>
        <w:pStyle w:val="BodyText"/>
      </w:pPr>
      <w:r w:rsidRPr="00A55335">
        <w:t xml:space="preserve">In the absence of a single cause for infantile colic, management of infantile colic is often guided by exclusion of possible causes (e.g. milk allergy, lactose intolerance, </w:t>
      </w:r>
      <w:r w:rsidR="006D4880" w:rsidRPr="00A55335">
        <w:t>gastroesophageal reflux disease</w:t>
      </w:r>
      <w:r w:rsidRPr="00A55335">
        <w:t xml:space="preserve"> </w:t>
      </w:r>
      <w:r w:rsidR="006D4880" w:rsidRPr="00A55335">
        <w:t>(</w:t>
      </w:r>
      <w:r w:rsidRPr="00A55335">
        <w:t xml:space="preserve">GERD) </w:t>
      </w:r>
      <w:r w:rsidRPr="00A55335">
        <w:fldChar w:fldCharType="begin"/>
      </w:r>
      <w:r w:rsidR="009E4842">
        <w:instrText xml:space="preserve"> ADDIN EN.CITE &lt;EndNote&gt;&lt;Cite&gt;&lt;Author&gt;V. Sung&lt;/Author&gt;&lt;Year&gt;2018&lt;/Year&gt;&lt;RecNum&gt;659&lt;/RecNum&gt;&lt;DisplayText&gt;(229)&lt;/DisplayText&gt;&lt;record&gt;&lt;rec-number&gt;659&lt;/rec-number&gt;&lt;foreign-keys&gt;&lt;key app="EN" db-id="t5prptatr9sp0we5exbxt9zz20fwp55tdza9" timestamp="1701381033"&gt;659&lt;/key&gt;&lt;/foreign-keys&gt;&lt;ref-type name="Journal Article"&gt;17&lt;/ref-type&gt;&lt;contributors&gt;&lt;authors&gt;&lt;author&gt;V. Sung,&lt;/author&gt;&lt;/authors&gt;&lt;/contributors&gt;&lt;titles&gt;&lt;title&gt;Infantile colic&lt;/title&gt;&lt;secondary-title&gt;Aust Prescr&lt;/secondary-title&gt;&lt;/titles&gt;&lt;periodical&gt;&lt;full-title&gt;Aust Prescr&lt;/full-title&gt;&lt;/periodical&gt;&lt;pages&gt;105-10&lt;/pages&gt;&lt;volume&gt;41&lt;/volume&gt;&lt;dates&gt;&lt;year&gt;2018&lt;/year&gt;&lt;/dates&gt;&lt;urls&gt;&lt;related-urls&gt;&lt;url&gt;https://australianprescriber.tg.org.au/articles/infantile-colic.html#authors&lt;/url&gt;&lt;/related-urls&gt;&lt;/urls&gt;&lt;/record&gt;&lt;/Cite&gt;&lt;/EndNote&gt;</w:instrText>
      </w:r>
      <w:r w:rsidRPr="00A55335">
        <w:fldChar w:fldCharType="separate"/>
      </w:r>
      <w:r w:rsidR="009E4842">
        <w:rPr>
          <w:noProof/>
        </w:rPr>
        <w:t>(</w:t>
      </w:r>
      <w:hyperlink w:anchor="_ENREF_229" w:tooltip="V. Sung, 2018 #659" w:history="1">
        <w:r w:rsidR="00EC2769">
          <w:rPr>
            <w:noProof/>
          </w:rPr>
          <w:t>229</w:t>
        </w:r>
      </w:hyperlink>
      <w:r w:rsidR="009E4842">
        <w:rPr>
          <w:noProof/>
        </w:rPr>
        <w:t>)</w:t>
      </w:r>
      <w:r w:rsidRPr="00A55335">
        <w:fldChar w:fldCharType="end"/>
      </w:r>
      <w:r w:rsidRPr="00A55335">
        <w:t xml:space="preserve">; with the effectiveness of pharmaceutical and non-pharmaceutical treatment options, such as probiotics and hydrolysed formula, somewhat limited </w:t>
      </w:r>
      <w:r w:rsidRPr="00A55335">
        <w:fldChar w:fldCharType="begin">
          <w:fldData xml:space="preserve">PEVuZE5vdGU+PENpdGU+PEF1dGhvcj5IamVybjwvQXV0aG9yPjxZZWFyPjIwMjA8L1llYXI+PFJl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</w:fldData>
        </w:fldChar>
      </w:r>
      <w:r w:rsidR="00FD3B07">
        <w:instrText xml:space="preserve"> ADDIN EN.CITE </w:instrText>
      </w:r>
      <w:r w:rsidR="00FD3B07">
        <w:fldChar w:fldCharType="begin">
          <w:fldData xml:space="preserve">PEVuZE5vdGU+PENpdGU+PEF1dGhvcj5IamVybjwvQXV0aG9yPjxZZWFyPjIwMjA8L1llYXI+PFJl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</w:fldData>
        </w:fldChar>
      </w:r>
      <w:r w:rsidR="00FD3B07">
        <w:instrText xml:space="preserve"> ADDIN EN.CITE.DATA </w:instrText>
      </w:r>
      <w:r w:rsidR="00FD3B07">
        <w:fldChar w:fldCharType="end"/>
      </w:r>
      <w:r w:rsidRPr="00A55335">
        <w:fldChar w:fldCharType="separate"/>
      </w:r>
      <w:r w:rsidR="00FD3B07">
        <w:rPr>
          <w:noProof/>
        </w:rPr>
        <w:t>(</w:t>
      </w:r>
      <w:hyperlink w:anchor="_ENREF_229" w:tooltip="V. Sung, 2018 #659" w:history="1">
        <w:r w:rsidR="00EC2769">
          <w:rPr>
            <w:noProof/>
          </w:rPr>
          <w:t>229</w:t>
        </w:r>
      </w:hyperlink>
      <w:r w:rsidR="00FD3B07">
        <w:rPr>
          <w:noProof/>
        </w:rPr>
        <w:t xml:space="preserve">, </w:t>
      </w:r>
      <w:hyperlink w:anchor="_ENREF_230" w:tooltip="Hjern, 2020 #660" w:history="1">
        <w:r w:rsidR="00EC2769">
          <w:rPr>
            <w:noProof/>
          </w:rPr>
          <w:t>230</w:t>
        </w:r>
      </w:hyperlink>
      <w:r w:rsidR="00FD3B07">
        <w:rPr>
          <w:noProof/>
        </w:rPr>
        <w:t>)</w:t>
      </w:r>
      <w:r w:rsidRPr="00A55335">
        <w:fldChar w:fldCharType="end"/>
      </w:r>
      <w:r w:rsidRPr="00A55335">
        <w:t xml:space="preserve">. Complementary therapies, such as homeopathy, acupuncture and herbal medicines, are therefore commonly sought to alleviate symptoms </w:t>
      </w:r>
      <w:r w:rsidRPr="00A55335">
        <w:fldChar w:fldCharType="begin"/>
      </w:r>
      <w:r w:rsidR="004D184D">
        <w:instrText xml:space="preserve"> ADDIN EN.CITE &lt;EndNote&gt;&lt;Cite&gt;&lt;Author&gt;V. Sung&lt;/Author&gt;&lt;Year&gt;2018&lt;/Year&gt;&lt;RecNum&gt;659&lt;/RecNum&gt;&lt;DisplayText&gt;(229)&lt;/DisplayText&gt;&lt;record&gt;&lt;rec-number&gt;659&lt;/rec-number&gt;&lt;foreign-keys&gt;&lt;key app="EN" db-id="t5prptatr9sp0we5exbxt9zz20fwp55tdza9" timestamp="1701381033"&gt;659&lt;/key&gt;&lt;/foreign-keys&gt;&lt;ref-type name="Journal Article"&gt;17&lt;/ref-type&gt;&lt;contributors&gt;&lt;authors&gt;&lt;author&gt;V. Sung,&lt;/author&gt;&lt;/authors&gt;&lt;/contributors&gt;&lt;titles&gt;&lt;title&gt;Infantile colic&lt;/title&gt;&lt;secondary-title&gt;Aust Prescr&lt;/secondary-title&gt;&lt;/titles&gt;&lt;periodical&gt;&lt;full-title&gt;Aust Prescr&lt;/full-title&gt;&lt;/periodical&gt;&lt;pages&gt;105-10&lt;/pages&gt;&lt;volume&gt;41&lt;/volume&gt;&lt;dates&gt;&lt;year&gt;2018&lt;/year&gt;&lt;/dates&gt;&lt;urls&gt;&lt;related-urls&gt;&lt;url&gt;https://australianprescriber.tg.org.au/articles/infantile-colic.html#authors&lt;/url&gt;&lt;/related-urls&gt;&lt;/urls&gt;&lt;/record&gt;&lt;/Cite&gt;&lt;/EndNote&gt;</w:instrText>
      </w:r>
      <w:r w:rsidRPr="00A55335">
        <w:fldChar w:fldCharType="separate"/>
      </w:r>
      <w:r w:rsidR="004D184D">
        <w:rPr>
          <w:noProof/>
        </w:rPr>
        <w:t>(</w:t>
      </w:r>
      <w:hyperlink w:anchor="_ENREF_229" w:tooltip="V. Sung, 2018 #659" w:history="1">
        <w:r w:rsidR="00EC2769">
          <w:rPr>
            <w:noProof/>
          </w:rPr>
          <w:t>229</w:t>
        </w:r>
      </w:hyperlink>
      <w:r w:rsidR="004D184D">
        <w:rPr>
          <w:noProof/>
        </w:rPr>
        <w:t>)</w:t>
      </w:r>
      <w:r w:rsidRPr="00A55335">
        <w:fldChar w:fldCharType="end"/>
      </w:r>
      <w:r w:rsidRPr="00A55335">
        <w:t>.</w:t>
      </w:r>
    </w:p>
    <w:p w14:paraId="77883D6D" w14:textId="77777777" w:rsidR="00D1561B" w:rsidRPr="00B973C0" w:rsidRDefault="00D1561B" w:rsidP="00B973C0">
      <w:pPr>
        <w:pStyle w:val="Heading4"/>
      </w:pPr>
      <w:r w:rsidRPr="00B973C0">
        <w:t>Gastroesophageal reflux disease (GERD)</w:t>
      </w:r>
    </w:p>
    <w:p w14:paraId="5F5CFD22" w14:textId="5E5DD41B" w:rsidR="00D1561B" w:rsidRPr="00A55335" w:rsidRDefault="00D1561B" w:rsidP="00D1561B">
      <w:pPr>
        <w:pStyle w:val="BodyText"/>
      </w:pPr>
      <w:r w:rsidRPr="00A55335">
        <w:t>Gastroesophageal reflux disease (GERD) is a condition where the acidic contents of the stomach is regurgitated into the oesophagus</w:t>
      </w:r>
      <w:r w:rsidR="001B4743" w:rsidRPr="00A55335">
        <w:t xml:space="preserve">, </w:t>
      </w:r>
      <w:r w:rsidR="00080723" w:rsidRPr="00A55335">
        <w:t xml:space="preserve">caused by </w:t>
      </w:r>
      <w:r w:rsidR="001B4743" w:rsidRPr="00A55335">
        <w:t>a weakened or malfunction</w:t>
      </w:r>
      <w:r w:rsidR="00080723" w:rsidRPr="00A55335">
        <w:t>ing</w:t>
      </w:r>
      <w:r w:rsidR="001B4743" w:rsidRPr="00A55335">
        <w:t xml:space="preserve"> valve between the stomach and </w:t>
      </w:r>
      <w:r w:rsidR="00080723" w:rsidRPr="00A55335">
        <w:t xml:space="preserve">oesophagus </w:t>
      </w:r>
      <w:r w:rsidRPr="00A55335">
        <w:t xml:space="preserve"> </w:t>
      </w:r>
      <w:r w:rsidRPr="00A55335">
        <w:fldChar w:fldCharType="begin"/>
      </w:r>
      <w:r w:rsidR="00AF0899">
        <w:instrText xml:space="preserve"> ADDIN EN.CITE &lt;EndNote&gt;&lt;Cite&gt;&lt;Author&gt;C. Keung&lt;/Author&gt;&lt;Year&gt;2016&lt;/Year&gt;&lt;RecNum&gt;655&lt;/RecNum&gt;&lt;DisplayText&gt;(231)&lt;/DisplayText&gt;&lt;record&gt;&lt;rec-number&gt;655&lt;/rec-number&gt;&lt;foreign-keys&gt;&lt;key app="EN" db-id="t5prptatr9sp0we5exbxt9zz20fwp55tdza9" timestamp="1701381033"&gt;655&lt;/key&gt;&lt;/foreign-keys&gt;&lt;ref-type name="Journal Article"&gt;17&lt;/ref-type&gt;&lt;contributors&gt;&lt;authors&gt;&lt;author&gt;C. Keung, G. Hebbard&lt;/author&gt;&lt;/authors&gt;&lt;/contributors&gt;&lt;titles&gt;&lt;title&gt;The management of gastro-esophageal reflux disease&lt;/title&gt;&lt;/titles&gt;&lt;pages&gt;36-9&lt;/pages&gt;&lt;volume&gt;39&lt;/volume&gt;&lt;dates&gt;&lt;year&gt;2016&lt;/year&gt;&lt;/dates&gt;&lt;urls&gt;&lt;related-urls&gt;&lt;url&gt;https://australianprescriber.tg.org.au/articles/the-management-of-gastro-oesophageal-reflux-disease.html&lt;/url&gt;&lt;/related-urls&gt;&lt;/urls&gt;&lt;/record&gt;&lt;/Cite&gt;&lt;/EndNote&gt;</w:instrText>
      </w:r>
      <w:r w:rsidRPr="00A55335">
        <w:fldChar w:fldCharType="separate"/>
      </w:r>
      <w:r w:rsidR="00AF0899">
        <w:rPr>
          <w:noProof/>
        </w:rPr>
        <w:t>(</w:t>
      </w:r>
      <w:hyperlink w:anchor="_ENREF_231" w:tooltip="C. Keung, 2016 #655" w:history="1">
        <w:r w:rsidR="00EC2769">
          <w:rPr>
            <w:noProof/>
          </w:rPr>
          <w:t>231</w:t>
        </w:r>
      </w:hyperlink>
      <w:r w:rsidR="00AF0899">
        <w:rPr>
          <w:noProof/>
        </w:rPr>
        <w:t>)</w:t>
      </w:r>
      <w:r w:rsidRPr="00A55335">
        <w:fldChar w:fldCharType="end"/>
      </w:r>
      <w:r w:rsidRPr="00A55335">
        <w:t xml:space="preserve">. Symptoms of GERD include recurrent vomiting, dysphagia, weight loss, and gastrointestinal blood loss leading to iron deficiency or anaemia </w:t>
      </w:r>
      <w:r w:rsidRPr="00A55335">
        <w:fldChar w:fldCharType="begin"/>
      </w:r>
      <w:r w:rsidR="00263300">
        <w:instrText xml:space="preserve"> ADDIN EN.CITE &lt;EndNote&gt;&lt;Cite&gt;&lt;Author&gt;C. Keung&lt;/Author&gt;&lt;Year&gt;2016&lt;/Year&gt;&lt;RecNum&gt;655&lt;/RecNum&gt;&lt;DisplayText&gt;(231)&lt;/DisplayText&gt;&lt;record&gt;&lt;rec-number&gt;655&lt;/rec-number&gt;&lt;foreign-keys&gt;&lt;key app="EN" db-id="t5prptatr9sp0we5exbxt9zz20fwp55tdza9" timestamp="1701381033"&gt;655&lt;/key&gt;&lt;/foreign-keys&gt;&lt;ref-type name="Journal Article"&gt;17&lt;/ref-type&gt;&lt;contributors&gt;&lt;authors&gt;&lt;author&gt;C. Keung, G. Hebbard&lt;/author&gt;&lt;/authors&gt;&lt;/contributors&gt;&lt;titles&gt;&lt;title&gt;The management of gastro-esophageal reflux disease&lt;/title&gt;&lt;/titles&gt;&lt;pages&gt;36-9&lt;/pages&gt;&lt;volume&gt;39&lt;/volume&gt;&lt;dates&gt;&lt;year&gt;2016&lt;/year&gt;&lt;/dates&gt;&lt;urls&gt;&lt;related-urls&gt;&lt;url&gt;https://australianprescriber.tg.org.au/articles/the-management-of-gastro-oesophageal-reflux-disease.html&lt;/url&gt;&lt;/related-urls&gt;&lt;/urls&gt;&lt;/record&gt;&lt;/Cite&gt;&lt;/EndNote&gt;</w:instrText>
      </w:r>
      <w:r w:rsidRPr="00A55335">
        <w:fldChar w:fldCharType="separate"/>
      </w:r>
      <w:r w:rsidR="00263300">
        <w:rPr>
          <w:noProof/>
        </w:rPr>
        <w:t>(</w:t>
      </w:r>
      <w:hyperlink w:anchor="_ENREF_231" w:tooltip="C. Keung, 2016 #655" w:history="1">
        <w:r w:rsidR="00EC2769">
          <w:rPr>
            <w:noProof/>
          </w:rPr>
          <w:t>231</w:t>
        </w:r>
      </w:hyperlink>
      <w:r w:rsidR="00263300">
        <w:rPr>
          <w:noProof/>
        </w:rPr>
        <w:t>)</w:t>
      </w:r>
      <w:r w:rsidRPr="00A55335">
        <w:fldChar w:fldCharType="end"/>
      </w:r>
      <w:r w:rsidRPr="00A55335">
        <w:t xml:space="preserve">. In Australia, GERD affects between 10 and 15% of the population and is expected to increase over the coming years </w:t>
      </w:r>
      <w:r w:rsidRPr="00A55335">
        <w:fldChar w:fldCharType="begin"/>
      </w:r>
      <w:r w:rsidR="0054332F">
        <w:instrText xml:space="preserve"> ADDIN EN.CITE &lt;EndNote&gt;&lt;Cite&gt;&lt;Author&gt;C. Keung&lt;/Author&gt;&lt;Year&gt;2016&lt;/Year&gt;&lt;RecNum&gt;655&lt;/RecNum&gt;&lt;DisplayText&gt;(231)&lt;/DisplayText&gt;&lt;record&gt;&lt;rec-number&gt;655&lt;/rec-number&gt;&lt;foreign-keys&gt;&lt;key app="EN" db-id="t5prptatr9sp0we5exbxt9zz20fwp55tdza9" timestamp="1701381033"&gt;655&lt;/key&gt;&lt;/foreign-keys&gt;&lt;ref-type name="Journal Article"&gt;17&lt;/ref-type&gt;&lt;contributors&gt;&lt;authors&gt;&lt;author&gt;C. Keung, G. Hebbard&lt;/author&gt;&lt;/authors&gt;&lt;/contributors&gt;&lt;titles&gt;&lt;title&gt;The management of gastro-esophageal reflux disease&lt;/title&gt;&lt;/titles&gt;&lt;pages&gt;36-9&lt;/pages&gt;&lt;volume&gt;39&lt;/volume&gt;&lt;dates&gt;&lt;year&gt;2016&lt;/year&gt;&lt;/dates&gt;&lt;urls&gt;&lt;related-urls&gt;&lt;url&gt;https://australianprescriber.tg.org.au/articles/the-management-of-gastro-oesophageal-reflux-disease.html&lt;/url&gt;&lt;/related-urls&gt;&lt;/urls&gt;&lt;/record&gt;&lt;/Cite&gt;&lt;/EndNote&gt;</w:instrText>
      </w:r>
      <w:r w:rsidRPr="00A55335">
        <w:fldChar w:fldCharType="separate"/>
      </w:r>
      <w:r w:rsidR="0054332F">
        <w:rPr>
          <w:noProof/>
        </w:rPr>
        <w:t>(</w:t>
      </w:r>
      <w:hyperlink w:anchor="_ENREF_231" w:tooltip="C. Keung, 2016 #655" w:history="1">
        <w:r w:rsidR="00EC2769">
          <w:rPr>
            <w:noProof/>
          </w:rPr>
          <w:t>231</w:t>
        </w:r>
      </w:hyperlink>
      <w:r w:rsidR="0054332F">
        <w:rPr>
          <w:noProof/>
        </w:rPr>
        <w:t>)</w:t>
      </w:r>
      <w:r w:rsidRPr="00A55335">
        <w:fldChar w:fldCharType="end"/>
      </w:r>
      <w:r w:rsidRPr="00A55335">
        <w:t xml:space="preserve">. </w:t>
      </w:r>
    </w:p>
    <w:p w14:paraId="40A96600" w14:textId="18834C1B" w:rsidR="00D1561B" w:rsidRPr="00A55335" w:rsidRDefault="00D1561B" w:rsidP="00D1561B">
      <w:pPr>
        <w:pStyle w:val="BodyText"/>
      </w:pPr>
      <w:r w:rsidRPr="00A55335">
        <w:t xml:space="preserve">Management of GERD involves both modifying lifestyle factors and medicines to suppress acute symptoms, including over-the-counter antacids </w:t>
      </w:r>
      <w:r w:rsidRPr="00A55335">
        <w:fldChar w:fldCharType="begin"/>
      </w:r>
      <w:r w:rsidR="00670B61">
        <w:instrText xml:space="preserve"> ADDIN EN.CITE &lt;EndNote&gt;&lt;Cite&gt;&lt;Author&gt;C. Keung&lt;/Author&gt;&lt;Year&gt;2016&lt;/Year&gt;&lt;RecNum&gt;655&lt;/RecNum&gt;&lt;DisplayText&gt;(231)&lt;/DisplayText&gt;&lt;record&gt;&lt;rec-number&gt;655&lt;/rec-number&gt;&lt;foreign-keys&gt;&lt;key app="EN" db-id="t5prptatr9sp0we5exbxt9zz20fwp55tdza9" timestamp="1701381033"&gt;655&lt;/key&gt;&lt;/foreign-keys&gt;&lt;ref-type name="Journal Article"&gt;17&lt;/ref-type&gt;&lt;contributors&gt;&lt;authors&gt;&lt;author&gt;C. Keung, G. Hebbard&lt;/author&gt;&lt;/authors&gt;&lt;/contributors&gt;&lt;titles&gt;&lt;title&gt;The management of gastro-esophageal reflux disease&lt;/title&gt;&lt;/titles&gt;&lt;pages&gt;36-9&lt;/pages&gt;&lt;volume&gt;39&lt;/volume&gt;&lt;dates&gt;&lt;year&gt;2016&lt;/year&gt;&lt;/dates&gt;&lt;urls&gt;&lt;related-urls&gt;&lt;url&gt;https://australianprescriber.tg.org.au/articles/the-management-of-gastro-oesophageal-reflux-disease.html&lt;/url&gt;&lt;/related-urls&gt;&lt;/urls&gt;&lt;/record&gt;&lt;/Cite&gt;&lt;/EndNote&gt;</w:instrText>
      </w:r>
      <w:r w:rsidRPr="00A55335">
        <w:fldChar w:fldCharType="separate"/>
      </w:r>
      <w:r w:rsidR="00670B61">
        <w:rPr>
          <w:noProof/>
        </w:rPr>
        <w:t>(</w:t>
      </w:r>
      <w:hyperlink w:anchor="_ENREF_231" w:tooltip="C. Keung, 2016 #655" w:history="1">
        <w:r w:rsidR="00EC2769">
          <w:rPr>
            <w:noProof/>
          </w:rPr>
          <w:t>231</w:t>
        </w:r>
      </w:hyperlink>
      <w:r w:rsidR="00670B61">
        <w:rPr>
          <w:noProof/>
        </w:rPr>
        <w:t>)</w:t>
      </w:r>
      <w:r w:rsidRPr="00A55335">
        <w:fldChar w:fldCharType="end"/>
      </w:r>
      <w:r w:rsidRPr="00A55335">
        <w:t xml:space="preserve">. However, between 20% to 30% of people living with GERD experience persistent symptoms </w:t>
      </w:r>
      <w:r w:rsidRPr="00A55335">
        <w:fldChar w:fldCharType="begin"/>
      </w:r>
      <w:r w:rsidR="00260D7E">
        <w:instrText xml:space="preserve"> ADDIN EN.CITE &lt;EndNote&gt;&lt;Cite&gt;&lt;Author&gt;C. Keung&lt;/Author&gt;&lt;Year&gt;2016&lt;/Year&gt;&lt;RecNum&gt;655&lt;/RecNum&gt;&lt;DisplayText&gt;(231)&lt;/DisplayText&gt;&lt;record&gt;&lt;rec-number&gt;655&lt;/rec-number&gt;&lt;foreign-keys&gt;&lt;key app="EN" db-id="t5prptatr9sp0we5exbxt9zz20fwp55tdza9" timestamp="1701381033"&gt;655&lt;/key&gt;&lt;/foreign-keys&gt;&lt;ref-type name="Journal Article"&gt;17&lt;/ref-type&gt;&lt;contributors&gt;&lt;authors&gt;&lt;author&gt;C. Keung, G. Hebbard&lt;/author&gt;&lt;/authors&gt;&lt;/contributors&gt;&lt;titles&gt;&lt;title&gt;The management of gastro-esophageal reflux disease&lt;/title&gt;&lt;/titles&gt;&lt;pages&gt;36-9&lt;/pages&gt;&lt;volume&gt;39&lt;/volume&gt;&lt;dates&gt;&lt;year&gt;2016&lt;/year&gt;&lt;/dates&gt;&lt;urls&gt;&lt;related-urls&gt;&lt;url&gt;https://australianprescriber.tg.org.au/articles/the-management-of-gastro-oesophageal-reflux-disease.html&lt;/url&gt;&lt;/related-urls&gt;&lt;/urls&gt;&lt;/record&gt;&lt;/Cite&gt;&lt;/EndNote&gt;</w:instrText>
      </w:r>
      <w:r w:rsidRPr="00A55335">
        <w:fldChar w:fldCharType="separate"/>
      </w:r>
      <w:r w:rsidR="00260D7E">
        <w:rPr>
          <w:noProof/>
        </w:rPr>
        <w:t>(</w:t>
      </w:r>
      <w:hyperlink w:anchor="_ENREF_231" w:tooltip="C. Keung, 2016 #655" w:history="1">
        <w:r w:rsidR="00EC2769">
          <w:rPr>
            <w:noProof/>
          </w:rPr>
          <w:t>231</w:t>
        </w:r>
      </w:hyperlink>
      <w:r w:rsidR="00260D7E">
        <w:rPr>
          <w:noProof/>
        </w:rPr>
        <w:t>)</w:t>
      </w:r>
      <w:r w:rsidRPr="00A55335">
        <w:fldChar w:fldCharType="end"/>
      </w:r>
      <w:r w:rsidRPr="00A55335">
        <w:t xml:space="preserve">. In this instance, clinical guidance </w:t>
      </w:r>
      <w:r w:rsidR="001F2460" w:rsidRPr="00A55335">
        <w:t>suggest</w:t>
      </w:r>
      <w:r w:rsidR="007968AD">
        <w:t>s</w:t>
      </w:r>
      <w:r w:rsidRPr="00A55335">
        <w:t xml:space="preserve"> further medical and surgical management </w:t>
      </w:r>
      <w:r w:rsidR="001F2460" w:rsidRPr="00A55335">
        <w:t>to review the diagnosis</w:t>
      </w:r>
      <w:r w:rsidR="008606FA" w:rsidRPr="00A55335">
        <w:t xml:space="preserve"> </w:t>
      </w:r>
      <w:r w:rsidRPr="00A55335">
        <w:fldChar w:fldCharType="begin"/>
      </w:r>
      <w:r w:rsidR="003975DA">
        <w:instrText xml:space="preserve"> ADDIN EN.CITE &lt;EndNote&gt;&lt;Cite&gt;&lt;Author&gt;C. Keung&lt;/Author&gt;&lt;Year&gt;2016&lt;/Year&gt;&lt;RecNum&gt;655&lt;/RecNum&gt;&lt;DisplayText&gt;(231)&lt;/DisplayText&gt;&lt;record&gt;&lt;rec-number&gt;655&lt;/rec-number&gt;&lt;foreign-keys&gt;&lt;key app="EN" db-id="t5prptatr9sp0we5exbxt9zz20fwp55tdza9" timestamp="1701381033"&gt;655&lt;/key&gt;&lt;/foreign-keys&gt;&lt;ref-type name="Journal Article"&gt;17&lt;/ref-type&gt;&lt;contributors&gt;&lt;authors&gt;&lt;author&gt;C. Keung, G. Hebbard&lt;/author&gt;&lt;/authors&gt;&lt;/contributors&gt;&lt;titles&gt;&lt;title&gt;The management of gastro-esophageal reflux disease&lt;/title&gt;&lt;/titles&gt;&lt;pages&gt;36-9&lt;/pages&gt;&lt;volume&gt;39&lt;/volume&gt;&lt;dates&gt;&lt;year&gt;2016&lt;/year&gt;&lt;/dates&gt;&lt;urls&gt;&lt;related-urls&gt;&lt;url&gt;https://australianprescriber.tg.org.au/articles/the-management-of-gastro-oesophageal-reflux-disease.html&lt;/url&gt;&lt;/related-urls&gt;&lt;/urls&gt;&lt;/record&gt;&lt;/Cite&gt;&lt;/EndNote&gt;</w:instrText>
      </w:r>
      <w:r w:rsidRPr="00A55335">
        <w:fldChar w:fldCharType="separate"/>
      </w:r>
      <w:r w:rsidR="003975DA">
        <w:rPr>
          <w:noProof/>
        </w:rPr>
        <w:t>(</w:t>
      </w:r>
      <w:hyperlink w:anchor="_ENREF_231" w:tooltip="C. Keung, 2016 #655" w:history="1">
        <w:r w:rsidR="00EC2769">
          <w:rPr>
            <w:noProof/>
          </w:rPr>
          <w:t>231</w:t>
        </w:r>
      </w:hyperlink>
      <w:r w:rsidR="003975DA">
        <w:rPr>
          <w:noProof/>
        </w:rPr>
        <w:t>)</w:t>
      </w:r>
      <w:r w:rsidRPr="00A55335">
        <w:fldChar w:fldCharType="end"/>
      </w:r>
      <w:r w:rsidRPr="00A55335">
        <w:t xml:space="preserve">. </w:t>
      </w:r>
      <w:r w:rsidR="00B47E62" w:rsidRPr="00A55335">
        <w:t>Some c</w:t>
      </w:r>
      <w:r w:rsidRPr="00A55335">
        <w:t>omplementary</w:t>
      </w:r>
      <w:r w:rsidR="00604A7E" w:rsidRPr="00A55335">
        <w:t xml:space="preserve"> or alternative</w:t>
      </w:r>
      <w:r w:rsidRPr="00A55335">
        <w:t xml:space="preserve"> therapies </w:t>
      </w:r>
      <w:r w:rsidR="001F2460" w:rsidRPr="00A55335">
        <w:t xml:space="preserve">such as </w:t>
      </w:r>
      <w:r w:rsidR="00604A7E" w:rsidRPr="00A55335">
        <w:t>homeopathy</w:t>
      </w:r>
      <w:r w:rsidR="00D00104" w:rsidRPr="00A55335">
        <w:t>, acupuncture</w:t>
      </w:r>
      <w:r w:rsidR="00604A7E" w:rsidRPr="00A55335">
        <w:t xml:space="preserve"> </w:t>
      </w:r>
      <w:r w:rsidR="00D00104" w:rsidRPr="00A55335">
        <w:t>and</w:t>
      </w:r>
      <w:r w:rsidR="00604A7E" w:rsidRPr="00A55335">
        <w:t xml:space="preserve"> W</w:t>
      </w:r>
      <w:r w:rsidR="0081621D" w:rsidRPr="00A55335">
        <w:t xml:space="preserve">estern herbal medicines </w:t>
      </w:r>
      <w:r w:rsidR="00B47E62" w:rsidRPr="00A55335">
        <w:t>(</w:t>
      </w:r>
      <w:r w:rsidR="0055353F" w:rsidRPr="00A55335">
        <w:t>e.g.</w:t>
      </w:r>
      <w:r w:rsidR="00B47E62" w:rsidRPr="00A55335">
        <w:t xml:space="preserve"> ginger, chamomile) </w:t>
      </w:r>
      <w:r w:rsidRPr="00A55335">
        <w:t xml:space="preserve">may also be considered </w:t>
      </w:r>
      <w:r w:rsidR="00604A7E" w:rsidRPr="00A55335">
        <w:t>for</w:t>
      </w:r>
      <w:r w:rsidRPr="00A55335">
        <w:t xml:space="preserve"> GERD symptoms </w:t>
      </w:r>
      <w:r w:rsidRPr="00A55335">
        <w:fldChar w:fldCharType="begin">
          <w:fldData xml:space="preserve">PEVuZE5vdGU+PENpdGU+PEF1dGhvcj5aaGFuZzwvQXV0aG9yPjxZZWFyPjIwMjA8L1llYXI+PFJl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</w:fldData>
        </w:fldChar>
      </w:r>
      <w:r w:rsidR="00E51A43">
        <w:instrText xml:space="preserve"> ADDIN EN.CITE </w:instrText>
      </w:r>
      <w:r w:rsidR="00E51A43">
        <w:fldChar w:fldCharType="begin">
          <w:fldData xml:space="preserve">PEVuZE5vdGU+PENpdGU+PEF1dGhvcj5aaGFuZzwvQXV0aG9yPjxZZWFyPjIwMjA8L1llYXI+PFJl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</w:fldData>
        </w:fldChar>
      </w:r>
      <w:r w:rsidR="00E51A43">
        <w:instrText xml:space="preserve"> ADDIN EN.CITE.DATA </w:instrText>
      </w:r>
      <w:r w:rsidR="00E51A43">
        <w:fldChar w:fldCharType="end"/>
      </w:r>
      <w:r w:rsidRPr="00A55335">
        <w:fldChar w:fldCharType="separate"/>
      </w:r>
      <w:r w:rsidR="00E51A43">
        <w:rPr>
          <w:noProof/>
        </w:rPr>
        <w:t>(</w:t>
      </w:r>
      <w:hyperlink w:anchor="_ENREF_232" w:tooltip="Zhang, 2020 #656" w:history="1">
        <w:r w:rsidR="00EC2769">
          <w:rPr>
            <w:noProof/>
          </w:rPr>
          <w:t>232</w:t>
        </w:r>
      </w:hyperlink>
      <w:r w:rsidR="00E51A43">
        <w:rPr>
          <w:noProof/>
        </w:rPr>
        <w:t>)</w:t>
      </w:r>
      <w:r w:rsidRPr="00A55335">
        <w:fldChar w:fldCharType="end"/>
      </w:r>
      <w:r w:rsidRPr="00A55335">
        <w:t>.</w:t>
      </w:r>
    </w:p>
    <w:p w14:paraId="3DBADAF4" w14:textId="35AEF018" w:rsidR="00D1561B" w:rsidRPr="00A55335" w:rsidRDefault="00920726" w:rsidP="00D1561B">
      <w:pPr>
        <w:pStyle w:val="Heading4"/>
      </w:pPr>
      <w:r w:rsidRPr="00A55335">
        <w:t>Functional d</w:t>
      </w:r>
      <w:r w:rsidR="00D1561B" w:rsidRPr="00A55335">
        <w:t>yspepsia</w:t>
      </w:r>
    </w:p>
    <w:p w14:paraId="446E8B05" w14:textId="000B5A8A" w:rsidR="00D1561B" w:rsidRPr="00A55335" w:rsidRDefault="00920726" w:rsidP="00D1561B">
      <w:pPr>
        <w:pStyle w:val="BodyText"/>
      </w:pPr>
      <w:r w:rsidRPr="00A55335">
        <w:t>Functional d</w:t>
      </w:r>
      <w:r w:rsidR="00D1561B" w:rsidRPr="00A55335">
        <w:t xml:space="preserve">yspepsia </w:t>
      </w:r>
      <w:r w:rsidR="00541AB2" w:rsidRPr="00A55335">
        <w:t xml:space="preserve">(or indigestion) </w:t>
      </w:r>
      <w:r w:rsidR="00D1561B" w:rsidRPr="00A55335">
        <w:t xml:space="preserve">is characterised by chronic upper-gastrointestinal symptoms, including early satiety, postprandial fullness, and epigastric pain and discomfort </w:t>
      </w:r>
      <w:r w:rsidR="00D1561B" w:rsidRPr="00A55335">
        <w:fldChar w:fldCharType="begin"/>
      </w:r>
      <w:r w:rsidR="00A31B16">
        <w:instrText xml:space="preserve"> ADDIN EN.CITE &lt;EndNote&gt;&lt;Cite&gt;&lt;Author&gt;N. Talley&lt;/Author&gt;&lt;Year&gt;2017&lt;/Year&gt;&lt;RecNum&gt;657&lt;/RecNum&gt;&lt;DisplayText&gt;(233)&lt;/DisplayText&gt;&lt;record&gt;&lt;rec-number&gt;657&lt;/rec-number&gt;&lt;foreign-keys&gt;&lt;key app="EN" db-id="t5prptatr9sp0we5exbxt9zz20fwp55tdza9" timestamp="1701381033"&gt;657&lt;/key&gt;&lt;/foreign-keys&gt;&lt;ref-type name="Journal Article"&gt;17&lt;/ref-type&gt;&lt;contributors&gt;&lt;authors&gt;&lt;author&gt;N. Talley, T. Godsall, M. Potter,&lt;/author&gt;&lt;/authors&gt;&lt;/contributors&gt;&lt;titles&gt;&lt;title&gt;Functional dyspepsia&lt;/title&gt;&lt;/titles&gt;&lt;pages&gt;209-13&lt;/pages&gt;&lt;volume&gt;40&lt;/volume&gt;&lt;dates&gt;&lt;year&gt;2017&lt;/year&gt;&lt;/dates&gt;&lt;urls&gt;&lt;related-urls&gt;&lt;url&gt;https://australianprescriber.tg.org.au/articles/functional-dyspepsia.html#authors&lt;/url&gt;&lt;/related-urls&gt;&lt;/urls&gt;&lt;/record&gt;&lt;/Cite&gt;&lt;/EndNote&gt;</w:instrText>
      </w:r>
      <w:r w:rsidR="00D1561B" w:rsidRPr="00A55335">
        <w:fldChar w:fldCharType="separate"/>
      </w:r>
      <w:r w:rsidR="00A31B16">
        <w:rPr>
          <w:noProof/>
        </w:rPr>
        <w:t>(</w:t>
      </w:r>
      <w:hyperlink w:anchor="_ENREF_233" w:tooltip="N. Talley, 2017 #657" w:history="1">
        <w:r w:rsidR="00EC2769">
          <w:rPr>
            <w:noProof/>
          </w:rPr>
          <w:t>233</w:t>
        </w:r>
      </w:hyperlink>
      <w:r w:rsidR="00A31B16">
        <w:rPr>
          <w:noProof/>
        </w:rPr>
        <w:t>)</w:t>
      </w:r>
      <w:r w:rsidR="00D1561B" w:rsidRPr="00A55335">
        <w:fldChar w:fldCharType="end"/>
      </w:r>
      <w:r w:rsidR="00D1561B" w:rsidRPr="00A55335">
        <w:t xml:space="preserve">. In Australia, dyspepsia affects 10% of the population </w:t>
      </w:r>
      <w:r w:rsidR="00D1561B" w:rsidRPr="00A55335">
        <w:fldChar w:fldCharType="begin"/>
      </w:r>
      <w:r w:rsidR="00577399">
        <w:instrText xml:space="preserve"> ADDIN EN.CITE &lt;EndNote&gt;&lt;Cite&gt;&lt;Author&gt;N. Talley&lt;/Author&gt;&lt;Year&gt;2017&lt;/Year&gt;&lt;RecNum&gt;657&lt;/RecNum&gt;&lt;DisplayText&gt;(233)&lt;/DisplayText&gt;&lt;record&gt;&lt;rec-number&gt;657&lt;/rec-number&gt;&lt;foreign-keys&gt;&lt;key app="EN" db-id="t5prptatr9sp0we5exbxt9zz20fwp55tdza9" timestamp="1701381033"&gt;657&lt;/key&gt;&lt;/foreign-keys&gt;&lt;ref-type name="Journal Article"&gt;17&lt;/ref-type&gt;&lt;contributors&gt;&lt;authors&gt;&lt;author&gt;N. Talley, T. Godsall, M. Potter,&lt;/author&gt;&lt;/authors&gt;&lt;/contributors&gt;&lt;titles&gt;&lt;title&gt;Functional dyspepsia&lt;/title&gt;&lt;/titles&gt;&lt;pages&gt;209-13&lt;/pages&gt;&lt;volume&gt;40&lt;/volume&gt;&lt;dates&gt;&lt;year&gt;2017&lt;/year&gt;&lt;/dates&gt;&lt;urls&gt;&lt;related-urls&gt;&lt;url&gt;https://australianprescriber.tg.org.au/articles/functional-dyspepsia.html#authors&lt;/url&gt;&lt;/related-urls&gt;&lt;/urls&gt;&lt;/record&gt;&lt;/Cite&gt;&lt;/EndNote&gt;</w:instrText>
      </w:r>
      <w:r w:rsidR="00D1561B" w:rsidRPr="00A55335">
        <w:fldChar w:fldCharType="separate"/>
      </w:r>
      <w:r w:rsidR="00577399">
        <w:rPr>
          <w:noProof/>
        </w:rPr>
        <w:t>(</w:t>
      </w:r>
      <w:hyperlink w:anchor="_ENREF_233" w:tooltip="N. Talley, 2017 #657" w:history="1">
        <w:r w:rsidR="00EC2769">
          <w:rPr>
            <w:noProof/>
          </w:rPr>
          <w:t>233</w:t>
        </w:r>
      </w:hyperlink>
      <w:r w:rsidR="00577399">
        <w:rPr>
          <w:noProof/>
        </w:rPr>
        <w:t>)</w:t>
      </w:r>
      <w:r w:rsidR="00D1561B" w:rsidRPr="00A55335">
        <w:fldChar w:fldCharType="end"/>
      </w:r>
      <w:r w:rsidR="00D1561B" w:rsidRPr="00A55335">
        <w:t xml:space="preserve">. Although dyspepsia has no long-term effects on mortality, living with the condition has been shown to significantly impact a person’s quality of life </w:t>
      </w:r>
      <w:r w:rsidR="00D1561B" w:rsidRPr="00A55335">
        <w:fldChar w:fldCharType="begin">
          <w:fldData xml:space="preserve">PEVuZE5vdGU+PENpdGU+PEF1dGhvcj5Gb3JkPC9BdXRob3I+PFllYXI+MjAyMDwvWWVhcj48UmVj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=
</w:fldData>
        </w:fldChar>
      </w:r>
      <w:r w:rsidR="006858C1">
        <w:instrText xml:space="preserve"> ADDIN EN.CITE </w:instrText>
      </w:r>
      <w:r w:rsidR="006858C1">
        <w:fldChar w:fldCharType="begin">
          <w:fldData xml:space="preserve">PEVuZE5vdGU+PENpdGU+PEF1dGhvcj5Gb3JkPC9BdXRob3I+PFllYXI+MjAyMDwvWWVhcj48UmVj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=
</w:fldData>
        </w:fldChar>
      </w:r>
      <w:r w:rsidR="006858C1">
        <w:instrText xml:space="preserve"> ADDIN EN.CITE.DATA </w:instrText>
      </w:r>
      <w:r w:rsidR="006858C1">
        <w:fldChar w:fldCharType="end"/>
      </w:r>
      <w:r w:rsidR="00D1561B" w:rsidRPr="00A55335">
        <w:fldChar w:fldCharType="separate"/>
      </w:r>
      <w:r w:rsidR="006858C1">
        <w:t>(</w:t>
      </w:r>
      <w:hyperlink w:anchor="_ENREF_233" w:tooltip="N. Talley, 2017 #657" w:history="1">
        <w:r w:rsidR="00EC2769">
          <w:t>233</w:t>
        </w:r>
      </w:hyperlink>
      <w:r w:rsidR="006858C1">
        <w:t xml:space="preserve">, </w:t>
      </w:r>
      <w:hyperlink w:anchor="_ENREF_234" w:tooltip="Ford, 2020 #658" w:history="1">
        <w:r w:rsidR="00EC2769">
          <w:t>234</w:t>
        </w:r>
      </w:hyperlink>
      <w:r w:rsidR="006858C1">
        <w:t>)</w:t>
      </w:r>
      <w:r w:rsidR="00D1561B" w:rsidRPr="00A55335">
        <w:fldChar w:fldCharType="end"/>
      </w:r>
      <w:r w:rsidR="00D1561B" w:rsidRPr="00A55335">
        <w:t xml:space="preserve">. As such, treatment is orientated toward managing symptoms and minimising discomfort. Clinical guidance suggests both pharmacological and non-pharmacological interventions are effective, including </w:t>
      </w:r>
      <w:r w:rsidR="00B9146B" w:rsidRPr="00A55335">
        <w:t xml:space="preserve">medication to supress acid </w:t>
      </w:r>
      <w:r w:rsidR="00046D01" w:rsidRPr="00A55335">
        <w:t xml:space="preserve">secretion </w:t>
      </w:r>
      <w:r w:rsidR="0055353F" w:rsidRPr="00A55335">
        <w:t>(e.g. proton-pump inhibitors</w:t>
      </w:r>
      <w:r w:rsidR="00A91F76" w:rsidRPr="00A55335">
        <w:t>)</w:t>
      </w:r>
      <w:r w:rsidR="0055353F" w:rsidRPr="00A55335">
        <w:t xml:space="preserve">, </w:t>
      </w:r>
      <w:r w:rsidR="00046D01" w:rsidRPr="00A55335">
        <w:t>and</w:t>
      </w:r>
      <w:r w:rsidR="00B9146B" w:rsidRPr="00A55335">
        <w:t xml:space="preserve"> </w:t>
      </w:r>
      <w:r w:rsidR="00D1561B" w:rsidRPr="00A55335">
        <w:t xml:space="preserve">diet modification </w:t>
      </w:r>
      <w:r w:rsidR="00D1561B" w:rsidRPr="00A55335">
        <w:fldChar w:fldCharType="begin"/>
      </w:r>
      <w:r w:rsidR="00EC2769">
        <w:instrText xml:space="preserve"> ADDIN EN.CITE &lt;EndNote&gt;&lt;Cite&gt;&lt;Author&gt;N. Talley&lt;/Author&gt;&lt;Year&gt;2017&lt;/Year&gt;&lt;RecNum&gt;657&lt;/RecNum&gt;&lt;DisplayText&gt;(233)&lt;/DisplayText&gt;&lt;record&gt;&lt;rec-number&gt;657&lt;/rec-number&gt;&lt;foreign-keys&gt;&lt;key app="EN" db-id="t5prptatr9sp0we5exbxt9zz20fwp55tdza9" timestamp="1701381033"&gt;657&lt;/key&gt;&lt;/foreign-keys&gt;&lt;ref-type name="Journal Article"&gt;17&lt;/ref-type&gt;&lt;contributors&gt;&lt;authors&gt;&lt;author&gt;N. Talley, T. Godsall, M. Potter,&lt;/author&gt;&lt;/authors&gt;&lt;/contributors&gt;&lt;titles&gt;&lt;title&gt;Functional dyspepsia&lt;/title&gt;&lt;/titles&gt;&lt;pages&gt;209-13&lt;/pages&gt;&lt;volume&gt;40&lt;/volume&gt;&lt;dates&gt;&lt;year&gt;2017&lt;/year&gt;&lt;/dates&gt;&lt;urls&gt;&lt;related-urls&gt;&lt;url&gt;https://australianprescriber.tg.org.au/articles/functional-dyspepsia.html#authors&lt;/url&gt;&lt;/related-urls&gt;&lt;/urls&gt;&lt;/record&gt;&lt;/Cite&gt;&lt;/EndNote&gt;</w:instrText>
      </w:r>
      <w:r w:rsidR="00D1561B" w:rsidRPr="00A55335">
        <w:fldChar w:fldCharType="separate"/>
      </w:r>
      <w:r w:rsidR="00EC2769">
        <w:rPr>
          <w:noProof/>
        </w:rPr>
        <w:t>(</w:t>
      </w:r>
      <w:hyperlink w:anchor="_ENREF_233" w:tooltip="N. Talley, 2017 #657" w:history="1">
        <w:r w:rsidR="00EC2769">
          <w:rPr>
            <w:noProof/>
          </w:rPr>
          <w:t>233</w:t>
        </w:r>
      </w:hyperlink>
      <w:r w:rsidR="00EC2769">
        <w:rPr>
          <w:noProof/>
        </w:rPr>
        <w:t>)</w:t>
      </w:r>
      <w:r w:rsidR="00D1561B" w:rsidRPr="00A55335">
        <w:fldChar w:fldCharType="end"/>
      </w:r>
      <w:r w:rsidR="00D1561B" w:rsidRPr="00A55335">
        <w:t xml:space="preserve">. </w:t>
      </w:r>
      <w:r w:rsidR="000508DA" w:rsidRPr="00A55335">
        <w:t>C</w:t>
      </w:r>
      <w:r w:rsidR="00D1561B" w:rsidRPr="00A55335">
        <w:t xml:space="preserve">omplementary </w:t>
      </w:r>
      <w:r w:rsidR="000508DA" w:rsidRPr="00A55335">
        <w:t xml:space="preserve">or alternative </w:t>
      </w:r>
      <w:r w:rsidR="00D1561B" w:rsidRPr="00A55335">
        <w:t>therapies</w:t>
      </w:r>
      <w:r w:rsidR="00812D1D" w:rsidRPr="00A55335">
        <w:t xml:space="preserve"> are also commonly sought to help symptoms, </w:t>
      </w:r>
      <w:r w:rsidR="00D1561B" w:rsidRPr="00A55335">
        <w:t xml:space="preserve">including homeopathy, </w:t>
      </w:r>
      <w:r w:rsidR="00812D1D" w:rsidRPr="00A55335">
        <w:t>Western herbal medicines (</w:t>
      </w:r>
      <w:r w:rsidR="002126E6" w:rsidRPr="00A55335">
        <w:t>e.g. peppermint) and relaxation techniques</w:t>
      </w:r>
      <w:r w:rsidR="00825A0D" w:rsidRPr="00A55335">
        <w:t xml:space="preserve"> </w:t>
      </w:r>
      <w:r w:rsidR="00E21A0C" w:rsidRPr="00A55335">
        <w:fldChar w:fldCharType="begin">
          <w:fldData xml:space="preserve">PEVuZE5vdGU+PENpdGU+PEF1dGhvcj5DaGlhcmlvbmk8L0F1dGhvcj48WWVhcj4yMDE4PC9ZZWFy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</w:fldData>
        </w:fldChar>
      </w:r>
      <w:r w:rsidR="00EC2769">
        <w:instrText xml:space="preserve"> ADDIN EN.CITE </w:instrText>
      </w:r>
      <w:r w:rsidR="00EC2769">
        <w:fldChar w:fldCharType="begin">
          <w:fldData xml:space="preserve">PEVuZE5vdGU+PENpdGU+PEF1dGhvcj5DaGlhcmlvbmk8L0F1dGhvcj48WWVhcj4yMDE4PC9ZZWFy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</w:fldData>
        </w:fldChar>
      </w:r>
      <w:r w:rsidR="00EC2769">
        <w:instrText xml:space="preserve"> ADDIN EN.CITE.DATA </w:instrText>
      </w:r>
      <w:r w:rsidR="00EC2769">
        <w:fldChar w:fldCharType="end"/>
      </w:r>
      <w:r w:rsidR="00E21A0C" w:rsidRPr="00A55335">
        <w:fldChar w:fldCharType="separate"/>
      </w:r>
      <w:r w:rsidR="00EC2769">
        <w:rPr>
          <w:noProof/>
        </w:rPr>
        <w:t>(</w:t>
      </w:r>
      <w:hyperlink w:anchor="_ENREF_235" w:tooltip="Chiarioni, 2018 #641" w:history="1">
        <w:r w:rsidR="00EC2769">
          <w:rPr>
            <w:noProof/>
          </w:rPr>
          <w:t>235</w:t>
        </w:r>
      </w:hyperlink>
      <w:r w:rsidR="00EC2769">
        <w:rPr>
          <w:noProof/>
        </w:rPr>
        <w:t xml:space="preserve">, </w:t>
      </w:r>
      <w:hyperlink w:anchor="_ENREF_236" w:tooltip="Yoon, 2022 #640" w:history="1">
        <w:r w:rsidR="00EC2769">
          <w:rPr>
            <w:noProof/>
          </w:rPr>
          <w:t>236</w:t>
        </w:r>
      </w:hyperlink>
      <w:r w:rsidR="00EC2769">
        <w:rPr>
          <w:noProof/>
        </w:rPr>
        <w:t>)</w:t>
      </w:r>
      <w:r w:rsidR="00E21A0C" w:rsidRPr="00A55335">
        <w:fldChar w:fldCharType="end"/>
      </w:r>
      <w:r w:rsidR="00D1561B" w:rsidRPr="00A55335">
        <w:t>.</w:t>
      </w:r>
    </w:p>
    <w:p w14:paraId="0B957F79" w14:textId="77777777" w:rsidR="00DD505D" w:rsidRPr="00A55335" w:rsidRDefault="00DD505D" w:rsidP="004D433B">
      <w:pPr>
        <w:pStyle w:val="Heading3"/>
      </w:pPr>
      <w:bookmarkStart w:id="359" w:name="_Toc183441371"/>
      <w:r w:rsidRPr="00A55335">
        <w:t>Description of studies</w:t>
      </w:r>
      <w:bookmarkEnd w:id="359"/>
      <w:r w:rsidRPr="00A55335">
        <w:t xml:space="preserve"> </w:t>
      </w:r>
    </w:p>
    <w:p w14:paraId="6577A758" w14:textId="40D297A6" w:rsidR="009A24E3" w:rsidRPr="00A55335" w:rsidRDefault="004B3C75" w:rsidP="00A91F76">
      <w:pPr>
        <w:pStyle w:val="BodyText"/>
      </w:pPr>
      <w:r w:rsidRPr="00A55335">
        <w:t>There were 5</w:t>
      </w:r>
      <w:r w:rsidR="00D303CF" w:rsidRPr="00A55335">
        <w:t xml:space="preserve"> </w:t>
      </w:r>
      <w:r w:rsidR="006175AD" w:rsidRPr="00A55335">
        <w:t xml:space="preserve">citations </w:t>
      </w:r>
      <w:r w:rsidRPr="00A55335">
        <w:fldChar w:fldCharType="begin">
          <w:fldData xml:space="preserve">PEVuZE5vdGU+PENpdGU+PEF1dGhvcj5Eb3NzZXR0PC9BdXRob3I+PFllYXI+MjAxNjwvWWVhcj48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</w:fldData>
        </w:fldChar>
      </w:r>
      <w:r w:rsidR="00EC2769">
        <w:instrText xml:space="preserve"> ADDIN EN.CITE </w:instrText>
      </w:r>
      <w:r w:rsidR="00EC2769">
        <w:fldChar w:fldCharType="begin">
          <w:fldData xml:space="preserve">PEVuZE5vdGU+PENpdGU+PEF1dGhvcj5Eb3NzZXR0PC9BdXRob3I+PFllYXI+MjAxNjwvWWVhcj48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</w:fldData>
        </w:fldChar>
      </w:r>
      <w:r w:rsidR="00EC2769">
        <w:instrText xml:space="preserve"> ADDIN EN.CITE.DATA </w:instrText>
      </w:r>
      <w:r w:rsidR="00EC2769">
        <w:fldChar w:fldCharType="end"/>
      </w:r>
      <w:r w:rsidRPr="00A55335">
        <w:fldChar w:fldCharType="separate"/>
      </w:r>
      <w:r w:rsidR="00EC2769">
        <w:rPr>
          <w:noProof/>
        </w:rPr>
        <w:t>(</w:t>
      </w:r>
      <w:hyperlink w:anchor="_ENREF_237" w:tooltip="Dossett, 2016 #661" w:history="1">
        <w:r w:rsidR="00EC2769">
          <w:rPr>
            <w:noProof/>
          </w:rPr>
          <w:t>237-240</w:t>
        </w:r>
      </w:hyperlink>
      <w:r w:rsidR="00EC2769">
        <w:rPr>
          <w:noProof/>
        </w:rPr>
        <w:t>)</w:t>
      </w:r>
      <w:r w:rsidRPr="00A55335">
        <w:fldChar w:fldCharType="end"/>
      </w:r>
      <w:r w:rsidR="00501CF3" w:rsidRPr="00A55335">
        <w:t xml:space="preserve">, corresponding to 3 RCTs </w:t>
      </w:r>
      <w:r w:rsidR="00A91F76" w:rsidRPr="00A55335">
        <w:t xml:space="preserve">(Dossett 2015, Paterson 2003, Raak 2019) </w:t>
      </w:r>
      <w:r w:rsidR="00501CF3" w:rsidRPr="00A55335">
        <w:t xml:space="preserve">identified in the literature search. </w:t>
      </w:r>
      <w:r w:rsidR="00A91F76" w:rsidRPr="00A55335">
        <w:t xml:space="preserve">No studies were identified in the Department’s public call for evidence. There were </w:t>
      </w:r>
      <w:r w:rsidR="00363820" w:rsidRPr="00A55335">
        <w:t xml:space="preserve">2 </w:t>
      </w:r>
      <w:hyperlink w:anchor="_Ongoing_studies_1" w:history="1">
        <w:r w:rsidR="00A91F76" w:rsidRPr="00A55335">
          <w:rPr>
            <w:rStyle w:val="Hyperlink"/>
            <w:rFonts w:cs="Calibri"/>
          </w:rPr>
          <w:t>ongoing studies</w:t>
        </w:r>
      </w:hyperlink>
      <w:r w:rsidR="00A91F76" w:rsidRPr="00A55335">
        <w:t xml:space="preserve"> and one </w:t>
      </w:r>
      <w:r w:rsidR="00462587" w:rsidRPr="00A55335">
        <w:t xml:space="preserve">study </w:t>
      </w:r>
      <w:hyperlink w:anchor="_Studies_awaiting_classification" w:history="1">
        <w:r w:rsidR="00462587" w:rsidRPr="00A55335">
          <w:rPr>
            <w:rStyle w:val="Hyperlink"/>
            <w:rFonts w:cs="Calibri"/>
          </w:rPr>
          <w:t xml:space="preserve">awaiting </w:t>
        </w:r>
        <w:r w:rsidR="00FA1A01" w:rsidRPr="00A55335">
          <w:rPr>
            <w:rStyle w:val="Hyperlink"/>
            <w:rFonts w:cs="Calibri"/>
          </w:rPr>
          <w:t>classification</w:t>
        </w:r>
      </w:hyperlink>
      <w:r w:rsidR="00FA1A01" w:rsidRPr="00A55335">
        <w:t xml:space="preserve"> </w:t>
      </w:r>
      <w:r w:rsidR="00A91F76" w:rsidRPr="00A55335">
        <w:t>that was published in a language other than</w:t>
      </w:r>
      <w:r w:rsidR="00FA1A01" w:rsidRPr="00A55335">
        <w:t xml:space="preserve"> English.</w:t>
      </w:r>
      <w:r w:rsidR="009A24E3" w:rsidRPr="00A55335">
        <w:t xml:space="preserve"> An overview of the PICO criteria of included studies is provided in Appendix D</w:t>
      </w:r>
      <w:r w:rsidR="00C029E4" w:rsidRPr="00A55335">
        <w:t>6</w:t>
      </w:r>
      <w:r w:rsidR="00B53CD7" w:rsidRPr="00A55335">
        <w:t>.2.1</w:t>
      </w:r>
      <w:r w:rsidR="009A24E3" w:rsidRPr="00A55335">
        <w:t>.</w:t>
      </w:r>
    </w:p>
    <w:p w14:paraId="135E2F8F" w14:textId="06691E48" w:rsidR="00680478" w:rsidRPr="00A55335" w:rsidRDefault="00DF7F5D" w:rsidP="009A24E3">
      <w:pPr>
        <w:pStyle w:val="BodyText"/>
      </w:pPr>
      <w:r w:rsidRPr="00A55335">
        <w:lastRenderedPageBreak/>
        <w:t xml:space="preserve">One </w:t>
      </w:r>
      <w:r w:rsidR="000011A1" w:rsidRPr="00A55335">
        <w:t>RCT</w:t>
      </w:r>
      <w:r w:rsidRPr="00A55335">
        <w:t xml:space="preserve"> (</w:t>
      </w:r>
      <w:r w:rsidR="0009186F" w:rsidRPr="00A55335">
        <w:t>Paterson 2003)</w:t>
      </w:r>
      <w:r w:rsidR="00EE303A" w:rsidRPr="00A55335">
        <w:t xml:space="preserve"> was conducted at a general practice clinic in the United Kingdom</w:t>
      </w:r>
      <w:r w:rsidR="008E5D54" w:rsidRPr="00A55335">
        <w:t xml:space="preserve"> and enrolled people </w:t>
      </w:r>
      <w:r w:rsidR="00ED3C52" w:rsidRPr="00A55335">
        <w:t>who were on repeat prescriptions for</w:t>
      </w:r>
      <w:r w:rsidR="008E5D54" w:rsidRPr="00A55335">
        <w:t xml:space="preserve"> dyspepsia</w:t>
      </w:r>
      <w:r w:rsidR="00EE303A" w:rsidRPr="00A55335">
        <w:t xml:space="preserve">. One </w:t>
      </w:r>
      <w:r w:rsidR="000011A1" w:rsidRPr="00A55335">
        <w:t>RCT</w:t>
      </w:r>
      <w:r w:rsidR="00EE303A" w:rsidRPr="00A55335">
        <w:t xml:space="preserve"> (Dossett 2015) was conducted at </w:t>
      </w:r>
      <w:r w:rsidR="004A1563" w:rsidRPr="00A55335">
        <w:t>a clinical research centre in the United States</w:t>
      </w:r>
      <w:r w:rsidR="008E5D54" w:rsidRPr="00A55335">
        <w:t xml:space="preserve"> and enrolled adults with gastroesophageal </w:t>
      </w:r>
      <w:r w:rsidR="00BD58AE" w:rsidRPr="00BD1A50">
        <w:t xml:space="preserve">reflux disease (GERD). </w:t>
      </w:r>
      <w:r w:rsidR="004A1563" w:rsidRPr="00A55335">
        <w:t xml:space="preserve">One </w:t>
      </w:r>
      <w:r w:rsidR="000011A1" w:rsidRPr="00A55335">
        <w:t>RCT</w:t>
      </w:r>
      <w:r w:rsidR="004A1563" w:rsidRPr="00A55335">
        <w:t xml:space="preserve"> (</w:t>
      </w:r>
      <w:r w:rsidR="00E3534F" w:rsidRPr="00A55335">
        <w:t xml:space="preserve">Raak 2019) was </w:t>
      </w:r>
      <w:r w:rsidR="00A94CA3" w:rsidRPr="00A55335">
        <w:t>carried out across 3 medical centres in Russia</w:t>
      </w:r>
      <w:r w:rsidR="00BC40E0" w:rsidRPr="00A55335">
        <w:t xml:space="preserve"> and enrolled infants with colic</w:t>
      </w:r>
      <w:r w:rsidR="00A94CA3" w:rsidRPr="00A55335">
        <w:t xml:space="preserve">. Sample sizes ranged from </w:t>
      </w:r>
      <w:r w:rsidR="004D743B" w:rsidRPr="00A55335">
        <w:t xml:space="preserve">24 to 125 </w:t>
      </w:r>
      <w:r w:rsidR="006A584C" w:rsidRPr="00A55335">
        <w:t>(</w:t>
      </w:r>
      <w:r w:rsidR="00CC1A24" w:rsidRPr="00A55335">
        <w:t xml:space="preserve">total </w:t>
      </w:r>
      <w:r w:rsidR="000911A6" w:rsidRPr="00A55335">
        <w:t>209 participants)</w:t>
      </w:r>
      <w:r w:rsidR="008E5D54" w:rsidRPr="00A55335">
        <w:t>.</w:t>
      </w:r>
    </w:p>
    <w:p w14:paraId="33B002AA" w14:textId="33454259" w:rsidR="00D517F8" w:rsidRPr="00A55335" w:rsidRDefault="00077A56" w:rsidP="009A24E3">
      <w:pPr>
        <w:pStyle w:val="BodyText"/>
      </w:pPr>
      <w:r w:rsidRPr="00A55335">
        <w:t xml:space="preserve">One </w:t>
      </w:r>
      <w:r w:rsidR="000011A1" w:rsidRPr="00A55335">
        <w:t>RCT</w:t>
      </w:r>
      <w:r w:rsidRPr="00A55335">
        <w:t xml:space="preserve"> (Dossett 2015) compared</w:t>
      </w:r>
      <w:r w:rsidR="000011A1" w:rsidRPr="00A55335">
        <w:t xml:space="preserve"> homeopathy with placebo.</w:t>
      </w:r>
      <w:r w:rsidRPr="00A55335">
        <w:t xml:space="preserve"> </w:t>
      </w:r>
      <w:r w:rsidR="004628D7" w:rsidRPr="00A55335">
        <w:t xml:space="preserve">The study </w:t>
      </w:r>
      <w:r w:rsidR="00D31180" w:rsidRPr="00A55335">
        <w:t>ha</w:t>
      </w:r>
      <w:r w:rsidR="00806C64" w:rsidRPr="00A55335">
        <w:t xml:space="preserve">d 4 intervention groups, with </w:t>
      </w:r>
      <w:r w:rsidR="00D31180" w:rsidRPr="00A55335">
        <w:t xml:space="preserve">participants </w:t>
      </w:r>
      <w:r w:rsidR="002728D7" w:rsidRPr="00A55335">
        <w:t xml:space="preserve">randomised to </w:t>
      </w:r>
      <w:r w:rsidR="00806C64" w:rsidRPr="00A55335">
        <w:t>receiv</w:t>
      </w:r>
      <w:r w:rsidR="002728D7" w:rsidRPr="00A55335">
        <w:t>e</w:t>
      </w:r>
      <w:r w:rsidR="00806C64" w:rsidRPr="00A55335">
        <w:t xml:space="preserve"> either a sta</w:t>
      </w:r>
      <w:r w:rsidR="003F1A07" w:rsidRPr="00A55335">
        <w:t xml:space="preserve">ndard </w:t>
      </w:r>
      <w:r w:rsidRPr="00A55335">
        <w:t xml:space="preserve">or expanded length </w:t>
      </w:r>
      <w:r w:rsidR="002728D7" w:rsidRPr="00A55335">
        <w:t>consultation</w:t>
      </w:r>
      <w:r w:rsidR="009B598C" w:rsidRPr="00A55335">
        <w:t>, and either non-individualised homeopathy (</w:t>
      </w:r>
      <w:proofErr w:type="spellStart"/>
      <w:r w:rsidR="009B598C" w:rsidRPr="00A55335">
        <w:t>Acidil</w:t>
      </w:r>
      <w:proofErr w:type="spellEnd"/>
      <w:r w:rsidR="009B598C" w:rsidRPr="00A55335">
        <w:t>) or placebo</w:t>
      </w:r>
      <w:r w:rsidRPr="00A55335">
        <w:t xml:space="preserve">. </w:t>
      </w:r>
      <w:r w:rsidR="00BC40E0" w:rsidRPr="00A55335">
        <w:t xml:space="preserve">One study (Paterson 2003) </w:t>
      </w:r>
      <w:r w:rsidR="00DA6EEF" w:rsidRPr="00A55335">
        <w:t xml:space="preserve">compared </w:t>
      </w:r>
      <w:r w:rsidR="005155A4" w:rsidRPr="00A55335">
        <w:t>individualised</w:t>
      </w:r>
      <w:r w:rsidR="00DA6EEF" w:rsidRPr="00A55335">
        <w:t xml:space="preserve"> homeopath</w:t>
      </w:r>
      <w:r w:rsidR="00371B72" w:rsidRPr="00A55335">
        <w:t>y</w:t>
      </w:r>
      <w:r w:rsidR="00DA6EEF" w:rsidRPr="00A55335">
        <w:t xml:space="preserve"> to </w:t>
      </w:r>
      <w:r w:rsidR="00371B72" w:rsidRPr="00A55335">
        <w:t xml:space="preserve">usual </w:t>
      </w:r>
      <w:r w:rsidR="00957D64" w:rsidRPr="00A55335">
        <w:t>general practitioner care.</w:t>
      </w:r>
      <w:r w:rsidR="00877E72" w:rsidRPr="00A55335">
        <w:t xml:space="preserve"> Details about the interventions or care prescribed </w:t>
      </w:r>
      <w:r w:rsidR="00951B2A" w:rsidRPr="00A55335">
        <w:t xml:space="preserve">for the control group </w:t>
      </w:r>
      <w:r w:rsidR="00877E72" w:rsidRPr="00A55335">
        <w:t>were not provided.</w:t>
      </w:r>
      <w:r w:rsidR="00957D64" w:rsidRPr="00A55335">
        <w:t xml:space="preserve"> </w:t>
      </w:r>
      <w:r w:rsidR="00547E66" w:rsidRPr="00A55335">
        <w:t>One study (Raak 2019</w:t>
      </w:r>
      <w:r w:rsidR="00204FDD" w:rsidRPr="00A55335">
        <w:t>)</w:t>
      </w:r>
      <w:r w:rsidR="00567657" w:rsidRPr="00A55335">
        <w:t xml:space="preserve"> </w:t>
      </w:r>
      <w:r w:rsidR="00855C85" w:rsidRPr="00A55335">
        <w:t xml:space="preserve">compared non-individualised homeopathic intervention to </w:t>
      </w:r>
      <w:r w:rsidR="00371B72" w:rsidRPr="00A55335">
        <w:t>active control (</w:t>
      </w:r>
      <w:r w:rsidR="00855C85" w:rsidRPr="00A55335">
        <w:t>simethicone). Administration of homeopathic intervention varied between studies</w:t>
      </w:r>
      <w:r w:rsidR="00371B72" w:rsidRPr="00A55335">
        <w:t>, as did the duration of the study</w:t>
      </w:r>
      <w:r w:rsidR="009A695C" w:rsidRPr="00A55335">
        <w:t xml:space="preserve">, which ranged </w:t>
      </w:r>
      <w:r w:rsidR="00AC72A5" w:rsidRPr="00A55335">
        <w:t>from 10 days to 6 months.</w:t>
      </w:r>
    </w:p>
    <w:p w14:paraId="37C68F64" w14:textId="1861C7B0" w:rsidR="00CD66D1" w:rsidRPr="00A55335" w:rsidRDefault="009A24E3" w:rsidP="009A24E3">
      <w:pPr>
        <w:pStyle w:val="BodyText"/>
      </w:pPr>
      <w:r w:rsidRPr="00A55335">
        <w:t xml:space="preserve">Results for </w:t>
      </w:r>
      <w:r w:rsidR="00726EE5" w:rsidRPr="00A55335">
        <w:t xml:space="preserve">the </w:t>
      </w:r>
      <w:r w:rsidR="006070ED" w:rsidRPr="00A55335">
        <w:t>Primary Comparison</w:t>
      </w:r>
      <w:r w:rsidR="00F73318" w:rsidRPr="00A55335">
        <w:t xml:space="preserve">: Homeopathy </w:t>
      </w:r>
      <w:r w:rsidR="001B33CB" w:rsidRPr="00A55335">
        <w:t xml:space="preserve">versus placebo and </w:t>
      </w:r>
      <w:r w:rsidR="006070ED" w:rsidRPr="00A55335">
        <w:t>Secondary Comparison</w:t>
      </w:r>
      <w:r w:rsidR="00F73318" w:rsidRPr="00A55335">
        <w:t xml:space="preserve">: Homeopathy </w:t>
      </w:r>
      <w:r w:rsidR="009A695C" w:rsidRPr="00A55335">
        <w:t xml:space="preserve">versus </w:t>
      </w:r>
      <w:r w:rsidRPr="00A55335">
        <w:t>inactive control (no intervention, waitlist, or usual care) are provided in the Summary of Findings table (see</w:t>
      </w:r>
      <w:r w:rsidR="009A695C" w:rsidRPr="00A55335">
        <w:t xml:space="preserve"> Section </w:t>
      </w:r>
      <w:r w:rsidR="009A695C" w:rsidRPr="00A55335">
        <w:fldChar w:fldCharType="begin"/>
      </w:r>
      <w:r w:rsidR="009A695C" w:rsidRPr="00A55335">
        <w:instrText xml:space="preserve"> REF _Ref152152591 \r \h  \* MERGEFORMAT </w:instrText>
      </w:r>
      <w:r w:rsidR="009A695C" w:rsidRPr="00A55335">
        <w:fldChar w:fldCharType="separate"/>
      </w:r>
      <w:r w:rsidR="00814B04">
        <w:t>4.13.4</w:t>
      </w:r>
      <w:r w:rsidR="009A695C" w:rsidRPr="00A55335">
        <w:fldChar w:fldCharType="end"/>
      </w:r>
      <w:r w:rsidRPr="00A55335">
        <w:t>).</w:t>
      </w:r>
      <w:r w:rsidR="009A695C" w:rsidRPr="00A55335">
        <w:t xml:space="preserve"> </w:t>
      </w:r>
      <w:r w:rsidR="00506E27" w:rsidRPr="00A55335">
        <w:t>Results of studies that compared homeopathy with another comparator</w:t>
      </w:r>
      <w:r w:rsidR="009C3276" w:rsidRPr="00A55335">
        <w:t xml:space="preserve"> (Ter</w:t>
      </w:r>
      <w:r w:rsidR="005C6724" w:rsidRPr="00A55335">
        <w:t>tiary Comparison)</w:t>
      </w:r>
      <w:r w:rsidR="00AD71F7" w:rsidRPr="00A55335">
        <w:t xml:space="preserve"> </w:t>
      </w:r>
      <w:r w:rsidR="00506E27" w:rsidRPr="00A55335">
        <w:t>are presented in Appendix F2.</w:t>
      </w:r>
    </w:p>
    <w:p w14:paraId="14360479"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51C2A7C7" w14:textId="21E35B43" w:rsidR="00DD505D" w:rsidRPr="00A55335" w:rsidRDefault="00DD505D" w:rsidP="004D433B">
      <w:pPr>
        <w:pStyle w:val="Heading3"/>
      </w:pPr>
      <w:bookmarkStart w:id="360" w:name="_Toc183441372"/>
      <w:r w:rsidRPr="00A55335">
        <w:t>Risk of bias</w:t>
      </w:r>
      <w:r w:rsidR="00F6589C">
        <w:t xml:space="preserve"> –</w:t>
      </w:r>
      <w:r w:rsidRPr="00A55335">
        <w:t xml:space="preserve"> summary assessment across studies</w:t>
      </w:r>
      <w:bookmarkEnd w:id="360"/>
      <w:r w:rsidRPr="00A55335">
        <w:t xml:space="preserve"> </w:t>
      </w:r>
    </w:p>
    <w:p w14:paraId="76A7C16C" w14:textId="23B672D5" w:rsidR="008B3F2C" w:rsidRPr="00A55335" w:rsidRDefault="008B3F2C" w:rsidP="008B3F2C">
      <w:pPr>
        <w:pStyle w:val="BodyText"/>
      </w:pPr>
      <w:r w:rsidRPr="00A55335">
        <w:t xml:space="preserve">The risk of bias for each item in the included RCTs for infantile colic and other digestive disorders are summarised in </w:t>
      </w:r>
      <w:r w:rsidRPr="00A55335">
        <w:fldChar w:fldCharType="begin"/>
      </w:r>
      <w:r w:rsidRPr="00A55335">
        <w:instrText xml:space="preserve"> REF _Ref151642968 \h </w:instrText>
      </w:r>
      <w:r w:rsidRPr="00A55335">
        <w:fldChar w:fldCharType="separate"/>
      </w:r>
      <w:r w:rsidR="00814B04" w:rsidRPr="00A55335">
        <w:t xml:space="preserve">Figure </w:t>
      </w:r>
      <w:r w:rsidR="00814B04">
        <w:rPr>
          <w:noProof/>
        </w:rPr>
        <w:t>61</w:t>
      </w:r>
      <w:r w:rsidRPr="00A55335">
        <w:fldChar w:fldCharType="end"/>
      </w:r>
      <w:r w:rsidRPr="00A55335">
        <w:t>. Details are provided in Appendix D6.</w:t>
      </w:r>
      <w:r w:rsidR="00F56A75" w:rsidRPr="00A55335">
        <w:t>2</w:t>
      </w:r>
      <w:r w:rsidRPr="00A55335">
        <w:t>.2</w:t>
      </w:r>
      <w:r w:rsidR="00F56A75" w:rsidRPr="00A55335">
        <w:t>.</w:t>
      </w:r>
      <w:r w:rsidR="005713F1">
        <w:t xml:space="preserve"> </w:t>
      </w:r>
      <w:r w:rsidRPr="00A55335">
        <w:t xml:space="preserve">No studies were judged to be at overall low risk of bias. </w:t>
      </w:r>
    </w:p>
    <w:p w14:paraId="6F1AFE36" w14:textId="12D99CED" w:rsidR="00667AF1" w:rsidRPr="00A55335" w:rsidRDefault="00667AF1" w:rsidP="00667AF1">
      <w:pPr>
        <w:pStyle w:val="Caption"/>
      </w:pPr>
      <w:bookmarkStart w:id="361" w:name="_Ref151642968"/>
      <w:bookmarkStart w:id="362" w:name="_Toc183520334"/>
      <w:r w:rsidRPr="00A55335">
        <w:t xml:space="preserve">Figure </w:t>
      </w:r>
      <w:r w:rsidRPr="00A55335">
        <w:fldChar w:fldCharType="begin"/>
      </w:r>
      <w:r w:rsidRPr="00A55335">
        <w:instrText xml:space="preserve"> SEQ Figure \* ARABIC </w:instrText>
      </w:r>
      <w:r w:rsidRPr="00A55335">
        <w:fldChar w:fldCharType="separate"/>
      </w:r>
      <w:r w:rsidR="00814B04">
        <w:rPr>
          <w:noProof/>
        </w:rPr>
        <w:t>61</w:t>
      </w:r>
      <w:r w:rsidRPr="00A55335">
        <w:fldChar w:fldCharType="end"/>
      </w:r>
      <w:bookmarkEnd w:id="361"/>
      <w:r w:rsidRPr="00A55335">
        <w:tab/>
        <w:t>Risk of bias summary: review authors</w:t>
      </w:r>
      <w:r w:rsidR="00817C15" w:rsidRPr="00A55335">
        <w:t>’</w:t>
      </w:r>
      <w:r w:rsidRPr="00A55335">
        <w:t xml:space="preserve"> judgement about each risk of bias item for each included study: </w:t>
      </w:r>
      <w:r w:rsidR="00F01A95" w:rsidRPr="00A55335">
        <w:t>I</w:t>
      </w:r>
      <w:r w:rsidRPr="00A55335">
        <w:t>nfantile colic and other digestive disorders</w:t>
      </w:r>
      <w:bookmarkEnd w:id="362"/>
    </w:p>
    <w:p w14:paraId="094EBA11" w14:textId="25CE8CD1" w:rsidR="009C53A9" w:rsidRPr="00A55335" w:rsidRDefault="003803CE" w:rsidP="002456F7">
      <w:pPr>
        <w:pStyle w:val="Pic"/>
      </w:pPr>
      <w:r w:rsidRPr="00A55335">
        <w:rPr>
          <w:noProof/>
        </w:rPr>
        <w:drawing>
          <wp:inline distT="0" distB="0" distL="0" distR="0" wp14:anchorId="03352D45" wp14:editId="29E8AC22">
            <wp:extent cx="3740150" cy="1933940"/>
            <wp:effectExtent l="0" t="0" r="0" b="9525"/>
            <wp:docPr id="743933235" name="Picture 74393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72325" cy="1950577"/>
                    </a:xfrm>
                    <a:prstGeom prst="rect">
                      <a:avLst/>
                    </a:prstGeom>
                    <a:noFill/>
                    <a:ln>
                      <a:noFill/>
                    </a:ln>
                  </pic:spPr>
                </pic:pic>
              </a:graphicData>
            </a:graphic>
          </wp:inline>
        </w:drawing>
      </w:r>
    </w:p>
    <w:p w14:paraId="59A7DE05" w14:textId="77777777" w:rsidR="002456F7" w:rsidRPr="00A55335" w:rsidRDefault="002456F7" w:rsidP="002456F7">
      <w:pPr>
        <w:pStyle w:val="TableFigNotes18"/>
      </w:pPr>
    </w:p>
    <w:p w14:paraId="3A4F04EB" w14:textId="77777777" w:rsidR="00DD505D" w:rsidRPr="00A55335" w:rsidRDefault="00DD505D" w:rsidP="004D433B">
      <w:pPr>
        <w:pStyle w:val="Heading3"/>
      </w:pPr>
      <w:bookmarkStart w:id="363" w:name="_Ref152152591"/>
      <w:bookmarkStart w:id="364" w:name="_Toc183441373"/>
      <w:r w:rsidRPr="00A55335">
        <w:t>Summary of findings and evidence statements</w:t>
      </w:r>
      <w:bookmarkEnd w:id="363"/>
      <w:bookmarkEnd w:id="364"/>
    </w:p>
    <w:p w14:paraId="0E2CD427" w14:textId="437F3247" w:rsidR="003218A0" w:rsidRPr="00A55335" w:rsidRDefault="006070ED" w:rsidP="007D0F82">
      <w:pPr>
        <w:pStyle w:val="Heading4"/>
      </w:pPr>
      <w:r w:rsidRPr="00A55335">
        <w:t>Primary Comparison</w:t>
      </w:r>
      <w:r w:rsidR="007D0F82" w:rsidRPr="00A55335">
        <w:t xml:space="preserve"> (vs placebo)</w:t>
      </w:r>
    </w:p>
    <w:p w14:paraId="6A33DA0F" w14:textId="080435F6" w:rsidR="006B1716" w:rsidRPr="00A55335" w:rsidRDefault="006B1716" w:rsidP="006B1716">
      <w:pPr>
        <w:pStyle w:val="BodyText"/>
      </w:pPr>
      <w:r w:rsidRPr="00A55335">
        <w:t>There were no studies identified comparing homeopathy to placebo in infants with colic. The effect of homeopathy compared to placebo is unknown.</w:t>
      </w:r>
    </w:p>
    <w:p w14:paraId="1327E270" w14:textId="77777777" w:rsidR="004E03FF" w:rsidRPr="00A55335" w:rsidRDefault="004E03FF" w:rsidP="006B1716">
      <w:pPr>
        <w:pStyle w:val="BodyText"/>
      </w:pPr>
    </w:p>
    <w:tbl>
      <w:tblPr>
        <w:tblW w:w="5026" w:type="pct"/>
        <w:tblInd w:w="-50" w:type="dxa"/>
        <w:tblLayout w:type="fixed"/>
        <w:tblCellMar>
          <w:top w:w="50" w:type="dxa"/>
          <w:left w:w="50" w:type="dxa"/>
          <w:bottom w:w="50" w:type="dxa"/>
          <w:right w:w="50" w:type="dxa"/>
        </w:tblCellMar>
        <w:tblLook w:val="04A0" w:firstRow="1" w:lastRow="0" w:firstColumn="1" w:lastColumn="0" w:noHBand="0" w:noVBand="1"/>
      </w:tblPr>
      <w:tblGrid>
        <w:gridCol w:w="57"/>
        <w:gridCol w:w="1985"/>
        <w:gridCol w:w="1324"/>
        <w:gridCol w:w="1511"/>
        <w:gridCol w:w="850"/>
        <w:gridCol w:w="1134"/>
        <w:gridCol w:w="991"/>
        <w:gridCol w:w="1944"/>
      </w:tblGrid>
      <w:tr w:rsidR="00FA2EBD" w:rsidRPr="00A55335" w14:paraId="41E3D63E" w14:textId="77777777" w:rsidTr="006B1716">
        <w:trPr>
          <w:gridBefore w:val="1"/>
          <w:wBefore w:w="29" w:type="pct"/>
          <w:cantSplit/>
          <w:tblHeader/>
        </w:trPr>
        <w:tc>
          <w:tcPr>
            <w:tcW w:w="4971" w:type="pct"/>
            <w:gridSpan w:val="7"/>
            <w:tcBorders>
              <w:top w:val="single" w:sz="12" w:space="0" w:color="000000"/>
              <w:left w:val="nil"/>
              <w:bottom w:val="single" w:sz="12" w:space="0" w:color="000000"/>
              <w:right w:val="nil"/>
            </w:tcBorders>
            <w:vAlign w:val="center"/>
            <w:hideMark/>
          </w:tcPr>
          <w:p w14:paraId="5D73E34D" w14:textId="208A599F" w:rsidR="00FA2EBD" w:rsidRPr="00A55335" w:rsidRDefault="00FA2EBD" w:rsidP="00611BA9">
            <w:pPr>
              <w:pStyle w:val="TableH1"/>
              <w:rPr>
                <w:lang w:val="en-AU"/>
              </w:rPr>
            </w:pPr>
            <w:r w:rsidRPr="00A55335">
              <w:rPr>
                <w:lang w:val="en-AU"/>
              </w:rPr>
              <w:lastRenderedPageBreak/>
              <w:t xml:space="preserve">Homeopathy compared to placebo for </w:t>
            </w:r>
            <w:r w:rsidR="000D1BA5" w:rsidRPr="00A55335">
              <w:rPr>
                <w:lang w:val="en-AU"/>
              </w:rPr>
              <w:t>O</w:t>
            </w:r>
            <w:r w:rsidR="00F56A75" w:rsidRPr="00A55335">
              <w:rPr>
                <w:lang w:val="en-AU"/>
              </w:rPr>
              <w:t>ther digestive disorders</w:t>
            </w:r>
          </w:p>
        </w:tc>
      </w:tr>
      <w:tr w:rsidR="00FA2EBD" w:rsidRPr="00A55335" w14:paraId="7B00566C" w14:textId="77777777" w:rsidTr="006B1716">
        <w:trPr>
          <w:gridBefore w:val="1"/>
          <w:wBefore w:w="29" w:type="pct"/>
          <w:cantSplit/>
          <w:tblHeader/>
        </w:trPr>
        <w:tc>
          <w:tcPr>
            <w:tcW w:w="4971" w:type="pct"/>
            <w:gridSpan w:val="7"/>
            <w:tcBorders>
              <w:top w:val="single" w:sz="12" w:space="0" w:color="000000"/>
              <w:left w:val="nil"/>
              <w:bottom w:val="single" w:sz="12" w:space="0" w:color="000000"/>
              <w:right w:val="nil"/>
            </w:tcBorders>
            <w:vAlign w:val="center"/>
            <w:hideMark/>
          </w:tcPr>
          <w:p w14:paraId="5C9ED71F" w14:textId="09E1516B" w:rsidR="00FA2EBD" w:rsidRPr="00A55335" w:rsidRDefault="00FA2EBD" w:rsidP="007007AF">
            <w:pPr>
              <w:pStyle w:val="Tabletext9pt"/>
            </w:pPr>
            <w:r w:rsidRPr="00A55335">
              <w:rPr>
                <w:rStyle w:val="Strong"/>
              </w:rPr>
              <w:t>Patient or population:</w:t>
            </w:r>
            <w:r w:rsidRPr="00A55335">
              <w:t xml:space="preserve"> </w:t>
            </w:r>
            <w:r w:rsidR="006B1716" w:rsidRPr="00A55335">
              <w:t>O</w:t>
            </w:r>
            <w:r w:rsidR="0037093F" w:rsidRPr="00A55335">
              <w:t xml:space="preserve">ther digestive disorders </w:t>
            </w:r>
          </w:p>
          <w:p w14:paraId="54AFAEDB" w14:textId="77777777" w:rsidR="00FA2EBD" w:rsidRPr="00A55335" w:rsidRDefault="00FA2EBD" w:rsidP="007007AF">
            <w:pPr>
              <w:pStyle w:val="Tabletext9pt"/>
            </w:pPr>
            <w:r w:rsidRPr="00A55335">
              <w:rPr>
                <w:rStyle w:val="Strong"/>
              </w:rPr>
              <w:t>Setting:</w:t>
            </w:r>
            <w:r w:rsidRPr="00A55335">
              <w:t xml:space="preserve"> Community</w:t>
            </w:r>
          </w:p>
          <w:p w14:paraId="72D3E54B" w14:textId="2A657BB5" w:rsidR="00FA2EBD" w:rsidRPr="00A55335" w:rsidRDefault="00FA2EBD" w:rsidP="007007AF">
            <w:pPr>
              <w:pStyle w:val="Tabletext9pt"/>
            </w:pPr>
            <w:r w:rsidRPr="00A55335">
              <w:rPr>
                <w:rStyle w:val="Strong"/>
              </w:rPr>
              <w:t>Intervention:</w:t>
            </w:r>
            <w:r w:rsidRPr="00A55335">
              <w:t xml:space="preserve"> </w:t>
            </w:r>
            <w:r w:rsidR="009C3788" w:rsidRPr="00A55335">
              <w:t>H</w:t>
            </w:r>
            <w:r w:rsidRPr="00A55335">
              <w:t>omeopathy</w:t>
            </w:r>
          </w:p>
          <w:p w14:paraId="46105100" w14:textId="5EEE257D" w:rsidR="00FA2EBD" w:rsidRPr="00A55335" w:rsidRDefault="00FA2EBD" w:rsidP="007007AF">
            <w:pPr>
              <w:pStyle w:val="Tabletext9pt"/>
            </w:pPr>
            <w:r w:rsidRPr="00A55335">
              <w:rPr>
                <w:rStyle w:val="Strong"/>
              </w:rPr>
              <w:t>Comparison:</w:t>
            </w:r>
            <w:r w:rsidRPr="00A55335">
              <w:t xml:space="preserve"> </w:t>
            </w:r>
            <w:r w:rsidR="009C3788" w:rsidRPr="00A55335">
              <w:t>P</w:t>
            </w:r>
            <w:r w:rsidRPr="00A55335">
              <w:t>lacebo</w:t>
            </w:r>
          </w:p>
        </w:tc>
      </w:tr>
      <w:tr w:rsidR="00070A20" w:rsidRPr="00A55335" w14:paraId="6EDB5BDC" w14:textId="77777777" w:rsidTr="008920B6">
        <w:trPr>
          <w:gridBefore w:val="1"/>
          <w:wBefore w:w="29" w:type="pct"/>
          <w:cantSplit/>
          <w:tblHeader/>
        </w:trPr>
        <w:tc>
          <w:tcPr>
            <w:tcW w:w="1013" w:type="pct"/>
            <w:vMerge w:val="restart"/>
            <w:tcBorders>
              <w:right w:val="single" w:sz="6" w:space="0" w:color="EFEFEF"/>
            </w:tcBorders>
            <w:shd w:val="clear" w:color="auto" w:fill="006579" w:themeFill="accent2"/>
            <w:vAlign w:val="bottom"/>
            <w:hideMark/>
          </w:tcPr>
          <w:p w14:paraId="57005CE0" w14:textId="77777777" w:rsidR="00FA2EBD" w:rsidRPr="00A55335" w:rsidRDefault="00FA2EBD" w:rsidP="00ED042C">
            <w:pPr>
              <w:pStyle w:val="Tabletext8pt"/>
              <w:rPr>
                <w:b/>
                <w:bCs/>
                <w:color w:val="F9F9F9" w:themeColor="background1"/>
              </w:rPr>
            </w:pPr>
            <w:r w:rsidRPr="00A55335">
              <w:rPr>
                <w:b/>
                <w:bCs/>
                <w:color w:val="F9F9F9" w:themeColor="background1"/>
              </w:rPr>
              <w:t>Outcomes</w:t>
            </w:r>
          </w:p>
        </w:tc>
        <w:tc>
          <w:tcPr>
            <w:tcW w:w="1447" w:type="pct"/>
            <w:gridSpan w:val="2"/>
            <w:tcBorders>
              <w:top w:val="single" w:sz="6" w:space="0" w:color="EFEFEF"/>
              <w:right w:val="single" w:sz="6" w:space="0" w:color="EFEFEF"/>
            </w:tcBorders>
            <w:shd w:val="clear" w:color="auto" w:fill="E0E0E0"/>
            <w:vAlign w:val="bottom"/>
            <w:hideMark/>
          </w:tcPr>
          <w:p w14:paraId="43F7F017" w14:textId="77777777" w:rsidR="00FA2EBD" w:rsidRPr="00A55335" w:rsidRDefault="00FA2EBD" w:rsidP="00ED042C">
            <w:pPr>
              <w:pStyle w:val="Tabletext8pt"/>
              <w:rPr>
                <w:rStyle w:val="Strong"/>
              </w:rPr>
            </w:pPr>
            <w:r w:rsidRPr="00A55335">
              <w:rPr>
                <w:rStyle w:val="Strong"/>
              </w:rPr>
              <w:t>Anticipated absolute effects* (95% CI)</w:t>
            </w:r>
          </w:p>
        </w:tc>
        <w:tc>
          <w:tcPr>
            <w:tcW w:w="434" w:type="pct"/>
            <w:vMerge w:val="restart"/>
            <w:tcBorders>
              <w:right w:val="single" w:sz="6" w:space="0" w:color="EFEFEF"/>
            </w:tcBorders>
            <w:shd w:val="clear" w:color="auto" w:fill="006579" w:themeFill="accent2"/>
            <w:vAlign w:val="bottom"/>
            <w:hideMark/>
          </w:tcPr>
          <w:p w14:paraId="19C27FB8" w14:textId="77777777" w:rsidR="00FA2EBD" w:rsidRPr="00A55335" w:rsidRDefault="00FA2EBD" w:rsidP="00ED042C">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79" w:type="pct"/>
            <w:vMerge w:val="restart"/>
            <w:tcBorders>
              <w:right w:val="single" w:sz="6" w:space="0" w:color="EFEFEF"/>
            </w:tcBorders>
            <w:shd w:val="clear" w:color="auto" w:fill="006579" w:themeFill="accent2"/>
            <w:vAlign w:val="bottom"/>
            <w:hideMark/>
          </w:tcPr>
          <w:p w14:paraId="55AA75C2" w14:textId="77777777" w:rsidR="00FA2EBD" w:rsidRPr="00A55335" w:rsidRDefault="00FA2EBD" w:rsidP="00ED042C">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06" w:type="pct"/>
            <w:vMerge w:val="restart"/>
            <w:tcBorders>
              <w:right w:val="single" w:sz="6" w:space="0" w:color="EFEFEF"/>
            </w:tcBorders>
            <w:shd w:val="clear" w:color="auto" w:fill="006579" w:themeFill="accent2"/>
            <w:vAlign w:val="bottom"/>
            <w:hideMark/>
          </w:tcPr>
          <w:p w14:paraId="07746AFF" w14:textId="77777777" w:rsidR="00FA2EBD" w:rsidRPr="00A55335" w:rsidRDefault="00FA2EBD" w:rsidP="00ED042C">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992" w:type="pct"/>
            <w:vMerge w:val="restart"/>
            <w:tcBorders>
              <w:right w:val="single" w:sz="6" w:space="0" w:color="EFEFEF"/>
            </w:tcBorders>
            <w:shd w:val="clear" w:color="auto" w:fill="006579" w:themeFill="accent2"/>
            <w:vAlign w:val="bottom"/>
            <w:hideMark/>
          </w:tcPr>
          <w:p w14:paraId="1839721C" w14:textId="1452B01B" w:rsidR="00FA2EBD" w:rsidRPr="00A55335" w:rsidRDefault="009C4988" w:rsidP="00ED042C">
            <w:pPr>
              <w:pStyle w:val="Tabletext8pt"/>
              <w:rPr>
                <w:b/>
                <w:bCs/>
                <w:color w:val="F9F9F9" w:themeColor="background1"/>
              </w:rPr>
            </w:pPr>
            <w:r w:rsidRPr="00A55335">
              <w:rPr>
                <w:b/>
                <w:bCs/>
                <w:color w:val="F9F9F9" w:themeColor="background1"/>
              </w:rPr>
              <w:t>Evidence stat</w:t>
            </w:r>
            <w:r w:rsidR="00055127" w:rsidRPr="00A55335">
              <w:rPr>
                <w:b/>
                <w:bCs/>
                <w:color w:val="F9F9F9" w:themeColor="background1"/>
              </w:rPr>
              <w:t>e</w:t>
            </w:r>
            <w:r w:rsidRPr="00A55335">
              <w:rPr>
                <w:b/>
                <w:bCs/>
                <w:color w:val="F9F9F9" w:themeColor="background1"/>
              </w:rPr>
              <w:t>ment</w:t>
            </w:r>
          </w:p>
        </w:tc>
      </w:tr>
      <w:tr w:rsidR="000F34E0" w:rsidRPr="00A55335" w14:paraId="42833FEE" w14:textId="77777777" w:rsidTr="008920B6">
        <w:trPr>
          <w:gridBefore w:val="1"/>
          <w:wBefore w:w="29" w:type="pct"/>
          <w:cantSplit/>
          <w:tblHeader/>
        </w:trPr>
        <w:tc>
          <w:tcPr>
            <w:tcW w:w="1013" w:type="pct"/>
            <w:vMerge/>
            <w:tcBorders>
              <w:right w:val="single" w:sz="6" w:space="0" w:color="EFEFEF"/>
            </w:tcBorders>
            <w:shd w:val="clear" w:color="auto" w:fill="006579" w:themeFill="accent2"/>
            <w:vAlign w:val="center"/>
            <w:hideMark/>
          </w:tcPr>
          <w:p w14:paraId="705FEFE5" w14:textId="77777777" w:rsidR="00FA2EBD" w:rsidRPr="00A55335" w:rsidRDefault="00FA2EBD" w:rsidP="00ED042C">
            <w:pPr>
              <w:pStyle w:val="Tabletext8pt"/>
              <w:rPr>
                <w:b/>
                <w:bCs/>
                <w:color w:val="F9F9F9" w:themeColor="background1"/>
              </w:rPr>
            </w:pPr>
          </w:p>
        </w:tc>
        <w:tc>
          <w:tcPr>
            <w:tcW w:w="676" w:type="pct"/>
            <w:tcBorders>
              <w:top w:val="single" w:sz="6" w:space="0" w:color="EFEFEF"/>
              <w:right w:val="single" w:sz="6" w:space="0" w:color="EFEFEF"/>
            </w:tcBorders>
            <w:shd w:val="clear" w:color="auto" w:fill="E0E0E0"/>
            <w:vAlign w:val="bottom"/>
            <w:hideMark/>
          </w:tcPr>
          <w:p w14:paraId="2B831077" w14:textId="77777777" w:rsidR="00FA2EBD" w:rsidRPr="00A55335" w:rsidRDefault="00FA2EBD" w:rsidP="00ED042C">
            <w:pPr>
              <w:pStyle w:val="Tabletext8pt"/>
              <w:rPr>
                <w:rStyle w:val="Strong"/>
              </w:rPr>
            </w:pPr>
            <w:r w:rsidRPr="00A55335">
              <w:rPr>
                <w:rStyle w:val="Strong"/>
              </w:rPr>
              <w:t>Risk with placebo</w:t>
            </w:r>
          </w:p>
        </w:tc>
        <w:tc>
          <w:tcPr>
            <w:tcW w:w="771" w:type="pct"/>
            <w:tcBorders>
              <w:top w:val="single" w:sz="6" w:space="0" w:color="EFEFEF"/>
              <w:right w:val="single" w:sz="6" w:space="0" w:color="EFEFEF"/>
            </w:tcBorders>
            <w:shd w:val="clear" w:color="auto" w:fill="E0E0E0"/>
            <w:vAlign w:val="bottom"/>
            <w:hideMark/>
          </w:tcPr>
          <w:p w14:paraId="5E1B6AD6" w14:textId="77777777" w:rsidR="00FA2EBD" w:rsidRPr="00A55335" w:rsidRDefault="00FA2EBD" w:rsidP="00ED042C">
            <w:pPr>
              <w:pStyle w:val="Tabletext8pt"/>
              <w:rPr>
                <w:rStyle w:val="Strong"/>
              </w:rPr>
            </w:pPr>
            <w:r w:rsidRPr="00A55335">
              <w:rPr>
                <w:rStyle w:val="Strong"/>
              </w:rPr>
              <w:t>Risk with homeopathy</w:t>
            </w:r>
          </w:p>
        </w:tc>
        <w:tc>
          <w:tcPr>
            <w:tcW w:w="434" w:type="pct"/>
            <w:vMerge/>
            <w:tcBorders>
              <w:right w:val="single" w:sz="6" w:space="0" w:color="EFEFEF"/>
            </w:tcBorders>
            <w:shd w:val="clear" w:color="auto" w:fill="006579" w:themeFill="accent2"/>
            <w:vAlign w:val="center"/>
            <w:hideMark/>
          </w:tcPr>
          <w:p w14:paraId="5CDE8A21" w14:textId="77777777" w:rsidR="00FA2EBD" w:rsidRPr="00A55335" w:rsidRDefault="00FA2EBD" w:rsidP="00ED042C">
            <w:pPr>
              <w:pStyle w:val="Tabletext8pt"/>
              <w:rPr>
                <w:b/>
                <w:bCs/>
                <w:color w:val="F9F9F9" w:themeColor="background1"/>
              </w:rPr>
            </w:pPr>
          </w:p>
        </w:tc>
        <w:tc>
          <w:tcPr>
            <w:tcW w:w="579" w:type="pct"/>
            <w:vMerge/>
            <w:tcBorders>
              <w:right w:val="single" w:sz="6" w:space="0" w:color="EFEFEF"/>
            </w:tcBorders>
            <w:shd w:val="clear" w:color="auto" w:fill="006579" w:themeFill="accent2"/>
            <w:vAlign w:val="center"/>
            <w:hideMark/>
          </w:tcPr>
          <w:p w14:paraId="6065ED87" w14:textId="77777777" w:rsidR="00FA2EBD" w:rsidRPr="00A55335" w:rsidRDefault="00FA2EBD" w:rsidP="00ED042C">
            <w:pPr>
              <w:pStyle w:val="Tabletext8pt"/>
              <w:rPr>
                <w:b/>
                <w:bCs/>
                <w:color w:val="F9F9F9" w:themeColor="background1"/>
              </w:rPr>
            </w:pPr>
          </w:p>
        </w:tc>
        <w:tc>
          <w:tcPr>
            <w:tcW w:w="506" w:type="pct"/>
            <w:vMerge/>
            <w:tcBorders>
              <w:right w:val="single" w:sz="6" w:space="0" w:color="EFEFEF"/>
            </w:tcBorders>
            <w:shd w:val="clear" w:color="auto" w:fill="006579" w:themeFill="accent2"/>
            <w:vAlign w:val="center"/>
            <w:hideMark/>
          </w:tcPr>
          <w:p w14:paraId="41563034" w14:textId="77777777" w:rsidR="00FA2EBD" w:rsidRPr="00A55335" w:rsidRDefault="00FA2EBD" w:rsidP="00ED042C">
            <w:pPr>
              <w:pStyle w:val="Tabletext8pt"/>
              <w:rPr>
                <w:b/>
                <w:bCs/>
                <w:color w:val="F9F9F9" w:themeColor="background1"/>
              </w:rPr>
            </w:pPr>
          </w:p>
        </w:tc>
        <w:tc>
          <w:tcPr>
            <w:tcW w:w="992" w:type="pct"/>
            <w:vMerge/>
            <w:tcBorders>
              <w:right w:val="single" w:sz="6" w:space="0" w:color="EFEFEF"/>
            </w:tcBorders>
            <w:shd w:val="clear" w:color="auto" w:fill="006579" w:themeFill="accent2"/>
            <w:vAlign w:val="center"/>
            <w:hideMark/>
          </w:tcPr>
          <w:p w14:paraId="228424C4" w14:textId="77777777" w:rsidR="00FA2EBD" w:rsidRPr="00A55335" w:rsidRDefault="00FA2EBD" w:rsidP="00ED042C">
            <w:pPr>
              <w:pStyle w:val="Tabletext8pt"/>
              <w:rPr>
                <w:b/>
                <w:bCs/>
                <w:color w:val="F9F9F9" w:themeColor="background1"/>
              </w:rPr>
            </w:pPr>
          </w:p>
        </w:tc>
      </w:tr>
      <w:tr w:rsidR="00461155" w:rsidRPr="00A55335" w14:paraId="01F169BA" w14:textId="77777777" w:rsidTr="008920B6">
        <w:trPr>
          <w:gridBefore w:val="1"/>
          <w:wBefore w:w="29" w:type="pct"/>
          <w:cantSplit/>
        </w:trPr>
        <w:tc>
          <w:tcPr>
            <w:tcW w:w="1013" w:type="pct"/>
            <w:tcBorders>
              <w:top w:val="single" w:sz="6" w:space="0" w:color="000000"/>
              <w:left w:val="nil"/>
              <w:bottom w:val="single" w:sz="6" w:space="0" w:color="000000"/>
              <w:right w:val="nil"/>
            </w:tcBorders>
            <w:vAlign w:val="center"/>
            <w:hideMark/>
          </w:tcPr>
          <w:p w14:paraId="4038674D" w14:textId="1330A7B1" w:rsidR="00032CD9" w:rsidRPr="00A55335" w:rsidRDefault="00032CD9" w:rsidP="009C4988">
            <w:pPr>
              <w:pStyle w:val="Tabletext8pt"/>
            </w:pPr>
            <w:r w:rsidRPr="00A55335">
              <w:t>Symptom severity</w:t>
            </w:r>
            <w:r w:rsidRPr="00A55335">
              <w:br/>
              <w:t xml:space="preserve">assessed </w:t>
            </w:r>
            <w:proofErr w:type="gramStart"/>
            <w:r w:rsidRPr="00A55335">
              <w:t>with:</w:t>
            </w:r>
            <w:proofErr w:type="gramEnd"/>
            <w:r w:rsidRPr="00A55335">
              <w:t xml:space="preserve"> symptom diary score</w:t>
            </w:r>
            <w:r w:rsidR="00295077" w:rsidRPr="00A55335">
              <w:t xml:space="preserve"> – GERD symptoms</w:t>
            </w:r>
            <w:r w:rsidRPr="00A55335">
              <w:t xml:space="preserve"> (higher is worse)</w:t>
            </w:r>
            <w:r w:rsidRPr="00A55335">
              <w:br/>
              <w:t>Scale from: 0 to 12</w:t>
            </w:r>
            <w:r w:rsidR="0037093F" w:rsidRPr="00A55335">
              <w:br/>
            </w:r>
            <w:r w:rsidRPr="00A55335">
              <w:t>Follow-up: 2 weeks</w:t>
            </w:r>
          </w:p>
        </w:tc>
        <w:tc>
          <w:tcPr>
            <w:tcW w:w="676" w:type="pct"/>
            <w:tcBorders>
              <w:top w:val="single" w:sz="6" w:space="0" w:color="000000"/>
              <w:left w:val="nil"/>
              <w:bottom w:val="single" w:sz="6" w:space="0" w:color="000000"/>
              <w:right w:val="nil"/>
            </w:tcBorders>
            <w:shd w:val="clear" w:color="auto" w:fill="EBEBEB"/>
            <w:vAlign w:val="center"/>
            <w:hideMark/>
          </w:tcPr>
          <w:p w14:paraId="4EDFC6A5" w14:textId="157F0AFC" w:rsidR="00032CD9" w:rsidRPr="00A55335" w:rsidRDefault="009126D3" w:rsidP="007252A0">
            <w:pPr>
              <w:pStyle w:val="Tabletext8pt"/>
              <w:jc w:val="center"/>
            </w:pPr>
            <w:r w:rsidRPr="00A55335">
              <w:t xml:space="preserve">The mean </w:t>
            </w:r>
            <w:r w:rsidR="0037093F" w:rsidRPr="00A55335">
              <w:t xml:space="preserve">symptom severity </w:t>
            </w:r>
            <w:r w:rsidRPr="00A55335">
              <w:t xml:space="preserve">score was </w:t>
            </w:r>
            <w:r w:rsidRPr="00A55335">
              <w:rPr>
                <w:rStyle w:val="Strong"/>
              </w:rPr>
              <w:t>1.85</w:t>
            </w:r>
          </w:p>
        </w:tc>
        <w:tc>
          <w:tcPr>
            <w:tcW w:w="771" w:type="pct"/>
            <w:tcBorders>
              <w:top w:val="single" w:sz="6" w:space="0" w:color="000000"/>
              <w:left w:val="nil"/>
              <w:bottom w:val="single" w:sz="6" w:space="0" w:color="000000"/>
              <w:right w:val="nil"/>
            </w:tcBorders>
            <w:shd w:val="clear" w:color="auto" w:fill="EBEBEB"/>
            <w:vAlign w:val="center"/>
            <w:hideMark/>
          </w:tcPr>
          <w:p w14:paraId="79D48154" w14:textId="7660E5D2" w:rsidR="00032CD9" w:rsidRPr="00A55335" w:rsidRDefault="00032CD9" w:rsidP="007252A0">
            <w:pPr>
              <w:pStyle w:val="Tabletext8pt"/>
              <w:jc w:val="center"/>
            </w:pPr>
            <w:r w:rsidRPr="00A55335">
              <w:t xml:space="preserve">MD </w:t>
            </w:r>
            <w:r w:rsidRPr="00A55335">
              <w:rPr>
                <w:rStyle w:val="Strong"/>
              </w:rPr>
              <w:t>1.1 higher</w:t>
            </w:r>
            <w:r w:rsidRPr="00A55335">
              <w:br/>
              <w:t>(0.56 lower to 2.76 higher)</w:t>
            </w:r>
          </w:p>
        </w:tc>
        <w:tc>
          <w:tcPr>
            <w:tcW w:w="434" w:type="pct"/>
            <w:tcBorders>
              <w:top w:val="single" w:sz="6" w:space="0" w:color="000000"/>
              <w:left w:val="nil"/>
              <w:bottom w:val="single" w:sz="6" w:space="0" w:color="000000"/>
              <w:right w:val="nil"/>
            </w:tcBorders>
            <w:vAlign w:val="center"/>
            <w:hideMark/>
          </w:tcPr>
          <w:p w14:paraId="6872681A" w14:textId="2E4BF7F3" w:rsidR="00032CD9" w:rsidRPr="00A55335" w:rsidRDefault="00032CD9" w:rsidP="007252A0">
            <w:pPr>
              <w:pStyle w:val="Tabletext8pt"/>
              <w:jc w:val="center"/>
            </w:pPr>
            <w:r w:rsidRPr="00A55335">
              <w:t>-</w:t>
            </w:r>
          </w:p>
        </w:tc>
        <w:tc>
          <w:tcPr>
            <w:tcW w:w="579" w:type="pct"/>
            <w:tcBorders>
              <w:top w:val="single" w:sz="6" w:space="0" w:color="000000"/>
              <w:left w:val="nil"/>
              <w:bottom w:val="single" w:sz="6" w:space="0" w:color="000000"/>
              <w:right w:val="nil"/>
            </w:tcBorders>
            <w:vAlign w:val="center"/>
            <w:hideMark/>
          </w:tcPr>
          <w:p w14:paraId="08109F91" w14:textId="62DCF0C0" w:rsidR="00032CD9" w:rsidRPr="00A55335" w:rsidRDefault="00032CD9" w:rsidP="007252A0">
            <w:pPr>
              <w:pStyle w:val="Tabletext8pt"/>
              <w:jc w:val="center"/>
            </w:pPr>
            <w:r w:rsidRPr="00A55335">
              <w:t>24</w:t>
            </w:r>
            <w:r w:rsidRPr="00A55335">
              <w:br/>
              <w:t>(1 RCT)</w:t>
            </w:r>
          </w:p>
        </w:tc>
        <w:tc>
          <w:tcPr>
            <w:tcW w:w="506" w:type="pct"/>
            <w:tcBorders>
              <w:top w:val="single" w:sz="6" w:space="0" w:color="000000"/>
              <w:left w:val="nil"/>
              <w:bottom w:val="single" w:sz="6" w:space="0" w:color="000000"/>
              <w:right w:val="nil"/>
            </w:tcBorders>
            <w:vAlign w:val="center"/>
            <w:hideMark/>
          </w:tcPr>
          <w:p w14:paraId="00C6234B" w14:textId="6CE6B6BC" w:rsidR="00032CD9" w:rsidRPr="00A55335" w:rsidRDefault="00032CD9" w:rsidP="007252A0">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a,b,c,d,e</w:t>
            </w:r>
            <w:proofErr w:type="spellEnd"/>
          </w:p>
        </w:tc>
        <w:tc>
          <w:tcPr>
            <w:tcW w:w="992" w:type="pct"/>
            <w:tcBorders>
              <w:top w:val="single" w:sz="6" w:space="0" w:color="000000"/>
              <w:left w:val="nil"/>
              <w:bottom w:val="single" w:sz="6" w:space="0" w:color="000000"/>
              <w:right w:val="nil"/>
            </w:tcBorders>
            <w:vAlign w:val="center"/>
            <w:hideMark/>
          </w:tcPr>
          <w:p w14:paraId="4C44AEC4" w14:textId="0DB963D9" w:rsidR="00032CD9" w:rsidRPr="00A55335" w:rsidRDefault="00032CD9" w:rsidP="00032CD9">
            <w:pPr>
              <w:pStyle w:val="Tabletext8pt"/>
            </w:pPr>
            <w:r w:rsidRPr="00A55335">
              <w:t xml:space="preserve">The evidence is very uncertain about the effect of homeopathy on symptoms of GERD in people with </w:t>
            </w:r>
            <w:r w:rsidR="002C52DE" w:rsidRPr="00A55335">
              <w:t xml:space="preserve">digestive </w:t>
            </w:r>
            <w:r w:rsidR="009126D3" w:rsidRPr="00A55335">
              <w:t>disorders</w:t>
            </w:r>
            <w:r w:rsidR="002857D7">
              <w:t xml:space="preserve"> </w:t>
            </w:r>
            <w:r w:rsidR="00B3518D">
              <w:t>**</w:t>
            </w:r>
          </w:p>
        </w:tc>
      </w:tr>
      <w:tr w:rsidR="007755F8" w:rsidRPr="00A55335" w14:paraId="453EE650" w14:textId="77777777" w:rsidTr="008920B6">
        <w:trPr>
          <w:cantSplit/>
        </w:trPr>
        <w:tc>
          <w:tcPr>
            <w:tcW w:w="1042" w:type="pct"/>
            <w:gridSpan w:val="2"/>
            <w:tcBorders>
              <w:top w:val="single" w:sz="6" w:space="0" w:color="000000"/>
              <w:left w:val="nil"/>
              <w:bottom w:val="single" w:sz="6" w:space="0" w:color="000000"/>
              <w:right w:val="nil"/>
            </w:tcBorders>
            <w:vAlign w:val="center"/>
          </w:tcPr>
          <w:p w14:paraId="2CD36CAC" w14:textId="25F12F64" w:rsidR="007755F8" w:rsidRPr="00A55335" w:rsidRDefault="007755F8" w:rsidP="00F74F11">
            <w:pPr>
              <w:pStyle w:val="Tabletext8pt"/>
            </w:pPr>
            <w:r w:rsidRPr="00A55335">
              <w:t>Symptom severity</w:t>
            </w:r>
            <w:r w:rsidRPr="00A55335">
              <w:br/>
              <w:t xml:space="preserve">assessed </w:t>
            </w:r>
            <w:proofErr w:type="gramStart"/>
            <w:r w:rsidRPr="00A55335">
              <w:t>with:</w:t>
            </w:r>
            <w:proofErr w:type="gramEnd"/>
            <w:r w:rsidRPr="00A55335">
              <w:t xml:space="preserve"> symptom diary score – dyspepsia symptoms (higher is worse)</w:t>
            </w:r>
            <w:r w:rsidRPr="00A55335">
              <w:br/>
              <w:t>Scale from: 0 to 24</w:t>
            </w:r>
            <w:r w:rsidR="00F74F11" w:rsidRPr="00A55335">
              <w:br/>
            </w:r>
            <w:r w:rsidRPr="00A55335">
              <w:t>Follow-up: 2 weeks</w:t>
            </w:r>
          </w:p>
        </w:tc>
        <w:tc>
          <w:tcPr>
            <w:tcW w:w="676" w:type="pct"/>
            <w:tcBorders>
              <w:top w:val="single" w:sz="6" w:space="0" w:color="000000"/>
              <w:left w:val="nil"/>
              <w:bottom w:val="single" w:sz="6" w:space="0" w:color="000000"/>
              <w:right w:val="nil"/>
            </w:tcBorders>
            <w:shd w:val="clear" w:color="auto" w:fill="EBEBEB"/>
            <w:vAlign w:val="center"/>
          </w:tcPr>
          <w:p w14:paraId="45FCD1C2" w14:textId="4EBA3314" w:rsidR="007755F8" w:rsidRPr="00A55335" w:rsidRDefault="007755F8" w:rsidP="00C030F2">
            <w:pPr>
              <w:pStyle w:val="Tabletext8pt"/>
              <w:jc w:val="center"/>
            </w:pPr>
            <w:r w:rsidRPr="00A55335">
              <w:t xml:space="preserve">The mean </w:t>
            </w:r>
            <w:r w:rsidR="00FF6DE7" w:rsidRPr="00A55335">
              <w:rPr>
                <w:rStyle w:val="cell-value"/>
                <w:rFonts w:eastAsia="Times New Roman"/>
              </w:rPr>
              <w:t xml:space="preserve">symptom severity </w:t>
            </w:r>
            <w:r w:rsidRPr="00A55335">
              <w:t xml:space="preserve">score was </w:t>
            </w:r>
            <w:r w:rsidRPr="00A55335">
              <w:rPr>
                <w:rStyle w:val="Strong"/>
              </w:rPr>
              <w:t>3.5</w:t>
            </w:r>
          </w:p>
        </w:tc>
        <w:tc>
          <w:tcPr>
            <w:tcW w:w="771" w:type="pct"/>
            <w:tcBorders>
              <w:top w:val="single" w:sz="6" w:space="0" w:color="000000"/>
              <w:left w:val="nil"/>
              <w:bottom w:val="single" w:sz="6" w:space="0" w:color="000000"/>
              <w:right w:val="nil"/>
            </w:tcBorders>
            <w:shd w:val="clear" w:color="auto" w:fill="EBEBEB"/>
          </w:tcPr>
          <w:p w14:paraId="0F07E010" w14:textId="77777777" w:rsidR="007755F8" w:rsidRPr="00A55335" w:rsidRDefault="007755F8" w:rsidP="00C030F2">
            <w:pPr>
              <w:pStyle w:val="Tabletext8pt"/>
              <w:jc w:val="center"/>
            </w:pPr>
            <w:r w:rsidRPr="00A55335">
              <w:t xml:space="preserve">MD </w:t>
            </w:r>
            <w:r w:rsidRPr="00A55335">
              <w:rPr>
                <w:rStyle w:val="Strong"/>
              </w:rPr>
              <w:t>0.30 higher</w:t>
            </w:r>
            <w:r w:rsidRPr="00A55335">
              <w:br/>
              <w:t>(1.86 lower to 2.46 higher)</w:t>
            </w:r>
          </w:p>
        </w:tc>
        <w:tc>
          <w:tcPr>
            <w:tcW w:w="434" w:type="pct"/>
            <w:tcBorders>
              <w:top w:val="single" w:sz="6" w:space="0" w:color="000000"/>
              <w:left w:val="nil"/>
              <w:bottom w:val="single" w:sz="6" w:space="0" w:color="000000"/>
              <w:right w:val="nil"/>
            </w:tcBorders>
            <w:vAlign w:val="center"/>
          </w:tcPr>
          <w:p w14:paraId="3C2B7E75" w14:textId="77777777" w:rsidR="007755F8" w:rsidRPr="00A55335" w:rsidRDefault="007755F8" w:rsidP="00C030F2">
            <w:pPr>
              <w:pStyle w:val="Tabletext8pt"/>
              <w:jc w:val="center"/>
            </w:pPr>
            <w:r w:rsidRPr="00A55335">
              <w:t>-</w:t>
            </w:r>
          </w:p>
        </w:tc>
        <w:tc>
          <w:tcPr>
            <w:tcW w:w="579" w:type="pct"/>
            <w:tcBorders>
              <w:top w:val="single" w:sz="6" w:space="0" w:color="000000"/>
              <w:left w:val="nil"/>
              <w:bottom w:val="single" w:sz="6" w:space="0" w:color="000000"/>
              <w:right w:val="nil"/>
            </w:tcBorders>
            <w:vAlign w:val="center"/>
          </w:tcPr>
          <w:p w14:paraId="6B9F34A1" w14:textId="77777777" w:rsidR="007755F8" w:rsidRPr="00A55335" w:rsidRDefault="007755F8" w:rsidP="00C030F2">
            <w:pPr>
              <w:pStyle w:val="Tabletext8pt"/>
              <w:jc w:val="center"/>
            </w:pPr>
            <w:r w:rsidRPr="00A55335">
              <w:t>24</w:t>
            </w:r>
            <w:r w:rsidRPr="00A55335">
              <w:br/>
              <w:t>(1 RCT)</w:t>
            </w:r>
          </w:p>
        </w:tc>
        <w:tc>
          <w:tcPr>
            <w:tcW w:w="506" w:type="pct"/>
            <w:tcBorders>
              <w:top w:val="single" w:sz="6" w:space="0" w:color="000000"/>
              <w:left w:val="nil"/>
              <w:bottom w:val="single" w:sz="6" w:space="0" w:color="000000"/>
              <w:right w:val="nil"/>
            </w:tcBorders>
            <w:vAlign w:val="center"/>
          </w:tcPr>
          <w:p w14:paraId="55B2F46E" w14:textId="77777777" w:rsidR="007755F8" w:rsidRPr="00A55335" w:rsidRDefault="007755F8" w:rsidP="00C030F2">
            <w:pPr>
              <w:pStyle w:val="Tabletext8pt"/>
              <w:jc w:val="center"/>
              <w:rPr>
                <w:rStyle w:val="quality-sign"/>
                <w:rFonts w:ascii="Cambria Math" w:hAnsi="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a,b,c,d,e</w:t>
            </w:r>
            <w:proofErr w:type="spellEnd"/>
          </w:p>
        </w:tc>
        <w:tc>
          <w:tcPr>
            <w:tcW w:w="992" w:type="pct"/>
            <w:tcBorders>
              <w:top w:val="single" w:sz="6" w:space="0" w:color="000000"/>
              <w:left w:val="nil"/>
              <w:bottom w:val="single" w:sz="6" w:space="0" w:color="000000"/>
              <w:right w:val="nil"/>
            </w:tcBorders>
            <w:vAlign w:val="center"/>
          </w:tcPr>
          <w:p w14:paraId="4D580830" w14:textId="6B9C9FCE" w:rsidR="007755F8" w:rsidRPr="00A55335" w:rsidRDefault="007755F8" w:rsidP="00C030F2">
            <w:pPr>
              <w:pStyle w:val="Tabletext8pt"/>
            </w:pPr>
            <w:r w:rsidRPr="00A55335">
              <w:t>The evidence is very uncertain about the effect of homeopathy on symptom</w:t>
            </w:r>
            <w:r w:rsidR="00971013" w:rsidRPr="00A55335">
              <w:t>s</w:t>
            </w:r>
            <w:r w:rsidRPr="00A55335">
              <w:t xml:space="preserve"> of dyspepsia in people with </w:t>
            </w:r>
            <w:r w:rsidR="00971013" w:rsidRPr="00A55335">
              <w:t xml:space="preserve">digestive </w:t>
            </w:r>
            <w:r w:rsidRPr="00A55335">
              <w:t>disorders</w:t>
            </w:r>
            <w:r w:rsidR="002857D7">
              <w:t xml:space="preserve"> **</w:t>
            </w:r>
          </w:p>
        </w:tc>
      </w:tr>
      <w:tr w:rsidR="00580754" w:rsidRPr="00A55335" w14:paraId="27E9261A" w14:textId="77777777" w:rsidTr="008920B6">
        <w:trPr>
          <w:gridBefore w:val="1"/>
          <w:wBefore w:w="29" w:type="pct"/>
          <w:cantSplit/>
        </w:trPr>
        <w:tc>
          <w:tcPr>
            <w:tcW w:w="1013" w:type="pct"/>
            <w:tcBorders>
              <w:top w:val="single" w:sz="6" w:space="0" w:color="000000"/>
              <w:left w:val="nil"/>
              <w:bottom w:val="single" w:sz="6" w:space="0" w:color="000000"/>
              <w:right w:val="nil"/>
            </w:tcBorders>
            <w:vAlign w:val="center"/>
            <w:hideMark/>
          </w:tcPr>
          <w:p w14:paraId="2571BF51" w14:textId="75233CD4" w:rsidR="00032CD9" w:rsidRPr="00A55335" w:rsidRDefault="00032CD9" w:rsidP="009C4988">
            <w:pPr>
              <w:pStyle w:val="Tabletext8pt"/>
            </w:pPr>
            <w:r w:rsidRPr="00A55335">
              <w:t>Quality of life</w:t>
            </w:r>
            <w:r w:rsidRPr="00A55335">
              <w:br/>
              <w:t>assessed with: GERD-HRQL (higher is worse)</w:t>
            </w:r>
            <w:r w:rsidRPr="00A55335">
              <w:br/>
              <w:t>Scale from: 0 to 75</w:t>
            </w:r>
            <w:r w:rsidR="00F74F11" w:rsidRPr="00A55335">
              <w:br/>
            </w:r>
            <w:r w:rsidRPr="00A55335">
              <w:t>Follow-up: 2 weeks</w:t>
            </w:r>
          </w:p>
        </w:tc>
        <w:tc>
          <w:tcPr>
            <w:tcW w:w="676" w:type="pct"/>
            <w:tcBorders>
              <w:top w:val="single" w:sz="6" w:space="0" w:color="000000"/>
              <w:left w:val="nil"/>
              <w:bottom w:val="single" w:sz="6" w:space="0" w:color="000000"/>
              <w:right w:val="nil"/>
            </w:tcBorders>
            <w:shd w:val="clear" w:color="auto" w:fill="EBEBEB"/>
            <w:vAlign w:val="center"/>
            <w:hideMark/>
          </w:tcPr>
          <w:p w14:paraId="17C5497E" w14:textId="37AADAA7" w:rsidR="00032CD9" w:rsidRPr="00A55335" w:rsidRDefault="00032CD9" w:rsidP="007252A0">
            <w:pPr>
              <w:pStyle w:val="Tabletext8pt"/>
              <w:jc w:val="center"/>
            </w:pPr>
            <w:r w:rsidRPr="00A55335">
              <w:t xml:space="preserve">The mean </w:t>
            </w:r>
            <w:r w:rsidR="00FF6DE7" w:rsidRPr="00A55335">
              <w:t xml:space="preserve">HRQL </w:t>
            </w:r>
            <w:r w:rsidRPr="00A55335">
              <w:t xml:space="preserve">score was </w:t>
            </w:r>
            <w:r w:rsidRPr="00A55335">
              <w:rPr>
                <w:rStyle w:val="Strong"/>
              </w:rPr>
              <w:t>17.9</w:t>
            </w:r>
            <w:r w:rsidR="00DB4215" w:rsidRPr="00A55335">
              <w:rPr>
                <w:rStyle w:val="Strong"/>
              </w:rPr>
              <w:t>5</w:t>
            </w:r>
          </w:p>
        </w:tc>
        <w:tc>
          <w:tcPr>
            <w:tcW w:w="771" w:type="pct"/>
            <w:tcBorders>
              <w:top w:val="single" w:sz="6" w:space="0" w:color="000000"/>
              <w:left w:val="nil"/>
              <w:bottom w:val="single" w:sz="6" w:space="0" w:color="000000"/>
              <w:right w:val="nil"/>
            </w:tcBorders>
            <w:shd w:val="clear" w:color="auto" w:fill="EBEBEB"/>
            <w:vAlign w:val="center"/>
            <w:hideMark/>
          </w:tcPr>
          <w:p w14:paraId="06A120B2" w14:textId="23FC3D61" w:rsidR="00032CD9" w:rsidRPr="00A55335" w:rsidRDefault="00032CD9" w:rsidP="007252A0">
            <w:pPr>
              <w:pStyle w:val="Tabletext8pt"/>
              <w:jc w:val="center"/>
            </w:pPr>
            <w:r w:rsidRPr="00A55335">
              <w:t xml:space="preserve">MD </w:t>
            </w:r>
            <w:r w:rsidRPr="00A55335">
              <w:rPr>
                <w:rStyle w:val="Strong"/>
              </w:rPr>
              <w:t>4.35 higher</w:t>
            </w:r>
            <w:r w:rsidRPr="00A55335">
              <w:br/>
              <w:t>(0.51 lower to 9.21 higher)</w:t>
            </w:r>
          </w:p>
        </w:tc>
        <w:tc>
          <w:tcPr>
            <w:tcW w:w="434" w:type="pct"/>
            <w:tcBorders>
              <w:top w:val="single" w:sz="6" w:space="0" w:color="000000"/>
              <w:left w:val="nil"/>
              <w:bottom w:val="single" w:sz="6" w:space="0" w:color="000000"/>
              <w:right w:val="nil"/>
            </w:tcBorders>
            <w:vAlign w:val="center"/>
            <w:hideMark/>
          </w:tcPr>
          <w:p w14:paraId="6E700FCC" w14:textId="1C2373B5" w:rsidR="00032CD9" w:rsidRPr="00B26FE3" w:rsidRDefault="00F51110" w:rsidP="00B26FE3">
            <w:pPr>
              <w:pStyle w:val="Tabletext8pt"/>
              <w:jc w:val="center"/>
            </w:pPr>
            <w:r w:rsidRPr="00B26FE3">
              <w:rPr>
                <w:rStyle w:val="cell"/>
              </w:rPr>
              <w:t>-</w:t>
            </w:r>
          </w:p>
        </w:tc>
        <w:tc>
          <w:tcPr>
            <w:tcW w:w="579" w:type="pct"/>
            <w:tcBorders>
              <w:top w:val="single" w:sz="6" w:space="0" w:color="000000"/>
              <w:left w:val="nil"/>
              <w:bottom w:val="single" w:sz="6" w:space="0" w:color="000000"/>
              <w:right w:val="nil"/>
            </w:tcBorders>
            <w:vAlign w:val="center"/>
            <w:hideMark/>
          </w:tcPr>
          <w:p w14:paraId="5C1AFBB8" w14:textId="78302785" w:rsidR="00032CD9" w:rsidRPr="00A55335" w:rsidRDefault="00032CD9" w:rsidP="007252A0">
            <w:pPr>
              <w:pStyle w:val="Tabletext8pt"/>
              <w:jc w:val="center"/>
            </w:pPr>
            <w:r w:rsidRPr="00A55335">
              <w:t>24</w:t>
            </w:r>
            <w:r w:rsidRPr="00A55335">
              <w:br/>
              <w:t>(1 RCT)</w:t>
            </w:r>
          </w:p>
        </w:tc>
        <w:tc>
          <w:tcPr>
            <w:tcW w:w="506" w:type="pct"/>
            <w:tcBorders>
              <w:top w:val="single" w:sz="6" w:space="0" w:color="000000"/>
              <w:left w:val="nil"/>
              <w:bottom w:val="single" w:sz="6" w:space="0" w:color="000000"/>
              <w:right w:val="nil"/>
            </w:tcBorders>
            <w:vAlign w:val="center"/>
            <w:hideMark/>
          </w:tcPr>
          <w:p w14:paraId="1237B05E" w14:textId="56655DB8" w:rsidR="00032CD9" w:rsidRPr="00A55335" w:rsidRDefault="00032CD9" w:rsidP="007252A0">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a,b,c,d,e</w:t>
            </w:r>
            <w:proofErr w:type="spellEnd"/>
          </w:p>
        </w:tc>
        <w:tc>
          <w:tcPr>
            <w:tcW w:w="992" w:type="pct"/>
            <w:tcBorders>
              <w:top w:val="single" w:sz="6" w:space="0" w:color="000000"/>
              <w:left w:val="nil"/>
              <w:bottom w:val="single" w:sz="6" w:space="0" w:color="000000"/>
              <w:right w:val="nil"/>
            </w:tcBorders>
            <w:vAlign w:val="center"/>
            <w:hideMark/>
          </w:tcPr>
          <w:p w14:paraId="7D75B68C" w14:textId="2D5685BF" w:rsidR="00032CD9" w:rsidRPr="00A55335" w:rsidRDefault="00032CD9" w:rsidP="00032CD9">
            <w:pPr>
              <w:pStyle w:val="Tabletext8pt"/>
            </w:pPr>
            <w:r w:rsidRPr="00A55335">
              <w:t xml:space="preserve">The evidence is very uncertain about the effect of homeopathy on quality of life in people with </w:t>
            </w:r>
            <w:r w:rsidR="005352A3" w:rsidRPr="00A55335">
              <w:t xml:space="preserve">digestive </w:t>
            </w:r>
            <w:r w:rsidR="00F51110" w:rsidRPr="00A55335">
              <w:t>disorders</w:t>
            </w:r>
            <w:r w:rsidR="002857D7">
              <w:t xml:space="preserve"> **</w:t>
            </w:r>
          </w:p>
        </w:tc>
      </w:tr>
      <w:tr w:rsidR="00032CD9" w:rsidRPr="00A55335" w14:paraId="3A28E348" w14:textId="77777777" w:rsidTr="006B1716">
        <w:trPr>
          <w:gridBefore w:val="1"/>
          <w:wBefore w:w="29" w:type="pct"/>
          <w:cantSplit/>
        </w:trPr>
        <w:tc>
          <w:tcPr>
            <w:tcW w:w="4971" w:type="pct"/>
            <w:gridSpan w:val="7"/>
            <w:tcBorders>
              <w:top w:val="single" w:sz="6" w:space="0" w:color="000000"/>
              <w:left w:val="nil"/>
              <w:bottom w:val="single" w:sz="6" w:space="0" w:color="000000"/>
              <w:right w:val="nil"/>
            </w:tcBorders>
            <w:vAlign w:val="center"/>
            <w:hideMark/>
          </w:tcPr>
          <w:p w14:paraId="3691AD0A" w14:textId="77777777" w:rsidR="00FB4BEF" w:rsidRDefault="00032CD9" w:rsidP="00FB4BEF">
            <w:pPr>
              <w:pStyle w:val="TableFigNotes18"/>
            </w:pP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63B57848" w14:textId="3AEF677C" w:rsidR="00032CD9" w:rsidRPr="00A55335" w:rsidRDefault="00FB4BEF" w:rsidP="00032CD9">
            <w:pPr>
              <w:pStyle w:val="TableFigNotes18"/>
            </w:pPr>
            <w:r w:rsidRPr="00FB4BEF">
              <w:t>** Effect estimates were considered on 3 levels: small (MD &lt;10% of the scale), moderate (MD between 10% to 20% of the scale) or large (MD more than 20% of the scale).</w:t>
            </w:r>
          </w:p>
          <w:p w14:paraId="3667760F" w14:textId="43D45612" w:rsidR="00032CD9" w:rsidRPr="00A55335" w:rsidRDefault="00032CD9" w:rsidP="00032CD9">
            <w:pPr>
              <w:pStyle w:val="TableFigNotes0"/>
            </w:pPr>
            <w:r w:rsidRPr="00A55335">
              <w:rPr>
                <w:rStyle w:val="Strong"/>
              </w:rPr>
              <w:t>CI:</w:t>
            </w:r>
            <w:r w:rsidRPr="00A55335">
              <w:t xml:space="preserve"> confidence interval; </w:t>
            </w:r>
            <w:r w:rsidRPr="00A55335">
              <w:rPr>
                <w:rStyle w:val="Strong"/>
              </w:rPr>
              <w:t>GERD:</w:t>
            </w:r>
            <w:r w:rsidRPr="00A55335">
              <w:t xml:space="preserve"> gastroesophageal reflux disease; </w:t>
            </w:r>
            <w:r w:rsidRPr="00A55335">
              <w:rPr>
                <w:rStyle w:val="Strong"/>
              </w:rPr>
              <w:t>GERD-HRQL:</w:t>
            </w:r>
            <w:r w:rsidRPr="00A55335">
              <w:t xml:space="preserve"> GERD-Health-Related Quality of Life Instrument; </w:t>
            </w:r>
            <w:r w:rsidRPr="00A55335">
              <w:rPr>
                <w:rStyle w:val="Strong"/>
              </w:rPr>
              <w:t xml:space="preserve">MD: </w:t>
            </w:r>
            <w:r w:rsidRPr="00A55335">
              <w:t>mean difference</w:t>
            </w:r>
          </w:p>
        </w:tc>
      </w:tr>
      <w:tr w:rsidR="00032CD9" w:rsidRPr="00A55335" w14:paraId="2D55E72B" w14:textId="77777777" w:rsidTr="006B1716">
        <w:trPr>
          <w:gridBefore w:val="1"/>
          <w:wBefore w:w="29" w:type="pct"/>
          <w:cantSplit/>
        </w:trPr>
        <w:tc>
          <w:tcPr>
            <w:tcW w:w="4971" w:type="pct"/>
            <w:gridSpan w:val="7"/>
            <w:tcBorders>
              <w:top w:val="single" w:sz="6" w:space="0" w:color="000000"/>
              <w:left w:val="nil"/>
              <w:bottom w:val="single" w:sz="6" w:space="0" w:color="000000"/>
              <w:right w:val="nil"/>
            </w:tcBorders>
            <w:vAlign w:val="center"/>
            <w:hideMark/>
          </w:tcPr>
          <w:p w14:paraId="4DA42616" w14:textId="77777777" w:rsidR="00032CD9" w:rsidRPr="00A55335" w:rsidRDefault="00032CD9" w:rsidP="00032CD9">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539239E8" w14:textId="77777777" w:rsidR="00FA2EBD" w:rsidRPr="00A55335" w:rsidRDefault="00FA2EBD" w:rsidP="00CD6BB3">
      <w:pPr>
        <w:pStyle w:val="Heading5a"/>
        <w:rPr>
          <w:lang w:val="en-AU"/>
        </w:rPr>
      </w:pPr>
      <w:r w:rsidRPr="00A55335">
        <w:rPr>
          <w:lang w:val="en-AU"/>
        </w:rPr>
        <w:t>Explanations</w:t>
      </w:r>
    </w:p>
    <w:p w14:paraId="2BC45897" w14:textId="043C8369" w:rsidR="00FA2EBD" w:rsidRPr="00A55335" w:rsidRDefault="00FA2EBD" w:rsidP="00F92934">
      <w:pPr>
        <w:pStyle w:val="Footnote"/>
      </w:pPr>
      <w:r w:rsidRPr="00A55335">
        <w:t xml:space="preserve">a. </w:t>
      </w:r>
      <w:r w:rsidR="00F8636F" w:rsidRPr="00A55335">
        <w:t>No s</w:t>
      </w:r>
      <w:r w:rsidRPr="00A55335">
        <w:t xml:space="preserve">erious risk of bias. Certainty of evidence </w:t>
      </w:r>
      <w:r w:rsidR="00F8636F" w:rsidRPr="00A55335">
        <w:t xml:space="preserve">not </w:t>
      </w:r>
      <w:r w:rsidRPr="00A55335">
        <w:t>downgraded.</w:t>
      </w:r>
    </w:p>
    <w:p w14:paraId="2687747F" w14:textId="7C59962A" w:rsidR="00FA2EBD" w:rsidRPr="00A55335" w:rsidRDefault="00FA2EBD" w:rsidP="00F92934">
      <w:pPr>
        <w:pStyle w:val="Footnote"/>
      </w:pPr>
      <w:r w:rsidRPr="00A55335">
        <w:t xml:space="preserve">b. </w:t>
      </w:r>
      <w:r w:rsidR="00252241" w:rsidRPr="00A55335">
        <w:t>Single</w:t>
      </w:r>
      <w:r w:rsidRPr="00A55335">
        <w:t xml:space="preserve"> study</w:t>
      </w:r>
      <w:r w:rsidR="00252241" w:rsidRPr="00A55335">
        <w:t>. Inconsistency not assessed</w:t>
      </w:r>
      <w:r w:rsidRPr="00A55335">
        <w:t>. Certainty of evidence not downgraded.</w:t>
      </w:r>
    </w:p>
    <w:p w14:paraId="358CE53C" w14:textId="21BFAEE0" w:rsidR="00FA2EBD" w:rsidRPr="00A55335" w:rsidRDefault="00FA2EBD" w:rsidP="00F92934">
      <w:pPr>
        <w:pStyle w:val="Footnote"/>
      </w:pPr>
      <w:r w:rsidRPr="00A55335">
        <w:t xml:space="preserve">c. No serious indirectness. </w:t>
      </w:r>
      <w:r w:rsidR="00B62B02" w:rsidRPr="00A55335">
        <w:t>The available evidence is in a people with GERD and is</w:t>
      </w:r>
      <w:r w:rsidRPr="00A55335">
        <w:t xml:space="preserve"> directly generalisable to the Australian healthcare </w:t>
      </w:r>
      <w:r w:rsidR="000107D3" w:rsidRPr="00A55335">
        <w:t xml:space="preserve">context </w:t>
      </w:r>
      <w:r w:rsidR="00B62B02" w:rsidRPr="00A55335">
        <w:t>with few caveats</w:t>
      </w:r>
      <w:r w:rsidRPr="00A55335">
        <w:t>. Certainty of evidence not downgraded.</w:t>
      </w:r>
    </w:p>
    <w:p w14:paraId="7942F201" w14:textId="61094F3A" w:rsidR="00FA2EBD" w:rsidRPr="00A55335" w:rsidRDefault="00FA2EBD" w:rsidP="00F92934">
      <w:pPr>
        <w:pStyle w:val="Footnote"/>
      </w:pPr>
      <w:r w:rsidRPr="00A55335">
        <w:t xml:space="preserve">d. </w:t>
      </w:r>
      <w:r w:rsidR="00B62B02" w:rsidRPr="00A55335">
        <w:t>Very s</w:t>
      </w:r>
      <w:r w:rsidRPr="00A55335">
        <w:t xml:space="preserve">erious imprecision. </w:t>
      </w:r>
      <w:r w:rsidR="00B62B02" w:rsidRPr="00A55335">
        <w:t>One small study with w</w:t>
      </w:r>
      <w:r w:rsidRPr="00A55335">
        <w:t xml:space="preserve">ide confidence intervals </w:t>
      </w:r>
      <w:r w:rsidR="00A37B06" w:rsidRPr="00A55335">
        <w:t xml:space="preserve">(upper and lower bound </w:t>
      </w:r>
      <w:r w:rsidRPr="00A55335">
        <w:t>include both meaningful benefit and meaningful harm</w:t>
      </w:r>
      <w:r w:rsidR="00A37B06" w:rsidRPr="00A55335">
        <w:t>)</w:t>
      </w:r>
      <w:r w:rsidRPr="00A55335">
        <w:t>. Certainty of evidence downgraded</w:t>
      </w:r>
      <w:r w:rsidR="00B62B02" w:rsidRPr="00A55335">
        <w:t xml:space="preserve"> 2 levels</w:t>
      </w:r>
      <w:r w:rsidRPr="00A55335">
        <w:t>.</w:t>
      </w:r>
    </w:p>
    <w:p w14:paraId="48B35746" w14:textId="4D1E15F6" w:rsidR="00CD6BB3" w:rsidRPr="00A55335" w:rsidRDefault="00FA2EBD" w:rsidP="00F92934">
      <w:pPr>
        <w:pStyle w:val="Footnote"/>
      </w:pPr>
      <w:r w:rsidRPr="00A55335">
        <w:lastRenderedPageBreak/>
        <w:t>e. Publication bias</w:t>
      </w:r>
      <w:r w:rsidR="00F95D61" w:rsidRPr="00A55335">
        <w:t xml:space="preserve"> </w:t>
      </w:r>
      <w:r w:rsidRPr="00A55335">
        <w:t>suspected.</w:t>
      </w:r>
      <w:r w:rsidR="00D5049D" w:rsidRPr="00A55335">
        <w:t xml:space="preserve"> The available evidence is limited to one small study. There is a strong suspicion of non-reporting of results because the </w:t>
      </w:r>
      <w:r w:rsidR="00D5049D" w:rsidRPr="00A55335">
        <w:rPr>
          <w:rStyle w:val="Emphasis"/>
        </w:rPr>
        <w:t>p</w:t>
      </w:r>
      <w:r w:rsidR="00D5049D" w:rsidRPr="00A55335">
        <w:t xml:space="preserve"> value, magnitude or direction of the results generated were considered unfavourable by the study investigators. </w:t>
      </w:r>
      <w:r w:rsidRPr="00A55335">
        <w:t>Certainty of evidence downgraded.</w:t>
      </w:r>
    </w:p>
    <w:p w14:paraId="400F877F" w14:textId="1E2835E4" w:rsidR="007D0F82" w:rsidRPr="00A55335" w:rsidRDefault="006070ED" w:rsidP="007D0F82">
      <w:pPr>
        <w:pStyle w:val="Heading4"/>
      </w:pPr>
      <w:r w:rsidRPr="00A55335">
        <w:t>Secondary Comparison</w:t>
      </w:r>
      <w:r w:rsidR="007D0F82" w:rsidRPr="00A55335">
        <w:t xml:space="preserve"> (vs </w:t>
      </w:r>
      <w:r w:rsidRPr="00A55335">
        <w:t xml:space="preserve">inactive </w:t>
      </w:r>
      <w:r w:rsidR="007D0F82" w:rsidRPr="00A55335">
        <w:t xml:space="preserve">control) </w:t>
      </w:r>
    </w:p>
    <w:p w14:paraId="140A9D11" w14:textId="038D5A9B" w:rsidR="006B1716" w:rsidRPr="00A55335" w:rsidRDefault="006B1716" w:rsidP="006B1716">
      <w:pPr>
        <w:pStyle w:val="BodyText"/>
      </w:pPr>
      <w:r w:rsidRPr="00A55335">
        <w:t xml:space="preserve">There were no studies identified comparing homeopathy to </w:t>
      </w:r>
      <w:r w:rsidR="00044491" w:rsidRPr="00A55335">
        <w:t>inactive control</w:t>
      </w:r>
      <w:r w:rsidRPr="00A55335">
        <w:t xml:space="preserve"> in infants with colic. The effect of homeopathy compared to </w:t>
      </w:r>
      <w:r w:rsidR="00044491" w:rsidRPr="00A55335">
        <w:t>inactive control</w:t>
      </w:r>
      <w:r w:rsidRPr="00A55335">
        <w:t xml:space="preserve"> is unknown.</w:t>
      </w:r>
    </w:p>
    <w:p w14:paraId="085D0819" w14:textId="77777777" w:rsidR="00044491" w:rsidRPr="00A55335" w:rsidRDefault="00044491" w:rsidP="00EB24B9">
      <w:pPr>
        <w:pStyle w:val="BodyText"/>
      </w:pPr>
    </w:p>
    <w:tbl>
      <w:tblPr>
        <w:tblW w:w="4997" w:type="pct"/>
        <w:tblInd w:w="6" w:type="dxa"/>
        <w:tblLayout w:type="fixed"/>
        <w:tblCellMar>
          <w:top w:w="50" w:type="dxa"/>
          <w:left w:w="50" w:type="dxa"/>
          <w:bottom w:w="50" w:type="dxa"/>
          <w:right w:w="50" w:type="dxa"/>
        </w:tblCellMar>
        <w:tblLook w:val="04A0" w:firstRow="1" w:lastRow="0" w:firstColumn="1" w:lastColumn="0" w:noHBand="0" w:noVBand="1"/>
      </w:tblPr>
      <w:tblGrid>
        <w:gridCol w:w="1985"/>
        <w:gridCol w:w="1325"/>
        <w:gridCol w:w="1511"/>
        <w:gridCol w:w="849"/>
        <w:gridCol w:w="1134"/>
        <w:gridCol w:w="991"/>
        <w:gridCol w:w="1944"/>
      </w:tblGrid>
      <w:tr w:rsidR="00321AF2" w:rsidRPr="00A55335" w14:paraId="71CEF174" w14:textId="77777777" w:rsidTr="00645061">
        <w:trPr>
          <w:cantSplit/>
          <w:tblHeader/>
        </w:trPr>
        <w:tc>
          <w:tcPr>
            <w:tcW w:w="5000" w:type="pct"/>
            <w:gridSpan w:val="7"/>
            <w:tcBorders>
              <w:top w:val="single" w:sz="12" w:space="0" w:color="000000"/>
              <w:left w:val="nil"/>
              <w:bottom w:val="single" w:sz="12" w:space="0" w:color="000000"/>
              <w:right w:val="nil"/>
            </w:tcBorders>
            <w:vAlign w:val="center"/>
            <w:hideMark/>
          </w:tcPr>
          <w:p w14:paraId="652C5BE9" w14:textId="4EE0FCE2" w:rsidR="00321AF2" w:rsidRPr="00A55335" w:rsidRDefault="00321AF2" w:rsidP="00EB24B9">
            <w:pPr>
              <w:pStyle w:val="TableH1"/>
              <w:rPr>
                <w:lang w:val="en-AU"/>
              </w:rPr>
            </w:pPr>
            <w:r w:rsidRPr="00A55335">
              <w:rPr>
                <w:lang w:val="en-AU"/>
              </w:rPr>
              <w:t xml:space="preserve">Homeopathy compared to </w:t>
            </w:r>
            <w:r w:rsidR="006352A8" w:rsidRPr="00A55335">
              <w:rPr>
                <w:lang w:val="en-AU"/>
              </w:rPr>
              <w:t xml:space="preserve">inactive </w:t>
            </w:r>
            <w:r w:rsidRPr="00A55335">
              <w:rPr>
                <w:lang w:val="en-AU"/>
              </w:rPr>
              <w:t xml:space="preserve">control for </w:t>
            </w:r>
            <w:r w:rsidR="000D1BA5" w:rsidRPr="00A55335">
              <w:rPr>
                <w:lang w:val="en-AU"/>
              </w:rPr>
              <w:t>O</w:t>
            </w:r>
            <w:r w:rsidRPr="00A55335">
              <w:rPr>
                <w:lang w:val="en-AU"/>
              </w:rPr>
              <w:t>ther digestive disorders</w:t>
            </w:r>
          </w:p>
        </w:tc>
      </w:tr>
      <w:tr w:rsidR="00321AF2" w:rsidRPr="00A55335" w14:paraId="7DCDF9DB" w14:textId="77777777" w:rsidTr="00645061">
        <w:trPr>
          <w:cantSplit/>
          <w:tblHeader/>
        </w:trPr>
        <w:tc>
          <w:tcPr>
            <w:tcW w:w="5000" w:type="pct"/>
            <w:gridSpan w:val="7"/>
            <w:tcBorders>
              <w:top w:val="single" w:sz="12" w:space="0" w:color="000000"/>
              <w:left w:val="nil"/>
              <w:bottom w:val="single" w:sz="12" w:space="0" w:color="000000"/>
              <w:right w:val="nil"/>
            </w:tcBorders>
            <w:vAlign w:val="center"/>
            <w:hideMark/>
          </w:tcPr>
          <w:p w14:paraId="2B11D9FD" w14:textId="63E6AF85" w:rsidR="00321AF2" w:rsidRPr="00A55335" w:rsidRDefault="00321AF2" w:rsidP="00EB24B9">
            <w:pPr>
              <w:pStyle w:val="Tabletext9pt"/>
            </w:pPr>
            <w:r w:rsidRPr="00A55335">
              <w:rPr>
                <w:rStyle w:val="Strong"/>
              </w:rPr>
              <w:t>Patient or population:</w:t>
            </w:r>
            <w:r w:rsidRPr="00A55335">
              <w:t xml:space="preserve"> </w:t>
            </w:r>
            <w:r w:rsidR="00044491" w:rsidRPr="00A55335">
              <w:t>O</w:t>
            </w:r>
            <w:r w:rsidR="007C7D86" w:rsidRPr="00A55335">
              <w:t>ther digestive disorders</w:t>
            </w:r>
          </w:p>
          <w:p w14:paraId="66E499A5" w14:textId="77777777" w:rsidR="00321AF2" w:rsidRPr="00A55335" w:rsidRDefault="00321AF2" w:rsidP="00EB24B9">
            <w:pPr>
              <w:pStyle w:val="Tabletext9pt"/>
            </w:pPr>
            <w:r w:rsidRPr="00A55335">
              <w:rPr>
                <w:rStyle w:val="Strong"/>
              </w:rPr>
              <w:t>Setting:</w:t>
            </w:r>
            <w:r w:rsidRPr="00A55335">
              <w:t xml:space="preserve"> Community</w:t>
            </w:r>
          </w:p>
          <w:p w14:paraId="6AE74DDE" w14:textId="77777777" w:rsidR="00321AF2" w:rsidRPr="00A55335" w:rsidRDefault="00321AF2" w:rsidP="00EB24B9">
            <w:pPr>
              <w:pStyle w:val="Tabletext9pt"/>
            </w:pPr>
            <w:r w:rsidRPr="00A55335">
              <w:rPr>
                <w:rStyle w:val="Strong"/>
              </w:rPr>
              <w:t>Intervention:</w:t>
            </w:r>
            <w:r w:rsidRPr="00A55335">
              <w:t xml:space="preserve"> Homeopathy</w:t>
            </w:r>
          </w:p>
          <w:p w14:paraId="46A33250" w14:textId="63AA8033" w:rsidR="00321AF2" w:rsidRPr="00A55335" w:rsidRDefault="00321AF2" w:rsidP="00EB24B9">
            <w:pPr>
              <w:pStyle w:val="Tabletext9pt"/>
            </w:pPr>
            <w:r w:rsidRPr="00A55335">
              <w:rPr>
                <w:rStyle w:val="Strong"/>
              </w:rPr>
              <w:t>Comparison:</w:t>
            </w:r>
            <w:r w:rsidRPr="00A55335">
              <w:t xml:space="preserve"> </w:t>
            </w:r>
            <w:r w:rsidR="006352A8" w:rsidRPr="00A55335">
              <w:t xml:space="preserve">inactive control </w:t>
            </w:r>
            <w:r w:rsidRPr="00A55335">
              <w:t>(usual care)</w:t>
            </w:r>
          </w:p>
        </w:tc>
      </w:tr>
      <w:tr w:rsidR="0028257F" w:rsidRPr="00A55335" w14:paraId="20DC160D" w14:textId="77777777" w:rsidTr="00645061">
        <w:trPr>
          <w:cantSplit/>
          <w:tblHeader/>
        </w:trPr>
        <w:tc>
          <w:tcPr>
            <w:tcW w:w="1019" w:type="pct"/>
            <w:vMerge w:val="restart"/>
            <w:tcBorders>
              <w:right w:val="single" w:sz="6" w:space="0" w:color="EFEFEF"/>
            </w:tcBorders>
            <w:shd w:val="clear" w:color="auto" w:fill="006579"/>
            <w:vAlign w:val="center"/>
            <w:hideMark/>
          </w:tcPr>
          <w:p w14:paraId="61F73BBF" w14:textId="77777777" w:rsidR="00321AF2" w:rsidRPr="00A55335" w:rsidRDefault="00321AF2" w:rsidP="00EB24B9">
            <w:pPr>
              <w:pStyle w:val="Tabletext8pt"/>
              <w:rPr>
                <w:b/>
                <w:bCs/>
                <w:color w:val="F9F9F9" w:themeColor="background1"/>
              </w:rPr>
            </w:pPr>
            <w:r w:rsidRPr="00A55335">
              <w:rPr>
                <w:b/>
                <w:bCs/>
                <w:color w:val="F9F9F9" w:themeColor="background1"/>
              </w:rPr>
              <w:t>Outcomes</w:t>
            </w:r>
          </w:p>
        </w:tc>
        <w:tc>
          <w:tcPr>
            <w:tcW w:w="1455" w:type="pct"/>
            <w:gridSpan w:val="2"/>
            <w:tcBorders>
              <w:top w:val="single" w:sz="6" w:space="0" w:color="EFEFEF"/>
              <w:right w:val="single" w:sz="6" w:space="0" w:color="EFEFEF"/>
            </w:tcBorders>
            <w:shd w:val="clear" w:color="auto" w:fill="E0E0E0"/>
            <w:vAlign w:val="center"/>
            <w:hideMark/>
          </w:tcPr>
          <w:p w14:paraId="64BBEB85" w14:textId="77777777" w:rsidR="00321AF2" w:rsidRPr="00A55335" w:rsidRDefault="00321AF2" w:rsidP="00EB24B9">
            <w:pPr>
              <w:pStyle w:val="Tabletext8pt"/>
              <w:rPr>
                <w:rStyle w:val="Strong"/>
              </w:rPr>
            </w:pPr>
            <w:r w:rsidRPr="00A55335">
              <w:rPr>
                <w:rStyle w:val="Strong"/>
              </w:rPr>
              <w:t>Anticipated absolute effects* (95% CI)</w:t>
            </w:r>
          </w:p>
        </w:tc>
        <w:tc>
          <w:tcPr>
            <w:tcW w:w="436" w:type="pct"/>
            <w:vMerge w:val="restart"/>
            <w:tcBorders>
              <w:right w:val="single" w:sz="6" w:space="0" w:color="EFEFEF"/>
            </w:tcBorders>
            <w:shd w:val="clear" w:color="auto" w:fill="006579"/>
            <w:vAlign w:val="center"/>
            <w:hideMark/>
          </w:tcPr>
          <w:p w14:paraId="1847450E" w14:textId="77777777" w:rsidR="00321AF2" w:rsidRPr="00A55335" w:rsidRDefault="00321AF2" w:rsidP="00EB24B9">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2" w:type="pct"/>
            <w:vMerge w:val="restart"/>
            <w:tcBorders>
              <w:right w:val="single" w:sz="6" w:space="0" w:color="EFEFEF"/>
            </w:tcBorders>
            <w:shd w:val="clear" w:color="auto" w:fill="006579"/>
            <w:vAlign w:val="center"/>
            <w:hideMark/>
          </w:tcPr>
          <w:p w14:paraId="0130E79B" w14:textId="77777777" w:rsidR="00321AF2" w:rsidRPr="00A55335" w:rsidRDefault="00321AF2" w:rsidP="00EB24B9">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09" w:type="pct"/>
            <w:vMerge w:val="restart"/>
            <w:tcBorders>
              <w:right w:val="single" w:sz="6" w:space="0" w:color="EFEFEF"/>
            </w:tcBorders>
            <w:shd w:val="clear" w:color="auto" w:fill="006579"/>
            <w:vAlign w:val="center"/>
            <w:hideMark/>
          </w:tcPr>
          <w:p w14:paraId="4C31DDA7" w14:textId="77777777" w:rsidR="00321AF2" w:rsidRPr="00A55335" w:rsidRDefault="00321AF2" w:rsidP="00EB24B9">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998" w:type="pct"/>
            <w:vMerge w:val="restart"/>
            <w:tcBorders>
              <w:right w:val="single" w:sz="6" w:space="0" w:color="EFEFEF"/>
            </w:tcBorders>
            <w:shd w:val="clear" w:color="auto" w:fill="006579"/>
            <w:vAlign w:val="center"/>
            <w:hideMark/>
          </w:tcPr>
          <w:p w14:paraId="3011404A" w14:textId="77777777" w:rsidR="00321AF2" w:rsidRPr="00A55335" w:rsidRDefault="00321AF2" w:rsidP="00EB24B9">
            <w:pPr>
              <w:pStyle w:val="Tabletext8pt"/>
              <w:rPr>
                <w:b/>
                <w:bCs/>
                <w:color w:val="F9F9F9" w:themeColor="background1"/>
              </w:rPr>
            </w:pPr>
            <w:r w:rsidRPr="00A55335">
              <w:rPr>
                <w:b/>
                <w:bCs/>
                <w:color w:val="F9F9F9" w:themeColor="background1"/>
              </w:rPr>
              <w:t>Evidence statement</w:t>
            </w:r>
          </w:p>
        </w:tc>
      </w:tr>
      <w:tr w:rsidR="008C4A86" w:rsidRPr="00A55335" w14:paraId="57C2F0BE" w14:textId="77777777" w:rsidTr="008920B6">
        <w:trPr>
          <w:cantSplit/>
          <w:tblHeader/>
        </w:trPr>
        <w:tc>
          <w:tcPr>
            <w:tcW w:w="1019" w:type="pct"/>
            <w:vMerge/>
            <w:tcBorders>
              <w:right w:val="single" w:sz="6" w:space="0" w:color="EFEFEF"/>
            </w:tcBorders>
            <w:shd w:val="clear" w:color="auto" w:fill="006579"/>
            <w:vAlign w:val="center"/>
            <w:hideMark/>
          </w:tcPr>
          <w:p w14:paraId="3646A8EB" w14:textId="77777777" w:rsidR="00321AF2" w:rsidRPr="00A55335" w:rsidRDefault="00321AF2" w:rsidP="00645061">
            <w:pPr>
              <w:pStyle w:val="Tabletext8pt"/>
              <w:rPr>
                <w:b/>
                <w:bCs/>
                <w:color w:val="F9F9F9" w:themeColor="background1"/>
              </w:rPr>
            </w:pPr>
          </w:p>
        </w:tc>
        <w:tc>
          <w:tcPr>
            <w:tcW w:w="680" w:type="pct"/>
            <w:tcBorders>
              <w:top w:val="single" w:sz="6" w:space="0" w:color="EFEFEF"/>
              <w:right w:val="single" w:sz="6" w:space="0" w:color="EFEFEF"/>
            </w:tcBorders>
            <w:shd w:val="clear" w:color="auto" w:fill="E0E0E0"/>
            <w:vAlign w:val="center"/>
            <w:hideMark/>
          </w:tcPr>
          <w:p w14:paraId="4FCB220D" w14:textId="77777777" w:rsidR="00321AF2" w:rsidRPr="00A55335" w:rsidRDefault="00321AF2" w:rsidP="00645061">
            <w:pPr>
              <w:pStyle w:val="Tabletext8pt"/>
              <w:rPr>
                <w:rStyle w:val="Strong"/>
              </w:rPr>
            </w:pPr>
            <w:r w:rsidRPr="00A55335">
              <w:rPr>
                <w:rStyle w:val="Strong"/>
              </w:rPr>
              <w:t>Risk with placebo</w:t>
            </w:r>
          </w:p>
        </w:tc>
        <w:tc>
          <w:tcPr>
            <w:tcW w:w="776" w:type="pct"/>
            <w:tcBorders>
              <w:top w:val="single" w:sz="6" w:space="0" w:color="EFEFEF"/>
              <w:right w:val="single" w:sz="6" w:space="0" w:color="EFEFEF"/>
            </w:tcBorders>
            <w:shd w:val="clear" w:color="auto" w:fill="E0E0E0"/>
            <w:vAlign w:val="center"/>
            <w:hideMark/>
          </w:tcPr>
          <w:p w14:paraId="3EE62F07" w14:textId="77777777" w:rsidR="00321AF2" w:rsidRPr="00A55335" w:rsidRDefault="00321AF2" w:rsidP="00645061">
            <w:pPr>
              <w:pStyle w:val="Tabletext8pt"/>
              <w:rPr>
                <w:rStyle w:val="Strong"/>
              </w:rPr>
            </w:pPr>
            <w:r w:rsidRPr="00A55335">
              <w:rPr>
                <w:rStyle w:val="Strong"/>
              </w:rPr>
              <w:t>Risk with homeopathy</w:t>
            </w:r>
          </w:p>
        </w:tc>
        <w:tc>
          <w:tcPr>
            <w:tcW w:w="436" w:type="pct"/>
            <w:vMerge/>
            <w:tcBorders>
              <w:right w:val="single" w:sz="6" w:space="0" w:color="EFEFEF"/>
            </w:tcBorders>
            <w:shd w:val="clear" w:color="auto" w:fill="006579"/>
            <w:vAlign w:val="center"/>
            <w:hideMark/>
          </w:tcPr>
          <w:p w14:paraId="1FA7055F" w14:textId="77777777" w:rsidR="00321AF2" w:rsidRPr="00A55335" w:rsidRDefault="00321AF2" w:rsidP="00645061">
            <w:pPr>
              <w:pStyle w:val="Tabletext8pt"/>
              <w:rPr>
                <w:b/>
                <w:bCs/>
                <w:color w:val="F9F9F9" w:themeColor="background1"/>
              </w:rPr>
            </w:pPr>
          </w:p>
        </w:tc>
        <w:tc>
          <w:tcPr>
            <w:tcW w:w="582" w:type="pct"/>
            <w:vMerge/>
            <w:tcBorders>
              <w:right w:val="single" w:sz="6" w:space="0" w:color="EFEFEF"/>
            </w:tcBorders>
            <w:shd w:val="clear" w:color="auto" w:fill="006579"/>
            <w:vAlign w:val="center"/>
            <w:hideMark/>
          </w:tcPr>
          <w:p w14:paraId="6585E194" w14:textId="77777777" w:rsidR="00321AF2" w:rsidRPr="00A55335" w:rsidRDefault="00321AF2" w:rsidP="00645061">
            <w:pPr>
              <w:pStyle w:val="Tabletext8pt"/>
              <w:rPr>
                <w:b/>
                <w:bCs/>
                <w:color w:val="F9F9F9" w:themeColor="background1"/>
              </w:rPr>
            </w:pPr>
          </w:p>
        </w:tc>
        <w:tc>
          <w:tcPr>
            <w:tcW w:w="509" w:type="pct"/>
            <w:vMerge/>
            <w:tcBorders>
              <w:right w:val="single" w:sz="6" w:space="0" w:color="EFEFEF"/>
            </w:tcBorders>
            <w:shd w:val="clear" w:color="auto" w:fill="006579"/>
            <w:vAlign w:val="center"/>
            <w:hideMark/>
          </w:tcPr>
          <w:p w14:paraId="5C2BE353" w14:textId="77777777" w:rsidR="00321AF2" w:rsidRPr="00A55335" w:rsidRDefault="00321AF2" w:rsidP="00645061">
            <w:pPr>
              <w:pStyle w:val="Tabletext8pt"/>
              <w:rPr>
                <w:b/>
                <w:bCs/>
                <w:color w:val="F9F9F9" w:themeColor="background1"/>
              </w:rPr>
            </w:pPr>
          </w:p>
        </w:tc>
        <w:tc>
          <w:tcPr>
            <w:tcW w:w="998" w:type="pct"/>
            <w:vMerge/>
            <w:tcBorders>
              <w:right w:val="single" w:sz="6" w:space="0" w:color="EFEFEF"/>
            </w:tcBorders>
            <w:shd w:val="clear" w:color="auto" w:fill="006579"/>
            <w:vAlign w:val="center"/>
            <w:hideMark/>
          </w:tcPr>
          <w:p w14:paraId="1ABCCAF6" w14:textId="77777777" w:rsidR="00321AF2" w:rsidRPr="00A55335" w:rsidRDefault="00321AF2" w:rsidP="00645061">
            <w:pPr>
              <w:pStyle w:val="Tabletext8pt"/>
              <w:rPr>
                <w:b/>
                <w:bCs/>
                <w:color w:val="F9F9F9" w:themeColor="background1"/>
              </w:rPr>
            </w:pPr>
          </w:p>
        </w:tc>
      </w:tr>
      <w:tr w:rsidR="000D1BA5" w:rsidRPr="00A55335" w14:paraId="61537845" w14:textId="77777777" w:rsidTr="000D1BA5">
        <w:trPr>
          <w:cantSplit/>
        </w:trPr>
        <w:tc>
          <w:tcPr>
            <w:tcW w:w="1019" w:type="pct"/>
            <w:tcBorders>
              <w:top w:val="single" w:sz="6" w:space="0" w:color="000000"/>
              <w:left w:val="nil"/>
              <w:bottom w:val="single" w:sz="6" w:space="0" w:color="000000"/>
              <w:right w:val="nil"/>
            </w:tcBorders>
            <w:vAlign w:val="center"/>
            <w:hideMark/>
          </w:tcPr>
          <w:p w14:paraId="6C9A9DC2" w14:textId="77777777" w:rsidR="00C81B52" w:rsidRPr="00A55335" w:rsidRDefault="00C81B52" w:rsidP="00645061">
            <w:pPr>
              <w:pStyle w:val="Tabletext8pt"/>
            </w:pPr>
            <w:r w:rsidRPr="00A55335">
              <w:t>Symptom severity</w:t>
            </w:r>
            <w:r w:rsidRPr="00A55335">
              <w:br/>
              <w:t>assessed with: MYMOP</w:t>
            </w:r>
            <w:r w:rsidRPr="00A55335">
              <w:br/>
              <w:t>Scale from: 0 to 6</w:t>
            </w:r>
          </w:p>
        </w:tc>
        <w:tc>
          <w:tcPr>
            <w:tcW w:w="680" w:type="pct"/>
            <w:tcBorders>
              <w:top w:val="single" w:sz="6" w:space="0" w:color="000000"/>
              <w:left w:val="nil"/>
              <w:bottom w:val="single" w:sz="6" w:space="0" w:color="000000"/>
              <w:right w:val="nil"/>
            </w:tcBorders>
            <w:shd w:val="clear" w:color="auto" w:fill="EBEBEB"/>
            <w:vAlign w:val="center"/>
          </w:tcPr>
          <w:p w14:paraId="02A31B88" w14:textId="1A5F3F74" w:rsidR="00C81B52" w:rsidRPr="00A55335" w:rsidRDefault="00C81B52" w:rsidP="00645061">
            <w:pPr>
              <w:pStyle w:val="Tabletext8pt"/>
              <w:jc w:val="center"/>
              <w:rPr>
                <w:color w:val="000000"/>
              </w:rPr>
            </w:pPr>
            <w:r w:rsidRPr="00A55335">
              <w:rPr>
                <w:rStyle w:val="cell-value"/>
                <w:rFonts w:eastAsia="Times New Roman"/>
              </w:rPr>
              <w:t xml:space="preserve">The mean </w:t>
            </w:r>
            <w:r w:rsidR="002E4E42" w:rsidRPr="00A55335">
              <w:rPr>
                <w:rStyle w:val="cell-value"/>
                <w:rFonts w:eastAsia="Times New Roman"/>
              </w:rPr>
              <w:t xml:space="preserve">change </w:t>
            </w:r>
            <w:r w:rsidR="0098211A" w:rsidRPr="00A55335">
              <w:rPr>
                <w:rStyle w:val="cell-value"/>
                <w:rFonts w:eastAsia="Times New Roman"/>
              </w:rPr>
              <w:t>score</w:t>
            </w:r>
            <w:r w:rsidR="0088522E" w:rsidRPr="00A55335">
              <w:rPr>
                <w:rStyle w:val="cell-value"/>
                <w:rFonts w:eastAsia="Times New Roman"/>
              </w:rPr>
              <w:t xml:space="preserve"> </w:t>
            </w:r>
            <w:r w:rsidRPr="00A55335">
              <w:rPr>
                <w:rStyle w:val="cell-value"/>
                <w:rFonts w:eastAsia="Times New Roman"/>
              </w:rPr>
              <w:t xml:space="preserve">was </w:t>
            </w:r>
            <w:r w:rsidRPr="00A55335">
              <w:rPr>
                <w:rStyle w:val="cell-value"/>
                <w:rFonts w:eastAsia="Times New Roman"/>
                <w:b/>
                <w:bCs/>
              </w:rPr>
              <w:t>0.53</w:t>
            </w:r>
          </w:p>
        </w:tc>
        <w:tc>
          <w:tcPr>
            <w:tcW w:w="776" w:type="pct"/>
            <w:tcBorders>
              <w:top w:val="single" w:sz="6" w:space="0" w:color="000000"/>
              <w:left w:val="nil"/>
              <w:bottom w:val="single" w:sz="6" w:space="0" w:color="000000"/>
              <w:right w:val="nil"/>
            </w:tcBorders>
            <w:shd w:val="clear" w:color="auto" w:fill="EBEBEB"/>
          </w:tcPr>
          <w:p w14:paraId="4663F437" w14:textId="7C81D59D" w:rsidR="00C81B52" w:rsidRPr="00A55335" w:rsidRDefault="00C81B52" w:rsidP="00645061">
            <w:pPr>
              <w:pStyle w:val="Tabletext8pt"/>
              <w:jc w:val="center"/>
              <w:rPr>
                <w:color w:val="000000"/>
              </w:rPr>
            </w:pPr>
            <w:r w:rsidRPr="00A55335">
              <w:rPr>
                <w:rStyle w:val="cell-value"/>
                <w:rFonts w:eastAsia="Times New Roman"/>
              </w:rPr>
              <w:t xml:space="preserve">MD </w:t>
            </w:r>
            <w:r w:rsidRPr="00A55335">
              <w:rPr>
                <w:rStyle w:val="cell-value"/>
                <w:rFonts w:eastAsia="Times New Roman"/>
                <w:b/>
                <w:bCs/>
              </w:rPr>
              <w:t>0.09 lower</w:t>
            </w:r>
            <w:r w:rsidRPr="00A55335">
              <w:rPr>
                <w:rFonts w:eastAsia="Times New Roman"/>
              </w:rPr>
              <w:br/>
            </w:r>
            <w:r w:rsidRPr="00A55335">
              <w:rPr>
                <w:rStyle w:val="cell-value"/>
                <w:rFonts w:eastAsia="Times New Roman"/>
              </w:rPr>
              <w:t>(1.</w:t>
            </w:r>
            <w:r w:rsidR="002857D7" w:rsidRPr="00A55335">
              <w:rPr>
                <w:rStyle w:val="cell-value"/>
                <w:rFonts w:eastAsia="Times New Roman"/>
              </w:rPr>
              <w:t>0</w:t>
            </w:r>
            <w:r w:rsidR="002857D7">
              <w:rPr>
                <w:rStyle w:val="cell-value"/>
                <w:rFonts w:eastAsia="Times New Roman"/>
              </w:rPr>
              <w:t>8</w:t>
            </w:r>
            <w:r w:rsidR="002857D7" w:rsidRPr="00A55335">
              <w:rPr>
                <w:rStyle w:val="cell-value"/>
                <w:rFonts w:eastAsia="Times New Roman"/>
              </w:rPr>
              <w:t xml:space="preserve"> </w:t>
            </w:r>
            <w:r w:rsidRPr="00A55335">
              <w:rPr>
                <w:rStyle w:val="cell-value"/>
                <w:rFonts w:eastAsia="Times New Roman"/>
              </w:rPr>
              <w:t>lower to 0.</w:t>
            </w:r>
            <w:r w:rsidR="002857D7">
              <w:rPr>
                <w:rStyle w:val="cell-value"/>
                <w:rFonts w:eastAsia="Times New Roman"/>
              </w:rPr>
              <w:t>90</w:t>
            </w:r>
            <w:r w:rsidR="002857D7" w:rsidRPr="00A55335">
              <w:rPr>
                <w:rStyle w:val="cell-value"/>
                <w:rFonts w:eastAsia="Times New Roman"/>
              </w:rPr>
              <w:t xml:space="preserve"> </w:t>
            </w:r>
            <w:r w:rsidRPr="00A55335">
              <w:rPr>
                <w:rStyle w:val="cell-value"/>
                <w:rFonts w:eastAsia="Times New Roman"/>
              </w:rPr>
              <w:t>higher)</w:t>
            </w:r>
          </w:p>
        </w:tc>
        <w:tc>
          <w:tcPr>
            <w:tcW w:w="436" w:type="pct"/>
            <w:tcBorders>
              <w:top w:val="single" w:sz="6" w:space="0" w:color="000000"/>
              <w:left w:val="nil"/>
              <w:bottom w:val="single" w:sz="6" w:space="0" w:color="000000"/>
              <w:right w:val="nil"/>
            </w:tcBorders>
            <w:vAlign w:val="center"/>
            <w:hideMark/>
          </w:tcPr>
          <w:p w14:paraId="039CCA96" w14:textId="77777777" w:rsidR="00C81B52" w:rsidRPr="00B26FE3" w:rsidRDefault="00C81B52" w:rsidP="00B26FE3">
            <w:pPr>
              <w:pStyle w:val="Tabletext8pt"/>
              <w:jc w:val="center"/>
            </w:pPr>
            <w:r w:rsidRPr="00B26FE3">
              <w:rPr>
                <w:rStyle w:val="cell"/>
              </w:rPr>
              <w:t>-</w:t>
            </w:r>
          </w:p>
        </w:tc>
        <w:tc>
          <w:tcPr>
            <w:tcW w:w="582" w:type="pct"/>
            <w:tcBorders>
              <w:top w:val="single" w:sz="6" w:space="0" w:color="000000"/>
              <w:left w:val="nil"/>
              <w:bottom w:val="single" w:sz="6" w:space="0" w:color="000000"/>
              <w:right w:val="nil"/>
            </w:tcBorders>
            <w:vAlign w:val="center"/>
          </w:tcPr>
          <w:p w14:paraId="3114967D" w14:textId="116D04D0" w:rsidR="00C81B52" w:rsidRPr="00A55335" w:rsidRDefault="00C81B52" w:rsidP="00645061">
            <w:pPr>
              <w:pStyle w:val="Tabletext8pt"/>
              <w:jc w:val="center"/>
              <w:rPr>
                <w:color w:val="000000"/>
              </w:rPr>
            </w:pPr>
            <w:r w:rsidRPr="00A55335">
              <w:rPr>
                <w:rFonts w:eastAsia="Times New Roman"/>
              </w:rPr>
              <w:t>40</w:t>
            </w:r>
            <w:r w:rsidRPr="00A55335">
              <w:rPr>
                <w:rFonts w:eastAsia="Times New Roman"/>
              </w:rPr>
              <w:br/>
              <w:t>(1 RCT)</w:t>
            </w:r>
          </w:p>
        </w:tc>
        <w:tc>
          <w:tcPr>
            <w:tcW w:w="509" w:type="pct"/>
            <w:tcBorders>
              <w:top w:val="single" w:sz="6" w:space="0" w:color="000000"/>
              <w:left w:val="nil"/>
              <w:bottom w:val="single" w:sz="6" w:space="0" w:color="000000"/>
              <w:right w:val="nil"/>
            </w:tcBorders>
            <w:vAlign w:val="center"/>
          </w:tcPr>
          <w:p w14:paraId="7DDE0383" w14:textId="00B4B1A8" w:rsidR="00C81B52" w:rsidRPr="00A55335" w:rsidRDefault="00C81B52" w:rsidP="00645061">
            <w:pPr>
              <w:pStyle w:val="Tabletext8pt"/>
              <w:jc w:val="center"/>
              <w:rPr>
                <w:color w:val="000000"/>
              </w:rPr>
            </w:pPr>
            <w:r w:rsidRPr="00A55335">
              <w:rPr>
                <w:rStyle w:val="quality-sign"/>
                <w:rFonts w:ascii="Cambria Math" w:hAnsi="Cambria Math" w:cs="Cambria Math"/>
              </w:rPr>
              <w:t>⨁◯◯◯</w:t>
            </w:r>
            <w:r w:rsidRPr="00A55335">
              <w:rPr>
                <w:rFonts w:eastAsia="Times New Roman"/>
              </w:rPr>
              <w:br/>
            </w:r>
            <w:r w:rsidRPr="00A55335">
              <w:rPr>
                <w:rStyle w:val="QualitytextChar"/>
              </w:rPr>
              <w:t>Very low</w:t>
            </w:r>
            <w:r w:rsidR="00FF6DE7" w:rsidRPr="00A55335">
              <w:rPr>
                <w:rStyle w:val="quality-text"/>
              </w:rPr>
              <w:t xml:space="preserve"> </w:t>
            </w:r>
            <w:proofErr w:type="spellStart"/>
            <w:r w:rsidRPr="00A55335">
              <w:rPr>
                <w:rStyle w:val="FootnoteReference"/>
              </w:rPr>
              <w:t>a,b,c,d,e</w:t>
            </w:r>
            <w:proofErr w:type="spellEnd"/>
          </w:p>
        </w:tc>
        <w:tc>
          <w:tcPr>
            <w:tcW w:w="998" w:type="pct"/>
            <w:tcBorders>
              <w:top w:val="single" w:sz="6" w:space="0" w:color="000000"/>
              <w:left w:val="nil"/>
              <w:bottom w:val="single" w:sz="6" w:space="0" w:color="000000"/>
              <w:right w:val="nil"/>
            </w:tcBorders>
            <w:vAlign w:val="center"/>
            <w:hideMark/>
          </w:tcPr>
          <w:p w14:paraId="4939AB14" w14:textId="2ED0FB4D" w:rsidR="00C81B52" w:rsidRPr="00A55335" w:rsidRDefault="00C81B52" w:rsidP="00645061">
            <w:pPr>
              <w:pStyle w:val="Tabletext8pt"/>
            </w:pPr>
            <w:r w:rsidRPr="00A55335">
              <w:t>The evidence is very uncertain about the effect of homeopathy on symptom</w:t>
            </w:r>
            <w:r w:rsidR="00AA7F06" w:rsidRPr="00A55335">
              <w:t xml:space="preserve"> severity </w:t>
            </w:r>
            <w:r w:rsidRPr="00A55335">
              <w:t>in people with digestive disorders</w:t>
            </w:r>
            <w:r w:rsidR="00334410">
              <w:t xml:space="preserve"> **</w:t>
            </w:r>
          </w:p>
        </w:tc>
      </w:tr>
      <w:tr w:rsidR="000D1BA5" w:rsidRPr="00A55335" w14:paraId="09D57730" w14:textId="77777777" w:rsidTr="000D1BA5">
        <w:trPr>
          <w:cantSplit/>
        </w:trPr>
        <w:tc>
          <w:tcPr>
            <w:tcW w:w="1019" w:type="pct"/>
            <w:tcBorders>
              <w:top w:val="single" w:sz="6" w:space="0" w:color="000000"/>
              <w:left w:val="nil"/>
              <w:bottom w:val="single" w:sz="6" w:space="0" w:color="000000"/>
              <w:right w:val="nil"/>
            </w:tcBorders>
            <w:vAlign w:val="center"/>
            <w:hideMark/>
          </w:tcPr>
          <w:p w14:paraId="73B3D144" w14:textId="77777777" w:rsidR="00AA7F06" w:rsidRPr="00A55335" w:rsidRDefault="00AA7F06" w:rsidP="008A5DAE">
            <w:pPr>
              <w:pStyle w:val="Tabletext8pt"/>
            </w:pPr>
            <w:r w:rsidRPr="00A55335">
              <w:t>Quality of life</w:t>
            </w:r>
            <w:r w:rsidRPr="00A55335">
              <w:br/>
              <w:t>assessed with: SF-36 health survey</w:t>
            </w:r>
            <w:r w:rsidRPr="00A55335">
              <w:br/>
              <w:t>Scale from: 0 to 100</w:t>
            </w:r>
          </w:p>
        </w:tc>
        <w:tc>
          <w:tcPr>
            <w:tcW w:w="680" w:type="pct"/>
            <w:tcBorders>
              <w:top w:val="single" w:sz="6" w:space="0" w:color="000000"/>
              <w:left w:val="nil"/>
              <w:bottom w:val="single" w:sz="6" w:space="0" w:color="000000"/>
              <w:right w:val="nil"/>
            </w:tcBorders>
            <w:shd w:val="clear" w:color="auto" w:fill="EBEBEB"/>
            <w:vAlign w:val="center"/>
          </w:tcPr>
          <w:p w14:paraId="54701A75" w14:textId="517E18A2" w:rsidR="00AA7F06" w:rsidRPr="00A55335" w:rsidRDefault="00AA7F06" w:rsidP="008A5DAE">
            <w:pPr>
              <w:pStyle w:val="Tabletext8pt"/>
              <w:jc w:val="center"/>
              <w:rPr>
                <w:color w:val="000000"/>
              </w:rPr>
            </w:pPr>
            <w:r w:rsidRPr="00A55335">
              <w:rPr>
                <w:rFonts w:eastAsia="Times New Roman"/>
              </w:rPr>
              <w:t>-</w:t>
            </w:r>
          </w:p>
        </w:tc>
        <w:tc>
          <w:tcPr>
            <w:tcW w:w="776" w:type="pct"/>
            <w:tcBorders>
              <w:top w:val="single" w:sz="6" w:space="0" w:color="000000"/>
              <w:left w:val="nil"/>
              <w:bottom w:val="single" w:sz="6" w:space="0" w:color="000000"/>
              <w:right w:val="nil"/>
            </w:tcBorders>
            <w:shd w:val="clear" w:color="auto" w:fill="EBEBEB"/>
          </w:tcPr>
          <w:p w14:paraId="6BB3E4FA" w14:textId="28870A66" w:rsidR="00AA7F06" w:rsidRPr="00A55335" w:rsidRDefault="00AA7F06" w:rsidP="008A5DAE">
            <w:pPr>
              <w:pStyle w:val="Tabletext8pt"/>
              <w:jc w:val="center"/>
              <w:rPr>
                <w:color w:val="000000"/>
              </w:rPr>
            </w:pPr>
            <w:r w:rsidRPr="00A55335">
              <w:rPr>
                <w:rStyle w:val="quality-sign"/>
                <w:rFonts w:ascii="Cambria Math" w:hAnsi="Cambria Math" w:cs="Cambria Math"/>
              </w:rPr>
              <w:t>-</w:t>
            </w:r>
          </w:p>
        </w:tc>
        <w:tc>
          <w:tcPr>
            <w:tcW w:w="436" w:type="pct"/>
            <w:tcBorders>
              <w:top w:val="single" w:sz="6" w:space="0" w:color="000000"/>
              <w:left w:val="nil"/>
              <w:bottom w:val="single" w:sz="6" w:space="0" w:color="000000"/>
              <w:right w:val="nil"/>
            </w:tcBorders>
            <w:vAlign w:val="center"/>
            <w:hideMark/>
          </w:tcPr>
          <w:p w14:paraId="6F6428ED" w14:textId="77777777" w:rsidR="00AA7F06" w:rsidRPr="00B26FE3" w:rsidRDefault="00AA7F06" w:rsidP="00B26FE3">
            <w:pPr>
              <w:pStyle w:val="Tabletext8pt"/>
              <w:jc w:val="center"/>
            </w:pPr>
            <w:r w:rsidRPr="00B26FE3">
              <w:rPr>
                <w:rStyle w:val="cell"/>
              </w:rPr>
              <w:t>-</w:t>
            </w:r>
          </w:p>
        </w:tc>
        <w:tc>
          <w:tcPr>
            <w:tcW w:w="582" w:type="pct"/>
            <w:tcBorders>
              <w:top w:val="single" w:sz="6" w:space="0" w:color="000000"/>
              <w:left w:val="nil"/>
              <w:bottom w:val="single" w:sz="6" w:space="0" w:color="000000"/>
              <w:right w:val="nil"/>
            </w:tcBorders>
            <w:vAlign w:val="center"/>
          </w:tcPr>
          <w:p w14:paraId="708311B1" w14:textId="5FA6B887" w:rsidR="00AA7F06" w:rsidRPr="00A55335" w:rsidRDefault="00AA7F06" w:rsidP="008A5DAE">
            <w:pPr>
              <w:pStyle w:val="Tabletext8pt"/>
              <w:jc w:val="center"/>
              <w:rPr>
                <w:color w:val="000000"/>
              </w:rPr>
            </w:pPr>
            <w:r w:rsidRPr="00A55335">
              <w:rPr>
                <w:rFonts w:eastAsia="Times New Roman"/>
              </w:rPr>
              <w:t>(0 studies)</w:t>
            </w:r>
          </w:p>
        </w:tc>
        <w:tc>
          <w:tcPr>
            <w:tcW w:w="509" w:type="pct"/>
            <w:tcBorders>
              <w:top w:val="single" w:sz="6" w:space="0" w:color="000000"/>
              <w:left w:val="nil"/>
              <w:bottom w:val="single" w:sz="6" w:space="0" w:color="000000"/>
              <w:right w:val="nil"/>
            </w:tcBorders>
            <w:vAlign w:val="center"/>
          </w:tcPr>
          <w:p w14:paraId="6F4AAE68" w14:textId="1A020C34" w:rsidR="00AA7F06" w:rsidRPr="00A55335" w:rsidRDefault="0088522E" w:rsidP="008A5DAE">
            <w:pPr>
              <w:pStyle w:val="Tabletext8pt"/>
              <w:jc w:val="center"/>
              <w:rPr>
                <w:color w:val="000000"/>
              </w:rPr>
            </w:pPr>
            <w:r w:rsidRPr="00A55335">
              <w:rPr>
                <w:rStyle w:val="quality-sign"/>
                <w:rFonts w:ascii="Cambria Math" w:hAnsi="Cambria Math" w:cs="Cambria Math"/>
              </w:rPr>
              <w:t>-</w:t>
            </w:r>
          </w:p>
        </w:tc>
        <w:tc>
          <w:tcPr>
            <w:tcW w:w="998" w:type="pct"/>
            <w:tcBorders>
              <w:top w:val="single" w:sz="6" w:space="0" w:color="000000"/>
              <w:left w:val="nil"/>
              <w:bottom w:val="single" w:sz="6" w:space="0" w:color="000000"/>
              <w:right w:val="nil"/>
            </w:tcBorders>
            <w:vAlign w:val="center"/>
            <w:hideMark/>
          </w:tcPr>
          <w:p w14:paraId="1F11B668" w14:textId="5B9AF5B7" w:rsidR="00AA7F06" w:rsidRPr="00A55335" w:rsidRDefault="00AA7F06" w:rsidP="008A5DAE">
            <w:pPr>
              <w:pStyle w:val="Tabletext8pt"/>
            </w:pPr>
            <w:r w:rsidRPr="00A55335">
              <w:t>The effect of homeopathy on quality of life in people with digestive disorders is unknown</w:t>
            </w:r>
          </w:p>
        </w:tc>
      </w:tr>
      <w:tr w:rsidR="00AA7F06" w:rsidRPr="00A55335" w14:paraId="52C84170" w14:textId="77777777" w:rsidTr="008A5DAE">
        <w:trPr>
          <w:cantSplit/>
        </w:trPr>
        <w:tc>
          <w:tcPr>
            <w:tcW w:w="5000" w:type="pct"/>
            <w:gridSpan w:val="7"/>
            <w:tcBorders>
              <w:top w:val="single" w:sz="6" w:space="0" w:color="000000"/>
              <w:left w:val="nil"/>
              <w:bottom w:val="single" w:sz="6" w:space="0" w:color="000000"/>
              <w:right w:val="nil"/>
            </w:tcBorders>
            <w:vAlign w:val="center"/>
            <w:hideMark/>
          </w:tcPr>
          <w:p w14:paraId="68CEBD20" w14:textId="77777777" w:rsidR="002857D7" w:rsidRDefault="00AA7F06" w:rsidP="008A5DAE">
            <w:pPr>
              <w:pStyle w:val="TableFigNotes18"/>
            </w:pP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r w:rsidR="002857D7">
              <w:t xml:space="preserve"> </w:t>
            </w:r>
          </w:p>
          <w:p w14:paraId="6C368117" w14:textId="7FAB2B17" w:rsidR="00AA7F06" w:rsidRPr="00A55335" w:rsidRDefault="002857D7" w:rsidP="008A5DAE">
            <w:pPr>
              <w:pStyle w:val="TableFigNotes18"/>
            </w:pPr>
            <w:r w:rsidRPr="00FB4BEF">
              <w:t>** Effect estimates were considered on 3 levels: small (MD &lt;10% of the scale), moderate (MD between 10% to 20% of the scale) or large (MD more than 20% of the scale).</w:t>
            </w:r>
          </w:p>
          <w:p w14:paraId="02034705" w14:textId="20911D01" w:rsidR="00AA7F06" w:rsidRPr="00A55335" w:rsidRDefault="00AA7F06" w:rsidP="008A5DAE">
            <w:pPr>
              <w:pStyle w:val="TableFigNotes0"/>
            </w:pPr>
            <w:r w:rsidRPr="00BD1A50">
              <w:rPr>
                <w:rStyle w:val="Strong"/>
              </w:rPr>
              <w:t>CI:</w:t>
            </w:r>
            <w:r w:rsidRPr="00A55335">
              <w:t xml:space="preserve"> confidence interval; </w:t>
            </w:r>
            <w:r w:rsidRPr="00BD1A50">
              <w:rPr>
                <w:rStyle w:val="Strong"/>
              </w:rPr>
              <w:t xml:space="preserve">MYMOP: </w:t>
            </w:r>
            <w:r w:rsidRPr="00A55335">
              <w:t>Measure Yourself Medical Outcome Profile</w:t>
            </w:r>
          </w:p>
        </w:tc>
      </w:tr>
      <w:tr w:rsidR="00AA7F06" w:rsidRPr="00A55335" w14:paraId="338D4B2C" w14:textId="77777777" w:rsidTr="008A5DAE">
        <w:trPr>
          <w:cantSplit/>
        </w:trPr>
        <w:tc>
          <w:tcPr>
            <w:tcW w:w="5000" w:type="pct"/>
            <w:gridSpan w:val="7"/>
            <w:tcBorders>
              <w:top w:val="single" w:sz="6" w:space="0" w:color="000000"/>
              <w:left w:val="nil"/>
              <w:bottom w:val="single" w:sz="6" w:space="0" w:color="000000"/>
              <w:right w:val="nil"/>
            </w:tcBorders>
            <w:vAlign w:val="center"/>
            <w:hideMark/>
          </w:tcPr>
          <w:p w14:paraId="67834F7D" w14:textId="77777777" w:rsidR="00AA7F06" w:rsidRPr="00A55335" w:rsidRDefault="00AA7F06" w:rsidP="008A5DAE">
            <w:pPr>
              <w:pStyle w:val="TableFigNotes0"/>
            </w:pPr>
            <w:r w:rsidRPr="00BD1A50">
              <w:rPr>
                <w:rStyle w:val="Strong"/>
              </w:rPr>
              <w:t>GRADE Working Group grades of evidence</w:t>
            </w:r>
            <w:r w:rsidRPr="00A55335">
              <w:br/>
            </w:r>
            <w:r w:rsidRPr="00BD1A50">
              <w:rPr>
                <w:rStyle w:val="Strong"/>
              </w:rPr>
              <w:t>High certainty:</w:t>
            </w:r>
            <w:r w:rsidRPr="00A55335">
              <w:t xml:space="preserve"> we are very confident that the true effect lies close to that of the estimate of the effect.</w:t>
            </w:r>
            <w:r w:rsidRPr="00A55335">
              <w:br/>
            </w:r>
            <w:r w:rsidRPr="00BD1A50">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BD1A50">
              <w:rPr>
                <w:rStyle w:val="Strong"/>
              </w:rPr>
              <w:t>Low certainty:</w:t>
            </w:r>
            <w:r w:rsidRPr="00A55335">
              <w:t xml:space="preserve"> our confidence in the effect estimate is limited: the true effect may be substantially different from the estimate of the effect.</w:t>
            </w:r>
            <w:r w:rsidRPr="00A55335">
              <w:br/>
            </w:r>
            <w:r w:rsidRPr="00BD1A50">
              <w:rPr>
                <w:rStyle w:val="Strong"/>
              </w:rPr>
              <w:t>Very low certainty:</w:t>
            </w:r>
            <w:r w:rsidRPr="00A55335">
              <w:t xml:space="preserve"> we have very little confidence in the effect estimate: the true effect is likely to be substantially different from the estimate of effect.</w:t>
            </w:r>
          </w:p>
        </w:tc>
      </w:tr>
    </w:tbl>
    <w:p w14:paraId="4E89ABE1" w14:textId="77777777" w:rsidR="00321AF2" w:rsidRPr="00A55335" w:rsidRDefault="00321AF2" w:rsidP="00646EE2">
      <w:pPr>
        <w:pStyle w:val="Heading5a"/>
      </w:pPr>
      <w:r w:rsidRPr="00A55335">
        <w:t>Explanations</w:t>
      </w:r>
    </w:p>
    <w:p w14:paraId="1293A8DD" w14:textId="44B37577" w:rsidR="00321AF2" w:rsidRPr="00A55335" w:rsidRDefault="00321AF2" w:rsidP="008A5DAE">
      <w:pPr>
        <w:pStyle w:val="Footnote"/>
      </w:pPr>
      <w:r w:rsidRPr="00A55335">
        <w:t xml:space="preserve">a. </w:t>
      </w:r>
      <w:proofErr w:type="gramStart"/>
      <w:r w:rsidRPr="00A55335">
        <w:t>Serious</w:t>
      </w:r>
      <w:proofErr w:type="gramEnd"/>
      <w:r w:rsidRPr="00A55335">
        <w:t xml:space="preserve"> risk of bias. One study </w:t>
      </w:r>
      <w:r w:rsidR="00CE2043" w:rsidRPr="00A55335">
        <w:t>contributing 100% of data was at high risk of bias</w:t>
      </w:r>
      <w:r w:rsidRPr="00A55335">
        <w:t>. Certainty of evidence downgraded.</w:t>
      </w:r>
    </w:p>
    <w:p w14:paraId="45C1DCC2" w14:textId="39DC1237" w:rsidR="00321AF2" w:rsidRPr="00A55335" w:rsidRDefault="00321AF2" w:rsidP="008A5DAE">
      <w:pPr>
        <w:pStyle w:val="Footnote"/>
      </w:pPr>
      <w:r w:rsidRPr="00A55335">
        <w:t xml:space="preserve">b. </w:t>
      </w:r>
      <w:r w:rsidR="00CE2043" w:rsidRPr="00A55335">
        <w:t>Single study. I</w:t>
      </w:r>
      <w:r w:rsidRPr="00A55335">
        <w:t xml:space="preserve">nconsistency </w:t>
      </w:r>
      <w:r w:rsidR="00CE2043" w:rsidRPr="00A55335">
        <w:t xml:space="preserve">not assessed. </w:t>
      </w:r>
      <w:r w:rsidRPr="00A55335">
        <w:t>Certainty of evidence not downgraded.</w:t>
      </w:r>
    </w:p>
    <w:p w14:paraId="393EDA57" w14:textId="4AB39E5F" w:rsidR="00321AF2" w:rsidRPr="00A55335" w:rsidRDefault="00321AF2" w:rsidP="008A5DAE">
      <w:pPr>
        <w:pStyle w:val="Footnote"/>
      </w:pPr>
      <w:r w:rsidRPr="00A55335">
        <w:t xml:space="preserve">c. No serious indirectness. </w:t>
      </w:r>
      <w:r w:rsidR="000D1FFB" w:rsidRPr="00A55335">
        <w:t xml:space="preserve">The available evidence is in people with dyspepsia and is directly generalisable to the Australian healthcare context with few caveats. </w:t>
      </w:r>
      <w:r w:rsidRPr="00A55335">
        <w:t>Certainty of evidence not downgraded.</w:t>
      </w:r>
    </w:p>
    <w:p w14:paraId="3B4B099B" w14:textId="0570362C" w:rsidR="00321AF2" w:rsidRPr="00A55335" w:rsidRDefault="00321AF2" w:rsidP="008A5DAE">
      <w:pPr>
        <w:pStyle w:val="Footnote"/>
      </w:pPr>
      <w:r w:rsidRPr="00A55335">
        <w:t xml:space="preserve">d. </w:t>
      </w:r>
      <w:r w:rsidR="000D1FFB" w:rsidRPr="00A55335">
        <w:t>Very s</w:t>
      </w:r>
      <w:r w:rsidRPr="00A55335">
        <w:t xml:space="preserve">erious imprecision. </w:t>
      </w:r>
      <w:r w:rsidR="008D3FF6" w:rsidRPr="00A55335">
        <w:t>Single study with w</w:t>
      </w:r>
      <w:r w:rsidRPr="00A55335">
        <w:t xml:space="preserve">ide confidence intervals </w:t>
      </w:r>
      <w:r w:rsidR="008D3FF6" w:rsidRPr="00A55335">
        <w:t xml:space="preserve">(upper and lower bounds overlap with </w:t>
      </w:r>
      <w:r w:rsidRPr="00A55335">
        <w:t>both meaningful benefit and harm</w:t>
      </w:r>
      <w:r w:rsidR="008D3FF6" w:rsidRPr="00A55335">
        <w:t>)</w:t>
      </w:r>
      <w:r w:rsidRPr="00A55335">
        <w:t>. Certainty of evidence downgraded</w:t>
      </w:r>
      <w:r w:rsidR="008D3FF6" w:rsidRPr="00A55335">
        <w:t xml:space="preserve"> 2 levels</w:t>
      </w:r>
      <w:r w:rsidRPr="00A55335">
        <w:t>.</w:t>
      </w:r>
    </w:p>
    <w:p w14:paraId="7D3632A7" w14:textId="3CDAF6B9" w:rsidR="00321AF2" w:rsidRPr="00A55335" w:rsidRDefault="00321AF2" w:rsidP="008A5DAE">
      <w:pPr>
        <w:pStyle w:val="Footnote"/>
      </w:pPr>
      <w:r w:rsidRPr="00A55335">
        <w:lastRenderedPageBreak/>
        <w:t xml:space="preserve">e. Publication bias suspected. </w:t>
      </w:r>
      <w:r w:rsidR="00D5049D" w:rsidRPr="00A55335">
        <w:t xml:space="preserve">The available evidence is limited to one small study. There is a strong suspicion of non-reporting of results because the </w:t>
      </w:r>
      <w:r w:rsidR="00D5049D" w:rsidRPr="00A55335">
        <w:rPr>
          <w:rStyle w:val="Emphasis"/>
        </w:rPr>
        <w:t>p</w:t>
      </w:r>
      <w:r w:rsidR="00D5049D" w:rsidRPr="00A55335">
        <w:t xml:space="preserve"> value, magnitude or direction of the results generated were considered unfavourable by the study investigators. </w:t>
      </w:r>
      <w:r w:rsidRPr="00A55335">
        <w:t>Certainty of evidence downgraded.</w:t>
      </w:r>
    </w:p>
    <w:p w14:paraId="047C6D76" w14:textId="77777777" w:rsidR="00DD505D" w:rsidRPr="00A55335" w:rsidRDefault="00DD505D" w:rsidP="004D433B">
      <w:pPr>
        <w:pStyle w:val="Heading3"/>
      </w:pPr>
      <w:bookmarkStart w:id="365" w:name="_Toc183441374"/>
      <w:r w:rsidRPr="00A55335">
        <w:t>Forest plots</w:t>
      </w:r>
      <w:bookmarkEnd w:id="365"/>
    </w:p>
    <w:p w14:paraId="710213A7" w14:textId="1254EB38" w:rsidR="00B26326" w:rsidRPr="00A55335" w:rsidRDefault="00B26326" w:rsidP="00B26326">
      <w:pPr>
        <w:pStyle w:val="BodyText"/>
      </w:pPr>
      <w:r w:rsidRPr="00A55335">
        <w:t>Outcome results relating to</w:t>
      </w:r>
      <w:r w:rsidR="00726EE5" w:rsidRPr="00A55335">
        <w:t xml:space="preserve"> the p</w:t>
      </w:r>
      <w:r w:rsidR="006070ED" w:rsidRPr="00A55335">
        <w:t xml:space="preserve">rimary </w:t>
      </w:r>
      <w:r w:rsidR="00726EE5" w:rsidRPr="00A55335">
        <w:t>c</w:t>
      </w:r>
      <w:r w:rsidR="006070ED" w:rsidRPr="00A55335">
        <w:t>omparison</w:t>
      </w:r>
      <w:r w:rsidR="000940E7" w:rsidRPr="00A55335">
        <w:t xml:space="preserve"> </w:t>
      </w:r>
      <w:r w:rsidR="008657A1" w:rsidRPr="00A55335">
        <w:t>(</w:t>
      </w:r>
      <w:r w:rsidR="000940E7" w:rsidRPr="00A55335">
        <w:t xml:space="preserve">homeopathy vs placebo) in people with </w:t>
      </w:r>
      <w:r w:rsidR="005352A3" w:rsidRPr="00A55335">
        <w:t xml:space="preserve">digestive </w:t>
      </w:r>
      <w:r w:rsidR="000940E7" w:rsidRPr="00A55335">
        <w:t xml:space="preserve">disorders </w:t>
      </w:r>
      <w:r w:rsidRPr="00A55335">
        <w:t>are</w:t>
      </w:r>
      <w:r w:rsidR="00D30E45" w:rsidRPr="00A55335">
        <w:t xml:space="preserve"> </w:t>
      </w:r>
      <w:r w:rsidRPr="00A55335">
        <w:t>presented in</w:t>
      </w:r>
      <w:r w:rsidR="00566D9C" w:rsidRPr="00A55335">
        <w:t xml:space="preserve"> </w:t>
      </w:r>
      <w:r w:rsidR="00566D9C" w:rsidRPr="00A55335">
        <w:fldChar w:fldCharType="begin"/>
      </w:r>
      <w:r w:rsidR="00566D9C" w:rsidRPr="00A55335">
        <w:instrText xml:space="preserve"> REF _Ref151972517 \h </w:instrText>
      </w:r>
      <w:r w:rsidR="00566D9C" w:rsidRPr="00A55335">
        <w:fldChar w:fldCharType="separate"/>
      </w:r>
      <w:r w:rsidR="00814B04" w:rsidRPr="00A55335">
        <w:t xml:space="preserve">Figure </w:t>
      </w:r>
      <w:r w:rsidR="00814B04">
        <w:rPr>
          <w:noProof/>
        </w:rPr>
        <w:t>62</w:t>
      </w:r>
      <w:r w:rsidR="00566D9C" w:rsidRPr="00A55335">
        <w:fldChar w:fldCharType="end"/>
      </w:r>
      <w:r w:rsidR="000940E7" w:rsidRPr="00A55335">
        <w:t xml:space="preserve"> (symptom severity) and </w:t>
      </w:r>
      <w:r w:rsidR="009B7FE5" w:rsidRPr="00A55335">
        <w:fldChar w:fldCharType="begin"/>
      </w:r>
      <w:r w:rsidR="009B7FE5" w:rsidRPr="00A55335">
        <w:instrText xml:space="preserve"> REF _Ref151972645 \h </w:instrText>
      </w:r>
      <w:r w:rsidR="009B7FE5" w:rsidRPr="00A55335">
        <w:fldChar w:fldCharType="separate"/>
      </w:r>
      <w:r w:rsidR="00814B04" w:rsidRPr="00A55335">
        <w:t xml:space="preserve">Figure </w:t>
      </w:r>
      <w:r w:rsidR="00814B04">
        <w:rPr>
          <w:noProof/>
        </w:rPr>
        <w:t>63</w:t>
      </w:r>
      <w:r w:rsidR="009B7FE5" w:rsidRPr="00A55335">
        <w:fldChar w:fldCharType="end"/>
      </w:r>
      <w:r w:rsidR="00AF4676" w:rsidRPr="00A55335">
        <w:t xml:space="preserve"> (quality of life)</w:t>
      </w:r>
      <w:r w:rsidR="00566D9C" w:rsidRPr="00A55335">
        <w:t>.</w:t>
      </w:r>
    </w:p>
    <w:p w14:paraId="49DF1A3E" w14:textId="0E73CAC9" w:rsidR="008657A1" w:rsidRPr="00A55335" w:rsidRDefault="00085910" w:rsidP="00B26326">
      <w:pPr>
        <w:pStyle w:val="BodyText"/>
      </w:pPr>
      <w:r w:rsidRPr="00A55335">
        <w:t xml:space="preserve">Outcome results related to </w:t>
      </w:r>
      <w:r w:rsidR="00726EE5" w:rsidRPr="00A55335">
        <w:t>the s</w:t>
      </w:r>
      <w:r w:rsidR="006070ED" w:rsidRPr="00A55335">
        <w:t xml:space="preserve">econdary </w:t>
      </w:r>
      <w:r w:rsidR="00726EE5" w:rsidRPr="00A55335">
        <w:t>co</w:t>
      </w:r>
      <w:r w:rsidR="006070ED" w:rsidRPr="00A55335">
        <w:t>mparison</w:t>
      </w:r>
      <w:r w:rsidRPr="00A55335">
        <w:t xml:space="preserve"> (homeopathy vs </w:t>
      </w:r>
      <w:r w:rsidR="007E4217" w:rsidRPr="00A55335">
        <w:t xml:space="preserve">inactive </w:t>
      </w:r>
      <w:r w:rsidRPr="00A55335">
        <w:t xml:space="preserve">control) in people with </w:t>
      </w:r>
      <w:r w:rsidR="005352A3" w:rsidRPr="00A55335">
        <w:t xml:space="preserve">digestive </w:t>
      </w:r>
      <w:r w:rsidRPr="00A55335">
        <w:t xml:space="preserve">disorders are presented in </w:t>
      </w:r>
      <w:r w:rsidRPr="00A55335">
        <w:fldChar w:fldCharType="begin"/>
      </w:r>
      <w:r w:rsidRPr="00A55335">
        <w:instrText xml:space="preserve"> REF _Ref153549730 \h </w:instrText>
      </w:r>
      <w:r w:rsidRPr="00A55335">
        <w:fldChar w:fldCharType="separate"/>
      </w:r>
      <w:r w:rsidR="00814B04" w:rsidRPr="00A55335">
        <w:t xml:space="preserve">Figure </w:t>
      </w:r>
      <w:r w:rsidR="00814B04">
        <w:rPr>
          <w:noProof/>
        </w:rPr>
        <w:t>64</w:t>
      </w:r>
      <w:r w:rsidRPr="00A55335">
        <w:fldChar w:fldCharType="end"/>
      </w:r>
      <w:r w:rsidRPr="00A55335">
        <w:t xml:space="preserve"> (symptom severity)</w:t>
      </w:r>
      <w:r w:rsidR="005352A3" w:rsidRPr="00A55335">
        <w:t>.</w:t>
      </w:r>
    </w:p>
    <w:p w14:paraId="59BF4861" w14:textId="0E4D1D0B" w:rsidR="00566D9C" w:rsidRPr="00A55335" w:rsidRDefault="00566D9C" w:rsidP="00566D9C">
      <w:pPr>
        <w:pStyle w:val="Caption"/>
      </w:pPr>
      <w:bookmarkStart w:id="366" w:name="_Ref151972517"/>
      <w:bookmarkStart w:id="367" w:name="_Ref151972512"/>
      <w:bookmarkStart w:id="368" w:name="_Toc183520335"/>
      <w:r w:rsidRPr="00A55335">
        <w:t xml:space="preserve">Figure </w:t>
      </w:r>
      <w:r w:rsidRPr="00A55335">
        <w:fldChar w:fldCharType="begin"/>
      </w:r>
      <w:r w:rsidRPr="00A55335">
        <w:instrText xml:space="preserve"> SEQ Figure \* ARABIC </w:instrText>
      </w:r>
      <w:r w:rsidRPr="00A55335">
        <w:fldChar w:fldCharType="separate"/>
      </w:r>
      <w:r w:rsidR="00814B04">
        <w:rPr>
          <w:noProof/>
        </w:rPr>
        <w:t>62</w:t>
      </w:r>
      <w:r w:rsidRPr="00A55335">
        <w:fldChar w:fldCharType="end"/>
      </w:r>
      <w:bookmarkEnd w:id="366"/>
      <w:r w:rsidRPr="00A55335">
        <w:tab/>
        <w:t xml:space="preserve">Forest plot of </w:t>
      </w:r>
      <w:r w:rsidR="009D3231" w:rsidRPr="00A55335">
        <w:t xml:space="preserve">primary </w:t>
      </w:r>
      <w:r w:rsidRPr="00A55335">
        <w:t xml:space="preserve">comparison: Homeopathy vs placebo: </w:t>
      </w:r>
      <w:r w:rsidR="0026248F" w:rsidRPr="00A55335">
        <w:t xml:space="preserve">Digestive </w:t>
      </w:r>
      <w:r w:rsidR="00AF4676" w:rsidRPr="00A55335">
        <w:t xml:space="preserve">disorders – </w:t>
      </w:r>
      <w:r w:rsidRPr="00A55335">
        <w:t>symptom</w:t>
      </w:r>
      <w:bookmarkEnd w:id="367"/>
      <w:r w:rsidR="00AF4676" w:rsidRPr="00A55335">
        <w:t xml:space="preserve"> severity</w:t>
      </w:r>
      <w:bookmarkEnd w:id="368"/>
    </w:p>
    <w:p w14:paraId="228C5185" w14:textId="0B6B1F78" w:rsidR="00CA279F" w:rsidRPr="00A55335" w:rsidRDefault="005C33BB" w:rsidP="00CA279F">
      <w:pPr>
        <w:pStyle w:val="Pic"/>
      </w:pPr>
      <w:r w:rsidRPr="00A55335">
        <w:rPr>
          <w:noProof/>
        </w:rPr>
        <w:drawing>
          <wp:inline distT="0" distB="0" distL="0" distR="0" wp14:anchorId="6E3035A8" wp14:editId="4DAD7271">
            <wp:extent cx="5581339" cy="2615609"/>
            <wp:effectExtent l="0" t="0" r="635" b="0"/>
            <wp:docPr id="1070416142" name="Picture 1070416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0328" cy="2633881"/>
                    </a:xfrm>
                    <a:prstGeom prst="rect">
                      <a:avLst/>
                    </a:prstGeom>
                    <a:noFill/>
                    <a:ln>
                      <a:noFill/>
                    </a:ln>
                  </pic:spPr>
                </pic:pic>
              </a:graphicData>
            </a:graphic>
          </wp:inline>
        </w:drawing>
      </w:r>
    </w:p>
    <w:p w14:paraId="0BF9D96C" w14:textId="77777777" w:rsidR="005C33BB" w:rsidRPr="00A55335" w:rsidRDefault="005C33BB" w:rsidP="005C33BB">
      <w:pPr>
        <w:pStyle w:val="TableFigNotes18"/>
      </w:pPr>
    </w:p>
    <w:p w14:paraId="132CA7B1" w14:textId="334B35DE" w:rsidR="00566D9C" w:rsidRPr="00A55335" w:rsidRDefault="00566D9C" w:rsidP="00566D9C">
      <w:pPr>
        <w:pStyle w:val="Caption"/>
      </w:pPr>
      <w:bookmarkStart w:id="369" w:name="_Ref151972645"/>
      <w:bookmarkStart w:id="370" w:name="_Toc183520336"/>
      <w:r w:rsidRPr="00A55335">
        <w:t xml:space="preserve">Figure </w:t>
      </w:r>
      <w:r w:rsidRPr="00A55335">
        <w:fldChar w:fldCharType="begin"/>
      </w:r>
      <w:r w:rsidRPr="00A55335">
        <w:instrText xml:space="preserve"> SEQ Figure \* ARABIC </w:instrText>
      </w:r>
      <w:r w:rsidRPr="00A55335">
        <w:fldChar w:fldCharType="separate"/>
      </w:r>
      <w:r w:rsidR="00814B04">
        <w:rPr>
          <w:noProof/>
        </w:rPr>
        <w:t>63</w:t>
      </w:r>
      <w:r w:rsidRPr="00A55335">
        <w:fldChar w:fldCharType="end"/>
      </w:r>
      <w:bookmarkEnd w:id="369"/>
      <w:r w:rsidRPr="00A55335">
        <w:tab/>
        <w:t xml:space="preserve">Forest plot of </w:t>
      </w:r>
      <w:r w:rsidR="009D3231" w:rsidRPr="00A55335">
        <w:t xml:space="preserve">primary </w:t>
      </w:r>
      <w:r w:rsidRPr="00A55335">
        <w:t xml:space="preserve">comparison: Homeopathy vs placebo: </w:t>
      </w:r>
      <w:r w:rsidR="00CE41CA" w:rsidRPr="00A55335">
        <w:t>Digestive</w:t>
      </w:r>
      <w:r w:rsidR="00AF4676" w:rsidRPr="00A55335">
        <w:t xml:space="preserve"> disorders – </w:t>
      </w:r>
      <w:r w:rsidRPr="00A55335">
        <w:t>quality of life</w:t>
      </w:r>
      <w:bookmarkEnd w:id="370"/>
    </w:p>
    <w:p w14:paraId="2007AFA0" w14:textId="0CA9BE95" w:rsidR="00067691" w:rsidRPr="00A55335" w:rsidRDefault="00E97D50" w:rsidP="00067691">
      <w:pPr>
        <w:pStyle w:val="Pic"/>
      </w:pPr>
      <w:r w:rsidRPr="00A55335">
        <w:rPr>
          <w:noProof/>
        </w:rPr>
        <w:drawing>
          <wp:inline distT="0" distB="0" distL="0" distR="0" wp14:anchorId="1B2BBF20" wp14:editId="1ED6BC9A">
            <wp:extent cx="5734894" cy="1822268"/>
            <wp:effectExtent l="0" t="0" r="0" b="6985"/>
            <wp:docPr id="1328238958" name="Picture 1328238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38958" name="Picture 1328238958"/>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740129" cy="1823931"/>
                    </a:xfrm>
                    <a:prstGeom prst="rect">
                      <a:avLst/>
                    </a:prstGeom>
                    <a:noFill/>
                    <a:ln>
                      <a:noFill/>
                    </a:ln>
                  </pic:spPr>
                </pic:pic>
              </a:graphicData>
            </a:graphic>
          </wp:inline>
        </w:drawing>
      </w:r>
    </w:p>
    <w:p w14:paraId="0D21996E" w14:textId="77777777" w:rsidR="00C855D6" w:rsidRPr="00A55335" w:rsidRDefault="00C855D6" w:rsidP="00C855D6">
      <w:pPr>
        <w:pStyle w:val="TableFigNotes18"/>
      </w:pPr>
    </w:p>
    <w:p w14:paraId="0363FB35" w14:textId="0FFC409A" w:rsidR="00C855D6" w:rsidRPr="00A55335" w:rsidRDefault="00C855D6" w:rsidP="00C855D6">
      <w:pPr>
        <w:pStyle w:val="Caption"/>
      </w:pPr>
      <w:bookmarkStart w:id="371" w:name="_Ref153549730"/>
      <w:bookmarkStart w:id="372" w:name="_Toc183520337"/>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64</w:t>
      </w:r>
      <w:r w:rsidRPr="00A55335">
        <w:fldChar w:fldCharType="end"/>
      </w:r>
      <w:bookmarkEnd w:id="371"/>
      <w:r w:rsidRPr="00A55335">
        <w:tab/>
        <w:t xml:space="preserve">Forest plot of </w:t>
      </w:r>
      <w:r w:rsidR="009D3231" w:rsidRPr="00A55335">
        <w:t xml:space="preserve">secondary </w:t>
      </w:r>
      <w:r w:rsidRPr="00A55335">
        <w:t xml:space="preserve">comparison: Homeopathy vs </w:t>
      </w:r>
      <w:r w:rsidR="009D3231" w:rsidRPr="00A55335">
        <w:t xml:space="preserve">inactive </w:t>
      </w:r>
      <w:r w:rsidR="00BF3303" w:rsidRPr="00A55335">
        <w:t>control</w:t>
      </w:r>
      <w:r w:rsidRPr="00A55335">
        <w:t xml:space="preserve">: </w:t>
      </w:r>
      <w:r w:rsidR="00CE41CA" w:rsidRPr="00A55335">
        <w:t>Digestive</w:t>
      </w:r>
      <w:r w:rsidRPr="00A55335">
        <w:t xml:space="preserve"> disorders – symptom severity</w:t>
      </w:r>
      <w:bookmarkEnd w:id="372"/>
    </w:p>
    <w:p w14:paraId="6E82F5C3" w14:textId="6E56D207" w:rsidR="00BF3303" w:rsidRPr="00A55335" w:rsidRDefault="00C030F2" w:rsidP="00BF3303">
      <w:pPr>
        <w:pStyle w:val="Pic"/>
      </w:pPr>
      <w:r w:rsidRPr="00A55335">
        <w:rPr>
          <w:noProof/>
        </w:rPr>
        <w:drawing>
          <wp:inline distT="0" distB="0" distL="0" distR="0" wp14:anchorId="38B4B84C" wp14:editId="1EAAF082">
            <wp:extent cx="5575589" cy="1839432"/>
            <wp:effectExtent l="0" t="0" r="6350" b="8890"/>
            <wp:docPr id="1894498312" name="Picture 189449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85252" cy="1842620"/>
                    </a:xfrm>
                    <a:prstGeom prst="rect">
                      <a:avLst/>
                    </a:prstGeom>
                    <a:noFill/>
                    <a:ln>
                      <a:noFill/>
                    </a:ln>
                  </pic:spPr>
                </pic:pic>
              </a:graphicData>
            </a:graphic>
          </wp:inline>
        </w:drawing>
      </w:r>
    </w:p>
    <w:p w14:paraId="6690E9CC" w14:textId="77777777" w:rsidR="00BF3303" w:rsidRPr="00A55335" w:rsidRDefault="00BF3303" w:rsidP="00BF3303">
      <w:pPr>
        <w:pStyle w:val="TableFigNotes18"/>
      </w:pPr>
    </w:p>
    <w:p w14:paraId="34800349" w14:textId="02D633F8" w:rsidR="007D0F82" w:rsidRPr="00A55335" w:rsidRDefault="007D0F82" w:rsidP="002456F7">
      <w:pPr>
        <w:pStyle w:val="BodyText"/>
      </w:pPr>
      <w:r w:rsidRPr="00A55335">
        <w:br w:type="page"/>
      </w:r>
    </w:p>
    <w:p w14:paraId="108A16CF" w14:textId="77777777" w:rsidR="00DD505D" w:rsidRPr="00A55335" w:rsidRDefault="00DD505D" w:rsidP="00C373A2">
      <w:pPr>
        <w:pStyle w:val="Heading2"/>
      </w:pPr>
      <w:bookmarkStart w:id="373" w:name="_Toc183441375"/>
      <w:r w:rsidRPr="00A55335">
        <w:lastRenderedPageBreak/>
        <w:t>Irritable bowel syndrome</w:t>
      </w:r>
      <w:bookmarkEnd w:id="373"/>
      <w:r w:rsidRPr="00A55335">
        <w:t xml:space="preserve"> </w:t>
      </w:r>
    </w:p>
    <w:p w14:paraId="1C99B94D" w14:textId="77777777" w:rsidR="00DD505D" w:rsidRPr="00A55335" w:rsidRDefault="00DD505D" w:rsidP="004D433B">
      <w:pPr>
        <w:pStyle w:val="Heading3"/>
      </w:pPr>
      <w:bookmarkStart w:id="374" w:name="_Toc183441376"/>
      <w:r w:rsidRPr="00A55335">
        <w:t>Description of the condition</w:t>
      </w:r>
      <w:bookmarkEnd w:id="374"/>
      <w:r w:rsidRPr="00A55335">
        <w:t xml:space="preserve"> </w:t>
      </w:r>
    </w:p>
    <w:p w14:paraId="2367DCEB" w14:textId="03FB4ACE" w:rsidR="00EC2F3B" w:rsidRPr="00A55335" w:rsidRDefault="00DD505D" w:rsidP="00DD505D">
      <w:pPr>
        <w:pStyle w:val="BodyText"/>
      </w:pPr>
      <w:r w:rsidRPr="00A55335">
        <w:t xml:space="preserve">Irritable bowel syndrome (IBS) is a group of conditions whose symptoms include abdominal pain, bloating and changes in bowel movements, either constipation, diarrhoea or both </w:t>
      </w:r>
      <w:r w:rsidR="0023157F" w:rsidRPr="00A55335">
        <w:fldChar w:fldCharType="begin"/>
      </w:r>
      <w:r w:rsidR="00EC2769">
        <w:instrText xml:space="preserve"> ADDIN EN.CITE &lt;EndNote&gt;&lt;Cite ExcludeAuth="1"&gt;&lt;Year&gt;2012&lt;/Year&gt;&lt;RecNum&gt;643&lt;/RecNum&gt;&lt;DisplayText&gt;(241)&lt;/DisplayText&gt;&lt;record&gt;&lt;rec-number&gt;643&lt;/rec-number&gt;&lt;foreign-keys&gt;&lt;key app="EN" db-id="t5prptatr9sp0we5exbxt9zz20fwp55tdza9" timestamp="1701234616"&gt;643&lt;/key&gt;&lt;/foreign-keys&gt;&lt;ref-type name="Journal Article"&gt;17&lt;/ref-type&gt;&lt;contributors&gt;&lt;/contributors&gt;&lt;titles&gt;&lt;title&gt;IBS or intolerance?&lt;/title&gt;&lt;secondary-title&gt;Australian Journal for General Practitioners&lt;/secondary-title&gt;&lt;/titles&gt;&lt;periodical&gt;&lt;full-title&gt;Australian Journal for General Practitioners&lt;/full-title&gt;&lt;/periodical&gt;&lt;pages&gt;962-965&lt;/pages&gt;&lt;volume&gt;38&lt;/volume&gt;&lt;keywords&gt;&lt;keyword&gt;Irritable bowel syndrome, IBS, chronic illness, abdominal bloating, quality of life, economic burden, intolerance, dietary triggers, diagnostic testing, lactose , low carbohydrate diets, lactase&lt;/keyword&gt;&lt;keyword&gt;deficient patients&lt;/keyword&gt;&lt;/keywords&gt;&lt;dates&gt;&lt;year&gt;2012&lt;/year&gt;&lt;pub-dates&gt;&lt;date&gt;11/02&lt;/date&gt;&lt;/pub-dates&gt;&lt;/dates&gt;&lt;publisher&gt;The Royal Australian College of General Practitioners (RACGP)&lt;/publisher&gt;&lt;urls&gt;&lt;related-urls&gt;&lt;url&gt;https://www.racgp.org.au/afp/2009/december/ibs-or-intolerance&lt;/url&gt;&lt;/related-urls&gt;&lt;/urls&gt;&lt;/record&gt;&lt;/Cite&gt;&lt;/EndNote&gt;</w:instrText>
      </w:r>
      <w:r w:rsidR="0023157F" w:rsidRPr="00A55335">
        <w:fldChar w:fldCharType="separate"/>
      </w:r>
      <w:r w:rsidR="00EC2769">
        <w:rPr>
          <w:noProof/>
        </w:rPr>
        <w:t>(</w:t>
      </w:r>
      <w:hyperlink w:anchor="_ENREF_241" w:tooltip=", 2012 #643" w:history="1">
        <w:r w:rsidR="00EC2769">
          <w:rPr>
            <w:noProof/>
          </w:rPr>
          <w:t>241</w:t>
        </w:r>
      </w:hyperlink>
      <w:r w:rsidR="00EC2769">
        <w:rPr>
          <w:noProof/>
        </w:rPr>
        <w:t>)</w:t>
      </w:r>
      <w:r w:rsidR="0023157F" w:rsidRPr="00A55335">
        <w:fldChar w:fldCharType="end"/>
      </w:r>
      <w:r w:rsidRPr="00A55335">
        <w:t xml:space="preserve">. These symptoms occur without any visible sign of damage to the digestive </w:t>
      </w:r>
      <w:r w:rsidR="00C81520" w:rsidRPr="00A55335">
        <w:t>tract but</w:t>
      </w:r>
      <w:r w:rsidR="004B0FC7" w:rsidRPr="00A55335">
        <w:t xml:space="preserve"> </w:t>
      </w:r>
      <w:r w:rsidR="00C81520" w:rsidRPr="00A55335">
        <w:t xml:space="preserve">have a substantial </w:t>
      </w:r>
      <w:r w:rsidR="006A513D" w:rsidRPr="00A55335">
        <w:t>impact</w:t>
      </w:r>
      <w:r w:rsidR="008A17D8" w:rsidRPr="00A55335">
        <w:t xml:space="preserve"> on</w:t>
      </w:r>
      <w:r w:rsidR="006A513D" w:rsidRPr="00A55335">
        <w:t xml:space="preserve"> </w:t>
      </w:r>
      <w:r w:rsidR="00FF4E74" w:rsidRPr="00A55335">
        <w:t xml:space="preserve">a </w:t>
      </w:r>
      <w:r w:rsidR="006E377E" w:rsidRPr="00A55335">
        <w:t>person’s</w:t>
      </w:r>
      <w:r w:rsidR="00FF4E74" w:rsidRPr="00A55335">
        <w:t xml:space="preserve"> </w:t>
      </w:r>
      <w:r w:rsidR="006E377E" w:rsidRPr="00A55335">
        <w:t xml:space="preserve">quality of life </w:t>
      </w:r>
      <w:r w:rsidR="006E377E" w:rsidRPr="00A55335">
        <w:fldChar w:fldCharType="begin">
          <w:fldData xml:space="preserve">PEVuZE5vdGU+PENpdGUgRXhjbHVkZUF1dGg9IjEiPjxZZWFyPjIwMTI8L1llYXI+PFJlY051bT42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</w:fldData>
        </w:fldChar>
      </w:r>
      <w:r w:rsidR="00EC2769">
        <w:instrText xml:space="preserve"> ADDIN EN.CITE </w:instrText>
      </w:r>
      <w:r w:rsidR="00EC2769">
        <w:fldChar w:fldCharType="begin">
          <w:fldData xml:space="preserve">PEVuZE5vdGU+PENpdGUgRXhjbHVkZUF1dGg9IjEiPjxZZWFyPjIwMTI8L1llYXI+PFJlY051bT42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</w:fldData>
        </w:fldChar>
      </w:r>
      <w:r w:rsidR="00EC2769">
        <w:instrText xml:space="preserve"> ADDIN EN.CITE.DATA </w:instrText>
      </w:r>
      <w:r w:rsidR="00EC2769">
        <w:fldChar w:fldCharType="end"/>
      </w:r>
      <w:r w:rsidR="006E377E" w:rsidRPr="00A55335">
        <w:fldChar w:fldCharType="separate"/>
      </w:r>
      <w:r w:rsidR="00EC2769">
        <w:rPr>
          <w:noProof/>
        </w:rPr>
        <w:t>(</w:t>
      </w:r>
      <w:hyperlink w:anchor="_ENREF_241" w:tooltip=", 2012 #643" w:history="1">
        <w:r w:rsidR="00EC2769">
          <w:rPr>
            <w:noProof/>
          </w:rPr>
          <w:t>241</w:t>
        </w:r>
      </w:hyperlink>
      <w:r w:rsidR="00EC2769">
        <w:rPr>
          <w:noProof/>
        </w:rPr>
        <w:t xml:space="preserve">, </w:t>
      </w:r>
      <w:hyperlink w:anchor="_ENREF_242" w:tooltip=", 2013 #642" w:history="1">
        <w:r w:rsidR="00EC2769">
          <w:rPr>
            <w:noProof/>
          </w:rPr>
          <w:t>242</w:t>
        </w:r>
      </w:hyperlink>
      <w:r w:rsidR="00EC2769">
        <w:rPr>
          <w:noProof/>
        </w:rPr>
        <w:t>)</w:t>
      </w:r>
      <w:r w:rsidR="006E377E" w:rsidRPr="00A55335">
        <w:fldChar w:fldCharType="end"/>
      </w:r>
      <w:r w:rsidR="006E377E" w:rsidRPr="00A55335">
        <w:t>.</w:t>
      </w:r>
      <w:r w:rsidRPr="00A55335">
        <w:t xml:space="preserve"> </w:t>
      </w:r>
      <w:r w:rsidR="00910A9A" w:rsidRPr="00A55335">
        <w:t>The exact cause of IBS is not known;</w:t>
      </w:r>
      <w:r w:rsidR="00026F56" w:rsidRPr="00A55335">
        <w:t xml:space="preserve"> </w:t>
      </w:r>
      <w:r w:rsidR="00236CFA" w:rsidRPr="00A55335">
        <w:t>with</w:t>
      </w:r>
      <w:r w:rsidR="00910A9A" w:rsidRPr="00A55335">
        <w:t xml:space="preserve"> symptoms tend</w:t>
      </w:r>
      <w:r w:rsidR="00236CFA" w:rsidRPr="00A55335">
        <w:t>ing</w:t>
      </w:r>
      <w:r w:rsidR="00910A9A" w:rsidRPr="00A55335">
        <w:t xml:space="preserve"> to be triggered by diet, stress, infection and medications </w:t>
      </w:r>
      <w:r w:rsidR="00910A9A" w:rsidRPr="00A55335">
        <w:fldChar w:fldCharType="begin">
          <w:fldData xml:space="preserve">PEVuZE5vdGU+PENpdGUgRXhjbHVkZUF1dGg9IjEiPjxZZWFyPjIwMTI8L1llYXI+PFJlY051bT42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</w:fldData>
        </w:fldChar>
      </w:r>
      <w:r w:rsidR="00EC2769">
        <w:instrText xml:space="preserve"> ADDIN EN.CITE </w:instrText>
      </w:r>
      <w:r w:rsidR="00EC2769">
        <w:fldChar w:fldCharType="begin">
          <w:fldData xml:space="preserve">PEVuZE5vdGU+PENpdGUgRXhjbHVkZUF1dGg9IjEiPjxZZWFyPjIwMTI8L1llYXI+PFJlY051bT42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</w:fldData>
        </w:fldChar>
      </w:r>
      <w:r w:rsidR="00EC2769">
        <w:instrText xml:space="preserve"> ADDIN EN.CITE.DATA </w:instrText>
      </w:r>
      <w:r w:rsidR="00EC2769">
        <w:fldChar w:fldCharType="end"/>
      </w:r>
      <w:r w:rsidR="00910A9A" w:rsidRPr="00A55335">
        <w:fldChar w:fldCharType="separate"/>
      </w:r>
      <w:r w:rsidR="00EC2769">
        <w:rPr>
          <w:noProof/>
        </w:rPr>
        <w:t>(</w:t>
      </w:r>
      <w:hyperlink w:anchor="_ENREF_241" w:tooltip=", 2012 #643" w:history="1">
        <w:r w:rsidR="00EC2769">
          <w:rPr>
            <w:noProof/>
          </w:rPr>
          <w:t>241</w:t>
        </w:r>
      </w:hyperlink>
      <w:r w:rsidR="00EC2769">
        <w:rPr>
          <w:noProof/>
        </w:rPr>
        <w:t xml:space="preserve">, </w:t>
      </w:r>
      <w:hyperlink w:anchor="_ENREF_242" w:tooltip=", 2013 #642" w:history="1">
        <w:r w:rsidR="00EC2769">
          <w:rPr>
            <w:noProof/>
          </w:rPr>
          <w:t>242</w:t>
        </w:r>
      </w:hyperlink>
      <w:r w:rsidR="00EC2769">
        <w:rPr>
          <w:noProof/>
        </w:rPr>
        <w:t>)</w:t>
      </w:r>
      <w:r w:rsidR="00910A9A" w:rsidRPr="00A55335">
        <w:fldChar w:fldCharType="end"/>
      </w:r>
      <w:r w:rsidR="00910A9A" w:rsidRPr="00A55335">
        <w:t>.</w:t>
      </w:r>
      <w:r w:rsidR="00EC2F3B" w:rsidRPr="00A55335">
        <w:t xml:space="preserve"> </w:t>
      </w:r>
    </w:p>
    <w:p w14:paraId="083D5D1A" w14:textId="15E4C101" w:rsidR="00DD505D" w:rsidRPr="00A55335" w:rsidRDefault="00DD505D" w:rsidP="00DD505D">
      <w:pPr>
        <w:pStyle w:val="BodyText"/>
      </w:pPr>
      <w:r w:rsidRPr="00A55335">
        <w:t xml:space="preserve">IBS is estimated to affect </w:t>
      </w:r>
      <w:r w:rsidR="007464A3" w:rsidRPr="00A55335">
        <w:t>one in five</w:t>
      </w:r>
      <w:r w:rsidRPr="00A55335">
        <w:t xml:space="preserve"> Australia</w:t>
      </w:r>
      <w:r w:rsidR="007464A3" w:rsidRPr="00A55335">
        <w:t>ns</w:t>
      </w:r>
      <w:r w:rsidR="00F0471E" w:rsidRPr="00A55335">
        <w:t xml:space="preserve"> at some time</w:t>
      </w:r>
      <w:r w:rsidR="008C5D0C" w:rsidRPr="00A55335">
        <w:t xml:space="preserve"> </w:t>
      </w:r>
      <w:r w:rsidR="00FF046D" w:rsidRPr="00A55335">
        <w:fldChar w:fldCharType="begin"/>
      </w:r>
      <w:r w:rsidR="00EC2769">
        <w:instrText xml:space="preserve"> ADDIN EN.CITE &lt;EndNote&gt;&lt;Cite ExcludeYear="1"&gt;&lt;Author&gt;Better Health Channel&lt;/Author&gt;&lt;Year&gt;2021&lt;/Year&gt;&lt;RecNum&gt;645&lt;/RecNum&gt;&lt;DisplayText&gt;(243)&lt;/DisplayText&gt;&lt;record&gt;&lt;rec-number&gt;645&lt;/rec-number&gt;&lt;foreign-keys&gt;&lt;key app="EN" db-id="t5prptatr9sp0we5exbxt9zz20fwp55tdza9" timestamp="1701235492"&gt;645&lt;/key&gt;&lt;/foreign-keys&gt;&lt;ref-type name="Web Page"&gt;12&lt;/ref-type&gt;&lt;contributors&gt;&lt;authors&gt;&lt;author&gt;Better Health Channel,&lt;/author&gt;&lt;/authors&gt;&lt;/contributors&gt;&lt;titles&gt;&lt;title&gt;Irritable bowel syndrome&lt;/title&gt;&lt;/titles&gt;&lt;number&gt;23/07/23&lt;/number&gt;&lt;dates&gt;&lt;year&gt;2021&lt;/year&gt;&lt;/dates&gt;&lt;urls&gt;&lt;related-urls&gt;&lt;url&gt;https://www.betterhealth.vic.gov.au/health/conditionsandtreatments/irritable-bowel-syndrome-ibs&lt;/url&gt;&lt;/related-urls&gt;&lt;/urls&gt;&lt;/record&gt;&lt;/Cite&gt;&lt;/EndNote&gt;</w:instrText>
      </w:r>
      <w:r w:rsidR="00FF046D" w:rsidRPr="00A55335">
        <w:fldChar w:fldCharType="separate"/>
      </w:r>
      <w:r w:rsidR="00EC2769">
        <w:rPr>
          <w:noProof/>
        </w:rPr>
        <w:t>(</w:t>
      </w:r>
      <w:hyperlink w:anchor="_ENREF_243" w:tooltip="Better Health Channel, 2021 #645" w:history="1">
        <w:r w:rsidR="00EC2769">
          <w:rPr>
            <w:noProof/>
          </w:rPr>
          <w:t>243</w:t>
        </w:r>
      </w:hyperlink>
      <w:r w:rsidR="00EC2769">
        <w:rPr>
          <w:noProof/>
        </w:rPr>
        <w:t>)</w:t>
      </w:r>
      <w:r w:rsidR="00FF046D" w:rsidRPr="00A55335">
        <w:fldChar w:fldCharType="end"/>
      </w:r>
      <w:r w:rsidRPr="00A55335">
        <w:t xml:space="preserve">. </w:t>
      </w:r>
      <w:r w:rsidR="00EC2F3B" w:rsidRPr="00A55335">
        <w:t>T</w:t>
      </w:r>
      <w:r w:rsidRPr="00A55335">
        <w:t xml:space="preserve">here are no medications specifically designed to treat IBS. Often, a dietary change </w:t>
      </w:r>
      <w:r w:rsidR="003F4BA8" w:rsidRPr="00A55335">
        <w:t xml:space="preserve">that </w:t>
      </w:r>
      <w:r w:rsidR="00D66DC2" w:rsidRPr="00A55335">
        <w:t xml:space="preserve">focuses on </w:t>
      </w:r>
      <w:r w:rsidR="00590F8E" w:rsidRPr="00A55335">
        <w:t xml:space="preserve">moderating </w:t>
      </w:r>
      <w:r w:rsidR="00BF51EF" w:rsidRPr="00A55335">
        <w:t xml:space="preserve">the intake of gas-producing foods </w:t>
      </w:r>
      <w:r w:rsidR="00484502" w:rsidRPr="00A55335">
        <w:t>(</w:t>
      </w:r>
      <w:r w:rsidR="001D1C4C" w:rsidRPr="00A55335">
        <w:t>e.g.</w:t>
      </w:r>
      <w:r w:rsidR="00EE505B" w:rsidRPr="00A55335">
        <w:t xml:space="preserve"> fructose, lactose, sorbitol) </w:t>
      </w:r>
      <w:r w:rsidRPr="00A55335">
        <w:t>is sufficient to improve symptoms</w:t>
      </w:r>
      <w:r w:rsidR="00FF046D" w:rsidRPr="00A55335">
        <w:t xml:space="preserve"> </w:t>
      </w:r>
      <w:r w:rsidR="00FF046D" w:rsidRPr="00A55335">
        <w:fldChar w:fldCharType="begin"/>
      </w:r>
      <w:r w:rsidR="00EC2769">
        <w:instrText xml:space="preserve"> ADDIN EN.CITE &lt;EndNote&gt;&lt;Cite ExcludeYear="1"&gt;&lt;Author&gt;Royal Australian College of General Practitioners (RACGP)&lt;/Author&gt;&lt;RecNum&gt;646&lt;/RecNum&gt;&lt;DisplayText&gt;(244)&lt;/DisplayText&gt;&lt;record&gt;&lt;rec-number&gt;646&lt;/rec-number&gt;&lt;foreign-keys&gt;&lt;key app="EN" db-id="t5prptatr9sp0we5exbxt9zz20fwp55tdza9" timestamp="1701236198"&gt;646&lt;/key&gt;&lt;/foreign-keys&gt;&lt;ref-type name="Web Page"&gt;12&lt;/ref-type&gt;&lt;contributors&gt;&lt;authors&gt;&lt;author&gt;Royal Australian College of General Practitioners (RACGP), &lt;/author&gt;&lt;/authors&gt;&lt;/contributors&gt;&lt;titles&gt;&lt;title&gt;Low-FODMAP diets for irritable bowel syndrome (IBS)&lt;/title&gt;&lt;/titles&gt;&lt;dates&gt;&lt;/dates&gt;&lt;urls&gt;&lt;related-urls&gt;&lt;url&gt;https://www.racgp.org.au/clinical-resources/clinical-guidelines/handi/handi-interventions/nutrition/low-fodmap-diets-for-irritable-bowel-syndrome-ibs&lt;/url&gt;&lt;/related-urls&gt;&lt;/urls&gt;&lt;/record&gt;&lt;/Cite&gt;&lt;/EndNote&gt;</w:instrText>
      </w:r>
      <w:r w:rsidR="00FF046D" w:rsidRPr="00A55335">
        <w:fldChar w:fldCharType="separate"/>
      </w:r>
      <w:r w:rsidR="00EC2769">
        <w:rPr>
          <w:noProof/>
        </w:rPr>
        <w:t>(</w:t>
      </w:r>
      <w:hyperlink w:anchor="_ENREF_244" w:tooltip="Royal Australian College of General Practitioners (RACGP),  #646" w:history="1">
        <w:r w:rsidR="00EC2769">
          <w:rPr>
            <w:noProof/>
          </w:rPr>
          <w:t>244</w:t>
        </w:r>
      </w:hyperlink>
      <w:r w:rsidR="00EC2769">
        <w:rPr>
          <w:noProof/>
        </w:rPr>
        <w:t>)</w:t>
      </w:r>
      <w:r w:rsidR="00FF046D" w:rsidRPr="00A55335">
        <w:fldChar w:fldCharType="end"/>
      </w:r>
      <w:r w:rsidRPr="00A55335">
        <w:t>. Other treatments include lifestyle changes, exercise, probiotics and medication such as laxative</w:t>
      </w:r>
      <w:r w:rsidR="00C029B4" w:rsidRPr="00A55335">
        <w:t>s,</w:t>
      </w:r>
      <w:r w:rsidRPr="00A55335">
        <w:t xml:space="preserve"> </w:t>
      </w:r>
      <w:r w:rsidR="00E91AC6" w:rsidRPr="00A55335">
        <w:t>antidiarrhea medication or antispasmodics</w:t>
      </w:r>
      <w:r w:rsidRPr="00A55335">
        <w:t xml:space="preserve"> </w:t>
      </w:r>
      <w:r w:rsidR="0023157F" w:rsidRPr="00A55335">
        <w:fldChar w:fldCharType="begin"/>
      </w:r>
      <w:r w:rsidR="00EC2769">
        <w:instrText xml:space="preserve"> ADDIN EN.CITE &lt;EndNote&gt;&lt;Cite ExcludeAuth="1"&gt;&lt;Year&gt;2012&lt;/Year&gt;&lt;RecNum&gt;644&lt;/RecNum&gt;&lt;DisplayText&gt;(245)&lt;/DisplayText&gt;&lt;record&gt;&lt;rec-number&gt;644&lt;/rec-number&gt;&lt;foreign-keys&gt;&lt;key app="EN" db-id="t5prptatr9sp0we5exbxt9zz20fwp55tdza9" timestamp="1701234677"&gt;644&lt;/key&gt;&lt;/foreign-keys&gt;&lt;ref-type name="Journal Article"&gt;17&lt;/ref-type&gt;&lt;contributors&gt;&lt;/contributors&gt;&lt;titles&gt;&lt;title&gt;Irritable bowel syndrome&lt;/title&gt;&lt;secondary-title&gt;Australian Journal for General Practitioners&lt;/secondary-title&gt;&lt;/titles&gt;&lt;periodical&gt;&lt;full-title&gt;Australian Journal for General Practitioners&lt;/full-title&gt;&lt;/periodical&gt;&lt;pages&gt;966-968&lt;/pages&gt;&lt;volume&gt;38&lt;/volume&gt;&lt;keywords&gt;&lt;keyword&gt;Irritable bowel syndrome, IBS, chronic fluctuating, abdominal pain, altered bowel habit , coeliac, fructose intolerance, frustose intolerance, fructose malabsorption, fructose , diarrhoea , IBS-C, IBS-D, IBS-A, probiotics, peppermint oil capsules, psyll&lt;/keyword&gt;&lt;keyword&gt;techniques&lt;/keyword&gt;&lt;/keywords&gt;&lt;dates&gt;&lt;year&gt;2012&lt;/year&gt;&lt;pub-dates&gt;&lt;date&gt;11/02&lt;/date&gt;&lt;/pub-dates&gt;&lt;/dates&gt;&lt;publisher&gt;The Royal Australian College of General Practitioners (RACGP)&lt;/publisher&gt;&lt;urls&gt;&lt;related-urls&gt;&lt;url&gt;https://www.racgp.org.au/afp/2009/december/ibs&lt;/url&gt;&lt;/related-urls&gt;&lt;/urls&gt;&lt;/record&gt;&lt;/Cite&gt;&lt;/EndNote&gt;</w:instrText>
      </w:r>
      <w:r w:rsidR="0023157F" w:rsidRPr="00A55335">
        <w:fldChar w:fldCharType="separate"/>
      </w:r>
      <w:r w:rsidR="00EC2769">
        <w:rPr>
          <w:noProof/>
        </w:rPr>
        <w:t>(</w:t>
      </w:r>
      <w:hyperlink w:anchor="_ENREF_245" w:tooltip=", 2012 #644" w:history="1">
        <w:r w:rsidR="00EC2769">
          <w:rPr>
            <w:noProof/>
          </w:rPr>
          <w:t>245</w:t>
        </w:r>
      </w:hyperlink>
      <w:r w:rsidR="00EC2769">
        <w:rPr>
          <w:noProof/>
        </w:rPr>
        <w:t>)</w:t>
      </w:r>
      <w:r w:rsidR="0023157F" w:rsidRPr="00A55335">
        <w:fldChar w:fldCharType="end"/>
      </w:r>
      <w:r w:rsidRPr="00A55335">
        <w:t xml:space="preserve">. </w:t>
      </w:r>
      <w:r w:rsidR="00C265D5" w:rsidRPr="00A55335">
        <w:t xml:space="preserve">In the absence of definitive </w:t>
      </w:r>
      <w:r w:rsidR="00835A2E" w:rsidRPr="00A55335">
        <w:t>treatments, c</w:t>
      </w:r>
      <w:r w:rsidRPr="00A55335">
        <w:t xml:space="preserve">omplementary </w:t>
      </w:r>
      <w:r w:rsidR="00835A2E" w:rsidRPr="00A55335">
        <w:t xml:space="preserve">and alternative </w:t>
      </w:r>
      <w:r w:rsidRPr="00A55335">
        <w:t>therapies</w:t>
      </w:r>
      <w:r w:rsidR="00835A2E" w:rsidRPr="00A55335">
        <w:t>,</w:t>
      </w:r>
      <w:r w:rsidRPr="00A55335">
        <w:t xml:space="preserve"> including homeopathy </w:t>
      </w:r>
      <w:r w:rsidR="00835A2E" w:rsidRPr="00A55335">
        <w:t xml:space="preserve">and Western herbal medicines </w:t>
      </w:r>
      <w:r w:rsidRPr="00A55335">
        <w:t xml:space="preserve">are </w:t>
      </w:r>
      <w:r w:rsidR="00835A2E" w:rsidRPr="00A55335">
        <w:t xml:space="preserve">routinely sought </w:t>
      </w:r>
      <w:r w:rsidRPr="00A55335">
        <w:t xml:space="preserve">among people with IBS </w:t>
      </w:r>
      <w:r w:rsidR="0023157F" w:rsidRPr="00A55335">
        <w:fldChar w:fldCharType="begin">
          <w:fldData xml:space="preserve">PEVuZE5vdGU+PENpdGUgRXhjbHVkZUF1dGg9IjEiPjxZZWFyPjIwMTI8L1llYXI+PFJlY051bT42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</w:fldData>
        </w:fldChar>
      </w:r>
      <w:r w:rsidR="00EC2769">
        <w:instrText xml:space="preserve"> ADDIN EN.CITE </w:instrText>
      </w:r>
      <w:r w:rsidR="00EC2769">
        <w:fldChar w:fldCharType="begin">
          <w:fldData xml:space="preserve">PEVuZE5vdGU+PENpdGUgRXhjbHVkZUF1dGg9IjEiPjxZZWFyPjIwMTI8L1llYXI+PFJlY051bT42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</w:fldData>
        </w:fldChar>
      </w:r>
      <w:r w:rsidR="00EC2769">
        <w:instrText xml:space="preserve"> ADDIN EN.CITE.DATA </w:instrText>
      </w:r>
      <w:r w:rsidR="00EC2769">
        <w:fldChar w:fldCharType="end"/>
      </w:r>
      <w:r w:rsidR="0023157F" w:rsidRPr="00A55335">
        <w:fldChar w:fldCharType="separate"/>
      </w:r>
      <w:r w:rsidR="00EC2769">
        <w:rPr>
          <w:noProof/>
        </w:rPr>
        <w:t>(</w:t>
      </w:r>
      <w:hyperlink w:anchor="_ENREF_245" w:tooltip=", 2012 #644" w:history="1">
        <w:r w:rsidR="00EC2769">
          <w:rPr>
            <w:noProof/>
          </w:rPr>
          <w:t>245</w:t>
        </w:r>
      </w:hyperlink>
      <w:r w:rsidR="00EC2769">
        <w:rPr>
          <w:noProof/>
        </w:rPr>
        <w:t xml:space="preserve">, </w:t>
      </w:r>
      <w:hyperlink w:anchor="_ENREF_246" w:tooltip="Larussa, 2019 #429" w:history="1">
        <w:r w:rsidR="00EC2769">
          <w:rPr>
            <w:noProof/>
          </w:rPr>
          <w:t>246</w:t>
        </w:r>
      </w:hyperlink>
      <w:r w:rsidR="00EC2769">
        <w:rPr>
          <w:noProof/>
        </w:rPr>
        <w:t>)</w:t>
      </w:r>
      <w:r w:rsidR="0023157F" w:rsidRPr="00A55335">
        <w:fldChar w:fldCharType="end"/>
      </w:r>
      <w:r w:rsidRPr="00A55335">
        <w:t>.</w:t>
      </w:r>
    </w:p>
    <w:p w14:paraId="35297494" w14:textId="77777777" w:rsidR="00DD505D" w:rsidRPr="00A55335" w:rsidRDefault="00DD505D" w:rsidP="004D433B">
      <w:pPr>
        <w:pStyle w:val="Heading3"/>
      </w:pPr>
      <w:bookmarkStart w:id="375" w:name="_Toc183441377"/>
      <w:r w:rsidRPr="00A55335">
        <w:t>Description of studies</w:t>
      </w:r>
      <w:bookmarkEnd w:id="375"/>
      <w:r w:rsidRPr="00A55335">
        <w:t xml:space="preserve"> </w:t>
      </w:r>
    </w:p>
    <w:p w14:paraId="126A2C35" w14:textId="6A4D9EBC" w:rsidR="00DD505D" w:rsidRPr="00A55335" w:rsidRDefault="00DD505D" w:rsidP="00DD505D">
      <w:pPr>
        <w:pStyle w:val="BodyText"/>
      </w:pPr>
      <w:r w:rsidRPr="00A55335">
        <w:t xml:space="preserve">Two citations </w:t>
      </w:r>
      <w:r w:rsidRPr="00A55335">
        <w:fldChar w:fldCharType="begin">
          <w:fldData xml:space="preserve">PEVuZE5vdGU+PENpdGU+PEF1dGhvcj5QZWNraGFtPC9BdXRob3I+PFllYXI+MjAxMjwvWWVhcj48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</w:fldData>
        </w:fldChar>
      </w:r>
      <w:r w:rsidR="00EC2769">
        <w:instrText xml:space="preserve"> ADDIN EN.CITE </w:instrText>
      </w:r>
      <w:r w:rsidR="00EC2769">
        <w:fldChar w:fldCharType="begin">
          <w:fldData xml:space="preserve">PEVuZE5vdGU+PENpdGU+PEF1dGhvcj5QZWNraGFtPC9BdXRob3I+PFllYXI+MjAxMjwvWWVhcj48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</w:fldData>
        </w:fldChar>
      </w:r>
      <w:r w:rsidR="00EC2769">
        <w:instrText xml:space="preserve"> ADDIN EN.CITE.DATA </w:instrText>
      </w:r>
      <w:r w:rsidR="00EC2769">
        <w:fldChar w:fldCharType="end"/>
      </w:r>
      <w:r w:rsidRPr="00A55335">
        <w:fldChar w:fldCharType="separate"/>
      </w:r>
      <w:r w:rsidR="00EC2769">
        <w:rPr>
          <w:noProof/>
        </w:rPr>
        <w:t>(</w:t>
      </w:r>
      <w:hyperlink w:anchor="_ENREF_247" w:tooltip="Peckham, 2012 #149" w:history="1">
        <w:r w:rsidR="00EC2769">
          <w:rPr>
            <w:noProof/>
          </w:rPr>
          <w:t>247</w:t>
        </w:r>
      </w:hyperlink>
      <w:r w:rsidR="00EC2769">
        <w:rPr>
          <w:noProof/>
        </w:rPr>
        <w:t xml:space="preserve">, </w:t>
      </w:r>
      <w:hyperlink w:anchor="_ENREF_248" w:tooltip="Peckham, 2014 #715" w:history="1">
        <w:r w:rsidR="00EC2769">
          <w:rPr>
            <w:noProof/>
          </w:rPr>
          <w:t>248</w:t>
        </w:r>
      </w:hyperlink>
      <w:r w:rsidR="00EC2769">
        <w:rPr>
          <w:noProof/>
        </w:rPr>
        <w:t>)</w:t>
      </w:r>
      <w:r w:rsidRPr="00A55335">
        <w:fldChar w:fldCharType="end"/>
      </w:r>
      <w:r w:rsidRPr="00A55335">
        <w:t xml:space="preserve"> corresponding to one quasi RCT (Peckham 2012) were identified in the literature</w:t>
      </w:r>
      <w:r w:rsidR="00061D70" w:rsidRPr="00A55335">
        <w:t xml:space="preserve"> search</w:t>
      </w:r>
      <w:r w:rsidRPr="00A55335">
        <w:t xml:space="preserve">. </w:t>
      </w:r>
      <w:r w:rsidR="004944C5" w:rsidRPr="00A55335">
        <w:t xml:space="preserve">No additional studies were identified in the Department’s public call for evidence. </w:t>
      </w:r>
      <w:r w:rsidRPr="00A55335">
        <w:t xml:space="preserve">There were 2 </w:t>
      </w:r>
      <w:hyperlink w:anchor="_Ongoing_studies" w:history="1">
        <w:r w:rsidRPr="00A55335">
          <w:rPr>
            <w:rStyle w:val="Hyperlink"/>
          </w:rPr>
          <w:t>ongoing studies</w:t>
        </w:r>
      </w:hyperlink>
      <w:r w:rsidRPr="00A55335">
        <w:t xml:space="preserve">, and 3 </w:t>
      </w:r>
      <w:hyperlink w:anchor="_Studies_awaiting_classification" w:history="1">
        <w:r w:rsidRPr="00A55335">
          <w:rPr>
            <w:rStyle w:val="Hyperlink"/>
          </w:rPr>
          <w:t>studies awaiting classification</w:t>
        </w:r>
      </w:hyperlink>
      <w:r w:rsidRPr="00A55335">
        <w:t>. An overview of the PICO criteria of included studies is provided in Appendix D6.</w:t>
      </w:r>
      <w:r w:rsidR="00066AB1" w:rsidRPr="00A55335">
        <w:t>3</w:t>
      </w:r>
      <w:r w:rsidRPr="00A55335">
        <w:t>.1.</w:t>
      </w:r>
    </w:p>
    <w:p w14:paraId="0E2EA9F3" w14:textId="5C7327D2" w:rsidR="00DD505D" w:rsidRPr="00A55335" w:rsidRDefault="00CC0EFD" w:rsidP="00DD505D">
      <w:pPr>
        <w:pStyle w:val="BodyText"/>
      </w:pPr>
      <w:r w:rsidRPr="00A55335">
        <w:t xml:space="preserve">The </w:t>
      </w:r>
      <w:r w:rsidR="00741D44" w:rsidRPr="00A55335">
        <w:t>study (</w:t>
      </w:r>
      <w:r w:rsidR="00DD505D" w:rsidRPr="00A55335">
        <w:t>Peckham 2012</w:t>
      </w:r>
      <w:r w:rsidR="00741D44" w:rsidRPr="00A55335">
        <w:t>)</w:t>
      </w:r>
      <w:r w:rsidR="00DD505D" w:rsidRPr="00A55335">
        <w:t xml:space="preserve"> was conducted in </w:t>
      </w:r>
      <w:r w:rsidR="008732B2" w:rsidRPr="00A55335">
        <w:t xml:space="preserve">a </w:t>
      </w:r>
      <w:r w:rsidR="00DD505D" w:rsidRPr="00A55335">
        <w:t>community setting in the UK, with participants being referred from primary or secondary care. The study enrolled 94 people with irritable bowel syndrome aged 18 years and above.</w:t>
      </w:r>
    </w:p>
    <w:p w14:paraId="2F3A87B3" w14:textId="766F15B1" w:rsidR="00DD505D" w:rsidRPr="00A55335" w:rsidRDefault="00F01A95" w:rsidP="00DD505D">
      <w:pPr>
        <w:pStyle w:val="BodyText"/>
      </w:pPr>
      <w:r w:rsidRPr="00A55335">
        <w:t>The</w:t>
      </w:r>
      <w:r w:rsidR="005F2137" w:rsidRPr="00A55335">
        <w:t xml:space="preserve"> study compared homeopathy with </w:t>
      </w:r>
      <w:r w:rsidRPr="00A55335">
        <w:t xml:space="preserve">an inactive control (no intervention). </w:t>
      </w:r>
      <w:r w:rsidR="00DD505D" w:rsidRPr="00A55335">
        <w:t>Participants received individualised homeopathy in the form of 5x 1-hour sessions over a 6-month period. There were no limitations o</w:t>
      </w:r>
      <w:r w:rsidR="007D778E" w:rsidRPr="00A55335">
        <w:t>n</w:t>
      </w:r>
      <w:r w:rsidR="00DD505D" w:rsidRPr="00A55335">
        <w:t xml:space="preserve"> the type, potency or dosage of homeopathic product prescribed. There were two comparator arms: one included 5x 1-hour sessions of supportive listening over a 6-month period, the other was no intervention. All participants continued to receive usual care. </w:t>
      </w:r>
    </w:p>
    <w:p w14:paraId="7374AF3F" w14:textId="37F29B30" w:rsidR="00DD505D" w:rsidRPr="00A55335" w:rsidRDefault="00E26264" w:rsidP="00DD505D">
      <w:pPr>
        <w:pStyle w:val="BodyText"/>
      </w:pPr>
      <w:r w:rsidRPr="00A55335">
        <w:t xml:space="preserve">There were no studies found for </w:t>
      </w:r>
      <w:r w:rsidR="00726EE5" w:rsidRPr="00A55335">
        <w:t xml:space="preserve">the </w:t>
      </w:r>
      <w:r w:rsidR="006070ED" w:rsidRPr="00A55335">
        <w:t>Primary Comparison</w:t>
      </w:r>
      <w:r w:rsidR="00F73318" w:rsidRPr="00A55335">
        <w:t xml:space="preserve">: Homeopathy </w:t>
      </w:r>
      <w:r w:rsidR="001B33CB" w:rsidRPr="00A55335">
        <w:t>versus placebo</w:t>
      </w:r>
      <w:r w:rsidR="007E31F6" w:rsidRPr="00A55335">
        <w:t>. Results for</w:t>
      </w:r>
      <w:r w:rsidR="001B33CB" w:rsidRPr="00A55335">
        <w:t xml:space="preserve"> </w:t>
      </w:r>
      <w:r w:rsidR="00726EE5" w:rsidRPr="00A55335">
        <w:t xml:space="preserve">the </w:t>
      </w:r>
      <w:r w:rsidR="006070ED" w:rsidRPr="00A55335">
        <w:t>Secondary Comparison</w:t>
      </w:r>
      <w:r w:rsidR="00F73318" w:rsidRPr="00A55335">
        <w:t xml:space="preserve">: Homeopathy </w:t>
      </w:r>
      <w:r w:rsidR="00DD505D" w:rsidRPr="00A55335">
        <w:t xml:space="preserve">versus inactive control (no intervention, waitlist or usual care) are provided in the Summary of Findings table (see </w:t>
      </w:r>
      <w:r w:rsidR="00F01A95" w:rsidRPr="00A55335">
        <w:t xml:space="preserve">Section </w:t>
      </w:r>
      <w:r w:rsidR="00F01A95" w:rsidRPr="00A55335">
        <w:fldChar w:fldCharType="begin"/>
      </w:r>
      <w:r w:rsidR="00F01A95" w:rsidRPr="00A55335">
        <w:instrText xml:space="preserve"> REF _Ref152168985 \r \h </w:instrText>
      </w:r>
      <w:r w:rsidR="00F01A95" w:rsidRPr="00A55335">
        <w:fldChar w:fldCharType="separate"/>
      </w:r>
      <w:r w:rsidR="00814B04">
        <w:t>4.14.4</w:t>
      </w:r>
      <w:r w:rsidR="00F01A95" w:rsidRPr="00A55335">
        <w:fldChar w:fldCharType="end"/>
      </w:r>
      <w:r w:rsidR="00DD505D" w:rsidRPr="00A55335">
        <w:t>). Results of studies that compared homeopathy with another comparator</w:t>
      </w:r>
      <w:r w:rsidR="005C6724" w:rsidRPr="00A55335">
        <w:t xml:space="preserve"> (Tertiary Comparison)</w:t>
      </w:r>
      <w:r w:rsidR="00DD505D" w:rsidRPr="00A55335">
        <w:t xml:space="preserve"> are presented in Appendix F2.</w:t>
      </w:r>
    </w:p>
    <w:p w14:paraId="6B41E403"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5E740031" w14:textId="5FDE433E" w:rsidR="00DD505D" w:rsidRPr="00A55335" w:rsidRDefault="00DD505D" w:rsidP="004D433B">
      <w:pPr>
        <w:pStyle w:val="Heading3"/>
      </w:pPr>
      <w:bookmarkStart w:id="376" w:name="_Toc183441378"/>
      <w:r w:rsidRPr="00A55335">
        <w:t xml:space="preserve">Risk of bias </w:t>
      </w:r>
      <w:r w:rsidR="00817C15" w:rsidRPr="00A55335">
        <w:t>–</w:t>
      </w:r>
      <w:r w:rsidRPr="00A55335">
        <w:t xml:space="preserve"> summary assessment across studies</w:t>
      </w:r>
      <w:bookmarkEnd w:id="376"/>
      <w:r w:rsidRPr="00A55335">
        <w:t xml:space="preserve"> </w:t>
      </w:r>
    </w:p>
    <w:p w14:paraId="4A04AE03" w14:textId="2E3C099B" w:rsidR="008A5CE4" w:rsidRPr="00A55335" w:rsidRDefault="00DD505D" w:rsidP="008A5CE4">
      <w:pPr>
        <w:pStyle w:val="BodyText"/>
      </w:pPr>
      <w:r w:rsidRPr="00A55335">
        <w:t xml:space="preserve">The risk of bias for each item in the </w:t>
      </w:r>
      <w:r w:rsidR="00F56A75" w:rsidRPr="00A55335">
        <w:t xml:space="preserve">included </w:t>
      </w:r>
      <w:r w:rsidRPr="00A55335">
        <w:t xml:space="preserve">RCTs for </w:t>
      </w:r>
      <w:r w:rsidR="008A5CE4" w:rsidRPr="00A55335">
        <w:t>IBS</w:t>
      </w:r>
      <w:r w:rsidRPr="00A55335">
        <w:t xml:space="preserve"> </w:t>
      </w:r>
      <w:r w:rsidR="008A5CE4" w:rsidRPr="00A55335">
        <w:t>are</w:t>
      </w:r>
      <w:r w:rsidRPr="00A55335">
        <w:t xml:space="preserve"> summarised in </w:t>
      </w:r>
      <w:r w:rsidR="00863A94" w:rsidRPr="00A55335">
        <w:fldChar w:fldCharType="begin"/>
      </w:r>
      <w:r w:rsidR="00863A94" w:rsidRPr="00A55335">
        <w:instrText xml:space="preserve"> REF _Ref151380458 \h </w:instrText>
      </w:r>
      <w:r w:rsidR="00863A94" w:rsidRPr="00A55335">
        <w:fldChar w:fldCharType="separate"/>
      </w:r>
      <w:r w:rsidR="00814B04" w:rsidRPr="00A55335">
        <w:t xml:space="preserve">Figure </w:t>
      </w:r>
      <w:r w:rsidR="00814B04">
        <w:rPr>
          <w:noProof/>
        </w:rPr>
        <w:t>65</w:t>
      </w:r>
      <w:r w:rsidR="00863A94" w:rsidRPr="00A55335">
        <w:fldChar w:fldCharType="end"/>
      </w:r>
      <w:r w:rsidRPr="00A55335">
        <w:t>. Details are provided in Appendix D6.</w:t>
      </w:r>
      <w:r w:rsidR="008A5CE4" w:rsidRPr="00A55335">
        <w:t>3</w:t>
      </w:r>
      <w:r w:rsidRPr="00A55335">
        <w:t>.2.</w:t>
      </w:r>
      <w:r w:rsidR="008A5CE4" w:rsidRPr="00A55335">
        <w:t xml:space="preserve"> No studies were judged to be at overall low risk of bias. </w:t>
      </w:r>
    </w:p>
    <w:p w14:paraId="3FCF1B7D" w14:textId="56BA67D5" w:rsidR="00DD505D" w:rsidRPr="00A55335" w:rsidRDefault="00DD505D" w:rsidP="00DD505D">
      <w:pPr>
        <w:pStyle w:val="Caption"/>
      </w:pPr>
      <w:bookmarkStart w:id="377" w:name="_Ref129959622"/>
      <w:bookmarkStart w:id="378" w:name="_Ref151380458"/>
      <w:bookmarkStart w:id="379" w:name="_Ref129959616"/>
      <w:bookmarkStart w:id="380" w:name="_Toc183520338"/>
      <w:r w:rsidRPr="00A55335">
        <w:lastRenderedPageBreak/>
        <w:t xml:space="preserve">Figure </w:t>
      </w:r>
      <w:bookmarkEnd w:id="377"/>
      <w:r w:rsidRPr="00A55335">
        <w:fldChar w:fldCharType="begin"/>
      </w:r>
      <w:r w:rsidRPr="00A55335">
        <w:instrText xml:space="preserve"> SEQ Figure \* ARABIC </w:instrText>
      </w:r>
      <w:r w:rsidRPr="00A55335">
        <w:fldChar w:fldCharType="separate"/>
      </w:r>
      <w:r w:rsidR="00814B04">
        <w:rPr>
          <w:noProof/>
        </w:rPr>
        <w:t>65</w:t>
      </w:r>
      <w:r w:rsidRPr="00A55335">
        <w:fldChar w:fldCharType="end"/>
      </w:r>
      <w:bookmarkEnd w:id="378"/>
      <w:r w:rsidRPr="00A55335">
        <w:t xml:space="preserve"> </w:t>
      </w:r>
      <w:r w:rsidRPr="00A55335">
        <w:tab/>
        <w:t>Risk of bias summary: review authors</w:t>
      </w:r>
      <w:r w:rsidR="00817C15" w:rsidRPr="00A55335">
        <w:t>’</w:t>
      </w:r>
      <w:r w:rsidRPr="00A55335">
        <w:t xml:space="preserve"> judgement about each risk of b</w:t>
      </w:r>
      <w:r w:rsidR="005C537F">
        <w:t>i</w:t>
      </w:r>
      <w:r w:rsidRPr="00A55335">
        <w:t xml:space="preserve">as item for each included study: </w:t>
      </w:r>
      <w:r w:rsidR="00F01A95" w:rsidRPr="00A55335">
        <w:t>I</w:t>
      </w:r>
      <w:r w:rsidRPr="00A55335">
        <w:t>rritable bowel syndrome</w:t>
      </w:r>
      <w:bookmarkEnd w:id="379"/>
      <w:bookmarkEnd w:id="380"/>
    </w:p>
    <w:p w14:paraId="1A2FBFDA" w14:textId="6F47F140" w:rsidR="00AC0A80" w:rsidRPr="00A55335" w:rsidRDefault="00AC0A80" w:rsidP="00AC0A80">
      <w:pPr>
        <w:pStyle w:val="Pic"/>
      </w:pPr>
      <w:r w:rsidRPr="00A55335">
        <w:rPr>
          <w:noProof/>
        </w:rPr>
        <w:drawing>
          <wp:inline distT="0" distB="0" distL="0" distR="0" wp14:anchorId="35FF1DE6" wp14:editId="34412802">
            <wp:extent cx="4283155" cy="1555668"/>
            <wp:effectExtent l="0" t="0" r="3175" b="6985"/>
            <wp:docPr id="6" name="Picture 6" descr="A chart with yellow and green circl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hart with yellow and green circles and dots&#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31762" cy="1573322"/>
                    </a:xfrm>
                    <a:prstGeom prst="rect">
                      <a:avLst/>
                    </a:prstGeom>
                    <a:noFill/>
                    <a:ln>
                      <a:noFill/>
                    </a:ln>
                  </pic:spPr>
                </pic:pic>
              </a:graphicData>
            </a:graphic>
          </wp:inline>
        </w:drawing>
      </w:r>
    </w:p>
    <w:p w14:paraId="0ACD5D13" w14:textId="77777777" w:rsidR="00AC0A80" w:rsidRPr="00A55335" w:rsidRDefault="00AC0A80" w:rsidP="00AC0A80">
      <w:pPr>
        <w:pStyle w:val="TableFigNotes18"/>
      </w:pPr>
    </w:p>
    <w:p w14:paraId="5D1D3C98" w14:textId="77777777" w:rsidR="00DD505D" w:rsidRPr="00A55335" w:rsidRDefault="00DD505D" w:rsidP="004D433B">
      <w:pPr>
        <w:pStyle w:val="Heading3"/>
      </w:pPr>
      <w:bookmarkStart w:id="381" w:name="_Ref152168985"/>
      <w:bookmarkStart w:id="382" w:name="_Toc183441379"/>
      <w:r w:rsidRPr="00A55335">
        <w:t>Summary of findings and evidence statements</w:t>
      </w:r>
      <w:bookmarkEnd w:id="381"/>
      <w:bookmarkEnd w:id="382"/>
    </w:p>
    <w:p w14:paraId="61CE683D" w14:textId="6BCBB383" w:rsidR="007D0F82" w:rsidRPr="00A55335" w:rsidRDefault="006070ED" w:rsidP="007D0F82">
      <w:pPr>
        <w:pStyle w:val="Heading4"/>
      </w:pPr>
      <w:bookmarkStart w:id="383" w:name="_Ref151380444"/>
      <w:r w:rsidRPr="00A55335">
        <w:t>Primary Comparison</w:t>
      </w:r>
      <w:r w:rsidR="007D0F82" w:rsidRPr="00A55335">
        <w:t xml:space="preserve"> (vs placebo)</w:t>
      </w:r>
      <w:bookmarkEnd w:id="383"/>
      <w:r w:rsidR="007D0F82" w:rsidRPr="00A55335">
        <w:t xml:space="preserve"> </w:t>
      </w:r>
    </w:p>
    <w:p w14:paraId="7E8E1A21" w14:textId="619CD52A" w:rsidR="003218A0" w:rsidRPr="00A55335" w:rsidRDefault="007D0F82" w:rsidP="003218A0">
      <w:pPr>
        <w:pStyle w:val="Bulletintro"/>
        <w:rPr>
          <w:lang w:val="en-AU"/>
        </w:rPr>
      </w:pPr>
      <w:r w:rsidRPr="00A55335">
        <w:rPr>
          <w:lang w:val="en-AU"/>
        </w:rPr>
        <w:t xml:space="preserve">There were no studies identified </w:t>
      </w:r>
      <w:r w:rsidR="00BD7EA9" w:rsidRPr="00A55335">
        <w:rPr>
          <w:lang w:val="en-AU"/>
        </w:rPr>
        <w:t>comparing</w:t>
      </w:r>
      <w:r w:rsidRPr="00A55335">
        <w:rPr>
          <w:lang w:val="en-AU"/>
        </w:rPr>
        <w:t xml:space="preserve"> homeopathy to placebo in people with IBS. The effect of homeopathy </w:t>
      </w:r>
      <w:r w:rsidR="00477913" w:rsidRPr="00A55335">
        <w:rPr>
          <w:lang w:val="en-AU"/>
        </w:rPr>
        <w:t xml:space="preserve">compared to placebo </w:t>
      </w:r>
      <w:r w:rsidRPr="00A55335">
        <w:rPr>
          <w:lang w:val="en-AU"/>
        </w:rPr>
        <w:t>is unknown</w:t>
      </w:r>
      <w:r w:rsidR="00477913" w:rsidRPr="00A55335">
        <w:rPr>
          <w:lang w:val="en-AU"/>
        </w:rPr>
        <w:t>.</w:t>
      </w:r>
    </w:p>
    <w:p w14:paraId="43ED5E50" w14:textId="77777777" w:rsidR="00C7761B" w:rsidRPr="00A55335" w:rsidRDefault="00C7761B" w:rsidP="00B732A8"/>
    <w:p w14:paraId="238B3A49" w14:textId="321F5B9C" w:rsidR="007D0F82" w:rsidRPr="00A55335" w:rsidRDefault="006070ED" w:rsidP="007D0F82">
      <w:pPr>
        <w:pStyle w:val="Heading4"/>
      </w:pPr>
      <w:bookmarkStart w:id="384" w:name="_Ref151380475"/>
      <w:r w:rsidRPr="00A55335">
        <w:t>Secondary Comparison</w:t>
      </w:r>
      <w:r w:rsidR="007D0F82" w:rsidRPr="00A55335">
        <w:t xml:space="preserve"> (vs </w:t>
      </w:r>
      <w:r w:rsidR="006352A8" w:rsidRPr="00A55335">
        <w:t xml:space="preserve">inactive </w:t>
      </w:r>
      <w:r w:rsidR="007D0F82" w:rsidRPr="00A55335">
        <w:t>control)</w:t>
      </w:r>
      <w:bookmarkEnd w:id="384"/>
      <w:r w:rsidR="007D0F82" w:rsidRPr="00A55335">
        <w:t xml:space="preserve"> </w:t>
      </w:r>
    </w:p>
    <w:tbl>
      <w:tblPr>
        <w:tblW w:w="5038" w:type="pct"/>
        <w:tblInd w:w="-75" w:type="dxa"/>
        <w:tblLayout w:type="fixed"/>
        <w:tblCellMar>
          <w:top w:w="57" w:type="dxa"/>
          <w:left w:w="57" w:type="dxa"/>
          <w:bottom w:w="57" w:type="dxa"/>
          <w:right w:w="57" w:type="dxa"/>
        </w:tblCellMar>
        <w:tblLook w:val="04A0" w:firstRow="1" w:lastRow="0" w:firstColumn="1" w:lastColumn="0" w:noHBand="0" w:noVBand="1"/>
      </w:tblPr>
      <w:tblGrid>
        <w:gridCol w:w="75"/>
        <w:gridCol w:w="1985"/>
        <w:gridCol w:w="1418"/>
        <w:gridCol w:w="1418"/>
        <w:gridCol w:w="850"/>
        <w:gridCol w:w="1129"/>
        <w:gridCol w:w="992"/>
        <w:gridCol w:w="1952"/>
      </w:tblGrid>
      <w:tr w:rsidR="00DD505D" w:rsidRPr="00A55335" w14:paraId="4CC925D5" w14:textId="77777777" w:rsidTr="000A1F1F">
        <w:trPr>
          <w:gridBefore w:val="1"/>
          <w:wBefore w:w="38" w:type="pct"/>
          <w:cantSplit/>
          <w:tblHeader/>
        </w:trPr>
        <w:tc>
          <w:tcPr>
            <w:tcW w:w="4962" w:type="pct"/>
            <w:gridSpan w:val="7"/>
            <w:tcBorders>
              <w:top w:val="single" w:sz="12" w:space="0" w:color="000000"/>
              <w:left w:val="nil"/>
              <w:bottom w:val="single" w:sz="12" w:space="0" w:color="000000"/>
              <w:right w:val="nil"/>
            </w:tcBorders>
            <w:vAlign w:val="center"/>
            <w:hideMark/>
          </w:tcPr>
          <w:p w14:paraId="38B32CC4" w14:textId="071A5E21" w:rsidR="00DD505D" w:rsidRPr="00A55335" w:rsidRDefault="00DD505D" w:rsidP="00DE573E">
            <w:pPr>
              <w:pStyle w:val="TableH1"/>
              <w:rPr>
                <w:lang w:val="en-AU"/>
              </w:rPr>
            </w:pPr>
            <w:r w:rsidRPr="00A55335">
              <w:rPr>
                <w:lang w:val="en-AU"/>
              </w:rPr>
              <w:t xml:space="preserve">Homeopathy compared to </w:t>
            </w:r>
            <w:r w:rsidR="006352A8" w:rsidRPr="00A55335">
              <w:rPr>
                <w:lang w:val="en-AU"/>
              </w:rPr>
              <w:t xml:space="preserve">inactive </w:t>
            </w:r>
            <w:r w:rsidRPr="00A55335">
              <w:rPr>
                <w:lang w:val="en-AU"/>
              </w:rPr>
              <w:t>control for irritable bowel syndrome</w:t>
            </w:r>
            <w:r w:rsidR="003B6973" w:rsidRPr="00A55335">
              <w:rPr>
                <w:lang w:val="en-AU"/>
              </w:rPr>
              <w:t xml:space="preserve"> </w:t>
            </w:r>
          </w:p>
        </w:tc>
      </w:tr>
      <w:tr w:rsidR="00DD505D" w:rsidRPr="00A55335" w14:paraId="25F9162F" w14:textId="77777777" w:rsidTr="000A1F1F">
        <w:trPr>
          <w:gridBefore w:val="1"/>
          <w:wBefore w:w="38" w:type="pct"/>
          <w:cantSplit/>
          <w:tblHeader/>
        </w:trPr>
        <w:tc>
          <w:tcPr>
            <w:tcW w:w="4962" w:type="pct"/>
            <w:gridSpan w:val="7"/>
            <w:tcBorders>
              <w:top w:val="single" w:sz="12" w:space="0" w:color="000000"/>
              <w:left w:val="nil"/>
              <w:bottom w:val="single" w:sz="12" w:space="0" w:color="000000"/>
              <w:right w:val="nil"/>
            </w:tcBorders>
            <w:vAlign w:val="center"/>
            <w:hideMark/>
          </w:tcPr>
          <w:p w14:paraId="5BBD32EB" w14:textId="77777777" w:rsidR="00DD505D" w:rsidRPr="00A55335" w:rsidRDefault="00DD505D" w:rsidP="00DE573E">
            <w:pPr>
              <w:pStyle w:val="Tabletext9pt"/>
            </w:pPr>
            <w:r w:rsidRPr="00A55335">
              <w:rPr>
                <w:rStyle w:val="Strong"/>
              </w:rPr>
              <w:t>Patient or population:</w:t>
            </w:r>
            <w:r w:rsidRPr="00A55335">
              <w:t xml:space="preserve"> Irritable bowel syndrome</w:t>
            </w:r>
          </w:p>
          <w:p w14:paraId="045759B6" w14:textId="77777777" w:rsidR="00DD505D" w:rsidRPr="00A55335" w:rsidRDefault="00DD505D" w:rsidP="00DE573E">
            <w:pPr>
              <w:pStyle w:val="Tabletext9pt"/>
            </w:pPr>
            <w:r w:rsidRPr="00A55335">
              <w:rPr>
                <w:rStyle w:val="Strong"/>
              </w:rPr>
              <w:t>Setting:</w:t>
            </w:r>
            <w:r w:rsidRPr="00A55335">
              <w:t xml:space="preserve"> Community</w:t>
            </w:r>
          </w:p>
          <w:p w14:paraId="261943A8" w14:textId="33F49D37" w:rsidR="00DD505D" w:rsidRPr="00A55335" w:rsidRDefault="00DD505D" w:rsidP="00DE573E">
            <w:pPr>
              <w:pStyle w:val="Tabletext9pt"/>
            </w:pPr>
            <w:r w:rsidRPr="00A55335">
              <w:rPr>
                <w:rStyle w:val="Strong"/>
              </w:rPr>
              <w:t>Intervention:</w:t>
            </w:r>
            <w:r w:rsidRPr="00A55335">
              <w:t xml:space="preserve"> Homeopathy</w:t>
            </w:r>
            <w:r w:rsidR="008A5CE4" w:rsidRPr="00A55335">
              <w:t xml:space="preserve"> </w:t>
            </w:r>
          </w:p>
          <w:p w14:paraId="324541C6" w14:textId="335E99AC" w:rsidR="00DD505D" w:rsidRPr="00A55335" w:rsidRDefault="00DD505D" w:rsidP="00DE573E">
            <w:pPr>
              <w:pStyle w:val="Tabletext9pt"/>
            </w:pPr>
            <w:r w:rsidRPr="00A55335">
              <w:rPr>
                <w:rStyle w:val="Strong"/>
              </w:rPr>
              <w:t>Comparison:</w:t>
            </w:r>
            <w:r w:rsidRPr="00A55335">
              <w:t xml:space="preserve"> </w:t>
            </w:r>
            <w:r w:rsidR="006352A8" w:rsidRPr="00A55335">
              <w:t xml:space="preserve">inactive control </w:t>
            </w:r>
            <w:r w:rsidRPr="00A55335">
              <w:t>(no intervention)</w:t>
            </w:r>
          </w:p>
        </w:tc>
      </w:tr>
      <w:tr w:rsidR="00C7284A" w:rsidRPr="00A55335" w14:paraId="4AF37489" w14:textId="77777777" w:rsidTr="00DE573E">
        <w:trPr>
          <w:gridBefore w:val="1"/>
          <w:wBefore w:w="38" w:type="pct"/>
          <w:cantSplit/>
          <w:tblHeader/>
        </w:trPr>
        <w:tc>
          <w:tcPr>
            <w:tcW w:w="1011" w:type="pct"/>
            <w:vMerge w:val="restart"/>
            <w:tcBorders>
              <w:right w:val="single" w:sz="6" w:space="0" w:color="EFEFEF"/>
            </w:tcBorders>
            <w:shd w:val="clear" w:color="auto" w:fill="006579" w:themeFill="accent2"/>
            <w:vAlign w:val="bottom"/>
            <w:hideMark/>
          </w:tcPr>
          <w:p w14:paraId="5FD4C6F7" w14:textId="77777777" w:rsidR="00DD505D" w:rsidRPr="00A55335" w:rsidRDefault="00DD505D" w:rsidP="00F47136">
            <w:pPr>
              <w:pStyle w:val="Tabletext8pt"/>
              <w:rPr>
                <w:b/>
                <w:bCs/>
                <w:color w:val="F9F9F9" w:themeColor="background1"/>
              </w:rPr>
            </w:pPr>
            <w:r w:rsidRPr="00A55335">
              <w:rPr>
                <w:b/>
                <w:bCs/>
                <w:color w:val="F9F9F9" w:themeColor="background1"/>
              </w:rPr>
              <w:t>Outcomes</w:t>
            </w:r>
          </w:p>
        </w:tc>
        <w:tc>
          <w:tcPr>
            <w:tcW w:w="1444" w:type="pct"/>
            <w:gridSpan w:val="2"/>
            <w:tcBorders>
              <w:top w:val="single" w:sz="6" w:space="0" w:color="EFEFEF"/>
              <w:right w:val="single" w:sz="6" w:space="0" w:color="EFEFEF"/>
            </w:tcBorders>
            <w:shd w:val="clear" w:color="auto" w:fill="E0E0E0"/>
            <w:vAlign w:val="bottom"/>
            <w:hideMark/>
          </w:tcPr>
          <w:p w14:paraId="00E1CCEC" w14:textId="77777777" w:rsidR="00DD505D" w:rsidRPr="00A55335" w:rsidRDefault="00DD505D" w:rsidP="00F47136">
            <w:pPr>
              <w:pStyle w:val="Tabletext8pt"/>
              <w:rPr>
                <w:rStyle w:val="Strong"/>
              </w:rPr>
            </w:pPr>
            <w:r w:rsidRPr="00A55335">
              <w:rPr>
                <w:rStyle w:val="Strong"/>
              </w:rPr>
              <w:t>Anticipated absolute effects* (95% CI)</w:t>
            </w:r>
          </w:p>
        </w:tc>
        <w:tc>
          <w:tcPr>
            <w:tcW w:w="433" w:type="pct"/>
            <w:vMerge w:val="restart"/>
            <w:tcBorders>
              <w:right w:val="single" w:sz="6" w:space="0" w:color="EFEFEF"/>
            </w:tcBorders>
            <w:shd w:val="clear" w:color="auto" w:fill="006579" w:themeFill="accent2"/>
            <w:vAlign w:val="bottom"/>
            <w:hideMark/>
          </w:tcPr>
          <w:p w14:paraId="717F2F61" w14:textId="77777777" w:rsidR="00DD505D" w:rsidRPr="00A55335" w:rsidRDefault="00DD505D" w:rsidP="00F47136">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75" w:type="pct"/>
            <w:vMerge w:val="restart"/>
            <w:tcBorders>
              <w:right w:val="single" w:sz="6" w:space="0" w:color="EFEFEF"/>
            </w:tcBorders>
            <w:shd w:val="clear" w:color="auto" w:fill="006579" w:themeFill="accent2"/>
            <w:vAlign w:val="bottom"/>
            <w:hideMark/>
          </w:tcPr>
          <w:p w14:paraId="37499E8A" w14:textId="77777777" w:rsidR="00DD505D" w:rsidRPr="00A55335" w:rsidRDefault="00DD505D" w:rsidP="00F47136">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05" w:type="pct"/>
            <w:vMerge w:val="restart"/>
            <w:tcBorders>
              <w:right w:val="single" w:sz="6" w:space="0" w:color="EFEFEF"/>
            </w:tcBorders>
            <w:shd w:val="clear" w:color="auto" w:fill="006579" w:themeFill="accent2"/>
            <w:vAlign w:val="bottom"/>
            <w:hideMark/>
          </w:tcPr>
          <w:p w14:paraId="1E53F4B8" w14:textId="77777777" w:rsidR="00DD505D" w:rsidRPr="00A55335" w:rsidRDefault="00DD505D" w:rsidP="00F47136">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994" w:type="pct"/>
            <w:vMerge w:val="restart"/>
            <w:tcBorders>
              <w:right w:val="single" w:sz="6" w:space="0" w:color="EFEFEF"/>
            </w:tcBorders>
            <w:shd w:val="clear" w:color="auto" w:fill="006579" w:themeFill="accent2"/>
            <w:vAlign w:val="bottom"/>
            <w:hideMark/>
          </w:tcPr>
          <w:p w14:paraId="15DFEF7E" w14:textId="20C5C1C1" w:rsidR="00DD505D" w:rsidRPr="00A55335" w:rsidRDefault="0040204E" w:rsidP="00F47136">
            <w:pPr>
              <w:pStyle w:val="Tabletext8pt"/>
              <w:rPr>
                <w:b/>
                <w:bCs/>
                <w:color w:val="F9F9F9" w:themeColor="background1"/>
              </w:rPr>
            </w:pPr>
            <w:r w:rsidRPr="00A55335">
              <w:rPr>
                <w:b/>
                <w:bCs/>
                <w:color w:val="F9F9F9" w:themeColor="background1"/>
              </w:rPr>
              <w:t>Evidence Statement</w:t>
            </w:r>
          </w:p>
        </w:tc>
      </w:tr>
      <w:tr w:rsidR="00332A17" w:rsidRPr="00A55335" w14:paraId="4D026F0F" w14:textId="77777777" w:rsidTr="00DE573E">
        <w:trPr>
          <w:gridBefore w:val="1"/>
          <w:wBefore w:w="38" w:type="pct"/>
          <w:cantSplit/>
          <w:tblHeader/>
        </w:trPr>
        <w:tc>
          <w:tcPr>
            <w:tcW w:w="1011" w:type="pct"/>
            <w:vMerge/>
            <w:tcBorders>
              <w:right w:val="single" w:sz="6" w:space="0" w:color="EFEFEF"/>
            </w:tcBorders>
            <w:shd w:val="clear" w:color="auto" w:fill="006579" w:themeFill="accent2"/>
            <w:vAlign w:val="center"/>
            <w:hideMark/>
          </w:tcPr>
          <w:p w14:paraId="78CA9BB6" w14:textId="77777777" w:rsidR="00DD505D" w:rsidRPr="00A55335" w:rsidRDefault="00DD505D" w:rsidP="00F47136">
            <w:pPr>
              <w:pStyle w:val="Tabletext8pt"/>
            </w:pPr>
          </w:p>
        </w:tc>
        <w:tc>
          <w:tcPr>
            <w:tcW w:w="722" w:type="pct"/>
            <w:tcBorders>
              <w:top w:val="single" w:sz="6" w:space="0" w:color="EFEFEF"/>
              <w:right w:val="single" w:sz="6" w:space="0" w:color="EFEFEF"/>
            </w:tcBorders>
            <w:shd w:val="clear" w:color="auto" w:fill="E0E0E0"/>
            <w:vAlign w:val="bottom"/>
            <w:hideMark/>
          </w:tcPr>
          <w:p w14:paraId="0FC47D32" w14:textId="272AC4D0" w:rsidR="00DD505D" w:rsidRPr="00A55335" w:rsidRDefault="00DD505D" w:rsidP="00F47136">
            <w:pPr>
              <w:pStyle w:val="Tabletext8pt"/>
              <w:rPr>
                <w:rStyle w:val="Strong"/>
              </w:rPr>
            </w:pPr>
            <w:r w:rsidRPr="00A55335">
              <w:rPr>
                <w:rStyle w:val="Strong"/>
              </w:rPr>
              <w:t xml:space="preserve">Risk with control </w:t>
            </w:r>
          </w:p>
        </w:tc>
        <w:tc>
          <w:tcPr>
            <w:tcW w:w="722" w:type="pct"/>
            <w:tcBorders>
              <w:top w:val="single" w:sz="6" w:space="0" w:color="EFEFEF"/>
              <w:right w:val="single" w:sz="6" w:space="0" w:color="EFEFEF"/>
            </w:tcBorders>
            <w:shd w:val="clear" w:color="auto" w:fill="E0E0E0"/>
            <w:vAlign w:val="bottom"/>
            <w:hideMark/>
          </w:tcPr>
          <w:p w14:paraId="0003A62F" w14:textId="77777777" w:rsidR="00DD505D" w:rsidRPr="00A55335" w:rsidRDefault="00DD505D" w:rsidP="00F47136">
            <w:pPr>
              <w:pStyle w:val="Tabletext8pt"/>
              <w:rPr>
                <w:rStyle w:val="Strong"/>
              </w:rPr>
            </w:pPr>
            <w:r w:rsidRPr="00A55335">
              <w:rPr>
                <w:rStyle w:val="Strong"/>
              </w:rPr>
              <w:t>Risk with homeopathy</w:t>
            </w:r>
          </w:p>
        </w:tc>
        <w:tc>
          <w:tcPr>
            <w:tcW w:w="433" w:type="pct"/>
            <w:vMerge/>
            <w:tcBorders>
              <w:right w:val="single" w:sz="6" w:space="0" w:color="EFEFEF"/>
            </w:tcBorders>
            <w:shd w:val="clear" w:color="auto" w:fill="006579" w:themeFill="accent2"/>
            <w:vAlign w:val="center"/>
            <w:hideMark/>
          </w:tcPr>
          <w:p w14:paraId="270B0356" w14:textId="77777777" w:rsidR="00DD505D" w:rsidRPr="00A55335" w:rsidRDefault="00DD505D" w:rsidP="00F47136">
            <w:pPr>
              <w:pStyle w:val="Tabletext8pt"/>
              <w:rPr>
                <w:b/>
                <w:bCs/>
                <w:color w:val="F9F9F9" w:themeColor="background1"/>
              </w:rPr>
            </w:pPr>
          </w:p>
        </w:tc>
        <w:tc>
          <w:tcPr>
            <w:tcW w:w="575" w:type="pct"/>
            <w:vMerge/>
            <w:tcBorders>
              <w:right w:val="single" w:sz="6" w:space="0" w:color="EFEFEF"/>
            </w:tcBorders>
            <w:shd w:val="clear" w:color="auto" w:fill="006579" w:themeFill="accent2"/>
            <w:vAlign w:val="center"/>
            <w:hideMark/>
          </w:tcPr>
          <w:p w14:paraId="6C8BBECD" w14:textId="77777777" w:rsidR="00DD505D" w:rsidRPr="00A55335" w:rsidRDefault="00DD505D" w:rsidP="00F47136">
            <w:pPr>
              <w:pStyle w:val="Tabletext8pt"/>
              <w:rPr>
                <w:b/>
                <w:bCs/>
                <w:color w:val="F9F9F9" w:themeColor="background1"/>
              </w:rPr>
            </w:pPr>
          </w:p>
        </w:tc>
        <w:tc>
          <w:tcPr>
            <w:tcW w:w="505" w:type="pct"/>
            <w:vMerge/>
            <w:tcBorders>
              <w:right w:val="single" w:sz="6" w:space="0" w:color="EFEFEF"/>
            </w:tcBorders>
            <w:shd w:val="clear" w:color="auto" w:fill="006579" w:themeFill="accent2"/>
            <w:vAlign w:val="center"/>
            <w:hideMark/>
          </w:tcPr>
          <w:p w14:paraId="4823ADDA" w14:textId="77777777" w:rsidR="00DD505D" w:rsidRPr="00A55335" w:rsidRDefault="00DD505D" w:rsidP="00F47136">
            <w:pPr>
              <w:pStyle w:val="Tabletext8pt"/>
              <w:rPr>
                <w:b/>
                <w:bCs/>
                <w:color w:val="F9F9F9" w:themeColor="background1"/>
              </w:rPr>
            </w:pPr>
          </w:p>
        </w:tc>
        <w:tc>
          <w:tcPr>
            <w:tcW w:w="994" w:type="pct"/>
            <w:vMerge/>
            <w:tcBorders>
              <w:right w:val="single" w:sz="6" w:space="0" w:color="EFEFEF"/>
            </w:tcBorders>
            <w:shd w:val="clear" w:color="auto" w:fill="006579" w:themeFill="accent2"/>
            <w:vAlign w:val="center"/>
            <w:hideMark/>
          </w:tcPr>
          <w:p w14:paraId="1BD171AB" w14:textId="77777777" w:rsidR="00DD505D" w:rsidRPr="00A55335" w:rsidRDefault="00DD505D" w:rsidP="00F47136">
            <w:pPr>
              <w:pStyle w:val="Tabletext8pt"/>
              <w:rPr>
                <w:b/>
                <w:bCs/>
                <w:color w:val="F9F9F9" w:themeColor="background1"/>
              </w:rPr>
            </w:pPr>
          </w:p>
        </w:tc>
      </w:tr>
      <w:tr w:rsidR="004477B0" w:rsidRPr="00A55335" w14:paraId="77E0A6C3" w14:textId="77777777" w:rsidTr="00DE573E">
        <w:trPr>
          <w:gridBefore w:val="1"/>
          <w:wBefore w:w="38" w:type="pct"/>
          <w:cantSplit/>
        </w:trPr>
        <w:tc>
          <w:tcPr>
            <w:tcW w:w="1011" w:type="pct"/>
            <w:tcBorders>
              <w:top w:val="single" w:sz="6" w:space="0" w:color="000000"/>
              <w:left w:val="nil"/>
              <w:bottom w:val="single" w:sz="6" w:space="0" w:color="000000"/>
              <w:right w:val="nil"/>
            </w:tcBorders>
            <w:vAlign w:val="center"/>
            <w:hideMark/>
          </w:tcPr>
          <w:p w14:paraId="4D01CD1B" w14:textId="77777777" w:rsidR="004477B0" w:rsidRPr="00A55335" w:rsidRDefault="004477B0" w:rsidP="00BF3C7A">
            <w:pPr>
              <w:pStyle w:val="Tabletext8pt"/>
            </w:pPr>
            <w:r w:rsidRPr="00A55335">
              <w:t>Symptom severity</w:t>
            </w:r>
            <w:r w:rsidRPr="00A55335">
              <w:br/>
              <w:t>assessed with: IBS Symptom Severity Scale (higher is worse)</w:t>
            </w:r>
            <w:r w:rsidRPr="00A55335">
              <w:br/>
              <w:t>Scale from: 0 to 500</w:t>
            </w:r>
            <w:r w:rsidRPr="00A55335">
              <w:br/>
              <w:t>follow-up: 26 weeks</w:t>
            </w:r>
          </w:p>
        </w:tc>
        <w:tc>
          <w:tcPr>
            <w:tcW w:w="722" w:type="pct"/>
            <w:tcBorders>
              <w:top w:val="single" w:sz="6" w:space="0" w:color="000000"/>
              <w:left w:val="nil"/>
              <w:bottom w:val="single" w:sz="6" w:space="0" w:color="000000"/>
              <w:right w:val="nil"/>
            </w:tcBorders>
            <w:shd w:val="clear" w:color="auto" w:fill="EBEBEB"/>
            <w:vAlign w:val="center"/>
            <w:hideMark/>
          </w:tcPr>
          <w:p w14:paraId="59265ECC" w14:textId="77777777" w:rsidR="004477B0" w:rsidRPr="00A55335" w:rsidRDefault="004477B0" w:rsidP="00F55199">
            <w:pPr>
              <w:pStyle w:val="Tabletext8pt"/>
              <w:jc w:val="center"/>
            </w:pPr>
            <w:r w:rsidRPr="00A55335">
              <w:t xml:space="preserve">The mean global improvement score was </w:t>
            </w:r>
            <w:r w:rsidRPr="00A55335">
              <w:rPr>
                <w:rStyle w:val="Strong"/>
              </w:rPr>
              <w:t>237.3 points</w:t>
            </w:r>
          </w:p>
        </w:tc>
        <w:tc>
          <w:tcPr>
            <w:tcW w:w="722" w:type="pct"/>
            <w:tcBorders>
              <w:top w:val="single" w:sz="6" w:space="0" w:color="000000"/>
              <w:left w:val="nil"/>
              <w:bottom w:val="single" w:sz="6" w:space="0" w:color="000000"/>
              <w:right w:val="nil"/>
            </w:tcBorders>
            <w:shd w:val="clear" w:color="auto" w:fill="EBEBEB"/>
            <w:hideMark/>
          </w:tcPr>
          <w:p w14:paraId="300F97B8" w14:textId="0DCA6803" w:rsidR="004477B0" w:rsidRPr="00A55335" w:rsidRDefault="004477B0" w:rsidP="00F55199">
            <w:pPr>
              <w:pStyle w:val="Tabletext8pt"/>
              <w:jc w:val="center"/>
            </w:pPr>
            <w:r w:rsidRPr="00A55335">
              <w:t xml:space="preserve">MD </w:t>
            </w:r>
            <w:r w:rsidRPr="00A55335">
              <w:rPr>
                <w:rStyle w:val="Strong"/>
              </w:rPr>
              <w:t>26.86 points lower</w:t>
            </w:r>
            <w:r w:rsidRPr="00A55335">
              <w:br/>
              <w:t>(8</w:t>
            </w:r>
            <w:r w:rsidR="00196646" w:rsidRPr="00A55335">
              <w:t>8.59</w:t>
            </w:r>
            <w:r w:rsidRPr="00A55335">
              <w:t xml:space="preserve"> lower to 3</w:t>
            </w:r>
            <w:r w:rsidR="00196646" w:rsidRPr="00A55335">
              <w:t>4.87</w:t>
            </w:r>
            <w:r w:rsidRPr="00A55335">
              <w:t xml:space="preserve"> higher)</w:t>
            </w:r>
          </w:p>
        </w:tc>
        <w:tc>
          <w:tcPr>
            <w:tcW w:w="433" w:type="pct"/>
            <w:tcBorders>
              <w:top w:val="single" w:sz="6" w:space="0" w:color="000000"/>
              <w:left w:val="nil"/>
              <w:bottom w:val="single" w:sz="6" w:space="0" w:color="000000"/>
              <w:right w:val="nil"/>
            </w:tcBorders>
            <w:vAlign w:val="center"/>
            <w:hideMark/>
          </w:tcPr>
          <w:p w14:paraId="613C3EFD" w14:textId="77777777" w:rsidR="004477B0" w:rsidRPr="00A55335" w:rsidRDefault="004477B0" w:rsidP="00F55199">
            <w:pPr>
              <w:pStyle w:val="Tabletext8pt"/>
              <w:jc w:val="center"/>
            </w:pPr>
            <w:r w:rsidRPr="00A55335">
              <w:t>-</w:t>
            </w:r>
          </w:p>
        </w:tc>
        <w:tc>
          <w:tcPr>
            <w:tcW w:w="575" w:type="pct"/>
            <w:tcBorders>
              <w:top w:val="single" w:sz="6" w:space="0" w:color="000000"/>
              <w:left w:val="nil"/>
              <w:bottom w:val="single" w:sz="6" w:space="0" w:color="000000"/>
              <w:right w:val="nil"/>
            </w:tcBorders>
            <w:vAlign w:val="center"/>
            <w:hideMark/>
          </w:tcPr>
          <w:p w14:paraId="5F49653F" w14:textId="77777777" w:rsidR="004477B0" w:rsidRPr="00A55335" w:rsidRDefault="004477B0" w:rsidP="00F55199">
            <w:pPr>
              <w:pStyle w:val="Tabletext8pt"/>
              <w:jc w:val="center"/>
            </w:pPr>
            <w:r w:rsidRPr="00A55335">
              <w:t>76</w:t>
            </w:r>
            <w:r w:rsidRPr="00A55335">
              <w:br/>
              <w:t>(1 RCT)</w:t>
            </w:r>
          </w:p>
        </w:tc>
        <w:tc>
          <w:tcPr>
            <w:tcW w:w="505" w:type="pct"/>
            <w:tcBorders>
              <w:top w:val="single" w:sz="6" w:space="0" w:color="000000"/>
              <w:left w:val="nil"/>
              <w:bottom w:val="single" w:sz="6" w:space="0" w:color="000000"/>
              <w:right w:val="nil"/>
            </w:tcBorders>
            <w:vAlign w:val="center"/>
            <w:hideMark/>
          </w:tcPr>
          <w:p w14:paraId="1DBE0CF6" w14:textId="4AFE013B" w:rsidR="004477B0" w:rsidRPr="00A55335" w:rsidRDefault="004477B0" w:rsidP="004B2271">
            <w:pPr>
              <w:pStyle w:val="Tabletext8pt"/>
              <w:jc w:val="center"/>
            </w:pPr>
            <w:r w:rsidRPr="00A55335">
              <w:rPr>
                <w:rStyle w:val="quality-sign"/>
                <w:rFonts w:ascii="Cambria Math" w:hAnsi="Cambria Math"/>
              </w:rPr>
              <w:t>⨁⨁◯◯</w:t>
            </w:r>
            <w:r w:rsidRPr="00A55335">
              <w:br/>
              <w:t xml:space="preserve">LOW </w:t>
            </w:r>
            <w:proofErr w:type="spellStart"/>
            <w:r w:rsidRPr="00A55335">
              <w:rPr>
                <w:rStyle w:val="FootnoteReference"/>
              </w:rPr>
              <w:t>a,b</w:t>
            </w:r>
            <w:r w:rsidR="00BE5F5E" w:rsidRPr="00A55335">
              <w:rPr>
                <w:rStyle w:val="FootnoteReference"/>
              </w:rPr>
              <w:t>,c,d,e</w:t>
            </w:r>
            <w:proofErr w:type="spellEnd"/>
          </w:p>
        </w:tc>
        <w:tc>
          <w:tcPr>
            <w:tcW w:w="994" w:type="pct"/>
            <w:tcBorders>
              <w:top w:val="single" w:sz="6" w:space="0" w:color="000000"/>
              <w:left w:val="nil"/>
              <w:bottom w:val="single" w:sz="6" w:space="0" w:color="000000"/>
              <w:right w:val="nil"/>
            </w:tcBorders>
            <w:vAlign w:val="center"/>
            <w:hideMark/>
          </w:tcPr>
          <w:p w14:paraId="1F040280" w14:textId="4B014251" w:rsidR="004477B0" w:rsidRPr="00A55335" w:rsidRDefault="00B77DF9" w:rsidP="00BF3C7A">
            <w:pPr>
              <w:pStyle w:val="Tabletext8pt"/>
            </w:pPr>
            <w:r w:rsidRPr="00A55335">
              <w:t>H</w:t>
            </w:r>
            <w:r w:rsidR="004477B0" w:rsidRPr="00A55335">
              <w:t>omeopathy may result in little to no difference in symptom severity in people with IBS</w:t>
            </w:r>
            <w:r w:rsidR="0051361A" w:rsidRPr="00A55335">
              <w:t xml:space="preserve"> </w:t>
            </w:r>
            <w:r w:rsidR="00494068" w:rsidRPr="00A55335">
              <w:rPr>
                <w:rStyle w:val="FootnoteReference"/>
              </w:rPr>
              <w:t>#</w:t>
            </w:r>
          </w:p>
        </w:tc>
      </w:tr>
      <w:tr w:rsidR="004477B0" w:rsidRPr="00A55335" w14:paraId="4AD0705B" w14:textId="77777777" w:rsidTr="00DE573E">
        <w:trPr>
          <w:gridBefore w:val="1"/>
          <w:wBefore w:w="38" w:type="pct"/>
          <w:cantSplit/>
        </w:trPr>
        <w:tc>
          <w:tcPr>
            <w:tcW w:w="1011" w:type="pct"/>
            <w:tcBorders>
              <w:top w:val="single" w:sz="6" w:space="0" w:color="000000"/>
              <w:left w:val="nil"/>
              <w:bottom w:val="single" w:sz="6" w:space="0" w:color="000000"/>
              <w:right w:val="nil"/>
            </w:tcBorders>
            <w:vAlign w:val="center"/>
            <w:hideMark/>
          </w:tcPr>
          <w:p w14:paraId="063D6E1A" w14:textId="3FDBE458" w:rsidR="004477B0" w:rsidRPr="00A55335" w:rsidRDefault="004477B0" w:rsidP="00BF3C7A">
            <w:pPr>
              <w:pStyle w:val="Tabletext8pt"/>
            </w:pPr>
            <w:r w:rsidRPr="00A55335">
              <w:t xml:space="preserve">Pain </w:t>
            </w:r>
            <w:r w:rsidR="00817C15" w:rsidRPr="00A55335">
              <w:t>–</w:t>
            </w:r>
            <w:r w:rsidRPr="00A55335">
              <w:t xml:space="preserve"> not reported</w:t>
            </w:r>
          </w:p>
        </w:tc>
        <w:tc>
          <w:tcPr>
            <w:tcW w:w="722" w:type="pct"/>
            <w:tcBorders>
              <w:top w:val="single" w:sz="6" w:space="0" w:color="000000"/>
              <w:left w:val="nil"/>
              <w:bottom w:val="single" w:sz="6" w:space="0" w:color="000000"/>
              <w:right w:val="nil"/>
            </w:tcBorders>
            <w:shd w:val="clear" w:color="auto" w:fill="EBEBEB"/>
            <w:vAlign w:val="center"/>
            <w:hideMark/>
          </w:tcPr>
          <w:p w14:paraId="7DB59104" w14:textId="77777777" w:rsidR="004477B0" w:rsidRPr="00A55335" w:rsidRDefault="004477B0" w:rsidP="00F55199">
            <w:pPr>
              <w:pStyle w:val="Tabletext8pt"/>
              <w:jc w:val="center"/>
            </w:pPr>
            <w:r w:rsidRPr="00A55335">
              <w:t>-</w:t>
            </w:r>
          </w:p>
        </w:tc>
        <w:tc>
          <w:tcPr>
            <w:tcW w:w="722" w:type="pct"/>
            <w:tcBorders>
              <w:top w:val="single" w:sz="6" w:space="0" w:color="000000"/>
              <w:left w:val="nil"/>
              <w:bottom w:val="single" w:sz="6" w:space="0" w:color="000000"/>
              <w:right w:val="nil"/>
            </w:tcBorders>
            <w:shd w:val="clear" w:color="auto" w:fill="EBEBEB"/>
            <w:hideMark/>
          </w:tcPr>
          <w:p w14:paraId="398941C9" w14:textId="77777777" w:rsidR="004477B0" w:rsidRPr="00A55335" w:rsidRDefault="004477B0" w:rsidP="00F55199">
            <w:pPr>
              <w:pStyle w:val="Tabletext8pt"/>
              <w:jc w:val="center"/>
            </w:pPr>
            <w:r w:rsidRPr="00A55335">
              <w:t>-</w:t>
            </w:r>
          </w:p>
        </w:tc>
        <w:tc>
          <w:tcPr>
            <w:tcW w:w="433" w:type="pct"/>
            <w:tcBorders>
              <w:top w:val="single" w:sz="6" w:space="0" w:color="000000"/>
              <w:left w:val="nil"/>
              <w:bottom w:val="single" w:sz="6" w:space="0" w:color="000000"/>
              <w:right w:val="nil"/>
            </w:tcBorders>
            <w:vAlign w:val="center"/>
            <w:hideMark/>
          </w:tcPr>
          <w:p w14:paraId="61AD9542" w14:textId="77777777" w:rsidR="004477B0" w:rsidRPr="00A55335" w:rsidRDefault="004477B0" w:rsidP="00F55199">
            <w:pPr>
              <w:pStyle w:val="Tabletext8pt"/>
              <w:jc w:val="center"/>
            </w:pPr>
            <w:r w:rsidRPr="00A55335">
              <w:t>-</w:t>
            </w:r>
          </w:p>
        </w:tc>
        <w:tc>
          <w:tcPr>
            <w:tcW w:w="575" w:type="pct"/>
            <w:tcBorders>
              <w:top w:val="single" w:sz="6" w:space="0" w:color="000000"/>
              <w:left w:val="nil"/>
              <w:bottom w:val="single" w:sz="6" w:space="0" w:color="000000"/>
              <w:right w:val="nil"/>
            </w:tcBorders>
            <w:vAlign w:val="center"/>
            <w:hideMark/>
          </w:tcPr>
          <w:p w14:paraId="5B43EBA1" w14:textId="77777777" w:rsidR="004477B0" w:rsidRPr="00A55335" w:rsidRDefault="004477B0" w:rsidP="00F55199">
            <w:pPr>
              <w:pStyle w:val="Tabletext8pt"/>
              <w:jc w:val="center"/>
            </w:pPr>
            <w:r w:rsidRPr="00A55335">
              <w:t>(0 studies)</w:t>
            </w:r>
          </w:p>
        </w:tc>
        <w:tc>
          <w:tcPr>
            <w:tcW w:w="505" w:type="pct"/>
            <w:tcBorders>
              <w:top w:val="single" w:sz="6" w:space="0" w:color="000000"/>
              <w:left w:val="nil"/>
              <w:bottom w:val="single" w:sz="6" w:space="0" w:color="000000"/>
              <w:right w:val="nil"/>
            </w:tcBorders>
            <w:vAlign w:val="center"/>
            <w:hideMark/>
          </w:tcPr>
          <w:p w14:paraId="57B3537B" w14:textId="77777777" w:rsidR="004477B0" w:rsidRPr="00A55335" w:rsidRDefault="004477B0" w:rsidP="00BF3C7A">
            <w:pPr>
              <w:pStyle w:val="Tabletext8pt"/>
            </w:pPr>
            <w:r w:rsidRPr="00A55335">
              <w:t>-</w:t>
            </w:r>
          </w:p>
        </w:tc>
        <w:tc>
          <w:tcPr>
            <w:tcW w:w="994" w:type="pct"/>
            <w:tcBorders>
              <w:top w:val="single" w:sz="6" w:space="0" w:color="000000"/>
              <w:left w:val="nil"/>
              <w:bottom w:val="single" w:sz="6" w:space="0" w:color="000000"/>
              <w:right w:val="nil"/>
            </w:tcBorders>
            <w:vAlign w:val="center"/>
            <w:hideMark/>
          </w:tcPr>
          <w:p w14:paraId="15968747" w14:textId="7EF93093" w:rsidR="004477B0" w:rsidRPr="00A55335" w:rsidRDefault="004477B0" w:rsidP="00BF3C7A">
            <w:pPr>
              <w:pStyle w:val="Tabletext8pt"/>
            </w:pPr>
            <w:r w:rsidRPr="00A55335">
              <w:t>The effect of homeopathy on pain in people with IBS is unknown</w:t>
            </w:r>
          </w:p>
        </w:tc>
      </w:tr>
      <w:tr w:rsidR="00294B4D" w:rsidRPr="00A55335" w14:paraId="6FAA01D8" w14:textId="77777777" w:rsidTr="00DE573E">
        <w:trPr>
          <w:gridBefore w:val="1"/>
          <w:wBefore w:w="38" w:type="pct"/>
          <w:cantSplit/>
        </w:trPr>
        <w:tc>
          <w:tcPr>
            <w:tcW w:w="1011" w:type="pct"/>
            <w:tcBorders>
              <w:top w:val="single" w:sz="6" w:space="0" w:color="000000"/>
              <w:left w:val="nil"/>
              <w:bottom w:val="single" w:sz="6" w:space="0" w:color="000000"/>
              <w:right w:val="nil"/>
            </w:tcBorders>
            <w:vAlign w:val="center"/>
            <w:hideMark/>
          </w:tcPr>
          <w:p w14:paraId="716B664B" w14:textId="62C796E0" w:rsidR="00DD505D" w:rsidRPr="00A55335" w:rsidRDefault="00DD505D" w:rsidP="00BF3C7A">
            <w:pPr>
              <w:pStyle w:val="Tabletext8pt"/>
            </w:pPr>
            <w:r w:rsidRPr="00A55335">
              <w:t>Quality of life</w:t>
            </w:r>
            <w:r w:rsidRPr="00A55335">
              <w:br/>
              <w:t xml:space="preserve">assessed with: EQ-5D </w:t>
            </w:r>
            <w:r w:rsidR="00AA3173" w:rsidRPr="00A55335">
              <w:t xml:space="preserve">VAS </w:t>
            </w:r>
            <w:r w:rsidRPr="00A55335">
              <w:t>(higher is better)</w:t>
            </w:r>
            <w:r w:rsidRPr="00A55335">
              <w:br/>
              <w:t>Scale from: 0 to 100</w:t>
            </w:r>
            <w:r w:rsidRPr="00A55335">
              <w:br/>
              <w:t>follow-up: 26 weeks</w:t>
            </w:r>
          </w:p>
        </w:tc>
        <w:tc>
          <w:tcPr>
            <w:tcW w:w="722" w:type="pct"/>
            <w:tcBorders>
              <w:top w:val="single" w:sz="6" w:space="0" w:color="000000"/>
              <w:left w:val="nil"/>
              <w:bottom w:val="single" w:sz="6" w:space="0" w:color="000000"/>
              <w:right w:val="nil"/>
            </w:tcBorders>
            <w:shd w:val="clear" w:color="auto" w:fill="EBEBEB"/>
            <w:vAlign w:val="center"/>
            <w:hideMark/>
          </w:tcPr>
          <w:p w14:paraId="40402EE7" w14:textId="77777777" w:rsidR="00DD505D" w:rsidRPr="00A55335" w:rsidRDefault="00DD505D" w:rsidP="00F55199">
            <w:pPr>
              <w:pStyle w:val="Tabletext8pt"/>
              <w:jc w:val="center"/>
            </w:pPr>
            <w:r w:rsidRPr="00A55335">
              <w:t xml:space="preserve">The mean quality of life was </w:t>
            </w:r>
            <w:r w:rsidRPr="00A55335">
              <w:rPr>
                <w:rStyle w:val="Strong"/>
              </w:rPr>
              <w:t>63.41 points</w:t>
            </w:r>
          </w:p>
        </w:tc>
        <w:tc>
          <w:tcPr>
            <w:tcW w:w="722" w:type="pct"/>
            <w:tcBorders>
              <w:top w:val="single" w:sz="6" w:space="0" w:color="000000"/>
              <w:left w:val="nil"/>
              <w:bottom w:val="single" w:sz="6" w:space="0" w:color="000000"/>
              <w:right w:val="nil"/>
            </w:tcBorders>
            <w:shd w:val="clear" w:color="auto" w:fill="EBEBEB"/>
            <w:hideMark/>
          </w:tcPr>
          <w:p w14:paraId="79541DDE" w14:textId="6852DB79" w:rsidR="00DD505D" w:rsidRPr="00A55335" w:rsidRDefault="00DD505D" w:rsidP="00F55199">
            <w:pPr>
              <w:pStyle w:val="Tabletext8pt"/>
              <w:jc w:val="center"/>
            </w:pPr>
            <w:r w:rsidRPr="00A55335">
              <w:t xml:space="preserve">MD </w:t>
            </w:r>
            <w:r w:rsidRPr="00A55335">
              <w:rPr>
                <w:rStyle w:val="Strong"/>
              </w:rPr>
              <w:t>5.66 points higher</w:t>
            </w:r>
            <w:r w:rsidRPr="00A55335">
              <w:br/>
              <w:t>(4.</w:t>
            </w:r>
            <w:r w:rsidR="000E494B" w:rsidRPr="00A55335">
              <w:t>6</w:t>
            </w:r>
            <w:r w:rsidRPr="00A55335">
              <w:t>9 lower to 16.0</w:t>
            </w:r>
            <w:r w:rsidR="000E494B" w:rsidRPr="00A55335">
              <w:t>1</w:t>
            </w:r>
            <w:r w:rsidRPr="00A55335">
              <w:t xml:space="preserve"> higher)</w:t>
            </w:r>
          </w:p>
        </w:tc>
        <w:tc>
          <w:tcPr>
            <w:tcW w:w="433" w:type="pct"/>
            <w:tcBorders>
              <w:top w:val="single" w:sz="6" w:space="0" w:color="000000"/>
              <w:left w:val="nil"/>
              <w:bottom w:val="single" w:sz="6" w:space="0" w:color="000000"/>
              <w:right w:val="nil"/>
            </w:tcBorders>
            <w:vAlign w:val="center"/>
            <w:hideMark/>
          </w:tcPr>
          <w:p w14:paraId="2B0AD891" w14:textId="77777777" w:rsidR="00DD505D" w:rsidRPr="00A55335" w:rsidRDefault="00DD505D" w:rsidP="00F55199">
            <w:pPr>
              <w:pStyle w:val="Tabletext8pt"/>
              <w:jc w:val="center"/>
            </w:pPr>
            <w:r w:rsidRPr="00A55335">
              <w:t>-</w:t>
            </w:r>
          </w:p>
        </w:tc>
        <w:tc>
          <w:tcPr>
            <w:tcW w:w="575" w:type="pct"/>
            <w:tcBorders>
              <w:top w:val="single" w:sz="6" w:space="0" w:color="000000"/>
              <w:left w:val="nil"/>
              <w:bottom w:val="single" w:sz="6" w:space="0" w:color="000000"/>
              <w:right w:val="nil"/>
            </w:tcBorders>
            <w:vAlign w:val="center"/>
            <w:hideMark/>
          </w:tcPr>
          <w:p w14:paraId="5A230386" w14:textId="04E3D538" w:rsidR="00DD505D" w:rsidRPr="00A55335" w:rsidRDefault="000360C9" w:rsidP="00F55199">
            <w:pPr>
              <w:pStyle w:val="Tabletext8pt"/>
              <w:jc w:val="center"/>
            </w:pPr>
            <w:r w:rsidRPr="00A55335">
              <w:t>7</w:t>
            </w:r>
            <w:r w:rsidR="00DD505D" w:rsidRPr="00A55335">
              <w:t>6</w:t>
            </w:r>
            <w:r w:rsidR="00DD505D" w:rsidRPr="00A55335">
              <w:br/>
              <w:t>(1 RCT)</w:t>
            </w:r>
          </w:p>
        </w:tc>
        <w:tc>
          <w:tcPr>
            <w:tcW w:w="505" w:type="pct"/>
            <w:tcBorders>
              <w:top w:val="single" w:sz="6" w:space="0" w:color="000000"/>
              <w:left w:val="nil"/>
              <w:bottom w:val="single" w:sz="6" w:space="0" w:color="000000"/>
              <w:right w:val="nil"/>
            </w:tcBorders>
            <w:vAlign w:val="center"/>
            <w:hideMark/>
          </w:tcPr>
          <w:p w14:paraId="0C4B0526" w14:textId="6C0F6E4D" w:rsidR="00DD505D" w:rsidRPr="00A55335" w:rsidRDefault="00DD505D" w:rsidP="004B2271">
            <w:pPr>
              <w:pStyle w:val="Tabletext8pt"/>
              <w:jc w:val="center"/>
            </w:pPr>
            <w:r w:rsidRPr="00A55335">
              <w:rPr>
                <w:rStyle w:val="quality-sign"/>
                <w:rFonts w:ascii="Cambria Math" w:hAnsi="Cambria Math"/>
              </w:rPr>
              <w:t>⨁⨁◯◯</w:t>
            </w:r>
            <w:r w:rsidRPr="00A55335">
              <w:br/>
              <w:t xml:space="preserve">LOW </w:t>
            </w:r>
            <w:proofErr w:type="spellStart"/>
            <w:r w:rsidRPr="00A55335">
              <w:rPr>
                <w:rStyle w:val="FootnoteReference"/>
              </w:rPr>
              <w:t>a</w:t>
            </w:r>
            <w:r w:rsidR="00745B85" w:rsidRPr="00A55335">
              <w:rPr>
                <w:rStyle w:val="FootnoteReference"/>
              </w:rPr>
              <w:t>,b</w:t>
            </w:r>
            <w:r w:rsidR="00BE5F5E" w:rsidRPr="00A55335">
              <w:rPr>
                <w:rStyle w:val="FootnoteReference"/>
              </w:rPr>
              <w:t>,c,d,e</w:t>
            </w:r>
            <w:proofErr w:type="spellEnd"/>
          </w:p>
        </w:tc>
        <w:tc>
          <w:tcPr>
            <w:tcW w:w="994" w:type="pct"/>
            <w:tcBorders>
              <w:top w:val="single" w:sz="6" w:space="0" w:color="000000"/>
              <w:left w:val="nil"/>
              <w:bottom w:val="single" w:sz="6" w:space="0" w:color="000000"/>
              <w:right w:val="nil"/>
            </w:tcBorders>
            <w:vAlign w:val="center"/>
            <w:hideMark/>
          </w:tcPr>
          <w:p w14:paraId="351131A3" w14:textId="29025AB6" w:rsidR="00DD505D" w:rsidRPr="00A55335" w:rsidRDefault="00B77DF9" w:rsidP="00BF3C7A">
            <w:pPr>
              <w:pStyle w:val="Tabletext8pt"/>
            </w:pPr>
            <w:r w:rsidRPr="00A55335">
              <w:t>H</w:t>
            </w:r>
            <w:r w:rsidR="00BA4A82" w:rsidRPr="00A55335">
              <w:t xml:space="preserve">omeopathy </w:t>
            </w:r>
            <w:r w:rsidR="00BD443B" w:rsidRPr="00A55335">
              <w:t>may result</w:t>
            </w:r>
            <w:r w:rsidR="00DD505D" w:rsidRPr="00A55335">
              <w:t xml:space="preserve"> in little to no difference in quality of life in people with IBS</w:t>
            </w:r>
            <w:r w:rsidR="00571FFC" w:rsidRPr="00A55335">
              <w:t xml:space="preserve"> </w:t>
            </w:r>
            <w:r w:rsidR="00571FFC" w:rsidRPr="00A55335">
              <w:rPr>
                <w:rStyle w:val="FootnoteReference"/>
              </w:rPr>
              <w:t>##</w:t>
            </w:r>
          </w:p>
        </w:tc>
      </w:tr>
      <w:tr w:rsidR="00DD505D" w:rsidRPr="00A55335" w14:paraId="5ABE4A87" w14:textId="77777777" w:rsidTr="000A1F1F">
        <w:trPr>
          <w:gridBefore w:val="1"/>
          <w:wBefore w:w="38" w:type="pct"/>
          <w:cantSplit/>
        </w:trPr>
        <w:tc>
          <w:tcPr>
            <w:tcW w:w="4962" w:type="pct"/>
            <w:gridSpan w:val="7"/>
            <w:tcBorders>
              <w:top w:val="single" w:sz="6" w:space="0" w:color="000000"/>
              <w:left w:val="nil"/>
              <w:bottom w:val="single" w:sz="6" w:space="0" w:color="000000"/>
              <w:right w:val="nil"/>
            </w:tcBorders>
            <w:vAlign w:val="center"/>
            <w:hideMark/>
          </w:tcPr>
          <w:p w14:paraId="10F2E09C" w14:textId="77777777" w:rsidR="00004ADB" w:rsidRPr="00A55335" w:rsidRDefault="00DD505D" w:rsidP="00BF3C7A">
            <w:pPr>
              <w:pStyle w:val="TableFigNotes18"/>
            </w:pPr>
            <w:r w:rsidRPr="00A55335">
              <w:rPr>
                <w:rStyle w:val="Strong"/>
              </w:rPr>
              <w:lastRenderedPageBreak/>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r w:rsidR="00004ADB" w:rsidRPr="00A55335">
              <w:t xml:space="preserve"> </w:t>
            </w:r>
          </w:p>
          <w:p w14:paraId="769D9869" w14:textId="77777777" w:rsidR="00004ADB" w:rsidRPr="00A55335" w:rsidRDefault="00004ADB" w:rsidP="00BF3C7A">
            <w:pPr>
              <w:pStyle w:val="TableFigNotes18"/>
            </w:pPr>
          </w:p>
          <w:p w14:paraId="174D3BC5" w14:textId="26C31170" w:rsidR="00AD1690" w:rsidRPr="00A55335" w:rsidRDefault="00004ADB" w:rsidP="00AD1690">
            <w:pPr>
              <w:pStyle w:val="TableFigNotes18"/>
            </w:pPr>
            <w:r w:rsidRPr="00A55335">
              <w:t xml:space="preserve"># A 50-point change in scores is considered clinically relevant </w:t>
            </w:r>
            <w:r w:rsidR="00E24C31" w:rsidRPr="00A55335">
              <w:fldChar w:fldCharType="begin">
                <w:fldData xml:space="preserve">PEVuZE5vdGU+PENpdGU+PEF1dGhvcj5TcGllZ2VsPC9BdXRob3I+PFllYXI+MjAwOTwvWWVhcj48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</w:fldData>
              </w:fldChar>
            </w:r>
            <w:r w:rsidR="00EC2769">
              <w:instrText xml:space="preserve"> ADDIN EN.CITE </w:instrText>
            </w:r>
            <w:r w:rsidR="00EC2769">
              <w:fldChar w:fldCharType="begin">
                <w:fldData xml:space="preserve">PEVuZE5vdGU+PENpdGU+PEF1dGhvcj5TcGllZ2VsPC9BdXRob3I+PFllYXI+MjAwOTwvWWVhcj48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</w:fldData>
              </w:fldChar>
            </w:r>
            <w:r w:rsidR="00EC2769">
              <w:instrText xml:space="preserve"> ADDIN EN.CITE.DATA </w:instrText>
            </w:r>
            <w:r w:rsidR="00EC2769">
              <w:fldChar w:fldCharType="end"/>
            </w:r>
            <w:r w:rsidR="00E24C31" w:rsidRPr="00A55335">
              <w:fldChar w:fldCharType="separate"/>
            </w:r>
            <w:r w:rsidR="00EC2769">
              <w:rPr>
                <w:noProof/>
              </w:rPr>
              <w:t>(</w:t>
            </w:r>
            <w:hyperlink w:anchor="_ENREF_249" w:tooltip="Spiegel, 2009 #729" w:history="1">
              <w:r w:rsidR="00EC2769">
                <w:rPr>
                  <w:noProof/>
                </w:rPr>
                <w:t>249</w:t>
              </w:r>
            </w:hyperlink>
            <w:r w:rsidR="00EC2769">
              <w:rPr>
                <w:noProof/>
              </w:rPr>
              <w:t>)</w:t>
            </w:r>
            <w:r w:rsidR="00E24C31" w:rsidRPr="00A55335">
              <w:fldChar w:fldCharType="end"/>
            </w:r>
            <w:r w:rsidRPr="00A55335">
              <w:t>.</w:t>
            </w:r>
            <w:r w:rsidR="00AD1690" w:rsidRPr="00A55335">
              <w:t xml:space="preserve"> </w:t>
            </w:r>
          </w:p>
          <w:p w14:paraId="59F685E7" w14:textId="7B0B3235" w:rsidR="00AD1690" w:rsidRPr="00A55335" w:rsidRDefault="00AD1690" w:rsidP="00AD1690">
            <w:pPr>
              <w:pStyle w:val="TableFigNotes18"/>
            </w:pPr>
            <w:r w:rsidRPr="00A55335">
              <w:t xml:space="preserve">## The MCID is estimated to be around 10 points </w:t>
            </w:r>
            <w:r w:rsidRPr="00A55335">
              <w:fldChar w:fldCharType="begin"/>
            </w:r>
            <w:r w:rsidR="00EC2769">
              <w:instrText xml:space="preserve"> ADDIN EN.CITE &lt;EndNote&gt;&lt;Cite&gt;&lt;Author&gt;Min Ho&lt;/Author&gt;&lt;Year&gt;2019&lt;/Year&gt;&lt;RecNum&gt;730&lt;/RecNum&gt;&lt;DisplayText&gt;(250)&lt;/DisplayText&gt;&lt;record&gt;&lt;rec-number&gt;730&lt;/rec-number&gt;&lt;foreign-keys&gt;&lt;key app="EN" db-id="t5prptatr9sp0we5exbxt9zz20fwp55tdza9" timestamp="1702852890"&gt;730&lt;/key&gt;&lt;/foreign-keys&gt;&lt;ref-type name="Journal Article"&gt;17&lt;/ref-type&gt;&lt;contributors&gt;&lt;authors&gt;&lt;author&gt;Min Ho, Prisca Yue&lt;/author&gt;&lt;author&gt;Hu, Wenjia&lt;/author&gt;&lt;author&gt;Lee, Ying Yun&lt;/author&gt;&lt;author&gt;Gao, Chuxi&lt;/author&gt;&lt;author&gt;Tan, Yan Zhi&lt;/author&gt;&lt;author&gt;Cheen, Hua Heng&lt;/author&gt;&lt;author&gt;Wee, Hwee Lin&lt;/author&gt;&lt;author&gt;Lim, Teong Guan&lt;/author&gt;&lt;author&gt;Ong, Wan Chee&lt;/author&gt;&lt;/authors&gt;&lt;/contributors&gt;&lt;titles&gt;&lt;title&gt;Health-related quality of life of patients with inflammatory bowel disease in Singapore&lt;/title&gt;&lt;secondary-title&gt;Intest Res&lt;/secondary-title&gt;&lt;/titles&gt;&lt;periodical&gt;&lt;full-title&gt;Intest Res&lt;/full-title&gt;&lt;/periodical&gt;&lt;pages&gt;107-118&lt;/pages&gt;&lt;volume&gt;17&lt;/volume&gt;&lt;number&gt;1&lt;/number&gt;&lt;keywords&gt;&lt;keyword&gt;Inflammatory bowel disease&lt;/keyword&gt;&lt;keyword&gt;Ulcerative colitis&lt;/keyword&gt;&lt;keyword&gt;Crohn’s disease&lt;/keyword&gt;&lt;keyword&gt;Singapore&lt;/keyword&gt;&lt;keyword&gt;Health-related quality of life&lt;/keyword&gt;&lt;/keywords&gt;&lt;dates&gt;&lt;year&gt;2019&lt;/year&gt;&lt;pub-dates&gt;&lt;date&gt;1&lt;/date&gt;&lt;/pub-dates&gt;&lt;/dates&gt;&lt;publisher&gt;Korean Association for the Study of Intestinal Diseases&lt;/publisher&gt;&lt;isbn&gt;1598-9100&lt;/isbn&gt;&lt;urls&gt;&lt;related-urls&gt;&lt;url&gt;https://doi.org/10.5217/ir.2018.00099&lt;/url&gt;&lt;url&gt;http://irjournal.org/journal/view.php?number=726&lt;/url&gt;&lt;/related-urls&gt;&lt;/urls&gt;&lt;electronic-resource-num&gt;10.5217/ir.2018.00099&lt;/electronic-resource-num&gt;&lt;/record&gt;&lt;/Cite&gt;&lt;/EndNote&gt;</w:instrText>
            </w:r>
            <w:r w:rsidRPr="00A55335">
              <w:fldChar w:fldCharType="separate"/>
            </w:r>
            <w:r w:rsidR="00EC2769">
              <w:rPr>
                <w:noProof/>
              </w:rPr>
              <w:t>(</w:t>
            </w:r>
            <w:hyperlink w:anchor="_ENREF_250" w:tooltip="Min Ho, 2019 #730" w:history="1">
              <w:r w:rsidR="00EC2769">
                <w:rPr>
                  <w:noProof/>
                </w:rPr>
                <w:t>250</w:t>
              </w:r>
            </w:hyperlink>
            <w:r w:rsidR="00EC2769">
              <w:rPr>
                <w:noProof/>
              </w:rPr>
              <w:t>)</w:t>
            </w:r>
            <w:r w:rsidRPr="00A55335">
              <w:fldChar w:fldCharType="end"/>
            </w:r>
            <w:r w:rsidRPr="00A55335">
              <w:t>.</w:t>
            </w:r>
          </w:p>
          <w:p w14:paraId="4CF7D54A" w14:textId="0DD0220F" w:rsidR="00DD505D" w:rsidRPr="00A55335" w:rsidRDefault="00DD505D" w:rsidP="00BF3C7A">
            <w:pPr>
              <w:pStyle w:val="TableFigNotes0"/>
            </w:pPr>
            <w:r w:rsidRPr="00A55335">
              <w:rPr>
                <w:rStyle w:val="Strong"/>
              </w:rPr>
              <w:t>CI:</w:t>
            </w:r>
            <w:r w:rsidRPr="00A55335">
              <w:t xml:space="preserve"> confidence interval; </w:t>
            </w:r>
            <w:r w:rsidRPr="00A55335">
              <w:rPr>
                <w:rStyle w:val="Strong"/>
              </w:rPr>
              <w:t>MD:</w:t>
            </w:r>
            <w:r w:rsidRPr="00A55335">
              <w:t xml:space="preserve"> mean difference</w:t>
            </w:r>
          </w:p>
        </w:tc>
      </w:tr>
      <w:tr w:rsidR="000A1F1F" w:rsidRPr="00A55335" w14:paraId="04F61585" w14:textId="77777777" w:rsidTr="000A1F1F">
        <w:tblPrEx>
          <w:tblCellMar>
            <w:top w:w="75" w:type="dxa"/>
            <w:left w:w="75" w:type="dxa"/>
            <w:bottom w:w="75" w:type="dxa"/>
            <w:right w:w="75" w:type="dxa"/>
          </w:tblCellMar>
        </w:tblPrEx>
        <w:trPr>
          <w:cantSplit/>
        </w:trPr>
        <w:tc>
          <w:tcPr>
            <w:tcW w:w="5000" w:type="pct"/>
            <w:gridSpan w:val="8"/>
            <w:tcBorders>
              <w:top w:val="single" w:sz="6" w:space="0" w:color="000000"/>
              <w:left w:val="nil"/>
              <w:bottom w:val="single" w:sz="6" w:space="0" w:color="000000"/>
              <w:right w:val="nil"/>
            </w:tcBorders>
            <w:vAlign w:val="bottom"/>
            <w:hideMark/>
          </w:tcPr>
          <w:p w14:paraId="29CEFE14" w14:textId="77777777" w:rsidR="000A1F1F" w:rsidRPr="00A55335" w:rsidRDefault="000A1F1F">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169A48C0" w14:textId="77777777" w:rsidR="00DD505D" w:rsidRPr="00A55335" w:rsidRDefault="00E35087" w:rsidP="00B4013E">
      <w:pPr>
        <w:pStyle w:val="Heading5a"/>
        <w:rPr>
          <w:lang w:val="en-AU"/>
        </w:rPr>
      </w:pPr>
      <w:r w:rsidRPr="00A55335">
        <w:rPr>
          <w:lang w:val="en-AU"/>
        </w:rPr>
        <w:t>Explanations</w:t>
      </w:r>
    </w:p>
    <w:p w14:paraId="315344A1" w14:textId="2F48135B" w:rsidR="001B49AF" w:rsidRPr="00A55335" w:rsidRDefault="0040204E" w:rsidP="001B49AF">
      <w:pPr>
        <w:pStyle w:val="Footnote"/>
      </w:pPr>
      <w:r w:rsidRPr="00A55335">
        <w:t xml:space="preserve">a. </w:t>
      </w:r>
      <w:r w:rsidR="001B49AF" w:rsidRPr="00A55335">
        <w:t xml:space="preserve">No serious risk of bias. Certainty of evidence </w:t>
      </w:r>
      <w:r w:rsidR="00597E4B" w:rsidRPr="00A55335">
        <w:t xml:space="preserve">not </w:t>
      </w:r>
      <w:r w:rsidR="001B49AF" w:rsidRPr="00A55335">
        <w:t>downgraded.</w:t>
      </w:r>
    </w:p>
    <w:p w14:paraId="45CE9EB5" w14:textId="71809855" w:rsidR="00597E4B" w:rsidRPr="00A55335" w:rsidRDefault="00597E4B" w:rsidP="001B49AF">
      <w:pPr>
        <w:pStyle w:val="Footnote"/>
      </w:pPr>
      <w:r w:rsidRPr="00A55335">
        <w:t>b. Single study. Inconsistency not assessed. Certainty of evidence not downgraded.</w:t>
      </w:r>
    </w:p>
    <w:p w14:paraId="6FF1CB97" w14:textId="64F435F2" w:rsidR="00597E4B" w:rsidRPr="00A55335" w:rsidRDefault="00597E4B" w:rsidP="000A1F1F">
      <w:pPr>
        <w:pStyle w:val="Footnote"/>
      </w:pPr>
      <w:r w:rsidRPr="00A55335">
        <w:t>c. No serious indirectness. The available evidence is in people with IBS and is directly applicable to the Australian population with few caveats. Certainty of evidence not downgraded.</w:t>
      </w:r>
    </w:p>
    <w:p w14:paraId="37E5B24F" w14:textId="5209E245" w:rsidR="00DD505D" w:rsidRPr="00A55335" w:rsidRDefault="00597E4B" w:rsidP="000A1F1F">
      <w:pPr>
        <w:pStyle w:val="Footnote"/>
      </w:pPr>
      <w:r w:rsidRPr="00A55335">
        <w:t xml:space="preserve">d. </w:t>
      </w:r>
      <w:r w:rsidR="00584FC4">
        <w:t>Very s</w:t>
      </w:r>
      <w:r w:rsidR="00584FC4" w:rsidRPr="00A55335">
        <w:t xml:space="preserve">erious </w:t>
      </w:r>
      <w:r w:rsidR="00DD505D" w:rsidRPr="00A55335">
        <w:t xml:space="preserve">imprecision. One small study </w:t>
      </w:r>
      <w:r w:rsidR="00161E41" w:rsidRPr="00A55335">
        <w:t xml:space="preserve">that did not reach optimal information size, </w:t>
      </w:r>
      <w:r w:rsidR="00DD505D" w:rsidRPr="00A55335">
        <w:t xml:space="preserve">with wide confidence intervals </w:t>
      </w:r>
      <w:r w:rsidRPr="00A55335">
        <w:t>(upper and lower bounds overlap with both an important an no important difference)</w:t>
      </w:r>
      <w:r w:rsidR="00DD505D" w:rsidRPr="00A55335">
        <w:t>. Certainty of evidence downgraded</w:t>
      </w:r>
      <w:r w:rsidR="00494068" w:rsidRPr="00A55335">
        <w:t xml:space="preserve"> 2 levels</w:t>
      </w:r>
      <w:r w:rsidR="00DD505D" w:rsidRPr="00A55335">
        <w:t>.</w:t>
      </w:r>
    </w:p>
    <w:p w14:paraId="05350D68" w14:textId="4BA072A8" w:rsidR="00745B85" w:rsidRPr="00A55335" w:rsidRDefault="00597E4B" w:rsidP="000A1F1F">
      <w:pPr>
        <w:pStyle w:val="Footnote"/>
      </w:pPr>
      <w:r w:rsidRPr="00A55335">
        <w:t>e</w:t>
      </w:r>
      <w:r w:rsidR="00745B85" w:rsidRPr="00A55335">
        <w:t xml:space="preserve">. Publication bias </w:t>
      </w:r>
      <w:r w:rsidR="00B732E4" w:rsidRPr="00A55335">
        <w:t xml:space="preserve">not </w:t>
      </w:r>
      <w:r w:rsidR="00745B85" w:rsidRPr="00A55335">
        <w:t xml:space="preserve">suspected. Certainty of evidence </w:t>
      </w:r>
      <w:r w:rsidR="00B732E4" w:rsidRPr="00A55335">
        <w:t xml:space="preserve">not </w:t>
      </w:r>
      <w:r w:rsidR="00745B85" w:rsidRPr="00A55335">
        <w:t>downgraded.</w:t>
      </w:r>
    </w:p>
    <w:p w14:paraId="01F66243" w14:textId="77777777" w:rsidR="00DD505D" w:rsidRPr="00A55335" w:rsidRDefault="00DD505D" w:rsidP="004D433B">
      <w:pPr>
        <w:pStyle w:val="Heading3"/>
      </w:pPr>
      <w:bookmarkStart w:id="385" w:name="_Toc183441380"/>
      <w:r w:rsidRPr="00A55335">
        <w:t>Forest plots</w:t>
      </w:r>
      <w:bookmarkEnd w:id="385"/>
    </w:p>
    <w:p w14:paraId="5E641FF7" w14:textId="3D8ADCDF" w:rsidR="00DD505D" w:rsidRPr="00A55335" w:rsidRDefault="00DD505D" w:rsidP="00DD505D">
      <w:pPr>
        <w:pStyle w:val="BodyText"/>
      </w:pPr>
      <w:r w:rsidRPr="00A55335">
        <w:t>Outcome results related to</w:t>
      </w:r>
      <w:r w:rsidR="001E3B01" w:rsidRPr="00A55335">
        <w:t xml:space="preserve"> </w:t>
      </w:r>
      <w:r w:rsidR="00726EE5" w:rsidRPr="00A55335">
        <w:t>the s</w:t>
      </w:r>
      <w:r w:rsidR="006070ED" w:rsidRPr="00A55335">
        <w:t xml:space="preserve">econdary </w:t>
      </w:r>
      <w:r w:rsidR="00726EE5" w:rsidRPr="00A55335">
        <w:t xml:space="preserve">comparison </w:t>
      </w:r>
      <w:r w:rsidR="001E3B01" w:rsidRPr="00A55335">
        <w:t xml:space="preserve">(homeopathy vs control) </w:t>
      </w:r>
      <w:r w:rsidRPr="00A55335">
        <w:t xml:space="preserve">in people with IBS are presented in </w:t>
      </w:r>
      <w:r w:rsidR="00863A94" w:rsidRPr="00A55335">
        <w:fldChar w:fldCharType="begin"/>
      </w:r>
      <w:r w:rsidR="00863A94" w:rsidRPr="00A55335">
        <w:instrText xml:space="preserve"> REF _Ref151380504 \h </w:instrText>
      </w:r>
      <w:r w:rsidR="00863A94" w:rsidRPr="00A55335">
        <w:fldChar w:fldCharType="separate"/>
      </w:r>
      <w:r w:rsidR="00814B04" w:rsidRPr="00A55335">
        <w:t xml:space="preserve">Figure </w:t>
      </w:r>
      <w:r w:rsidR="00814B04">
        <w:rPr>
          <w:noProof/>
        </w:rPr>
        <w:t>66</w:t>
      </w:r>
      <w:r w:rsidR="00863A94" w:rsidRPr="00A55335">
        <w:fldChar w:fldCharType="end"/>
      </w:r>
      <w:r w:rsidR="001E3B01" w:rsidRPr="00A55335">
        <w:t xml:space="preserve"> (symptom severity)</w:t>
      </w:r>
      <w:r w:rsidR="00D610A2" w:rsidRPr="00A55335">
        <w:t xml:space="preserve"> and </w:t>
      </w:r>
      <w:r w:rsidR="00D610A2" w:rsidRPr="00A55335">
        <w:fldChar w:fldCharType="begin"/>
      </w:r>
      <w:r w:rsidR="00D610A2" w:rsidRPr="00A55335">
        <w:instrText xml:space="preserve"> REF _Ref151380499 \h </w:instrText>
      </w:r>
      <w:r w:rsidR="00D610A2" w:rsidRPr="00A55335">
        <w:fldChar w:fldCharType="separate"/>
      </w:r>
      <w:r w:rsidR="00814B04" w:rsidRPr="00A55335">
        <w:t xml:space="preserve">Figure </w:t>
      </w:r>
      <w:r w:rsidR="00814B04">
        <w:rPr>
          <w:noProof/>
        </w:rPr>
        <w:t>67</w:t>
      </w:r>
      <w:r w:rsidR="00D610A2" w:rsidRPr="00A55335">
        <w:fldChar w:fldCharType="end"/>
      </w:r>
      <w:r w:rsidR="00D610A2" w:rsidRPr="00A55335">
        <w:t xml:space="preserve"> (quality of life)</w:t>
      </w:r>
      <w:r w:rsidRPr="00A55335">
        <w:t>.</w:t>
      </w:r>
    </w:p>
    <w:p w14:paraId="1B26172D" w14:textId="77777777" w:rsidR="002D4993" w:rsidRPr="00A55335" w:rsidRDefault="002D4993" w:rsidP="00DD505D">
      <w:pPr>
        <w:pStyle w:val="BodyText"/>
      </w:pPr>
    </w:p>
    <w:p w14:paraId="0C4D0690" w14:textId="01358D05" w:rsidR="00DD505D" w:rsidRPr="00A55335" w:rsidRDefault="00DD505D" w:rsidP="00DD505D">
      <w:pPr>
        <w:pStyle w:val="Caption"/>
      </w:pPr>
      <w:bookmarkStart w:id="386" w:name="_Ref136432762"/>
      <w:bookmarkStart w:id="387" w:name="_Ref151380504"/>
      <w:bookmarkStart w:id="388" w:name="_Toc183520339"/>
      <w:r w:rsidRPr="00A55335">
        <w:lastRenderedPageBreak/>
        <w:t xml:space="preserve">Figure </w:t>
      </w:r>
      <w:bookmarkEnd w:id="386"/>
      <w:r w:rsidRPr="00A55335">
        <w:fldChar w:fldCharType="begin"/>
      </w:r>
      <w:r w:rsidRPr="00A55335">
        <w:instrText xml:space="preserve"> SEQ Figure \* ARABIC </w:instrText>
      </w:r>
      <w:r w:rsidRPr="00A55335">
        <w:fldChar w:fldCharType="separate"/>
      </w:r>
      <w:r w:rsidR="00814B04">
        <w:rPr>
          <w:noProof/>
        </w:rPr>
        <w:t>66</w:t>
      </w:r>
      <w:r w:rsidRPr="00A55335">
        <w:fldChar w:fldCharType="end"/>
      </w:r>
      <w:bookmarkEnd w:id="387"/>
      <w:r w:rsidRPr="00A55335">
        <w:t xml:space="preserve"> </w:t>
      </w:r>
      <w:r w:rsidRPr="00A55335">
        <w:tab/>
        <w:t xml:space="preserve">Forest plot of </w:t>
      </w:r>
      <w:r w:rsidR="001C29DB" w:rsidRPr="00A55335">
        <w:t xml:space="preserve">secondary </w:t>
      </w:r>
      <w:r w:rsidRPr="00A55335">
        <w:t>comparison: Homeopathy vs</w:t>
      </w:r>
      <w:r w:rsidR="001C29DB" w:rsidRPr="00A55335">
        <w:t xml:space="preserve"> inactive</w:t>
      </w:r>
      <w:r w:rsidRPr="00A55335">
        <w:t xml:space="preserve"> control (no intervention, waitlist or usual care): IBS </w:t>
      </w:r>
      <w:r w:rsidR="003601EE" w:rsidRPr="00A55335">
        <w:t>–</w:t>
      </w:r>
      <w:r w:rsidRPr="00A55335">
        <w:t xml:space="preserve"> </w:t>
      </w:r>
      <w:r w:rsidR="003601EE" w:rsidRPr="00A55335">
        <w:t>s</w:t>
      </w:r>
      <w:r w:rsidRPr="00A55335">
        <w:t>ymptom severity</w:t>
      </w:r>
      <w:bookmarkEnd w:id="388"/>
    </w:p>
    <w:p w14:paraId="5ECBE24C" w14:textId="2AEAC07E" w:rsidR="00E173C5" w:rsidRPr="00A55335" w:rsidRDefault="00E173C5" w:rsidP="00E173C5">
      <w:pPr>
        <w:pStyle w:val="Pic"/>
      </w:pPr>
      <w:r w:rsidRPr="00A55335">
        <w:rPr>
          <w:noProof/>
        </w:rPr>
        <w:drawing>
          <wp:inline distT="0" distB="0" distL="0" distR="0" wp14:anchorId="0AE77E04" wp14:editId="191C729F">
            <wp:extent cx="6102868" cy="1488559"/>
            <wp:effectExtent l="0" t="0" r="0" b="0"/>
            <wp:docPr id="1300462576" name="Picture 130046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2448" cy="1490896"/>
                    </a:xfrm>
                    <a:prstGeom prst="rect">
                      <a:avLst/>
                    </a:prstGeom>
                    <a:noFill/>
                    <a:ln>
                      <a:noFill/>
                    </a:ln>
                  </pic:spPr>
                </pic:pic>
              </a:graphicData>
            </a:graphic>
          </wp:inline>
        </w:drawing>
      </w:r>
    </w:p>
    <w:p w14:paraId="66FC12C2" w14:textId="4D0EBD95" w:rsidR="003601EE" w:rsidRPr="00A55335" w:rsidRDefault="003601EE" w:rsidP="003601EE">
      <w:pPr>
        <w:pStyle w:val="TableFigNotes18"/>
      </w:pPr>
    </w:p>
    <w:p w14:paraId="26B4CCC4" w14:textId="40EBC0EB" w:rsidR="003601EE" w:rsidRPr="00A55335" w:rsidRDefault="003601EE" w:rsidP="003601EE">
      <w:pPr>
        <w:pStyle w:val="Caption"/>
      </w:pPr>
      <w:bookmarkStart w:id="389" w:name="_Ref136432760"/>
      <w:bookmarkStart w:id="390" w:name="_Ref151380499"/>
      <w:bookmarkStart w:id="391" w:name="_Toc183520340"/>
      <w:r w:rsidRPr="00A55335">
        <w:t xml:space="preserve">Figure </w:t>
      </w:r>
      <w:bookmarkEnd w:id="389"/>
      <w:r w:rsidRPr="00A55335">
        <w:fldChar w:fldCharType="begin"/>
      </w:r>
      <w:r w:rsidRPr="00A55335">
        <w:instrText xml:space="preserve"> SEQ Figure \* ARABIC </w:instrText>
      </w:r>
      <w:r w:rsidRPr="00A55335">
        <w:fldChar w:fldCharType="separate"/>
      </w:r>
      <w:r w:rsidR="00814B04">
        <w:rPr>
          <w:noProof/>
        </w:rPr>
        <w:t>67</w:t>
      </w:r>
      <w:r w:rsidRPr="00A55335">
        <w:fldChar w:fldCharType="end"/>
      </w:r>
      <w:bookmarkEnd w:id="390"/>
      <w:r w:rsidRPr="00A55335">
        <w:t xml:space="preserve"> </w:t>
      </w:r>
      <w:r w:rsidRPr="00A55335">
        <w:tab/>
        <w:t xml:space="preserve">Forest plot of </w:t>
      </w:r>
      <w:r w:rsidR="00101663" w:rsidRPr="00A55335">
        <w:t xml:space="preserve">secondary </w:t>
      </w:r>
      <w:r w:rsidRPr="00A55335">
        <w:t xml:space="preserve">comparison: Homeopathy vs </w:t>
      </w:r>
      <w:r w:rsidR="00101663" w:rsidRPr="00A55335">
        <w:t xml:space="preserve">inactive </w:t>
      </w:r>
      <w:r w:rsidRPr="00A55335">
        <w:t>control (no intervention, waitlist or usual care): IBS – quality of life</w:t>
      </w:r>
      <w:bookmarkEnd w:id="391"/>
    </w:p>
    <w:p w14:paraId="012043E4" w14:textId="56B97ED2" w:rsidR="003601EE" w:rsidRPr="00A55335" w:rsidRDefault="00E173C5" w:rsidP="003601EE">
      <w:pPr>
        <w:pStyle w:val="Pic"/>
      </w:pPr>
      <w:r w:rsidRPr="00A55335">
        <w:rPr>
          <w:noProof/>
        </w:rPr>
        <w:drawing>
          <wp:inline distT="0" distB="0" distL="0" distR="0" wp14:anchorId="20664EE3" wp14:editId="3F0E47F2">
            <wp:extent cx="5892731" cy="1467293"/>
            <wp:effectExtent l="0" t="0" r="0" b="0"/>
            <wp:docPr id="547469329" name="Picture 54746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01356" cy="1469441"/>
                    </a:xfrm>
                    <a:prstGeom prst="rect">
                      <a:avLst/>
                    </a:prstGeom>
                    <a:noFill/>
                    <a:ln>
                      <a:noFill/>
                    </a:ln>
                  </pic:spPr>
                </pic:pic>
              </a:graphicData>
            </a:graphic>
          </wp:inline>
        </w:drawing>
      </w:r>
    </w:p>
    <w:p w14:paraId="4DD92D49" w14:textId="77777777" w:rsidR="003601EE" w:rsidRPr="00A55335" w:rsidRDefault="003601EE" w:rsidP="003601EE">
      <w:pPr>
        <w:pStyle w:val="TableFigNotes18"/>
      </w:pPr>
    </w:p>
    <w:p w14:paraId="2EFA56FF" w14:textId="77777777" w:rsidR="003F1448" w:rsidRPr="00A55335" w:rsidRDefault="003F1448" w:rsidP="00645730">
      <w:pPr>
        <w:pStyle w:val="BodyText"/>
      </w:pPr>
      <w:r w:rsidRPr="00A55335">
        <w:br w:type="page"/>
      </w:r>
    </w:p>
    <w:p w14:paraId="7603D70D" w14:textId="3C694EA1" w:rsidR="00DD505D" w:rsidRPr="00A55335" w:rsidRDefault="00DD505D" w:rsidP="00C373A2">
      <w:pPr>
        <w:pStyle w:val="Heading2"/>
      </w:pPr>
      <w:bookmarkStart w:id="392" w:name="_Toc183441381"/>
      <w:r w:rsidRPr="00A55335">
        <w:lastRenderedPageBreak/>
        <w:t>Psoriasis</w:t>
      </w:r>
      <w:bookmarkEnd w:id="392"/>
    </w:p>
    <w:p w14:paraId="0C5DFD98" w14:textId="77777777" w:rsidR="00DD505D" w:rsidRPr="00A55335" w:rsidRDefault="00DD505D" w:rsidP="004D433B">
      <w:pPr>
        <w:pStyle w:val="Heading3"/>
      </w:pPr>
      <w:bookmarkStart w:id="393" w:name="_Toc183441382"/>
      <w:r w:rsidRPr="00A55335">
        <w:t>Description of the condition</w:t>
      </w:r>
      <w:bookmarkEnd w:id="393"/>
      <w:r w:rsidRPr="00A55335">
        <w:t xml:space="preserve"> </w:t>
      </w:r>
    </w:p>
    <w:p w14:paraId="0CD66B0A" w14:textId="58EEDDE5" w:rsidR="00DD505D" w:rsidRPr="00A55335" w:rsidRDefault="00DD505D" w:rsidP="00DD505D">
      <w:pPr>
        <w:pStyle w:val="BodyText"/>
      </w:pPr>
      <w:r w:rsidRPr="00A55335">
        <w:t xml:space="preserve">Psoriasis is a chronic, non-communicable, inflammatory skin disease </w:t>
      </w:r>
      <w:r w:rsidR="00F01A95" w:rsidRPr="00A55335">
        <w:t>that</w:t>
      </w:r>
      <w:r w:rsidRPr="00A55335">
        <w:t xml:space="preserve"> affects over 100 million people worldwide </w:t>
      </w:r>
      <w:r w:rsidR="0096487E" w:rsidRPr="00A55335">
        <w:fldChar w:fldCharType="begin">
          <w:fldData xml:space="preserve">PEVuZE5vdGU+PENpdGU+PEF1dGhvcj5HcmlmZml0aHM8L0F1dGhvcj48WWVhcj4yMDIxPC9ZZWFy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</w:fldData>
        </w:fldChar>
      </w:r>
      <w:r w:rsidR="00EC2769">
        <w:instrText xml:space="preserve"> ADDIN EN.CITE </w:instrText>
      </w:r>
      <w:r w:rsidR="00EC2769">
        <w:fldChar w:fldCharType="begin">
          <w:fldData xml:space="preserve">PEVuZE5vdGU+PENpdGU+PEF1dGhvcj5HcmlmZml0aHM8L0F1dGhvcj48WWVhcj4yMDIxPC9ZZWFy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</w:fldData>
        </w:fldChar>
      </w:r>
      <w:r w:rsidR="00EC2769">
        <w:instrText xml:space="preserve"> ADDIN EN.CITE.DATA </w:instrText>
      </w:r>
      <w:r w:rsidR="00EC2769">
        <w:fldChar w:fldCharType="end"/>
      </w:r>
      <w:r w:rsidR="0096487E" w:rsidRPr="00A55335">
        <w:fldChar w:fldCharType="separate"/>
      </w:r>
      <w:r w:rsidR="00EC2769">
        <w:rPr>
          <w:noProof/>
        </w:rPr>
        <w:t>(</w:t>
      </w:r>
      <w:hyperlink w:anchor="_ENREF_251" w:tooltip="Griffiths, 2021 #589" w:history="1">
        <w:r w:rsidR="00EC2769">
          <w:rPr>
            <w:noProof/>
          </w:rPr>
          <w:t>251</w:t>
        </w:r>
      </w:hyperlink>
      <w:r w:rsidR="00EC2769">
        <w:rPr>
          <w:noProof/>
        </w:rPr>
        <w:t xml:space="preserve">, </w:t>
      </w:r>
      <w:hyperlink w:anchor="_ENREF_252" w:tooltip="World Health Organization (WHO), 2016 #434" w:history="1">
        <w:r w:rsidR="00EC2769">
          <w:rPr>
            <w:noProof/>
          </w:rPr>
          <w:t>252</w:t>
        </w:r>
      </w:hyperlink>
      <w:r w:rsidR="00EC2769">
        <w:rPr>
          <w:noProof/>
        </w:rPr>
        <w:t>)</w:t>
      </w:r>
      <w:r w:rsidR="0096487E" w:rsidRPr="00A55335">
        <w:fldChar w:fldCharType="end"/>
      </w:r>
      <w:r w:rsidRPr="00A55335">
        <w:t xml:space="preserve">. It is characterised by skin lesions spread throughout the body or localised to one area, including the face, palms, soles of feet and genitalia </w:t>
      </w:r>
      <w:r w:rsidR="0096487E" w:rsidRPr="00A55335">
        <w:fldChar w:fldCharType="begin"/>
      </w:r>
      <w:r w:rsidR="00EC2769">
        <w:instrText xml:space="preserve"> ADDIN EN.CITE &lt;EndNote&gt;&lt;Cite&gt;&lt;Author&gt;Griffiths&lt;/Author&gt;&lt;Year&gt;2021&lt;/Year&gt;&lt;RecNum&gt;433&lt;/RecNum&gt;&lt;DisplayText&gt;(253)&lt;/DisplayText&gt;&lt;record&gt;&lt;rec-number&gt;433&lt;/rec-number&gt;&lt;foreign-keys&gt;&lt;key app="EN" db-id="t5prptatr9sp0we5exbxt9zz20fwp55tdza9" timestamp="1700774034"&gt;433&lt;/key&gt;&lt;/foreign-keys&gt;&lt;ref-type name="Journal Article"&gt;17&lt;/ref-type&gt;&lt;contributors&gt;&lt;authors&gt;&lt;author&gt;Griffiths, C. E. M.&lt;/author&gt;&lt;author&gt;Armstrong, A. W.&lt;/author&gt;&lt;author&gt;Gudjonsson, J. E.&lt;/author&gt;&lt;author&gt;Barker, Jnwn&lt;/author&gt;&lt;/authors&gt;&lt;/contributors&gt;&lt;auth-address&gt;Dermatology Centre, Salford Royal NHS Foundation Trust, University of Manchester, Manchester, UK; NIHR Manchester Biomedical Research Centre, Manchester, UK. Electronic address: christopher.griffiths@manchester.ac.uk.&amp;#xD;Department of Dermatology, Keck School of Medicine, University of Southern California, Los Angeles, CA, USA.&amp;#xD;Department of Dermatology, University of Michigan, Ann Arbor, MI, USA.&amp;#xD;St John&amp;apos;s Institute of Dermatology, Faculty of Life Sciences and Medicine, King&amp;apos;s College London, London, UK.&lt;/auth-address&gt;&lt;titles&gt;&lt;title&gt;Psoriasis&lt;/title&gt;&lt;secondary-title&gt;Lancet&lt;/secondary-title&gt;&lt;/titles&gt;&lt;periodical&gt;&lt;full-title&gt;Lancet&lt;/full-title&gt;&lt;/periodical&gt;&lt;pages&gt;1301-1315&lt;/pages&gt;&lt;volume&gt;397&lt;/volume&gt;&lt;number&gt;10281&lt;/number&gt;&lt;keywords&gt;&lt;keyword&gt;Genetic Predisposition to Disease&lt;/keyword&gt;&lt;keyword&gt;Humans&lt;/keyword&gt;&lt;keyword&gt;Phenotype&lt;/keyword&gt;&lt;keyword&gt;Psoriasis/drug therapy/genetics/immunology/*physiopathology&lt;/keyword&gt;&lt;keyword&gt;Risk Factors&lt;/keyword&gt;&lt;/keywords&gt;&lt;dates&gt;&lt;year&gt;2021&lt;/year&gt;&lt;pub-dates&gt;&lt;date&gt;Apr 3&lt;/date&gt;&lt;/pub-dates&gt;&lt;/dates&gt;&lt;pub-location&gt;England&lt;/pub-location&gt;&lt;publisher&gt;Elsevier Ltd&lt;/publisher&gt;&lt;isbn&gt;1474-547X (Electronic)&amp;#xD;0140-6736 (Linking)&lt;/isbn&gt;&lt;accession-num&gt;33812489&lt;/accession-num&gt;&lt;urls&gt;&lt;related-urls&gt;&lt;url&gt;https://www.ncbi.nlm.nih.gov/pubmed/33812489&lt;/url&gt;&lt;/related-urls&gt;&lt;/urls&gt;&lt;electronic-resource-num&gt;10.1016/S0140-6736(20)32549-6&lt;/electronic-resource-num&gt;&lt;remote-database-name&gt;Medline&lt;/remote-database-name&gt;&lt;remote-database-provider&gt;NLM&lt;/remote-database-provider&gt;&lt;/record&gt;&lt;/Cite&gt;&lt;/EndNote&gt;</w:instrText>
      </w:r>
      <w:r w:rsidR="0096487E" w:rsidRPr="00A55335">
        <w:fldChar w:fldCharType="separate"/>
      </w:r>
      <w:r w:rsidR="00EC2769">
        <w:rPr>
          <w:noProof/>
        </w:rPr>
        <w:t>(</w:t>
      </w:r>
      <w:hyperlink w:anchor="_ENREF_253" w:tooltip="Griffiths, 2021 #433" w:history="1">
        <w:r w:rsidR="00EC2769">
          <w:rPr>
            <w:noProof/>
          </w:rPr>
          <w:t>253</w:t>
        </w:r>
      </w:hyperlink>
      <w:r w:rsidR="00EC2769">
        <w:rPr>
          <w:noProof/>
        </w:rPr>
        <w:t>)</w:t>
      </w:r>
      <w:r w:rsidR="0096487E" w:rsidRPr="00A55335">
        <w:fldChar w:fldCharType="end"/>
      </w:r>
      <w:r w:rsidRPr="00A55335">
        <w:t xml:space="preserve">. The lesions can cause itching, stinging, and pain, and can significantly impact a person’s quality of life </w:t>
      </w:r>
      <w:r w:rsidR="0096487E" w:rsidRPr="00A55335">
        <w:fldChar w:fldCharType="begin"/>
      </w:r>
      <w:r w:rsidR="00EC2769">
        <w:instrText xml:space="preserve"> ADDIN EN.CITE &lt;EndNote&gt;&lt;Cite&gt;&lt;Author&gt;World Health Organization (WHO)&lt;/Author&gt;&lt;Year&gt;2016&lt;/Year&gt;&lt;RecNum&gt;434&lt;/RecNum&gt;&lt;DisplayText&gt;(252)&lt;/DisplayText&gt;&lt;record&gt;&lt;rec-number&gt;434&lt;/rec-number&gt;&lt;foreign-keys&gt;&lt;key app="EN" db-id="t5prptatr9sp0we5exbxt9zz20fwp55tdza9" timestamp="1700774034"&gt;434&lt;/key&gt;&lt;/foreign-keys&gt;&lt;ref-type name="Journal Article"&gt;17&lt;/ref-type&gt;&lt;contributors&gt;&lt;authors&gt;&lt;author&gt;World Health Organization (WHO),&lt;/author&gt;&lt;/authors&gt;&lt;/contributors&gt;&lt;titles&gt;&lt;title&gt;Global report on psoriasis&lt;/title&gt;&lt;/titles&gt;&lt;dates&gt;&lt;year&gt;2016&lt;/year&gt;&lt;/dates&gt;&lt;urls&gt;&lt;related-urls&gt;&lt;url&gt;https://iris.who.int/bitstream/handle/10665/204417/9789241565189_eng.pdf?sequence=1&lt;/url&gt;&lt;/related-urls&gt;&lt;/urls&gt;&lt;/record&gt;&lt;/Cite&gt;&lt;/EndNote&gt;</w:instrText>
      </w:r>
      <w:r w:rsidR="0096487E" w:rsidRPr="00A55335">
        <w:fldChar w:fldCharType="separate"/>
      </w:r>
      <w:r w:rsidR="00EC2769">
        <w:rPr>
          <w:noProof/>
        </w:rPr>
        <w:t>(</w:t>
      </w:r>
      <w:hyperlink w:anchor="_ENREF_252" w:tooltip="World Health Organization (WHO), 2016 #434" w:history="1">
        <w:r w:rsidR="00EC2769">
          <w:rPr>
            <w:noProof/>
          </w:rPr>
          <w:t>252</w:t>
        </w:r>
      </w:hyperlink>
      <w:r w:rsidR="00EC2769">
        <w:rPr>
          <w:noProof/>
        </w:rPr>
        <w:t>)</w:t>
      </w:r>
      <w:r w:rsidR="0096487E" w:rsidRPr="00A55335">
        <w:fldChar w:fldCharType="end"/>
      </w:r>
      <w:r w:rsidRPr="00A55335">
        <w:t>.</w:t>
      </w:r>
    </w:p>
    <w:p w14:paraId="18D528AA" w14:textId="3D8051EC" w:rsidR="00DD505D" w:rsidRPr="00A55335" w:rsidRDefault="00DD505D" w:rsidP="00DD505D">
      <w:pPr>
        <w:pStyle w:val="BodyText"/>
      </w:pPr>
      <w:r w:rsidRPr="00A55335">
        <w:t xml:space="preserve">In Australia, it is estimated 2.5% of people are living with psoriasis </w:t>
      </w:r>
      <w:r w:rsidR="0096487E" w:rsidRPr="00A55335">
        <w:fldChar w:fldCharType="begin"/>
      </w:r>
      <w:r w:rsidR="00EC2769">
        <w:instrText xml:space="preserve"> ADDIN EN.CITE &lt;EndNote&gt;&lt;Cite&gt;&lt;Author&gt;Sullivan&lt;/Author&gt;&lt;Year&gt;2023&lt;/Year&gt;&lt;RecNum&gt;590&lt;/RecNum&gt;&lt;DisplayText&gt;(254)&lt;/DisplayText&gt;&lt;record&gt;&lt;rec-number&gt;590&lt;/rec-number&gt;&lt;foreign-keys&gt;&lt;key app="EN" db-id="t5prptatr9sp0we5exbxt9zz20fwp55tdza9" timestamp="1700802231"&gt;590&lt;/key&gt;&lt;/foreign-keys&gt;&lt;ref-type name="Journal Article"&gt;17&lt;/ref-type&gt;&lt;contributors&gt;&lt;authors&gt;&lt;author&gt;Sullivan, John&lt;/author&gt;&lt;author&gt;Hannam, Sarah&lt;/author&gt;&lt;author&gt;Puig, Andrea&lt;/author&gt;&lt;author&gt;Maranta, Debra&lt;/author&gt;&lt;author&gt;McGeachie, Andrew B.&lt;/author&gt;&lt;author&gt;Baker, Christopher&lt;/author&gt;&lt;/authors&gt;&lt;/contributors&gt;&lt;titles&gt;&lt;title&gt;Real‐world treatment persistence of four commonly prescribed biologic therapies for moderate to severe psoriasis in Australia&lt;/title&gt;&lt;secondary-title&gt;Australasian journal of dermatology&lt;/secondary-title&gt;&lt;/titles&gt;&lt;periodical&gt;&lt;full-title&gt;Australasian journal of dermatology&lt;/full-title&gt;&lt;/periodical&gt;&lt;dates&gt;&lt;year&gt;2023&lt;/year&gt;&lt;/dates&gt;&lt;isbn&gt;0004-8380&lt;/isbn&gt;&lt;urls&gt;&lt;/urls&gt;&lt;electronic-resource-num&gt;10.1111/ajd.14153&lt;/electronic-resource-num&gt;&lt;/record&gt;&lt;/Cite&gt;&lt;/EndNote&gt;</w:instrText>
      </w:r>
      <w:r w:rsidR="0096487E" w:rsidRPr="00A55335">
        <w:fldChar w:fldCharType="separate"/>
      </w:r>
      <w:r w:rsidR="00EC2769">
        <w:rPr>
          <w:noProof/>
        </w:rPr>
        <w:t>(</w:t>
      </w:r>
      <w:hyperlink w:anchor="_ENREF_254" w:tooltip="Sullivan, 2023 #590" w:history="1">
        <w:r w:rsidR="00EC2769">
          <w:rPr>
            <w:noProof/>
          </w:rPr>
          <w:t>254</w:t>
        </w:r>
      </w:hyperlink>
      <w:r w:rsidR="00EC2769">
        <w:rPr>
          <w:noProof/>
        </w:rPr>
        <w:t>)</w:t>
      </w:r>
      <w:r w:rsidR="0096487E" w:rsidRPr="00A55335">
        <w:fldChar w:fldCharType="end"/>
      </w:r>
      <w:r w:rsidRPr="00A55335">
        <w:t xml:space="preserve">. Treatment is typically multi-faceted and can include topical therapy, oral systematic therapies, and interventional therapies, such as phototherapy </w:t>
      </w:r>
      <w:r w:rsidR="0096487E" w:rsidRPr="00A55335">
        <w:fldChar w:fldCharType="begin"/>
      </w:r>
      <w:r w:rsidR="00EC2769">
        <w:instrText xml:space="preserve"> ADDIN EN.CITE &lt;EndNote&gt;&lt;Cite&gt;&lt;Author&gt;Griffiths&lt;/Author&gt;&lt;Year&gt;2021&lt;/Year&gt;&lt;RecNum&gt;433&lt;/RecNum&gt;&lt;DisplayText&gt;(253)&lt;/DisplayText&gt;&lt;record&gt;&lt;rec-number&gt;433&lt;/rec-number&gt;&lt;foreign-keys&gt;&lt;key app="EN" db-id="t5prptatr9sp0we5exbxt9zz20fwp55tdza9" timestamp="1700774034"&gt;433&lt;/key&gt;&lt;/foreign-keys&gt;&lt;ref-type name="Journal Article"&gt;17&lt;/ref-type&gt;&lt;contributors&gt;&lt;authors&gt;&lt;author&gt;Griffiths, C. E. M.&lt;/author&gt;&lt;author&gt;Armstrong, A. W.&lt;/author&gt;&lt;author&gt;Gudjonsson, J. E.&lt;/author&gt;&lt;author&gt;Barker, Jnwn&lt;/author&gt;&lt;/authors&gt;&lt;/contributors&gt;&lt;auth-address&gt;Dermatology Centre, Salford Royal NHS Foundation Trust, University of Manchester, Manchester, UK; NIHR Manchester Biomedical Research Centre, Manchester, UK. Electronic address: christopher.griffiths@manchester.ac.uk.&amp;#xD;Department of Dermatology, Keck School of Medicine, University of Southern California, Los Angeles, CA, USA.&amp;#xD;Department of Dermatology, University of Michigan, Ann Arbor, MI, USA.&amp;#xD;St John&amp;apos;s Institute of Dermatology, Faculty of Life Sciences and Medicine, King&amp;apos;s College London, London, UK.&lt;/auth-address&gt;&lt;titles&gt;&lt;title&gt;Psoriasis&lt;/title&gt;&lt;secondary-title&gt;Lancet&lt;/secondary-title&gt;&lt;/titles&gt;&lt;periodical&gt;&lt;full-title&gt;Lancet&lt;/full-title&gt;&lt;/periodical&gt;&lt;pages&gt;1301-1315&lt;/pages&gt;&lt;volume&gt;397&lt;/volume&gt;&lt;number&gt;10281&lt;/number&gt;&lt;keywords&gt;&lt;keyword&gt;Genetic Predisposition to Disease&lt;/keyword&gt;&lt;keyword&gt;Humans&lt;/keyword&gt;&lt;keyword&gt;Phenotype&lt;/keyword&gt;&lt;keyword&gt;Psoriasis/drug therapy/genetics/immunology/*physiopathology&lt;/keyword&gt;&lt;keyword&gt;Risk Factors&lt;/keyword&gt;&lt;/keywords&gt;&lt;dates&gt;&lt;year&gt;2021&lt;/year&gt;&lt;pub-dates&gt;&lt;date&gt;Apr 3&lt;/date&gt;&lt;/pub-dates&gt;&lt;/dates&gt;&lt;pub-location&gt;England&lt;/pub-location&gt;&lt;publisher&gt;Elsevier Ltd&lt;/publisher&gt;&lt;isbn&gt;1474-547X (Electronic)&amp;#xD;0140-6736 (Linking)&lt;/isbn&gt;&lt;accession-num&gt;33812489&lt;/accession-num&gt;&lt;urls&gt;&lt;related-urls&gt;&lt;url&gt;https://www.ncbi.nlm.nih.gov/pubmed/33812489&lt;/url&gt;&lt;/related-urls&gt;&lt;/urls&gt;&lt;electronic-resource-num&gt;10.1016/S0140-6736(20)32549-6&lt;/electronic-resource-num&gt;&lt;remote-database-name&gt;Medline&lt;/remote-database-name&gt;&lt;remote-database-provider&gt;NLM&lt;/remote-database-provider&gt;&lt;/record&gt;&lt;/Cite&gt;&lt;/EndNote&gt;</w:instrText>
      </w:r>
      <w:r w:rsidR="0096487E" w:rsidRPr="00A55335">
        <w:fldChar w:fldCharType="separate"/>
      </w:r>
      <w:r w:rsidR="00EC2769">
        <w:rPr>
          <w:noProof/>
        </w:rPr>
        <w:t>(</w:t>
      </w:r>
      <w:hyperlink w:anchor="_ENREF_253" w:tooltip="Griffiths, 2021 #433" w:history="1">
        <w:r w:rsidR="00EC2769">
          <w:rPr>
            <w:noProof/>
          </w:rPr>
          <w:t>253</w:t>
        </w:r>
      </w:hyperlink>
      <w:r w:rsidR="00EC2769">
        <w:rPr>
          <w:noProof/>
        </w:rPr>
        <w:t>)</w:t>
      </w:r>
      <w:r w:rsidR="0096487E" w:rsidRPr="00A55335">
        <w:fldChar w:fldCharType="end"/>
      </w:r>
      <w:r w:rsidRPr="00A55335">
        <w:t>.</w:t>
      </w:r>
      <w:r w:rsidR="003A3061" w:rsidRPr="00A55335">
        <w:t xml:space="preserve"> </w:t>
      </w:r>
      <w:r w:rsidRPr="00A55335">
        <w:t>The need for such treatment is usually lifelong</w:t>
      </w:r>
      <w:r w:rsidR="00190BD2" w:rsidRPr="00A55335">
        <w:t>,</w:t>
      </w:r>
      <w:r w:rsidRPr="00A55335">
        <w:t xml:space="preserve"> with the aim </w:t>
      </w:r>
      <w:r w:rsidR="00190BD2" w:rsidRPr="00A55335">
        <w:t xml:space="preserve">of treatment being </w:t>
      </w:r>
      <w:r w:rsidRPr="00A55335">
        <w:t xml:space="preserve">to </w:t>
      </w:r>
      <w:r w:rsidR="00190BD2" w:rsidRPr="00A55335">
        <w:t xml:space="preserve">stop skin cells from growing so quickly, to remove scales, and to </w:t>
      </w:r>
      <w:r w:rsidRPr="00A55335">
        <w:t>optimise symptom management</w:t>
      </w:r>
      <w:r w:rsidR="00190BD2" w:rsidRPr="00A55335">
        <w:t xml:space="preserve"> </w:t>
      </w:r>
      <w:r w:rsidR="0096487E" w:rsidRPr="00A55335">
        <w:fldChar w:fldCharType="begin"/>
      </w:r>
      <w:r w:rsidR="00EC2769">
        <w:instrText xml:space="preserve"> ADDIN EN.CITE &lt;EndNote&gt;&lt;Cite&gt;&lt;Author&gt;World Health Organization (WHO)&lt;/Author&gt;&lt;Year&gt;2016&lt;/Year&gt;&lt;RecNum&gt;434&lt;/RecNum&gt;&lt;DisplayText&gt;(252)&lt;/DisplayText&gt;&lt;record&gt;&lt;rec-number&gt;434&lt;/rec-number&gt;&lt;foreign-keys&gt;&lt;key app="EN" db-id="t5prptatr9sp0we5exbxt9zz20fwp55tdza9" timestamp="1700774034"&gt;434&lt;/key&gt;&lt;/foreign-keys&gt;&lt;ref-type name="Journal Article"&gt;17&lt;/ref-type&gt;&lt;contributors&gt;&lt;authors&gt;&lt;author&gt;World Health Organization (WHO),&lt;/author&gt;&lt;/authors&gt;&lt;/contributors&gt;&lt;titles&gt;&lt;title&gt;Global report on psoriasis&lt;/title&gt;&lt;/titles&gt;&lt;dates&gt;&lt;year&gt;2016&lt;/year&gt;&lt;/dates&gt;&lt;urls&gt;&lt;related-urls&gt;&lt;url&gt;https://iris.who.int/bitstream/handle/10665/204417/9789241565189_eng.pdf?sequence=1&lt;/url&gt;&lt;/related-urls&gt;&lt;/urls&gt;&lt;/record&gt;&lt;/Cite&gt;&lt;/EndNote&gt;</w:instrText>
      </w:r>
      <w:r w:rsidR="0096487E" w:rsidRPr="00A55335">
        <w:fldChar w:fldCharType="separate"/>
      </w:r>
      <w:r w:rsidR="00EC2769">
        <w:rPr>
          <w:noProof/>
        </w:rPr>
        <w:t>(</w:t>
      </w:r>
      <w:hyperlink w:anchor="_ENREF_252" w:tooltip="World Health Organization (WHO), 2016 #434" w:history="1">
        <w:r w:rsidR="00EC2769">
          <w:rPr>
            <w:noProof/>
          </w:rPr>
          <w:t>252</w:t>
        </w:r>
      </w:hyperlink>
      <w:r w:rsidR="00EC2769">
        <w:rPr>
          <w:noProof/>
        </w:rPr>
        <w:t>)</w:t>
      </w:r>
      <w:r w:rsidR="0096487E" w:rsidRPr="00A55335">
        <w:fldChar w:fldCharType="end"/>
      </w:r>
      <w:r w:rsidRPr="00A55335">
        <w:t xml:space="preserve">. </w:t>
      </w:r>
      <w:r w:rsidR="002E5526" w:rsidRPr="00A55335">
        <w:t xml:space="preserve">The success of treatment is variable, and </w:t>
      </w:r>
      <w:r w:rsidR="000054DB" w:rsidRPr="00A55335">
        <w:t xml:space="preserve">different combinations are usually required. </w:t>
      </w:r>
      <w:r w:rsidR="00530D51" w:rsidRPr="00A55335">
        <w:t>A</w:t>
      </w:r>
      <w:r w:rsidR="00CD4091" w:rsidRPr="00A55335">
        <w:t>s</w:t>
      </w:r>
      <w:r w:rsidR="00530D51" w:rsidRPr="00A55335">
        <w:t xml:space="preserve"> such,</w:t>
      </w:r>
      <w:r w:rsidR="003559B1" w:rsidRPr="00A55335">
        <w:t xml:space="preserve"> </w:t>
      </w:r>
      <w:r w:rsidR="00530D51" w:rsidRPr="00A55335">
        <w:t xml:space="preserve">up to </w:t>
      </w:r>
      <w:r w:rsidR="00462E74" w:rsidRPr="00A55335">
        <w:t xml:space="preserve">51% of </w:t>
      </w:r>
      <w:r w:rsidR="003559B1" w:rsidRPr="00A55335">
        <w:t>people</w:t>
      </w:r>
      <w:r w:rsidR="00462E74" w:rsidRPr="00A55335">
        <w:t xml:space="preserve"> with psoriasis report the use of complementary and alternative medicine </w:t>
      </w:r>
      <w:r w:rsidR="000054DB" w:rsidRPr="00A55335">
        <w:fldChar w:fldCharType="begin"/>
      </w:r>
      <w:r w:rsidR="00EC2769">
        <w:instrText xml:space="preserve"> ADDIN EN.CITE &lt;EndNote&gt;&lt;Cite&gt;&lt;Author&gt;Gamret&lt;/Author&gt;&lt;Year&gt;2018&lt;/Year&gt;&lt;RecNum&gt;647&lt;/RecNum&gt;&lt;DisplayText&gt;(255)&lt;/DisplayText&gt;&lt;record&gt;&lt;rec-number&gt;647&lt;/rec-number&gt;&lt;foreign-keys&gt;&lt;key app="EN" db-id="t5prptatr9sp0we5exbxt9zz20fwp55tdza9" timestamp="1701237357"&gt;647&lt;/key&gt;&lt;/foreign-keys&gt;&lt;ref-type name="Journal Article"&gt;17&lt;/ref-type&gt;&lt;contributors&gt;&lt;authors&gt;&lt;author&gt;Gamret, A. C.&lt;/author&gt;&lt;author&gt;Price, A.&lt;/author&gt;&lt;author&gt;Fertig, R. M.&lt;/author&gt;&lt;author&gt;Lev-Tov, H.&lt;/author&gt;&lt;author&gt;Nichols, A. J.&lt;/author&gt;&lt;/authors&gt;&lt;/contributors&gt;&lt;auth-address&gt;Department of Dermatology and Cutaneous Surgery, University of Miami, Miller School of Medicine, Miami, Florida.&lt;/auth-address&gt;&lt;titles&gt;&lt;title&gt;Complementary and Alternative Medicine Therapies for Psoriasis: A Systematic Review&lt;/title&gt;&lt;secondary-title&gt;JAMA Dermatol&lt;/secondary-title&gt;&lt;/titles&gt;&lt;periodical&gt;&lt;full-title&gt;JAMA Dermatol&lt;/full-title&gt;&lt;/periodical&gt;&lt;pages&gt;1330-1337&lt;/pages&gt;&lt;volume&gt;154&lt;/volume&gt;&lt;number&gt;11&lt;/number&gt;&lt;keywords&gt;&lt;keyword&gt;Clinical Trials as Topic/*methods&lt;/keyword&gt;&lt;keyword&gt;Complementary Therapies/*methods&lt;/keyword&gt;&lt;keyword&gt;Humans&lt;/keyword&gt;&lt;keyword&gt;Psoriasis/*therapy&lt;/keyword&gt;&lt;keyword&gt;Treatment Outcome&lt;/keyword&gt;&lt;/keywords&gt;&lt;dates&gt;&lt;year&gt;2018&lt;/year&gt;&lt;pub-dates&gt;&lt;date&gt;Nov 1&lt;/date&gt;&lt;/pub-dates&gt;&lt;/dates&gt;&lt;isbn&gt;2168-6068&lt;/isbn&gt;&lt;accession-num&gt;30193251&lt;/accession-num&gt;&lt;urls&gt;&lt;/urls&gt;&lt;electronic-resource-num&gt;10.1001/jamadermatol.2018.2972&lt;/electronic-resource-num&gt;&lt;remote-database-provider&gt;NLM&lt;/remote-database-provider&gt;&lt;language&gt;eng&lt;/language&gt;&lt;/record&gt;&lt;/Cite&gt;&lt;/EndNote&gt;</w:instrText>
      </w:r>
      <w:r w:rsidR="000054DB" w:rsidRPr="00A55335">
        <w:fldChar w:fldCharType="separate"/>
      </w:r>
      <w:r w:rsidR="00EC2769">
        <w:rPr>
          <w:noProof/>
        </w:rPr>
        <w:t>(</w:t>
      </w:r>
      <w:hyperlink w:anchor="_ENREF_255" w:tooltip="Gamret, 2018 #647" w:history="1">
        <w:r w:rsidR="00EC2769">
          <w:rPr>
            <w:noProof/>
          </w:rPr>
          <w:t>255</w:t>
        </w:r>
      </w:hyperlink>
      <w:r w:rsidR="00EC2769">
        <w:rPr>
          <w:noProof/>
        </w:rPr>
        <w:t>)</w:t>
      </w:r>
      <w:r w:rsidR="000054DB" w:rsidRPr="00A55335">
        <w:fldChar w:fldCharType="end"/>
      </w:r>
      <w:r w:rsidR="000054DB" w:rsidRPr="00A55335">
        <w:t xml:space="preserve">; this </w:t>
      </w:r>
      <w:r w:rsidR="003559B1" w:rsidRPr="00A55335">
        <w:t>includ</w:t>
      </w:r>
      <w:r w:rsidR="000054DB" w:rsidRPr="00A55335">
        <w:t>es</w:t>
      </w:r>
      <w:r w:rsidR="003559B1" w:rsidRPr="00A55335">
        <w:t xml:space="preserve"> </w:t>
      </w:r>
      <w:r w:rsidR="003A2EF2" w:rsidRPr="00A55335">
        <w:t>acupuncture, herbal medicines</w:t>
      </w:r>
      <w:r w:rsidR="00081BC0" w:rsidRPr="00A55335">
        <w:t xml:space="preserve">, and </w:t>
      </w:r>
      <w:r w:rsidRPr="00A55335">
        <w:t>homeopathy</w:t>
      </w:r>
      <w:r w:rsidR="00FB4D64" w:rsidRPr="00A55335">
        <w:t xml:space="preserve">. </w:t>
      </w:r>
    </w:p>
    <w:p w14:paraId="4485C6EB" w14:textId="77777777" w:rsidR="00DD505D" w:rsidRPr="00A55335" w:rsidRDefault="00DD505D" w:rsidP="00EA2FEB">
      <w:pPr>
        <w:pStyle w:val="Heading3"/>
      </w:pPr>
      <w:bookmarkStart w:id="394" w:name="_Toc183441383"/>
      <w:r w:rsidRPr="00A55335">
        <w:t>Description of studies</w:t>
      </w:r>
      <w:bookmarkEnd w:id="394"/>
      <w:r w:rsidRPr="00A55335">
        <w:t xml:space="preserve"> </w:t>
      </w:r>
    </w:p>
    <w:p w14:paraId="426CDEB9" w14:textId="4CA838F6" w:rsidR="0060328D" w:rsidRPr="00A55335" w:rsidRDefault="00DD505D" w:rsidP="00DD505D">
      <w:pPr>
        <w:pStyle w:val="BodyText"/>
      </w:pPr>
      <w:r w:rsidRPr="00A55335">
        <w:t xml:space="preserve">Two citations </w:t>
      </w:r>
      <w:r w:rsidR="00203C03" w:rsidRPr="00A55335">
        <w:fldChar w:fldCharType="begin">
          <w:fldData xml:space="preserve">PEVuZE5vdGU+PENpdGU+PEF1dGhvcj5CZXJuc3RlaW48L0F1dGhvcj48WWVhcj4yMDA2PC9ZZWFy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=
</w:fldData>
        </w:fldChar>
      </w:r>
      <w:r w:rsidR="00EC2769">
        <w:instrText xml:space="preserve"> ADDIN EN.CITE </w:instrText>
      </w:r>
      <w:r w:rsidR="00EC2769">
        <w:fldChar w:fldCharType="begin">
          <w:fldData xml:space="preserve">PEVuZE5vdGU+PENpdGU+PEF1dGhvcj5CZXJuc3RlaW48L0F1dGhvcj48WWVhcj4yMDA2PC9ZZWFy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=
</w:fldData>
        </w:fldChar>
      </w:r>
      <w:r w:rsidR="00EC2769">
        <w:instrText xml:space="preserve"> ADDIN EN.CITE.DATA </w:instrText>
      </w:r>
      <w:r w:rsidR="00EC2769">
        <w:fldChar w:fldCharType="end"/>
      </w:r>
      <w:r w:rsidR="00203C03" w:rsidRPr="00A55335">
        <w:fldChar w:fldCharType="separate"/>
      </w:r>
      <w:r w:rsidR="00EC2769">
        <w:rPr>
          <w:noProof/>
        </w:rPr>
        <w:t>(</w:t>
      </w:r>
      <w:hyperlink w:anchor="_ENREF_256" w:tooltip="Bernstein, 2006 #437" w:history="1">
        <w:r w:rsidR="00EC2769">
          <w:rPr>
            <w:noProof/>
          </w:rPr>
          <w:t>256</w:t>
        </w:r>
      </w:hyperlink>
      <w:r w:rsidR="00EC2769">
        <w:rPr>
          <w:noProof/>
        </w:rPr>
        <w:t xml:space="preserve">, </w:t>
      </w:r>
      <w:hyperlink w:anchor="_ENREF_257" w:tooltip="Wiesenauer, 1992 #438" w:history="1">
        <w:r w:rsidR="00EC2769">
          <w:rPr>
            <w:noProof/>
          </w:rPr>
          <w:t>257</w:t>
        </w:r>
      </w:hyperlink>
      <w:r w:rsidR="00EC2769">
        <w:rPr>
          <w:noProof/>
        </w:rPr>
        <w:t>)</w:t>
      </w:r>
      <w:r w:rsidR="00203C03" w:rsidRPr="00A55335">
        <w:fldChar w:fldCharType="end"/>
      </w:r>
      <w:r w:rsidRPr="00A55335">
        <w:t xml:space="preserve">, corresponding to 2 </w:t>
      </w:r>
      <w:r w:rsidR="0095338D" w:rsidRPr="00A55335">
        <w:t>quasi RCT</w:t>
      </w:r>
      <w:r w:rsidRPr="00A55335">
        <w:t>s (</w:t>
      </w:r>
      <w:r w:rsidR="000779C8" w:rsidRPr="00A55335">
        <w:t xml:space="preserve">Bernstein 2006, </w:t>
      </w:r>
      <w:proofErr w:type="spellStart"/>
      <w:r w:rsidRPr="00A55335">
        <w:t>Wiesenauer</w:t>
      </w:r>
      <w:proofErr w:type="spellEnd"/>
      <w:r w:rsidRPr="00A55335">
        <w:t xml:space="preserve"> 1992) were identified in the literature search. </w:t>
      </w:r>
      <w:r w:rsidR="000779C8" w:rsidRPr="00A55335">
        <w:t>Ther</w:t>
      </w:r>
      <w:r w:rsidR="004411A6" w:rsidRPr="00A55335">
        <w:t xml:space="preserve">e </w:t>
      </w:r>
      <w:r w:rsidR="000779C8" w:rsidRPr="00A55335">
        <w:t>wer</w:t>
      </w:r>
      <w:r w:rsidR="004411A6" w:rsidRPr="00A55335">
        <w:t>e</w:t>
      </w:r>
      <w:r w:rsidR="000779C8" w:rsidRPr="00A55335">
        <w:t xml:space="preserve"> no studies identified in the Department’s public call for evidence. </w:t>
      </w:r>
      <w:r w:rsidR="004411A6" w:rsidRPr="00A55335">
        <w:t>T</w:t>
      </w:r>
      <w:r w:rsidR="002B7419" w:rsidRPr="00A55335">
        <w:t>here was o</w:t>
      </w:r>
      <w:r w:rsidRPr="00A55335">
        <w:t xml:space="preserve">ne </w:t>
      </w:r>
      <w:hyperlink w:anchor="_Ongoing_studies" w:history="1">
        <w:r w:rsidR="002B7419" w:rsidRPr="00A55335">
          <w:rPr>
            <w:rStyle w:val="Hyperlink"/>
          </w:rPr>
          <w:t>ongoing studies</w:t>
        </w:r>
      </w:hyperlink>
      <w:r w:rsidR="002B7419" w:rsidRPr="00A55335">
        <w:t xml:space="preserve">, and </w:t>
      </w:r>
      <w:r w:rsidR="0098597F" w:rsidRPr="00A55335">
        <w:t xml:space="preserve">one </w:t>
      </w:r>
      <w:hyperlink w:anchor="_Studies_awaiting_classification" w:history="1">
        <w:r w:rsidR="0098597F" w:rsidRPr="00A55335">
          <w:rPr>
            <w:rStyle w:val="Hyperlink"/>
          </w:rPr>
          <w:t>study</w:t>
        </w:r>
        <w:r w:rsidR="002B7419" w:rsidRPr="00A55335" w:rsidDel="0098597F">
          <w:rPr>
            <w:rStyle w:val="Hyperlink"/>
          </w:rPr>
          <w:t xml:space="preserve"> awaiting classification</w:t>
        </w:r>
      </w:hyperlink>
      <w:r w:rsidR="000779C8" w:rsidRPr="00A55335">
        <w:t>.</w:t>
      </w:r>
      <w:r w:rsidRPr="00A55335">
        <w:t xml:space="preserve"> An overview of the PICO criteria of included studies is provided in Appendix </w:t>
      </w:r>
      <w:r w:rsidR="00B53CD7" w:rsidRPr="00A55335">
        <w:t>D7.1.1</w:t>
      </w:r>
      <w:r w:rsidRPr="00A55335">
        <w:t>.</w:t>
      </w:r>
    </w:p>
    <w:p w14:paraId="664AC32D" w14:textId="7B3CD345" w:rsidR="00DD505D" w:rsidRPr="00A55335" w:rsidRDefault="0060328D" w:rsidP="00E72FD9">
      <w:pPr>
        <w:pStyle w:val="BodyText"/>
      </w:pPr>
      <w:r w:rsidRPr="00A55335">
        <w:t xml:space="preserve">One study (Bernstein 2006) was carried out across six sites in the United States and Canada. The other </w:t>
      </w:r>
      <w:r w:rsidR="00DD505D" w:rsidRPr="00A55335">
        <w:t>study (</w:t>
      </w:r>
      <w:proofErr w:type="spellStart"/>
      <w:r w:rsidR="00DD505D" w:rsidRPr="00A55335">
        <w:t>Wiesenauer</w:t>
      </w:r>
      <w:proofErr w:type="spellEnd"/>
      <w:r w:rsidR="00DD505D" w:rsidRPr="00A55335">
        <w:t xml:space="preserve"> 1992) was conducted at family physician and dermatology clinics in Germany. Sample sizes ranged from 82 to 200 (</w:t>
      </w:r>
      <w:r w:rsidRPr="00A55335">
        <w:t xml:space="preserve">total </w:t>
      </w:r>
      <w:r w:rsidR="00DD505D" w:rsidRPr="00A55335">
        <w:t>282 participants)</w:t>
      </w:r>
      <w:r w:rsidR="00E147F3">
        <w:t xml:space="preserve">. </w:t>
      </w:r>
      <w:r w:rsidR="00E72FD9">
        <w:t xml:space="preserve">One study (Bernstein 2006) included people with </w:t>
      </w:r>
      <w:r w:rsidR="00E147F3" w:rsidRPr="00E147F3">
        <w:t>mild to</w:t>
      </w:r>
      <w:r w:rsidR="00E72FD9">
        <w:t xml:space="preserve"> </w:t>
      </w:r>
      <w:r w:rsidR="00E147F3" w:rsidRPr="00E147F3">
        <w:t>moderate psoriasis covering less than 10-15% of the body</w:t>
      </w:r>
      <w:r w:rsidR="00E72FD9">
        <w:t>, and the other study (</w:t>
      </w:r>
      <w:proofErr w:type="spellStart"/>
      <w:r w:rsidR="00E72FD9">
        <w:t>Wiesenauer</w:t>
      </w:r>
      <w:proofErr w:type="spellEnd"/>
      <w:r w:rsidR="00E72FD9">
        <w:t xml:space="preserve"> 1992) enrolled </w:t>
      </w:r>
      <w:r w:rsidR="00DD505D" w:rsidRPr="00A55335">
        <w:t xml:space="preserve">participants with psoriasis of </w:t>
      </w:r>
      <w:r w:rsidR="00E72FD9">
        <w:t>any</w:t>
      </w:r>
      <w:r w:rsidR="00860DC6">
        <w:t xml:space="preserve"> degree of</w:t>
      </w:r>
      <w:r w:rsidR="00E72FD9" w:rsidRPr="00A55335">
        <w:t xml:space="preserve"> </w:t>
      </w:r>
      <w:r w:rsidR="00DD505D" w:rsidRPr="00A55335">
        <w:t>severity.</w:t>
      </w:r>
    </w:p>
    <w:p w14:paraId="5D2E95A0" w14:textId="35359F4C" w:rsidR="00DD505D" w:rsidRPr="00A55335" w:rsidRDefault="00DD505D" w:rsidP="00305931">
      <w:pPr>
        <w:pStyle w:val="BodyText"/>
      </w:pPr>
      <w:r w:rsidRPr="00A55335">
        <w:t>Both studies (</w:t>
      </w:r>
      <w:r w:rsidR="0060328D" w:rsidRPr="00A55335">
        <w:t xml:space="preserve">Bernstein 2006, </w:t>
      </w:r>
      <w:proofErr w:type="spellStart"/>
      <w:r w:rsidR="0060328D" w:rsidRPr="00A55335">
        <w:t>Wiesenauer</w:t>
      </w:r>
      <w:proofErr w:type="spellEnd"/>
      <w:r w:rsidR="0060328D" w:rsidRPr="00A55335">
        <w:t xml:space="preserve"> 1992</w:t>
      </w:r>
      <w:r w:rsidRPr="00A55335">
        <w:t>) compared non-individualised</w:t>
      </w:r>
      <w:r w:rsidR="0060328D" w:rsidRPr="00A55335">
        <w:t>, topical</w:t>
      </w:r>
      <w:r w:rsidRPr="00A55335">
        <w:t xml:space="preserve"> homeopathic intervention to placebo. Administration of the intervention </w:t>
      </w:r>
      <w:r w:rsidR="00A34CFE" w:rsidRPr="00A55335">
        <w:t xml:space="preserve">and duration of the study </w:t>
      </w:r>
      <w:r w:rsidRPr="00A55335">
        <w:t>varied</w:t>
      </w:r>
      <w:r w:rsidR="0060328D" w:rsidRPr="00A55335">
        <w:t xml:space="preserve">, with the intervention being applied twice daily </w:t>
      </w:r>
      <w:r w:rsidR="000F492A" w:rsidRPr="00A55335">
        <w:t xml:space="preserve">for 12 weeks </w:t>
      </w:r>
      <w:r w:rsidR="0060328D" w:rsidRPr="00A55335">
        <w:t>in one study (Bernstein 2006)</w:t>
      </w:r>
      <w:r w:rsidR="000F492A" w:rsidRPr="00A55335">
        <w:t xml:space="preserve">; and </w:t>
      </w:r>
      <w:r w:rsidRPr="00A55335">
        <w:t xml:space="preserve">administered </w:t>
      </w:r>
      <w:r w:rsidR="0060328D" w:rsidRPr="00A55335">
        <w:t>2</w:t>
      </w:r>
      <w:r w:rsidRPr="00A55335">
        <w:t xml:space="preserve"> to </w:t>
      </w:r>
      <w:r w:rsidR="0060328D" w:rsidRPr="00A55335">
        <w:t>3</w:t>
      </w:r>
      <w:r w:rsidRPr="00A55335">
        <w:t xml:space="preserve"> times a day and then again at night with smeared bandages</w:t>
      </w:r>
      <w:r w:rsidR="0060328D" w:rsidRPr="00A55335">
        <w:t xml:space="preserve"> in the study</w:t>
      </w:r>
      <w:r w:rsidR="00305931" w:rsidRPr="00A55335">
        <w:t xml:space="preserve"> reported by </w:t>
      </w:r>
      <w:proofErr w:type="spellStart"/>
      <w:r w:rsidR="0060328D" w:rsidRPr="00A55335">
        <w:t>Wiesenauer</w:t>
      </w:r>
      <w:proofErr w:type="spellEnd"/>
      <w:r w:rsidR="0060328D" w:rsidRPr="00A55335">
        <w:t xml:space="preserve"> 1992</w:t>
      </w:r>
      <w:r w:rsidR="00A34CFE" w:rsidRPr="00A55335">
        <w:t>.</w:t>
      </w:r>
      <w:r w:rsidR="00305931" w:rsidRPr="00A55335">
        <w:t xml:space="preserve"> Here, the</w:t>
      </w:r>
      <w:r w:rsidRPr="00A55335">
        <w:t xml:space="preserve"> length of treatment was individually assigned by the treating physician, although 8 weeks was suggested by the study coordinators. </w:t>
      </w:r>
    </w:p>
    <w:p w14:paraId="2CEC7F1F" w14:textId="08D69D9E" w:rsidR="00D92AC6" w:rsidRPr="00A55335" w:rsidRDefault="00DD505D" w:rsidP="00726EE5">
      <w:pPr>
        <w:pStyle w:val="BodyText"/>
      </w:pPr>
      <w:r w:rsidRPr="00A55335">
        <w:t xml:space="preserve">Results for </w:t>
      </w:r>
      <w:r w:rsidR="00726EE5" w:rsidRPr="00A55335">
        <w:t xml:space="preserve">the </w:t>
      </w:r>
      <w:r w:rsidR="006070ED" w:rsidRPr="00A55335">
        <w:t>Primary Comparison</w:t>
      </w:r>
      <w:r w:rsidR="00F73318" w:rsidRPr="00A55335">
        <w:t xml:space="preserve">: Homeopathy </w:t>
      </w:r>
      <w:r w:rsidR="001B33CB" w:rsidRPr="00A55335">
        <w:t xml:space="preserve">versus placebo </w:t>
      </w:r>
      <w:r w:rsidRPr="00A55335">
        <w:t>are provided in the Summary of Findings table (see</w:t>
      </w:r>
      <w:r w:rsidR="00305931" w:rsidRPr="00A55335">
        <w:t xml:space="preserve"> Section </w:t>
      </w:r>
      <w:r w:rsidR="00305931" w:rsidRPr="00A55335">
        <w:fldChar w:fldCharType="begin"/>
      </w:r>
      <w:r w:rsidR="00305931" w:rsidRPr="00A55335">
        <w:instrText xml:space="preserve"> REF _Ref152170467 \r \h </w:instrText>
      </w:r>
      <w:r w:rsidR="00305931" w:rsidRPr="00A55335">
        <w:fldChar w:fldCharType="separate"/>
      </w:r>
      <w:r w:rsidR="00814B04">
        <w:t>4.15.4</w:t>
      </w:r>
      <w:r w:rsidR="00305931" w:rsidRPr="00A55335">
        <w:fldChar w:fldCharType="end"/>
      </w:r>
      <w:r w:rsidRPr="00A55335">
        <w:t>).</w:t>
      </w:r>
      <w:r w:rsidR="00305931" w:rsidRPr="00A55335">
        <w:t xml:space="preserve"> </w:t>
      </w:r>
      <w:r w:rsidR="005C6724" w:rsidRPr="00A55335">
        <w:t xml:space="preserve">There were no studies found for </w:t>
      </w:r>
      <w:r w:rsidR="00726EE5" w:rsidRPr="00A55335">
        <w:t xml:space="preserve">the </w:t>
      </w:r>
      <w:r w:rsidR="005C6724" w:rsidRPr="00A55335">
        <w:t xml:space="preserve">Secondary Comparison: Homeopathy versus inactive control (no intervention, waitlist or usual care) or Tertiary Comparison: Homeopathy versus another comparator. </w:t>
      </w:r>
    </w:p>
    <w:p w14:paraId="4974A1D9"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274A7B79" w14:textId="5E3EDE8C" w:rsidR="00DD505D" w:rsidRPr="00A55335" w:rsidRDefault="00DD505D" w:rsidP="00101663">
      <w:pPr>
        <w:pStyle w:val="Heading3"/>
      </w:pPr>
      <w:bookmarkStart w:id="395" w:name="_Toc183441384"/>
      <w:r w:rsidRPr="00A55335">
        <w:t>Risk of bias – summary assessment across studies</w:t>
      </w:r>
      <w:bookmarkEnd w:id="395"/>
      <w:r w:rsidRPr="00A55335">
        <w:t xml:space="preserve"> </w:t>
      </w:r>
    </w:p>
    <w:p w14:paraId="1F053F7B" w14:textId="3E69CCFA" w:rsidR="00324EAF" w:rsidRPr="00A55335" w:rsidRDefault="00324EAF" w:rsidP="00DD505D">
      <w:pPr>
        <w:pStyle w:val="BodyText"/>
      </w:pPr>
      <w:r w:rsidRPr="00A55335">
        <w:t xml:space="preserve">The risk of bias for each item in the included RCTs for psoriasis are summarised in </w:t>
      </w:r>
      <w:r w:rsidRPr="00A55335">
        <w:fldChar w:fldCharType="begin"/>
      </w:r>
      <w:r w:rsidRPr="00A55335">
        <w:instrText xml:space="preserve"> REF _Ref151642855 \h </w:instrText>
      </w:r>
      <w:r w:rsidRPr="00A55335">
        <w:fldChar w:fldCharType="separate"/>
      </w:r>
      <w:r w:rsidR="00814B04" w:rsidRPr="00A55335">
        <w:t xml:space="preserve">Figure </w:t>
      </w:r>
      <w:r w:rsidR="00814B04">
        <w:rPr>
          <w:noProof/>
        </w:rPr>
        <w:t>68</w:t>
      </w:r>
      <w:r w:rsidRPr="00A55335">
        <w:fldChar w:fldCharType="end"/>
      </w:r>
      <w:r w:rsidRPr="00A55335">
        <w:t xml:space="preserve">. Details are provided in Appendix D7.1.2. No studies were judged to be at overall low risk of bias. </w:t>
      </w:r>
    </w:p>
    <w:p w14:paraId="0421E553" w14:textId="7B92B7E2" w:rsidR="007333CA" w:rsidRPr="00A55335" w:rsidRDefault="007333CA" w:rsidP="007333CA">
      <w:pPr>
        <w:pStyle w:val="Caption"/>
      </w:pPr>
      <w:bookmarkStart w:id="396" w:name="_Ref151642855"/>
      <w:bookmarkStart w:id="397" w:name="_Toc183520341"/>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68</w:t>
      </w:r>
      <w:r w:rsidRPr="00A55335">
        <w:fldChar w:fldCharType="end"/>
      </w:r>
      <w:bookmarkEnd w:id="396"/>
      <w:r w:rsidRPr="00A55335">
        <w:tab/>
        <w:t>Risk of bias summary: review authors</w:t>
      </w:r>
      <w:r w:rsidR="00817C15" w:rsidRPr="00A55335">
        <w:t>’</w:t>
      </w:r>
      <w:r w:rsidRPr="00A55335">
        <w:t xml:space="preserve"> judgement about each risk of bias item for each included study: </w:t>
      </w:r>
      <w:r w:rsidR="00305931" w:rsidRPr="00A55335">
        <w:t>P</w:t>
      </w:r>
      <w:r w:rsidRPr="00A55335">
        <w:t>soriasis</w:t>
      </w:r>
      <w:bookmarkEnd w:id="397"/>
    </w:p>
    <w:p w14:paraId="6FA33E15" w14:textId="78AAFF90" w:rsidR="006E4B35" w:rsidRPr="00A55335" w:rsidRDefault="006E4B35" w:rsidP="006E4B35">
      <w:pPr>
        <w:pStyle w:val="Pic"/>
      </w:pPr>
      <w:r w:rsidRPr="00A55335">
        <w:rPr>
          <w:noProof/>
        </w:rPr>
        <w:drawing>
          <wp:inline distT="0" distB="0" distL="0" distR="0" wp14:anchorId="531B272E" wp14:editId="369BE166">
            <wp:extent cx="3753293" cy="1645395"/>
            <wp:effectExtent l="0" t="0" r="0" b="0"/>
            <wp:docPr id="169527989" name="Picture 169527989" descr="A chart with red and green circles and cro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7989" name="Picture 169527989" descr="A chart with red and green circles and crosses&#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97396" cy="1664729"/>
                    </a:xfrm>
                    <a:prstGeom prst="rect">
                      <a:avLst/>
                    </a:prstGeom>
                    <a:noFill/>
                    <a:ln>
                      <a:noFill/>
                    </a:ln>
                  </pic:spPr>
                </pic:pic>
              </a:graphicData>
            </a:graphic>
          </wp:inline>
        </w:drawing>
      </w:r>
    </w:p>
    <w:p w14:paraId="756990AB" w14:textId="77777777" w:rsidR="006E4B35" w:rsidRPr="00A55335" w:rsidRDefault="006E4B35" w:rsidP="006E4B35">
      <w:pPr>
        <w:pStyle w:val="TableFigNotes18"/>
      </w:pPr>
    </w:p>
    <w:p w14:paraId="79FFC928" w14:textId="58035764" w:rsidR="00543C7B" w:rsidRPr="00A55335" w:rsidRDefault="00543C7B" w:rsidP="004D433B">
      <w:pPr>
        <w:pStyle w:val="Heading3"/>
      </w:pPr>
      <w:bookmarkStart w:id="398" w:name="_Ref152170467"/>
      <w:bookmarkStart w:id="399" w:name="_Toc183441385"/>
      <w:r w:rsidRPr="00A55335">
        <w:t>Summary of findings and evidence statements</w:t>
      </w:r>
      <w:bookmarkEnd w:id="398"/>
      <w:bookmarkEnd w:id="399"/>
    </w:p>
    <w:p w14:paraId="2837F32C" w14:textId="72623102" w:rsidR="00DD505D" w:rsidRPr="00A55335" w:rsidRDefault="006070ED" w:rsidP="00A769FC">
      <w:pPr>
        <w:pStyle w:val="Heading4"/>
      </w:pPr>
      <w:r w:rsidRPr="00A55335">
        <w:t>Primary Comparison</w:t>
      </w:r>
      <w:r w:rsidR="00DD505D" w:rsidRPr="00A55335">
        <w:t xml:space="preserve"> (vs placebo) </w:t>
      </w:r>
    </w:p>
    <w:tbl>
      <w:tblPr>
        <w:tblW w:w="5000" w:type="pct"/>
        <w:tblLayout w:type="fixed"/>
        <w:tblCellMar>
          <w:top w:w="57" w:type="dxa"/>
          <w:left w:w="57" w:type="dxa"/>
          <w:bottom w:w="57" w:type="dxa"/>
          <w:right w:w="57" w:type="dxa"/>
        </w:tblCellMar>
        <w:tblLook w:val="04A0" w:firstRow="1" w:lastRow="0" w:firstColumn="1" w:lastColumn="0" w:noHBand="0" w:noVBand="1"/>
      </w:tblPr>
      <w:tblGrid>
        <w:gridCol w:w="1702"/>
        <w:gridCol w:w="1349"/>
        <w:gridCol w:w="1347"/>
        <w:gridCol w:w="998"/>
        <w:gridCol w:w="1132"/>
        <w:gridCol w:w="1134"/>
        <w:gridCol w:w="2083"/>
      </w:tblGrid>
      <w:tr w:rsidR="00DD505D" w:rsidRPr="00A55335" w14:paraId="7653DEFF" w14:textId="77777777" w:rsidTr="00C171D8">
        <w:trPr>
          <w:cantSplit/>
          <w:tblHeader/>
        </w:trPr>
        <w:tc>
          <w:tcPr>
            <w:tcW w:w="5000" w:type="pct"/>
            <w:gridSpan w:val="7"/>
            <w:tcBorders>
              <w:top w:val="single" w:sz="12" w:space="0" w:color="000000"/>
              <w:left w:val="nil"/>
              <w:bottom w:val="single" w:sz="12" w:space="0" w:color="000000"/>
              <w:right w:val="nil"/>
            </w:tcBorders>
            <w:vAlign w:val="center"/>
            <w:hideMark/>
          </w:tcPr>
          <w:p w14:paraId="7FE7AFE5" w14:textId="385E5C64" w:rsidR="00DD505D" w:rsidRPr="00A55335" w:rsidRDefault="00DD505D" w:rsidP="000E3FAF">
            <w:pPr>
              <w:pStyle w:val="TableH1"/>
              <w:rPr>
                <w:rFonts w:eastAsiaTheme="minorEastAsia"/>
                <w:lang w:val="en-AU"/>
              </w:rPr>
            </w:pPr>
            <w:r w:rsidRPr="00A55335">
              <w:rPr>
                <w:lang w:val="en-AU"/>
              </w:rPr>
              <w:t xml:space="preserve">Homeopathy compared to placebo for </w:t>
            </w:r>
            <w:r w:rsidR="00305931" w:rsidRPr="00A55335">
              <w:rPr>
                <w:lang w:val="en-AU"/>
              </w:rPr>
              <w:t>P</w:t>
            </w:r>
            <w:r w:rsidRPr="00A55335">
              <w:rPr>
                <w:lang w:val="en-AU"/>
              </w:rPr>
              <w:t>soriasis</w:t>
            </w:r>
          </w:p>
        </w:tc>
      </w:tr>
      <w:tr w:rsidR="00DD505D" w:rsidRPr="00A55335" w14:paraId="1390E8D2" w14:textId="77777777" w:rsidTr="00C171D8">
        <w:trPr>
          <w:cantSplit/>
          <w:tblHeader/>
        </w:trPr>
        <w:tc>
          <w:tcPr>
            <w:tcW w:w="5000" w:type="pct"/>
            <w:gridSpan w:val="7"/>
            <w:tcBorders>
              <w:top w:val="single" w:sz="12" w:space="0" w:color="000000"/>
              <w:left w:val="nil"/>
              <w:bottom w:val="single" w:sz="12" w:space="0" w:color="000000"/>
              <w:right w:val="nil"/>
            </w:tcBorders>
            <w:vAlign w:val="center"/>
            <w:hideMark/>
          </w:tcPr>
          <w:p w14:paraId="0A9ED1C1" w14:textId="77777777" w:rsidR="00DD505D" w:rsidRPr="00A55335" w:rsidRDefault="00DD505D" w:rsidP="000E3FAF">
            <w:pPr>
              <w:pStyle w:val="Tabletext9pt"/>
            </w:pPr>
            <w:r w:rsidRPr="00A55335">
              <w:rPr>
                <w:rStyle w:val="Strong"/>
              </w:rPr>
              <w:t>Patient or population:</w:t>
            </w:r>
            <w:r w:rsidRPr="00A55335">
              <w:t xml:space="preserve"> Psoriasis</w:t>
            </w:r>
          </w:p>
          <w:p w14:paraId="09E188FF" w14:textId="77777777" w:rsidR="00DD505D" w:rsidRPr="00A55335" w:rsidRDefault="00DD505D" w:rsidP="000E3FAF">
            <w:pPr>
              <w:pStyle w:val="Tabletext9pt"/>
            </w:pPr>
            <w:r w:rsidRPr="00A55335">
              <w:rPr>
                <w:rStyle w:val="Strong"/>
              </w:rPr>
              <w:t>Setting:</w:t>
            </w:r>
            <w:r w:rsidRPr="00A55335">
              <w:t xml:space="preserve"> Community</w:t>
            </w:r>
          </w:p>
          <w:p w14:paraId="2C5154BD" w14:textId="77777777" w:rsidR="00DD505D" w:rsidRPr="00A55335" w:rsidRDefault="00DD505D" w:rsidP="000E3FAF">
            <w:pPr>
              <w:pStyle w:val="Tabletext9pt"/>
            </w:pPr>
            <w:r w:rsidRPr="00A55335">
              <w:rPr>
                <w:rStyle w:val="Strong"/>
              </w:rPr>
              <w:t>Intervention:</w:t>
            </w:r>
            <w:r w:rsidRPr="00A55335">
              <w:t xml:space="preserve"> Homeopathy</w:t>
            </w:r>
          </w:p>
          <w:p w14:paraId="472C8FAE" w14:textId="77777777" w:rsidR="00DD505D" w:rsidRPr="00A55335" w:rsidRDefault="00DD505D" w:rsidP="000E3FAF">
            <w:pPr>
              <w:pStyle w:val="Tabletext9pt"/>
            </w:pPr>
            <w:r w:rsidRPr="00A55335">
              <w:rPr>
                <w:rStyle w:val="Strong"/>
              </w:rPr>
              <w:t>Comparison:</w:t>
            </w:r>
            <w:r w:rsidRPr="00A55335">
              <w:t xml:space="preserve"> Placebo</w:t>
            </w:r>
          </w:p>
        </w:tc>
      </w:tr>
      <w:tr w:rsidR="00D673BB" w:rsidRPr="00A55335" w14:paraId="16ECE9AE" w14:textId="77777777" w:rsidTr="00165213">
        <w:trPr>
          <w:cantSplit/>
          <w:tblHeader/>
        </w:trPr>
        <w:tc>
          <w:tcPr>
            <w:tcW w:w="873" w:type="pct"/>
            <w:vMerge w:val="restart"/>
            <w:tcBorders>
              <w:right w:val="single" w:sz="6" w:space="0" w:color="EFEFEF"/>
            </w:tcBorders>
            <w:shd w:val="clear" w:color="auto" w:fill="006579" w:themeFill="accent2"/>
            <w:vAlign w:val="bottom"/>
            <w:hideMark/>
          </w:tcPr>
          <w:p w14:paraId="39407544" w14:textId="77777777" w:rsidR="00DD505D" w:rsidRPr="00A55335" w:rsidRDefault="00DD505D" w:rsidP="000E3FAF">
            <w:pPr>
              <w:pStyle w:val="Tabletext8pt"/>
              <w:rPr>
                <w:rFonts w:eastAsiaTheme="minorEastAsia"/>
                <w:b/>
                <w:bCs/>
                <w:color w:val="F9F9F9" w:themeColor="background1"/>
              </w:rPr>
            </w:pPr>
            <w:r w:rsidRPr="00A55335">
              <w:rPr>
                <w:b/>
                <w:bCs/>
                <w:color w:val="F9F9F9" w:themeColor="background1"/>
              </w:rPr>
              <w:t>Outcomes</w:t>
            </w:r>
          </w:p>
        </w:tc>
        <w:tc>
          <w:tcPr>
            <w:tcW w:w="1382" w:type="pct"/>
            <w:gridSpan w:val="2"/>
            <w:tcBorders>
              <w:top w:val="single" w:sz="6" w:space="0" w:color="EFEFEF"/>
              <w:right w:val="single" w:sz="6" w:space="0" w:color="EFEFEF"/>
            </w:tcBorders>
            <w:shd w:val="clear" w:color="auto" w:fill="E0E0E0"/>
            <w:vAlign w:val="bottom"/>
            <w:hideMark/>
          </w:tcPr>
          <w:p w14:paraId="78DF7549" w14:textId="77777777" w:rsidR="00DD505D" w:rsidRPr="00A55335" w:rsidRDefault="00DD505D" w:rsidP="000E3FAF">
            <w:pPr>
              <w:pStyle w:val="Tabletext8pt"/>
              <w:rPr>
                <w:rStyle w:val="Strong"/>
              </w:rPr>
            </w:pPr>
            <w:r w:rsidRPr="00A55335">
              <w:rPr>
                <w:rStyle w:val="Strong"/>
              </w:rPr>
              <w:t>Anticipated absolute effects* (95% CI)</w:t>
            </w:r>
          </w:p>
        </w:tc>
        <w:tc>
          <w:tcPr>
            <w:tcW w:w="512" w:type="pct"/>
            <w:vMerge w:val="restart"/>
            <w:tcBorders>
              <w:right w:val="single" w:sz="6" w:space="0" w:color="EFEFEF"/>
            </w:tcBorders>
            <w:shd w:val="clear" w:color="auto" w:fill="006579" w:themeFill="accent2"/>
            <w:vAlign w:val="bottom"/>
            <w:hideMark/>
          </w:tcPr>
          <w:p w14:paraId="2FA36B94" w14:textId="77777777" w:rsidR="00DD505D" w:rsidRPr="00A55335" w:rsidRDefault="00DD505D" w:rsidP="000E3FAF">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1" w:type="pct"/>
            <w:vMerge w:val="restart"/>
            <w:tcBorders>
              <w:right w:val="single" w:sz="6" w:space="0" w:color="EFEFEF"/>
            </w:tcBorders>
            <w:shd w:val="clear" w:color="auto" w:fill="006579" w:themeFill="accent2"/>
            <w:vAlign w:val="bottom"/>
            <w:hideMark/>
          </w:tcPr>
          <w:p w14:paraId="2B62E28F" w14:textId="77777777" w:rsidR="00DD505D" w:rsidRPr="00A55335" w:rsidRDefault="00DD505D" w:rsidP="000E3FAF">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2" w:type="pct"/>
            <w:vMerge w:val="restart"/>
            <w:tcBorders>
              <w:right w:val="single" w:sz="6" w:space="0" w:color="EFEFEF"/>
            </w:tcBorders>
            <w:shd w:val="clear" w:color="auto" w:fill="006579" w:themeFill="accent2"/>
            <w:vAlign w:val="bottom"/>
            <w:hideMark/>
          </w:tcPr>
          <w:p w14:paraId="0B9A60F8" w14:textId="77777777" w:rsidR="00DD505D" w:rsidRPr="00A55335" w:rsidRDefault="00DD505D" w:rsidP="000E3FAF">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70" w:type="pct"/>
            <w:vMerge w:val="restart"/>
            <w:tcBorders>
              <w:right w:val="single" w:sz="6" w:space="0" w:color="EFEFEF"/>
            </w:tcBorders>
            <w:shd w:val="clear" w:color="auto" w:fill="006579" w:themeFill="accent2"/>
            <w:vAlign w:val="bottom"/>
            <w:hideMark/>
          </w:tcPr>
          <w:p w14:paraId="3C86B57A" w14:textId="307F4963" w:rsidR="00DD505D" w:rsidRPr="00A55335" w:rsidRDefault="00C171D8" w:rsidP="000E3FAF">
            <w:pPr>
              <w:pStyle w:val="Tabletext8pt"/>
              <w:rPr>
                <w:b/>
                <w:bCs/>
                <w:color w:val="F9F9F9" w:themeColor="background1"/>
              </w:rPr>
            </w:pPr>
            <w:r w:rsidRPr="00A55335">
              <w:rPr>
                <w:b/>
                <w:bCs/>
                <w:color w:val="F9F9F9" w:themeColor="background1"/>
              </w:rPr>
              <w:t>Evidence statement</w:t>
            </w:r>
          </w:p>
        </w:tc>
      </w:tr>
      <w:tr w:rsidR="00D673BB" w:rsidRPr="00A55335" w14:paraId="772708DB" w14:textId="77777777" w:rsidTr="00165213">
        <w:trPr>
          <w:cantSplit/>
          <w:tblHeader/>
        </w:trPr>
        <w:tc>
          <w:tcPr>
            <w:tcW w:w="873" w:type="pct"/>
            <w:vMerge/>
            <w:tcBorders>
              <w:right w:val="single" w:sz="6" w:space="0" w:color="EFEFEF"/>
            </w:tcBorders>
            <w:shd w:val="clear" w:color="auto" w:fill="006579" w:themeFill="accent2"/>
            <w:vAlign w:val="center"/>
            <w:hideMark/>
          </w:tcPr>
          <w:p w14:paraId="19CD8251" w14:textId="77777777" w:rsidR="00DD505D" w:rsidRPr="00A55335" w:rsidRDefault="00DD505D" w:rsidP="000E3FAF">
            <w:pPr>
              <w:pStyle w:val="Tabletext8pt"/>
              <w:rPr>
                <w:rFonts w:eastAsiaTheme="minorEastAsia"/>
                <w:b/>
                <w:bCs/>
                <w:color w:val="F9F9F9" w:themeColor="background1"/>
              </w:rPr>
            </w:pPr>
          </w:p>
        </w:tc>
        <w:tc>
          <w:tcPr>
            <w:tcW w:w="692" w:type="pct"/>
            <w:tcBorders>
              <w:top w:val="single" w:sz="6" w:space="0" w:color="EFEFEF"/>
              <w:right w:val="single" w:sz="6" w:space="0" w:color="EFEFEF"/>
            </w:tcBorders>
            <w:shd w:val="clear" w:color="auto" w:fill="E0E0E0"/>
            <w:vAlign w:val="bottom"/>
            <w:hideMark/>
          </w:tcPr>
          <w:p w14:paraId="7C0D298D" w14:textId="77777777" w:rsidR="00DD505D" w:rsidRPr="00A55335" w:rsidRDefault="00DD505D" w:rsidP="00EA2A59">
            <w:pPr>
              <w:pStyle w:val="Tabletext8pt"/>
              <w:rPr>
                <w:rStyle w:val="Strong"/>
              </w:rPr>
            </w:pPr>
            <w:r w:rsidRPr="00A55335">
              <w:rPr>
                <w:rStyle w:val="Strong"/>
              </w:rPr>
              <w:t>Risk with placebo</w:t>
            </w:r>
          </w:p>
        </w:tc>
        <w:tc>
          <w:tcPr>
            <w:tcW w:w="691" w:type="pct"/>
            <w:tcBorders>
              <w:top w:val="single" w:sz="6" w:space="0" w:color="EFEFEF"/>
              <w:right w:val="single" w:sz="6" w:space="0" w:color="EFEFEF"/>
            </w:tcBorders>
            <w:shd w:val="clear" w:color="auto" w:fill="E0E0E0"/>
            <w:vAlign w:val="bottom"/>
            <w:hideMark/>
          </w:tcPr>
          <w:p w14:paraId="1FFFF50B" w14:textId="77777777" w:rsidR="00DD505D" w:rsidRPr="00A55335" w:rsidRDefault="00DD505D" w:rsidP="00EA2A59">
            <w:pPr>
              <w:pStyle w:val="Tabletext8pt"/>
              <w:rPr>
                <w:rStyle w:val="Strong"/>
              </w:rPr>
            </w:pPr>
            <w:r w:rsidRPr="00A55335">
              <w:rPr>
                <w:rStyle w:val="Strong"/>
              </w:rPr>
              <w:t>Risk with homeopathy</w:t>
            </w:r>
          </w:p>
        </w:tc>
        <w:tc>
          <w:tcPr>
            <w:tcW w:w="512" w:type="pct"/>
            <w:vMerge/>
            <w:tcBorders>
              <w:right w:val="single" w:sz="6" w:space="0" w:color="EFEFEF"/>
            </w:tcBorders>
            <w:shd w:val="clear" w:color="auto" w:fill="006579" w:themeFill="accent2"/>
            <w:vAlign w:val="center"/>
            <w:hideMark/>
          </w:tcPr>
          <w:p w14:paraId="39687359" w14:textId="77777777" w:rsidR="00DD505D" w:rsidRPr="00A55335" w:rsidRDefault="00DD505D" w:rsidP="000E3FAF">
            <w:pPr>
              <w:pStyle w:val="Tabletext8pt"/>
              <w:rPr>
                <w:rFonts w:eastAsiaTheme="minorEastAsia"/>
                <w:b/>
                <w:bCs/>
                <w:color w:val="F9F9F9" w:themeColor="background1"/>
              </w:rPr>
            </w:pPr>
          </w:p>
        </w:tc>
        <w:tc>
          <w:tcPr>
            <w:tcW w:w="581" w:type="pct"/>
            <w:vMerge/>
            <w:tcBorders>
              <w:right w:val="single" w:sz="6" w:space="0" w:color="EFEFEF"/>
            </w:tcBorders>
            <w:shd w:val="clear" w:color="auto" w:fill="006579" w:themeFill="accent2"/>
            <w:vAlign w:val="center"/>
            <w:hideMark/>
          </w:tcPr>
          <w:p w14:paraId="771DFAB1" w14:textId="77777777" w:rsidR="00DD505D" w:rsidRPr="00A55335" w:rsidRDefault="00DD505D" w:rsidP="000E3FAF">
            <w:pPr>
              <w:pStyle w:val="Tabletext8pt"/>
              <w:rPr>
                <w:rFonts w:eastAsiaTheme="minorEastAsia"/>
                <w:b/>
                <w:bCs/>
                <w:color w:val="F9F9F9" w:themeColor="background1"/>
              </w:rPr>
            </w:pPr>
          </w:p>
        </w:tc>
        <w:tc>
          <w:tcPr>
            <w:tcW w:w="582" w:type="pct"/>
            <w:vMerge/>
            <w:tcBorders>
              <w:right w:val="single" w:sz="6" w:space="0" w:color="EFEFEF"/>
            </w:tcBorders>
            <w:shd w:val="clear" w:color="auto" w:fill="006579" w:themeFill="accent2"/>
            <w:vAlign w:val="center"/>
            <w:hideMark/>
          </w:tcPr>
          <w:p w14:paraId="54273E94" w14:textId="77777777" w:rsidR="00DD505D" w:rsidRPr="00A55335" w:rsidRDefault="00DD505D" w:rsidP="000E3FAF">
            <w:pPr>
              <w:pStyle w:val="Tabletext8pt"/>
              <w:rPr>
                <w:rFonts w:eastAsiaTheme="minorEastAsia"/>
                <w:b/>
                <w:bCs/>
                <w:color w:val="F9F9F9" w:themeColor="background1"/>
              </w:rPr>
            </w:pPr>
          </w:p>
        </w:tc>
        <w:tc>
          <w:tcPr>
            <w:tcW w:w="1070" w:type="pct"/>
            <w:vMerge/>
            <w:tcBorders>
              <w:right w:val="single" w:sz="6" w:space="0" w:color="EFEFEF"/>
            </w:tcBorders>
            <w:shd w:val="clear" w:color="auto" w:fill="006579" w:themeFill="accent2"/>
            <w:vAlign w:val="center"/>
            <w:hideMark/>
          </w:tcPr>
          <w:p w14:paraId="00988B5C" w14:textId="77777777" w:rsidR="00DD505D" w:rsidRPr="00A55335" w:rsidRDefault="00DD505D" w:rsidP="000E3FAF">
            <w:pPr>
              <w:pStyle w:val="Tabletext8pt"/>
              <w:rPr>
                <w:rFonts w:eastAsiaTheme="minorEastAsia"/>
                <w:b/>
                <w:bCs/>
                <w:color w:val="F9F9F9" w:themeColor="background1"/>
              </w:rPr>
            </w:pPr>
          </w:p>
        </w:tc>
      </w:tr>
      <w:tr w:rsidR="00FC20A1" w:rsidRPr="00A55335" w14:paraId="2B66E30A" w14:textId="77777777" w:rsidTr="00165213">
        <w:trPr>
          <w:cantSplit/>
        </w:trPr>
        <w:tc>
          <w:tcPr>
            <w:tcW w:w="873" w:type="pct"/>
            <w:tcBorders>
              <w:top w:val="single" w:sz="6" w:space="0" w:color="000000"/>
              <w:left w:val="nil"/>
              <w:bottom w:val="single" w:sz="6" w:space="0" w:color="000000"/>
              <w:right w:val="nil"/>
            </w:tcBorders>
            <w:vAlign w:val="center"/>
            <w:hideMark/>
          </w:tcPr>
          <w:p w14:paraId="2F8BC1DB" w14:textId="1625A44A" w:rsidR="00DD505D" w:rsidRPr="00A55335" w:rsidRDefault="00DD505D" w:rsidP="000E3FAF">
            <w:pPr>
              <w:pStyle w:val="Tabletext8pt"/>
            </w:pPr>
            <w:r w:rsidRPr="00A55335">
              <w:t>Disease severity</w:t>
            </w:r>
            <w:r w:rsidR="00C171D8" w:rsidRPr="00A55335">
              <w:t xml:space="preserve"> </w:t>
            </w:r>
            <w:r w:rsidRPr="00A55335">
              <w:br/>
              <w:t>assessed with: Psoriasis Area Severity Index (PA</w:t>
            </w:r>
            <w:r w:rsidR="008E1AF2" w:rsidRPr="00A55335">
              <w:t>S</w:t>
            </w:r>
            <w:r w:rsidRPr="00A55335">
              <w:t>I)</w:t>
            </w:r>
            <w:r w:rsidR="00393FAC" w:rsidRPr="00A55335">
              <w:t xml:space="preserve"> (higher is worse)</w:t>
            </w:r>
            <w:r w:rsidR="007F3B9E" w:rsidRPr="00A55335">
              <w:br/>
              <w:t>Scale from: 0 to 100</w:t>
            </w:r>
            <w:r w:rsidR="00C171D8" w:rsidRPr="00A55335">
              <w:br/>
              <w:t>follow-up: 12 weeks</w:t>
            </w:r>
          </w:p>
        </w:tc>
        <w:tc>
          <w:tcPr>
            <w:tcW w:w="692" w:type="pct"/>
            <w:tcBorders>
              <w:top w:val="single" w:sz="6" w:space="0" w:color="000000"/>
              <w:left w:val="nil"/>
              <w:bottom w:val="single" w:sz="6" w:space="0" w:color="000000"/>
              <w:right w:val="nil"/>
            </w:tcBorders>
            <w:shd w:val="clear" w:color="auto" w:fill="EBEBEB"/>
            <w:vAlign w:val="center"/>
            <w:hideMark/>
          </w:tcPr>
          <w:p w14:paraId="1F98BD29" w14:textId="18094710" w:rsidR="00DD505D" w:rsidRPr="00A55335" w:rsidRDefault="00DD505D" w:rsidP="008E1AF2">
            <w:pPr>
              <w:pStyle w:val="Tabletext8pt"/>
              <w:jc w:val="center"/>
            </w:pPr>
            <w:r w:rsidRPr="00A55335">
              <w:t xml:space="preserve">Mean </w:t>
            </w:r>
            <w:r w:rsidR="00ED5CD8" w:rsidRPr="00A55335">
              <w:t xml:space="preserve">reduction </w:t>
            </w:r>
            <w:r w:rsidR="00CB3C2F" w:rsidRPr="00A55335">
              <w:t xml:space="preserve">in </w:t>
            </w:r>
            <w:r w:rsidRPr="00A55335">
              <w:t>PA</w:t>
            </w:r>
            <w:r w:rsidR="008E1AF2" w:rsidRPr="00A55335">
              <w:t>S</w:t>
            </w:r>
            <w:r w:rsidRPr="00A55335">
              <w:t xml:space="preserve">I score </w:t>
            </w:r>
            <w:r w:rsidR="00CB3C2F" w:rsidRPr="00A55335">
              <w:t>was</w:t>
            </w:r>
            <w:r w:rsidRPr="00A55335">
              <w:t xml:space="preserve"> </w:t>
            </w:r>
            <w:r w:rsidRPr="00A55335">
              <w:rPr>
                <w:rStyle w:val="Strong"/>
              </w:rPr>
              <w:t>0.09</w:t>
            </w:r>
            <w:r w:rsidR="00C171D8" w:rsidRPr="00A55335">
              <w:t xml:space="preserve"> </w:t>
            </w:r>
            <w:r w:rsidR="00C171D8" w:rsidRPr="00A55335">
              <w:rPr>
                <w:rStyle w:val="Strong"/>
              </w:rPr>
              <w:t>points</w:t>
            </w:r>
          </w:p>
        </w:tc>
        <w:tc>
          <w:tcPr>
            <w:tcW w:w="691" w:type="pct"/>
            <w:tcBorders>
              <w:top w:val="single" w:sz="6" w:space="0" w:color="000000"/>
              <w:left w:val="nil"/>
              <w:bottom w:val="single" w:sz="6" w:space="0" w:color="000000"/>
              <w:right w:val="nil"/>
            </w:tcBorders>
            <w:shd w:val="clear" w:color="auto" w:fill="EBEBEB"/>
            <w:hideMark/>
          </w:tcPr>
          <w:p w14:paraId="419D9620" w14:textId="6C5AF9A7" w:rsidR="00DD505D" w:rsidRPr="00A55335" w:rsidRDefault="00CB3C2F" w:rsidP="008E1AF2">
            <w:pPr>
              <w:pStyle w:val="Tabletext8pt"/>
              <w:jc w:val="center"/>
            </w:pPr>
            <w:r w:rsidRPr="00A55335">
              <w:t>MD</w:t>
            </w:r>
            <w:r w:rsidR="00DD505D" w:rsidRPr="00A55335">
              <w:t xml:space="preserve"> </w:t>
            </w:r>
            <w:r w:rsidR="00DD505D" w:rsidRPr="00A55335">
              <w:rPr>
                <w:rStyle w:val="Strong"/>
              </w:rPr>
              <w:t>3.</w:t>
            </w:r>
            <w:r w:rsidR="00930141" w:rsidRPr="00A55335">
              <w:rPr>
                <w:rStyle w:val="Strong"/>
              </w:rPr>
              <w:t xml:space="preserve">30 </w:t>
            </w:r>
            <w:r w:rsidR="00DD402E" w:rsidRPr="00A55335">
              <w:rPr>
                <w:rStyle w:val="Strong"/>
              </w:rPr>
              <w:t>more</w:t>
            </w:r>
            <w:r w:rsidR="00930141" w:rsidRPr="00A55335">
              <w:t xml:space="preserve"> (</w:t>
            </w:r>
            <w:r w:rsidR="00DD402E" w:rsidRPr="00A55335">
              <w:t>2.12</w:t>
            </w:r>
            <w:r w:rsidR="00930141" w:rsidRPr="00A55335">
              <w:t xml:space="preserve"> </w:t>
            </w:r>
            <w:r w:rsidR="00DD402E" w:rsidRPr="00A55335">
              <w:t>more</w:t>
            </w:r>
            <w:r w:rsidR="00930141" w:rsidRPr="00A55335">
              <w:t xml:space="preserve"> to </w:t>
            </w:r>
            <w:r w:rsidR="00DD402E" w:rsidRPr="00A55335">
              <w:t>4.48</w:t>
            </w:r>
            <w:r w:rsidR="00930141" w:rsidRPr="00A55335">
              <w:t xml:space="preserve"> </w:t>
            </w:r>
            <w:r w:rsidR="00DD402E" w:rsidRPr="00A55335">
              <w:t>more</w:t>
            </w:r>
            <w:r w:rsidR="00930141" w:rsidRPr="00A55335">
              <w:t>)</w:t>
            </w:r>
          </w:p>
        </w:tc>
        <w:tc>
          <w:tcPr>
            <w:tcW w:w="512" w:type="pct"/>
            <w:tcBorders>
              <w:top w:val="single" w:sz="6" w:space="0" w:color="000000"/>
              <w:left w:val="nil"/>
              <w:bottom w:val="single" w:sz="6" w:space="0" w:color="000000"/>
              <w:right w:val="nil"/>
            </w:tcBorders>
            <w:vAlign w:val="center"/>
            <w:hideMark/>
          </w:tcPr>
          <w:p w14:paraId="5595275C" w14:textId="77777777" w:rsidR="00DD505D" w:rsidRPr="00A55335" w:rsidRDefault="00DD505D" w:rsidP="008E1AF2">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5613D72D" w14:textId="79286683" w:rsidR="00DD505D" w:rsidRPr="00A55335" w:rsidRDefault="00DD505D" w:rsidP="008E1AF2">
            <w:pPr>
              <w:pStyle w:val="Tabletext8pt"/>
              <w:jc w:val="center"/>
            </w:pPr>
            <w:r w:rsidRPr="00A55335">
              <w:t>200</w:t>
            </w:r>
            <w:r w:rsidRPr="00A55335">
              <w:br/>
              <w:t>(1 RCT)</w:t>
            </w:r>
          </w:p>
        </w:tc>
        <w:tc>
          <w:tcPr>
            <w:tcW w:w="582" w:type="pct"/>
            <w:tcBorders>
              <w:top w:val="single" w:sz="6" w:space="0" w:color="000000"/>
              <w:left w:val="nil"/>
              <w:bottom w:val="single" w:sz="6" w:space="0" w:color="000000"/>
              <w:right w:val="nil"/>
            </w:tcBorders>
            <w:vAlign w:val="center"/>
            <w:hideMark/>
          </w:tcPr>
          <w:p w14:paraId="5232C29F" w14:textId="12FE2778" w:rsidR="00DD505D" w:rsidRPr="00A55335" w:rsidRDefault="00DD505D" w:rsidP="004B2271">
            <w:pPr>
              <w:pStyle w:val="Tabletext8pt"/>
              <w:jc w:val="center"/>
            </w:pPr>
            <w:r w:rsidRPr="00A55335">
              <w:rPr>
                <w:rStyle w:val="quality-sign"/>
                <w:rFonts w:ascii="Cambria Math" w:hAnsi="Cambria Math"/>
              </w:rPr>
              <w:t>⨁</w:t>
            </w:r>
            <w:r w:rsidR="00D9686C" w:rsidRPr="00A55335">
              <w:rPr>
                <w:rStyle w:val="quality-sign"/>
                <w:rFonts w:ascii="Cambria Math" w:hAnsi="Cambria Math"/>
              </w:rPr>
              <w:t>⨁</w:t>
            </w:r>
            <w:r w:rsidRPr="00A55335">
              <w:rPr>
                <w:rStyle w:val="quality-sign"/>
                <w:rFonts w:ascii="Cambria Math" w:hAnsi="Cambria Math"/>
              </w:rPr>
              <w:t>◯◯</w:t>
            </w:r>
            <w:r w:rsidRPr="00A55335">
              <w:br/>
            </w:r>
            <w:r w:rsidRPr="00A55335">
              <w:rPr>
                <w:rStyle w:val="QualitytextChar"/>
              </w:rPr>
              <w:t>low</w:t>
            </w:r>
            <w:r w:rsidR="00C01A7E" w:rsidRPr="00A55335">
              <w:rPr>
                <w:rStyle w:val="QualitytextChar"/>
              </w:rPr>
              <w:t xml:space="preserve"> </w:t>
            </w:r>
            <w:proofErr w:type="spellStart"/>
            <w:r w:rsidRPr="00A55335">
              <w:rPr>
                <w:rStyle w:val="FootnoteReference"/>
              </w:rPr>
              <w:t>a,b,c,d,e</w:t>
            </w:r>
            <w:proofErr w:type="spellEnd"/>
          </w:p>
        </w:tc>
        <w:tc>
          <w:tcPr>
            <w:tcW w:w="1070" w:type="pct"/>
            <w:tcBorders>
              <w:top w:val="single" w:sz="6" w:space="0" w:color="000000"/>
              <w:left w:val="nil"/>
              <w:bottom w:val="single" w:sz="6" w:space="0" w:color="000000"/>
              <w:right w:val="nil"/>
            </w:tcBorders>
            <w:vAlign w:val="center"/>
            <w:hideMark/>
          </w:tcPr>
          <w:p w14:paraId="00612F79" w14:textId="54F11503" w:rsidR="00DD505D" w:rsidRPr="00A55335" w:rsidRDefault="009C2104" w:rsidP="000E3FAF">
            <w:pPr>
              <w:pStyle w:val="Tabletext8pt"/>
            </w:pPr>
            <w:r w:rsidRPr="00A55335">
              <w:t>H</w:t>
            </w:r>
            <w:r w:rsidR="00DD505D" w:rsidRPr="00A55335">
              <w:t xml:space="preserve">omeopathy </w:t>
            </w:r>
            <w:r w:rsidR="00D9686C" w:rsidRPr="00A55335">
              <w:t xml:space="preserve">may </w:t>
            </w:r>
            <w:r w:rsidR="002D0D29" w:rsidRPr="00A55335">
              <w:t xml:space="preserve">result in </w:t>
            </w:r>
            <w:r w:rsidR="004E457D" w:rsidRPr="00A55335">
              <w:t>little to no</w:t>
            </w:r>
            <w:r w:rsidR="002D0D29" w:rsidRPr="00A55335">
              <w:t xml:space="preserve"> improvement in </w:t>
            </w:r>
            <w:r w:rsidR="00DD505D" w:rsidRPr="00A55335">
              <w:t>disease severity in people with psoriasis</w:t>
            </w:r>
            <w:r w:rsidR="002D0D29" w:rsidRPr="00A55335">
              <w:t xml:space="preserve"> </w:t>
            </w:r>
            <w:r w:rsidR="002D0D29" w:rsidRPr="00A55335">
              <w:rPr>
                <w:rStyle w:val="FootnoteReference"/>
              </w:rPr>
              <w:t>#</w:t>
            </w:r>
          </w:p>
        </w:tc>
      </w:tr>
      <w:tr w:rsidR="00EA2A59" w:rsidRPr="00A55335" w14:paraId="543DE0C9" w14:textId="77777777" w:rsidTr="00165213">
        <w:trPr>
          <w:cantSplit/>
        </w:trPr>
        <w:tc>
          <w:tcPr>
            <w:tcW w:w="873" w:type="pct"/>
            <w:tcBorders>
              <w:top w:val="single" w:sz="6" w:space="0" w:color="000000"/>
              <w:left w:val="nil"/>
              <w:bottom w:val="single" w:sz="6" w:space="0" w:color="000000"/>
              <w:right w:val="nil"/>
            </w:tcBorders>
            <w:vAlign w:val="center"/>
          </w:tcPr>
          <w:p w14:paraId="06D38C6C" w14:textId="3962483A" w:rsidR="00EA2A59" w:rsidRPr="00A55335" w:rsidRDefault="00EA2A59" w:rsidP="00EA2A59">
            <w:pPr>
              <w:pStyle w:val="Tabletext8pt"/>
            </w:pPr>
            <w:r w:rsidRPr="00A55335">
              <w:t xml:space="preserve">Symptoms severity assessed </w:t>
            </w:r>
            <w:proofErr w:type="gramStart"/>
            <w:r w:rsidRPr="00A55335">
              <w:t>with:</w:t>
            </w:r>
            <w:proofErr w:type="gramEnd"/>
            <w:r w:rsidRPr="00A55335">
              <w:t xml:space="preserve"> </w:t>
            </w:r>
            <w:r w:rsidR="00A9275A" w:rsidRPr="00A55335">
              <w:t>improvement or resolution – c</w:t>
            </w:r>
            <w:r w:rsidRPr="00A55335">
              <w:t xml:space="preserve">linician assessed </w:t>
            </w:r>
            <w:r w:rsidR="00A9275A" w:rsidRPr="00A55335">
              <w:br/>
            </w:r>
            <w:r w:rsidRPr="00A55335">
              <w:t>follow-up: median 4 weeks</w:t>
            </w:r>
          </w:p>
        </w:tc>
        <w:tc>
          <w:tcPr>
            <w:tcW w:w="692" w:type="pct"/>
            <w:tcBorders>
              <w:top w:val="single" w:sz="6" w:space="0" w:color="000000"/>
              <w:left w:val="nil"/>
              <w:bottom w:val="single" w:sz="6" w:space="0" w:color="000000"/>
              <w:right w:val="nil"/>
            </w:tcBorders>
            <w:shd w:val="clear" w:color="auto" w:fill="EBEBEB"/>
            <w:vAlign w:val="center"/>
          </w:tcPr>
          <w:p w14:paraId="1FABCE82" w14:textId="77777777" w:rsidR="0039411D" w:rsidRPr="00A55335" w:rsidRDefault="0039411D" w:rsidP="0039411D">
            <w:pPr>
              <w:pStyle w:val="Tabletext8pt"/>
              <w:jc w:val="center"/>
            </w:pPr>
          </w:p>
          <w:p w14:paraId="7CBEBB43" w14:textId="2D9EE027" w:rsidR="00EA2A59" w:rsidRPr="00A55335" w:rsidRDefault="00D50AB1" w:rsidP="00EA2A59">
            <w:pPr>
              <w:pStyle w:val="Tabletext8pt"/>
              <w:jc w:val="center"/>
            </w:pPr>
            <w:r w:rsidRPr="00A55335">
              <w:t>450</w:t>
            </w:r>
            <w:r w:rsidR="00EA2A59" w:rsidRPr="00A55335">
              <w:t xml:space="preserve"> per 1,000</w:t>
            </w:r>
          </w:p>
        </w:tc>
        <w:tc>
          <w:tcPr>
            <w:tcW w:w="691" w:type="pct"/>
            <w:tcBorders>
              <w:top w:val="single" w:sz="6" w:space="0" w:color="000000"/>
              <w:left w:val="nil"/>
              <w:bottom w:val="single" w:sz="6" w:space="0" w:color="000000"/>
              <w:right w:val="nil"/>
            </w:tcBorders>
            <w:shd w:val="clear" w:color="auto" w:fill="EBEBEB"/>
          </w:tcPr>
          <w:p w14:paraId="1A4D109C" w14:textId="255268CE" w:rsidR="00D50AB1" w:rsidRPr="00A55335" w:rsidRDefault="00D50AB1" w:rsidP="008D0C2A">
            <w:pPr>
              <w:pStyle w:val="Tabletext8pt"/>
              <w:jc w:val="center"/>
              <w:rPr>
                <w:rStyle w:val="Strong"/>
              </w:rPr>
            </w:pPr>
            <w:r w:rsidRPr="00A55335">
              <w:rPr>
                <w:rStyle w:val="Strong"/>
              </w:rPr>
              <w:t>725 per 1,000</w:t>
            </w:r>
          </w:p>
          <w:p w14:paraId="3C22E3BD" w14:textId="250B6FDB" w:rsidR="00EA2A59" w:rsidRPr="00A55335" w:rsidDel="00CB3C2F" w:rsidRDefault="00D50AB1" w:rsidP="00D50AB1">
            <w:pPr>
              <w:pStyle w:val="Tabletext8pt"/>
              <w:jc w:val="center"/>
            </w:pPr>
            <w:r w:rsidRPr="00A55335">
              <w:t>(491 to 1,000)</w:t>
            </w:r>
            <w:r w:rsidR="00334410">
              <w:t xml:space="preserve"> ^</w:t>
            </w:r>
          </w:p>
        </w:tc>
        <w:tc>
          <w:tcPr>
            <w:tcW w:w="512" w:type="pct"/>
            <w:tcBorders>
              <w:top w:val="single" w:sz="6" w:space="0" w:color="000000"/>
              <w:left w:val="nil"/>
              <w:bottom w:val="single" w:sz="6" w:space="0" w:color="000000"/>
              <w:right w:val="nil"/>
            </w:tcBorders>
            <w:vAlign w:val="center"/>
          </w:tcPr>
          <w:p w14:paraId="56A65A7B" w14:textId="77777777" w:rsidR="00EA2A59" w:rsidRPr="00A55335" w:rsidRDefault="00EA2A59" w:rsidP="008D0C2A">
            <w:pPr>
              <w:pStyle w:val="Tabletext8pt"/>
              <w:jc w:val="center"/>
              <w:rPr>
                <w:rStyle w:val="Strong"/>
              </w:rPr>
            </w:pPr>
            <w:r w:rsidRPr="00A55335">
              <w:rPr>
                <w:rStyle w:val="Strong"/>
              </w:rPr>
              <w:t>RR 1.61</w:t>
            </w:r>
          </w:p>
          <w:p w14:paraId="2187A0CE" w14:textId="46EA0A68" w:rsidR="00EA2A59" w:rsidRPr="00A55335" w:rsidRDefault="00EA2A59" w:rsidP="00EA2A59">
            <w:pPr>
              <w:pStyle w:val="Tabletext8pt"/>
              <w:jc w:val="center"/>
            </w:pPr>
            <w:r w:rsidRPr="00A55335">
              <w:t>(1.09 to 2.38)</w:t>
            </w:r>
          </w:p>
        </w:tc>
        <w:tc>
          <w:tcPr>
            <w:tcW w:w="581" w:type="pct"/>
            <w:tcBorders>
              <w:top w:val="single" w:sz="6" w:space="0" w:color="000000"/>
              <w:left w:val="nil"/>
              <w:bottom w:val="single" w:sz="6" w:space="0" w:color="000000"/>
              <w:right w:val="nil"/>
            </w:tcBorders>
            <w:vAlign w:val="center"/>
          </w:tcPr>
          <w:p w14:paraId="1B9E1CF0" w14:textId="77777777" w:rsidR="00EA2A59" w:rsidRPr="00A55335" w:rsidRDefault="00EA2A59" w:rsidP="00EA2A59">
            <w:pPr>
              <w:pStyle w:val="Tabletext8pt"/>
              <w:jc w:val="center"/>
            </w:pPr>
            <w:r w:rsidRPr="00A55335">
              <w:t>80</w:t>
            </w:r>
          </w:p>
          <w:p w14:paraId="6B30BBD3" w14:textId="1BC8DEE8" w:rsidR="00EA2A59" w:rsidRPr="00A55335" w:rsidRDefault="00EA2A59" w:rsidP="00EA2A59">
            <w:pPr>
              <w:pStyle w:val="Tabletext8pt"/>
              <w:jc w:val="center"/>
            </w:pPr>
            <w:r w:rsidRPr="00A55335">
              <w:t>(1 RCT)</w:t>
            </w:r>
          </w:p>
        </w:tc>
        <w:tc>
          <w:tcPr>
            <w:tcW w:w="582" w:type="pct"/>
            <w:tcBorders>
              <w:top w:val="single" w:sz="6" w:space="0" w:color="000000"/>
              <w:left w:val="nil"/>
              <w:bottom w:val="single" w:sz="6" w:space="0" w:color="000000"/>
              <w:right w:val="nil"/>
            </w:tcBorders>
            <w:vAlign w:val="center"/>
          </w:tcPr>
          <w:p w14:paraId="47A2884F" w14:textId="51F16F60" w:rsidR="00EA2A59" w:rsidRPr="00A55335" w:rsidRDefault="00D50AB1" w:rsidP="00EA2A59">
            <w:pPr>
              <w:pStyle w:val="Tabletext8pt"/>
              <w:jc w:val="center"/>
              <w:rPr>
                <w:rStyle w:val="quality-sign"/>
                <w:rFonts w:ascii="Cambria Math" w:hAnsi="Cambria Math"/>
              </w:rPr>
            </w:pPr>
            <w:r w:rsidRPr="00A55335">
              <w:rPr>
                <w:rStyle w:val="quality-sign"/>
                <w:rFonts w:ascii="Cambria Math" w:hAnsi="Cambria Math"/>
              </w:rPr>
              <w:t>⨁</w:t>
            </w:r>
            <w:r w:rsidR="00FC20A1" w:rsidRPr="00A55335">
              <w:rPr>
                <w:rStyle w:val="quality-sign"/>
                <w:rFonts w:ascii="Cambria Math" w:hAnsi="Cambria Math"/>
              </w:rPr>
              <w:t>◯</w:t>
            </w: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a,b,e</w:t>
            </w:r>
            <w:r w:rsidR="00FC20A1" w:rsidRPr="00A55335">
              <w:rPr>
                <w:rStyle w:val="FootnoteReference"/>
              </w:rPr>
              <w:t>,f</w:t>
            </w:r>
            <w:r w:rsidR="00A046A8">
              <w:rPr>
                <w:rStyle w:val="FootnoteReference"/>
              </w:rPr>
              <w:t>,g</w:t>
            </w:r>
            <w:proofErr w:type="spellEnd"/>
          </w:p>
        </w:tc>
        <w:tc>
          <w:tcPr>
            <w:tcW w:w="1070" w:type="pct"/>
            <w:tcBorders>
              <w:top w:val="single" w:sz="6" w:space="0" w:color="000000"/>
              <w:left w:val="nil"/>
              <w:bottom w:val="single" w:sz="6" w:space="0" w:color="000000"/>
              <w:right w:val="nil"/>
            </w:tcBorders>
            <w:vAlign w:val="center"/>
          </w:tcPr>
          <w:p w14:paraId="415425E0" w14:textId="3FBFF951" w:rsidR="00EA2A59" w:rsidRPr="00A55335" w:rsidDel="00D9686C" w:rsidRDefault="0015323D" w:rsidP="00EA2A59">
            <w:pPr>
              <w:pStyle w:val="Tabletext8pt"/>
            </w:pPr>
            <w:r w:rsidRPr="00A55335">
              <w:t>The evidence is very uncertain about the effect of h</w:t>
            </w:r>
            <w:r w:rsidR="00D50AB1" w:rsidRPr="00A55335">
              <w:t xml:space="preserve">omeopathy </w:t>
            </w:r>
            <w:r w:rsidRPr="00A55335">
              <w:t xml:space="preserve">on </w:t>
            </w:r>
            <w:r w:rsidR="003A5359" w:rsidRPr="00A55335">
              <w:t xml:space="preserve">symptom </w:t>
            </w:r>
            <w:r w:rsidR="00D50AB1" w:rsidRPr="00A55335">
              <w:t>improvement people with psoriasis</w:t>
            </w:r>
            <w:r w:rsidR="00155941" w:rsidRPr="00A55335">
              <w:t xml:space="preserve"> **</w:t>
            </w:r>
          </w:p>
        </w:tc>
      </w:tr>
      <w:tr w:rsidR="00EA2A59" w:rsidRPr="00A55335" w14:paraId="3479D08A" w14:textId="77777777" w:rsidTr="00165213">
        <w:trPr>
          <w:cantSplit/>
        </w:trPr>
        <w:tc>
          <w:tcPr>
            <w:tcW w:w="873" w:type="pct"/>
            <w:tcBorders>
              <w:top w:val="single" w:sz="6" w:space="0" w:color="000000"/>
              <w:left w:val="nil"/>
              <w:bottom w:val="single" w:sz="6" w:space="0" w:color="000000"/>
              <w:right w:val="nil"/>
            </w:tcBorders>
            <w:vAlign w:val="center"/>
            <w:hideMark/>
          </w:tcPr>
          <w:p w14:paraId="2C571ADE" w14:textId="1B4A9324" w:rsidR="00EA2A59" w:rsidRPr="00A55335" w:rsidRDefault="00EA2A59" w:rsidP="00EA2A59">
            <w:pPr>
              <w:pStyle w:val="Tabletext8pt"/>
            </w:pPr>
            <w:r w:rsidRPr="00A55335">
              <w:t>Quality of life</w:t>
            </w:r>
            <w:r w:rsidRPr="00A55335">
              <w:br/>
              <w:t xml:space="preserve">assessed with: Quality of life index </w:t>
            </w:r>
            <w:r w:rsidR="00A96666" w:rsidRPr="00A55335">
              <w:t>(higher is worse)</w:t>
            </w:r>
            <w:r w:rsidR="007F3B9E" w:rsidRPr="00A55335">
              <w:br/>
              <w:t>Scale from: 0 to 120</w:t>
            </w:r>
          </w:p>
          <w:p w14:paraId="2520C550" w14:textId="24AE8181" w:rsidR="00EA2A59" w:rsidRPr="00A55335" w:rsidRDefault="00EA2A59" w:rsidP="00EA2A59">
            <w:pPr>
              <w:pStyle w:val="Tabletext8pt"/>
            </w:pPr>
            <w:r w:rsidRPr="00A55335">
              <w:t>follow-up: 12 weeks</w:t>
            </w:r>
          </w:p>
        </w:tc>
        <w:tc>
          <w:tcPr>
            <w:tcW w:w="692" w:type="pct"/>
            <w:tcBorders>
              <w:top w:val="single" w:sz="6" w:space="0" w:color="000000"/>
              <w:left w:val="nil"/>
              <w:bottom w:val="single" w:sz="6" w:space="0" w:color="000000"/>
              <w:right w:val="nil"/>
            </w:tcBorders>
            <w:shd w:val="clear" w:color="auto" w:fill="EBEBEB"/>
            <w:vAlign w:val="center"/>
            <w:hideMark/>
          </w:tcPr>
          <w:p w14:paraId="753E4548" w14:textId="2D252E4D" w:rsidR="00EA2A59" w:rsidRPr="00A55335" w:rsidRDefault="00EA2A59" w:rsidP="00EA2A59">
            <w:pPr>
              <w:pStyle w:val="Tabletext8pt"/>
              <w:jc w:val="center"/>
            </w:pPr>
            <w:r w:rsidRPr="00A55335">
              <w:t xml:space="preserve">Mean </w:t>
            </w:r>
            <w:r w:rsidR="002C7E7A" w:rsidRPr="00A55335">
              <w:t>QLI</w:t>
            </w:r>
            <w:r w:rsidRPr="00A55335">
              <w:t xml:space="preserve"> </w:t>
            </w:r>
            <w:r w:rsidR="00C558BC" w:rsidRPr="00A55335">
              <w:t xml:space="preserve">improved </w:t>
            </w:r>
            <w:r w:rsidRPr="00A55335">
              <w:t xml:space="preserve">by </w:t>
            </w:r>
            <w:r w:rsidR="003D0FAD" w:rsidRPr="00A55335">
              <w:rPr>
                <w:rStyle w:val="Strong"/>
              </w:rPr>
              <w:t>15.1</w:t>
            </w:r>
            <w:r w:rsidRPr="00A55335">
              <w:rPr>
                <w:rStyle w:val="Strong"/>
              </w:rPr>
              <w:t xml:space="preserve"> points</w:t>
            </w:r>
          </w:p>
        </w:tc>
        <w:tc>
          <w:tcPr>
            <w:tcW w:w="691" w:type="pct"/>
            <w:tcBorders>
              <w:top w:val="single" w:sz="6" w:space="0" w:color="000000"/>
              <w:left w:val="nil"/>
              <w:bottom w:val="single" w:sz="6" w:space="0" w:color="000000"/>
              <w:right w:val="nil"/>
            </w:tcBorders>
            <w:shd w:val="clear" w:color="auto" w:fill="EBEBEB"/>
            <w:hideMark/>
          </w:tcPr>
          <w:p w14:paraId="70F4D656" w14:textId="4E89BF7A" w:rsidR="00EA2A59" w:rsidRPr="00A55335" w:rsidRDefault="00C558BC" w:rsidP="00EA2A59">
            <w:pPr>
              <w:pStyle w:val="Tabletext8pt"/>
              <w:jc w:val="center"/>
            </w:pPr>
            <w:r w:rsidRPr="00A55335">
              <w:t>MD</w:t>
            </w:r>
            <w:r w:rsidR="00EA2A59" w:rsidRPr="00A55335">
              <w:t xml:space="preserve"> </w:t>
            </w:r>
            <w:r w:rsidR="003D0FAD" w:rsidRPr="00A55335">
              <w:rPr>
                <w:rStyle w:val="Strong"/>
              </w:rPr>
              <w:t>10.40</w:t>
            </w:r>
            <w:r w:rsidRPr="00A55335">
              <w:rPr>
                <w:rStyle w:val="Strong"/>
              </w:rPr>
              <w:t xml:space="preserve"> more</w:t>
            </w:r>
            <w:r w:rsidR="00EA2A59" w:rsidRPr="00A55335">
              <w:t xml:space="preserve"> </w:t>
            </w:r>
            <w:r w:rsidRPr="00A55335">
              <w:t>(</w:t>
            </w:r>
            <w:r w:rsidR="008F3C9C" w:rsidRPr="00A55335">
              <w:t xml:space="preserve">3.21 </w:t>
            </w:r>
            <w:r w:rsidRPr="00A55335">
              <w:t xml:space="preserve">more to </w:t>
            </w:r>
            <w:r w:rsidR="008F3C9C" w:rsidRPr="00A55335">
              <w:t>17.59</w:t>
            </w:r>
            <w:r w:rsidRPr="00A55335">
              <w:t>)</w:t>
            </w:r>
          </w:p>
        </w:tc>
        <w:tc>
          <w:tcPr>
            <w:tcW w:w="512" w:type="pct"/>
            <w:tcBorders>
              <w:top w:val="single" w:sz="6" w:space="0" w:color="000000"/>
              <w:left w:val="nil"/>
              <w:bottom w:val="single" w:sz="6" w:space="0" w:color="000000"/>
              <w:right w:val="nil"/>
            </w:tcBorders>
            <w:vAlign w:val="center"/>
            <w:hideMark/>
          </w:tcPr>
          <w:p w14:paraId="7BCF92C1" w14:textId="77777777" w:rsidR="00EA2A59" w:rsidRPr="00A55335" w:rsidRDefault="00EA2A59" w:rsidP="00EA2A59">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653DFD82" w14:textId="77777777" w:rsidR="00EA2A59" w:rsidRPr="00A55335" w:rsidRDefault="00EA2A59" w:rsidP="00EA2A59">
            <w:pPr>
              <w:pStyle w:val="Tabletext8pt"/>
              <w:jc w:val="center"/>
            </w:pPr>
            <w:r w:rsidRPr="00A55335">
              <w:t>200</w:t>
            </w:r>
            <w:r w:rsidRPr="00A55335">
              <w:br/>
              <w:t>(1 RCT)</w:t>
            </w:r>
          </w:p>
        </w:tc>
        <w:tc>
          <w:tcPr>
            <w:tcW w:w="582" w:type="pct"/>
            <w:tcBorders>
              <w:top w:val="single" w:sz="6" w:space="0" w:color="000000"/>
              <w:left w:val="nil"/>
              <w:bottom w:val="single" w:sz="6" w:space="0" w:color="000000"/>
              <w:right w:val="nil"/>
            </w:tcBorders>
            <w:vAlign w:val="center"/>
            <w:hideMark/>
          </w:tcPr>
          <w:p w14:paraId="163346C3" w14:textId="15838E74" w:rsidR="00EA2A59" w:rsidRPr="00A55335" w:rsidRDefault="00EA2A59" w:rsidP="00EA2A59">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a,b,c</w:t>
            </w:r>
            <w:r w:rsidR="008B30D3" w:rsidRPr="00A55335">
              <w:rPr>
                <w:rStyle w:val="FootnoteReference"/>
              </w:rPr>
              <w:t>,</w:t>
            </w:r>
            <w:r w:rsidRPr="00A55335">
              <w:rPr>
                <w:rStyle w:val="FootnoteReference"/>
              </w:rPr>
              <w:t>e</w:t>
            </w:r>
            <w:r w:rsidR="008B30D3" w:rsidRPr="00A55335">
              <w:rPr>
                <w:rStyle w:val="FootnoteReference"/>
              </w:rPr>
              <w:t>,f</w:t>
            </w:r>
            <w:proofErr w:type="spellEnd"/>
          </w:p>
        </w:tc>
        <w:tc>
          <w:tcPr>
            <w:tcW w:w="1070" w:type="pct"/>
            <w:tcBorders>
              <w:top w:val="single" w:sz="6" w:space="0" w:color="000000"/>
              <w:left w:val="nil"/>
              <w:bottom w:val="single" w:sz="6" w:space="0" w:color="000000"/>
              <w:right w:val="nil"/>
            </w:tcBorders>
            <w:vAlign w:val="center"/>
            <w:hideMark/>
          </w:tcPr>
          <w:p w14:paraId="482E54D8" w14:textId="42CC817A" w:rsidR="00EA2A59" w:rsidRPr="00A55335" w:rsidRDefault="00EA2A59" w:rsidP="00EA2A59">
            <w:pPr>
              <w:pStyle w:val="Tabletext8pt"/>
            </w:pPr>
            <w:r w:rsidRPr="00A55335">
              <w:t xml:space="preserve">The evidence is very uncertain about the effect of homeopathy </w:t>
            </w:r>
            <w:r w:rsidR="008B30D3" w:rsidRPr="00A55335">
              <w:t>on</w:t>
            </w:r>
            <w:r w:rsidR="008F3C9C" w:rsidRPr="00A55335">
              <w:t xml:space="preserve"> </w:t>
            </w:r>
            <w:r w:rsidRPr="00A55335">
              <w:t>quality of life in people with psoriasis</w:t>
            </w:r>
            <w:r w:rsidR="008B30D3" w:rsidRPr="00A55335">
              <w:t xml:space="preserve"> ***</w:t>
            </w:r>
          </w:p>
        </w:tc>
      </w:tr>
      <w:tr w:rsidR="00EA2A59" w:rsidRPr="00A55335" w14:paraId="2B5506C6" w14:textId="77777777" w:rsidTr="00165213">
        <w:trPr>
          <w:cantSplit/>
        </w:trPr>
        <w:tc>
          <w:tcPr>
            <w:tcW w:w="873" w:type="pct"/>
            <w:tcBorders>
              <w:top w:val="single" w:sz="6" w:space="0" w:color="000000"/>
              <w:left w:val="nil"/>
              <w:bottom w:val="single" w:sz="6" w:space="0" w:color="000000"/>
              <w:right w:val="nil"/>
            </w:tcBorders>
            <w:vAlign w:val="center"/>
            <w:hideMark/>
          </w:tcPr>
          <w:p w14:paraId="50D4D79C" w14:textId="4788B69E" w:rsidR="00EA2A59" w:rsidRPr="00A55335" w:rsidRDefault="00EA2A59" w:rsidP="00EA2A59">
            <w:pPr>
              <w:pStyle w:val="Tabletext8pt"/>
            </w:pPr>
            <w:r w:rsidRPr="00A55335">
              <w:lastRenderedPageBreak/>
              <w:t>Itching – not measured</w:t>
            </w:r>
          </w:p>
        </w:tc>
        <w:tc>
          <w:tcPr>
            <w:tcW w:w="691" w:type="pct"/>
            <w:tcBorders>
              <w:top w:val="single" w:sz="6" w:space="0" w:color="000000"/>
              <w:left w:val="nil"/>
              <w:bottom w:val="single" w:sz="6" w:space="0" w:color="000000"/>
              <w:right w:val="nil"/>
            </w:tcBorders>
            <w:shd w:val="clear" w:color="auto" w:fill="EBEBEB"/>
            <w:vAlign w:val="center"/>
            <w:hideMark/>
          </w:tcPr>
          <w:p w14:paraId="106063E6" w14:textId="77777777" w:rsidR="00EA2A59" w:rsidRPr="00A55335" w:rsidRDefault="00EA2A59" w:rsidP="00EA2A59">
            <w:pPr>
              <w:pStyle w:val="Tabletext8pt"/>
              <w:jc w:val="center"/>
            </w:pPr>
            <w:r w:rsidRPr="00A55335">
              <w:t>-</w:t>
            </w:r>
          </w:p>
        </w:tc>
        <w:tc>
          <w:tcPr>
            <w:tcW w:w="691" w:type="pct"/>
            <w:tcBorders>
              <w:top w:val="single" w:sz="6" w:space="0" w:color="000000"/>
              <w:left w:val="nil"/>
              <w:bottom w:val="single" w:sz="6" w:space="0" w:color="000000"/>
              <w:right w:val="nil"/>
            </w:tcBorders>
            <w:shd w:val="clear" w:color="auto" w:fill="EBEBEB"/>
            <w:hideMark/>
          </w:tcPr>
          <w:p w14:paraId="5CE53B6E" w14:textId="77777777" w:rsidR="00EA2A59" w:rsidRPr="00A55335" w:rsidRDefault="00EA2A59" w:rsidP="00EA2A59">
            <w:pPr>
              <w:pStyle w:val="Tabletext8pt"/>
              <w:jc w:val="center"/>
            </w:pPr>
            <w:r w:rsidRPr="00A55335">
              <w:t>-</w:t>
            </w:r>
          </w:p>
        </w:tc>
        <w:tc>
          <w:tcPr>
            <w:tcW w:w="512" w:type="pct"/>
            <w:tcBorders>
              <w:top w:val="single" w:sz="6" w:space="0" w:color="000000"/>
              <w:left w:val="nil"/>
              <w:bottom w:val="single" w:sz="6" w:space="0" w:color="000000"/>
              <w:right w:val="nil"/>
            </w:tcBorders>
            <w:vAlign w:val="center"/>
            <w:hideMark/>
          </w:tcPr>
          <w:p w14:paraId="6125D2BC" w14:textId="65493309" w:rsidR="00EA2A59" w:rsidRPr="00A55335" w:rsidRDefault="00EA2A59" w:rsidP="00EA2A59">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03126618" w14:textId="2DE7DC6D" w:rsidR="00EA2A59" w:rsidRPr="00A55335" w:rsidRDefault="00EA2A59" w:rsidP="00EA2A59">
            <w:pPr>
              <w:pStyle w:val="Tabletext8pt"/>
              <w:jc w:val="center"/>
            </w:pPr>
            <w:r w:rsidRPr="00A55335">
              <w:t>(0 studies)</w:t>
            </w:r>
          </w:p>
        </w:tc>
        <w:tc>
          <w:tcPr>
            <w:tcW w:w="582" w:type="pct"/>
            <w:tcBorders>
              <w:top w:val="single" w:sz="6" w:space="0" w:color="000000"/>
              <w:left w:val="nil"/>
              <w:bottom w:val="single" w:sz="6" w:space="0" w:color="000000"/>
              <w:right w:val="nil"/>
            </w:tcBorders>
            <w:vAlign w:val="center"/>
            <w:hideMark/>
          </w:tcPr>
          <w:p w14:paraId="73E35A7E" w14:textId="2218D82D" w:rsidR="00EA2A59" w:rsidRPr="00A55335" w:rsidRDefault="00EA2A59" w:rsidP="00EA2A59">
            <w:pPr>
              <w:pStyle w:val="Qualitytext"/>
            </w:pPr>
            <w:r w:rsidRPr="00A55335">
              <w:t>-</w:t>
            </w:r>
          </w:p>
        </w:tc>
        <w:tc>
          <w:tcPr>
            <w:tcW w:w="1070" w:type="pct"/>
            <w:tcBorders>
              <w:top w:val="single" w:sz="6" w:space="0" w:color="000000"/>
              <w:left w:val="nil"/>
              <w:bottom w:val="single" w:sz="6" w:space="0" w:color="000000"/>
              <w:right w:val="nil"/>
            </w:tcBorders>
            <w:vAlign w:val="center"/>
            <w:hideMark/>
          </w:tcPr>
          <w:p w14:paraId="74138151" w14:textId="08820631" w:rsidR="00EA2A59" w:rsidRPr="00A55335" w:rsidRDefault="00EA2A59" w:rsidP="00EA2A59">
            <w:pPr>
              <w:pStyle w:val="Tabletext8pt"/>
            </w:pPr>
            <w:r w:rsidRPr="00A55335">
              <w:t>The effect homeopathy on itching in people with psoriasis is unknown</w:t>
            </w:r>
          </w:p>
        </w:tc>
      </w:tr>
      <w:tr w:rsidR="00EA2A59" w:rsidRPr="00A55335" w14:paraId="36D24A06" w14:textId="77777777" w:rsidTr="00165213">
        <w:trPr>
          <w:cantSplit/>
        </w:trPr>
        <w:tc>
          <w:tcPr>
            <w:tcW w:w="873" w:type="pct"/>
            <w:tcBorders>
              <w:top w:val="single" w:sz="6" w:space="0" w:color="000000"/>
              <w:left w:val="nil"/>
              <w:bottom w:val="single" w:sz="6" w:space="0" w:color="000000"/>
              <w:right w:val="nil"/>
            </w:tcBorders>
            <w:vAlign w:val="center"/>
            <w:hideMark/>
          </w:tcPr>
          <w:p w14:paraId="77F1A7A1" w14:textId="62D2B5CB" w:rsidR="00EA2A59" w:rsidRPr="00A55335" w:rsidRDefault="00EA2A59" w:rsidP="00EA2A59">
            <w:pPr>
              <w:pStyle w:val="Tabletext8pt"/>
            </w:pPr>
            <w:r w:rsidRPr="00A55335">
              <w:t>Skin condition – not measured</w:t>
            </w:r>
          </w:p>
        </w:tc>
        <w:tc>
          <w:tcPr>
            <w:tcW w:w="691" w:type="pct"/>
            <w:tcBorders>
              <w:top w:val="single" w:sz="6" w:space="0" w:color="000000"/>
              <w:left w:val="nil"/>
              <w:bottom w:val="single" w:sz="6" w:space="0" w:color="000000"/>
              <w:right w:val="nil"/>
            </w:tcBorders>
            <w:shd w:val="clear" w:color="auto" w:fill="EBEBEB"/>
            <w:vAlign w:val="center"/>
            <w:hideMark/>
          </w:tcPr>
          <w:p w14:paraId="0CB8B331" w14:textId="77777777" w:rsidR="00EA2A59" w:rsidRPr="00A55335" w:rsidRDefault="00EA2A59" w:rsidP="00EA2A59">
            <w:pPr>
              <w:pStyle w:val="Tabletext8pt"/>
              <w:jc w:val="center"/>
            </w:pPr>
            <w:r w:rsidRPr="00A55335">
              <w:t>-</w:t>
            </w:r>
          </w:p>
        </w:tc>
        <w:tc>
          <w:tcPr>
            <w:tcW w:w="691" w:type="pct"/>
            <w:tcBorders>
              <w:top w:val="single" w:sz="6" w:space="0" w:color="000000"/>
              <w:left w:val="nil"/>
              <w:bottom w:val="single" w:sz="6" w:space="0" w:color="000000"/>
              <w:right w:val="nil"/>
            </w:tcBorders>
            <w:shd w:val="clear" w:color="auto" w:fill="EBEBEB"/>
            <w:hideMark/>
          </w:tcPr>
          <w:p w14:paraId="24BF2144" w14:textId="77777777" w:rsidR="00EA2A59" w:rsidRPr="00A55335" w:rsidRDefault="00EA2A59" w:rsidP="00EA2A59">
            <w:pPr>
              <w:pStyle w:val="Tabletext8pt"/>
              <w:jc w:val="center"/>
            </w:pPr>
            <w:r w:rsidRPr="00A55335">
              <w:t>-</w:t>
            </w:r>
          </w:p>
        </w:tc>
        <w:tc>
          <w:tcPr>
            <w:tcW w:w="512" w:type="pct"/>
            <w:tcBorders>
              <w:top w:val="single" w:sz="6" w:space="0" w:color="000000"/>
              <w:left w:val="nil"/>
              <w:bottom w:val="single" w:sz="6" w:space="0" w:color="000000"/>
              <w:right w:val="nil"/>
            </w:tcBorders>
            <w:vAlign w:val="center"/>
            <w:hideMark/>
          </w:tcPr>
          <w:p w14:paraId="536BE599" w14:textId="1E03DB63" w:rsidR="00EA2A59" w:rsidRPr="00A55335" w:rsidRDefault="00EA2A59" w:rsidP="00EA2A59">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6D540BC0" w14:textId="5E20FF8F" w:rsidR="00EA2A59" w:rsidRPr="00A55335" w:rsidRDefault="00EA2A59" w:rsidP="00EA2A59">
            <w:pPr>
              <w:pStyle w:val="Tabletext8pt"/>
              <w:jc w:val="center"/>
            </w:pPr>
            <w:r w:rsidRPr="00A55335">
              <w:t>(0 studies)</w:t>
            </w:r>
          </w:p>
        </w:tc>
        <w:tc>
          <w:tcPr>
            <w:tcW w:w="582" w:type="pct"/>
            <w:tcBorders>
              <w:top w:val="single" w:sz="6" w:space="0" w:color="000000"/>
              <w:left w:val="nil"/>
              <w:bottom w:val="single" w:sz="6" w:space="0" w:color="000000"/>
              <w:right w:val="nil"/>
            </w:tcBorders>
            <w:vAlign w:val="center"/>
            <w:hideMark/>
          </w:tcPr>
          <w:p w14:paraId="4C53B78A" w14:textId="153F776F" w:rsidR="00EA2A59" w:rsidRPr="00A55335" w:rsidRDefault="00EA2A59" w:rsidP="00EA2A59">
            <w:pPr>
              <w:pStyle w:val="Qualitytext"/>
            </w:pPr>
            <w:r w:rsidRPr="00A55335">
              <w:t>-</w:t>
            </w:r>
          </w:p>
        </w:tc>
        <w:tc>
          <w:tcPr>
            <w:tcW w:w="1070" w:type="pct"/>
            <w:tcBorders>
              <w:top w:val="single" w:sz="6" w:space="0" w:color="000000"/>
              <w:left w:val="nil"/>
              <w:bottom w:val="single" w:sz="6" w:space="0" w:color="000000"/>
              <w:right w:val="nil"/>
            </w:tcBorders>
            <w:vAlign w:val="center"/>
            <w:hideMark/>
          </w:tcPr>
          <w:p w14:paraId="42B50D76" w14:textId="5285D778" w:rsidR="00EA2A59" w:rsidRPr="00A55335" w:rsidRDefault="00EA2A59" w:rsidP="00EA2A59">
            <w:pPr>
              <w:pStyle w:val="Tabletext8pt"/>
            </w:pPr>
            <w:r w:rsidRPr="00A55335">
              <w:t>The effect homeopathy on skin condition in people with psoriasis is unknown</w:t>
            </w:r>
          </w:p>
        </w:tc>
      </w:tr>
      <w:tr w:rsidR="00EA2A59" w:rsidRPr="00A55335" w14:paraId="4D1AE260" w14:textId="77777777" w:rsidTr="00165213">
        <w:trPr>
          <w:cantSplit/>
        </w:trPr>
        <w:tc>
          <w:tcPr>
            <w:tcW w:w="873" w:type="pct"/>
            <w:tcBorders>
              <w:top w:val="single" w:sz="6" w:space="0" w:color="000000"/>
              <w:left w:val="nil"/>
              <w:bottom w:val="single" w:sz="6" w:space="0" w:color="000000"/>
              <w:right w:val="nil"/>
            </w:tcBorders>
            <w:vAlign w:val="center"/>
            <w:hideMark/>
          </w:tcPr>
          <w:p w14:paraId="5D01F070" w14:textId="48952A40" w:rsidR="00EA2A59" w:rsidRPr="00A55335" w:rsidRDefault="00EA2A59" w:rsidP="00EA2A59">
            <w:pPr>
              <w:pStyle w:val="Tabletext8pt"/>
            </w:pPr>
            <w:r w:rsidRPr="00A55335">
              <w:t>Medication use – not measured</w:t>
            </w:r>
          </w:p>
        </w:tc>
        <w:tc>
          <w:tcPr>
            <w:tcW w:w="691" w:type="pct"/>
            <w:tcBorders>
              <w:top w:val="single" w:sz="6" w:space="0" w:color="000000"/>
              <w:left w:val="nil"/>
              <w:bottom w:val="single" w:sz="6" w:space="0" w:color="000000"/>
              <w:right w:val="nil"/>
            </w:tcBorders>
            <w:shd w:val="clear" w:color="auto" w:fill="EBEBEB"/>
            <w:vAlign w:val="center"/>
            <w:hideMark/>
          </w:tcPr>
          <w:p w14:paraId="2E71EF27" w14:textId="77777777" w:rsidR="00EA2A59" w:rsidRPr="00A55335" w:rsidRDefault="00EA2A59" w:rsidP="00EA2A59">
            <w:pPr>
              <w:pStyle w:val="Tabletext8pt"/>
              <w:jc w:val="center"/>
            </w:pPr>
            <w:r w:rsidRPr="00A55335">
              <w:t>-</w:t>
            </w:r>
          </w:p>
        </w:tc>
        <w:tc>
          <w:tcPr>
            <w:tcW w:w="691" w:type="pct"/>
            <w:tcBorders>
              <w:top w:val="single" w:sz="6" w:space="0" w:color="000000"/>
              <w:left w:val="nil"/>
              <w:bottom w:val="single" w:sz="6" w:space="0" w:color="000000"/>
              <w:right w:val="nil"/>
            </w:tcBorders>
            <w:shd w:val="clear" w:color="auto" w:fill="EBEBEB"/>
            <w:hideMark/>
          </w:tcPr>
          <w:p w14:paraId="63F0654F" w14:textId="77777777" w:rsidR="00EA2A59" w:rsidRPr="00A55335" w:rsidRDefault="00EA2A59" w:rsidP="00EA2A59">
            <w:pPr>
              <w:pStyle w:val="Tabletext8pt"/>
              <w:jc w:val="center"/>
            </w:pPr>
            <w:r w:rsidRPr="00A55335">
              <w:t>-</w:t>
            </w:r>
          </w:p>
        </w:tc>
        <w:tc>
          <w:tcPr>
            <w:tcW w:w="512" w:type="pct"/>
            <w:tcBorders>
              <w:top w:val="single" w:sz="6" w:space="0" w:color="000000"/>
              <w:left w:val="nil"/>
              <w:bottom w:val="single" w:sz="6" w:space="0" w:color="000000"/>
              <w:right w:val="nil"/>
            </w:tcBorders>
            <w:vAlign w:val="center"/>
            <w:hideMark/>
          </w:tcPr>
          <w:p w14:paraId="186B861B" w14:textId="77777777" w:rsidR="00EA2A59" w:rsidRPr="00A55335" w:rsidRDefault="00EA2A59" w:rsidP="00EA2A59">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70047DB1" w14:textId="77777777" w:rsidR="00EA2A59" w:rsidRPr="00A55335" w:rsidRDefault="00EA2A59" w:rsidP="00EA2A59">
            <w:pPr>
              <w:pStyle w:val="Tabletext8pt"/>
              <w:jc w:val="center"/>
            </w:pPr>
            <w:r w:rsidRPr="00A55335">
              <w:t>(0 studies)</w:t>
            </w:r>
          </w:p>
        </w:tc>
        <w:tc>
          <w:tcPr>
            <w:tcW w:w="582" w:type="pct"/>
            <w:tcBorders>
              <w:top w:val="single" w:sz="6" w:space="0" w:color="000000"/>
              <w:left w:val="nil"/>
              <w:bottom w:val="single" w:sz="6" w:space="0" w:color="000000"/>
              <w:right w:val="nil"/>
            </w:tcBorders>
            <w:vAlign w:val="center"/>
            <w:hideMark/>
          </w:tcPr>
          <w:p w14:paraId="7756DEDE" w14:textId="77777777" w:rsidR="00EA2A59" w:rsidRPr="00A55335" w:rsidRDefault="00EA2A59" w:rsidP="00EA2A59">
            <w:pPr>
              <w:pStyle w:val="Qualitytext"/>
            </w:pPr>
            <w:r w:rsidRPr="00A55335">
              <w:t>-</w:t>
            </w:r>
          </w:p>
        </w:tc>
        <w:tc>
          <w:tcPr>
            <w:tcW w:w="1070" w:type="pct"/>
            <w:tcBorders>
              <w:top w:val="single" w:sz="6" w:space="0" w:color="000000"/>
              <w:left w:val="nil"/>
              <w:bottom w:val="single" w:sz="6" w:space="0" w:color="000000"/>
              <w:right w:val="nil"/>
            </w:tcBorders>
            <w:vAlign w:val="center"/>
            <w:hideMark/>
          </w:tcPr>
          <w:p w14:paraId="5AB0D652" w14:textId="77777777" w:rsidR="00EA2A59" w:rsidRPr="00A55335" w:rsidRDefault="00EA2A59" w:rsidP="00EA2A59">
            <w:pPr>
              <w:pStyle w:val="Tabletext8pt"/>
            </w:pPr>
            <w:r w:rsidRPr="00A55335">
              <w:t>The effect homeopathy on medication use in people with psoriasis is unknown</w:t>
            </w:r>
          </w:p>
        </w:tc>
      </w:tr>
      <w:tr w:rsidR="00EA2A59" w:rsidRPr="00A55335" w14:paraId="63492880" w14:textId="77777777" w:rsidTr="00C171D8">
        <w:trPr>
          <w:cantSplit/>
        </w:trPr>
        <w:tc>
          <w:tcPr>
            <w:tcW w:w="5000" w:type="pct"/>
            <w:gridSpan w:val="7"/>
            <w:tcBorders>
              <w:top w:val="single" w:sz="6" w:space="0" w:color="000000"/>
              <w:left w:val="nil"/>
              <w:bottom w:val="single" w:sz="6" w:space="0" w:color="000000"/>
              <w:right w:val="nil"/>
            </w:tcBorders>
            <w:vAlign w:val="center"/>
            <w:hideMark/>
          </w:tcPr>
          <w:p w14:paraId="50504E84" w14:textId="5064E420" w:rsidR="004421D9" w:rsidRPr="00A55335" w:rsidRDefault="00EA2A59" w:rsidP="008B30D3">
            <w:pPr>
              <w:pStyle w:val="TableFigNotes18"/>
            </w:pP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6B0020FB" w14:textId="25A70713" w:rsidR="00EA2A59" w:rsidRPr="00A55335" w:rsidRDefault="00155941" w:rsidP="00EA2A59">
            <w:pPr>
              <w:pStyle w:val="TableFigNotes18"/>
            </w:pPr>
            <w:r w:rsidRPr="00A55335">
              <w:t xml:space="preserve">** </w:t>
            </w:r>
            <w:r w:rsidR="004421D9" w:rsidRPr="00A55335">
              <w:t>A 25% relative risk improvement was considered important (i.e. RR &gt; 1.25).</w:t>
            </w:r>
          </w:p>
          <w:p w14:paraId="5F92988D" w14:textId="77777777" w:rsidR="008F3C9C" w:rsidRPr="00A55335" w:rsidRDefault="008F3C9C" w:rsidP="00EA2A59">
            <w:pPr>
              <w:pStyle w:val="TableFigNotes18"/>
            </w:pPr>
            <w:r w:rsidRPr="00A55335">
              <w:t>*** Effect estimates were considered on 3 levels: small (MD &lt;10% of the scale), moderate (MD between 10% to 20% of the scale) or large (MD more than 20% of the scale).</w:t>
            </w:r>
          </w:p>
          <w:p w14:paraId="2884B43D" w14:textId="45C677E2" w:rsidR="00EA2A59" w:rsidRPr="00A55335" w:rsidRDefault="00334410" w:rsidP="00EA2A59">
            <w:pPr>
              <w:pStyle w:val="TableFigNotes18"/>
            </w:pPr>
            <w:r>
              <w:br/>
            </w:r>
            <w:r w:rsidR="00165213">
              <w:t xml:space="preserve">^ </w:t>
            </w:r>
            <w:r w:rsidR="00232A6D" w:rsidRPr="00BC53A3">
              <w:t xml:space="preserve">The ARD is </w:t>
            </w:r>
            <w:r w:rsidR="00165213">
              <w:t>275</w:t>
            </w:r>
            <w:r w:rsidR="00232A6D">
              <w:t xml:space="preserve"> more</w:t>
            </w:r>
            <w:r w:rsidR="00232A6D" w:rsidRPr="00BC53A3">
              <w:t xml:space="preserve"> per 100</w:t>
            </w:r>
            <w:r w:rsidR="00232A6D">
              <w:t>0</w:t>
            </w:r>
            <w:r w:rsidR="00232A6D" w:rsidRPr="00BC53A3">
              <w:t xml:space="preserve"> </w:t>
            </w:r>
            <w:r w:rsidR="00232A6D">
              <w:t xml:space="preserve">(from </w:t>
            </w:r>
            <w:r w:rsidR="00165213">
              <w:t>41</w:t>
            </w:r>
            <w:r w:rsidR="00232A6D">
              <w:t xml:space="preserve"> more to </w:t>
            </w:r>
            <w:r w:rsidR="00165213">
              <w:t>61 more</w:t>
            </w:r>
            <w:r w:rsidR="00232A6D">
              <w:t xml:space="preserve">) i.e. </w:t>
            </w:r>
            <w:r w:rsidR="00165213">
              <w:t>27.5</w:t>
            </w:r>
            <w:r w:rsidR="00232A6D">
              <w:t xml:space="preserve">% </w:t>
            </w:r>
            <w:r w:rsidR="00165213">
              <w:t>increase.</w:t>
            </w:r>
            <w:r>
              <w:br/>
            </w:r>
            <w:r w:rsidR="00EA2A59" w:rsidRPr="00A55335">
              <w:t xml:space="preserve"># A 50% reduction in the PASI score is considered clinically meaningful </w:t>
            </w:r>
            <w:r w:rsidR="00EA2A59" w:rsidRPr="00A55335">
              <w:fldChar w:fldCharType="begin"/>
            </w:r>
            <w:r w:rsidR="00EC2769">
              <w:instrText xml:space="preserve"> ADDIN EN.CITE &lt;EndNote&gt;&lt;Cite&gt;&lt;Author&gt;Carlin&lt;/Author&gt;&lt;Year&gt;2004&lt;/Year&gt;&lt;RecNum&gt;731&lt;/RecNum&gt;&lt;DisplayText&gt;(258)&lt;/DisplayText&gt;&lt;record&gt;&lt;rec-number&gt;731&lt;/rec-number&gt;&lt;foreign-keys&gt;&lt;key app="EN" db-id="t5prptatr9sp0we5exbxt9zz20fwp55tdza9" timestamp="1702859242"&gt;731&lt;/key&gt;&lt;/foreign-keys&gt;&lt;ref-type name="Journal Article"&gt;17&lt;/ref-type&gt;&lt;contributors&gt;&lt;authors&gt;&lt;author&gt;Carlin, C. S.&lt;/author&gt;&lt;author&gt;Feldman, S. R.&lt;/author&gt;&lt;author&gt;Krueger, J. G.&lt;/author&gt;&lt;author&gt;Menter, A.&lt;/author&gt;&lt;author&gt;Krueger, G. G.&lt;/author&gt;&lt;/authors&gt;&lt;/contributors&gt;&lt;auth-address&gt;Department of Dermatology, University of Utah Health Sciences Center, Salt Lake City, Utah 84132, USA.&lt;/auth-address&gt;&lt;titles&gt;&lt;title&gt;A 50% reduction in the Psoriasis Area and Severity Index (PASI 50) is a clinically significant endpoint in the assessment of psoriasis&lt;/title&gt;&lt;secondary-title&gt;J Am Acad Dermatol&lt;/secondary-title&gt;&lt;/titles&gt;&lt;periodical&gt;&lt;full-title&gt;J Am Acad Dermatol&lt;/full-title&gt;&lt;/periodical&gt;&lt;pages&gt;859-66&lt;/pages&gt;&lt;volume&gt;50&lt;/volume&gt;&lt;number&gt;6&lt;/number&gt;&lt;keywords&gt;&lt;keyword&gt;Humans&lt;/keyword&gt;&lt;keyword&gt;*Psoriasis/diagnosis/drug therapy/pathology&lt;/keyword&gt;&lt;keyword&gt;Quality of Life&lt;/keyword&gt;&lt;keyword&gt;Severity of Illness Index&lt;/keyword&gt;&lt;/keywords&gt;&lt;dates&gt;&lt;year&gt;2004&lt;/year&gt;&lt;pub-dates&gt;&lt;date&gt;Jun&lt;/date&gt;&lt;/pub-dates&gt;&lt;/dates&gt;&lt;isbn&gt;0190-9622 (Print)&amp;#xD;0190-9622&lt;/isbn&gt;&lt;accession-num&gt;15153885&lt;/accession-num&gt;&lt;urls&gt;&lt;/urls&gt;&lt;electronic-resource-num&gt;10.1016/j.jaad.2003.09.014&lt;/electronic-resource-num&gt;&lt;remote-database-provider&gt;NLM&lt;/remote-database-provider&gt;&lt;language&gt;eng&lt;/language&gt;&lt;/record&gt;&lt;/Cite&gt;&lt;/EndNote&gt;</w:instrText>
            </w:r>
            <w:r w:rsidR="00EA2A59" w:rsidRPr="00A55335">
              <w:fldChar w:fldCharType="separate"/>
            </w:r>
            <w:r w:rsidR="00EC2769">
              <w:rPr>
                <w:noProof/>
              </w:rPr>
              <w:t>(</w:t>
            </w:r>
            <w:hyperlink w:anchor="_ENREF_258" w:tooltip="Carlin, 2004 #731" w:history="1">
              <w:r w:rsidR="00EC2769">
                <w:rPr>
                  <w:noProof/>
                </w:rPr>
                <w:t>258</w:t>
              </w:r>
            </w:hyperlink>
            <w:r w:rsidR="00EC2769">
              <w:rPr>
                <w:noProof/>
              </w:rPr>
              <w:t>)</w:t>
            </w:r>
            <w:r w:rsidR="00EA2A59" w:rsidRPr="00A55335">
              <w:fldChar w:fldCharType="end"/>
            </w:r>
            <w:r w:rsidR="00EA2A59" w:rsidRPr="00A55335">
              <w:t>.</w:t>
            </w:r>
          </w:p>
          <w:p w14:paraId="3DE3B2A5" w14:textId="01A741FD" w:rsidR="00EA2A59" w:rsidRPr="00A55335" w:rsidRDefault="00EA2A59" w:rsidP="00EA2A59">
            <w:pPr>
              <w:pStyle w:val="TableFigNotes0"/>
            </w:pPr>
            <w:r w:rsidRPr="00A55335">
              <w:rPr>
                <w:rStyle w:val="Strong"/>
              </w:rPr>
              <w:t>CI:</w:t>
            </w:r>
            <w:r w:rsidRPr="00A55335">
              <w:t xml:space="preserve"> confidence interval</w:t>
            </w:r>
            <w:r w:rsidRPr="00A55335">
              <w:rPr>
                <w:rStyle w:val="Strong"/>
              </w:rPr>
              <w:t xml:space="preserve"> MD:</w:t>
            </w:r>
            <w:r w:rsidRPr="00A55335">
              <w:t xml:space="preserve"> mean difference</w:t>
            </w:r>
            <w:r w:rsidR="002C7E7A" w:rsidRPr="00A55335">
              <w:t xml:space="preserve">; </w:t>
            </w:r>
            <w:r w:rsidR="002C7E7A" w:rsidRPr="00A55335">
              <w:rPr>
                <w:rStyle w:val="Strong"/>
              </w:rPr>
              <w:t>QLI:</w:t>
            </w:r>
            <w:r w:rsidR="002C7E7A" w:rsidRPr="00A55335">
              <w:t xml:space="preserve"> Quality of life index</w:t>
            </w:r>
          </w:p>
        </w:tc>
      </w:tr>
      <w:tr w:rsidR="00EA2A59" w:rsidRPr="00A55335" w14:paraId="070D3DF6" w14:textId="77777777" w:rsidTr="00C171D8">
        <w:trPr>
          <w:cantSplit/>
        </w:trPr>
        <w:tc>
          <w:tcPr>
            <w:tcW w:w="5000" w:type="pct"/>
            <w:gridSpan w:val="7"/>
            <w:tcBorders>
              <w:top w:val="single" w:sz="6" w:space="0" w:color="000000"/>
              <w:left w:val="nil"/>
              <w:bottom w:val="single" w:sz="6" w:space="0" w:color="000000"/>
              <w:right w:val="nil"/>
            </w:tcBorders>
            <w:vAlign w:val="center"/>
            <w:hideMark/>
          </w:tcPr>
          <w:p w14:paraId="08A3980F" w14:textId="77777777" w:rsidR="00EA2A59" w:rsidRPr="00A55335" w:rsidRDefault="00EA2A59" w:rsidP="00EA2A59">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220EB6EC" w14:textId="77777777" w:rsidR="00DD505D" w:rsidRPr="00A55335" w:rsidRDefault="00E35087" w:rsidP="00B4013E">
      <w:pPr>
        <w:pStyle w:val="Heading5a"/>
        <w:rPr>
          <w:lang w:val="en-AU"/>
        </w:rPr>
      </w:pPr>
      <w:r w:rsidRPr="00A55335">
        <w:rPr>
          <w:lang w:val="en-AU"/>
        </w:rPr>
        <w:t>Explanations</w:t>
      </w:r>
    </w:p>
    <w:p w14:paraId="542DBBDC" w14:textId="3F91F2C5" w:rsidR="00817C15" w:rsidRPr="00A55335" w:rsidRDefault="00DD505D" w:rsidP="00817C15">
      <w:pPr>
        <w:pStyle w:val="Footnote"/>
      </w:pPr>
      <w:r w:rsidRPr="00A55335">
        <w:t xml:space="preserve">a. </w:t>
      </w:r>
      <w:proofErr w:type="gramStart"/>
      <w:r w:rsidR="002E79B7" w:rsidRPr="00A55335">
        <w:t>S</w:t>
      </w:r>
      <w:r w:rsidRPr="00A55335">
        <w:t>erious</w:t>
      </w:r>
      <w:proofErr w:type="gramEnd"/>
      <w:r w:rsidRPr="00A55335">
        <w:t xml:space="preserve"> risk of bias. </w:t>
      </w:r>
      <w:r w:rsidR="002E79B7" w:rsidRPr="00A55335">
        <w:t>O</w:t>
      </w:r>
      <w:r w:rsidRPr="00A55335">
        <w:t xml:space="preserve">ne study </w:t>
      </w:r>
      <w:r w:rsidR="002E79B7" w:rsidRPr="00A55335">
        <w:t xml:space="preserve">contributing 100% </w:t>
      </w:r>
      <w:r w:rsidR="00FD5FBE" w:rsidRPr="00A55335">
        <w:t xml:space="preserve">was at high risk of bias. </w:t>
      </w:r>
      <w:r w:rsidR="00817C15" w:rsidRPr="00A55335">
        <w:t>Certainty of evidence downgraded.</w:t>
      </w:r>
    </w:p>
    <w:p w14:paraId="0606CDBC" w14:textId="6D02728C" w:rsidR="00DD505D" w:rsidRPr="00A55335" w:rsidRDefault="00DD505D" w:rsidP="00817C15">
      <w:pPr>
        <w:pStyle w:val="Footnote"/>
      </w:pPr>
      <w:r w:rsidRPr="00A55335">
        <w:t xml:space="preserve">b. </w:t>
      </w:r>
      <w:r w:rsidR="00817C15" w:rsidRPr="00A55335">
        <w:t>Single study. I</w:t>
      </w:r>
      <w:r w:rsidRPr="00A55335">
        <w:t xml:space="preserve">nconsistency </w:t>
      </w:r>
      <w:r w:rsidR="00817C15" w:rsidRPr="00A55335">
        <w:t>not assessed. Certainty of evidence not downgraded.</w:t>
      </w:r>
    </w:p>
    <w:p w14:paraId="6B742649" w14:textId="6737FCEF" w:rsidR="003C0313" w:rsidRPr="00A55335" w:rsidRDefault="00DD505D" w:rsidP="00EF77FF">
      <w:pPr>
        <w:pStyle w:val="Footnote"/>
      </w:pPr>
      <w:r w:rsidRPr="00A55335">
        <w:t xml:space="preserve">c. </w:t>
      </w:r>
      <w:proofErr w:type="gramStart"/>
      <w:r w:rsidR="00702952" w:rsidRPr="00A55335">
        <w:t>S</w:t>
      </w:r>
      <w:r w:rsidRPr="00A55335">
        <w:t>erious</w:t>
      </w:r>
      <w:proofErr w:type="gramEnd"/>
      <w:r w:rsidRPr="00A55335">
        <w:t xml:space="preserve"> indirectness. </w:t>
      </w:r>
      <w:r w:rsidR="00817C15" w:rsidRPr="00A55335">
        <w:t>The available evidence is in people with</w:t>
      </w:r>
      <w:r w:rsidR="0088054D" w:rsidRPr="00A55335">
        <w:t xml:space="preserve"> mild to moderate psoriasis covering less than 10-15% of the body and may not be</w:t>
      </w:r>
      <w:r w:rsidRPr="00A55335">
        <w:t xml:space="preserve"> generalisable to </w:t>
      </w:r>
      <w:r w:rsidR="000F6EA8" w:rsidRPr="00A55335">
        <w:t>people with severe psoriasis</w:t>
      </w:r>
      <w:r w:rsidR="00633155" w:rsidRPr="00A55335">
        <w:t xml:space="preserve"> </w:t>
      </w:r>
      <w:r w:rsidR="00443E8A" w:rsidRPr="00A55335">
        <w:t>(</w:t>
      </w:r>
      <w:r w:rsidR="00633155" w:rsidRPr="00A55335">
        <w:t>but could be sensibly applied</w:t>
      </w:r>
      <w:r w:rsidR="00443E8A" w:rsidRPr="00A55335">
        <w:t>)</w:t>
      </w:r>
      <w:r w:rsidR="00633155" w:rsidRPr="00A55335">
        <w:t xml:space="preserve">. </w:t>
      </w:r>
      <w:r w:rsidR="00DE1023" w:rsidRPr="00A55335">
        <w:t>The study</w:t>
      </w:r>
      <w:r w:rsidR="003C0313" w:rsidRPr="00A55335">
        <w:t xml:space="preserve"> also </w:t>
      </w:r>
      <w:r w:rsidR="00DE1023" w:rsidRPr="00A55335">
        <w:t xml:space="preserve">uses </w:t>
      </w:r>
      <w:r w:rsidR="003C0313" w:rsidRPr="00A55335">
        <w:t xml:space="preserve">a </w:t>
      </w:r>
      <w:r w:rsidR="00DE1023" w:rsidRPr="00A55335">
        <w:t xml:space="preserve">topical </w:t>
      </w:r>
      <w:r w:rsidR="00B20660" w:rsidRPr="00A55335">
        <w:t>homeopathic intervention</w:t>
      </w:r>
      <w:r w:rsidR="00DE1023" w:rsidRPr="00A55335">
        <w:t xml:space="preserve"> (</w:t>
      </w:r>
      <w:r w:rsidR="00DE1023" w:rsidRPr="00A55335">
        <w:rPr>
          <w:rStyle w:val="Emphasis"/>
        </w:rPr>
        <w:t xml:space="preserve">M. </w:t>
      </w:r>
      <w:proofErr w:type="spellStart"/>
      <w:r w:rsidR="00DE1023" w:rsidRPr="00A55335">
        <w:rPr>
          <w:rStyle w:val="Emphasis"/>
        </w:rPr>
        <w:t>aquifolium</w:t>
      </w:r>
      <w:proofErr w:type="spellEnd"/>
      <w:r w:rsidR="00DE1023" w:rsidRPr="00A55335">
        <w:rPr>
          <w:rStyle w:val="Emphasis"/>
        </w:rPr>
        <w:t xml:space="preserve"> </w:t>
      </w:r>
      <w:r w:rsidR="00DE1023" w:rsidRPr="00A55335">
        <w:t xml:space="preserve">10%) </w:t>
      </w:r>
      <w:r w:rsidR="00D747F0" w:rsidRPr="00A55335">
        <w:t>so applicability to</w:t>
      </w:r>
      <w:r w:rsidR="00F34B3D" w:rsidRPr="00A55335">
        <w:t xml:space="preserve"> </w:t>
      </w:r>
      <w:r w:rsidR="00F22BAD" w:rsidRPr="00A55335">
        <w:t>other modes of administration may be limited.</w:t>
      </w:r>
      <w:r w:rsidRPr="00A55335">
        <w:t xml:space="preserve"> Certainty of evidence downgraded</w:t>
      </w:r>
      <w:r w:rsidR="00F22BAD" w:rsidRPr="00A55335">
        <w:t>.</w:t>
      </w:r>
    </w:p>
    <w:p w14:paraId="3F9F20A7" w14:textId="022FD6CE" w:rsidR="00DD505D" w:rsidRPr="00A55335" w:rsidRDefault="00DD505D" w:rsidP="00AF3D77">
      <w:pPr>
        <w:pStyle w:val="Footnote"/>
      </w:pPr>
      <w:r w:rsidRPr="00A55335">
        <w:t xml:space="preserve">d. </w:t>
      </w:r>
      <w:r w:rsidR="00702952" w:rsidRPr="00A55335">
        <w:t>No s</w:t>
      </w:r>
      <w:r w:rsidRPr="00A55335">
        <w:t>erious imprecision.</w:t>
      </w:r>
      <w:r w:rsidR="00D50AB1" w:rsidRPr="00A55335">
        <w:t xml:space="preserve"> </w:t>
      </w:r>
      <w:r w:rsidRPr="00A55335">
        <w:t xml:space="preserve">Certainty of evidence </w:t>
      </w:r>
      <w:r w:rsidR="00702952" w:rsidRPr="00A55335">
        <w:t xml:space="preserve">not </w:t>
      </w:r>
      <w:r w:rsidRPr="00A55335">
        <w:t xml:space="preserve">downgraded. </w:t>
      </w:r>
    </w:p>
    <w:p w14:paraId="17DCF0BC" w14:textId="0050478D" w:rsidR="00D50AB1" w:rsidRPr="00A55335" w:rsidRDefault="00DD505D" w:rsidP="00AF3D77">
      <w:pPr>
        <w:pStyle w:val="Footnote"/>
      </w:pPr>
      <w:r w:rsidRPr="00A55335">
        <w:t xml:space="preserve">e. Publication bias not </w:t>
      </w:r>
      <w:r w:rsidR="00702952" w:rsidRPr="00A55335">
        <w:t>suspected</w:t>
      </w:r>
      <w:r w:rsidRPr="00A55335">
        <w:t>. Certainty of evidence not downgraded.</w:t>
      </w:r>
    </w:p>
    <w:p w14:paraId="56B4709F" w14:textId="43C0A374" w:rsidR="00DD505D" w:rsidRDefault="00D50AB1" w:rsidP="00AF3D77">
      <w:pPr>
        <w:pStyle w:val="Footnote"/>
      </w:pPr>
      <w:r w:rsidRPr="00A55335">
        <w:t xml:space="preserve">f. </w:t>
      </w:r>
      <w:proofErr w:type="gramStart"/>
      <w:r w:rsidRPr="00A55335">
        <w:t>Serious</w:t>
      </w:r>
      <w:proofErr w:type="gramEnd"/>
      <w:r w:rsidRPr="00A55335">
        <w:t xml:space="preserve"> imprecision. </w:t>
      </w:r>
      <w:r w:rsidR="00036041" w:rsidRPr="00A55335">
        <w:t>Single study with wide confidence intervals (</w:t>
      </w:r>
      <w:r w:rsidR="00FC20A1" w:rsidRPr="00A55335">
        <w:t>upper and lower bounds overlap with important and no important difference). Certainty of evidence downgraded.</w:t>
      </w:r>
    </w:p>
    <w:p w14:paraId="6A8B9575" w14:textId="466AA668" w:rsidR="00A046A8" w:rsidRPr="00A55335" w:rsidRDefault="00A046A8" w:rsidP="00AF3D77">
      <w:pPr>
        <w:pStyle w:val="Footnote"/>
      </w:pPr>
      <w:r>
        <w:lastRenderedPageBreak/>
        <w:t xml:space="preserve">g. </w:t>
      </w:r>
      <w:proofErr w:type="gramStart"/>
      <w:r w:rsidRPr="00A55335">
        <w:t>Serious</w:t>
      </w:r>
      <w:proofErr w:type="gramEnd"/>
      <w:r w:rsidRPr="00A55335">
        <w:t xml:space="preserve"> indirectness. The available evidence is </w:t>
      </w:r>
      <w:r>
        <w:t xml:space="preserve">applicable to the </w:t>
      </w:r>
      <w:r w:rsidR="009443BB">
        <w:t>Australian</w:t>
      </w:r>
      <w:r>
        <w:t xml:space="preserve"> </w:t>
      </w:r>
      <w:r w:rsidR="009443BB">
        <w:t>population with some caveats. T</w:t>
      </w:r>
      <w:r w:rsidRPr="00A55335">
        <w:t>he study uses a topical homeopathic intervention (</w:t>
      </w:r>
      <w:r w:rsidRPr="00A55335">
        <w:rPr>
          <w:rStyle w:val="Emphasis"/>
        </w:rPr>
        <w:t xml:space="preserve">M. </w:t>
      </w:r>
      <w:proofErr w:type="spellStart"/>
      <w:r w:rsidRPr="00A55335">
        <w:rPr>
          <w:rStyle w:val="Emphasis"/>
        </w:rPr>
        <w:t>aquifolium</w:t>
      </w:r>
      <w:proofErr w:type="spellEnd"/>
      <w:r w:rsidRPr="00A55335">
        <w:rPr>
          <w:rStyle w:val="Emphasis"/>
        </w:rPr>
        <w:t xml:space="preserve"> </w:t>
      </w:r>
      <w:r w:rsidRPr="00A55335">
        <w:t>10%) so applicability to other modes of administration may be limited. Certainty of evidence downgraded.</w:t>
      </w:r>
    </w:p>
    <w:p w14:paraId="40A78AB9" w14:textId="3FDB1037" w:rsidR="00AF3D77" w:rsidRPr="00A55335" w:rsidRDefault="006070ED" w:rsidP="00AF3D77">
      <w:pPr>
        <w:pStyle w:val="Heading4"/>
      </w:pPr>
      <w:r w:rsidRPr="00A55335">
        <w:t>Secondary Comparison</w:t>
      </w:r>
      <w:r w:rsidR="00AF3D77" w:rsidRPr="00A55335">
        <w:t xml:space="preserve"> (vs </w:t>
      </w:r>
      <w:r w:rsidR="006352A8" w:rsidRPr="00A55335">
        <w:t xml:space="preserve">inactive </w:t>
      </w:r>
      <w:r w:rsidR="00AF3D77" w:rsidRPr="00A55335">
        <w:t xml:space="preserve">control) </w:t>
      </w:r>
    </w:p>
    <w:p w14:paraId="7681C1EE" w14:textId="4F006FBC" w:rsidR="00AF3D77" w:rsidRPr="00A55335" w:rsidRDefault="00AF3D77" w:rsidP="00AF3D77">
      <w:pPr>
        <w:pStyle w:val="BodyText"/>
      </w:pPr>
      <w:r w:rsidRPr="00A55335">
        <w:t xml:space="preserve">There were no studies identified which compared homeopathy to </w:t>
      </w:r>
      <w:r w:rsidR="006352A8" w:rsidRPr="00A55335">
        <w:t xml:space="preserve">inactive </w:t>
      </w:r>
      <w:r w:rsidRPr="00A55335">
        <w:t>control (no intervention, usual care, or waitlist) in people with psoriasis.</w:t>
      </w:r>
    </w:p>
    <w:p w14:paraId="63516850" w14:textId="77777777" w:rsidR="00DD505D" w:rsidRPr="00A55335" w:rsidRDefault="00DD505D" w:rsidP="004D433B">
      <w:pPr>
        <w:pStyle w:val="Heading3"/>
      </w:pPr>
      <w:bookmarkStart w:id="400" w:name="_Toc183441386"/>
      <w:r w:rsidRPr="00A55335">
        <w:t>Forest plots</w:t>
      </w:r>
      <w:bookmarkEnd w:id="400"/>
    </w:p>
    <w:p w14:paraId="451BBC20" w14:textId="535C3F8C" w:rsidR="00DD505D" w:rsidRPr="00A55335" w:rsidRDefault="00DD505D" w:rsidP="00DD505D">
      <w:pPr>
        <w:pStyle w:val="BodyText"/>
      </w:pPr>
      <w:r w:rsidRPr="00A55335">
        <w:t xml:space="preserve">Outcome results related to </w:t>
      </w:r>
      <w:r w:rsidR="00726EE5" w:rsidRPr="00A55335">
        <w:t>the p</w:t>
      </w:r>
      <w:r w:rsidR="006070ED" w:rsidRPr="00A55335">
        <w:t xml:space="preserve">rimary </w:t>
      </w:r>
      <w:r w:rsidR="00726EE5" w:rsidRPr="00A55335">
        <w:t>c</w:t>
      </w:r>
      <w:r w:rsidR="006070ED" w:rsidRPr="00A55335">
        <w:t>omparison</w:t>
      </w:r>
      <w:r w:rsidR="004A0265" w:rsidRPr="00A55335">
        <w:t xml:space="preserve"> (homeopathy vs </w:t>
      </w:r>
      <w:r w:rsidR="002F0B96" w:rsidRPr="00A55335">
        <w:t xml:space="preserve">placebo) </w:t>
      </w:r>
      <w:r w:rsidRPr="00A55335">
        <w:t xml:space="preserve">in people living with psoriasis are presented in </w:t>
      </w:r>
      <w:r w:rsidRPr="00A55335">
        <w:rPr>
          <w:highlight w:val="yellow"/>
        </w:rPr>
        <w:fldChar w:fldCharType="begin"/>
      </w:r>
      <w:r w:rsidRPr="00A55335">
        <w:instrText xml:space="preserve"> REF _Ref150775406 \h </w:instrText>
      </w:r>
      <w:r w:rsidRPr="00A55335">
        <w:rPr>
          <w:highlight w:val="yellow"/>
        </w:rPr>
      </w:r>
      <w:r w:rsidRPr="00A55335">
        <w:rPr>
          <w:highlight w:val="yellow"/>
        </w:rPr>
        <w:fldChar w:fldCharType="separate"/>
      </w:r>
      <w:r w:rsidR="00814B04" w:rsidRPr="00A55335">
        <w:t xml:space="preserve">Figure </w:t>
      </w:r>
      <w:r w:rsidR="00814B04">
        <w:rPr>
          <w:noProof/>
        </w:rPr>
        <w:t>69</w:t>
      </w:r>
      <w:r w:rsidRPr="00A55335">
        <w:rPr>
          <w:highlight w:val="yellow"/>
        </w:rPr>
        <w:fldChar w:fldCharType="end"/>
      </w:r>
      <w:r w:rsidR="002F0B96" w:rsidRPr="00A55335">
        <w:t xml:space="preserve"> (disease severity)</w:t>
      </w:r>
      <w:r w:rsidR="0015323D" w:rsidRPr="00A55335">
        <w:t xml:space="preserve">, </w:t>
      </w:r>
      <w:r w:rsidR="0015323D" w:rsidRPr="00A55335">
        <w:fldChar w:fldCharType="begin"/>
      </w:r>
      <w:r w:rsidR="0015323D" w:rsidRPr="00A55335">
        <w:instrText xml:space="preserve"> REF _Ref153797777 \h </w:instrText>
      </w:r>
      <w:r w:rsidR="0015323D" w:rsidRPr="00A55335">
        <w:fldChar w:fldCharType="separate"/>
      </w:r>
      <w:r w:rsidR="00814B04" w:rsidRPr="00A55335">
        <w:t xml:space="preserve">Figure </w:t>
      </w:r>
      <w:r w:rsidR="00814B04">
        <w:rPr>
          <w:noProof/>
        </w:rPr>
        <w:t>70</w:t>
      </w:r>
      <w:r w:rsidR="0015323D" w:rsidRPr="00A55335">
        <w:fldChar w:fldCharType="end"/>
      </w:r>
      <w:r w:rsidR="0015323D" w:rsidRPr="00A55335">
        <w:t xml:space="preserve"> (</w:t>
      </w:r>
      <w:r w:rsidR="000347A8" w:rsidRPr="00A55335">
        <w:t xml:space="preserve">symptom </w:t>
      </w:r>
      <w:r w:rsidR="0015323D" w:rsidRPr="00A55335">
        <w:t>improvement)</w:t>
      </w:r>
      <w:r w:rsidR="002F0B96" w:rsidRPr="00A55335">
        <w:t xml:space="preserve"> and </w:t>
      </w:r>
      <w:r w:rsidR="004A0265" w:rsidRPr="00A55335">
        <w:rPr>
          <w:highlight w:val="yellow"/>
        </w:rPr>
        <w:fldChar w:fldCharType="begin"/>
      </w:r>
      <w:r w:rsidR="004A0265" w:rsidRPr="00A55335">
        <w:instrText xml:space="preserve"> REF _Ref150775423 \h </w:instrText>
      </w:r>
      <w:r w:rsidR="004A0265" w:rsidRPr="00A55335">
        <w:rPr>
          <w:highlight w:val="yellow"/>
        </w:rPr>
      </w:r>
      <w:r w:rsidR="004A0265" w:rsidRPr="00A55335">
        <w:rPr>
          <w:highlight w:val="yellow"/>
        </w:rPr>
        <w:fldChar w:fldCharType="separate"/>
      </w:r>
      <w:r w:rsidR="00814B04" w:rsidRPr="00A55335">
        <w:t xml:space="preserve">Figure </w:t>
      </w:r>
      <w:r w:rsidR="00814B04">
        <w:rPr>
          <w:noProof/>
        </w:rPr>
        <w:t>71</w:t>
      </w:r>
      <w:r w:rsidR="004A0265" w:rsidRPr="00A55335">
        <w:rPr>
          <w:highlight w:val="yellow"/>
        </w:rPr>
        <w:fldChar w:fldCharType="end"/>
      </w:r>
      <w:r w:rsidR="002F0B96" w:rsidRPr="00A55335">
        <w:t xml:space="preserve"> (quality of life)</w:t>
      </w:r>
      <w:r w:rsidR="004A0265" w:rsidRPr="00A55335">
        <w:t>.</w:t>
      </w:r>
    </w:p>
    <w:p w14:paraId="540CE327" w14:textId="5BC88805" w:rsidR="00DD505D" w:rsidRPr="00A55335" w:rsidRDefault="00DD505D" w:rsidP="00DD505D">
      <w:pPr>
        <w:pStyle w:val="Caption"/>
      </w:pPr>
      <w:bookmarkStart w:id="401" w:name="_Ref150775406"/>
      <w:bookmarkStart w:id="402" w:name="_Toc183520342"/>
      <w:r w:rsidRPr="00A55335">
        <w:t xml:space="preserve">Figure </w:t>
      </w:r>
      <w:r w:rsidRPr="00A55335">
        <w:fldChar w:fldCharType="begin"/>
      </w:r>
      <w:r w:rsidRPr="00A55335">
        <w:instrText xml:space="preserve"> SEQ Figure \* ARABIC </w:instrText>
      </w:r>
      <w:r w:rsidRPr="00A55335">
        <w:fldChar w:fldCharType="separate"/>
      </w:r>
      <w:r w:rsidR="00814B04">
        <w:rPr>
          <w:noProof/>
        </w:rPr>
        <w:t>69</w:t>
      </w:r>
      <w:r w:rsidRPr="00A55335">
        <w:fldChar w:fldCharType="end"/>
      </w:r>
      <w:bookmarkEnd w:id="401"/>
      <w:r w:rsidR="004A0265" w:rsidRPr="00A55335">
        <w:tab/>
      </w:r>
      <w:r w:rsidRPr="00A55335">
        <w:t xml:space="preserve">Forest plot of </w:t>
      </w:r>
      <w:r w:rsidR="001C29DB" w:rsidRPr="00A55335">
        <w:t xml:space="preserve">primary </w:t>
      </w:r>
      <w:r w:rsidRPr="00A55335">
        <w:t xml:space="preserve">comparison: Homeopathy vs placebo: </w:t>
      </w:r>
      <w:r w:rsidR="00B324AE" w:rsidRPr="00A55335">
        <w:t>P</w:t>
      </w:r>
      <w:r w:rsidRPr="00A55335">
        <w:t xml:space="preserve">soriasis </w:t>
      </w:r>
      <w:r w:rsidR="00B324AE" w:rsidRPr="00A55335">
        <w:t xml:space="preserve">– disease </w:t>
      </w:r>
      <w:r w:rsidRPr="00A55335">
        <w:t>severity</w:t>
      </w:r>
      <w:bookmarkEnd w:id="402"/>
    </w:p>
    <w:p w14:paraId="0116669E" w14:textId="536B6AAD" w:rsidR="00E25C7B" w:rsidRPr="00A55335" w:rsidRDefault="00E25C7B" w:rsidP="00E25C7B">
      <w:pPr>
        <w:pStyle w:val="Pic"/>
      </w:pPr>
      <w:r w:rsidRPr="00A55335">
        <w:rPr>
          <w:noProof/>
        </w:rPr>
        <w:drawing>
          <wp:inline distT="0" distB="0" distL="0" distR="0" wp14:anchorId="5AE8604A" wp14:editId="7E0D6E23">
            <wp:extent cx="5988610" cy="2765145"/>
            <wp:effectExtent l="0" t="0" r="0" b="0"/>
            <wp:docPr id="961751185" name="Picture 96175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04015" cy="2772258"/>
                    </a:xfrm>
                    <a:prstGeom prst="rect">
                      <a:avLst/>
                    </a:prstGeom>
                    <a:noFill/>
                    <a:ln>
                      <a:noFill/>
                    </a:ln>
                  </pic:spPr>
                </pic:pic>
              </a:graphicData>
            </a:graphic>
          </wp:inline>
        </w:drawing>
      </w:r>
    </w:p>
    <w:p w14:paraId="26EAC2E1" w14:textId="77777777" w:rsidR="0015323D" w:rsidRPr="00A55335" w:rsidRDefault="0015323D" w:rsidP="0015323D">
      <w:pPr>
        <w:pStyle w:val="TableFigNotes18"/>
      </w:pPr>
    </w:p>
    <w:p w14:paraId="5E51409F" w14:textId="73659D6F" w:rsidR="0015323D" w:rsidRPr="00A55335" w:rsidRDefault="0015323D" w:rsidP="0015323D">
      <w:pPr>
        <w:pStyle w:val="Caption"/>
      </w:pPr>
      <w:bookmarkStart w:id="403" w:name="_Ref153797777"/>
      <w:bookmarkStart w:id="404" w:name="_Toc183520343"/>
      <w:r w:rsidRPr="00A55335">
        <w:t xml:space="preserve">Figure </w:t>
      </w:r>
      <w:r w:rsidRPr="00A55335">
        <w:fldChar w:fldCharType="begin"/>
      </w:r>
      <w:r w:rsidRPr="00A55335">
        <w:instrText xml:space="preserve"> SEQ Figure \* ARABIC </w:instrText>
      </w:r>
      <w:r w:rsidRPr="00A55335">
        <w:fldChar w:fldCharType="separate"/>
      </w:r>
      <w:r w:rsidR="00814B04">
        <w:rPr>
          <w:noProof/>
        </w:rPr>
        <w:t>70</w:t>
      </w:r>
      <w:r w:rsidRPr="00A55335">
        <w:fldChar w:fldCharType="end"/>
      </w:r>
      <w:bookmarkEnd w:id="403"/>
      <w:r w:rsidRPr="00A55335">
        <w:tab/>
        <w:t xml:space="preserve">Forest plot of </w:t>
      </w:r>
      <w:r w:rsidR="001C29DB" w:rsidRPr="00A55335">
        <w:t xml:space="preserve">primary </w:t>
      </w:r>
      <w:r w:rsidRPr="00A55335">
        <w:t>comparison: Homeopathy vs placebo: Psoriasis – symptom improvement</w:t>
      </w:r>
    </w:p>
    <w:bookmarkEnd w:id="404"/>
    <w:p w14:paraId="2AB2D8B3" w14:textId="2A301D3A" w:rsidR="00E25C7B" w:rsidRPr="00A55335" w:rsidRDefault="00E25C7B" w:rsidP="00E25C7B">
      <w:pPr>
        <w:pStyle w:val="Pic"/>
      </w:pPr>
      <w:r w:rsidRPr="00A55335">
        <w:rPr>
          <w:noProof/>
        </w:rPr>
        <w:drawing>
          <wp:inline distT="0" distB="0" distL="0" distR="0" wp14:anchorId="12DDF784" wp14:editId="347E15B8">
            <wp:extent cx="6091417" cy="2170716"/>
            <wp:effectExtent l="0" t="0" r="5080" b="1270"/>
            <wp:docPr id="911561703" name="Picture 91156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33066" cy="2185558"/>
                    </a:xfrm>
                    <a:prstGeom prst="rect">
                      <a:avLst/>
                    </a:prstGeom>
                    <a:noFill/>
                    <a:ln>
                      <a:noFill/>
                    </a:ln>
                  </pic:spPr>
                </pic:pic>
              </a:graphicData>
            </a:graphic>
          </wp:inline>
        </w:drawing>
      </w:r>
    </w:p>
    <w:p w14:paraId="05D90D71" w14:textId="77777777" w:rsidR="00E25C7B" w:rsidRPr="00A55335" w:rsidRDefault="00E25C7B" w:rsidP="00E25C7B">
      <w:pPr>
        <w:pStyle w:val="TableFigNotes18"/>
      </w:pPr>
    </w:p>
    <w:p w14:paraId="3A381432" w14:textId="652A9FF2" w:rsidR="00DD505D" w:rsidRPr="00A55335" w:rsidRDefault="00DD505D" w:rsidP="00DD505D">
      <w:pPr>
        <w:pStyle w:val="Caption"/>
      </w:pPr>
      <w:bookmarkStart w:id="405" w:name="_Ref150775423"/>
      <w:bookmarkStart w:id="406" w:name="_Toc183520344"/>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71</w:t>
      </w:r>
      <w:r w:rsidRPr="00A55335">
        <w:fldChar w:fldCharType="end"/>
      </w:r>
      <w:bookmarkEnd w:id="405"/>
      <w:r w:rsidRPr="00A55335">
        <w:t xml:space="preserve">  Forest plot of </w:t>
      </w:r>
      <w:r w:rsidR="001C29DB" w:rsidRPr="00A55335">
        <w:t xml:space="preserve">primary </w:t>
      </w:r>
      <w:r w:rsidRPr="00A55335">
        <w:t xml:space="preserve">comparison: Homeopathy vs placebo: </w:t>
      </w:r>
      <w:r w:rsidR="009C3B68" w:rsidRPr="00A55335">
        <w:t xml:space="preserve">Psoriasis – </w:t>
      </w:r>
      <w:r w:rsidRPr="00A55335">
        <w:t>quality of life</w:t>
      </w:r>
      <w:bookmarkEnd w:id="406"/>
    </w:p>
    <w:p w14:paraId="5FB33CBF" w14:textId="7A2E47C5" w:rsidR="00E25C7B" w:rsidRPr="00A55335" w:rsidRDefault="00E25C7B" w:rsidP="00E25C7B">
      <w:pPr>
        <w:pStyle w:val="Pic"/>
      </w:pPr>
      <w:r w:rsidRPr="00A55335">
        <w:rPr>
          <w:noProof/>
        </w:rPr>
        <w:drawing>
          <wp:inline distT="0" distB="0" distL="0" distR="0" wp14:anchorId="5C844F58" wp14:editId="6DF806C9">
            <wp:extent cx="6067269" cy="2775006"/>
            <wp:effectExtent l="0" t="0" r="0" b="6350"/>
            <wp:docPr id="808659111" name="Picture 80865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2255" cy="2781860"/>
                    </a:xfrm>
                    <a:prstGeom prst="rect">
                      <a:avLst/>
                    </a:prstGeom>
                    <a:noFill/>
                    <a:ln>
                      <a:noFill/>
                    </a:ln>
                  </pic:spPr>
                </pic:pic>
              </a:graphicData>
            </a:graphic>
          </wp:inline>
        </w:drawing>
      </w:r>
    </w:p>
    <w:p w14:paraId="4CDAE898" w14:textId="77777777" w:rsidR="006B4856" w:rsidRPr="00A55335" w:rsidRDefault="006B4856" w:rsidP="006B4856">
      <w:pPr>
        <w:pStyle w:val="TableFigNotes18"/>
      </w:pPr>
    </w:p>
    <w:p w14:paraId="30A418B6" w14:textId="2254D988" w:rsidR="00F00A71" w:rsidRPr="00A55335" w:rsidRDefault="00F00A71" w:rsidP="002456F7">
      <w:pPr>
        <w:pStyle w:val="BodyText"/>
      </w:pPr>
      <w:r w:rsidRPr="00A55335">
        <w:br w:type="page"/>
      </w:r>
    </w:p>
    <w:p w14:paraId="21563C26" w14:textId="2C63282B" w:rsidR="00DD505D" w:rsidRPr="00A55335" w:rsidRDefault="00DD505D" w:rsidP="00C373A2">
      <w:pPr>
        <w:pStyle w:val="Heading2"/>
      </w:pPr>
      <w:bookmarkStart w:id="407" w:name="_Toc183441387"/>
      <w:r w:rsidRPr="00A55335">
        <w:lastRenderedPageBreak/>
        <w:t>Arthr</w:t>
      </w:r>
      <w:r w:rsidR="00822D21" w:rsidRPr="00A55335">
        <w:t>opathies</w:t>
      </w:r>
      <w:bookmarkEnd w:id="407"/>
      <w:r w:rsidRPr="00A55335">
        <w:t xml:space="preserve"> </w:t>
      </w:r>
    </w:p>
    <w:p w14:paraId="044E4C7C" w14:textId="77777777" w:rsidR="00DD505D" w:rsidRPr="00A55335" w:rsidRDefault="00DD505D" w:rsidP="004D433B">
      <w:pPr>
        <w:pStyle w:val="Heading3"/>
      </w:pPr>
      <w:bookmarkStart w:id="408" w:name="_Toc183441388"/>
      <w:r w:rsidRPr="00A55335">
        <w:t>Description of the condition</w:t>
      </w:r>
      <w:bookmarkEnd w:id="408"/>
    </w:p>
    <w:p w14:paraId="4AD8D9E2" w14:textId="77777777" w:rsidR="00DD505D" w:rsidRPr="00A55335" w:rsidRDefault="00DD505D" w:rsidP="00292CDE">
      <w:pPr>
        <w:pStyle w:val="Heading4"/>
      </w:pPr>
      <w:bookmarkStart w:id="409" w:name="_Ref129689046"/>
      <w:r w:rsidRPr="00A55335">
        <w:t>Osteoarthritis</w:t>
      </w:r>
      <w:bookmarkEnd w:id="409"/>
    </w:p>
    <w:p w14:paraId="7C2B8CB6" w14:textId="108C4182" w:rsidR="00DD505D" w:rsidRPr="00A55335" w:rsidRDefault="00DD505D" w:rsidP="00DD505D">
      <w:pPr>
        <w:pStyle w:val="BodyText"/>
      </w:pPr>
      <w:r w:rsidRPr="00A55335">
        <w:t>Osteoarthritis (OA) is a chronic disease that primarily impacts the articular cartilage and the subchondral bone of a synovial joint</w:t>
      </w:r>
      <w:r w:rsidR="00673860" w:rsidRPr="00A55335">
        <w:t>,</w:t>
      </w:r>
      <w:r w:rsidRPr="00A55335">
        <w:t xml:space="preserve"> eventually result</w:t>
      </w:r>
      <w:r w:rsidR="00275900" w:rsidRPr="00A55335">
        <w:t>ing</w:t>
      </w:r>
      <w:r w:rsidRPr="00A55335">
        <w:t xml:space="preserve"> in joint failure </w:t>
      </w:r>
      <w:r w:rsidRPr="00A55335">
        <w:fldChar w:fldCharType="begin">
          <w:fldData xml:space="preserve">PEVuZE5vdGU+PENpdGU+PEF1dGhvcj5GcmFuc2VuPC9BdXRob3I+PFllYXI+MjAxNTwvWWVhcj48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</w:fldData>
        </w:fldChar>
      </w:r>
      <w:r w:rsidR="00EC2769">
        <w:instrText xml:space="preserve"> ADDIN EN.CITE </w:instrText>
      </w:r>
      <w:r w:rsidR="00EC2769">
        <w:fldChar w:fldCharType="begin">
          <w:fldData xml:space="preserve">PEVuZE5vdGU+PENpdGU+PEF1dGhvcj5GcmFuc2VuPC9BdXRob3I+PFllYXI+MjAxNTwvWWVhcj48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</w:fldData>
        </w:fldChar>
      </w:r>
      <w:r w:rsidR="00EC2769">
        <w:instrText xml:space="preserve"> ADDIN EN.CITE.DATA </w:instrText>
      </w:r>
      <w:r w:rsidR="00EC2769">
        <w:fldChar w:fldCharType="end"/>
      </w:r>
      <w:r w:rsidRPr="00A55335">
        <w:fldChar w:fldCharType="separate"/>
      </w:r>
      <w:r w:rsidR="00EC2769">
        <w:rPr>
          <w:noProof/>
        </w:rPr>
        <w:t>(</w:t>
      </w:r>
      <w:hyperlink w:anchor="_ENREF_259" w:tooltip="Fransen, 2015 #439" w:history="1">
        <w:r w:rsidR="00EC2769">
          <w:rPr>
            <w:noProof/>
          </w:rPr>
          <w:t>259</w:t>
        </w:r>
      </w:hyperlink>
      <w:r w:rsidR="00EC2769">
        <w:rPr>
          <w:noProof/>
        </w:rPr>
        <w:t>)</w:t>
      </w:r>
      <w:r w:rsidRPr="00A55335">
        <w:fldChar w:fldCharType="end"/>
      </w:r>
      <w:r w:rsidRPr="00A55335">
        <w:t xml:space="preserve">. Individuals with OA experience joint pain, stiffness and swelling </w:t>
      </w:r>
      <w:r w:rsidR="00275900" w:rsidRPr="00A55335">
        <w:t>that</w:t>
      </w:r>
      <w:r w:rsidRPr="00A55335">
        <w:t xml:space="preserve"> mainly affects the hands, knees and hips </w:t>
      </w:r>
      <w:r w:rsidRPr="00A55335">
        <w:fldChar w:fldCharType="begin"/>
      </w:r>
      <w:r w:rsidR="00EC2769">
        <w:instrText xml:space="preserve"> ADDIN EN.CITE &lt;EndNote&gt;&lt;Cite&gt;&lt;Author&gt;The Royal Australian College of General Practitioners&lt;/Author&gt;&lt;Year&gt;2018&lt;/Year&gt;&lt;RecNum&gt;440&lt;/RecNum&gt;&lt;DisplayText&gt;(260)&lt;/DisplayText&gt;&lt;record&gt;&lt;rec-number&gt;440&lt;/rec-number&gt;&lt;foreign-keys&gt;&lt;key app="EN" db-id="t5prptatr9sp0we5exbxt9zz20fwp55tdza9" timestamp="1700774034"&gt;440&lt;/key&gt;&lt;/foreign-keys&gt;&lt;ref-type name="Government Document"&gt;46&lt;/ref-type&gt;&lt;contributors&gt;&lt;authors&gt;&lt;author&gt;The Royal Australian College of General Practitioners,&lt;/author&gt;&lt;/authors&gt;&lt;/contributors&gt;&lt;titles&gt;&lt;title&gt; Guideline for the management of knee and hip osteoarthritis&lt;/title&gt;&lt;/titles&gt;&lt;number&gt;2nd edn&lt;/number&gt;&lt;dates&gt;&lt;year&gt;2018&lt;/year&gt;&lt;/dates&gt;&lt;pub-location&gt;East Melbourne, Victoria&lt;/pub-location&gt;&lt;publisher&gt;RACGP&lt;/publisher&gt;&lt;urls&gt;&lt;/urls&gt;&lt;/record&gt;&lt;/Cite&gt;&lt;/EndNote&gt;</w:instrText>
      </w:r>
      <w:r w:rsidRPr="00A55335">
        <w:fldChar w:fldCharType="separate"/>
      </w:r>
      <w:r w:rsidR="00EC2769">
        <w:rPr>
          <w:noProof/>
        </w:rPr>
        <w:t>(</w:t>
      </w:r>
      <w:hyperlink w:anchor="_ENREF_260" w:tooltip="The Royal Australian College of General Practitioners, 2018 #440" w:history="1">
        <w:r w:rsidR="00EC2769">
          <w:rPr>
            <w:noProof/>
          </w:rPr>
          <w:t>260</w:t>
        </w:r>
      </w:hyperlink>
      <w:r w:rsidR="00EC2769">
        <w:rPr>
          <w:noProof/>
        </w:rPr>
        <w:t>)</w:t>
      </w:r>
      <w:r w:rsidRPr="00A55335">
        <w:fldChar w:fldCharType="end"/>
      </w:r>
      <w:r w:rsidRPr="00A55335">
        <w:t xml:space="preserve">. As OA progresses it can impact a person’s quality of life as it becomes difficult to perform everyday tasks </w:t>
      </w:r>
      <w:r w:rsidRPr="00A55335">
        <w:fldChar w:fldCharType="begin"/>
      </w:r>
      <w:r w:rsidR="00EC2769">
        <w:instrText xml:space="preserve"> ADDIN EN.CITE &lt;EndNote&gt;&lt;Cite&gt;&lt;Author&gt;The Royal Australian College of General Practitioners&lt;/Author&gt;&lt;Year&gt;2018&lt;/Year&gt;&lt;RecNum&gt;440&lt;/RecNum&gt;&lt;DisplayText&gt;(260)&lt;/DisplayText&gt;&lt;record&gt;&lt;rec-number&gt;440&lt;/rec-number&gt;&lt;foreign-keys&gt;&lt;key app="EN" db-id="t5prptatr9sp0we5exbxt9zz20fwp55tdza9" timestamp="1700774034"&gt;440&lt;/key&gt;&lt;/foreign-keys&gt;&lt;ref-type name="Government Document"&gt;46&lt;/ref-type&gt;&lt;contributors&gt;&lt;authors&gt;&lt;author&gt;The Royal Australian College of General Practitioners,&lt;/author&gt;&lt;/authors&gt;&lt;/contributors&gt;&lt;titles&gt;&lt;title&gt; Guideline for the management of knee and hip osteoarthritis&lt;/title&gt;&lt;/titles&gt;&lt;number&gt;2nd edn&lt;/number&gt;&lt;dates&gt;&lt;year&gt;2018&lt;/year&gt;&lt;/dates&gt;&lt;pub-location&gt;East Melbourne, Victoria&lt;/pub-location&gt;&lt;publisher&gt;RACGP&lt;/publisher&gt;&lt;urls&gt;&lt;/urls&gt;&lt;/record&gt;&lt;/Cite&gt;&lt;/EndNote&gt;</w:instrText>
      </w:r>
      <w:r w:rsidRPr="00A55335">
        <w:fldChar w:fldCharType="separate"/>
      </w:r>
      <w:r w:rsidR="00EC2769">
        <w:rPr>
          <w:noProof/>
        </w:rPr>
        <w:t>(</w:t>
      </w:r>
      <w:hyperlink w:anchor="_ENREF_260" w:tooltip="The Royal Australian College of General Practitioners, 2018 #440" w:history="1">
        <w:r w:rsidR="00EC2769">
          <w:rPr>
            <w:noProof/>
          </w:rPr>
          <w:t>260</w:t>
        </w:r>
      </w:hyperlink>
      <w:r w:rsidR="00EC2769">
        <w:rPr>
          <w:noProof/>
        </w:rPr>
        <w:t>)</w:t>
      </w:r>
      <w:r w:rsidRPr="00A55335">
        <w:fldChar w:fldCharType="end"/>
      </w:r>
      <w:r w:rsidRPr="00A55335">
        <w:t xml:space="preserve">. </w:t>
      </w:r>
    </w:p>
    <w:p w14:paraId="2DC22B9D" w14:textId="4E9D127C" w:rsidR="00DD505D" w:rsidRPr="00A55335" w:rsidRDefault="00DD505D" w:rsidP="00DD505D">
      <w:pPr>
        <w:pStyle w:val="BodyText"/>
      </w:pPr>
      <w:r w:rsidRPr="00A55335">
        <w:t xml:space="preserve">OA is the most common form of arthritis in Australia, with a 2017-18 survey </w:t>
      </w:r>
      <w:r w:rsidR="00FF67FD" w:rsidRPr="00A55335">
        <w:t>suggesting</w:t>
      </w:r>
      <w:r w:rsidRPr="00A55335">
        <w:t xml:space="preserve"> an estimated 2.2 million (9.3%) Australians are living with OA </w:t>
      </w:r>
      <w:r w:rsidRPr="00A55335">
        <w:fldChar w:fldCharType="begin">
          <w:fldData xml:space="preserve">PEVuZE5vdGU+PENpdGU+PEF1dGhvcj5GcmFuc2VuPC9BdXRob3I+PFllYXI+MjAxNTwvWWVhcj48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</w:fldData>
        </w:fldChar>
      </w:r>
      <w:r w:rsidR="00EC2769">
        <w:instrText xml:space="preserve"> ADDIN EN.CITE </w:instrText>
      </w:r>
      <w:r w:rsidR="00EC2769">
        <w:fldChar w:fldCharType="begin">
          <w:fldData xml:space="preserve">PEVuZE5vdGU+PENpdGU+PEF1dGhvcj5GcmFuc2VuPC9BdXRob3I+PFllYXI+MjAxNTwvWWVhcj48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</w:fldData>
        </w:fldChar>
      </w:r>
      <w:r w:rsidR="00EC2769">
        <w:instrText xml:space="preserve"> ADDIN EN.CITE.DATA </w:instrText>
      </w:r>
      <w:r w:rsidR="00EC2769">
        <w:fldChar w:fldCharType="end"/>
      </w:r>
      <w:r w:rsidRPr="00A55335">
        <w:fldChar w:fldCharType="separate"/>
      </w:r>
      <w:r w:rsidR="00EC2769">
        <w:rPr>
          <w:noProof/>
        </w:rPr>
        <w:t>(</w:t>
      </w:r>
      <w:hyperlink w:anchor="_ENREF_259" w:tooltip="Fransen, 2015 #439" w:history="1">
        <w:r w:rsidR="00EC2769">
          <w:rPr>
            <w:noProof/>
          </w:rPr>
          <w:t>259-261</w:t>
        </w:r>
      </w:hyperlink>
      <w:r w:rsidR="00EC2769">
        <w:rPr>
          <w:noProof/>
        </w:rPr>
        <w:t>)</w:t>
      </w:r>
      <w:r w:rsidRPr="00A55335">
        <w:fldChar w:fldCharType="end"/>
      </w:r>
      <w:r w:rsidRPr="00A55335">
        <w:t xml:space="preserve">. There is no specific </w:t>
      </w:r>
      <w:r w:rsidR="00862DC4" w:rsidRPr="00A55335">
        <w:t xml:space="preserve">known </w:t>
      </w:r>
      <w:r w:rsidRPr="00A55335">
        <w:t xml:space="preserve">cause </w:t>
      </w:r>
      <w:r w:rsidR="00862DC4" w:rsidRPr="00A55335">
        <w:t xml:space="preserve">for </w:t>
      </w:r>
      <w:r w:rsidRPr="00A55335">
        <w:t xml:space="preserve">OA, however several factors contribute to the onset and progression of disease, including being female, overweight or obese. Although younger people can be affected, it most frequently occurs in people aged over 55 years with over one third of all adults aged 75 years or older experiencing this condition </w:t>
      </w:r>
      <w:r w:rsidRPr="00A55335">
        <w:fldChar w:fldCharType="begin"/>
      </w:r>
      <w:r w:rsidR="00EC2769">
        <w:instrText xml:space="preserve"> ADDIN EN.CITE &lt;EndNote&gt;&lt;Cite&gt;&lt;Author&gt;Australian Institute of Health and Welfare&lt;/Author&gt;&lt;Year&gt;2020&lt;/Year&gt;&lt;RecNum&gt;441&lt;/RecNum&gt;&lt;DisplayText&gt;(260, 261)&lt;/DisplayText&gt;&lt;record&gt;&lt;rec-number&gt;441&lt;/rec-number&gt;&lt;foreign-keys&gt;&lt;key app="EN" db-id="t5prptatr9sp0we5exbxt9zz20fwp55tdza9" timestamp="1700774034"&gt;441&lt;/key&gt;&lt;/foreign-keys&gt;&lt;ref-type name="Electronic Article"&gt;43&lt;/ref-type&gt;&lt;contributors&gt;&lt;authors&gt;&lt;author&gt;Australian Institute of Health and Welfare,&lt;/author&gt;&lt;/authors&gt;&lt;/contributors&gt;&lt;titles&gt;&lt;title&gt;Osteoarthritis &lt;/title&gt;&lt;/titles&gt;&lt;dates&gt;&lt;year&gt;2020&lt;/year&gt;&lt;/dates&gt;&lt;pub-location&gt;Canberra&lt;/pub-location&gt;&lt;urls&gt;&lt;related-urls&gt;&lt;url&gt;https://www.aihw.gov.au/reports/chronic-musculoskeletal-conditions/osteoarthritis&lt;/url&gt;&lt;/related-urls&gt;&lt;/urls&gt;&lt;/record&gt;&lt;/Cite&gt;&lt;Cite&gt;&lt;Author&gt;The Royal Australian College of General Practitioners&lt;/Author&gt;&lt;Year&gt;2018&lt;/Year&gt;&lt;RecNum&gt;440&lt;/RecNum&gt;&lt;record&gt;&lt;rec-number&gt;440&lt;/rec-number&gt;&lt;foreign-keys&gt;&lt;key app="EN" db-id="t5prptatr9sp0we5exbxt9zz20fwp55tdza9" timestamp="1700774034"&gt;440&lt;/key&gt;&lt;/foreign-keys&gt;&lt;ref-type name="Government Document"&gt;46&lt;/ref-type&gt;&lt;contributors&gt;&lt;authors&gt;&lt;author&gt;The Royal Australian College of General Practitioners,&lt;/author&gt;&lt;/authors&gt;&lt;/contributors&gt;&lt;titles&gt;&lt;title&gt; Guideline for the management of knee and hip osteoarthritis&lt;/title&gt;&lt;/titles&gt;&lt;number&gt;2nd edn&lt;/number&gt;&lt;dates&gt;&lt;year&gt;2018&lt;/year&gt;&lt;/dates&gt;&lt;pub-location&gt;East Melbourne, Victoria&lt;/pub-location&gt;&lt;publisher&gt;RACGP&lt;/publisher&gt;&lt;urls&gt;&lt;/urls&gt;&lt;/record&gt;&lt;/Cite&gt;&lt;/EndNote&gt;</w:instrText>
      </w:r>
      <w:r w:rsidRPr="00A55335">
        <w:fldChar w:fldCharType="separate"/>
      </w:r>
      <w:r w:rsidR="00EC2769">
        <w:rPr>
          <w:noProof/>
        </w:rPr>
        <w:t>(</w:t>
      </w:r>
      <w:hyperlink w:anchor="_ENREF_260" w:tooltip="The Royal Australian College of General Practitioners, 2018 #440" w:history="1">
        <w:r w:rsidR="00EC2769">
          <w:rPr>
            <w:noProof/>
          </w:rPr>
          <w:t>260</w:t>
        </w:r>
      </w:hyperlink>
      <w:r w:rsidR="00EC2769">
        <w:rPr>
          <w:noProof/>
        </w:rPr>
        <w:t xml:space="preserve">, </w:t>
      </w:r>
      <w:hyperlink w:anchor="_ENREF_261" w:tooltip="Australian Institute of Health and Welfare, 2020 #441" w:history="1">
        <w:r w:rsidR="00EC2769">
          <w:rPr>
            <w:noProof/>
          </w:rPr>
          <w:t>261</w:t>
        </w:r>
      </w:hyperlink>
      <w:r w:rsidR="00EC2769">
        <w:rPr>
          <w:noProof/>
        </w:rPr>
        <w:t>)</w:t>
      </w:r>
      <w:r w:rsidRPr="00A55335">
        <w:fldChar w:fldCharType="end"/>
      </w:r>
      <w:r w:rsidRPr="00A55335">
        <w:t xml:space="preserve">. There is no cure for OA </w:t>
      </w:r>
      <w:r w:rsidRPr="00A55335">
        <w:fldChar w:fldCharType="begin"/>
      </w:r>
      <w:r w:rsidR="00EC2769">
        <w:instrText xml:space="preserve"> ADDIN EN.CITE &lt;EndNote&gt;&lt;Cite&gt;&lt;Author&gt;Australian Institute of Health and Welfare&lt;/Author&gt;&lt;Year&gt;2020&lt;/Year&gt;&lt;RecNum&gt;441&lt;/RecNum&gt;&lt;DisplayText&gt;(261)&lt;/DisplayText&gt;&lt;record&gt;&lt;rec-number&gt;441&lt;/rec-number&gt;&lt;foreign-keys&gt;&lt;key app="EN" db-id="t5prptatr9sp0we5exbxt9zz20fwp55tdza9" timestamp="1700774034"&gt;441&lt;/key&gt;&lt;/foreign-keys&gt;&lt;ref-type name="Electronic Article"&gt;43&lt;/ref-type&gt;&lt;contributors&gt;&lt;authors&gt;&lt;author&gt;Australian Institute of Health and Welfare,&lt;/author&gt;&lt;/authors&gt;&lt;/contributors&gt;&lt;titles&gt;&lt;title&gt;Osteoarthritis &lt;/title&gt;&lt;/titles&gt;&lt;dates&gt;&lt;year&gt;2020&lt;/year&gt;&lt;/dates&gt;&lt;pub-location&gt;Canberra&lt;/pub-location&gt;&lt;urls&gt;&lt;related-urls&gt;&lt;url&gt;https://www.aihw.gov.au/reports/chronic-musculoskeletal-conditions/osteoarthritis&lt;/url&gt;&lt;/related-urls&gt;&lt;/urls&gt;&lt;/record&gt;&lt;/Cite&gt;&lt;/EndNote&gt;</w:instrText>
      </w:r>
      <w:r w:rsidRPr="00A55335">
        <w:fldChar w:fldCharType="separate"/>
      </w:r>
      <w:r w:rsidR="00EC2769">
        <w:rPr>
          <w:noProof/>
        </w:rPr>
        <w:t>(</w:t>
      </w:r>
      <w:hyperlink w:anchor="_ENREF_261" w:tooltip="Australian Institute of Health and Welfare, 2020 #441" w:history="1">
        <w:r w:rsidR="00EC2769">
          <w:rPr>
            <w:noProof/>
          </w:rPr>
          <w:t>261</w:t>
        </w:r>
      </w:hyperlink>
      <w:r w:rsidR="00EC2769">
        <w:rPr>
          <w:noProof/>
        </w:rPr>
        <w:t>)</w:t>
      </w:r>
      <w:r w:rsidRPr="00A55335">
        <w:fldChar w:fldCharType="end"/>
      </w:r>
      <w:r w:rsidRPr="00A55335">
        <w:t>, with recommended treatments focused on relieving pain and improving joint function.</w:t>
      </w:r>
      <w:r w:rsidR="007B01E2" w:rsidRPr="00A55335">
        <w:t xml:space="preserve"> Australian guidelines </w:t>
      </w:r>
      <w:r w:rsidR="007B01E2" w:rsidRPr="00A55335">
        <w:fldChar w:fldCharType="begin"/>
      </w:r>
      <w:r w:rsidR="00EC2769">
        <w:instrText xml:space="preserve"> ADDIN EN.CITE &lt;EndNote&gt;&lt;Cite&gt;&lt;Author&gt;The Royal Australian College of General Practitioners&lt;/Author&gt;&lt;Year&gt;2018&lt;/Year&gt;&lt;RecNum&gt;440&lt;/RecNum&gt;&lt;DisplayText&gt;(260)&lt;/DisplayText&gt;&lt;record&gt;&lt;rec-number&gt;440&lt;/rec-number&gt;&lt;foreign-keys&gt;&lt;key app="EN" db-id="t5prptatr9sp0we5exbxt9zz20fwp55tdza9" timestamp="1700774034"&gt;440&lt;/key&gt;&lt;/foreign-keys&gt;&lt;ref-type name="Government Document"&gt;46&lt;/ref-type&gt;&lt;contributors&gt;&lt;authors&gt;&lt;author&gt;The Royal Australian College of General Practitioners,&lt;/author&gt;&lt;/authors&gt;&lt;/contributors&gt;&lt;titles&gt;&lt;title&gt; Guideline for the management of knee and hip osteoarthritis&lt;/title&gt;&lt;/titles&gt;&lt;number&gt;2nd edn&lt;/number&gt;&lt;dates&gt;&lt;year&gt;2018&lt;/year&gt;&lt;/dates&gt;&lt;pub-location&gt;East Melbourne, Victoria&lt;/pub-location&gt;&lt;publisher&gt;RACGP&lt;/publisher&gt;&lt;urls&gt;&lt;/urls&gt;&lt;/record&gt;&lt;/Cite&gt;&lt;/EndNote&gt;</w:instrText>
      </w:r>
      <w:r w:rsidR="007B01E2" w:rsidRPr="00A55335">
        <w:fldChar w:fldCharType="separate"/>
      </w:r>
      <w:r w:rsidR="00EC2769">
        <w:rPr>
          <w:noProof/>
        </w:rPr>
        <w:t>(</w:t>
      </w:r>
      <w:hyperlink w:anchor="_ENREF_260" w:tooltip="The Royal Australian College of General Practitioners, 2018 #440" w:history="1">
        <w:r w:rsidR="00EC2769">
          <w:rPr>
            <w:noProof/>
          </w:rPr>
          <w:t>260</w:t>
        </w:r>
      </w:hyperlink>
      <w:r w:rsidR="00EC2769">
        <w:rPr>
          <w:noProof/>
        </w:rPr>
        <w:t>)</w:t>
      </w:r>
      <w:r w:rsidR="007B01E2" w:rsidRPr="00A55335">
        <w:fldChar w:fldCharType="end"/>
      </w:r>
      <w:r w:rsidR="007B01E2" w:rsidRPr="00A55335">
        <w:t xml:space="preserve"> strongly recommend regular land based exercise such as muscle strengthening exercises, Pilates, walking and Tai Chi.</w:t>
      </w:r>
      <w:r w:rsidR="00B85ABF" w:rsidRPr="00A55335">
        <w:t xml:space="preserve"> Other complementary and alterna</w:t>
      </w:r>
      <w:r w:rsidR="00F54CD4" w:rsidRPr="00A55335">
        <w:t xml:space="preserve">tive therapies used </w:t>
      </w:r>
      <w:r w:rsidR="006E3217">
        <w:t>among people with</w:t>
      </w:r>
      <w:r w:rsidR="00F54CD4" w:rsidRPr="00A55335">
        <w:t xml:space="preserve"> OA include </w:t>
      </w:r>
      <w:r w:rsidR="00B85ABF" w:rsidRPr="00A55335">
        <w:t>vitamin</w:t>
      </w:r>
      <w:r w:rsidR="00F54CD4" w:rsidRPr="00A55335">
        <w:t>s</w:t>
      </w:r>
      <w:r w:rsidR="00B85ABF" w:rsidRPr="00A55335">
        <w:t xml:space="preserve"> and mineral supplements and herbal medicines</w:t>
      </w:r>
      <w:r w:rsidR="00F54CD4" w:rsidRPr="00A55335">
        <w:t xml:space="preserve"> </w:t>
      </w:r>
      <w:r w:rsidR="00C92D95" w:rsidRPr="00A55335">
        <w:fldChar w:fldCharType="begin"/>
      </w:r>
      <w:r w:rsidR="00EC2769">
        <w:instrText xml:space="preserve"> ADDIN EN.CITE &lt;EndNote&gt;&lt;Cite ExcludeAuth="1"&gt;&lt;Year&gt;2012&lt;/Year&gt;&lt;RecNum&gt;648&lt;/RecNum&gt;&lt;DisplayText&gt;(262, 263)&lt;/DisplayText&gt;&lt;record&gt;&lt;rec-number&gt;648&lt;/rec-number&gt;&lt;foreign-keys&gt;&lt;key app="EN" db-id="t5prptatr9sp0we5exbxt9zz20fwp55tdza9" timestamp="1701238770"&gt;648&lt;/key&gt;&lt;/foreign-keys&gt;&lt;ref-type name="Journal Article"&gt;17&lt;/ref-type&gt;&lt;contributors&gt;&lt;/contributors&gt;&lt;titles&gt;&lt;title&gt;Arthritis disease&lt;/title&gt;&lt;secondary-title&gt;Australian Journal for General Practitioners&lt;/secondary-title&gt;&lt;/titles&gt;&lt;periodical&gt;&lt;full-title&gt;Australian Journal for General Practitioners&lt;/full-title&gt;&lt;/periodical&gt;&lt;pages&gt;638-640&lt;/pages&gt;&lt;volume&gt;39&lt;/volume&gt;&lt;keywords&gt;&lt;keyword&gt;complementary therapies&lt;/keyword&gt;&lt;keyword&gt;arthritis/&lt;/keyword&gt;&lt;keyword&gt;rheumatic diseases&lt;/keyword&gt;&lt;keyword&gt;osteoarthritis&lt;/keyword&gt;&lt;keyword&gt;rheumatoid arthritis&lt;/keyword&gt;&lt;keyword&gt;musculoskeletal diseases&lt;/keyword&gt;&lt;keyword&gt;pain, therapy&lt;/keyword&gt;&lt;keyword&gt;pain, chronic&lt;/keyword&gt;&lt;keyword&gt;disease&lt;/keyword&gt;&lt;/keywords&gt;&lt;dates&gt;&lt;year&gt;2012&lt;/year&gt;&lt;pub-dates&gt;&lt;date&gt;10/16&lt;/date&gt;&lt;/pub-dates&gt;&lt;/dates&gt;&lt;publisher&gt;The Royal Australian College of General Practitioners (RACGP)&lt;/publisher&gt;&lt;urls&gt;&lt;related-urls&gt;&lt;url&gt;https://www.racgp.org.au/afp/2010/september/arthritis-disease-the-use-of-complementary-therapi&lt;/url&gt;&lt;/related-urls&gt;&lt;/urls&gt;&lt;/record&gt;&lt;/Cite&gt;&lt;Cite&gt;&lt;Author&gt;Arthritis Australia&lt;/Author&gt;&lt;Year&gt;2007&lt;/Year&gt;&lt;RecNum&gt;649&lt;/RecNum&gt;&lt;record&gt;&lt;rec-number&gt;649&lt;/rec-number&gt;&lt;foreign-keys&gt;&lt;key app="EN" db-id="t5prptatr9sp0we5exbxt9zz20fwp55tdza9" timestamp="1701238899"&gt;649&lt;/key&gt;&lt;/foreign-keys&gt;&lt;ref-type name="Web Page"&gt;12&lt;/ref-type&gt;&lt;contributors&gt;&lt;authors&gt;&lt;author&gt;Arthritis Australia,&lt;/author&gt;&lt;/authors&gt;&lt;/contributors&gt;&lt;titles&gt;&lt;title&gt;Complementary treatments and therapies&lt;/title&gt;&lt;/titles&gt;&lt;volume&gt;23/07/23&lt;/volume&gt;&lt;dates&gt;&lt;year&gt;2007&lt;/year&gt;&lt;/dates&gt;&lt;urls&gt;&lt;related-urls&gt;&lt;url&gt;https://arthritisaustralia.com.au/managing-arthritis/living-with-arthritis/complementary-treatments-and-therapies/#:~:text=Examples%20of%20complementary%20therapies%20include,any%20treatments%20you%20are%20taking.&lt;/url&gt;&lt;/related-urls&gt;&lt;/urls&gt;&lt;/record&gt;&lt;/Cite&gt;&lt;/EndNote&gt;</w:instrText>
      </w:r>
      <w:r w:rsidR="00C92D95" w:rsidRPr="00A55335">
        <w:fldChar w:fldCharType="separate"/>
      </w:r>
      <w:r w:rsidR="00EC2769">
        <w:rPr>
          <w:noProof/>
        </w:rPr>
        <w:t>(</w:t>
      </w:r>
      <w:hyperlink w:anchor="_ENREF_262" w:tooltip=", 2012 #648" w:history="1">
        <w:r w:rsidR="00EC2769">
          <w:rPr>
            <w:noProof/>
          </w:rPr>
          <w:t>262</w:t>
        </w:r>
      </w:hyperlink>
      <w:r w:rsidR="00EC2769">
        <w:rPr>
          <w:noProof/>
        </w:rPr>
        <w:t xml:space="preserve">, </w:t>
      </w:r>
      <w:hyperlink w:anchor="_ENREF_263" w:tooltip="Arthritis Australia, 2007 #649" w:history="1">
        <w:r w:rsidR="00EC2769">
          <w:rPr>
            <w:noProof/>
          </w:rPr>
          <w:t>263</w:t>
        </w:r>
      </w:hyperlink>
      <w:r w:rsidR="00EC2769">
        <w:rPr>
          <w:noProof/>
        </w:rPr>
        <w:t>)</w:t>
      </w:r>
      <w:r w:rsidR="00C92D95" w:rsidRPr="00A55335">
        <w:fldChar w:fldCharType="end"/>
      </w:r>
      <w:r w:rsidR="00B85ABF" w:rsidRPr="00A55335">
        <w:t>.</w:t>
      </w:r>
    </w:p>
    <w:p w14:paraId="0D0FE581" w14:textId="77777777" w:rsidR="00DD505D" w:rsidRPr="00A55335" w:rsidRDefault="00DD505D" w:rsidP="00292CDE">
      <w:pPr>
        <w:pStyle w:val="Heading4"/>
      </w:pPr>
      <w:bookmarkStart w:id="410" w:name="_Ref129689047"/>
      <w:r w:rsidRPr="00A55335">
        <w:t>Inflammatory arthropathies</w:t>
      </w:r>
      <w:bookmarkEnd w:id="410"/>
    </w:p>
    <w:p w14:paraId="35E43392" w14:textId="44EB97DE" w:rsidR="00DD505D" w:rsidRPr="00A55335" w:rsidRDefault="00DD505D" w:rsidP="00DD505D">
      <w:pPr>
        <w:pStyle w:val="BodyText"/>
      </w:pPr>
      <w:r w:rsidRPr="00A55335">
        <w:t xml:space="preserve">Inflammatory arthropathies are a group of related conditions where joint inflammation and pain are caused by a chronic autoimmune reaction </w:t>
      </w:r>
      <w:r w:rsidRPr="00A55335">
        <w:fldChar w:fldCharType="begin"/>
      </w:r>
      <w:r w:rsidR="006952AD">
        <w:instrText xml:space="preserve"> ADDIN EN.CITE &lt;EndNote&gt;&lt;Cite&gt;&lt;Author&gt;Australian Institute of Health and Welfare&lt;/Author&gt;&lt;Year&gt;2020&lt;/Year&gt;&lt;RecNum&gt;410&lt;/RecNum&gt;&lt;DisplayText&gt;(203)&lt;/DisplayText&gt;&lt;record&gt;&lt;rec-number&gt;410&lt;/rec-number&gt;&lt;foreign-keys&gt;&lt;key app="EN" db-id="t5prptatr9sp0we5exbxt9zz20fwp55tdza9" timestamp="1700774034"&gt;410&lt;/key&gt;&lt;/foreign-keys&gt;&lt;ref-type name="Electronic Article"&gt;43&lt;/ref-type&gt;&lt;contributors&gt;&lt;authors&gt;&lt;author&gt;Australian Institute of Health and Welfare,&lt;/author&gt;&lt;/authors&gt;&lt;/contributors&gt;&lt;titles&gt;&lt;title&gt;Arthritis&lt;/title&gt;&lt;/titles&gt;&lt;dates&gt;&lt;year&gt;2020&lt;/year&gt;&lt;/dates&gt;&lt;pub-location&gt;Canberra&lt;/pub-location&gt;&lt;publisher&gt;AIHW&lt;/publisher&gt;&lt;urls&gt;&lt;related-urls&gt;&lt;url&gt;https://www.aihw.gov.au/reports/chronic-musculoskeletal-conditions/arthritis&lt;/url&gt;&lt;/related-urls&gt;&lt;/urls&gt;&lt;/record&gt;&lt;/Cite&gt;&lt;/EndNote&gt;</w:instrText>
      </w:r>
      <w:r w:rsidRPr="00A55335">
        <w:fldChar w:fldCharType="separate"/>
      </w:r>
      <w:r w:rsidR="00D04C69">
        <w:rPr>
          <w:noProof/>
        </w:rPr>
        <w:t>(</w:t>
      </w:r>
      <w:hyperlink w:anchor="_ENREF_203" w:tooltip="Australian Institute of Health and Welfare, 2020 #410" w:history="1">
        <w:r w:rsidR="00EC2769">
          <w:rPr>
            <w:noProof/>
          </w:rPr>
          <w:t>203</w:t>
        </w:r>
      </w:hyperlink>
      <w:r w:rsidR="00D04C69">
        <w:rPr>
          <w:noProof/>
        </w:rPr>
        <w:t>)</w:t>
      </w:r>
      <w:r w:rsidRPr="00A55335">
        <w:fldChar w:fldCharType="end"/>
      </w:r>
      <w:r w:rsidRPr="00A55335">
        <w:t xml:space="preserve">. Inflammatory arthropathies include conditions such as rheumatoid arthritis (RA), psoriatic arthritis, and juvenile idiopathic arthritis. RA is the most common inflammatory arthropathy in Australia </w:t>
      </w:r>
      <w:r w:rsidRPr="00A55335">
        <w:fldChar w:fldCharType="begin"/>
      </w:r>
      <w:r w:rsidR="006952AD">
        <w:instrText xml:space="preserve"> ADDIN EN.CITE &lt;EndNote&gt;&lt;Cite&gt;&lt;Author&gt;Australian Institute of Health and Welfare&lt;/Author&gt;&lt;Year&gt;2020&lt;/Year&gt;&lt;RecNum&gt;410&lt;/RecNum&gt;&lt;DisplayText&gt;(203)&lt;/DisplayText&gt;&lt;record&gt;&lt;rec-number&gt;410&lt;/rec-number&gt;&lt;foreign-keys&gt;&lt;key app="EN" db-id="t5prptatr9sp0we5exbxt9zz20fwp55tdza9" timestamp="1700774034"&gt;410&lt;/key&gt;&lt;/foreign-keys&gt;&lt;ref-type name="Electronic Article"&gt;43&lt;/ref-type&gt;&lt;contributors&gt;&lt;authors&gt;&lt;author&gt;Australian Institute of Health and Welfare,&lt;/author&gt;&lt;/authors&gt;&lt;/contributors&gt;&lt;titles&gt;&lt;title&gt;Arthritis&lt;/title&gt;&lt;/titles&gt;&lt;dates&gt;&lt;year&gt;2020&lt;/year&gt;&lt;/dates&gt;&lt;pub-location&gt;Canberra&lt;/pub-location&gt;&lt;publisher&gt;AIHW&lt;/publisher&gt;&lt;urls&gt;&lt;related-urls&gt;&lt;url&gt;https://www.aihw.gov.au/reports/chronic-musculoskeletal-conditions/arthritis&lt;/url&gt;&lt;/related-urls&gt;&lt;/urls&gt;&lt;/record&gt;&lt;/Cite&gt;&lt;/EndNote&gt;</w:instrText>
      </w:r>
      <w:r w:rsidRPr="00A55335">
        <w:fldChar w:fldCharType="separate"/>
      </w:r>
      <w:r w:rsidR="00D04C69">
        <w:rPr>
          <w:noProof/>
        </w:rPr>
        <w:t>(</w:t>
      </w:r>
      <w:hyperlink w:anchor="_ENREF_203" w:tooltip="Australian Institute of Health and Welfare, 2020 #410" w:history="1">
        <w:r w:rsidR="00EC2769">
          <w:rPr>
            <w:noProof/>
          </w:rPr>
          <w:t>203</w:t>
        </w:r>
      </w:hyperlink>
      <w:r w:rsidR="00D04C69">
        <w:rPr>
          <w:noProof/>
        </w:rPr>
        <w:t>)</w:t>
      </w:r>
      <w:r w:rsidRPr="00A55335">
        <w:fldChar w:fldCharType="end"/>
      </w:r>
      <w:r w:rsidRPr="00A55335">
        <w:t xml:space="preserve"> and is characterised by joint swelling, tenderness, and destruction of synovial joints </w:t>
      </w:r>
      <w:r w:rsidRPr="00A55335">
        <w:fldChar w:fldCharType="begin"/>
      </w:r>
      <w:r w:rsidR="00EC2769">
        <w:instrText xml:space="preserve"> ADDIN EN.CITE &lt;EndNote&gt;&lt;Cite&gt;&lt;Author&gt;Charles&lt;/Author&gt;&lt;Year&gt;2013&lt;/Year&gt;&lt;RecNum&gt;442&lt;/RecNum&gt;&lt;DisplayText&gt;(264)&lt;/DisplayText&gt;&lt;record&gt;&lt;rec-number&gt;442&lt;/rec-number&gt;&lt;foreign-keys&gt;&lt;key app="EN" db-id="t5prptatr9sp0we5exbxt9zz20fwp55tdza9" timestamp="1700774034"&gt;442&lt;/key&gt;&lt;/foreign-keys&gt;&lt;ref-type name="Journal Article"&gt;17&lt;/ref-type&gt;&lt;contributors&gt;&lt;authors&gt;&lt;author&gt;Charles, J.&lt;/author&gt;&lt;author&gt;Britt, H.&lt;/author&gt;&lt;author&gt;Pan, Y.&lt;/author&gt;&lt;/authors&gt;&lt;/contributors&gt;&lt;auth-address&gt;Family Medicine Research Centre, University of Sydney, New South Wales.&lt;/auth-address&gt;&lt;titles&gt;&lt;title&gt;Rheumatoid arthritis&lt;/title&gt;&lt;secondary-title&gt;Aust Fam Physician&lt;/secondary-title&gt;&lt;/titles&gt;&lt;periodical&gt;&lt;full-title&gt;Aust Fam Physician&lt;/full-title&gt;&lt;/periodical&gt;&lt;pages&gt;765&lt;/pages&gt;&lt;volume&gt;42&lt;/volume&gt;&lt;number&gt;11&lt;/number&gt;&lt;keywords&gt;&lt;keyword&gt;*Arthritis, Rheumatoid/epidemiology/immunology/therapy&lt;/keyword&gt;&lt;keyword&gt;Autoimmunity/*immunology&lt;/keyword&gt;&lt;keyword&gt;*Disease Management&lt;/keyword&gt;&lt;keyword&gt;Global Health&lt;/keyword&gt;&lt;keyword&gt;Humans&lt;/keyword&gt;&lt;keyword&gt;Morbidity&lt;/keyword&gt;&lt;/keywords&gt;&lt;dates&gt;&lt;year&gt;2013&lt;/year&gt;&lt;pub-dates&gt;&lt;date&gt;Nov&lt;/date&gt;&lt;/pub-dates&gt;&lt;/dates&gt;&lt;publisher&gt;The Royal Australian College of General Practitioners (RACGP)&lt;/publisher&gt;&lt;isbn&gt;0300-8495 (Print)&amp;#xD;0300-8495 (Linking)&lt;/isbn&gt;&lt;accession-num&gt;24217093&lt;/accession-num&gt;&lt;urls&gt;&lt;related-urls&gt;&lt;url&gt;https://www.ncbi.nlm.nih.gov/pubmed/24217093&lt;/url&gt;&lt;/related-urls&gt;&lt;/urls&gt;&lt;remote-database-name&gt;Medline&lt;/remote-database-name&gt;&lt;remote-database-provider&gt;NLM&lt;/remote-database-provider&gt;&lt;/record&gt;&lt;/Cite&gt;&lt;/EndNote&gt;</w:instrText>
      </w:r>
      <w:r w:rsidRPr="00A55335">
        <w:fldChar w:fldCharType="separate"/>
      </w:r>
      <w:r w:rsidR="00EC2769">
        <w:rPr>
          <w:noProof/>
        </w:rPr>
        <w:t>(</w:t>
      </w:r>
      <w:hyperlink w:anchor="_ENREF_264" w:tooltip="Charles, 2013 #442" w:history="1">
        <w:r w:rsidR="00EC2769">
          <w:rPr>
            <w:noProof/>
          </w:rPr>
          <w:t>264</w:t>
        </w:r>
      </w:hyperlink>
      <w:r w:rsidR="00EC2769">
        <w:rPr>
          <w:noProof/>
        </w:rPr>
        <w:t>)</w:t>
      </w:r>
      <w:r w:rsidRPr="00A55335">
        <w:fldChar w:fldCharType="end"/>
      </w:r>
      <w:r w:rsidRPr="00A55335">
        <w:t xml:space="preserve">. Instead of producing nourishing and lubricating fluid, the synovial membrane </w:t>
      </w:r>
      <w:r w:rsidR="008A43D2" w:rsidRPr="00A55335">
        <w:t xml:space="preserve">that lines </w:t>
      </w:r>
      <w:r w:rsidRPr="00A55335">
        <w:t xml:space="preserve">affected joints is attacked by the immune system and becomes thick and inflamed. This results in unwanted tissue growth, bone erosion, and irreversible joint damage </w:t>
      </w:r>
      <w:r w:rsidRPr="00A55335">
        <w:fldChar w:fldCharType="begin"/>
      </w:r>
      <w:r w:rsidR="00EC2769">
        <w:instrText xml:space="preserve"> ADDIN EN.CITE &lt;EndNote&gt;&lt;Cite&gt;&lt;Author&gt;Australian Institute of Health and Welfare&lt;/Author&gt;&lt;Year&gt;2020&lt;/Year&gt;&lt;RecNum&gt;443&lt;/RecNum&gt;&lt;DisplayText&gt;(265)&lt;/DisplayText&gt;&lt;record&gt;&lt;rec-number&gt;443&lt;/rec-number&gt;&lt;foreign-keys&gt;&lt;key app="EN" db-id="t5prptatr9sp0we5exbxt9zz20fwp55tdza9" timestamp="1700774034"&gt;443&lt;/key&gt;&lt;/foreign-keys&gt;&lt;ref-type name="Electronic Article"&gt;43&lt;/ref-type&gt;&lt;contributors&gt;&lt;authors&gt;&lt;author&gt;Australian Institute of Health and Welfare,&lt;/author&gt;&lt;/authors&gt;&lt;tertiary-authors&gt;&lt;author&gt;AIHW&lt;/author&gt;&lt;/tertiary-authors&gt;&lt;/contributors&gt;&lt;titles&gt;&lt;title&gt;Rheumatoid arthritis&lt;/title&gt;&lt;/titles&gt;&lt;dates&gt;&lt;year&gt;2020&lt;/year&gt;&lt;/dates&gt;&lt;pub-location&gt;Canberra&lt;/pub-location&gt;&lt;urls&gt;&lt;related-urls&gt;&lt;url&gt;https://www.aihw.gov.au/reports/chronic-musculoskeletal-conditions/rheumatoid-arthritis&lt;/url&gt;&lt;/related-urls&gt;&lt;/urls&gt;&lt;/record&gt;&lt;/Cite&gt;&lt;/EndNote&gt;</w:instrText>
      </w:r>
      <w:r w:rsidRPr="00A55335">
        <w:fldChar w:fldCharType="separate"/>
      </w:r>
      <w:r w:rsidR="00EC2769">
        <w:rPr>
          <w:noProof/>
        </w:rPr>
        <w:t>(</w:t>
      </w:r>
      <w:hyperlink w:anchor="_ENREF_265" w:tooltip="Australian Institute of Health and Welfare, 2020 #443" w:history="1">
        <w:r w:rsidR="00EC2769">
          <w:rPr>
            <w:noProof/>
          </w:rPr>
          <w:t>265</w:t>
        </w:r>
      </w:hyperlink>
      <w:r w:rsidR="00EC2769">
        <w:rPr>
          <w:noProof/>
        </w:rPr>
        <w:t>)</w:t>
      </w:r>
      <w:r w:rsidRPr="00A55335">
        <w:fldChar w:fldCharType="end"/>
      </w:r>
      <w:r w:rsidRPr="00A55335">
        <w:t xml:space="preserve">. RA typically affects hand joints and both sides of the body at the same time </w:t>
      </w:r>
      <w:r w:rsidRPr="00A55335">
        <w:fldChar w:fldCharType="begin"/>
      </w:r>
      <w:r w:rsidR="00EC2769">
        <w:instrText xml:space="preserve"> ADDIN EN.CITE &lt;EndNote&gt;&lt;Cite&gt;&lt;Author&gt;Australian Institute of Health and Welfare&lt;/Author&gt;&lt;Year&gt;2020&lt;/Year&gt;&lt;RecNum&gt;443&lt;/RecNum&gt;&lt;DisplayText&gt;(265)&lt;/DisplayText&gt;&lt;record&gt;&lt;rec-number&gt;443&lt;/rec-number&gt;&lt;foreign-keys&gt;&lt;key app="EN" db-id="t5prptatr9sp0we5exbxt9zz20fwp55tdza9" timestamp="1700774034"&gt;443&lt;/key&gt;&lt;/foreign-keys&gt;&lt;ref-type name="Electronic Article"&gt;43&lt;/ref-type&gt;&lt;contributors&gt;&lt;authors&gt;&lt;author&gt;Australian Institute of Health and Welfare,&lt;/author&gt;&lt;/authors&gt;&lt;tertiary-authors&gt;&lt;author&gt;AIHW&lt;/author&gt;&lt;/tertiary-authors&gt;&lt;/contributors&gt;&lt;titles&gt;&lt;title&gt;Rheumatoid arthritis&lt;/title&gt;&lt;/titles&gt;&lt;dates&gt;&lt;year&gt;2020&lt;/year&gt;&lt;/dates&gt;&lt;pub-location&gt;Canberra&lt;/pub-location&gt;&lt;urls&gt;&lt;related-urls&gt;&lt;url&gt;https://www.aihw.gov.au/reports/chronic-musculoskeletal-conditions/rheumatoid-arthritis&lt;/url&gt;&lt;/related-urls&gt;&lt;/urls&gt;&lt;/record&gt;&lt;/Cite&gt;&lt;/EndNote&gt;</w:instrText>
      </w:r>
      <w:r w:rsidRPr="00A55335">
        <w:fldChar w:fldCharType="separate"/>
      </w:r>
      <w:r w:rsidR="00EC2769">
        <w:rPr>
          <w:noProof/>
        </w:rPr>
        <w:t>(</w:t>
      </w:r>
      <w:hyperlink w:anchor="_ENREF_265" w:tooltip="Australian Institute of Health and Welfare, 2020 #443" w:history="1">
        <w:r w:rsidR="00EC2769">
          <w:rPr>
            <w:noProof/>
          </w:rPr>
          <w:t>265</w:t>
        </w:r>
      </w:hyperlink>
      <w:r w:rsidR="00EC2769">
        <w:rPr>
          <w:noProof/>
        </w:rPr>
        <w:t>)</w:t>
      </w:r>
      <w:r w:rsidRPr="00A55335">
        <w:fldChar w:fldCharType="end"/>
      </w:r>
      <w:r w:rsidRPr="00A55335">
        <w:t xml:space="preserve">. </w:t>
      </w:r>
    </w:p>
    <w:p w14:paraId="0E9B3A3D" w14:textId="49C95705" w:rsidR="00DD505D" w:rsidRPr="00A55335" w:rsidRDefault="00DD505D" w:rsidP="00DD505D">
      <w:pPr>
        <w:pStyle w:val="BodyText"/>
      </w:pPr>
      <w:r w:rsidRPr="00A55335">
        <w:t>The estimated prevalence of RA in Australia is 1.9%, or around 456</w:t>
      </w:r>
      <w:r w:rsidR="006F647A" w:rsidRPr="00A55335">
        <w:t>,</w:t>
      </w:r>
      <w:r w:rsidRPr="00A55335">
        <w:t xml:space="preserve">000 people </w:t>
      </w:r>
      <w:r w:rsidRPr="00A55335">
        <w:fldChar w:fldCharType="begin"/>
      </w:r>
      <w:r w:rsidR="00EC2769">
        <w:instrText xml:space="preserve"> ADDIN EN.CITE &lt;EndNote&gt;&lt;Cite&gt;&lt;Author&gt;Australian Institute of Health and Welfare&lt;/Author&gt;&lt;Year&gt;2020&lt;/Year&gt;&lt;RecNum&gt;443&lt;/RecNum&gt;&lt;DisplayText&gt;(265)&lt;/DisplayText&gt;&lt;record&gt;&lt;rec-number&gt;443&lt;/rec-number&gt;&lt;foreign-keys&gt;&lt;key app="EN" db-id="t5prptatr9sp0we5exbxt9zz20fwp55tdza9" timestamp="1700774034"&gt;443&lt;/key&gt;&lt;/foreign-keys&gt;&lt;ref-type name="Electronic Article"&gt;43&lt;/ref-type&gt;&lt;contributors&gt;&lt;authors&gt;&lt;author&gt;Australian Institute of Health and Welfare,&lt;/author&gt;&lt;/authors&gt;&lt;tertiary-authors&gt;&lt;author&gt;AIHW&lt;/author&gt;&lt;/tertiary-authors&gt;&lt;/contributors&gt;&lt;titles&gt;&lt;title&gt;Rheumatoid arthritis&lt;/title&gt;&lt;/titles&gt;&lt;dates&gt;&lt;year&gt;2020&lt;/year&gt;&lt;/dates&gt;&lt;pub-location&gt;Canberra&lt;/pub-location&gt;&lt;urls&gt;&lt;related-urls&gt;&lt;url&gt;https://www.aihw.gov.au/reports/chronic-musculoskeletal-conditions/rheumatoid-arthritis&lt;/url&gt;&lt;/related-urls&gt;&lt;/urls&gt;&lt;/record&gt;&lt;/Cite&gt;&lt;/EndNote&gt;</w:instrText>
      </w:r>
      <w:r w:rsidRPr="00A55335">
        <w:fldChar w:fldCharType="separate"/>
      </w:r>
      <w:r w:rsidR="00EC2769">
        <w:rPr>
          <w:noProof/>
        </w:rPr>
        <w:t>(</w:t>
      </w:r>
      <w:hyperlink w:anchor="_ENREF_265" w:tooltip="Australian Institute of Health and Welfare, 2020 #443" w:history="1">
        <w:r w:rsidR="00EC2769">
          <w:rPr>
            <w:noProof/>
          </w:rPr>
          <w:t>265</w:t>
        </w:r>
      </w:hyperlink>
      <w:r w:rsidR="00EC2769">
        <w:rPr>
          <w:noProof/>
        </w:rPr>
        <w:t>)</w:t>
      </w:r>
      <w:r w:rsidRPr="00A55335">
        <w:fldChar w:fldCharType="end"/>
      </w:r>
      <w:r w:rsidRPr="00A55335">
        <w:t xml:space="preserve">. RA is more common in </w:t>
      </w:r>
      <w:r w:rsidR="004F45D1" w:rsidRPr="00A55335">
        <w:t xml:space="preserve">females </w:t>
      </w:r>
      <w:r w:rsidRPr="00A55335">
        <w:t xml:space="preserve">than in </w:t>
      </w:r>
      <w:r w:rsidR="004F45D1" w:rsidRPr="00A55335">
        <w:t>males</w:t>
      </w:r>
      <w:r w:rsidRPr="00A55335">
        <w:t xml:space="preserve">, and occurs most commonly in people over age 75 </w:t>
      </w:r>
      <w:r w:rsidRPr="00A55335">
        <w:fldChar w:fldCharType="begin"/>
      </w:r>
      <w:r w:rsidR="00EC2769">
        <w:instrText xml:space="preserve"> ADDIN EN.CITE &lt;EndNote&gt;&lt;Cite&gt;&lt;Author&gt;Australian Institute of Health and Welfare&lt;/Author&gt;&lt;Year&gt;2020&lt;/Year&gt;&lt;RecNum&gt;443&lt;/RecNum&gt;&lt;DisplayText&gt;(265)&lt;/DisplayText&gt;&lt;record&gt;&lt;rec-number&gt;443&lt;/rec-number&gt;&lt;foreign-keys&gt;&lt;key app="EN" db-id="t5prptatr9sp0we5exbxt9zz20fwp55tdza9" timestamp="1700774034"&gt;443&lt;/key&gt;&lt;/foreign-keys&gt;&lt;ref-type name="Electronic Article"&gt;43&lt;/ref-type&gt;&lt;contributors&gt;&lt;authors&gt;&lt;author&gt;Australian Institute of Health and Welfare,&lt;/author&gt;&lt;/authors&gt;&lt;tertiary-authors&gt;&lt;author&gt;AIHW&lt;/author&gt;&lt;/tertiary-authors&gt;&lt;/contributors&gt;&lt;titles&gt;&lt;title&gt;Rheumatoid arthritis&lt;/title&gt;&lt;/titles&gt;&lt;dates&gt;&lt;year&gt;2020&lt;/year&gt;&lt;/dates&gt;&lt;pub-location&gt;Canberra&lt;/pub-location&gt;&lt;urls&gt;&lt;related-urls&gt;&lt;url&gt;https://www.aihw.gov.au/reports/chronic-musculoskeletal-conditions/rheumatoid-arthritis&lt;/url&gt;&lt;/related-urls&gt;&lt;/urls&gt;&lt;/record&gt;&lt;/Cite&gt;&lt;/EndNote&gt;</w:instrText>
      </w:r>
      <w:r w:rsidRPr="00A55335">
        <w:fldChar w:fldCharType="separate"/>
      </w:r>
      <w:r w:rsidR="00EC2769">
        <w:rPr>
          <w:noProof/>
        </w:rPr>
        <w:t>(</w:t>
      </w:r>
      <w:hyperlink w:anchor="_ENREF_265" w:tooltip="Australian Institute of Health and Welfare, 2020 #443" w:history="1">
        <w:r w:rsidR="00EC2769">
          <w:rPr>
            <w:noProof/>
          </w:rPr>
          <w:t>265</w:t>
        </w:r>
      </w:hyperlink>
      <w:r w:rsidR="00EC2769">
        <w:rPr>
          <w:noProof/>
        </w:rPr>
        <w:t>)</w:t>
      </w:r>
      <w:r w:rsidRPr="00A55335">
        <w:fldChar w:fldCharType="end"/>
      </w:r>
      <w:r w:rsidRPr="00A55335">
        <w:t>. In 2017 to 2018, there were 12</w:t>
      </w:r>
      <w:r w:rsidR="00815AEF" w:rsidRPr="00A55335">
        <w:t>,</w:t>
      </w:r>
      <w:r w:rsidRPr="00A55335">
        <w:t xml:space="preserve">045 hospitalisations for RA </w:t>
      </w:r>
      <w:r w:rsidRPr="00A55335">
        <w:fldChar w:fldCharType="begin"/>
      </w:r>
      <w:r w:rsidR="00EC2769">
        <w:instrText xml:space="preserve"> ADDIN EN.CITE &lt;EndNote&gt;&lt;Cite&gt;&lt;Author&gt;Australian Institute of Health and Welfare&lt;/Author&gt;&lt;Year&gt;2020&lt;/Year&gt;&lt;RecNum&gt;443&lt;/RecNum&gt;&lt;DisplayText&gt;(265)&lt;/DisplayText&gt;&lt;record&gt;&lt;rec-number&gt;443&lt;/rec-number&gt;&lt;foreign-keys&gt;&lt;key app="EN" db-id="t5prptatr9sp0we5exbxt9zz20fwp55tdza9" timestamp="1700774034"&gt;443&lt;/key&gt;&lt;/foreign-keys&gt;&lt;ref-type name="Electronic Article"&gt;43&lt;/ref-type&gt;&lt;contributors&gt;&lt;authors&gt;&lt;author&gt;Australian Institute of Health and Welfare,&lt;/author&gt;&lt;/authors&gt;&lt;tertiary-authors&gt;&lt;author&gt;AIHW&lt;/author&gt;&lt;/tertiary-authors&gt;&lt;/contributors&gt;&lt;titles&gt;&lt;title&gt;Rheumatoid arthritis&lt;/title&gt;&lt;/titles&gt;&lt;dates&gt;&lt;year&gt;2020&lt;/year&gt;&lt;/dates&gt;&lt;pub-location&gt;Canberra&lt;/pub-location&gt;&lt;urls&gt;&lt;related-urls&gt;&lt;url&gt;https://www.aihw.gov.au/reports/chronic-musculoskeletal-conditions/rheumatoid-arthritis&lt;/url&gt;&lt;/related-urls&gt;&lt;/urls&gt;&lt;/record&gt;&lt;/Cite&gt;&lt;/EndNote&gt;</w:instrText>
      </w:r>
      <w:r w:rsidRPr="00A55335">
        <w:fldChar w:fldCharType="separate"/>
      </w:r>
      <w:r w:rsidR="00EC2769">
        <w:rPr>
          <w:noProof/>
        </w:rPr>
        <w:t>(</w:t>
      </w:r>
      <w:hyperlink w:anchor="_ENREF_265" w:tooltip="Australian Institute of Health and Welfare, 2020 #443" w:history="1">
        <w:r w:rsidR="00EC2769">
          <w:rPr>
            <w:noProof/>
          </w:rPr>
          <w:t>265</w:t>
        </w:r>
      </w:hyperlink>
      <w:r w:rsidR="00EC2769">
        <w:rPr>
          <w:noProof/>
        </w:rPr>
        <w:t>)</w:t>
      </w:r>
      <w:r w:rsidRPr="00A55335">
        <w:fldChar w:fldCharType="end"/>
      </w:r>
      <w:r w:rsidRPr="00A55335">
        <w:t>. Several pharmacological options are indicated for the management of inflammatory arthropathies. Disease-modifying anti-rheumatic drugs (DMARDs), biologic disease-modifying anti-rheumatic drugs (</w:t>
      </w:r>
      <w:proofErr w:type="spellStart"/>
      <w:r w:rsidRPr="00A55335">
        <w:t>bDMARDs</w:t>
      </w:r>
      <w:proofErr w:type="spellEnd"/>
      <w:r w:rsidRPr="00A55335">
        <w:t xml:space="preserve">), and corticosteroids can slow disease progression </w:t>
      </w:r>
      <w:r w:rsidRPr="00A55335">
        <w:fldChar w:fldCharType="begin"/>
      </w:r>
      <w:r w:rsidR="00EC2769">
        <w:instrText xml:space="preserve"> ADDIN EN.CITE &lt;EndNote&gt;&lt;Cite&gt;&lt;Author&gt;Australian Institute of Health and Welfare&lt;/Author&gt;&lt;Year&gt;2020&lt;/Year&gt;&lt;RecNum&gt;443&lt;/RecNum&gt;&lt;DisplayText&gt;(265)&lt;/DisplayText&gt;&lt;record&gt;&lt;rec-number&gt;443&lt;/rec-number&gt;&lt;foreign-keys&gt;&lt;key app="EN" db-id="t5prptatr9sp0we5exbxt9zz20fwp55tdza9" timestamp="1700774034"&gt;443&lt;/key&gt;&lt;/foreign-keys&gt;&lt;ref-type name="Electronic Article"&gt;43&lt;/ref-type&gt;&lt;contributors&gt;&lt;authors&gt;&lt;author&gt;Australian Institute of Health and Welfare,&lt;/author&gt;&lt;/authors&gt;&lt;tertiary-authors&gt;&lt;author&gt;AIHW&lt;/author&gt;&lt;/tertiary-authors&gt;&lt;/contributors&gt;&lt;titles&gt;&lt;title&gt;Rheumatoid arthritis&lt;/title&gt;&lt;/titles&gt;&lt;dates&gt;&lt;year&gt;2020&lt;/year&gt;&lt;/dates&gt;&lt;pub-location&gt;Canberra&lt;/pub-location&gt;&lt;urls&gt;&lt;related-urls&gt;&lt;url&gt;https://www.aihw.gov.au/reports/chronic-musculoskeletal-conditions/rheumatoid-arthritis&lt;/url&gt;&lt;/related-urls&gt;&lt;/urls&gt;&lt;/record&gt;&lt;/Cite&gt;&lt;/EndNote&gt;</w:instrText>
      </w:r>
      <w:r w:rsidRPr="00A55335">
        <w:fldChar w:fldCharType="separate"/>
      </w:r>
      <w:r w:rsidR="00EC2769">
        <w:rPr>
          <w:noProof/>
        </w:rPr>
        <w:t>(</w:t>
      </w:r>
      <w:hyperlink w:anchor="_ENREF_265" w:tooltip="Australian Institute of Health and Welfare, 2020 #443" w:history="1">
        <w:r w:rsidR="00EC2769">
          <w:rPr>
            <w:noProof/>
          </w:rPr>
          <w:t>265</w:t>
        </w:r>
      </w:hyperlink>
      <w:r w:rsidR="00EC2769">
        <w:rPr>
          <w:noProof/>
        </w:rPr>
        <w:t>)</w:t>
      </w:r>
      <w:r w:rsidRPr="00A55335">
        <w:fldChar w:fldCharType="end"/>
      </w:r>
      <w:r w:rsidRPr="00A55335">
        <w:t xml:space="preserve">. If initiated early, these medications can help prevent irreversible damage and disability </w:t>
      </w:r>
      <w:r w:rsidRPr="00A55335">
        <w:fldChar w:fldCharType="begin"/>
      </w:r>
      <w:r w:rsidR="00EC2769">
        <w:instrText xml:space="preserve"> ADDIN EN.CITE &lt;EndNote&gt;&lt;Cite&gt;&lt;Author&gt;Australian Institute of Health and Welfare&lt;/Author&gt;&lt;Year&gt;2020&lt;/Year&gt;&lt;RecNum&gt;443&lt;/RecNum&gt;&lt;DisplayText&gt;(265)&lt;/DisplayText&gt;&lt;record&gt;&lt;rec-number&gt;443&lt;/rec-number&gt;&lt;foreign-keys&gt;&lt;key app="EN" db-id="t5prptatr9sp0we5exbxt9zz20fwp55tdza9" timestamp="1700774034"&gt;443&lt;/key&gt;&lt;/foreign-keys&gt;&lt;ref-type name="Electronic Article"&gt;43&lt;/ref-type&gt;&lt;contributors&gt;&lt;authors&gt;&lt;author&gt;Australian Institute of Health and Welfare,&lt;/author&gt;&lt;/authors&gt;&lt;tertiary-authors&gt;&lt;author&gt;AIHW&lt;/author&gt;&lt;/tertiary-authors&gt;&lt;/contributors&gt;&lt;titles&gt;&lt;title&gt;Rheumatoid arthritis&lt;/title&gt;&lt;/titles&gt;&lt;dates&gt;&lt;year&gt;2020&lt;/year&gt;&lt;/dates&gt;&lt;pub-location&gt;Canberra&lt;/pub-location&gt;&lt;urls&gt;&lt;related-urls&gt;&lt;url&gt;https://www.aihw.gov.au/reports/chronic-musculoskeletal-conditions/rheumatoid-arthritis&lt;/url&gt;&lt;/related-urls&gt;&lt;/urls&gt;&lt;/record&gt;&lt;/Cite&gt;&lt;/EndNote&gt;</w:instrText>
      </w:r>
      <w:r w:rsidRPr="00A55335">
        <w:fldChar w:fldCharType="separate"/>
      </w:r>
      <w:r w:rsidR="00EC2769">
        <w:rPr>
          <w:noProof/>
        </w:rPr>
        <w:t>(</w:t>
      </w:r>
      <w:hyperlink w:anchor="_ENREF_265" w:tooltip="Australian Institute of Health and Welfare, 2020 #443" w:history="1">
        <w:r w:rsidR="00EC2769">
          <w:rPr>
            <w:noProof/>
          </w:rPr>
          <w:t>265</w:t>
        </w:r>
      </w:hyperlink>
      <w:r w:rsidR="00EC2769">
        <w:rPr>
          <w:noProof/>
        </w:rPr>
        <w:t>)</w:t>
      </w:r>
      <w:r w:rsidRPr="00A55335">
        <w:fldChar w:fldCharType="end"/>
      </w:r>
      <w:r w:rsidRPr="00A55335">
        <w:t>. Complementary therapies including homeopathy are widely used among people with rheumatoid arthritis</w:t>
      </w:r>
      <w:r w:rsidR="000E4739" w:rsidRPr="00A55335">
        <w:t xml:space="preserve"> </w:t>
      </w:r>
      <w:r w:rsidR="000E4739" w:rsidRPr="00A55335">
        <w:fldChar w:fldCharType="begin">
          <w:fldData xml:space="preserve">PEVuZE5vdGU+PENpdGU+PEF1dGhvcj5BcnRocml0aXMgQXVzdHJhbGlhPC9BdXRob3I+PFllYXI+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=
</w:fldData>
        </w:fldChar>
      </w:r>
      <w:r w:rsidR="00EC2769">
        <w:instrText xml:space="preserve"> ADDIN EN.CITE </w:instrText>
      </w:r>
      <w:r w:rsidR="00EC2769">
        <w:fldChar w:fldCharType="begin">
          <w:fldData xml:space="preserve">PEVuZE5vdGU+PENpdGU+PEF1dGhvcj5BcnRocml0aXMgQXVzdHJhbGlhPC9BdXRob3I+PFllYXI+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=
</w:fldData>
        </w:fldChar>
      </w:r>
      <w:r w:rsidR="00EC2769">
        <w:instrText xml:space="preserve"> ADDIN EN.CITE.DATA </w:instrText>
      </w:r>
      <w:r w:rsidR="00EC2769">
        <w:fldChar w:fldCharType="end"/>
      </w:r>
      <w:r w:rsidR="000E4739" w:rsidRPr="00A55335">
        <w:fldChar w:fldCharType="separate"/>
      </w:r>
      <w:r w:rsidR="00EC2769">
        <w:rPr>
          <w:noProof/>
        </w:rPr>
        <w:t>(</w:t>
      </w:r>
      <w:hyperlink w:anchor="_ENREF_263" w:tooltip="Arthritis Australia, 2007 #649" w:history="1">
        <w:r w:rsidR="00EC2769">
          <w:rPr>
            <w:noProof/>
          </w:rPr>
          <w:t>263</w:t>
        </w:r>
      </w:hyperlink>
      <w:r w:rsidR="00EC2769">
        <w:rPr>
          <w:noProof/>
        </w:rPr>
        <w:t xml:space="preserve">, </w:t>
      </w:r>
      <w:hyperlink w:anchor="_ENREF_266" w:tooltip="Chandrashekara, 2002 #321" w:history="1">
        <w:r w:rsidR="00EC2769">
          <w:rPr>
            <w:noProof/>
          </w:rPr>
          <w:t>266</w:t>
        </w:r>
      </w:hyperlink>
      <w:r w:rsidR="00EC2769">
        <w:rPr>
          <w:noProof/>
        </w:rPr>
        <w:t>)</w:t>
      </w:r>
      <w:r w:rsidR="000E4739" w:rsidRPr="00A55335">
        <w:fldChar w:fldCharType="end"/>
      </w:r>
      <w:r w:rsidR="0043112D" w:rsidRPr="00A55335">
        <w:t>.</w:t>
      </w:r>
    </w:p>
    <w:p w14:paraId="7415F399" w14:textId="77777777" w:rsidR="00DD505D" w:rsidRPr="00A55335" w:rsidRDefault="00DD505D" w:rsidP="004D433B">
      <w:pPr>
        <w:pStyle w:val="Heading3"/>
      </w:pPr>
      <w:bookmarkStart w:id="411" w:name="_Toc183441389"/>
      <w:r w:rsidRPr="00A55335">
        <w:t>Description of studies</w:t>
      </w:r>
      <w:bookmarkEnd w:id="411"/>
      <w:r w:rsidRPr="00A55335">
        <w:t xml:space="preserve"> </w:t>
      </w:r>
    </w:p>
    <w:p w14:paraId="092F32B1" w14:textId="6C5D68DB" w:rsidR="00DD505D" w:rsidRPr="00A55335" w:rsidRDefault="00A621A1" w:rsidP="00DD505D">
      <w:pPr>
        <w:pStyle w:val="BodyText"/>
      </w:pPr>
      <w:r w:rsidRPr="00A55335">
        <w:t xml:space="preserve">There were </w:t>
      </w:r>
      <w:r w:rsidR="00DD505D" w:rsidRPr="00A55335">
        <w:t xml:space="preserve">9 citations </w:t>
      </w:r>
      <w:r w:rsidR="00DD505D" w:rsidRPr="00A55335">
        <w:fldChar w:fldCharType="begin">
          <w:fldData xml:space="preserve">PEVuZE5vdGU+PENpdGU+PEF1dGhvcj5CcmllbjwvQXV0aG9yPjxZZWFyPjIwMDQ8L1llYXI+PFJl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</w:fldData>
        </w:fldChar>
      </w:r>
      <w:r w:rsidR="00EC2769">
        <w:instrText xml:space="preserve"> ADDIN EN.CITE </w:instrText>
      </w:r>
      <w:r w:rsidR="00EC2769">
        <w:fldChar w:fldCharType="begin">
          <w:fldData xml:space="preserve">PEVuZE5vdGU+PENpdGU+PEF1dGhvcj5CcmllbjwvQXV0aG9yPjxZZWFyPjIwMDQ8L1llYXI+PFJl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</w:fldData>
        </w:fldChar>
      </w:r>
      <w:r w:rsidR="00EC2769">
        <w:instrText xml:space="preserve"> ADDIN EN.CITE.DATA </w:instrText>
      </w:r>
      <w:r w:rsidR="00EC2769">
        <w:fldChar w:fldCharType="end"/>
      </w:r>
      <w:r w:rsidR="00DD505D" w:rsidRPr="00A55335">
        <w:fldChar w:fldCharType="separate"/>
      </w:r>
      <w:r w:rsidR="00EC2769">
        <w:rPr>
          <w:noProof/>
        </w:rPr>
        <w:t>(</w:t>
      </w:r>
      <w:hyperlink w:anchor="_ENREF_15" w:tooltip="Brien, 2012 #24" w:history="1">
        <w:r w:rsidR="00EC2769">
          <w:rPr>
            <w:noProof/>
          </w:rPr>
          <w:t>15</w:t>
        </w:r>
      </w:hyperlink>
      <w:r w:rsidR="00EC2769">
        <w:rPr>
          <w:noProof/>
        </w:rPr>
        <w:t xml:space="preserve">, </w:t>
      </w:r>
      <w:hyperlink w:anchor="_ENREF_267" w:tooltip="Brien, 2004 #444" w:history="1">
        <w:r w:rsidR="00EC2769">
          <w:rPr>
            <w:noProof/>
          </w:rPr>
          <w:t>267-274</w:t>
        </w:r>
      </w:hyperlink>
      <w:r w:rsidR="00EC2769">
        <w:rPr>
          <w:noProof/>
        </w:rPr>
        <w:t>)</w:t>
      </w:r>
      <w:r w:rsidR="00DD505D" w:rsidRPr="00A55335">
        <w:fldChar w:fldCharType="end"/>
      </w:r>
      <w:r w:rsidR="00DD505D" w:rsidRPr="00A55335">
        <w:t xml:space="preserve"> corresponding to 3 RCTs (</w:t>
      </w:r>
      <w:r w:rsidR="00C7522A" w:rsidRPr="00A55335">
        <w:t xml:space="preserve">Brien 2004, </w:t>
      </w:r>
      <w:r w:rsidR="00DD505D" w:rsidRPr="00A55335">
        <w:t xml:space="preserve">Koley 2015, van </w:t>
      </w:r>
      <w:proofErr w:type="spellStart"/>
      <w:r w:rsidR="00DD505D" w:rsidRPr="00A55335">
        <w:t>Haselen</w:t>
      </w:r>
      <w:proofErr w:type="spellEnd"/>
      <w:r w:rsidR="00DD505D" w:rsidRPr="00A55335">
        <w:t xml:space="preserve"> 2000) and 4 quasi RCTs (</w:t>
      </w:r>
      <w:r w:rsidR="00C7522A" w:rsidRPr="00A55335">
        <w:t xml:space="preserve">Fisher 2001, </w:t>
      </w:r>
      <w:r w:rsidR="00DD505D" w:rsidRPr="00A55335">
        <w:t>Shealy 1998, Shipley 1983, Strosser 2000) identified in the literature</w:t>
      </w:r>
      <w:r w:rsidR="00C7522A" w:rsidRPr="00A55335">
        <w:t xml:space="preserve"> search</w:t>
      </w:r>
      <w:r w:rsidR="00DD505D" w:rsidRPr="00A55335">
        <w:t xml:space="preserve">. </w:t>
      </w:r>
      <w:r w:rsidR="00061D70" w:rsidRPr="00A55335">
        <w:t>Three</w:t>
      </w:r>
      <w:r w:rsidR="00816DFE" w:rsidRPr="00A55335">
        <w:t xml:space="preserve"> additional studies</w:t>
      </w:r>
      <w:r w:rsidR="003314E3" w:rsidRPr="00A55335">
        <w:t xml:space="preserve"> (Ibrahim 2015, </w:t>
      </w:r>
      <w:proofErr w:type="spellStart"/>
      <w:r w:rsidR="003314E3" w:rsidRPr="00A55335">
        <w:t>Khitrov</w:t>
      </w:r>
      <w:proofErr w:type="spellEnd"/>
      <w:r w:rsidR="003314E3" w:rsidRPr="00A55335">
        <w:t xml:space="preserve"> 2009, Widrig 2007)</w:t>
      </w:r>
      <w:r w:rsidR="00816DFE" w:rsidRPr="00A55335">
        <w:t xml:space="preserve"> were identified in the Department’s public call for evidence</w:t>
      </w:r>
      <w:r w:rsidR="006B1AFA" w:rsidRPr="00A55335">
        <w:t xml:space="preserve"> </w:t>
      </w:r>
      <w:r w:rsidR="006B1AFA" w:rsidRPr="00A55335">
        <w:fldChar w:fldCharType="begin">
          <w:fldData xml:space="preserve">PEVuZE5vdGU+PENpdGU+PEF1dGhvcj5FbGRlc3NvdWtpIElicmFoaW08L0F1dGhvcj48WWVhcj4y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</w:fldData>
        </w:fldChar>
      </w:r>
      <w:r w:rsidR="00EC2769">
        <w:instrText xml:space="preserve"> ADDIN EN.CITE </w:instrText>
      </w:r>
      <w:r w:rsidR="00EC2769">
        <w:fldChar w:fldCharType="begin">
          <w:fldData xml:space="preserve">PEVuZE5vdGU+PENpdGU+PEF1dGhvcj5FbGRlc3NvdWtpIElicmFoaW08L0F1dGhvcj48WWVhcj4y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</w:fldData>
        </w:fldChar>
      </w:r>
      <w:r w:rsidR="00EC2769">
        <w:instrText xml:space="preserve"> ADDIN EN.CITE.DATA </w:instrText>
      </w:r>
      <w:r w:rsidR="00EC2769">
        <w:fldChar w:fldCharType="end"/>
      </w:r>
      <w:r w:rsidR="006B1AFA" w:rsidRPr="00A55335">
        <w:fldChar w:fldCharType="separate"/>
      </w:r>
      <w:r w:rsidR="00EC2769">
        <w:rPr>
          <w:noProof/>
        </w:rPr>
        <w:t>(</w:t>
      </w:r>
      <w:hyperlink w:anchor="_ENREF_275" w:tooltip="Eldessouki Ibrahim, 2015 #651" w:history="1">
        <w:r w:rsidR="00EC2769">
          <w:rPr>
            <w:noProof/>
          </w:rPr>
          <w:t>275-277</w:t>
        </w:r>
      </w:hyperlink>
      <w:r w:rsidR="00EC2769">
        <w:rPr>
          <w:noProof/>
        </w:rPr>
        <w:t>)</w:t>
      </w:r>
      <w:r w:rsidR="006B1AFA" w:rsidRPr="00A55335">
        <w:fldChar w:fldCharType="end"/>
      </w:r>
      <w:r w:rsidR="00816DFE" w:rsidRPr="00A55335">
        <w:t>.</w:t>
      </w:r>
      <w:r w:rsidR="00B33708">
        <w:t xml:space="preserve"> </w:t>
      </w:r>
      <w:r w:rsidR="00DD505D" w:rsidRPr="00A55335">
        <w:t xml:space="preserve">There were 14 </w:t>
      </w:r>
      <w:hyperlink w:anchor="_Ongoing_studies" w:history="1">
        <w:r w:rsidR="00DD505D" w:rsidRPr="00A55335">
          <w:rPr>
            <w:rStyle w:val="Hyperlink"/>
          </w:rPr>
          <w:t>ongoing studies</w:t>
        </w:r>
      </w:hyperlink>
      <w:r w:rsidR="00DD505D" w:rsidRPr="00A55335">
        <w:t xml:space="preserve">, and 7 </w:t>
      </w:r>
      <w:hyperlink w:anchor="_Studies_awaiting_classification" w:history="1">
        <w:r w:rsidR="00DD505D" w:rsidRPr="00A55335">
          <w:rPr>
            <w:rStyle w:val="Hyperlink"/>
          </w:rPr>
          <w:t>studies awaiting classification</w:t>
        </w:r>
      </w:hyperlink>
      <w:r w:rsidR="00DD505D" w:rsidRPr="00A55335">
        <w:t xml:space="preserve"> including 4 studies published in a language other than English. An overview of the PICO criteria of included studies is provided in Appendix D8.1.1.</w:t>
      </w:r>
    </w:p>
    <w:p w14:paraId="594BF60D" w14:textId="7272BEF7" w:rsidR="00A13BC5" w:rsidRPr="00A55335" w:rsidRDefault="00A13BC5" w:rsidP="00A13BC5">
      <w:pPr>
        <w:pStyle w:val="BodyText"/>
      </w:pPr>
      <w:r w:rsidRPr="00A55335">
        <w:lastRenderedPageBreak/>
        <w:t>The studies were predominantly conducted in community or outpatient settings in Germany (Strosser 2000), Egypt (Ibrahim 2015), India (Koley 2015), Russia (</w:t>
      </w:r>
      <w:proofErr w:type="spellStart"/>
      <w:r w:rsidRPr="00A55335">
        <w:t>Khitrov</w:t>
      </w:r>
      <w:proofErr w:type="spellEnd"/>
      <w:r w:rsidRPr="00A55335">
        <w:t xml:space="preserve"> 2009), Switzerland (Widrig 2007), the United Kingdom (Brien 2004, Fisher 2001, Shipley 1983, van </w:t>
      </w:r>
      <w:proofErr w:type="spellStart"/>
      <w:r w:rsidRPr="00A55335">
        <w:t>Haselen</w:t>
      </w:r>
      <w:proofErr w:type="spellEnd"/>
      <w:r w:rsidRPr="00A55335">
        <w:t xml:space="preserve"> 2000), the United States (Shealy 1998). Three studies (Brien 2004, Strosser 2000, Widrig 2007) were conducted across multiple centres.</w:t>
      </w:r>
    </w:p>
    <w:p w14:paraId="72B85862" w14:textId="5D1424E5" w:rsidR="00DD505D" w:rsidRPr="00A55335" w:rsidRDefault="00627FC3" w:rsidP="00DD505D">
      <w:pPr>
        <w:pStyle w:val="BodyText"/>
      </w:pPr>
      <w:r w:rsidRPr="00A55335">
        <w:t>Five</w:t>
      </w:r>
      <w:r w:rsidR="00DD505D" w:rsidRPr="00A55335">
        <w:t xml:space="preserve"> studies included participants with </w:t>
      </w:r>
      <w:r w:rsidRPr="00A55335">
        <w:t>OA</w:t>
      </w:r>
      <w:r w:rsidR="00DD505D" w:rsidRPr="00A55335">
        <w:t xml:space="preserve"> of the </w:t>
      </w:r>
      <w:r w:rsidR="00A13BC5" w:rsidRPr="00A55335">
        <w:t xml:space="preserve">knee (Ibrahim 2015, Koley 2015, Strosser 2000, van </w:t>
      </w:r>
      <w:proofErr w:type="spellStart"/>
      <w:r w:rsidR="00A13BC5" w:rsidRPr="00A55335">
        <w:t>Haselen</w:t>
      </w:r>
      <w:proofErr w:type="spellEnd"/>
      <w:r w:rsidR="00A13BC5" w:rsidRPr="00A55335">
        <w:t xml:space="preserve"> 2000, Shealy 1998),</w:t>
      </w:r>
      <w:r w:rsidRPr="00A55335">
        <w:t xml:space="preserve"> the other studies were in people with OA of the </w:t>
      </w:r>
      <w:r w:rsidR="00DD505D" w:rsidRPr="00A55335">
        <w:t xml:space="preserve">hand (Widrig 2007) </w:t>
      </w:r>
      <w:r w:rsidRPr="00A55335">
        <w:t xml:space="preserve">or </w:t>
      </w:r>
      <w:r w:rsidR="00DD505D" w:rsidRPr="00A55335">
        <w:t>hip and/or knee (Shipley 1983)</w:t>
      </w:r>
      <w:r w:rsidRPr="00A55335">
        <w:t xml:space="preserve">. </w:t>
      </w:r>
      <w:r w:rsidR="000D7214" w:rsidRPr="00A55335">
        <w:t xml:space="preserve">Two studies (Brien 2004, Fisher 2001) included participants with rheumatoid arthritis and </w:t>
      </w:r>
      <w:r w:rsidR="00DD505D" w:rsidRPr="00A55335">
        <w:t>one study (</w:t>
      </w:r>
      <w:proofErr w:type="spellStart"/>
      <w:r w:rsidR="00DD505D" w:rsidRPr="00A55335">
        <w:t>Khitrov</w:t>
      </w:r>
      <w:proofErr w:type="spellEnd"/>
      <w:r w:rsidR="00DD505D" w:rsidRPr="00A55335">
        <w:t xml:space="preserve"> 2009) included participants with periarthritis of the shoulder. The sample size</w:t>
      </w:r>
      <w:r w:rsidR="000D7214" w:rsidRPr="00A55335">
        <w:t>s</w:t>
      </w:r>
      <w:r w:rsidR="00DD505D" w:rsidRPr="00A55335">
        <w:t xml:space="preserve"> ranged between 35 and 204 (total 924 participants).</w:t>
      </w:r>
    </w:p>
    <w:p w14:paraId="64EEEFE3" w14:textId="225BCB46" w:rsidR="00DD505D" w:rsidRPr="00A55335" w:rsidRDefault="0052684A" w:rsidP="00DD505D">
      <w:pPr>
        <w:pStyle w:val="BodyText"/>
      </w:pPr>
      <w:r w:rsidRPr="00A55335">
        <w:t>Eight</w:t>
      </w:r>
      <w:r w:rsidR="00DD505D" w:rsidRPr="00A55335">
        <w:t xml:space="preserve"> studies (</w:t>
      </w:r>
      <w:r w:rsidRPr="00A55335">
        <w:t xml:space="preserve">Fisher 2001, Ibrahim 2015, </w:t>
      </w:r>
      <w:proofErr w:type="spellStart"/>
      <w:r w:rsidRPr="00A55335">
        <w:t>Khitrov</w:t>
      </w:r>
      <w:proofErr w:type="spellEnd"/>
      <w:r w:rsidRPr="00A55335">
        <w:t xml:space="preserve"> 2007, </w:t>
      </w:r>
      <w:r w:rsidR="00DD505D" w:rsidRPr="00A55335">
        <w:t xml:space="preserve">Shealy 1998, Shipley 1983, </w:t>
      </w:r>
      <w:r w:rsidRPr="00A55335">
        <w:t xml:space="preserve">Strosser 2000, </w:t>
      </w:r>
      <w:r w:rsidR="00DD505D" w:rsidRPr="00A55335">
        <w:t xml:space="preserve">van </w:t>
      </w:r>
      <w:proofErr w:type="spellStart"/>
      <w:r w:rsidR="00DD505D" w:rsidRPr="00A55335">
        <w:t>Haselen</w:t>
      </w:r>
      <w:proofErr w:type="spellEnd"/>
      <w:r w:rsidR="00DD505D" w:rsidRPr="00A55335">
        <w:t xml:space="preserve"> 2000, </w:t>
      </w:r>
      <w:r w:rsidRPr="00A55335">
        <w:t>Widrig 2007</w:t>
      </w:r>
      <w:r w:rsidR="00DD505D" w:rsidRPr="00A55335">
        <w:t xml:space="preserve">) evaluated non-individualised homeopathic medicinal products, commonly including </w:t>
      </w:r>
      <w:r w:rsidR="00DD505D" w:rsidRPr="00A55335">
        <w:rPr>
          <w:rStyle w:val="Emphasis"/>
        </w:rPr>
        <w:t xml:space="preserve">Rhus </w:t>
      </w:r>
      <w:proofErr w:type="spellStart"/>
      <w:r w:rsidR="00DD505D" w:rsidRPr="00A55335">
        <w:rPr>
          <w:rStyle w:val="Emphasis"/>
        </w:rPr>
        <w:t>toxicodenderon</w:t>
      </w:r>
      <w:proofErr w:type="spellEnd"/>
      <w:r w:rsidR="00DD505D" w:rsidRPr="00A55335">
        <w:t xml:space="preserve"> and Arnica. One study (Koley 2015) evaluated individualised homeopathy. One study (Brien 2004) included three homeopathic treatment arms including individualised homeopathy and non-individualised homeopathy both with and without a homeopathic consultation. </w:t>
      </w:r>
    </w:p>
    <w:p w14:paraId="6CAB247F" w14:textId="04AADC75" w:rsidR="000A3FE1" w:rsidRPr="00A55335" w:rsidRDefault="000A3FE1" w:rsidP="000A3FE1">
      <w:pPr>
        <w:pStyle w:val="BodyText"/>
      </w:pPr>
      <w:r w:rsidRPr="00A55335">
        <w:t xml:space="preserve">Four studies (Shipley 1983, Koley 2015, Brien 2004, Fisher 2001) compared homeopathy to placebo. The remaining studies compared homeopathy to an active control, typically pharmacotherapy with non-steroidal anti-inflammatory drugs, with one study (Ibrahim 2015) </w:t>
      </w:r>
      <w:r w:rsidR="00062124" w:rsidRPr="00A55335">
        <w:t xml:space="preserve">also </w:t>
      </w:r>
      <w:r w:rsidRPr="00A55335">
        <w:t xml:space="preserve">comparing homeopathy with acupuncture. </w:t>
      </w:r>
    </w:p>
    <w:p w14:paraId="3D75C768" w14:textId="668152CC" w:rsidR="00DD505D" w:rsidRPr="00A55335" w:rsidRDefault="00DD505D" w:rsidP="00DD505D">
      <w:pPr>
        <w:pStyle w:val="BodyText"/>
      </w:pPr>
      <w:r w:rsidRPr="00A55335">
        <w:t xml:space="preserve">Results for </w:t>
      </w:r>
      <w:r w:rsidR="006070ED" w:rsidRPr="00A55335">
        <w:t>Primary Comparison</w:t>
      </w:r>
      <w:r w:rsidR="00F73318" w:rsidRPr="00A55335">
        <w:t xml:space="preserve">: Homeopathy </w:t>
      </w:r>
      <w:r w:rsidR="001B33CB" w:rsidRPr="00A55335">
        <w:t xml:space="preserve">versus placebo </w:t>
      </w:r>
      <w:r w:rsidRPr="00A55335">
        <w:t xml:space="preserve">are provided in the Summary of Findings table (see </w:t>
      </w:r>
      <w:r w:rsidR="001B33CB" w:rsidRPr="00A55335">
        <w:t xml:space="preserve">Section </w:t>
      </w:r>
      <w:r w:rsidRPr="00A55335">
        <w:fldChar w:fldCharType="begin"/>
      </w:r>
      <w:r w:rsidRPr="00A55335">
        <w:instrText xml:space="preserve"> REF _Ref142062378 \r \h </w:instrText>
      </w:r>
      <w:r w:rsidRPr="00A55335">
        <w:fldChar w:fldCharType="separate"/>
      </w:r>
      <w:r w:rsidR="00814B04">
        <w:t>4.16.4.1</w:t>
      </w:r>
      <w:r w:rsidRPr="00A55335">
        <w:fldChar w:fldCharType="end"/>
      </w:r>
      <w:r w:rsidRPr="00A55335">
        <w:t xml:space="preserve">). </w:t>
      </w:r>
      <w:r w:rsidR="005C6724" w:rsidRPr="00A55335">
        <w:t xml:space="preserve">There were no studies found for Secondary Comparison: Homeopathy versus inactive control (no intervention, waitlist or usual care). </w:t>
      </w:r>
      <w:r w:rsidRPr="00A55335">
        <w:t xml:space="preserve">Results of studies that compared homeopathy with another comparator </w:t>
      </w:r>
      <w:r w:rsidR="005C6724" w:rsidRPr="00A55335">
        <w:t xml:space="preserve">(Tertiary Comparison) </w:t>
      </w:r>
      <w:r w:rsidRPr="00A55335">
        <w:t>are presented in Appendix F2.</w:t>
      </w:r>
    </w:p>
    <w:p w14:paraId="43F4EB2D"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6A6FC8DB" w14:textId="77777777" w:rsidR="00DD505D" w:rsidRPr="00A55335" w:rsidRDefault="00DD505D" w:rsidP="004D433B">
      <w:pPr>
        <w:pStyle w:val="Heading3"/>
      </w:pPr>
      <w:bookmarkStart w:id="412" w:name="_Toc183441390"/>
      <w:r w:rsidRPr="00A55335">
        <w:t>Risk of bias – summary assessment across studies</w:t>
      </w:r>
      <w:bookmarkEnd w:id="412"/>
    </w:p>
    <w:p w14:paraId="1C1D9295" w14:textId="0C0D27D0" w:rsidR="00822D21" w:rsidRPr="00A55335" w:rsidRDefault="00822D21" w:rsidP="00DD505D">
      <w:pPr>
        <w:pStyle w:val="BodyText"/>
      </w:pPr>
      <w:r w:rsidRPr="00A55335">
        <w:t xml:space="preserve">The risk of bias for each item in the included RCTs for arthropathies are summarised in </w:t>
      </w:r>
      <w:r w:rsidRPr="00A55335">
        <w:fldChar w:fldCharType="begin"/>
      </w:r>
      <w:r w:rsidRPr="00A55335">
        <w:instrText xml:space="preserve"> REF _Ref142062459 \h </w:instrText>
      </w:r>
      <w:r w:rsidRPr="00A55335">
        <w:fldChar w:fldCharType="separate"/>
      </w:r>
      <w:r w:rsidR="00814B04" w:rsidRPr="00A55335">
        <w:t xml:space="preserve">Figure </w:t>
      </w:r>
      <w:r w:rsidR="00814B04">
        <w:rPr>
          <w:noProof/>
        </w:rPr>
        <w:t>72</w:t>
      </w:r>
      <w:r w:rsidRPr="00A55335">
        <w:fldChar w:fldCharType="end"/>
      </w:r>
      <w:r w:rsidRPr="00A55335">
        <w:t>. Details are provided in Appendix D8.1.2. No studies were judged to be at overall low risk of bias.</w:t>
      </w:r>
    </w:p>
    <w:p w14:paraId="14390DF1" w14:textId="4C6CDAF3" w:rsidR="00DD505D" w:rsidRPr="00A55335" w:rsidRDefault="00DD505D" w:rsidP="00DD505D">
      <w:pPr>
        <w:pStyle w:val="Caption"/>
      </w:pPr>
      <w:bookmarkStart w:id="413" w:name="_Ref142062459"/>
      <w:bookmarkStart w:id="414" w:name="_Toc183520345"/>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72</w:t>
      </w:r>
      <w:r w:rsidRPr="00A55335">
        <w:fldChar w:fldCharType="end"/>
      </w:r>
      <w:bookmarkEnd w:id="413"/>
      <w:r w:rsidRPr="00A55335">
        <w:tab/>
        <w:t>Risk of bias summary: review authors' judgement about each risk of b</w:t>
      </w:r>
      <w:r w:rsidR="005C537F">
        <w:t>i</w:t>
      </w:r>
      <w:r w:rsidRPr="00A55335">
        <w:t xml:space="preserve">as item for each included study: </w:t>
      </w:r>
      <w:r w:rsidR="00062124" w:rsidRPr="00A55335">
        <w:t>A</w:t>
      </w:r>
      <w:r w:rsidR="00822D21" w:rsidRPr="00A55335">
        <w:t>rthropathies</w:t>
      </w:r>
      <w:bookmarkEnd w:id="414"/>
    </w:p>
    <w:p w14:paraId="600B8C17" w14:textId="28D6600E" w:rsidR="006E4B35" w:rsidRPr="00A55335" w:rsidRDefault="006E4B35" w:rsidP="006E4B35">
      <w:pPr>
        <w:pStyle w:val="Pic"/>
      </w:pPr>
      <w:r w:rsidRPr="00A55335">
        <w:rPr>
          <w:noProof/>
        </w:rPr>
        <w:drawing>
          <wp:inline distT="0" distB="0" distL="0" distR="0" wp14:anchorId="432FB15B" wp14:editId="1F9822F5">
            <wp:extent cx="3841953" cy="3189768"/>
            <wp:effectExtent l="0" t="0" r="6350" b="0"/>
            <wp:docPr id="9" name="Picture 9" descr="A chart with red and green circl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hart with red and green circles and numbers&#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76122" cy="3218137"/>
                    </a:xfrm>
                    <a:prstGeom prst="rect">
                      <a:avLst/>
                    </a:prstGeom>
                    <a:noFill/>
                    <a:ln>
                      <a:noFill/>
                    </a:ln>
                  </pic:spPr>
                </pic:pic>
              </a:graphicData>
            </a:graphic>
          </wp:inline>
        </w:drawing>
      </w:r>
    </w:p>
    <w:p w14:paraId="59091B0D" w14:textId="77777777" w:rsidR="006E4B35" w:rsidRPr="00A55335" w:rsidRDefault="006E4B35" w:rsidP="006E4B35">
      <w:pPr>
        <w:pStyle w:val="TableFigNotes18"/>
      </w:pPr>
    </w:p>
    <w:p w14:paraId="66D02680" w14:textId="77777777" w:rsidR="00DD505D" w:rsidRPr="00A55335" w:rsidRDefault="00DD505D" w:rsidP="004D433B">
      <w:pPr>
        <w:pStyle w:val="Heading3"/>
      </w:pPr>
      <w:bookmarkStart w:id="415" w:name="_Toc183441391"/>
      <w:r w:rsidRPr="00A55335">
        <w:t>Summary of findings and evidence statements</w:t>
      </w:r>
      <w:bookmarkEnd w:id="415"/>
    </w:p>
    <w:p w14:paraId="477DE059" w14:textId="70974379" w:rsidR="008C315C" w:rsidRPr="00A55335" w:rsidRDefault="006070ED" w:rsidP="008C315C">
      <w:pPr>
        <w:pStyle w:val="Heading4"/>
      </w:pPr>
      <w:bookmarkStart w:id="416" w:name="_Ref142062378"/>
      <w:r w:rsidRPr="00A55335">
        <w:t>Primary Comparison</w:t>
      </w:r>
      <w:r w:rsidR="008C315C" w:rsidRPr="00A55335">
        <w:t xml:space="preserve"> (vs placebo)</w:t>
      </w:r>
      <w:bookmarkEnd w:id="416"/>
      <w:r w:rsidR="008C315C" w:rsidRPr="00A55335">
        <w:t xml:space="preserve"> </w:t>
      </w:r>
    </w:p>
    <w:tbl>
      <w:tblPr>
        <w:tblW w:w="5029" w:type="pct"/>
        <w:tblInd w:w="-57" w:type="dxa"/>
        <w:tblLayout w:type="fixed"/>
        <w:tblCellMar>
          <w:top w:w="57" w:type="dxa"/>
          <w:left w:w="57" w:type="dxa"/>
          <w:bottom w:w="57" w:type="dxa"/>
          <w:right w:w="57" w:type="dxa"/>
        </w:tblCellMar>
        <w:tblLook w:val="04A0" w:firstRow="1" w:lastRow="0" w:firstColumn="1" w:lastColumn="0" w:noHBand="0" w:noVBand="1"/>
      </w:tblPr>
      <w:tblGrid>
        <w:gridCol w:w="1899"/>
        <w:gridCol w:w="1347"/>
        <w:gridCol w:w="1347"/>
        <w:gridCol w:w="851"/>
        <w:gridCol w:w="1133"/>
        <w:gridCol w:w="1135"/>
        <w:gridCol w:w="2090"/>
      </w:tblGrid>
      <w:tr w:rsidR="00DD505D" w:rsidRPr="00A55335" w14:paraId="7A1D2E99" w14:textId="77777777" w:rsidTr="004E5FEE">
        <w:trPr>
          <w:cantSplit/>
          <w:tblHeader/>
        </w:trPr>
        <w:tc>
          <w:tcPr>
            <w:tcW w:w="5000" w:type="pct"/>
            <w:gridSpan w:val="7"/>
            <w:tcBorders>
              <w:top w:val="single" w:sz="12" w:space="0" w:color="000000"/>
              <w:left w:val="nil"/>
              <w:bottom w:val="single" w:sz="12" w:space="0" w:color="000000"/>
              <w:right w:val="nil"/>
            </w:tcBorders>
            <w:vAlign w:val="center"/>
            <w:hideMark/>
          </w:tcPr>
          <w:p w14:paraId="5A61EF10" w14:textId="204559F1" w:rsidR="00DD505D" w:rsidRPr="00A55335" w:rsidRDefault="00DD505D" w:rsidP="008C315C">
            <w:pPr>
              <w:pStyle w:val="TableH1"/>
              <w:rPr>
                <w:szCs w:val="18"/>
                <w:lang w:val="en-AU"/>
              </w:rPr>
            </w:pPr>
            <w:r w:rsidRPr="00A55335">
              <w:rPr>
                <w:lang w:val="en-AU"/>
              </w:rPr>
              <w:t xml:space="preserve">Homeopathy compared to </w:t>
            </w:r>
            <w:r w:rsidRPr="00A55335">
              <w:rPr>
                <w:bCs/>
                <w:szCs w:val="18"/>
                <w:lang w:val="en-AU"/>
              </w:rPr>
              <w:t xml:space="preserve">placebo for </w:t>
            </w:r>
            <w:r w:rsidR="00062124" w:rsidRPr="00A55335">
              <w:rPr>
                <w:lang w:val="en-AU"/>
              </w:rPr>
              <w:t>A</w:t>
            </w:r>
            <w:r w:rsidR="00822D21" w:rsidRPr="00A55335">
              <w:rPr>
                <w:lang w:val="en-AU"/>
              </w:rPr>
              <w:t>rthropathies</w:t>
            </w:r>
          </w:p>
        </w:tc>
      </w:tr>
      <w:tr w:rsidR="00DD505D" w:rsidRPr="00A55335" w14:paraId="58C6A9FD" w14:textId="77777777" w:rsidTr="004E5FEE">
        <w:trPr>
          <w:cantSplit/>
          <w:tblHeader/>
        </w:trPr>
        <w:tc>
          <w:tcPr>
            <w:tcW w:w="5000" w:type="pct"/>
            <w:gridSpan w:val="7"/>
            <w:tcBorders>
              <w:top w:val="single" w:sz="12" w:space="0" w:color="000000"/>
              <w:left w:val="nil"/>
              <w:bottom w:val="single" w:sz="12" w:space="0" w:color="000000"/>
              <w:right w:val="nil"/>
            </w:tcBorders>
            <w:vAlign w:val="center"/>
            <w:hideMark/>
          </w:tcPr>
          <w:p w14:paraId="4C91921A" w14:textId="19184B90" w:rsidR="00DD505D" w:rsidRPr="00A55335" w:rsidRDefault="00DD505D" w:rsidP="008C315C">
            <w:pPr>
              <w:pStyle w:val="Tabletext9pt"/>
            </w:pPr>
            <w:r w:rsidRPr="00A55335">
              <w:rPr>
                <w:rStyle w:val="Strong"/>
              </w:rPr>
              <w:t>Patient or population:</w:t>
            </w:r>
            <w:r w:rsidRPr="00A55335">
              <w:t xml:space="preserve"> </w:t>
            </w:r>
            <w:r w:rsidR="00822D21" w:rsidRPr="00A55335">
              <w:t>Arthropathies</w:t>
            </w:r>
          </w:p>
          <w:p w14:paraId="079EC64A" w14:textId="77777777" w:rsidR="00DD505D" w:rsidRPr="00A55335" w:rsidRDefault="00DD505D" w:rsidP="008C315C">
            <w:pPr>
              <w:pStyle w:val="Tabletext9pt"/>
            </w:pPr>
            <w:r w:rsidRPr="00A55335">
              <w:rPr>
                <w:rStyle w:val="Strong"/>
              </w:rPr>
              <w:t>Setting:</w:t>
            </w:r>
            <w:r w:rsidRPr="00A55335">
              <w:t xml:space="preserve"> Community</w:t>
            </w:r>
          </w:p>
          <w:p w14:paraId="7129CC5D" w14:textId="77777777" w:rsidR="00DD505D" w:rsidRPr="00A55335" w:rsidRDefault="00DD505D" w:rsidP="008C315C">
            <w:pPr>
              <w:pStyle w:val="Tabletext9pt"/>
            </w:pPr>
            <w:r w:rsidRPr="00A55335">
              <w:rPr>
                <w:rStyle w:val="Strong"/>
              </w:rPr>
              <w:t>Intervention:</w:t>
            </w:r>
            <w:r w:rsidRPr="00A55335">
              <w:t xml:space="preserve"> Homeopathy</w:t>
            </w:r>
          </w:p>
          <w:p w14:paraId="6B91F090" w14:textId="77777777" w:rsidR="00DD505D" w:rsidRPr="00A55335" w:rsidRDefault="00DD505D" w:rsidP="008C315C">
            <w:pPr>
              <w:pStyle w:val="Tabletext9pt"/>
            </w:pPr>
            <w:r w:rsidRPr="00A55335">
              <w:rPr>
                <w:rStyle w:val="Strong"/>
              </w:rPr>
              <w:t>Comparison:</w:t>
            </w:r>
            <w:r w:rsidRPr="00A55335">
              <w:t xml:space="preserve"> Placebo</w:t>
            </w:r>
          </w:p>
        </w:tc>
      </w:tr>
      <w:tr w:rsidR="00F75B9E" w:rsidRPr="00A55335" w14:paraId="1196F9D1" w14:textId="77777777" w:rsidTr="004E5FEE">
        <w:trPr>
          <w:cantSplit/>
          <w:tblHeader/>
        </w:trPr>
        <w:tc>
          <w:tcPr>
            <w:tcW w:w="969" w:type="pct"/>
            <w:vMerge w:val="restart"/>
            <w:tcBorders>
              <w:right w:val="single" w:sz="6" w:space="0" w:color="EFEFEF"/>
            </w:tcBorders>
            <w:shd w:val="clear" w:color="auto" w:fill="006579" w:themeFill="accent2"/>
            <w:vAlign w:val="bottom"/>
            <w:hideMark/>
          </w:tcPr>
          <w:p w14:paraId="58743B7B" w14:textId="77777777" w:rsidR="00DD505D" w:rsidRPr="00A55335" w:rsidRDefault="00DD505D" w:rsidP="008C315C">
            <w:pPr>
              <w:pStyle w:val="Tabletext8pt"/>
              <w:rPr>
                <w:b/>
                <w:bCs/>
                <w:color w:val="F9F9F9" w:themeColor="background1"/>
              </w:rPr>
            </w:pPr>
            <w:r w:rsidRPr="00A55335">
              <w:rPr>
                <w:b/>
                <w:bCs/>
                <w:color w:val="F9F9F9" w:themeColor="background1"/>
              </w:rPr>
              <w:t>Outcomes</w:t>
            </w:r>
          </w:p>
        </w:tc>
        <w:tc>
          <w:tcPr>
            <w:tcW w:w="1374" w:type="pct"/>
            <w:gridSpan w:val="2"/>
            <w:tcBorders>
              <w:top w:val="single" w:sz="6" w:space="0" w:color="EFEFEF"/>
              <w:right w:val="single" w:sz="6" w:space="0" w:color="EFEFEF"/>
            </w:tcBorders>
            <w:shd w:val="clear" w:color="auto" w:fill="E0E0E0"/>
            <w:vAlign w:val="bottom"/>
            <w:hideMark/>
          </w:tcPr>
          <w:p w14:paraId="7E1ABF16" w14:textId="77777777" w:rsidR="00DD505D" w:rsidRPr="00A55335" w:rsidRDefault="00DD505D" w:rsidP="00A44D66">
            <w:pPr>
              <w:pStyle w:val="Tabletext8pt"/>
              <w:rPr>
                <w:b/>
              </w:rPr>
            </w:pPr>
            <w:r w:rsidRPr="00A55335">
              <w:rPr>
                <w:rStyle w:val="Strong"/>
              </w:rPr>
              <w:t>Anticipated absolute effects* (95% CI)</w:t>
            </w:r>
          </w:p>
        </w:tc>
        <w:tc>
          <w:tcPr>
            <w:tcW w:w="434" w:type="pct"/>
            <w:vMerge w:val="restart"/>
            <w:tcBorders>
              <w:right w:val="single" w:sz="6" w:space="0" w:color="EFEFEF"/>
            </w:tcBorders>
            <w:shd w:val="clear" w:color="auto" w:fill="006579" w:themeFill="accent2"/>
            <w:vAlign w:val="bottom"/>
            <w:hideMark/>
          </w:tcPr>
          <w:p w14:paraId="6321B44A" w14:textId="77777777" w:rsidR="00DD505D" w:rsidRPr="00A55335" w:rsidRDefault="00DD505D" w:rsidP="008C315C">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78" w:type="pct"/>
            <w:vMerge w:val="restart"/>
            <w:tcBorders>
              <w:right w:val="single" w:sz="6" w:space="0" w:color="EFEFEF"/>
            </w:tcBorders>
            <w:shd w:val="clear" w:color="auto" w:fill="006579" w:themeFill="accent2"/>
            <w:vAlign w:val="bottom"/>
            <w:hideMark/>
          </w:tcPr>
          <w:p w14:paraId="1F0E5A1E" w14:textId="77777777" w:rsidR="00DD505D" w:rsidRPr="00A55335" w:rsidRDefault="00DD505D" w:rsidP="008C315C">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79" w:type="pct"/>
            <w:vMerge w:val="restart"/>
            <w:tcBorders>
              <w:right w:val="single" w:sz="6" w:space="0" w:color="EFEFEF"/>
            </w:tcBorders>
            <w:shd w:val="clear" w:color="auto" w:fill="006579" w:themeFill="accent2"/>
            <w:vAlign w:val="bottom"/>
            <w:hideMark/>
          </w:tcPr>
          <w:p w14:paraId="04A40592" w14:textId="77777777" w:rsidR="00DD505D" w:rsidRPr="00A55335" w:rsidRDefault="00DD505D" w:rsidP="008C315C">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66" w:type="pct"/>
            <w:vMerge w:val="restart"/>
            <w:tcBorders>
              <w:right w:val="single" w:sz="6" w:space="0" w:color="EFEFEF"/>
            </w:tcBorders>
            <w:shd w:val="clear" w:color="auto" w:fill="006579" w:themeFill="accent2"/>
            <w:vAlign w:val="bottom"/>
            <w:hideMark/>
          </w:tcPr>
          <w:p w14:paraId="23766F42" w14:textId="77777777" w:rsidR="00DD505D" w:rsidRPr="00A55335" w:rsidRDefault="00DD505D" w:rsidP="008C315C">
            <w:pPr>
              <w:pStyle w:val="Tabletext8pt"/>
              <w:rPr>
                <w:b/>
                <w:bCs/>
                <w:color w:val="F9F9F9" w:themeColor="background1"/>
              </w:rPr>
            </w:pPr>
            <w:r w:rsidRPr="00A55335">
              <w:rPr>
                <w:b/>
                <w:bCs/>
                <w:color w:val="F9F9F9" w:themeColor="background1"/>
              </w:rPr>
              <w:t>Evidence statement</w:t>
            </w:r>
          </w:p>
        </w:tc>
      </w:tr>
      <w:tr w:rsidR="00F75B9E" w:rsidRPr="00A55335" w14:paraId="52C485D2" w14:textId="77777777" w:rsidTr="00244C43">
        <w:trPr>
          <w:cantSplit/>
          <w:tblHeader/>
        </w:trPr>
        <w:tc>
          <w:tcPr>
            <w:tcW w:w="969" w:type="pct"/>
            <w:vMerge/>
            <w:tcBorders>
              <w:right w:val="single" w:sz="6" w:space="0" w:color="EFEFEF"/>
            </w:tcBorders>
            <w:shd w:val="clear" w:color="auto" w:fill="006579" w:themeFill="accent2"/>
            <w:vAlign w:val="center"/>
            <w:hideMark/>
          </w:tcPr>
          <w:p w14:paraId="67FA7B4C" w14:textId="77777777" w:rsidR="00DD505D" w:rsidRPr="00A55335" w:rsidRDefault="00DD505D" w:rsidP="008C315C">
            <w:pPr>
              <w:pStyle w:val="Tabletext"/>
              <w:rPr>
                <w:rFonts w:eastAsiaTheme="minorEastAsia"/>
                <w:sz w:val="16"/>
              </w:rPr>
            </w:pPr>
          </w:p>
        </w:tc>
        <w:tc>
          <w:tcPr>
            <w:tcW w:w="687" w:type="pct"/>
            <w:tcBorders>
              <w:top w:val="single" w:sz="6" w:space="0" w:color="EFEFEF"/>
              <w:right w:val="single" w:sz="6" w:space="0" w:color="EFEFEF"/>
            </w:tcBorders>
            <w:shd w:val="clear" w:color="auto" w:fill="E0E0E0"/>
            <w:vAlign w:val="bottom"/>
            <w:hideMark/>
          </w:tcPr>
          <w:p w14:paraId="0F59118B" w14:textId="77777777" w:rsidR="00DD505D" w:rsidRPr="00A55335" w:rsidRDefault="00DD505D" w:rsidP="008C315C">
            <w:pPr>
              <w:pStyle w:val="Tabletext8pt"/>
              <w:rPr>
                <w:rStyle w:val="Strong"/>
              </w:rPr>
            </w:pPr>
            <w:r w:rsidRPr="00A55335">
              <w:rPr>
                <w:rStyle w:val="Strong"/>
              </w:rPr>
              <w:t>Risk with Placebo</w:t>
            </w:r>
          </w:p>
        </w:tc>
        <w:tc>
          <w:tcPr>
            <w:tcW w:w="687" w:type="pct"/>
            <w:tcBorders>
              <w:top w:val="single" w:sz="6" w:space="0" w:color="EFEFEF"/>
              <w:right w:val="single" w:sz="6" w:space="0" w:color="EFEFEF"/>
            </w:tcBorders>
            <w:shd w:val="clear" w:color="auto" w:fill="E0E0E0"/>
            <w:vAlign w:val="bottom"/>
            <w:hideMark/>
          </w:tcPr>
          <w:p w14:paraId="6702A96E" w14:textId="77777777" w:rsidR="00DD505D" w:rsidRPr="00A55335" w:rsidRDefault="00DD505D" w:rsidP="008C315C">
            <w:pPr>
              <w:pStyle w:val="Tabletext8pt"/>
              <w:rPr>
                <w:rStyle w:val="Strong"/>
              </w:rPr>
            </w:pPr>
            <w:r w:rsidRPr="00A55335">
              <w:rPr>
                <w:rStyle w:val="Strong"/>
              </w:rPr>
              <w:t>Risk with Homeopathy</w:t>
            </w:r>
          </w:p>
        </w:tc>
        <w:tc>
          <w:tcPr>
            <w:tcW w:w="434" w:type="pct"/>
            <w:vMerge/>
            <w:tcBorders>
              <w:right w:val="single" w:sz="6" w:space="0" w:color="EFEFEF"/>
            </w:tcBorders>
            <w:shd w:val="clear" w:color="auto" w:fill="006579" w:themeFill="accent2"/>
            <w:vAlign w:val="center"/>
            <w:hideMark/>
          </w:tcPr>
          <w:p w14:paraId="6C2ADA0B" w14:textId="77777777" w:rsidR="00DD505D" w:rsidRPr="00A55335" w:rsidRDefault="00DD505D" w:rsidP="008C315C">
            <w:pPr>
              <w:pStyle w:val="Tabletext8pt"/>
              <w:rPr>
                <w:rFonts w:eastAsiaTheme="minorEastAsia"/>
                <w:b/>
                <w:bCs/>
                <w:color w:val="F9F9F9" w:themeColor="background1"/>
              </w:rPr>
            </w:pPr>
          </w:p>
        </w:tc>
        <w:tc>
          <w:tcPr>
            <w:tcW w:w="578" w:type="pct"/>
            <w:vMerge/>
            <w:tcBorders>
              <w:right w:val="single" w:sz="6" w:space="0" w:color="EFEFEF"/>
            </w:tcBorders>
            <w:shd w:val="clear" w:color="auto" w:fill="006579" w:themeFill="accent2"/>
            <w:vAlign w:val="center"/>
            <w:hideMark/>
          </w:tcPr>
          <w:p w14:paraId="42FBC637" w14:textId="77777777" w:rsidR="00DD505D" w:rsidRPr="00A55335" w:rsidRDefault="00DD505D" w:rsidP="008C315C">
            <w:pPr>
              <w:pStyle w:val="Tabletext8pt"/>
              <w:rPr>
                <w:rFonts w:eastAsiaTheme="minorEastAsia"/>
                <w:b/>
                <w:bCs/>
                <w:color w:val="F9F9F9" w:themeColor="background1"/>
              </w:rPr>
            </w:pPr>
          </w:p>
        </w:tc>
        <w:tc>
          <w:tcPr>
            <w:tcW w:w="579" w:type="pct"/>
            <w:vMerge/>
            <w:tcBorders>
              <w:right w:val="single" w:sz="6" w:space="0" w:color="EFEFEF"/>
            </w:tcBorders>
            <w:shd w:val="clear" w:color="auto" w:fill="006579" w:themeFill="accent2"/>
            <w:vAlign w:val="center"/>
            <w:hideMark/>
          </w:tcPr>
          <w:p w14:paraId="4FF00D50" w14:textId="77777777" w:rsidR="00DD505D" w:rsidRPr="00A55335" w:rsidRDefault="00DD505D" w:rsidP="008C315C">
            <w:pPr>
              <w:pStyle w:val="Tabletext8pt"/>
              <w:rPr>
                <w:rFonts w:eastAsiaTheme="minorEastAsia"/>
                <w:b/>
                <w:bCs/>
                <w:color w:val="F9F9F9" w:themeColor="background1"/>
              </w:rPr>
            </w:pPr>
          </w:p>
        </w:tc>
        <w:tc>
          <w:tcPr>
            <w:tcW w:w="1066" w:type="pct"/>
            <w:vMerge/>
            <w:tcBorders>
              <w:right w:val="single" w:sz="6" w:space="0" w:color="EFEFEF"/>
            </w:tcBorders>
            <w:shd w:val="clear" w:color="auto" w:fill="006579" w:themeFill="accent2"/>
            <w:vAlign w:val="center"/>
            <w:hideMark/>
          </w:tcPr>
          <w:p w14:paraId="473B8E07" w14:textId="77777777" w:rsidR="00DD505D" w:rsidRPr="00A55335" w:rsidRDefault="00DD505D" w:rsidP="008C315C">
            <w:pPr>
              <w:pStyle w:val="Tabletext8pt"/>
              <w:rPr>
                <w:rFonts w:eastAsiaTheme="minorEastAsia"/>
                <w:b/>
                <w:bCs/>
                <w:color w:val="F9F9F9" w:themeColor="background1"/>
              </w:rPr>
            </w:pPr>
          </w:p>
        </w:tc>
      </w:tr>
      <w:tr w:rsidR="007441CD" w:rsidRPr="00A55335" w14:paraId="5E5AC895" w14:textId="77777777" w:rsidTr="00244C43">
        <w:trPr>
          <w:cantSplit/>
        </w:trPr>
        <w:tc>
          <w:tcPr>
            <w:tcW w:w="969" w:type="pct"/>
            <w:tcBorders>
              <w:top w:val="single" w:sz="6" w:space="0" w:color="000000"/>
              <w:left w:val="nil"/>
              <w:bottom w:val="single" w:sz="6" w:space="0" w:color="000000"/>
              <w:right w:val="nil"/>
            </w:tcBorders>
            <w:vAlign w:val="center"/>
            <w:hideMark/>
          </w:tcPr>
          <w:p w14:paraId="584EBCFA" w14:textId="47D0FBDC" w:rsidR="00DD505D" w:rsidRPr="00A55335" w:rsidRDefault="00DD505D" w:rsidP="004B2271">
            <w:pPr>
              <w:pStyle w:val="Tabletext8pt"/>
              <w:rPr>
                <w:rFonts w:eastAsia="Times New Roman"/>
              </w:rPr>
            </w:pPr>
            <w:r w:rsidRPr="00A55335">
              <w:t>Pain intensity</w:t>
            </w:r>
            <w:r w:rsidRPr="00A55335">
              <w:rPr>
                <w:rFonts w:eastAsia="Times New Roman"/>
              </w:rPr>
              <w:br/>
            </w:r>
            <w:r w:rsidRPr="00A55335">
              <w:t>assessed with: VAS (higher is worse)</w:t>
            </w:r>
            <w:r w:rsidRPr="00A55335">
              <w:rPr>
                <w:rFonts w:eastAsia="Times New Roman"/>
              </w:rPr>
              <w:br/>
            </w:r>
            <w:r w:rsidRPr="00A55335">
              <w:t>Scale from: 0 to 100</w:t>
            </w:r>
            <w:r w:rsidRPr="00A55335">
              <w:rPr>
                <w:rFonts w:eastAsia="Times New Roman"/>
              </w:rPr>
              <w:br/>
            </w:r>
            <w:r w:rsidRPr="00A55335">
              <w:t>follow-up: range 2 weeks to 24 weeks</w:t>
            </w:r>
          </w:p>
        </w:tc>
        <w:tc>
          <w:tcPr>
            <w:tcW w:w="687" w:type="pct"/>
            <w:tcBorders>
              <w:top w:val="single" w:sz="6" w:space="0" w:color="000000"/>
              <w:left w:val="nil"/>
              <w:bottom w:val="single" w:sz="6" w:space="0" w:color="000000"/>
              <w:right w:val="nil"/>
            </w:tcBorders>
            <w:shd w:val="clear" w:color="auto" w:fill="EBEBEB"/>
            <w:vAlign w:val="center"/>
            <w:hideMark/>
          </w:tcPr>
          <w:p w14:paraId="5FB4AE0B" w14:textId="77777777" w:rsidR="00DD505D" w:rsidRPr="00A55335" w:rsidRDefault="00DD505D" w:rsidP="00D15F87">
            <w:pPr>
              <w:pStyle w:val="Tabletext8pt"/>
              <w:jc w:val="center"/>
              <w:rPr>
                <w:rFonts w:eastAsia="Times New Roman"/>
              </w:rPr>
            </w:pPr>
            <w:r w:rsidRPr="00A55335">
              <w:t>-</w:t>
            </w:r>
          </w:p>
        </w:tc>
        <w:tc>
          <w:tcPr>
            <w:tcW w:w="687" w:type="pct"/>
            <w:tcBorders>
              <w:top w:val="single" w:sz="6" w:space="0" w:color="000000"/>
              <w:left w:val="nil"/>
              <w:bottom w:val="single" w:sz="6" w:space="0" w:color="000000"/>
              <w:right w:val="nil"/>
            </w:tcBorders>
            <w:shd w:val="clear" w:color="auto" w:fill="EBEBEB"/>
            <w:hideMark/>
          </w:tcPr>
          <w:p w14:paraId="3185B310" w14:textId="6F0D2C75" w:rsidR="00DD505D" w:rsidRPr="00A55335" w:rsidRDefault="00DD505D" w:rsidP="00D15F87">
            <w:pPr>
              <w:pStyle w:val="Tabletext8pt"/>
              <w:jc w:val="center"/>
              <w:rPr>
                <w:rFonts w:eastAsia="Times New Roman"/>
              </w:rPr>
            </w:pPr>
            <w:r w:rsidRPr="00A55335">
              <w:t xml:space="preserve">SMD </w:t>
            </w:r>
            <w:r w:rsidRPr="00A55335">
              <w:rPr>
                <w:rStyle w:val="Strong"/>
              </w:rPr>
              <w:t>0.01 SD lower</w:t>
            </w:r>
            <w:r w:rsidRPr="00A55335">
              <w:rPr>
                <w:rStyle w:val="Strong"/>
              </w:rPr>
              <w:br/>
            </w:r>
            <w:r w:rsidRPr="00A55335">
              <w:t>(0.36 lower to 0.39 higher)</w:t>
            </w:r>
          </w:p>
        </w:tc>
        <w:tc>
          <w:tcPr>
            <w:tcW w:w="434" w:type="pct"/>
            <w:tcBorders>
              <w:top w:val="single" w:sz="6" w:space="0" w:color="000000"/>
              <w:left w:val="nil"/>
              <w:bottom w:val="single" w:sz="6" w:space="0" w:color="000000"/>
              <w:right w:val="nil"/>
            </w:tcBorders>
            <w:vAlign w:val="center"/>
            <w:hideMark/>
          </w:tcPr>
          <w:p w14:paraId="71334932" w14:textId="77777777" w:rsidR="00DD505D" w:rsidRPr="00A55335" w:rsidRDefault="00DD505D" w:rsidP="00D15F87">
            <w:pPr>
              <w:pStyle w:val="Tabletext8pt"/>
              <w:jc w:val="center"/>
              <w:rPr>
                <w:rFonts w:eastAsia="Times New Roman"/>
              </w:rPr>
            </w:pPr>
            <w:r w:rsidRPr="00A55335">
              <w:t>-</w:t>
            </w:r>
          </w:p>
        </w:tc>
        <w:tc>
          <w:tcPr>
            <w:tcW w:w="578" w:type="pct"/>
            <w:tcBorders>
              <w:top w:val="single" w:sz="6" w:space="0" w:color="000000"/>
              <w:left w:val="nil"/>
              <w:bottom w:val="single" w:sz="6" w:space="0" w:color="000000"/>
              <w:right w:val="nil"/>
            </w:tcBorders>
            <w:vAlign w:val="center"/>
            <w:hideMark/>
          </w:tcPr>
          <w:p w14:paraId="578C01F1" w14:textId="77777777" w:rsidR="00DD505D" w:rsidRPr="00A55335" w:rsidRDefault="00DD505D" w:rsidP="00D15F87">
            <w:pPr>
              <w:pStyle w:val="Tabletext8pt"/>
              <w:jc w:val="center"/>
            </w:pPr>
            <w:r w:rsidRPr="00A55335">
              <w:t>112</w:t>
            </w:r>
            <w:r w:rsidRPr="00A55335">
              <w:br/>
              <w:t>(2 RCTs) †</w:t>
            </w:r>
          </w:p>
        </w:tc>
        <w:tc>
          <w:tcPr>
            <w:tcW w:w="579" w:type="pct"/>
            <w:tcBorders>
              <w:top w:val="single" w:sz="6" w:space="0" w:color="000000"/>
              <w:left w:val="nil"/>
              <w:bottom w:val="single" w:sz="6" w:space="0" w:color="000000"/>
              <w:right w:val="nil"/>
            </w:tcBorders>
            <w:vAlign w:val="center"/>
            <w:hideMark/>
          </w:tcPr>
          <w:p w14:paraId="31336147" w14:textId="3EFDE45D" w:rsidR="00DD505D" w:rsidRPr="00A55335" w:rsidRDefault="00DD505D" w:rsidP="004B2271">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a,b,c</w:t>
            </w:r>
            <w:r w:rsidR="004E5FEE" w:rsidRPr="00A55335">
              <w:rPr>
                <w:rStyle w:val="FootnoteReference"/>
              </w:rPr>
              <w:t>,d,e</w:t>
            </w:r>
            <w:proofErr w:type="spellEnd"/>
          </w:p>
        </w:tc>
        <w:tc>
          <w:tcPr>
            <w:tcW w:w="1066" w:type="pct"/>
            <w:tcBorders>
              <w:top w:val="single" w:sz="6" w:space="0" w:color="000000"/>
              <w:left w:val="nil"/>
              <w:bottom w:val="single" w:sz="6" w:space="0" w:color="000000"/>
              <w:right w:val="nil"/>
            </w:tcBorders>
            <w:vAlign w:val="center"/>
            <w:hideMark/>
          </w:tcPr>
          <w:p w14:paraId="1B27BBC2" w14:textId="69A152DE" w:rsidR="00DD505D" w:rsidRPr="00A55335" w:rsidRDefault="00DD505D" w:rsidP="004B2271">
            <w:pPr>
              <w:pStyle w:val="Tabletext8pt"/>
            </w:pPr>
            <w:r w:rsidRPr="00A55335">
              <w:t xml:space="preserve">The evidence is very uncertain about the effect of homeopathy on pain intensity in </w:t>
            </w:r>
            <w:r w:rsidR="003A3409" w:rsidRPr="00A55335">
              <w:rPr>
                <w:rFonts w:cs="Montserrat"/>
                <w:color w:val="000000"/>
              </w:rPr>
              <w:t>people with</w:t>
            </w:r>
            <w:r w:rsidRPr="00A55335">
              <w:t xml:space="preserve"> </w:t>
            </w:r>
            <w:proofErr w:type="gramStart"/>
            <w:r w:rsidRPr="00A55335">
              <w:t>arthritis</w:t>
            </w:r>
            <w:r w:rsidR="001C13E7">
              <w:t xml:space="preserve"> </w:t>
            </w:r>
            <w:r w:rsidR="001C13E7" w:rsidRPr="00A55335">
              <w:t xml:space="preserve"> *</w:t>
            </w:r>
            <w:proofErr w:type="gramEnd"/>
            <w:r w:rsidR="001C13E7" w:rsidRPr="00A55335">
              <w:t>*</w:t>
            </w:r>
          </w:p>
        </w:tc>
      </w:tr>
      <w:tr w:rsidR="007441CD" w:rsidRPr="00A55335" w14:paraId="19C0EA42" w14:textId="77777777" w:rsidTr="00244C43">
        <w:trPr>
          <w:cantSplit/>
        </w:trPr>
        <w:tc>
          <w:tcPr>
            <w:tcW w:w="969" w:type="pct"/>
            <w:tcBorders>
              <w:top w:val="single" w:sz="6" w:space="0" w:color="000000"/>
              <w:left w:val="nil"/>
              <w:bottom w:val="single" w:sz="6" w:space="0" w:color="000000"/>
              <w:right w:val="nil"/>
            </w:tcBorders>
            <w:vAlign w:val="center"/>
            <w:hideMark/>
          </w:tcPr>
          <w:p w14:paraId="5BCDE46D" w14:textId="385FB427" w:rsidR="00DD505D" w:rsidRPr="00A55335" w:rsidRDefault="00DD505D" w:rsidP="004B2271">
            <w:pPr>
              <w:pStyle w:val="Tabletext8pt"/>
              <w:rPr>
                <w:rFonts w:eastAsia="Times New Roman"/>
              </w:rPr>
            </w:pPr>
            <w:r w:rsidRPr="00A55335">
              <w:t>Physical function</w:t>
            </w:r>
            <w:r w:rsidR="004E5FEE" w:rsidRPr="00A55335">
              <w:t>ing</w:t>
            </w:r>
            <w:r w:rsidR="00531458" w:rsidRPr="00A55335">
              <w:t>/ disability</w:t>
            </w:r>
            <w:r w:rsidRPr="00A55335">
              <w:rPr>
                <w:rFonts w:eastAsia="Times New Roman"/>
              </w:rPr>
              <w:br/>
            </w:r>
            <w:r w:rsidRPr="00A55335">
              <w:t>assessed with: HAQ, VAS (higher is worse)</w:t>
            </w:r>
            <w:r w:rsidRPr="00A55335">
              <w:rPr>
                <w:rFonts w:eastAsia="Times New Roman"/>
              </w:rPr>
              <w:br/>
            </w:r>
            <w:r w:rsidRPr="00A55335">
              <w:t>Scale from: 0 to 100</w:t>
            </w:r>
            <w:r w:rsidRPr="00A55335">
              <w:rPr>
                <w:rFonts w:eastAsia="Times New Roman"/>
              </w:rPr>
              <w:br/>
            </w:r>
            <w:r w:rsidRPr="00A55335">
              <w:t>follow-up: 2 weeks</w:t>
            </w:r>
          </w:p>
        </w:tc>
        <w:tc>
          <w:tcPr>
            <w:tcW w:w="687" w:type="pct"/>
            <w:tcBorders>
              <w:top w:val="single" w:sz="6" w:space="0" w:color="000000"/>
              <w:left w:val="nil"/>
              <w:bottom w:val="single" w:sz="6" w:space="0" w:color="000000"/>
              <w:right w:val="nil"/>
            </w:tcBorders>
            <w:shd w:val="clear" w:color="auto" w:fill="EBEBEB"/>
            <w:vAlign w:val="center"/>
            <w:hideMark/>
          </w:tcPr>
          <w:p w14:paraId="04C123CF" w14:textId="77777777" w:rsidR="00DD505D" w:rsidRPr="00A55335" w:rsidRDefault="00DD505D" w:rsidP="00D15F87">
            <w:pPr>
              <w:pStyle w:val="Tabletext8pt"/>
              <w:jc w:val="center"/>
              <w:rPr>
                <w:rFonts w:eastAsia="Times New Roman"/>
              </w:rPr>
            </w:pPr>
            <w:r w:rsidRPr="00A55335">
              <w:t>-</w:t>
            </w:r>
          </w:p>
        </w:tc>
        <w:tc>
          <w:tcPr>
            <w:tcW w:w="687" w:type="pct"/>
            <w:tcBorders>
              <w:top w:val="single" w:sz="6" w:space="0" w:color="000000"/>
              <w:left w:val="nil"/>
              <w:bottom w:val="single" w:sz="6" w:space="0" w:color="000000"/>
              <w:right w:val="nil"/>
            </w:tcBorders>
            <w:shd w:val="clear" w:color="auto" w:fill="EBEBEB"/>
            <w:hideMark/>
          </w:tcPr>
          <w:p w14:paraId="0087797F" w14:textId="7FF35E85" w:rsidR="00DD505D" w:rsidRPr="00A55335" w:rsidRDefault="00DD505D" w:rsidP="00D15F87">
            <w:pPr>
              <w:pStyle w:val="Tabletext8pt"/>
              <w:jc w:val="center"/>
              <w:rPr>
                <w:rFonts w:eastAsia="Times New Roman"/>
              </w:rPr>
            </w:pPr>
            <w:r w:rsidRPr="00A55335">
              <w:t xml:space="preserve">SMD </w:t>
            </w:r>
            <w:r w:rsidRPr="00A55335">
              <w:rPr>
                <w:rStyle w:val="Strong"/>
              </w:rPr>
              <w:t>0.05 SD lower</w:t>
            </w:r>
            <w:r w:rsidRPr="00A55335">
              <w:rPr>
                <w:rStyle w:val="Strong"/>
              </w:rPr>
              <w:br/>
            </w:r>
            <w:r w:rsidRPr="00A55335">
              <w:t>(0.42 lower to 0.32 higher)</w:t>
            </w:r>
            <w:r w:rsidR="00531458" w:rsidRPr="00A55335">
              <w:t xml:space="preserve"> </w:t>
            </w:r>
          </w:p>
        </w:tc>
        <w:tc>
          <w:tcPr>
            <w:tcW w:w="434" w:type="pct"/>
            <w:tcBorders>
              <w:top w:val="single" w:sz="6" w:space="0" w:color="000000"/>
              <w:left w:val="nil"/>
              <w:bottom w:val="single" w:sz="6" w:space="0" w:color="000000"/>
              <w:right w:val="nil"/>
            </w:tcBorders>
            <w:vAlign w:val="center"/>
            <w:hideMark/>
          </w:tcPr>
          <w:p w14:paraId="684CA093" w14:textId="77777777" w:rsidR="00DD505D" w:rsidRPr="00A55335" w:rsidRDefault="00DD505D" w:rsidP="00D15F87">
            <w:pPr>
              <w:pStyle w:val="Tabletext8pt"/>
              <w:jc w:val="center"/>
              <w:rPr>
                <w:rFonts w:eastAsia="Times New Roman"/>
              </w:rPr>
            </w:pPr>
            <w:r w:rsidRPr="00A55335">
              <w:t>-</w:t>
            </w:r>
          </w:p>
        </w:tc>
        <w:tc>
          <w:tcPr>
            <w:tcW w:w="578" w:type="pct"/>
            <w:tcBorders>
              <w:top w:val="single" w:sz="6" w:space="0" w:color="000000"/>
              <w:left w:val="nil"/>
              <w:bottom w:val="single" w:sz="6" w:space="0" w:color="000000"/>
              <w:right w:val="nil"/>
            </w:tcBorders>
            <w:vAlign w:val="center"/>
            <w:hideMark/>
          </w:tcPr>
          <w:p w14:paraId="5EB92462" w14:textId="77777777" w:rsidR="00DD505D" w:rsidRPr="00A55335" w:rsidRDefault="00DD505D" w:rsidP="00D15F87">
            <w:pPr>
              <w:pStyle w:val="Tabletext8pt"/>
              <w:jc w:val="center"/>
            </w:pPr>
            <w:r w:rsidRPr="00A55335">
              <w:t>114</w:t>
            </w:r>
            <w:r w:rsidRPr="00A55335">
              <w:br/>
              <w:t>(2 RCTs)</w:t>
            </w:r>
          </w:p>
        </w:tc>
        <w:tc>
          <w:tcPr>
            <w:tcW w:w="579" w:type="pct"/>
            <w:tcBorders>
              <w:top w:val="single" w:sz="6" w:space="0" w:color="000000"/>
              <w:left w:val="nil"/>
              <w:bottom w:val="single" w:sz="6" w:space="0" w:color="000000"/>
              <w:right w:val="nil"/>
            </w:tcBorders>
            <w:vAlign w:val="center"/>
            <w:hideMark/>
          </w:tcPr>
          <w:p w14:paraId="7FB5A800" w14:textId="59BF96EC" w:rsidR="00DD505D" w:rsidRPr="00A55335" w:rsidRDefault="00DD505D" w:rsidP="004B2271">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a,b,c</w:t>
            </w:r>
            <w:r w:rsidR="004E5FEE" w:rsidRPr="00A55335">
              <w:rPr>
                <w:rStyle w:val="FootnoteReference"/>
              </w:rPr>
              <w:t>,d,e</w:t>
            </w:r>
            <w:proofErr w:type="spellEnd"/>
          </w:p>
        </w:tc>
        <w:tc>
          <w:tcPr>
            <w:tcW w:w="1066" w:type="pct"/>
            <w:tcBorders>
              <w:top w:val="single" w:sz="6" w:space="0" w:color="000000"/>
              <w:left w:val="nil"/>
              <w:bottom w:val="single" w:sz="6" w:space="0" w:color="000000"/>
              <w:right w:val="nil"/>
            </w:tcBorders>
            <w:vAlign w:val="center"/>
            <w:hideMark/>
          </w:tcPr>
          <w:p w14:paraId="76FB177C" w14:textId="73577273" w:rsidR="00DD505D" w:rsidRPr="00A55335" w:rsidRDefault="00DD505D" w:rsidP="004B2271">
            <w:pPr>
              <w:pStyle w:val="Tabletext8pt"/>
            </w:pPr>
            <w:r w:rsidRPr="00A55335">
              <w:t>The evidence is very uncertain about the effect of homeopathy on physical function/disability in people with arthritis</w:t>
            </w:r>
            <w:r w:rsidR="001C13E7">
              <w:t xml:space="preserve"> </w:t>
            </w:r>
            <w:r w:rsidR="001C13E7" w:rsidRPr="00A55335">
              <w:t>**</w:t>
            </w:r>
          </w:p>
        </w:tc>
      </w:tr>
      <w:tr w:rsidR="00D9526A" w:rsidRPr="00A55335" w14:paraId="6BB60364" w14:textId="77777777" w:rsidTr="00244C43">
        <w:trPr>
          <w:cantSplit/>
        </w:trPr>
        <w:tc>
          <w:tcPr>
            <w:tcW w:w="969" w:type="pct"/>
            <w:tcBorders>
              <w:top w:val="single" w:sz="6" w:space="0" w:color="000000"/>
              <w:left w:val="nil"/>
              <w:bottom w:val="single" w:sz="6" w:space="0" w:color="000000"/>
              <w:right w:val="nil"/>
            </w:tcBorders>
            <w:vAlign w:val="center"/>
            <w:hideMark/>
          </w:tcPr>
          <w:p w14:paraId="5F677D1E" w14:textId="77777777" w:rsidR="00D9526A" w:rsidRPr="00A55335" w:rsidRDefault="00D9526A" w:rsidP="004B2271">
            <w:pPr>
              <w:pStyle w:val="Tabletext8pt"/>
              <w:rPr>
                <w:rFonts w:eastAsia="Times New Roman"/>
              </w:rPr>
            </w:pPr>
            <w:r w:rsidRPr="00A55335">
              <w:lastRenderedPageBreak/>
              <w:t>Disease severity</w:t>
            </w:r>
            <w:r w:rsidRPr="00A55335">
              <w:rPr>
                <w:rFonts w:eastAsia="Times New Roman"/>
              </w:rPr>
              <w:br/>
            </w:r>
            <w:r w:rsidRPr="00A55335">
              <w:t>assessed with: DAS-28</w:t>
            </w:r>
            <w:r w:rsidRPr="00A55335">
              <w:rPr>
                <w:rFonts w:eastAsia="Times New Roman"/>
              </w:rPr>
              <w:br/>
            </w:r>
            <w:r w:rsidRPr="00A55335">
              <w:t>follow-up: 24 weeks</w:t>
            </w:r>
          </w:p>
        </w:tc>
        <w:tc>
          <w:tcPr>
            <w:tcW w:w="687" w:type="pct"/>
            <w:tcBorders>
              <w:top w:val="single" w:sz="6" w:space="0" w:color="000000"/>
              <w:left w:val="nil"/>
              <w:bottom w:val="single" w:sz="6" w:space="0" w:color="000000"/>
              <w:right w:val="nil"/>
            </w:tcBorders>
            <w:shd w:val="clear" w:color="auto" w:fill="EBEBEB"/>
            <w:vAlign w:val="center"/>
            <w:hideMark/>
          </w:tcPr>
          <w:p w14:paraId="2037C197" w14:textId="02E93732" w:rsidR="00D9526A" w:rsidRPr="00A55335" w:rsidRDefault="00D9526A" w:rsidP="00D15F87">
            <w:pPr>
              <w:pStyle w:val="Tabletext8pt"/>
              <w:jc w:val="center"/>
              <w:rPr>
                <w:rFonts w:eastAsia="Times New Roman"/>
              </w:rPr>
            </w:pPr>
            <w:r w:rsidRPr="00A55335">
              <w:t>The mean</w:t>
            </w:r>
            <w:r w:rsidR="005B176A" w:rsidRPr="00A55335">
              <w:t xml:space="preserve"> change in</w:t>
            </w:r>
            <w:r w:rsidRPr="00A55335">
              <w:t xml:space="preserve"> </w:t>
            </w:r>
            <w:r w:rsidR="005B176A" w:rsidRPr="00A55335">
              <w:t>DAS-28 score</w:t>
            </w:r>
            <w:r w:rsidRPr="00A55335">
              <w:t xml:space="preserve"> was </w:t>
            </w:r>
            <w:r w:rsidR="00AD0C18" w:rsidRPr="00A55335">
              <w:rPr>
                <w:rStyle w:val="Strong"/>
              </w:rPr>
              <w:t>0.6548</w:t>
            </w:r>
          </w:p>
        </w:tc>
        <w:tc>
          <w:tcPr>
            <w:tcW w:w="687" w:type="pct"/>
            <w:tcBorders>
              <w:top w:val="single" w:sz="6" w:space="0" w:color="000000"/>
              <w:left w:val="nil"/>
              <w:bottom w:val="single" w:sz="6" w:space="0" w:color="000000"/>
              <w:right w:val="nil"/>
            </w:tcBorders>
            <w:shd w:val="clear" w:color="auto" w:fill="EBEBEB"/>
            <w:hideMark/>
          </w:tcPr>
          <w:p w14:paraId="160A8198" w14:textId="4CFA8ABC" w:rsidR="00D9526A" w:rsidRPr="00A55335" w:rsidRDefault="00D9526A" w:rsidP="00D15F87">
            <w:pPr>
              <w:pStyle w:val="Tabletext8pt"/>
              <w:jc w:val="center"/>
              <w:rPr>
                <w:rFonts w:eastAsia="Times New Roman"/>
              </w:rPr>
            </w:pPr>
            <w:r w:rsidRPr="00A55335">
              <w:t xml:space="preserve">MD </w:t>
            </w:r>
            <w:r w:rsidRPr="00A55335">
              <w:rPr>
                <w:rStyle w:val="Strong"/>
              </w:rPr>
              <w:t xml:space="preserve">0.06 </w:t>
            </w:r>
            <w:r w:rsidR="00AD0C18" w:rsidRPr="00A55335">
              <w:rPr>
                <w:rStyle w:val="Strong"/>
              </w:rPr>
              <w:t>more</w:t>
            </w:r>
            <w:r w:rsidRPr="00A55335">
              <w:rPr>
                <w:rFonts w:eastAsia="Times New Roman"/>
              </w:rPr>
              <w:br/>
            </w:r>
            <w:r w:rsidRPr="00A55335">
              <w:t xml:space="preserve">(0.57 </w:t>
            </w:r>
            <w:r w:rsidR="00AD0C18" w:rsidRPr="00A55335">
              <w:t xml:space="preserve">less </w:t>
            </w:r>
            <w:r w:rsidRPr="00A55335">
              <w:t xml:space="preserve">to 0.68 </w:t>
            </w:r>
            <w:r w:rsidR="00AD0C18" w:rsidRPr="00A55335">
              <w:t>more</w:t>
            </w:r>
            <w:r w:rsidRPr="00A55335">
              <w:t>)</w:t>
            </w:r>
          </w:p>
        </w:tc>
        <w:tc>
          <w:tcPr>
            <w:tcW w:w="434" w:type="pct"/>
            <w:tcBorders>
              <w:top w:val="single" w:sz="6" w:space="0" w:color="000000"/>
              <w:left w:val="nil"/>
              <w:bottom w:val="single" w:sz="6" w:space="0" w:color="000000"/>
              <w:right w:val="nil"/>
            </w:tcBorders>
            <w:vAlign w:val="center"/>
            <w:hideMark/>
          </w:tcPr>
          <w:p w14:paraId="2C1A5F7D" w14:textId="77777777" w:rsidR="00D9526A" w:rsidRPr="00A55335" w:rsidRDefault="00D9526A" w:rsidP="00D15F87">
            <w:pPr>
              <w:pStyle w:val="Tabletext8pt"/>
              <w:jc w:val="center"/>
              <w:rPr>
                <w:rFonts w:eastAsia="Times New Roman"/>
              </w:rPr>
            </w:pPr>
            <w:r w:rsidRPr="00A55335">
              <w:t>-</w:t>
            </w:r>
          </w:p>
        </w:tc>
        <w:tc>
          <w:tcPr>
            <w:tcW w:w="578" w:type="pct"/>
            <w:tcBorders>
              <w:top w:val="single" w:sz="6" w:space="0" w:color="000000"/>
              <w:left w:val="nil"/>
              <w:bottom w:val="single" w:sz="6" w:space="0" w:color="000000"/>
              <w:right w:val="nil"/>
            </w:tcBorders>
            <w:vAlign w:val="center"/>
            <w:hideMark/>
          </w:tcPr>
          <w:p w14:paraId="0ACE0BE4" w14:textId="77777777" w:rsidR="00D9526A" w:rsidRPr="00A55335" w:rsidRDefault="00D9526A" w:rsidP="00D15F87">
            <w:pPr>
              <w:pStyle w:val="Tabletext8pt"/>
              <w:jc w:val="center"/>
            </w:pPr>
            <w:r w:rsidRPr="00A55335">
              <w:t>53</w:t>
            </w:r>
            <w:r w:rsidRPr="00A55335">
              <w:br/>
              <w:t>(1 RCT)</w:t>
            </w:r>
          </w:p>
        </w:tc>
        <w:tc>
          <w:tcPr>
            <w:tcW w:w="579" w:type="pct"/>
            <w:tcBorders>
              <w:top w:val="single" w:sz="6" w:space="0" w:color="000000"/>
              <w:left w:val="nil"/>
              <w:bottom w:val="single" w:sz="6" w:space="0" w:color="000000"/>
              <w:right w:val="nil"/>
            </w:tcBorders>
            <w:vAlign w:val="center"/>
            <w:hideMark/>
          </w:tcPr>
          <w:p w14:paraId="1DAAD643" w14:textId="7587636A" w:rsidR="00D9526A" w:rsidRPr="00A55335" w:rsidRDefault="00D9526A" w:rsidP="004B2271">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d,e</w:t>
            </w:r>
            <w:r w:rsidR="007B3E9D" w:rsidRPr="00A55335">
              <w:rPr>
                <w:rStyle w:val="FootnoteReference"/>
              </w:rPr>
              <w:t>,f,g</w:t>
            </w:r>
            <w:r w:rsidR="00F01B4D" w:rsidRPr="00A55335">
              <w:rPr>
                <w:rStyle w:val="FootnoteReference"/>
              </w:rPr>
              <w:t>,h</w:t>
            </w:r>
            <w:proofErr w:type="spellEnd"/>
          </w:p>
        </w:tc>
        <w:tc>
          <w:tcPr>
            <w:tcW w:w="1066" w:type="pct"/>
            <w:tcBorders>
              <w:top w:val="single" w:sz="6" w:space="0" w:color="000000"/>
              <w:left w:val="nil"/>
              <w:bottom w:val="single" w:sz="6" w:space="0" w:color="000000"/>
              <w:right w:val="nil"/>
            </w:tcBorders>
            <w:vAlign w:val="center"/>
            <w:hideMark/>
          </w:tcPr>
          <w:p w14:paraId="3DEA972A" w14:textId="5344B7C1" w:rsidR="00D9526A" w:rsidRPr="00A55335" w:rsidRDefault="00D9526A" w:rsidP="004B2271">
            <w:pPr>
              <w:pStyle w:val="Tabletext8pt"/>
            </w:pPr>
            <w:r w:rsidRPr="00A55335">
              <w:t>The evidence is very uncertain about the effect of homeopathy on disease severity in people with arthritis</w:t>
            </w:r>
            <w:r w:rsidR="00E84FD7" w:rsidRPr="00A55335">
              <w:t xml:space="preserve"> </w:t>
            </w:r>
            <w:r w:rsidR="00E84FD7" w:rsidRPr="00A55335">
              <w:rPr>
                <w:rStyle w:val="FootnoteReference"/>
              </w:rPr>
              <w:t>#</w:t>
            </w:r>
          </w:p>
        </w:tc>
      </w:tr>
      <w:tr w:rsidR="007441CD" w:rsidRPr="00A55335" w14:paraId="5F5FB9C5" w14:textId="77777777" w:rsidTr="00244C43">
        <w:trPr>
          <w:cantSplit/>
        </w:trPr>
        <w:tc>
          <w:tcPr>
            <w:tcW w:w="969" w:type="pct"/>
            <w:tcBorders>
              <w:top w:val="single" w:sz="6" w:space="0" w:color="000000"/>
              <w:left w:val="nil"/>
              <w:bottom w:val="single" w:sz="6" w:space="0" w:color="000000"/>
              <w:right w:val="nil"/>
            </w:tcBorders>
            <w:vAlign w:val="center"/>
            <w:hideMark/>
          </w:tcPr>
          <w:p w14:paraId="18E7A358" w14:textId="6DBAC0CA" w:rsidR="00DD505D" w:rsidRPr="00A55335" w:rsidRDefault="00DD505D" w:rsidP="004B2271">
            <w:pPr>
              <w:pStyle w:val="Tabletext8pt"/>
              <w:rPr>
                <w:rFonts w:eastAsia="Times New Roman"/>
              </w:rPr>
            </w:pPr>
            <w:r w:rsidRPr="00A55335">
              <w:t>Health related quality of life</w:t>
            </w:r>
            <w:r w:rsidRPr="00A55335">
              <w:rPr>
                <w:rFonts w:eastAsia="Times New Roman"/>
              </w:rPr>
              <w:br/>
            </w:r>
            <w:r w:rsidRPr="00A55335">
              <w:t>assessed with: VAS (higher is better)</w:t>
            </w:r>
            <w:r w:rsidRPr="00A55335">
              <w:rPr>
                <w:rFonts w:eastAsia="Times New Roman"/>
              </w:rPr>
              <w:br/>
            </w:r>
            <w:r w:rsidRPr="00A55335">
              <w:t>Scale from: 0 to 100</w:t>
            </w:r>
            <w:r w:rsidRPr="00A55335">
              <w:rPr>
                <w:rFonts w:eastAsia="Times New Roman"/>
              </w:rPr>
              <w:br/>
            </w:r>
            <w:r w:rsidRPr="00A55335">
              <w:t>follow-up: 24 weeks</w:t>
            </w:r>
          </w:p>
        </w:tc>
        <w:tc>
          <w:tcPr>
            <w:tcW w:w="687" w:type="pct"/>
            <w:tcBorders>
              <w:top w:val="single" w:sz="6" w:space="0" w:color="000000"/>
              <w:left w:val="nil"/>
              <w:bottom w:val="single" w:sz="6" w:space="0" w:color="000000"/>
              <w:right w:val="nil"/>
            </w:tcBorders>
            <w:shd w:val="clear" w:color="auto" w:fill="EBEBEB"/>
            <w:vAlign w:val="center"/>
            <w:hideMark/>
          </w:tcPr>
          <w:p w14:paraId="097237BF" w14:textId="4926AA00" w:rsidR="00DD505D" w:rsidRPr="00A55335" w:rsidRDefault="00DD505D" w:rsidP="00D15F87">
            <w:pPr>
              <w:pStyle w:val="Tabletext8pt"/>
              <w:jc w:val="center"/>
              <w:rPr>
                <w:rFonts w:eastAsia="Times New Roman"/>
              </w:rPr>
            </w:pPr>
            <w:r w:rsidRPr="00A55335">
              <w:t xml:space="preserve">The mean change in </w:t>
            </w:r>
            <w:r w:rsidR="004B2271" w:rsidRPr="00A55335">
              <w:t>VAS</w:t>
            </w:r>
            <w:r w:rsidRPr="00A55335">
              <w:t xml:space="preserve"> was </w:t>
            </w:r>
            <w:r w:rsidRPr="00A55335">
              <w:rPr>
                <w:rStyle w:val="Strong"/>
              </w:rPr>
              <w:t xml:space="preserve">17.45 </w:t>
            </w:r>
          </w:p>
        </w:tc>
        <w:tc>
          <w:tcPr>
            <w:tcW w:w="687" w:type="pct"/>
            <w:tcBorders>
              <w:top w:val="single" w:sz="6" w:space="0" w:color="000000"/>
              <w:left w:val="nil"/>
              <w:bottom w:val="single" w:sz="6" w:space="0" w:color="000000"/>
              <w:right w:val="nil"/>
            </w:tcBorders>
            <w:shd w:val="clear" w:color="auto" w:fill="EBEBEB"/>
            <w:hideMark/>
          </w:tcPr>
          <w:p w14:paraId="7DD14684" w14:textId="1CDE99A0" w:rsidR="00DD505D" w:rsidRPr="00A55335" w:rsidRDefault="00DD505D" w:rsidP="00C77206">
            <w:pPr>
              <w:pStyle w:val="Tabletext8pt"/>
              <w:jc w:val="center"/>
            </w:pPr>
            <w:r w:rsidRPr="00A55335">
              <w:t xml:space="preserve">MD </w:t>
            </w:r>
            <w:r w:rsidRPr="00A55335">
              <w:rPr>
                <w:rStyle w:val="Strong"/>
              </w:rPr>
              <w:t xml:space="preserve">4.96 </w:t>
            </w:r>
            <w:r w:rsidR="00320609" w:rsidRPr="00A55335">
              <w:rPr>
                <w:rStyle w:val="Strong"/>
              </w:rPr>
              <w:t>less</w:t>
            </w:r>
            <w:r w:rsidRPr="00A55335">
              <w:rPr>
                <w:rFonts w:eastAsia="Times New Roman"/>
              </w:rPr>
              <w:br/>
            </w:r>
            <w:r w:rsidRPr="00A55335">
              <w:t xml:space="preserve">(18.7 </w:t>
            </w:r>
            <w:r w:rsidR="00320609" w:rsidRPr="00A55335">
              <w:t xml:space="preserve">less </w:t>
            </w:r>
            <w:r w:rsidRPr="00A55335">
              <w:t>to 8.7</w:t>
            </w:r>
            <w:r w:rsidR="00E84FD7" w:rsidRPr="00A55335">
              <w:t>8</w:t>
            </w:r>
            <w:r w:rsidRPr="00A55335">
              <w:t xml:space="preserve"> </w:t>
            </w:r>
            <w:r w:rsidR="00320609" w:rsidRPr="00A55335">
              <w:t>more</w:t>
            </w:r>
            <w:r w:rsidRPr="00A55335">
              <w:t>)</w:t>
            </w:r>
          </w:p>
        </w:tc>
        <w:tc>
          <w:tcPr>
            <w:tcW w:w="434" w:type="pct"/>
            <w:tcBorders>
              <w:top w:val="single" w:sz="6" w:space="0" w:color="000000"/>
              <w:left w:val="nil"/>
              <w:bottom w:val="single" w:sz="6" w:space="0" w:color="000000"/>
              <w:right w:val="nil"/>
            </w:tcBorders>
            <w:vAlign w:val="center"/>
            <w:hideMark/>
          </w:tcPr>
          <w:p w14:paraId="608B35A1" w14:textId="77777777" w:rsidR="00DD505D" w:rsidRPr="00A55335" w:rsidRDefault="00DD505D" w:rsidP="00D15F87">
            <w:pPr>
              <w:pStyle w:val="Tabletext8pt"/>
              <w:jc w:val="center"/>
              <w:rPr>
                <w:rFonts w:eastAsia="Times New Roman"/>
              </w:rPr>
            </w:pPr>
            <w:r w:rsidRPr="00A55335">
              <w:t>-</w:t>
            </w:r>
          </w:p>
        </w:tc>
        <w:tc>
          <w:tcPr>
            <w:tcW w:w="578" w:type="pct"/>
            <w:tcBorders>
              <w:top w:val="single" w:sz="6" w:space="0" w:color="000000"/>
              <w:left w:val="nil"/>
              <w:bottom w:val="single" w:sz="6" w:space="0" w:color="000000"/>
              <w:right w:val="nil"/>
            </w:tcBorders>
            <w:vAlign w:val="center"/>
            <w:hideMark/>
          </w:tcPr>
          <w:p w14:paraId="57954F1B" w14:textId="77777777" w:rsidR="00DD505D" w:rsidRPr="00A55335" w:rsidRDefault="00DD505D" w:rsidP="00D15F87">
            <w:pPr>
              <w:pStyle w:val="Tabletext8pt"/>
              <w:jc w:val="center"/>
            </w:pPr>
            <w:r w:rsidRPr="00A55335">
              <w:t>54</w:t>
            </w:r>
            <w:r w:rsidRPr="00A55335">
              <w:br/>
              <w:t>(1 RCT)</w:t>
            </w:r>
          </w:p>
        </w:tc>
        <w:tc>
          <w:tcPr>
            <w:tcW w:w="579" w:type="pct"/>
            <w:tcBorders>
              <w:top w:val="single" w:sz="6" w:space="0" w:color="000000"/>
              <w:left w:val="nil"/>
              <w:bottom w:val="single" w:sz="6" w:space="0" w:color="000000"/>
              <w:right w:val="nil"/>
            </w:tcBorders>
            <w:vAlign w:val="center"/>
            <w:hideMark/>
          </w:tcPr>
          <w:p w14:paraId="1608B50C" w14:textId="22B85D47" w:rsidR="00DD505D" w:rsidRPr="00A55335" w:rsidRDefault="00DD505D" w:rsidP="004B2271">
            <w:pPr>
              <w:pStyle w:val="Tabletext8pt"/>
              <w:jc w:val="center"/>
              <w:rPr>
                <w:vertAlign w:val="superscript"/>
              </w:rP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c,d</w:t>
            </w:r>
            <w:r w:rsidR="00466B91" w:rsidRPr="00A55335">
              <w:rPr>
                <w:rStyle w:val="FootnoteReference"/>
              </w:rPr>
              <w:t>,e,f,g</w:t>
            </w:r>
            <w:proofErr w:type="spellEnd"/>
          </w:p>
        </w:tc>
        <w:tc>
          <w:tcPr>
            <w:tcW w:w="1066" w:type="pct"/>
            <w:tcBorders>
              <w:top w:val="single" w:sz="6" w:space="0" w:color="000000"/>
              <w:left w:val="nil"/>
              <w:bottom w:val="single" w:sz="6" w:space="0" w:color="000000"/>
              <w:right w:val="nil"/>
            </w:tcBorders>
            <w:vAlign w:val="center"/>
            <w:hideMark/>
          </w:tcPr>
          <w:p w14:paraId="671658F6" w14:textId="4C6BC4CC" w:rsidR="00DD505D" w:rsidRPr="00A55335" w:rsidRDefault="00DD505D" w:rsidP="004B2271">
            <w:pPr>
              <w:pStyle w:val="Tabletext8pt"/>
            </w:pPr>
            <w:r w:rsidRPr="00A55335">
              <w:t>The evidence is very uncertain about the effect of homeopathy on health-related quality of life in people with arthritis</w:t>
            </w:r>
            <w:r w:rsidR="00923192">
              <w:t xml:space="preserve"> ***</w:t>
            </w:r>
          </w:p>
        </w:tc>
      </w:tr>
      <w:tr w:rsidR="007441CD" w:rsidRPr="00A55335" w14:paraId="72E08228" w14:textId="77777777" w:rsidTr="00244C43">
        <w:trPr>
          <w:cantSplit/>
        </w:trPr>
        <w:tc>
          <w:tcPr>
            <w:tcW w:w="969" w:type="pct"/>
            <w:tcBorders>
              <w:top w:val="single" w:sz="6" w:space="0" w:color="000000"/>
              <w:left w:val="nil"/>
              <w:bottom w:val="single" w:sz="6" w:space="0" w:color="000000"/>
              <w:right w:val="nil"/>
            </w:tcBorders>
            <w:vAlign w:val="center"/>
            <w:hideMark/>
          </w:tcPr>
          <w:p w14:paraId="021E78E7" w14:textId="229E88EB" w:rsidR="00DD505D" w:rsidRPr="00A55335" w:rsidRDefault="00DD505D" w:rsidP="004B2271">
            <w:pPr>
              <w:pStyle w:val="Tabletext8pt"/>
              <w:rPr>
                <w:rFonts w:eastAsia="Times New Roman"/>
              </w:rPr>
            </w:pPr>
            <w:r w:rsidRPr="00A55335">
              <w:t>Medication use - not reported</w:t>
            </w:r>
          </w:p>
        </w:tc>
        <w:tc>
          <w:tcPr>
            <w:tcW w:w="687" w:type="pct"/>
            <w:tcBorders>
              <w:top w:val="single" w:sz="6" w:space="0" w:color="000000"/>
              <w:left w:val="nil"/>
              <w:bottom w:val="single" w:sz="6" w:space="0" w:color="000000"/>
              <w:right w:val="nil"/>
            </w:tcBorders>
            <w:shd w:val="clear" w:color="auto" w:fill="EBEBEB"/>
            <w:vAlign w:val="center"/>
            <w:hideMark/>
          </w:tcPr>
          <w:p w14:paraId="6610D65C" w14:textId="77777777" w:rsidR="00DD505D" w:rsidRPr="00A55335" w:rsidRDefault="00DD505D" w:rsidP="00D15F87">
            <w:pPr>
              <w:pStyle w:val="Tabletext8pt"/>
              <w:jc w:val="center"/>
              <w:rPr>
                <w:rFonts w:eastAsia="Times New Roman"/>
              </w:rPr>
            </w:pPr>
            <w:r w:rsidRPr="00A55335">
              <w:t>-</w:t>
            </w:r>
          </w:p>
        </w:tc>
        <w:tc>
          <w:tcPr>
            <w:tcW w:w="687" w:type="pct"/>
            <w:tcBorders>
              <w:top w:val="single" w:sz="6" w:space="0" w:color="000000"/>
              <w:left w:val="nil"/>
              <w:bottom w:val="single" w:sz="6" w:space="0" w:color="000000"/>
              <w:right w:val="nil"/>
            </w:tcBorders>
            <w:shd w:val="clear" w:color="auto" w:fill="EBEBEB"/>
            <w:hideMark/>
          </w:tcPr>
          <w:p w14:paraId="2EFC7A37" w14:textId="77777777" w:rsidR="00DD505D" w:rsidRPr="00A55335" w:rsidRDefault="00DD505D" w:rsidP="00D15F87">
            <w:pPr>
              <w:pStyle w:val="Tabletext8pt"/>
              <w:jc w:val="center"/>
              <w:rPr>
                <w:rFonts w:eastAsia="Times New Roman"/>
              </w:rPr>
            </w:pPr>
            <w:r w:rsidRPr="00A55335">
              <w:t>-</w:t>
            </w:r>
          </w:p>
        </w:tc>
        <w:tc>
          <w:tcPr>
            <w:tcW w:w="434" w:type="pct"/>
            <w:tcBorders>
              <w:top w:val="single" w:sz="6" w:space="0" w:color="000000"/>
              <w:left w:val="nil"/>
              <w:bottom w:val="single" w:sz="6" w:space="0" w:color="000000"/>
              <w:right w:val="nil"/>
            </w:tcBorders>
            <w:vAlign w:val="center"/>
            <w:hideMark/>
          </w:tcPr>
          <w:p w14:paraId="26E964F3" w14:textId="77777777" w:rsidR="00DD505D" w:rsidRPr="00A55335" w:rsidRDefault="00DD505D" w:rsidP="00D15F87">
            <w:pPr>
              <w:pStyle w:val="Tabletext8pt"/>
              <w:jc w:val="center"/>
              <w:rPr>
                <w:rFonts w:eastAsia="Times New Roman"/>
              </w:rPr>
            </w:pPr>
            <w:r w:rsidRPr="00A55335">
              <w:t>-</w:t>
            </w:r>
          </w:p>
        </w:tc>
        <w:tc>
          <w:tcPr>
            <w:tcW w:w="578" w:type="pct"/>
            <w:tcBorders>
              <w:top w:val="single" w:sz="6" w:space="0" w:color="000000"/>
              <w:left w:val="nil"/>
              <w:bottom w:val="single" w:sz="6" w:space="0" w:color="000000"/>
              <w:right w:val="nil"/>
            </w:tcBorders>
            <w:vAlign w:val="center"/>
            <w:hideMark/>
          </w:tcPr>
          <w:p w14:paraId="62D2975E" w14:textId="2E7DCADE" w:rsidR="00DD505D" w:rsidRPr="00A55335" w:rsidRDefault="00BA3F12" w:rsidP="00D15F87">
            <w:pPr>
              <w:pStyle w:val="Tabletext8pt"/>
              <w:jc w:val="center"/>
              <w:rPr>
                <w:rFonts w:eastAsia="Times New Roman"/>
              </w:rPr>
            </w:pPr>
            <w:r w:rsidRPr="00A55335">
              <w:t>(</w:t>
            </w:r>
            <w:r w:rsidR="00F45625" w:rsidRPr="00A55335">
              <w:t>0</w:t>
            </w:r>
            <w:r w:rsidRPr="00A55335">
              <w:t xml:space="preserve"> studies) </w:t>
            </w:r>
            <w:r w:rsidR="00DD505D" w:rsidRPr="00A55335">
              <w:t>‡</w:t>
            </w:r>
          </w:p>
        </w:tc>
        <w:tc>
          <w:tcPr>
            <w:tcW w:w="579" w:type="pct"/>
            <w:tcBorders>
              <w:top w:val="single" w:sz="6" w:space="0" w:color="000000"/>
              <w:left w:val="nil"/>
              <w:bottom w:val="single" w:sz="6" w:space="0" w:color="000000"/>
              <w:right w:val="nil"/>
            </w:tcBorders>
            <w:vAlign w:val="center"/>
            <w:hideMark/>
          </w:tcPr>
          <w:p w14:paraId="4405C9DD" w14:textId="77777777" w:rsidR="00DD505D" w:rsidRPr="00A55335" w:rsidRDefault="00DD505D" w:rsidP="004B2271">
            <w:pPr>
              <w:pStyle w:val="Qualitytext"/>
              <w:rPr>
                <w:rFonts w:eastAsia="Times New Roman"/>
              </w:rPr>
            </w:pPr>
            <w:r w:rsidRPr="00A55335">
              <w:t>-</w:t>
            </w:r>
          </w:p>
        </w:tc>
        <w:tc>
          <w:tcPr>
            <w:tcW w:w="1066" w:type="pct"/>
            <w:tcBorders>
              <w:top w:val="single" w:sz="6" w:space="0" w:color="000000"/>
              <w:left w:val="nil"/>
              <w:bottom w:val="single" w:sz="6" w:space="0" w:color="000000"/>
              <w:right w:val="nil"/>
            </w:tcBorders>
            <w:vAlign w:val="center"/>
            <w:hideMark/>
          </w:tcPr>
          <w:p w14:paraId="2D1DFF86" w14:textId="637A23C9" w:rsidR="00DD505D" w:rsidRPr="00A55335" w:rsidRDefault="00DD505D" w:rsidP="004B2271">
            <w:pPr>
              <w:pStyle w:val="Tabletext8pt"/>
            </w:pPr>
            <w:r w:rsidRPr="00A55335">
              <w:t>The effect of homeopathy on medication use in people with arthritis is unknown</w:t>
            </w:r>
          </w:p>
        </w:tc>
      </w:tr>
      <w:tr w:rsidR="00DD505D" w:rsidRPr="00A55335" w14:paraId="52FC3CAB" w14:textId="77777777" w:rsidTr="004E5FEE">
        <w:trPr>
          <w:cantSplit/>
        </w:trPr>
        <w:tc>
          <w:tcPr>
            <w:tcW w:w="5000" w:type="pct"/>
            <w:gridSpan w:val="7"/>
            <w:tcBorders>
              <w:top w:val="single" w:sz="6" w:space="0" w:color="000000"/>
              <w:left w:val="nil"/>
              <w:bottom w:val="single" w:sz="6" w:space="0" w:color="000000"/>
              <w:right w:val="nil"/>
            </w:tcBorders>
            <w:vAlign w:val="center"/>
            <w:hideMark/>
          </w:tcPr>
          <w:p w14:paraId="29EE2780" w14:textId="77777777" w:rsidR="00DD505D" w:rsidRPr="00A55335" w:rsidRDefault="00DD505D" w:rsidP="008C492C">
            <w:pPr>
              <w:pStyle w:val="TableFigNotes18"/>
            </w:pPr>
            <w:r w:rsidRPr="00A55335">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4ACE05BE" w14:textId="77777777" w:rsidR="00B71A62" w:rsidRPr="00A55335" w:rsidRDefault="00B71A62" w:rsidP="008C315C">
            <w:pPr>
              <w:pStyle w:val="TableFigNotes18"/>
            </w:pPr>
          </w:p>
          <w:p w14:paraId="306E33CA" w14:textId="42313390" w:rsidR="00DD505D" w:rsidRPr="00A55335" w:rsidRDefault="00DD505D" w:rsidP="008C315C">
            <w:pPr>
              <w:pStyle w:val="TableFigNotes18"/>
            </w:pPr>
            <w:r w:rsidRPr="00A55335">
              <w:t xml:space="preserve">** As a rule of thumb, an SMD of 0.2 is considered a small difference, 0.5 is considered medium, and 0.8 is considered large </w:t>
            </w:r>
            <w:r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Pr="00A55335">
              <w:fldChar w:fldCharType="separate"/>
            </w:r>
            <w:r w:rsidR="00FA37A6" w:rsidRPr="00A55335">
              <w:rPr>
                <w:noProof/>
              </w:rPr>
              <w:t>(</w:t>
            </w:r>
            <w:hyperlink w:anchor="_ENREF_83" w:tooltip="Faraone, 2008 #165" w:history="1">
              <w:r w:rsidR="00EC2769" w:rsidRPr="00A55335">
                <w:rPr>
                  <w:noProof/>
                </w:rPr>
                <w:t>83</w:t>
              </w:r>
            </w:hyperlink>
            <w:r w:rsidR="00FA37A6" w:rsidRPr="00A55335">
              <w:rPr>
                <w:noProof/>
              </w:rPr>
              <w:t>)</w:t>
            </w:r>
            <w:r w:rsidRPr="00A55335">
              <w:fldChar w:fldCharType="end"/>
            </w:r>
            <w:r w:rsidRPr="00A55335">
              <w:t>.</w:t>
            </w:r>
          </w:p>
          <w:p w14:paraId="08A407B1" w14:textId="5CBCE969" w:rsidR="00BA3F12" w:rsidRPr="00A55335" w:rsidRDefault="00BA3F12" w:rsidP="00BA3F12">
            <w:pPr>
              <w:pStyle w:val="TableFigNotes18"/>
            </w:pPr>
            <w:r w:rsidRPr="00A55335">
              <w:t>*** Effect estimates were to be considered on 3 levels: small (MD &lt;10% of the scale), moderate (MD between 10% to 20% of the scale) or large (MD more than 20% of the scale).</w:t>
            </w:r>
          </w:p>
          <w:p w14:paraId="7DDF0800" w14:textId="77777777" w:rsidR="00244C43" w:rsidRPr="00A55335" w:rsidRDefault="00244C43" w:rsidP="008C315C">
            <w:pPr>
              <w:pStyle w:val="TableFigNotes18"/>
            </w:pPr>
          </w:p>
          <w:p w14:paraId="671945F0" w14:textId="49708D06" w:rsidR="00DD505D" w:rsidRPr="00A55335" w:rsidRDefault="00DD505D" w:rsidP="008C315C">
            <w:pPr>
              <w:pStyle w:val="TableFigNotes18"/>
            </w:pPr>
            <w:r w:rsidRPr="00A55335">
              <w:t>† Data from 2 crossover studies (148 participants) not included in the meta-analysis as study authors do not report results prior to treatment crossover.</w:t>
            </w:r>
          </w:p>
          <w:p w14:paraId="33B3ABF6" w14:textId="4316F107" w:rsidR="008C315C" w:rsidRPr="00A55335" w:rsidRDefault="00DD505D" w:rsidP="008C315C">
            <w:pPr>
              <w:pStyle w:val="TableFigNotes18"/>
            </w:pPr>
            <w:r w:rsidRPr="00A55335">
              <w:t>‡</w:t>
            </w:r>
            <w:r w:rsidR="008C53EA" w:rsidRPr="00A55335">
              <w:t xml:space="preserve"> </w:t>
            </w:r>
            <w:r w:rsidRPr="00A55335">
              <w:t>Data from one crossover study (36 participants) not included in the meta-analysis as study authors do not report results prior to treatment crossover.</w:t>
            </w:r>
          </w:p>
          <w:p w14:paraId="5F0570DD" w14:textId="77777777" w:rsidR="00BA3F12" w:rsidRPr="00A55335" w:rsidRDefault="00BA3F12" w:rsidP="00E84FD7">
            <w:pPr>
              <w:pStyle w:val="TableFigNotes18"/>
            </w:pPr>
          </w:p>
          <w:p w14:paraId="5B1F31FD" w14:textId="6C5B9D63" w:rsidR="00E84FD7" w:rsidRPr="00A55335" w:rsidRDefault="00E84FD7" w:rsidP="00E84FD7">
            <w:pPr>
              <w:pStyle w:val="TableFigNotes18"/>
            </w:pPr>
            <w:r w:rsidRPr="00A55335">
              <w:t xml:space="preserve"># A decrease of 1.2 points is considered clinically meaningful, a decrease of less than 0.6 points is considered a non-response </w:t>
            </w:r>
            <w:r w:rsidRPr="00A55335">
              <w:fldChar w:fldCharType="begin"/>
            </w:r>
            <w:r w:rsidR="00EC2769">
              <w:instrText xml:space="preserve"> ADDIN EN.CITE &lt;EndNote&gt;&lt;Cite&gt;&lt;Author&gt;Mian&lt;/Author&gt;&lt;Year&gt;2016&lt;/Year&gt;&lt;RecNum&gt;718&lt;/RecNum&gt;&lt;DisplayText&gt;(278)&lt;/DisplayText&gt;&lt;record&gt;&lt;rec-number&gt;718&lt;/rec-number&gt;&lt;foreign-keys&gt;&lt;key app="EN" db-id="t5prptatr9sp0we5exbxt9zz20fwp55tdza9" timestamp="1702513281"&gt;718&lt;/key&gt;&lt;/foreign-keys&gt;&lt;ref-type name="Journal Article"&gt;17&lt;/ref-type&gt;&lt;contributors&gt;&lt;authors&gt;&lt;author&gt;Mian, Aneela N.&lt;/author&gt;&lt;author&gt;Ibrahim, Fowzia&lt;/author&gt;&lt;author&gt;Scott, David L.&lt;/author&gt;&lt;author&gt;Galloway, James&lt;/author&gt;&lt;author&gt;On behalf of the, Titrate study group&lt;/author&gt;&lt;/authors&gt;&lt;/contributors&gt;&lt;titles&gt;&lt;title&gt;Optimal responses in disease activity scores to treatment in rheumatoid arthritis: Is a DAS28 reduction of &amp;gt;1.2 sufficient?&lt;/title&gt;&lt;secondary-title&gt;Arthritis Research &amp;amp; Therapy&lt;/secondary-title&gt;&lt;/titles&gt;&lt;periodical&gt;&lt;full-title&gt;Arthritis Research &amp;amp; Therapy&lt;/full-title&gt;&lt;/periodical&gt;&lt;pages&gt;142&lt;/pages&gt;&lt;volume&gt;18&lt;/volume&gt;&lt;number&gt;1&lt;/number&gt;&lt;dates&gt;&lt;year&gt;2016&lt;/year&gt;&lt;pub-dates&gt;&lt;date&gt;2016/06/16&lt;/date&gt;&lt;/pub-dates&gt;&lt;/dates&gt;&lt;isbn&gt;1478-6362&lt;/isbn&gt;&lt;urls&gt;&lt;related-urls&gt;&lt;url&gt;https://doi.org/10.1186/s13075-016-1028-8&lt;/url&gt;&lt;/related-urls&gt;&lt;/urls&gt;&lt;electronic-resource-num&gt;10.1186/s13075-016-1028-8&lt;/electronic-resource-num&gt;&lt;/record&gt;&lt;/Cite&gt;&lt;/EndNote&gt;</w:instrText>
            </w:r>
            <w:r w:rsidRPr="00A55335">
              <w:fldChar w:fldCharType="separate"/>
            </w:r>
            <w:r w:rsidR="00EC2769">
              <w:rPr>
                <w:noProof/>
              </w:rPr>
              <w:t>(</w:t>
            </w:r>
            <w:hyperlink w:anchor="_ENREF_278" w:tooltip="Mian, 2016 #718" w:history="1">
              <w:r w:rsidR="00EC2769">
                <w:rPr>
                  <w:noProof/>
                </w:rPr>
                <w:t>278</w:t>
              </w:r>
            </w:hyperlink>
            <w:r w:rsidR="00EC2769">
              <w:rPr>
                <w:noProof/>
              </w:rPr>
              <w:t>)</w:t>
            </w:r>
            <w:r w:rsidRPr="00A55335">
              <w:fldChar w:fldCharType="end"/>
            </w:r>
          </w:p>
          <w:p w14:paraId="4F9CF1FC" w14:textId="50F3CAB0" w:rsidR="00DD505D" w:rsidRPr="00A55335" w:rsidRDefault="00DD505D" w:rsidP="008C315C">
            <w:pPr>
              <w:pStyle w:val="TableFigNotes0"/>
            </w:pPr>
            <w:r w:rsidRPr="00A55335">
              <w:rPr>
                <w:rStyle w:val="Strong"/>
              </w:rPr>
              <w:t>CI:</w:t>
            </w:r>
            <w:r w:rsidRPr="00A55335">
              <w:t xml:space="preserve"> confidence interval; </w:t>
            </w:r>
            <w:r w:rsidRPr="00A55335">
              <w:rPr>
                <w:rStyle w:val="Strong"/>
              </w:rPr>
              <w:t>MD:</w:t>
            </w:r>
            <w:r w:rsidRPr="00A55335">
              <w:t xml:space="preserve"> mean difference; </w:t>
            </w:r>
            <w:r w:rsidRPr="00A55335">
              <w:rPr>
                <w:rStyle w:val="Strong"/>
              </w:rPr>
              <w:t>SMD:</w:t>
            </w:r>
            <w:r w:rsidRPr="00A55335">
              <w:t xml:space="preserve"> standardised mean difference</w:t>
            </w:r>
          </w:p>
        </w:tc>
      </w:tr>
      <w:tr w:rsidR="007441CD" w:rsidRPr="00A55335" w14:paraId="489B796F" w14:textId="77777777" w:rsidTr="007441CD">
        <w:trPr>
          <w:cantSplit/>
        </w:trPr>
        <w:tc>
          <w:tcPr>
            <w:tcW w:w="5000" w:type="pct"/>
            <w:gridSpan w:val="7"/>
            <w:tcBorders>
              <w:top w:val="single" w:sz="6" w:space="0" w:color="000000"/>
              <w:left w:val="nil"/>
              <w:bottom w:val="single" w:sz="6" w:space="0" w:color="000000"/>
              <w:right w:val="nil"/>
            </w:tcBorders>
            <w:vAlign w:val="center"/>
            <w:hideMark/>
          </w:tcPr>
          <w:p w14:paraId="11B42FD3" w14:textId="77777777" w:rsidR="007441CD" w:rsidRPr="00A55335" w:rsidRDefault="007441CD">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2E8CD903" w14:textId="77777777" w:rsidR="00DD505D" w:rsidRPr="00A55335" w:rsidRDefault="00E35087" w:rsidP="007441CD">
      <w:pPr>
        <w:pStyle w:val="Heading5a"/>
        <w:rPr>
          <w:lang w:val="en-AU"/>
        </w:rPr>
      </w:pPr>
      <w:r w:rsidRPr="00A55335">
        <w:rPr>
          <w:lang w:val="en-AU"/>
        </w:rPr>
        <w:t>Explanations</w:t>
      </w:r>
    </w:p>
    <w:p w14:paraId="6C6E048E" w14:textId="77777777" w:rsidR="00DD505D" w:rsidRPr="00A55335" w:rsidRDefault="00DD505D" w:rsidP="007441CD">
      <w:pPr>
        <w:pStyle w:val="Footnote"/>
      </w:pPr>
      <w:r w:rsidRPr="00A55335">
        <w:t xml:space="preserve">a. </w:t>
      </w:r>
      <w:proofErr w:type="gramStart"/>
      <w:r w:rsidRPr="00A55335">
        <w:t>Serious</w:t>
      </w:r>
      <w:proofErr w:type="gramEnd"/>
      <w:r w:rsidRPr="00A55335">
        <w:t xml:space="preserve"> risk of bias. Two studies contributing 100% of the data for this outcome were judged at high risk of bias. Certainty of evidence downgraded. </w:t>
      </w:r>
    </w:p>
    <w:p w14:paraId="7430ECE3" w14:textId="77777777" w:rsidR="008B64A6" w:rsidRPr="00A55335" w:rsidRDefault="008B64A6" w:rsidP="008B64A6">
      <w:pPr>
        <w:pStyle w:val="Footnote"/>
      </w:pPr>
      <w:r w:rsidRPr="00A55335">
        <w:t>b. No serious inconsistency. Certainty of evidence not downgraded.</w:t>
      </w:r>
    </w:p>
    <w:p w14:paraId="4AB00B8C" w14:textId="3F4CD21A" w:rsidR="008B64A6" w:rsidRPr="00A55335" w:rsidRDefault="008B64A6" w:rsidP="008B64A6">
      <w:pPr>
        <w:pStyle w:val="Footnote"/>
      </w:pPr>
      <w:r w:rsidRPr="00A55335">
        <w:lastRenderedPageBreak/>
        <w:t>c. No serious indirectness. The available evidence is in people with rheumatoid arthritis</w:t>
      </w:r>
      <w:r w:rsidR="0048278A" w:rsidRPr="00A55335">
        <w:t xml:space="preserve"> or knee osteoarthritis and is directly applicable to the Australian population with few caveats. Certainty of evidence not downgraded. </w:t>
      </w:r>
      <w:r w:rsidRPr="00A55335">
        <w:t xml:space="preserve"> </w:t>
      </w:r>
    </w:p>
    <w:p w14:paraId="53B1ABD4" w14:textId="7C1C164C" w:rsidR="00DD505D" w:rsidRPr="00A55335" w:rsidRDefault="008B64A6" w:rsidP="007441CD">
      <w:pPr>
        <w:pStyle w:val="Footnote"/>
      </w:pPr>
      <w:r w:rsidRPr="00A55335">
        <w:t>d</w:t>
      </w:r>
      <w:r w:rsidR="00DD505D" w:rsidRPr="00A55335">
        <w:t xml:space="preserve">. </w:t>
      </w:r>
      <w:proofErr w:type="gramStart"/>
      <w:r w:rsidR="00DD505D" w:rsidRPr="00A55335">
        <w:t>Serious</w:t>
      </w:r>
      <w:proofErr w:type="gramEnd"/>
      <w:r w:rsidR="00DD505D" w:rsidRPr="00A55335">
        <w:t xml:space="preserve"> imprecision. Wide confidence intervals that include the possibility of both harm and benefit. Certainty of evidence downgraded.</w:t>
      </w:r>
    </w:p>
    <w:p w14:paraId="65D10FDD" w14:textId="1DBB3E63" w:rsidR="004E5FEE" w:rsidRPr="00A55335" w:rsidRDefault="008B64A6" w:rsidP="004E5FEE">
      <w:pPr>
        <w:pStyle w:val="Footnote"/>
      </w:pPr>
      <w:r w:rsidRPr="00A55335">
        <w:t>e</w:t>
      </w:r>
      <w:r w:rsidR="00DD505D" w:rsidRPr="00A55335">
        <w:t xml:space="preserve">. Publication bias strongly suspected. </w:t>
      </w:r>
      <w:r w:rsidR="007A382E" w:rsidRPr="00A55335">
        <w:t>D</w:t>
      </w:r>
      <w:r w:rsidR="004E5FEE" w:rsidRPr="00A55335">
        <w:t xml:space="preserve">ata from several studies listed as awaiting classification or ongoing (see Appendix C6) </w:t>
      </w:r>
      <w:r w:rsidR="007A382E" w:rsidRPr="00A55335">
        <w:t xml:space="preserve">not reported, </w:t>
      </w:r>
      <w:r w:rsidR="004E5FEE" w:rsidRPr="00A55335">
        <w:t xml:space="preserve">probably because the </w:t>
      </w:r>
      <w:r w:rsidR="004E5FEE" w:rsidRPr="00A55335">
        <w:rPr>
          <w:rStyle w:val="Emphasis"/>
        </w:rPr>
        <w:t>p</w:t>
      </w:r>
      <w:r w:rsidR="004E5FEE" w:rsidRPr="00A55335">
        <w:t xml:space="preserve"> value, magnitude or direction of the results generated were considered unfavourable by the study investigators. Certainty of evidence downgraded.</w:t>
      </w:r>
    </w:p>
    <w:p w14:paraId="112AC582" w14:textId="49BA4379" w:rsidR="00DD505D" w:rsidRPr="00A55335" w:rsidRDefault="004E5FEE" w:rsidP="007441CD">
      <w:pPr>
        <w:pStyle w:val="Footnote"/>
      </w:pPr>
      <w:r w:rsidRPr="00A55335">
        <w:t>f</w:t>
      </w:r>
      <w:r w:rsidR="00DD505D" w:rsidRPr="00A55335">
        <w:t xml:space="preserve">. </w:t>
      </w:r>
      <w:proofErr w:type="gramStart"/>
      <w:r w:rsidR="00DD505D" w:rsidRPr="00A55335">
        <w:t>Serious</w:t>
      </w:r>
      <w:proofErr w:type="gramEnd"/>
      <w:r w:rsidR="00DD505D" w:rsidRPr="00A55335">
        <w:t xml:space="preserve"> risk of bias. One study contributing 100% of the data for this outcome was judged at high risk of bias. Certainty of evidence downgraded.</w:t>
      </w:r>
    </w:p>
    <w:p w14:paraId="5997DB49" w14:textId="7562600D" w:rsidR="00DA0934" w:rsidRPr="00A55335" w:rsidRDefault="00DA0934" w:rsidP="007441CD">
      <w:pPr>
        <w:pStyle w:val="Footnote"/>
      </w:pPr>
      <w:r w:rsidRPr="00A55335">
        <w:t>g. Single study. Inconsistency not assessed. Certainty of evidence not downgraded.</w:t>
      </w:r>
    </w:p>
    <w:p w14:paraId="36DCB9ED" w14:textId="4BCF9FA8" w:rsidR="002A5FCE" w:rsidRPr="00A55335" w:rsidRDefault="002A5FCE" w:rsidP="007441CD">
      <w:pPr>
        <w:pStyle w:val="Footnote"/>
      </w:pPr>
      <w:r w:rsidRPr="00A55335">
        <w:t xml:space="preserve">h. No serious indirectness. The available evidence is in people with rheumatoid arthritis and is directly applicable to the Australian population with few caveats. Certainty of evidence not downgraded.  </w:t>
      </w:r>
    </w:p>
    <w:p w14:paraId="2EE47BCC" w14:textId="3EBB45BC" w:rsidR="00F75B9E" w:rsidRPr="00A55335" w:rsidRDefault="006070ED" w:rsidP="00F75B9E">
      <w:pPr>
        <w:pStyle w:val="Heading4"/>
      </w:pPr>
      <w:r w:rsidRPr="00A55335">
        <w:t>Secondary Comparison</w:t>
      </w:r>
      <w:r w:rsidR="00F75B9E" w:rsidRPr="00A55335">
        <w:t xml:space="preserve"> (vs inactive control) </w:t>
      </w:r>
    </w:p>
    <w:p w14:paraId="0E6E1C73" w14:textId="3AC40A44" w:rsidR="00F75B9E" w:rsidRPr="00A55335" w:rsidRDefault="00F75B9E" w:rsidP="00F75B9E">
      <w:pPr>
        <w:pStyle w:val="BodyText"/>
      </w:pPr>
      <w:r w:rsidRPr="00A55335">
        <w:t xml:space="preserve">There were no studies identified </w:t>
      </w:r>
      <w:r w:rsidR="00571A4B" w:rsidRPr="00A55335">
        <w:t xml:space="preserve">that </w:t>
      </w:r>
      <w:r w:rsidRPr="00A55335">
        <w:t xml:space="preserve">compared homeopathy to inactive control in people with </w:t>
      </w:r>
      <w:r w:rsidR="00571A4B" w:rsidRPr="00A55335">
        <w:t>arthropathies</w:t>
      </w:r>
      <w:r w:rsidR="00FB1BA9" w:rsidRPr="00A55335">
        <w:t>; t</w:t>
      </w:r>
      <w:r w:rsidRPr="00A55335">
        <w:t>he</w:t>
      </w:r>
      <w:r w:rsidR="0085050A" w:rsidRPr="00A55335">
        <w:t>refore, the</w:t>
      </w:r>
      <w:r w:rsidRPr="00A55335">
        <w:t xml:space="preserve"> effect of homeopathy </w:t>
      </w:r>
      <w:r w:rsidR="00E66657" w:rsidRPr="00A55335">
        <w:t>for this comparison</w:t>
      </w:r>
      <w:r w:rsidRPr="00A55335">
        <w:t xml:space="preserve"> is unknown.</w:t>
      </w:r>
    </w:p>
    <w:p w14:paraId="1C472AAE" w14:textId="77777777" w:rsidR="00DD505D" w:rsidRPr="00A55335" w:rsidRDefault="00DD505D" w:rsidP="004D433B">
      <w:pPr>
        <w:pStyle w:val="Heading3"/>
      </w:pPr>
      <w:bookmarkStart w:id="417" w:name="_Toc183441392"/>
      <w:r w:rsidRPr="00A55335">
        <w:t>Forest plots</w:t>
      </w:r>
      <w:bookmarkEnd w:id="417"/>
    </w:p>
    <w:p w14:paraId="51708083" w14:textId="2FDA8839" w:rsidR="00DD505D" w:rsidRPr="00A55335" w:rsidRDefault="00DD505D" w:rsidP="00DD505D">
      <w:pPr>
        <w:pStyle w:val="BodyText"/>
      </w:pPr>
      <w:r w:rsidRPr="00A55335">
        <w:t xml:space="preserve">Outcome results related </w:t>
      </w:r>
      <w:r w:rsidR="009D62B4" w:rsidRPr="00A55335">
        <w:t>to</w:t>
      </w:r>
      <w:r w:rsidRPr="00A55335">
        <w:t xml:space="preserve"> </w:t>
      </w:r>
      <w:r w:rsidR="0010333E" w:rsidRPr="00A55335">
        <w:t>the p</w:t>
      </w:r>
      <w:r w:rsidR="006070ED" w:rsidRPr="00A55335">
        <w:t xml:space="preserve">rimary </w:t>
      </w:r>
      <w:r w:rsidR="0010333E" w:rsidRPr="00A55335">
        <w:t>c</w:t>
      </w:r>
      <w:r w:rsidR="006070ED" w:rsidRPr="00A55335">
        <w:t>omparison</w:t>
      </w:r>
      <w:r w:rsidR="007441CD" w:rsidRPr="00A55335">
        <w:t xml:space="preserve"> (homeopathy vs placebo) </w:t>
      </w:r>
      <w:r w:rsidRPr="00A55335">
        <w:t xml:space="preserve">in people with arthritis are presented in </w:t>
      </w:r>
      <w:r w:rsidRPr="00A55335">
        <w:fldChar w:fldCharType="begin"/>
      </w:r>
      <w:r w:rsidRPr="00A55335">
        <w:instrText xml:space="preserve"> REF _Ref143699429 \h </w:instrText>
      </w:r>
      <w:r w:rsidRPr="00A55335">
        <w:fldChar w:fldCharType="separate"/>
      </w:r>
      <w:r w:rsidR="00814B04" w:rsidRPr="00A55335">
        <w:t xml:space="preserve">Figure </w:t>
      </w:r>
      <w:r w:rsidR="00814B04">
        <w:rPr>
          <w:noProof/>
        </w:rPr>
        <w:t>73</w:t>
      </w:r>
      <w:r w:rsidRPr="00A55335">
        <w:fldChar w:fldCharType="end"/>
      </w:r>
      <w:r w:rsidR="007441CD" w:rsidRPr="00A55335">
        <w:t xml:space="preserve"> (pain</w:t>
      </w:r>
      <w:r w:rsidR="00856D1A" w:rsidRPr="00A55335">
        <w:t xml:space="preserve"> intensity</w:t>
      </w:r>
      <w:r w:rsidR="007441CD" w:rsidRPr="00A55335">
        <w:t xml:space="preserve">), </w:t>
      </w:r>
      <w:r w:rsidRPr="00A55335">
        <w:fldChar w:fldCharType="begin"/>
      </w:r>
      <w:r w:rsidRPr="00A55335">
        <w:instrText xml:space="preserve"> REF _Ref143699435 \h </w:instrText>
      </w:r>
      <w:r w:rsidRPr="00A55335">
        <w:fldChar w:fldCharType="separate"/>
      </w:r>
      <w:r w:rsidR="00814B04" w:rsidRPr="00A55335">
        <w:t xml:space="preserve">Figure </w:t>
      </w:r>
      <w:r w:rsidR="00814B04">
        <w:rPr>
          <w:noProof/>
        </w:rPr>
        <w:t>74</w:t>
      </w:r>
      <w:r w:rsidRPr="00A55335">
        <w:fldChar w:fldCharType="end"/>
      </w:r>
      <w:r w:rsidR="00F75B9E" w:rsidRPr="00A55335">
        <w:t xml:space="preserve"> (physical function), </w:t>
      </w:r>
      <w:r w:rsidRPr="00A55335">
        <w:fldChar w:fldCharType="begin"/>
      </w:r>
      <w:r w:rsidRPr="00A55335">
        <w:instrText xml:space="preserve"> REF _Ref143699442 \h </w:instrText>
      </w:r>
      <w:r w:rsidRPr="00A55335">
        <w:fldChar w:fldCharType="separate"/>
      </w:r>
      <w:r w:rsidR="00814B04" w:rsidRPr="00A55335">
        <w:t xml:space="preserve">Figure </w:t>
      </w:r>
      <w:r w:rsidR="00814B04">
        <w:rPr>
          <w:noProof/>
        </w:rPr>
        <w:t>75</w:t>
      </w:r>
      <w:r w:rsidRPr="00A55335">
        <w:fldChar w:fldCharType="end"/>
      </w:r>
      <w:r w:rsidR="00F75B9E" w:rsidRPr="00A55335">
        <w:t xml:space="preserve"> (disease severity)</w:t>
      </w:r>
      <w:r w:rsidR="00C77206" w:rsidRPr="00A55335">
        <w:t xml:space="preserve"> and </w:t>
      </w:r>
      <w:r w:rsidR="00C77206" w:rsidRPr="00A55335">
        <w:fldChar w:fldCharType="begin"/>
      </w:r>
      <w:r w:rsidR="00C77206" w:rsidRPr="00A55335">
        <w:instrText xml:space="preserve"> REF _Ref143699439 \h </w:instrText>
      </w:r>
      <w:r w:rsidR="00C77206" w:rsidRPr="00A55335">
        <w:fldChar w:fldCharType="separate"/>
      </w:r>
      <w:r w:rsidR="00814B04" w:rsidRPr="00A55335">
        <w:t xml:space="preserve">Figure </w:t>
      </w:r>
      <w:r w:rsidR="00814B04">
        <w:rPr>
          <w:noProof/>
        </w:rPr>
        <w:t>76</w:t>
      </w:r>
      <w:r w:rsidR="00C77206" w:rsidRPr="00A55335">
        <w:fldChar w:fldCharType="end"/>
      </w:r>
      <w:r w:rsidR="00C77206" w:rsidRPr="00A55335">
        <w:t xml:space="preserve"> (quality of life).</w:t>
      </w:r>
    </w:p>
    <w:p w14:paraId="63FF0338" w14:textId="584AC6D3" w:rsidR="00DD505D" w:rsidRPr="00A55335" w:rsidRDefault="00DD505D" w:rsidP="00DD505D">
      <w:pPr>
        <w:pStyle w:val="Caption"/>
      </w:pPr>
      <w:bookmarkStart w:id="418" w:name="_Ref143699429"/>
      <w:bookmarkStart w:id="419" w:name="_Toc183520346"/>
      <w:r w:rsidRPr="00A55335">
        <w:t xml:space="preserve">Figure </w:t>
      </w:r>
      <w:r w:rsidRPr="00A55335">
        <w:fldChar w:fldCharType="begin"/>
      </w:r>
      <w:r w:rsidRPr="00A55335">
        <w:instrText xml:space="preserve"> SEQ Figure \* ARABIC </w:instrText>
      </w:r>
      <w:r w:rsidRPr="00A55335">
        <w:fldChar w:fldCharType="separate"/>
      </w:r>
      <w:r w:rsidR="00814B04">
        <w:rPr>
          <w:noProof/>
        </w:rPr>
        <w:t>73</w:t>
      </w:r>
      <w:r w:rsidRPr="00A55335">
        <w:fldChar w:fldCharType="end"/>
      </w:r>
      <w:bookmarkEnd w:id="418"/>
      <w:r w:rsidR="00F75B9E" w:rsidRPr="00A55335">
        <w:tab/>
      </w:r>
      <w:r w:rsidRPr="00A55335">
        <w:t xml:space="preserve">Forest plot of </w:t>
      </w:r>
      <w:r w:rsidR="00833C91" w:rsidRPr="00A55335">
        <w:t xml:space="preserve">primary </w:t>
      </w:r>
      <w:r w:rsidRPr="00A55335">
        <w:t xml:space="preserve">comparison: Homeopathy vs placebo: Arthritis – </w:t>
      </w:r>
      <w:r w:rsidR="00C77206" w:rsidRPr="00A55335">
        <w:t>p</w:t>
      </w:r>
      <w:r w:rsidRPr="00A55335">
        <w:t>ain intensity</w:t>
      </w:r>
      <w:bookmarkEnd w:id="419"/>
    </w:p>
    <w:p w14:paraId="65183596" w14:textId="6CCCB16D" w:rsidR="00C77206" w:rsidRPr="00A55335" w:rsidRDefault="00C77206" w:rsidP="00C77206">
      <w:pPr>
        <w:pStyle w:val="Pic"/>
      </w:pPr>
      <w:r w:rsidRPr="00A55335">
        <w:rPr>
          <w:noProof/>
        </w:rPr>
        <w:drawing>
          <wp:inline distT="0" distB="0" distL="0" distR="0" wp14:anchorId="03BF9F0F" wp14:editId="19150CD6">
            <wp:extent cx="6102833" cy="2523490"/>
            <wp:effectExtent l="0" t="0" r="0" b="0"/>
            <wp:docPr id="1777189524" name="Picture 177718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7" cy="2530645"/>
                    </a:xfrm>
                    <a:prstGeom prst="rect">
                      <a:avLst/>
                    </a:prstGeom>
                    <a:noFill/>
                    <a:ln>
                      <a:noFill/>
                    </a:ln>
                  </pic:spPr>
                </pic:pic>
              </a:graphicData>
            </a:graphic>
          </wp:inline>
        </w:drawing>
      </w:r>
    </w:p>
    <w:p w14:paraId="60818A1F" w14:textId="77777777" w:rsidR="00C77206" w:rsidRPr="00A55335" w:rsidRDefault="00C77206" w:rsidP="00C77206">
      <w:pPr>
        <w:pStyle w:val="TableFigNotes18"/>
      </w:pPr>
    </w:p>
    <w:p w14:paraId="3940A9D6" w14:textId="103CB206" w:rsidR="00DD505D" w:rsidRPr="00A55335" w:rsidRDefault="00DD505D" w:rsidP="00DD505D">
      <w:pPr>
        <w:pStyle w:val="Caption"/>
      </w:pPr>
      <w:bookmarkStart w:id="420" w:name="_Ref143699435"/>
      <w:bookmarkStart w:id="421" w:name="_Toc183520347"/>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74</w:t>
      </w:r>
      <w:r w:rsidRPr="00A55335">
        <w:fldChar w:fldCharType="end"/>
      </w:r>
      <w:bookmarkEnd w:id="420"/>
      <w:r w:rsidR="00F75B9E" w:rsidRPr="00A55335">
        <w:tab/>
      </w:r>
      <w:r w:rsidRPr="00A55335">
        <w:t xml:space="preserve">Forest plot of </w:t>
      </w:r>
      <w:r w:rsidR="00833C91" w:rsidRPr="00A55335">
        <w:t xml:space="preserve">primary </w:t>
      </w:r>
      <w:r w:rsidRPr="00A55335">
        <w:t xml:space="preserve">comparison: Homeopathy vs placebo: Arthritis – </w:t>
      </w:r>
      <w:r w:rsidR="00C77206" w:rsidRPr="00A55335">
        <w:t>p</w:t>
      </w:r>
      <w:r w:rsidRPr="00A55335">
        <w:t>hysical function</w:t>
      </w:r>
      <w:bookmarkEnd w:id="421"/>
    </w:p>
    <w:p w14:paraId="3B8BD0BE" w14:textId="7DD3D2AD" w:rsidR="00C77206" w:rsidRPr="00A55335" w:rsidRDefault="00C77206" w:rsidP="00C77206">
      <w:pPr>
        <w:pStyle w:val="Pic"/>
      </w:pPr>
      <w:r w:rsidRPr="00A55335">
        <w:rPr>
          <w:noProof/>
        </w:rPr>
        <w:drawing>
          <wp:inline distT="0" distB="0" distL="0" distR="0" wp14:anchorId="424625E4" wp14:editId="30EE6C58">
            <wp:extent cx="6081039" cy="3663190"/>
            <wp:effectExtent l="0" t="0" r="0" b="0"/>
            <wp:docPr id="1159129415" name="Picture 115912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7227" cy="3666918"/>
                    </a:xfrm>
                    <a:prstGeom prst="rect">
                      <a:avLst/>
                    </a:prstGeom>
                    <a:noFill/>
                    <a:ln>
                      <a:noFill/>
                    </a:ln>
                  </pic:spPr>
                </pic:pic>
              </a:graphicData>
            </a:graphic>
          </wp:inline>
        </w:drawing>
      </w:r>
    </w:p>
    <w:p w14:paraId="1782E6F8" w14:textId="77777777" w:rsidR="00C77206" w:rsidRPr="00A55335" w:rsidRDefault="00C77206" w:rsidP="00C77206">
      <w:pPr>
        <w:pStyle w:val="TableFigNotes18"/>
      </w:pPr>
    </w:p>
    <w:p w14:paraId="18449B89" w14:textId="5D461BF5" w:rsidR="00DD505D" w:rsidRPr="00A55335" w:rsidRDefault="00DD505D" w:rsidP="00DD505D">
      <w:pPr>
        <w:pStyle w:val="Caption"/>
      </w:pPr>
      <w:bookmarkStart w:id="422" w:name="_Ref143699442"/>
      <w:bookmarkStart w:id="423" w:name="_Toc183520348"/>
      <w:r w:rsidRPr="00A55335">
        <w:t xml:space="preserve">Figure </w:t>
      </w:r>
      <w:r w:rsidRPr="00A55335">
        <w:fldChar w:fldCharType="begin"/>
      </w:r>
      <w:r w:rsidRPr="00A55335">
        <w:instrText xml:space="preserve"> SEQ Figure \* ARABIC </w:instrText>
      </w:r>
      <w:r w:rsidRPr="00A55335">
        <w:fldChar w:fldCharType="separate"/>
      </w:r>
      <w:r w:rsidR="00814B04">
        <w:rPr>
          <w:noProof/>
        </w:rPr>
        <w:t>75</w:t>
      </w:r>
      <w:r w:rsidRPr="00A55335">
        <w:fldChar w:fldCharType="end"/>
      </w:r>
      <w:bookmarkEnd w:id="422"/>
      <w:r w:rsidR="00A87600" w:rsidRPr="00A55335">
        <w:tab/>
      </w:r>
      <w:r w:rsidRPr="00A55335">
        <w:t xml:space="preserve">Forest plot of </w:t>
      </w:r>
      <w:r w:rsidR="00833C91" w:rsidRPr="00A55335">
        <w:t xml:space="preserve">primary </w:t>
      </w:r>
      <w:r w:rsidRPr="00A55335">
        <w:t xml:space="preserve">comparison: Homeopathy vs placebo: Arthritis – </w:t>
      </w:r>
      <w:r w:rsidR="00C77206" w:rsidRPr="00A55335">
        <w:t>d</w:t>
      </w:r>
      <w:r w:rsidRPr="00A55335">
        <w:t>isease severity</w:t>
      </w:r>
      <w:bookmarkEnd w:id="423"/>
    </w:p>
    <w:p w14:paraId="32126DC2" w14:textId="76C9F5EC" w:rsidR="00C77206" w:rsidRPr="00A55335" w:rsidRDefault="00503DFD" w:rsidP="00C77206">
      <w:pPr>
        <w:pStyle w:val="Pic"/>
      </w:pPr>
      <w:r w:rsidRPr="00A55335">
        <w:rPr>
          <w:noProof/>
        </w:rPr>
        <w:drawing>
          <wp:inline distT="0" distB="0" distL="0" distR="0" wp14:anchorId="20933EEC" wp14:editId="49BA913F">
            <wp:extent cx="6057381" cy="2924354"/>
            <wp:effectExtent l="0" t="0" r="635" b="9525"/>
            <wp:docPr id="837263433" name="Picture 83726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66164" cy="2928594"/>
                    </a:xfrm>
                    <a:prstGeom prst="rect">
                      <a:avLst/>
                    </a:prstGeom>
                    <a:noFill/>
                    <a:ln>
                      <a:noFill/>
                    </a:ln>
                  </pic:spPr>
                </pic:pic>
              </a:graphicData>
            </a:graphic>
          </wp:inline>
        </w:drawing>
      </w:r>
    </w:p>
    <w:p w14:paraId="49EC3BDA" w14:textId="77777777" w:rsidR="00C77206" w:rsidRPr="00A55335" w:rsidRDefault="00C77206" w:rsidP="00C77206">
      <w:pPr>
        <w:pStyle w:val="TableFigNotes18"/>
      </w:pPr>
    </w:p>
    <w:p w14:paraId="34DBA3C5" w14:textId="3BD4AC02" w:rsidR="00C77206" w:rsidRPr="00A55335" w:rsidRDefault="00C77206" w:rsidP="00C77206">
      <w:pPr>
        <w:pStyle w:val="Caption"/>
      </w:pPr>
      <w:bookmarkStart w:id="424" w:name="_Ref143699439"/>
      <w:bookmarkStart w:id="425" w:name="_Toc183520349"/>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76</w:t>
      </w:r>
      <w:r w:rsidRPr="00A55335">
        <w:fldChar w:fldCharType="end"/>
      </w:r>
      <w:bookmarkEnd w:id="424"/>
      <w:r w:rsidRPr="00A55335">
        <w:tab/>
        <w:t xml:space="preserve">Forest plot of </w:t>
      </w:r>
      <w:r w:rsidR="00833C91" w:rsidRPr="00A55335">
        <w:t xml:space="preserve">primary </w:t>
      </w:r>
      <w:r w:rsidRPr="00A55335">
        <w:t>comparison: Homeopathy vs placebo: Arthritis – quality of life</w:t>
      </w:r>
      <w:bookmarkEnd w:id="425"/>
    </w:p>
    <w:p w14:paraId="35D723BD" w14:textId="56ED723C" w:rsidR="00C77206" w:rsidRPr="00A55335" w:rsidRDefault="00C77206" w:rsidP="00C77206">
      <w:pPr>
        <w:pStyle w:val="Pic"/>
      </w:pPr>
      <w:r w:rsidRPr="00A55335">
        <w:rPr>
          <w:noProof/>
        </w:rPr>
        <w:drawing>
          <wp:inline distT="0" distB="0" distL="0" distR="0" wp14:anchorId="6E443A5E" wp14:editId="7F4C9FB9">
            <wp:extent cx="6006070" cy="2804615"/>
            <wp:effectExtent l="0" t="0" r="0" b="0"/>
            <wp:docPr id="2001041940" name="Picture 200104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20939" cy="2811558"/>
                    </a:xfrm>
                    <a:prstGeom prst="rect">
                      <a:avLst/>
                    </a:prstGeom>
                    <a:noFill/>
                    <a:ln>
                      <a:noFill/>
                    </a:ln>
                  </pic:spPr>
                </pic:pic>
              </a:graphicData>
            </a:graphic>
          </wp:inline>
        </w:drawing>
      </w:r>
    </w:p>
    <w:p w14:paraId="0784AF8B" w14:textId="77777777" w:rsidR="00C77206" w:rsidRPr="00A55335" w:rsidRDefault="00C77206" w:rsidP="00C77206">
      <w:pPr>
        <w:pStyle w:val="TableFigNotes18"/>
      </w:pPr>
    </w:p>
    <w:p w14:paraId="42CAC64D" w14:textId="330691A1" w:rsidR="00DD505D" w:rsidRPr="00A55335" w:rsidRDefault="00DD505D" w:rsidP="00C373A2">
      <w:pPr>
        <w:pStyle w:val="Heading2"/>
      </w:pPr>
      <w:bookmarkStart w:id="426" w:name="_Toc183441393"/>
      <w:r w:rsidRPr="00A55335">
        <w:t xml:space="preserve">Back </w:t>
      </w:r>
      <w:r w:rsidR="006D59DD" w:rsidRPr="00A55335">
        <w:t xml:space="preserve">or </w:t>
      </w:r>
      <w:r w:rsidRPr="00A55335">
        <w:t>neck pain</w:t>
      </w:r>
      <w:bookmarkEnd w:id="426"/>
      <w:r w:rsidRPr="00A55335">
        <w:t xml:space="preserve"> </w:t>
      </w:r>
    </w:p>
    <w:p w14:paraId="78265482" w14:textId="77777777" w:rsidR="00DD505D" w:rsidRPr="00A55335" w:rsidRDefault="00DD505D" w:rsidP="004D433B">
      <w:pPr>
        <w:pStyle w:val="Heading3"/>
      </w:pPr>
      <w:bookmarkStart w:id="427" w:name="_Toc183441394"/>
      <w:r w:rsidRPr="00A55335">
        <w:t>Description of the condition</w:t>
      </w:r>
      <w:bookmarkEnd w:id="427"/>
      <w:r w:rsidRPr="00A55335">
        <w:t xml:space="preserve"> </w:t>
      </w:r>
    </w:p>
    <w:p w14:paraId="60A0BF78" w14:textId="4DFC13AB" w:rsidR="00E101EC" w:rsidRPr="00A55335" w:rsidRDefault="00E101EC" w:rsidP="00E101EC">
      <w:pPr>
        <w:pStyle w:val="BodyText"/>
      </w:pPr>
      <w:r w:rsidRPr="00A55335">
        <w:t xml:space="preserve">Back and neck pain occurs when the bones, joints, connective tissues, muscles, and nerves of the central musculoskeletal system are inflamed </w:t>
      </w:r>
      <w:r w:rsidRPr="00A55335">
        <w:fldChar w:fldCharType="begin"/>
      </w:r>
      <w:r w:rsidR="00EC2769">
        <w:instrText xml:space="preserve"> ADDIN EN.CITE &lt;EndNote&gt;&lt;Cite&gt;&lt;Author&gt;Australian Institute of Health and Welfare&lt;/Author&gt;&lt;Year&gt;2023&lt;/Year&gt;&lt;RecNum&gt;454&lt;/RecNum&gt;&lt;DisplayText&gt;(279)&lt;/DisplayText&gt;&lt;record&gt;&lt;rec-number&gt;454&lt;/rec-number&gt;&lt;foreign-keys&gt;&lt;key app="EN" db-id="t5prptatr9sp0we5exbxt9zz20fwp55tdza9" timestamp="1700774035"&gt;454&lt;/key&gt;&lt;/foreign-keys&gt;&lt;ref-type name="Electronic Article"&gt;43&lt;/ref-type&gt;&lt;contributors&gt;&lt;authors&gt;&lt;author&gt;Australian Institute of Health and Welfare,&lt;/author&gt;&lt;/authors&gt;&lt;/contributors&gt;&lt;titles&gt;&lt;title&gt;Back problems&lt;/title&gt;&lt;/titles&gt;&lt;dates&gt;&lt;year&gt;2023&lt;/year&gt;&lt;/dates&gt;&lt;pub-location&gt;Canberra&lt;/pub-location&gt;&lt;publisher&gt;AIHW&lt;/publisher&gt;&lt;urls&gt;&lt;related-urls&gt;&lt;url&gt;https://www.aihw.gov.au/reports/chronic-musculoskeletal-conditions/back-problems&lt;/url&gt;&lt;/related-urls&gt;&lt;/urls&gt;&lt;/record&gt;&lt;/Cite&gt;&lt;/EndNote&gt;</w:instrText>
      </w:r>
      <w:r w:rsidRPr="00A55335">
        <w:fldChar w:fldCharType="separate"/>
      </w:r>
      <w:r w:rsidR="00EC2769">
        <w:rPr>
          <w:noProof/>
        </w:rPr>
        <w:t>(</w:t>
      </w:r>
      <w:hyperlink w:anchor="_ENREF_279" w:tooltip="Australian Institute of Health and Welfare, 2023 #454" w:history="1">
        <w:r w:rsidR="00EC2769">
          <w:rPr>
            <w:noProof/>
          </w:rPr>
          <w:t>279</w:t>
        </w:r>
      </w:hyperlink>
      <w:r w:rsidR="00EC2769">
        <w:rPr>
          <w:noProof/>
        </w:rPr>
        <w:t>)</w:t>
      </w:r>
      <w:r w:rsidRPr="00A55335">
        <w:fldChar w:fldCharType="end"/>
      </w:r>
      <w:r w:rsidRPr="00A55335">
        <w:t>. Such inflammation can have many causes, including conditions such as arthritis</w:t>
      </w:r>
      <w:r w:rsidR="00181085" w:rsidRPr="00A55335">
        <w:t>, spondylitis,</w:t>
      </w:r>
      <w:r w:rsidRPr="00A55335">
        <w:t xml:space="preserve"> osteoporosis or injuries relating to work or sport. </w:t>
      </w:r>
      <w:r w:rsidR="004800D5" w:rsidRPr="00A55335">
        <w:t>In most cases there is no specific cause</w:t>
      </w:r>
      <w:r w:rsidR="008216A0" w:rsidRPr="00A55335">
        <w:t>;</w:t>
      </w:r>
      <w:r w:rsidR="004800D5" w:rsidRPr="00A55335">
        <w:t xml:space="preserve"> risk factors include genetics, previous episode of </w:t>
      </w:r>
      <w:r w:rsidR="008216A0" w:rsidRPr="00A55335">
        <w:t>back or neck pain</w:t>
      </w:r>
      <w:r w:rsidR="004800D5" w:rsidRPr="00A55335">
        <w:t xml:space="preserve">, poor posture, physically demanding tasks and lack of physical activity </w:t>
      </w:r>
      <w:r w:rsidR="0096487E" w:rsidRPr="00A55335">
        <w:fldChar w:fldCharType="begin">
          <w:fldData xml:space="preserve">PEVuZE5vdGU+PENpdGU+PEF1dGhvcj5BdXN0cmFsaWFuIEluc3RpdHV0ZSBvZiBIZWFsdGggYW5k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</w:fldData>
        </w:fldChar>
      </w:r>
      <w:r w:rsidR="00EC2769">
        <w:instrText xml:space="preserve"> ADDIN EN.CITE </w:instrText>
      </w:r>
      <w:r w:rsidR="00EC2769">
        <w:fldChar w:fldCharType="begin">
          <w:fldData xml:space="preserve">PEVuZE5vdGU+PENpdGU+PEF1dGhvcj5BdXN0cmFsaWFuIEluc3RpdHV0ZSBvZiBIZWFsdGggYW5k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</w:fldData>
        </w:fldChar>
      </w:r>
      <w:r w:rsidR="00EC2769">
        <w:instrText xml:space="preserve"> ADDIN EN.CITE.DATA </w:instrText>
      </w:r>
      <w:r w:rsidR="00EC2769">
        <w:fldChar w:fldCharType="end"/>
      </w:r>
      <w:r w:rsidR="0096487E" w:rsidRPr="00A55335">
        <w:fldChar w:fldCharType="separate"/>
      </w:r>
      <w:r w:rsidR="00EC2769">
        <w:rPr>
          <w:noProof/>
        </w:rPr>
        <w:t>(</w:t>
      </w:r>
      <w:hyperlink w:anchor="_ENREF_279" w:tooltip="Australian Institute of Health and Welfare, 2023 #454" w:history="1">
        <w:r w:rsidR="00EC2769">
          <w:rPr>
            <w:noProof/>
          </w:rPr>
          <w:t>279</w:t>
        </w:r>
      </w:hyperlink>
      <w:r w:rsidR="00EC2769">
        <w:rPr>
          <w:noProof/>
        </w:rPr>
        <w:t xml:space="preserve">, </w:t>
      </w:r>
      <w:hyperlink w:anchor="_ENREF_280" w:tooltip="Michaleff, 2012 #595" w:history="1">
        <w:r w:rsidR="00EC2769">
          <w:rPr>
            <w:noProof/>
          </w:rPr>
          <w:t>280</w:t>
        </w:r>
      </w:hyperlink>
      <w:r w:rsidR="00EC2769">
        <w:rPr>
          <w:noProof/>
        </w:rPr>
        <w:t>)</w:t>
      </w:r>
      <w:r w:rsidR="0096487E" w:rsidRPr="00A55335">
        <w:fldChar w:fldCharType="end"/>
      </w:r>
      <w:r w:rsidR="004800D5" w:rsidRPr="00A55335">
        <w:t xml:space="preserve">. </w:t>
      </w:r>
      <w:r w:rsidRPr="00A55335">
        <w:t xml:space="preserve">When mismanaged, back and neck pain can affect a person’s quality of life, and can lead to psychological distress, bodily pain, and disability </w:t>
      </w:r>
      <w:r w:rsidRPr="00A55335">
        <w:fldChar w:fldCharType="begin">
          <w:fldData xml:space="preserve">PEVuZE5vdGU+PENpdGU+PEF1dGhvcj5BdXN0cmFsaWFuIEluc3RpdHV0ZSBvZiBIZWFsdGggYW5k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</w:fldData>
        </w:fldChar>
      </w:r>
      <w:r w:rsidR="00EC2769">
        <w:instrText xml:space="preserve"> ADDIN EN.CITE </w:instrText>
      </w:r>
      <w:r w:rsidR="00EC2769">
        <w:fldChar w:fldCharType="begin">
          <w:fldData xml:space="preserve">PEVuZE5vdGU+PENpdGU+PEF1dGhvcj5BdXN0cmFsaWFuIEluc3RpdHV0ZSBvZiBIZWFsdGggYW5k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</w:fldData>
        </w:fldChar>
      </w:r>
      <w:r w:rsidR="00EC2769">
        <w:instrText xml:space="preserve"> ADDIN EN.CITE.DATA </w:instrText>
      </w:r>
      <w:r w:rsidR="00EC2769">
        <w:fldChar w:fldCharType="end"/>
      </w:r>
      <w:r w:rsidRPr="00A55335">
        <w:fldChar w:fldCharType="separate"/>
      </w:r>
      <w:r w:rsidR="00EC2769">
        <w:rPr>
          <w:noProof/>
        </w:rPr>
        <w:t>(</w:t>
      </w:r>
      <w:hyperlink w:anchor="_ENREF_279" w:tooltip="Australian Institute of Health and Welfare, 2023 #454" w:history="1">
        <w:r w:rsidR="00EC2769">
          <w:rPr>
            <w:noProof/>
          </w:rPr>
          <w:t>279</w:t>
        </w:r>
      </w:hyperlink>
      <w:r w:rsidR="00EC2769">
        <w:rPr>
          <w:noProof/>
        </w:rPr>
        <w:t xml:space="preserve">, </w:t>
      </w:r>
      <w:hyperlink w:anchor="_ENREF_280" w:tooltip="Michaleff, 2012 #595" w:history="1">
        <w:r w:rsidR="00EC2769">
          <w:rPr>
            <w:noProof/>
          </w:rPr>
          <w:t>280</w:t>
        </w:r>
      </w:hyperlink>
      <w:r w:rsidR="00EC2769">
        <w:rPr>
          <w:noProof/>
        </w:rPr>
        <w:t>)</w:t>
      </w:r>
      <w:r w:rsidRPr="00A55335">
        <w:fldChar w:fldCharType="end"/>
      </w:r>
      <w:r w:rsidRPr="00A55335">
        <w:t>.</w:t>
      </w:r>
    </w:p>
    <w:p w14:paraId="492B5F57" w14:textId="67E5E617" w:rsidR="00E101EC" w:rsidRPr="00A55335" w:rsidRDefault="004800D5" w:rsidP="00E101EC">
      <w:pPr>
        <w:pStyle w:val="BodyText"/>
      </w:pPr>
      <w:r w:rsidRPr="00A55335">
        <w:t xml:space="preserve">Low back pain (LBP) is the most encountered musculoskeletal problem in general practice in Australia and the leading cause of disability globally </w:t>
      </w:r>
      <w:r w:rsidRPr="00A55335">
        <w:fldChar w:fldCharType="begin">
          <w:fldData xml:space="preserve">PEVuZE5vdGU+PENpdGU+PEF1dGhvcj5PJmFwb3M7Q29ubmVsbDwvQXV0aG9yPjxZZWFyPjIwMTY8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</w:fldData>
        </w:fldChar>
      </w:r>
      <w:r w:rsidR="00EC2769">
        <w:instrText xml:space="preserve"> ADDIN EN.CITE </w:instrText>
      </w:r>
      <w:r w:rsidR="00EC2769">
        <w:fldChar w:fldCharType="begin">
          <w:fldData xml:space="preserve">PEVuZE5vdGU+PENpdGU+PEF1dGhvcj5PJmFwb3M7Q29ubmVsbDwvQXV0aG9yPjxZZWFyPjIwMTY8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</w:fldData>
        </w:fldChar>
      </w:r>
      <w:r w:rsidR="00EC2769">
        <w:instrText xml:space="preserve"> ADDIN EN.CITE.DATA </w:instrText>
      </w:r>
      <w:r w:rsidR="00EC2769">
        <w:fldChar w:fldCharType="end"/>
      </w:r>
      <w:r w:rsidRPr="00A55335">
        <w:fldChar w:fldCharType="separate"/>
      </w:r>
      <w:r w:rsidR="00EC2769">
        <w:rPr>
          <w:noProof/>
        </w:rPr>
        <w:t>(</w:t>
      </w:r>
      <w:hyperlink w:anchor="_ENREF_281" w:tooltip="O'Connell, 2016 #662" w:history="1">
        <w:r w:rsidR="00EC2769">
          <w:rPr>
            <w:noProof/>
          </w:rPr>
          <w:t>281-283</w:t>
        </w:r>
      </w:hyperlink>
      <w:r w:rsidR="00EC2769">
        <w:rPr>
          <w:noProof/>
        </w:rPr>
        <w:t>)</w:t>
      </w:r>
      <w:r w:rsidRPr="00A55335">
        <w:fldChar w:fldCharType="end"/>
      </w:r>
      <w:r w:rsidRPr="00A55335">
        <w:t xml:space="preserve">. </w:t>
      </w:r>
      <w:r w:rsidR="00E101EC" w:rsidRPr="00A55335">
        <w:t xml:space="preserve">In Australia, approximately 16% of the population are living with back and neck pain, contributing to 4.2% of Australia’s total disease burden </w:t>
      </w:r>
      <w:r w:rsidR="0096487E" w:rsidRPr="00A55335">
        <w:fldChar w:fldCharType="begin">
          <w:fldData xml:space="preserve">PEVuZE5vdGU+PENpdGU+PEF1dGhvcj5NaWNoYWxlZmY8L0F1dGhvcj48WWVhcj4yMDEyPC9ZZWFy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</w:fldData>
        </w:fldChar>
      </w:r>
      <w:r w:rsidR="00EC2769">
        <w:instrText xml:space="preserve"> ADDIN EN.CITE </w:instrText>
      </w:r>
      <w:r w:rsidR="00EC2769">
        <w:fldChar w:fldCharType="begin">
          <w:fldData xml:space="preserve">PEVuZE5vdGU+PENpdGU+PEF1dGhvcj5NaWNoYWxlZmY8L0F1dGhvcj48WWVhcj4yMDEyPC9ZZWFy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</w:fldData>
        </w:fldChar>
      </w:r>
      <w:r w:rsidR="00EC2769">
        <w:instrText xml:space="preserve"> ADDIN EN.CITE.DATA </w:instrText>
      </w:r>
      <w:r w:rsidR="00EC2769">
        <w:fldChar w:fldCharType="end"/>
      </w:r>
      <w:r w:rsidR="0096487E" w:rsidRPr="00A55335">
        <w:fldChar w:fldCharType="separate"/>
      </w:r>
      <w:r w:rsidR="00EC2769">
        <w:rPr>
          <w:noProof/>
        </w:rPr>
        <w:t>(</w:t>
      </w:r>
      <w:hyperlink w:anchor="_ENREF_284" w:tooltip="Michaleff, 2012 #455" w:history="1">
        <w:r w:rsidR="00EC2769">
          <w:rPr>
            <w:noProof/>
          </w:rPr>
          <w:t>284</w:t>
        </w:r>
      </w:hyperlink>
      <w:r w:rsidR="00EC2769">
        <w:rPr>
          <w:noProof/>
        </w:rPr>
        <w:t>)</w:t>
      </w:r>
      <w:r w:rsidR="0096487E" w:rsidRPr="00A55335">
        <w:fldChar w:fldCharType="end"/>
      </w:r>
      <w:r w:rsidR="00E101EC" w:rsidRPr="00A55335">
        <w:t xml:space="preserve">. </w:t>
      </w:r>
      <w:r w:rsidRPr="00A55335">
        <w:t xml:space="preserve">While LBP is generally benign and self-limiting, approximately 10-40% with acute LBP develop persistent and debilitating chronic LBP that continues for more than 3 months </w:t>
      </w:r>
      <w:r w:rsidRPr="00A55335">
        <w:fldChar w:fldCharType="begin"/>
      </w:r>
      <w:r w:rsidR="00EC2769">
        <w:instrText xml:space="preserve"> ADDIN EN.CITE &lt;EndNote&gt;&lt;Cite&gt;&lt;Author&gt;Wheeler&lt;/Author&gt;&lt;Year&gt;2018&lt;/Year&gt;&lt;RecNum&gt;663&lt;/RecNum&gt;&lt;DisplayText&gt;(282)&lt;/DisplayText&gt;&lt;record&gt;&lt;rec-number&gt;663&lt;/rec-number&gt;&lt;foreign-keys&gt;&lt;key app="EN" db-id="t5prptatr9sp0we5exbxt9zz20fwp55tdza9" timestamp="1701381033"&gt;663&lt;/key&gt;&lt;/foreign-keys&gt;&lt;ref-type name="Journal Article"&gt;17&lt;/ref-type&gt;&lt;contributors&gt;&lt;authors&gt;&lt;author&gt;Wheeler, L.&lt;/author&gt;&lt;author&gt;Karran, E.&lt;/author&gt;&lt;author&gt;Harvie, D.&lt;/author&gt;&lt;/authors&gt;&lt;/contributors&gt;&lt;titles&gt;&lt;title&gt;Low back pain&lt;/title&gt;&lt;secondary-title&gt;Australian Journal for General Practitioners&lt;/secondary-title&gt;&lt;/titles&gt;&lt;periodical&gt;&lt;full-title&gt;Australian Journal for General Practitioners&lt;/full-title&gt;&lt;/periodical&gt;&lt;pages&gt;614-617&lt;/pages&gt;&lt;volume&gt;47&lt;/volume&gt;&lt;dates&gt;&lt;year&gt;2018&lt;/year&gt;&lt;pub-dates&gt;&lt;date&gt;08/29&lt;/date&gt;&lt;/pub-dates&gt;&lt;/dates&gt;&lt;publisher&gt;The Royal Australian College of General Practitioners (RACGP)&lt;/publisher&gt;&lt;urls&gt;&lt;related-urls&gt;&lt;url&gt;https://www1.racgp.org.au/ajgp/2018/september/low-back-pain&lt;/url&gt;&lt;/related-urls&gt;&lt;/urls&gt;&lt;/record&gt;&lt;/Cite&gt;&lt;/EndNote&gt;</w:instrText>
      </w:r>
      <w:r w:rsidRPr="00A55335">
        <w:fldChar w:fldCharType="separate"/>
      </w:r>
      <w:r w:rsidR="00EC2769">
        <w:rPr>
          <w:noProof/>
        </w:rPr>
        <w:t>(</w:t>
      </w:r>
      <w:hyperlink w:anchor="_ENREF_282" w:tooltip="Wheeler, 2018 #663" w:history="1">
        <w:r w:rsidR="00EC2769">
          <w:rPr>
            <w:noProof/>
          </w:rPr>
          <w:t>282</w:t>
        </w:r>
      </w:hyperlink>
      <w:r w:rsidR="00EC2769">
        <w:rPr>
          <w:noProof/>
        </w:rPr>
        <w:t>)</w:t>
      </w:r>
      <w:r w:rsidRPr="00A55335">
        <w:fldChar w:fldCharType="end"/>
      </w:r>
      <w:r w:rsidRPr="00A55335">
        <w:t xml:space="preserve">. Direct and indirect costs of LBP are reportedly $1 billion and $8 billion, respectively </w:t>
      </w:r>
      <w:r w:rsidRPr="00A55335">
        <w:fldChar w:fldCharType="begin"/>
      </w:r>
      <w:r w:rsidR="00EC2769">
        <w:instrText xml:space="preserve"> ADDIN EN.CITE &lt;EndNote&gt;&lt;Cite&gt;&lt;Author&gt;Maher&lt;/Author&gt;&lt;Year&gt;2011&lt;/Year&gt;&lt;RecNum&gt;665&lt;/RecNum&gt;&lt;DisplayText&gt;(285)&lt;/DisplayText&gt;&lt;record&gt;&lt;rec-number&gt;665&lt;/rec-number&gt;&lt;foreign-keys&gt;&lt;key app="EN" db-id="t5prptatr9sp0we5exbxt9zz20fwp55tdza9" timestamp="1701381033"&gt;665&lt;/key&gt;&lt;/foreign-keys&gt;&lt;ref-type name="Journal Article"&gt;17&lt;/ref-type&gt;&lt;contributors&gt;&lt;authors&gt;&lt;author&gt;Maher, CG&lt;/author&gt;&lt;author&gt;Williams, C&lt;/author&gt;&lt;author&gt;Lin, C&lt;/author&gt;&lt;author&gt;Latimer, J&lt;/author&gt;&lt;/authors&gt;&lt;/contributors&gt;&lt;titles&gt;&lt;title&gt;Managing low back pain in primary care&lt;/title&gt;&lt;secondary-title&gt;Australian Prescriber&lt;/secondary-title&gt;&lt;/titles&gt;&lt;periodical&gt;&lt;full-title&gt;Australian Prescriber&lt;/full-title&gt;&lt;/periodical&gt;&lt;pages&gt;128-132&lt;/pages&gt;&lt;volume&gt;34&lt;/volume&gt;&lt;number&gt;5&lt;/number&gt;&lt;dates&gt;&lt;year&gt;2011&lt;/year&gt;&lt;/dates&gt;&lt;urls&gt;&lt;related-urls&gt;&lt;url&gt;https://www.nps.org.au/australian-prescriber/articles/managing-low-back-pain-in-primary-care&lt;/url&gt;&lt;/related-urls&gt;&lt;/urls&gt;&lt;/record&gt;&lt;/Cite&gt;&lt;/EndNote&gt;</w:instrText>
      </w:r>
      <w:r w:rsidRPr="00A55335">
        <w:fldChar w:fldCharType="separate"/>
      </w:r>
      <w:r w:rsidR="00EC2769">
        <w:rPr>
          <w:noProof/>
        </w:rPr>
        <w:t>(</w:t>
      </w:r>
      <w:hyperlink w:anchor="_ENREF_285" w:tooltip="Maher, 2011 #665" w:history="1">
        <w:r w:rsidR="00EC2769">
          <w:rPr>
            <w:noProof/>
          </w:rPr>
          <w:t>285</w:t>
        </w:r>
      </w:hyperlink>
      <w:r w:rsidR="00EC2769">
        <w:rPr>
          <w:noProof/>
        </w:rPr>
        <w:t>)</w:t>
      </w:r>
      <w:r w:rsidRPr="00A55335">
        <w:fldChar w:fldCharType="end"/>
      </w:r>
      <w:r w:rsidRPr="00A55335">
        <w:t xml:space="preserve">. </w:t>
      </w:r>
      <w:r w:rsidR="00E101EC" w:rsidRPr="00A55335">
        <w:t xml:space="preserve">In 2019-2022, healthcare utilisation related to back and neck pain cost the Australian Government $3.2 billion </w:t>
      </w:r>
      <w:r w:rsidR="00E101EC" w:rsidRPr="00A55335">
        <w:fldChar w:fldCharType="begin"/>
      </w:r>
      <w:r w:rsidR="00EC2769">
        <w:instrText xml:space="preserve"> ADDIN EN.CITE &lt;EndNote&gt;&lt;Cite&gt;&lt;Author&gt;Australian Institute of Health and Welfare&lt;/Author&gt;&lt;Year&gt;2023&lt;/Year&gt;&lt;RecNum&gt;454&lt;/RecNum&gt;&lt;DisplayText&gt;(279)&lt;/DisplayText&gt;&lt;record&gt;&lt;rec-number&gt;454&lt;/rec-number&gt;&lt;foreign-keys&gt;&lt;key app="EN" db-id="t5prptatr9sp0we5exbxt9zz20fwp55tdza9" timestamp="1700774035"&gt;454&lt;/key&gt;&lt;/foreign-keys&gt;&lt;ref-type name="Electronic Article"&gt;43&lt;/ref-type&gt;&lt;contributors&gt;&lt;authors&gt;&lt;author&gt;Australian Institute of Health and Welfare,&lt;/author&gt;&lt;/authors&gt;&lt;/contributors&gt;&lt;titles&gt;&lt;title&gt;Back problems&lt;/title&gt;&lt;/titles&gt;&lt;dates&gt;&lt;year&gt;2023&lt;/year&gt;&lt;/dates&gt;&lt;pub-location&gt;Canberra&lt;/pub-location&gt;&lt;publisher&gt;AIHW&lt;/publisher&gt;&lt;urls&gt;&lt;related-urls&gt;&lt;url&gt;https://www.aihw.gov.au/reports/chronic-musculoskeletal-conditions/back-problems&lt;/url&gt;&lt;/related-urls&gt;&lt;/urls&gt;&lt;/record&gt;&lt;/Cite&gt;&lt;/EndNote&gt;</w:instrText>
      </w:r>
      <w:r w:rsidR="00E101EC" w:rsidRPr="00A55335">
        <w:fldChar w:fldCharType="separate"/>
      </w:r>
      <w:r w:rsidR="00EC2769">
        <w:rPr>
          <w:noProof/>
        </w:rPr>
        <w:t>(</w:t>
      </w:r>
      <w:hyperlink w:anchor="_ENREF_279" w:tooltip="Australian Institute of Health and Welfare, 2023 #454" w:history="1">
        <w:r w:rsidR="00EC2769">
          <w:rPr>
            <w:noProof/>
          </w:rPr>
          <w:t>279</w:t>
        </w:r>
      </w:hyperlink>
      <w:r w:rsidR="00EC2769">
        <w:rPr>
          <w:noProof/>
        </w:rPr>
        <w:t>)</w:t>
      </w:r>
      <w:r w:rsidR="00E101EC" w:rsidRPr="00A55335">
        <w:fldChar w:fldCharType="end"/>
      </w:r>
      <w:r w:rsidR="00E101EC" w:rsidRPr="00A55335">
        <w:t xml:space="preserve">. </w:t>
      </w:r>
    </w:p>
    <w:p w14:paraId="7A229B28" w14:textId="3DE6F7A3" w:rsidR="006A50F4" w:rsidRPr="00A55335" w:rsidRDefault="00E101EC" w:rsidP="00E101EC">
      <w:pPr>
        <w:pStyle w:val="BodyText"/>
      </w:pPr>
      <w:r w:rsidRPr="00A55335">
        <w:t xml:space="preserve">International guidelines consistently recommend </w:t>
      </w:r>
      <w:r w:rsidR="006A50F4" w:rsidRPr="00A55335">
        <w:t xml:space="preserve">people with neck or back pain remain </w:t>
      </w:r>
      <w:r w:rsidRPr="00A55335">
        <w:t>active and return to normal activities as soon as possible</w:t>
      </w:r>
      <w:r w:rsidR="00CF03F5" w:rsidRPr="00A55335">
        <w:t xml:space="preserve"> </w:t>
      </w:r>
      <w:r w:rsidR="00CF03F5" w:rsidRPr="00A55335">
        <w:fldChar w:fldCharType="begin">
          <w:fldData xml:space="preserve">PEVuZE5vdGU+PENpdGU+PEF1dGhvcj5PJmFwb3M7Q29ubmVsbDwvQXV0aG9yPjxZZWFyPjIwMTY8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=
</w:fldData>
        </w:fldChar>
      </w:r>
      <w:r w:rsidR="00EC2769">
        <w:instrText xml:space="preserve"> ADDIN EN.CITE </w:instrText>
      </w:r>
      <w:r w:rsidR="00EC2769">
        <w:fldChar w:fldCharType="begin">
          <w:fldData xml:space="preserve">PEVuZE5vdGU+PENpdGU+PEF1dGhvcj5PJmFwb3M7Q29ubmVsbDwvQXV0aG9yPjxZZWFyPjIwMTY8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=
</w:fldData>
        </w:fldChar>
      </w:r>
      <w:r w:rsidR="00EC2769">
        <w:instrText xml:space="preserve"> ADDIN EN.CITE.DATA </w:instrText>
      </w:r>
      <w:r w:rsidR="00EC2769">
        <w:fldChar w:fldCharType="end"/>
      </w:r>
      <w:r w:rsidR="00CF03F5" w:rsidRPr="00A55335">
        <w:fldChar w:fldCharType="separate"/>
      </w:r>
      <w:r w:rsidR="00EC2769">
        <w:rPr>
          <w:noProof/>
        </w:rPr>
        <w:t>(</w:t>
      </w:r>
      <w:hyperlink w:anchor="_ENREF_281" w:tooltip="O'Connell, 2016 #662" w:history="1">
        <w:r w:rsidR="00EC2769">
          <w:rPr>
            <w:noProof/>
          </w:rPr>
          <w:t>281</w:t>
        </w:r>
      </w:hyperlink>
      <w:r w:rsidR="00EC2769">
        <w:rPr>
          <w:noProof/>
        </w:rPr>
        <w:t xml:space="preserve">, </w:t>
      </w:r>
      <w:hyperlink w:anchor="_ENREF_282" w:tooltip="Wheeler, 2018 #663" w:history="1">
        <w:r w:rsidR="00EC2769">
          <w:rPr>
            <w:noProof/>
          </w:rPr>
          <w:t>282</w:t>
        </w:r>
      </w:hyperlink>
      <w:r w:rsidR="00EC2769">
        <w:rPr>
          <w:noProof/>
        </w:rPr>
        <w:t>)</w:t>
      </w:r>
      <w:r w:rsidR="00CF03F5" w:rsidRPr="00A55335">
        <w:fldChar w:fldCharType="end"/>
      </w:r>
      <w:r w:rsidR="00CF03F5" w:rsidRPr="00A55335">
        <w:t xml:space="preserve">. Treatment typically differs between chronic and acute presentations, however, often involves multidisciplinary care, including guidance from General Practitioners, physiotherapists, and other specialists </w:t>
      </w:r>
      <w:r w:rsidR="00CF03F5" w:rsidRPr="00A55335">
        <w:fldChar w:fldCharType="begin">
          <w:fldData xml:space="preserve">PEVuZE5vdGU+PENpdGU+PEF1dGhvcj5NaWNoYWxlZmY8L0F1dGhvcj48WWVhcj4yMDEyPC9ZZWFy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</w:fldData>
        </w:fldChar>
      </w:r>
      <w:r w:rsidR="00EC2769">
        <w:instrText xml:space="preserve"> ADDIN EN.CITE </w:instrText>
      </w:r>
      <w:r w:rsidR="00EC2769">
        <w:fldChar w:fldCharType="begin">
          <w:fldData xml:space="preserve">PEVuZE5vdGU+PENpdGU+PEF1dGhvcj5NaWNoYWxlZmY8L0F1dGhvcj48WWVhcj4yMDEyPC9ZZWFy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</w:fldData>
        </w:fldChar>
      </w:r>
      <w:r w:rsidR="00EC2769">
        <w:instrText xml:space="preserve"> ADDIN EN.CITE.DATA </w:instrText>
      </w:r>
      <w:r w:rsidR="00EC2769">
        <w:fldChar w:fldCharType="end"/>
      </w:r>
      <w:r w:rsidR="00CF03F5" w:rsidRPr="00A55335">
        <w:fldChar w:fldCharType="separate"/>
      </w:r>
      <w:r w:rsidR="00EC2769">
        <w:rPr>
          <w:noProof/>
        </w:rPr>
        <w:t>(</w:t>
      </w:r>
      <w:hyperlink w:anchor="_ENREF_284" w:tooltip="Michaleff, 2012 #455" w:history="1">
        <w:r w:rsidR="00EC2769">
          <w:rPr>
            <w:noProof/>
          </w:rPr>
          <w:t>284</w:t>
        </w:r>
      </w:hyperlink>
      <w:r w:rsidR="00EC2769">
        <w:rPr>
          <w:noProof/>
        </w:rPr>
        <w:t>)</w:t>
      </w:r>
      <w:r w:rsidR="00CF03F5" w:rsidRPr="00A55335">
        <w:fldChar w:fldCharType="end"/>
      </w:r>
      <w:r w:rsidR="00CF03F5" w:rsidRPr="00A55335">
        <w:t xml:space="preserve">, but no one approach appears superior to another </w:t>
      </w:r>
      <w:r w:rsidR="00CF03F5" w:rsidRPr="00A55335">
        <w:fldChar w:fldCharType="begin"/>
      </w:r>
      <w:r w:rsidR="00EC2769">
        <w:instrText xml:space="preserve"> ADDIN EN.CITE &lt;EndNote&gt;&lt;Cite&gt;&lt;Author&gt;O&amp;apos;Connell&lt;/Author&gt;&lt;Year&gt;2016&lt;/Year&gt;&lt;RecNum&gt;662&lt;/RecNum&gt;&lt;DisplayText&gt;(281)&lt;/DisplayText&gt;&lt;record&gt;&lt;rec-number&gt;662&lt;/rec-number&gt;&lt;foreign-keys&gt;&lt;key app="EN" db-id="t5prptatr9sp0we5exbxt9zz20fwp55tdza9" timestamp="1701381033"&gt;662&lt;/key&gt;&lt;/foreign-keys&gt;&lt;ref-type name="Journal Article"&gt;17&lt;/ref-type&gt;&lt;contributors&gt;&lt;authors&gt;&lt;author&gt;O&amp;apos;Connell, Neil E.&lt;/author&gt;&lt;author&gt;Cook, Chad E.&lt;/author&gt;&lt;author&gt;Wand, Benedict M.&lt;/author&gt;&lt;author&gt;Ward, Stephen P.&lt;/author&gt;&lt;/authors&gt;&lt;/contributors&gt;&lt;titles&gt;&lt;title&gt;Clinical guidelines for low back pain: A critical review of consensus and inconsistencies across three major guidelines&lt;/title&gt;&lt;secondary-title&gt;Best Practice &amp;amp; Research Clinical Rheumatology&lt;/secondary-title&gt;&lt;/titles&gt;&lt;periodical&gt;&lt;full-title&gt;Best Practice &amp;amp; Research Clinical Rheumatology&lt;/full-title&gt;&lt;/periodical&gt;&lt;pages&gt;968-980&lt;/pages&gt;&lt;volume&gt;30&lt;/volume&gt;&lt;number&gt;6&lt;/number&gt;&lt;keywords&gt;&lt;keyword&gt;Low back pain&lt;/keyword&gt;&lt;keyword&gt;Clinical guidelines&lt;/keyword&gt;&lt;keyword&gt;Evidence-based practice&lt;/keyword&gt;&lt;keyword&gt;Implementation&lt;/keyword&gt;&lt;/keywords&gt;&lt;dates&gt;&lt;year&gt;2016&lt;/year&gt;&lt;pub-dates&gt;&lt;date&gt;2016/12/01/&lt;/date&gt;&lt;/pub-dates&gt;&lt;/dates&gt;&lt;isbn&gt;1521-6942&lt;/isbn&gt;&lt;urls&gt;&lt;related-urls&gt;&lt;url&gt;http://www.sciencedirect.com/science/article/pii/S1521694217300049&lt;/url&gt;&lt;url&gt;https://www.sciencedirect.com/science/article/abs/pii/S1521694217300049?via%3Dihub&lt;/url&gt;&lt;/related-urls&gt;&lt;/urls&gt;&lt;electronic-resource-num&gt;https://doi.org/10.1016/j.berh.2017.05.001&lt;/electronic-resource-num&gt;&lt;/record&gt;&lt;/Cite&gt;&lt;/EndNote&gt;</w:instrText>
      </w:r>
      <w:r w:rsidR="00CF03F5" w:rsidRPr="00A55335">
        <w:fldChar w:fldCharType="separate"/>
      </w:r>
      <w:r w:rsidR="00EC2769">
        <w:rPr>
          <w:noProof/>
        </w:rPr>
        <w:t>(</w:t>
      </w:r>
      <w:hyperlink w:anchor="_ENREF_281" w:tooltip="O'Connell, 2016 #662" w:history="1">
        <w:r w:rsidR="00EC2769">
          <w:rPr>
            <w:noProof/>
          </w:rPr>
          <w:t>281</w:t>
        </w:r>
      </w:hyperlink>
      <w:r w:rsidR="00EC2769">
        <w:rPr>
          <w:noProof/>
        </w:rPr>
        <w:t>)</w:t>
      </w:r>
      <w:r w:rsidR="00CF03F5" w:rsidRPr="00A55335">
        <w:fldChar w:fldCharType="end"/>
      </w:r>
      <w:r w:rsidR="00CF03F5" w:rsidRPr="00A55335">
        <w:t xml:space="preserve">. Various nonpharmacological and complementary therapies may be </w:t>
      </w:r>
      <w:r w:rsidR="001A06C6">
        <w:t>used</w:t>
      </w:r>
      <w:r w:rsidR="001A06C6" w:rsidRPr="00A55335">
        <w:t xml:space="preserve"> </w:t>
      </w:r>
      <w:r w:rsidR="00CF03F5" w:rsidRPr="00A55335">
        <w:t xml:space="preserve">for back and neck pain include exercise therapy, mind-body interventions </w:t>
      </w:r>
      <w:r w:rsidR="00CF03F5" w:rsidRPr="00A55335">
        <w:fldChar w:fldCharType="begin"/>
      </w:r>
      <w:r w:rsidR="00EC2769">
        <w:instrText xml:space="preserve"> ADDIN EN.CITE &lt;EndNote&gt;&lt;Cite&gt;&lt;Author&gt;Chou&lt;/Author&gt;&lt;Year&gt;2007&lt;/Year&gt;&lt;RecNum&gt;666&lt;/RecNum&gt;&lt;DisplayText&gt;(286)&lt;/DisplayText&gt;&lt;record&gt;&lt;rec-number&gt;666&lt;/rec-number&gt;&lt;foreign-keys&gt;&lt;key app="EN" db-id="t5prptatr9sp0we5exbxt9zz20fwp55tdza9" timestamp="1701381033"&gt;666&lt;/key&gt;&lt;/foreign-keys&gt;&lt;ref-type name="Journal Article"&gt;17&lt;/ref-type&gt;&lt;contributors&gt;&lt;authors&gt;&lt;author&gt;Chou, Roger&lt;/author&gt;&lt;author&gt;Huffman, Laurie Hoyt&lt;/author&gt;&lt;/authors&gt;&lt;/contributors&gt;&lt;titles&gt;&lt;title&gt;Nonpharmacologic Therapies for Acute and Chronic Low Back Pain: A Review of the Evidence for an American Pain Society/American College of Physicians Clinical Practice Guideline&lt;/title&gt;&lt;secondary-title&gt;Annals of Internal Medicine&lt;/secondary-title&gt;&lt;/titles&gt;&lt;periodical&gt;&lt;full-title&gt;Annals of Internal Medicine&lt;/full-title&gt;&lt;/periodical&gt;&lt;pages&gt;492-504&lt;/pages&gt;&lt;volume&gt;147&lt;/volume&gt;&lt;number&gt;7&lt;/number&gt;&lt;dates&gt;&lt;year&gt;2007&lt;/year&gt;&lt;pub-dates&gt;&lt;date&gt;2007/10/02&lt;/date&gt;&lt;/pub-dates&gt;&lt;/dates&gt;&lt;publisher&gt;American College of Physicians&lt;/publisher&gt;&lt;isbn&gt;0003-4819&lt;/isbn&gt;&lt;urls&gt;&lt;related-urls&gt;&lt;url&gt;https://www.acpjournals.org/doi/abs/10.7326/0003-4819-147-7-200710020-00007&lt;/url&gt;&lt;/related-urls&gt;&lt;/urls&gt;&lt;electronic-resource-num&gt;10.7326/0003-4819-147-7-200710020-00007&lt;/electronic-resource-num&gt;&lt;access-date&gt;2021/01/17&lt;/access-date&gt;&lt;/record&gt;&lt;/Cite&gt;&lt;/EndNote&gt;</w:instrText>
      </w:r>
      <w:r w:rsidR="00CF03F5" w:rsidRPr="00A55335">
        <w:fldChar w:fldCharType="separate"/>
      </w:r>
      <w:r w:rsidR="00EC2769">
        <w:rPr>
          <w:noProof/>
        </w:rPr>
        <w:t>(</w:t>
      </w:r>
      <w:hyperlink w:anchor="_ENREF_286" w:tooltip="Chou, 2007 #666" w:history="1">
        <w:r w:rsidR="00EC2769">
          <w:rPr>
            <w:noProof/>
          </w:rPr>
          <w:t>286</w:t>
        </w:r>
      </w:hyperlink>
      <w:r w:rsidR="00EC2769">
        <w:rPr>
          <w:noProof/>
        </w:rPr>
        <w:t>)</w:t>
      </w:r>
      <w:r w:rsidR="00CF03F5" w:rsidRPr="00A55335">
        <w:fldChar w:fldCharType="end"/>
      </w:r>
      <w:r w:rsidR="00CF03F5" w:rsidRPr="00A55335">
        <w:t xml:space="preserve"> and homeopathy </w:t>
      </w:r>
      <w:r w:rsidR="00CF03F5" w:rsidRPr="00A55335">
        <w:fldChar w:fldCharType="begin"/>
      </w:r>
      <w:r w:rsidR="00EC2769">
        <w:instrText xml:space="preserve"> ADDIN EN.CITE &lt;EndNote&gt;&lt;Cite&gt;&lt;Author&gt;Weiner&lt;/Author&gt;&lt;Year&gt;2004&lt;/Year&gt;&lt;RecNum&gt;456&lt;/RecNum&gt;&lt;DisplayText&gt;(287)&lt;/DisplayText&gt;&lt;record&gt;&lt;rec-number&gt;456&lt;/rec-number&gt;&lt;foreign-keys&gt;&lt;key app="EN" db-id="t5prptatr9sp0we5exbxt9zz20fwp55tdza9" timestamp="1700774035"&gt;456&lt;/key&gt;&lt;/foreign-keys&gt;&lt;ref-type name="Journal Article"&gt;17&lt;/ref-type&gt;&lt;contributors&gt;&lt;authors&gt;&lt;author&gt;Weiner, D. K.&lt;/author&gt;&lt;author&gt;Ernst, E.&lt;/author&gt;&lt;/authors&gt;&lt;/contributors&gt;&lt;auth-address&gt;Department of Medicine, Division of Geriatric Medicine, University of Pittsburgh School of Medicine, Pittsburgh, PA 15213-3313, USA. dweiner@pitt.edu&lt;/auth-address&gt;&lt;titles&gt;&lt;title&gt;Complementary and alternative approaches to the treatment of persistent musculoskeletal pain&lt;/title&gt;&lt;secondary-title&gt;Clin J Pain&lt;/secondary-title&gt;&lt;/titles&gt;&lt;pages&gt;244-55&lt;/pages&gt;&lt;volume&gt;20&lt;/volume&gt;&lt;number&gt;4&lt;/number&gt;&lt;keywords&gt;&lt;keyword&gt;Acupuncture&lt;/keyword&gt;&lt;keyword&gt;Clinical Trials as Topic&lt;/keyword&gt;&lt;keyword&gt;Complementary Therapies/*methods&lt;/keyword&gt;&lt;keyword&gt;Evidence-Based Medicine&lt;/keyword&gt;&lt;keyword&gt;Humans&lt;/keyword&gt;&lt;keyword&gt;Musculoskeletal Diseases/complications/*therapy&lt;/keyword&gt;&lt;keyword&gt;Pain/etiology&lt;/keyword&gt;&lt;keyword&gt;*Pain Management&lt;/keyword&gt;&lt;keyword&gt;Palliative Care&lt;/keyword&gt;&lt;keyword&gt;Physical Therapy Modalities&lt;/keyword&gt;&lt;keyword&gt;Phytotherapy&lt;/keyword&gt;&lt;keyword&gt;Treatment Outcome&lt;/keyword&gt;&lt;/keywords&gt;&lt;dates&gt;&lt;year&gt;2004&lt;/year&gt;&lt;pub-dates&gt;&lt;date&gt;Jul-Aug&lt;/date&gt;&lt;/pub-dates&gt;&lt;/dates&gt;&lt;pub-location&gt;United States&lt;/pub-location&gt;&lt;publisher&gt;Lippincott Williams &amp;amp; Wilkins, Inc&lt;/publisher&gt;&lt;isbn&gt;0749-8047 (Print)&amp;#xD;0749-8047 (Linking)&lt;/isbn&gt;&lt;accession-num&gt;15218409&lt;/accession-num&gt;&lt;urls&gt;&lt;related-urls&gt;&lt;url&gt;https://www.ncbi.nlm.nih.gov/pubmed/15218409&lt;/url&gt;&lt;/related-urls&gt;&lt;/urls&gt;&lt;electronic-resource-num&gt;10.1097/00002508-200407000-00006&lt;/electronic-resource-num&gt;&lt;remote-database-name&gt;Medline&lt;/remote-database-name&gt;&lt;remote-database-provider&gt;NLM&lt;/remote-database-provider&gt;&lt;/record&gt;&lt;/Cite&gt;&lt;/EndNote&gt;</w:instrText>
      </w:r>
      <w:r w:rsidR="00CF03F5" w:rsidRPr="00A55335">
        <w:fldChar w:fldCharType="separate"/>
      </w:r>
      <w:r w:rsidR="00EC2769">
        <w:rPr>
          <w:noProof/>
        </w:rPr>
        <w:t>(</w:t>
      </w:r>
      <w:hyperlink w:anchor="_ENREF_287" w:tooltip="Weiner, 2004 #456" w:history="1">
        <w:r w:rsidR="00EC2769">
          <w:rPr>
            <w:noProof/>
          </w:rPr>
          <w:t>287</w:t>
        </w:r>
      </w:hyperlink>
      <w:r w:rsidR="00EC2769">
        <w:rPr>
          <w:noProof/>
        </w:rPr>
        <w:t>)</w:t>
      </w:r>
      <w:r w:rsidR="00CF03F5" w:rsidRPr="00A55335">
        <w:fldChar w:fldCharType="end"/>
      </w:r>
      <w:r w:rsidR="00CF03F5" w:rsidRPr="00A55335">
        <w:t>.</w:t>
      </w:r>
    </w:p>
    <w:p w14:paraId="44085BC7" w14:textId="77777777" w:rsidR="00DD505D" w:rsidRPr="00A55335" w:rsidRDefault="00DD505D" w:rsidP="004D433B">
      <w:pPr>
        <w:pStyle w:val="Heading3"/>
      </w:pPr>
      <w:bookmarkStart w:id="428" w:name="_Toc183441395"/>
      <w:r w:rsidRPr="00A55335">
        <w:lastRenderedPageBreak/>
        <w:t>Description of studies</w:t>
      </w:r>
      <w:bookmarkEnd w:id="428"/>
      <w:r w:rsidRPr="00A55335">
        <w:t xml:space="preserve"> </w:t>
      </w:r>
    </w:p>
    <w:p w14:paraId="0FB5C673" w14:textId="25265EB3" w:rsidR="00DD505D" w:rsidRPr="00A55335" w:rsidRDefault="00DD505D" w:rsidP="00DD505D">
      <w:pPr>
        <w:pStyle w:val="BodyText"/>
      </w:pPr>
      <w:r w:rsidRPr="00A55335">
        <w:t xml:space="preserve">Three citations </w:t>
      </w:r>
      <w:r w:rsidRPr="00A55335">
        <w:fldChar w:fldCharType="begin">
          <w:fldData xml:space="preserve">PEVuZE5vdGU+PENpdGU+PEF1dGhvcj5DdHJpPC9BdXRob3I+PFllYXI+MjAxMTwvWWVhcj48UmVj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</w:fldData>
        </w:fldChar>
      </w:r>
      <w:r w:rsidR="00EC2769">
        <w:instrText xml:space="preserve"> ADDIN EN.CITE </w:instrText>
      </w:r>
      <w:r w:rsidR="00EC2769">
        <w:fldChar w:fldCharType="begin">
          <w:fldData xml:space="preserve">PEVuZE5vdGU+PENpdGU+PEF1dGhvcj5DdHJpPC9BdXRob3I+PFllYXI+MjAxMTwvWWVhcj48UmVj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</w:fldData>
        </w:fldChar>
      </w:r>
      <w:r w:rsidR="00EC2769">
        <w:instrText xml:space="preserve"> ADDIN EN.CITE.DATA </w:instrText>
      </w:r>
      <w:r w:rsidR="00EC2769">
        <w:fldChar w:fldCharType="end"/>
      </w:r>
      <w:r w:rsidRPr="00A55335">
        <w:fldChar w:fldCharType="separate"/>
      </w:r>
      <w:r w:rsidR="00EC2769">
        <w:rPr>
          <w:noProof/>
        </w:rPr>
        <w:t>(</w:t>
      </w:r>
      <w:hyperlink w:anchor="_ENREF_288" w:tooltip="Ctri, 2011 #457" w:history="1">
        <w:r w:rsidR="00EC2769">
          <w:rPr>
            <w:noProof/>
          </w:rPr>
          <w:t>288-290</w:t>
        </w:r>
      </w:hyperlink>
      <w:r w:rsidR="00EC2769">
        <w:rPr>
          <w:noProof/>
        </w:rPr>
        <w:t>)</w:t>
      </w:r>
      <w:r w:rsidRPr="00A55335">
        <w:fldChar w:fldCharType="end"/>
      </w:r>
      <w:r w:rsidRPr="00A55335">
        <w:t xml:space="preserve"> corresponding to 3 RCTs </w:t>
      </w:r>
      <w:r w:rsidR="00813632" w:rsidRPr="00A55335">
        <w:t xml:space="preserve">(Gupta 2020, Morris 2016, Stam 2001) </w:t>
      </w:r>
      <w:r w:rsidRPr="00A55335">
        <w:t xml:space="preserve">were identified in the literature search. </w:t>
      </w:r>
      <w:r w:rsidR="00C9060A" w:rsidRPr="00A55335">
        <w:t>No additional studies were identified in the Department’s public call for evidence.</w:t>
      </w:r>
      <w:r w:rsidR="00A04316" w:rsidRPr="00A55335">
        <w:t xml:space="preserve"> There were 4 </w:t>
      </w:r>
      <w:hyperlink w:anchor="_Ongoing_studies" w:history="1">
        <w:r w:rsidR="00A04316" w:rsidRPr="00A55335">
          <w:rPr>
            <w:rStyle w:val="Hyperlink"/>
          </w:rPr>
          <w:t>ongoing studies</w:t>
        </w:r>
      </w:hyperlink>
      <w:r w:rsidR="00A04316" w:rsidRPr="00A55335">
        <w:t xml:space="preserve">, and </w:t>
      </w:r>
      <w:r w:rsidR="00696FF6" w:rsidRPr="00A55335">
        <w:t xml:space="preserve">5 </w:t>
      </w:r>
      <w:hyperlink w:anchor="_Studies_awaiting_classification" w:history="1">
        <w:r w:rsidR="00A04316" w:rsidRPr="00A55335">
          <w:rPr>
            <w:rStyle w:val="Hyperlink"/>
          </w:rPr>
          <w:t>studies awaiting classification</w:t>
        </w:r>
      </w:hyperlink>
      <w:r w:rsidR="00C9060A" w:rsidRPr="00A55335">
        <w:t xml:space="preserve"> </w:t>
      </w:r>
      <w:r w:rsidR="00A04316" w:rsidRPr="00A55335">
        <w:t xml:space="preserve">including </w:t>
      </w:r>
      <w:r w:rsidR="00007A4D" w:rsidRPr="00A55335">
        <w:t xml:space="preserve">3 </w:t>
      </w:r>
      <w:r w:rsidRPr="00A55335">
        <w:t xml:space="preserve">studies </w:t>
      </w:r>
      <w:r w:rsidR="00A04316" w:rsidRPr="00A55335">
        <w:t xml:space="preserve">published in a language other than </w:t>
      </w:r>
      <w:r w:rsidRPr="00A55335">
        <w:t xml:space="preserve">English. An overview of the PICO criteria of included studies is provided in Appendix </w:t>
      </w:r>
      <w:r w:rsidR="00DA32B0" w:rsidRPr="00A55335">
        <w:t>D</w:t>
      </w:r>
      <w:r w:rsidR="0095494C" w:rsidRPr="00A55335">
        <w:t>8</w:t>
      </w:r>
      <w:r w:rsidR="00DA32B0" w:rsidRPr="00A55335">
        <w:t>.2.1</w:t>
      </w:r>
      <w:r w:rsidRPr="00A55335">
        <w:t>.</w:t>
      </w:r>
    </w:p>
    <w:p w14:paraId="4B8AE57F" w14:textId="21406F32" w:rsidR="00DD505D" w:rsidRPr="00A55335" w:rsidRDefault="00A04316" w:rsidP="00DD505D">
      <w:pPr>
        <w:pStyle w:val="BodyText"/>
      </w:pPr>
      <w:r w:rsidRPr="00A55335">
        <w:t xml:space="preserve">One </w:t>
      </w:r>
      <w:r w:rsidR="002D15E9" w:rsidRPr="00A55335">
        <w:t>RCT</w:t>
      </w:r>
      <w:r w:rsidRPr="00A55335">
        <w:t xml:space="preserve"> was conducted in a single private physiotherapy clinic in South Africa (Morris 2016). </w:t>
      </w:r>
      <w:r w:rsidR="002D15E9" w:rsidRPr="00A55335">
        <w:t xml:space="preserve">The other 2 RCTs were </w:t>
      </w:r>
      <w:r w:rsidR="00DD505D" w:rsidRPr="00A55335">
        <w:t xml:space="preserve">conducted </w:t>
      </w:r>
      <w:r w:rsidR="002D15E9" w:rsidRPr="00A55335">
        <w:t>across</w:t>
      </w:r>
      <w:r w:rsidR="00DD505D" w:rsidRPr="00A55335">
        <w:t xml:space="preserve"> multiple </w:t>
      </w:r>
      <w:r w:rsidR="00F9191A" w:rsidRPr="00A55335">
        <w:t xml:space="preserve">research </w:t>
      </w:r>
      <w:r w:rsidR="00DD505D" w:rsidRPr="00A55335">
        <w:t>centres in India</w:t>
      </w:r>
      <w:r w:rsidR="002D15E9" w:rsidRPr="00A55335">
        <w:t xml:space="preserve"> (Gupta 2020)</w:t>
      </w:r>
      <w:r w:rsidR="00F9191A" w:rsidRPr="00A55335">
        <w:t xml:space="preserve"> or </w:t>
      </w:r>
      <w:r w:rsidR="00DD505D" w:rsidRPr="00A55335">
        <w:t>multiple general practice clinics in the United Kingdom</w:t>
      </w:r>
      <w:r w:rsidR="00F9191A" w:rsidRPr="00A55335">
        <w:t xml:space="preserve"> (Stam 2001)</w:t>
      </w:r>
      <w:r w:rsidR="00DD505D" w:rsidRPr="00A55335">
        <w:t>. Sample size ranged from 30 to 161 (</w:t>
      </w:r>
      <w:r w:rsidR="00F9191A" w:rsidRPr="00A55335">
        <w:t xml:space="preserve">total </w:t>
      </w:r>
      <w:r w:rsidR="00DD505D" w:rsidRPr="00A55335">
        <w:t>327 participants)</w:t>
      </w:r>
      <w:r w:rsidR="00F9191A" w:rsidRPr="00A55335">
        <w:t xml:space="preserve">. </w:t>
      </w:r>
      <w:r w:rsidR="00B77FD5" w:rsidRPr="00A55335">
        <w:t>O</w:t>
      </w:r>
      <w:r w:rsidR="00AC574C" w:rsidRPr="00A55335">
        <w:t xml:space="preserve">ne study </w:t>
      </w:r>
      <w:r w:rsidR="00D456EF" w:rsidRPr="00A55335">
        <w:t xml:space="preserve">(Gupta 2020) </w:t>
      </w:r>
      <w:r w:rsidR="00AC574C" w:rsidRPr="00A55335">
        <w:t>enrolled participants with neck pain associated with spondylosis</w:t>
      </w:r>
      <w:r w:rsidR="00B77FD5" w:rsidRPr="00A55335">
        <w:t>. The other 2 studies enrolled participants with low back pain, with one study being in people with chronic pain secondary to OA of the lumbar spine (Morris 2016) and one stud</w:t>
      </w:r>
      <w:r w:rsidR="0075446C" w:rsidRPr="00A55335">
        <w:t>y</w:t>
      </w:r>
      <w:r w:rsidR="00B77FD5" w:rsidRPr="00A55335">
        <w:t xml:space="preserve"> being in </w:t>
      </w:r>
      <w:r w:rsidR="00563505" w:rsidRPr="00A55335">
        <w:t xml:space="preserve">people with an acute </w:t>
      </w:r>
      <w:r w:rsidR="003A7071" w:rsidRPr="00A55335">
        <w:t xml:space="preserve">occurrence of pain </w:t>
      </w:r>
      <w:r w:rsidR="00563505" w:rsidRPr="00A55335">
        <w:t>(Stam 2001)</w:t>
      </w:r>
      <w:r w:rsidR="00DD505D" w:rsidRPr="00A55335">
        <w:t>.</w:t>
      </w:r>
    </w:p>
    <w:p w14:paraId="2A930A10" w14:textId="7FDC9D92" w:rsidR="00DD505D" w:rsidRPr="00A55335" w:rsidRDefault="00FB4CD5" w:rsidP="00DD505D">
      <w:pPr>
        <w:pStyle w:val="BodyText"/>
      </w:pPr>
      <w:r w:rsidRPr="00A55335">
        <w:t xml:space="preserve">Two studies </w:t>
      </w:r>
      <w:r w:rsidR="009F36C9" w:rsidRPr="00A55335">
        <w:t>(Gupta 2020, Morris 2016) compared homeopathy with placebo.</w:t>
      </w:r>
      <w:r w:rsidR="00304E34" w:rsidRPr="00A55335">
        <w:t xml:space="preserve"> </w:t>
      </w:r>
      <w:r w:rsidR="00772086" w:rsidRPr="00A55335">
        <w:t>P</w:t>
      </w:r>
      <w:r w:rsidR="00304E34" w:rsidRPr="00A55335">
        <w:t xml:space="preserve">articipants </w:t>
      </w:r>
      <w:r w:rsidR="00772086" w:rsidRPr="00A55335">
        <w:t xml:space="preserve">in Gupta 2020 </w:t>
      </w:r>
      <w:r w:rsidR="00304E34" w:rsidRPr="00A55335">
        <w:t>received individualised homeopathy</w:t>
      </w:r>
      <w:r w:rsidR="00681BDE" w:rsidRPr="00A55335">
        <w:t>, given as an oral intervention</w:t>
      </w:r>
      <w:r w:rsidR="00B52319" w:rsidRPr="00A55335">
        <w:t>. P</w:t>
      </w:r>
      <w:r w:rsidR="00772086" w:rsidRPr="00A55335">
        <w:t>articipants in Morris 2016 received a</w:t>
      </w:r>
      <w:r w:rsidR="006419F1" w:rsidRPr="00A55335">
        <w:t xml:space="preserve"> non-individualised</w:t>
      </w:r>
      <w:r w:rsidR="00772086" w:rsidRPr="00A55335">
        <w:t xml:space="preserve"> oral combination product</w:t>
      </w:r>
      <w:r w:rsidR="00412EF0" w:rsidRPr="00A55335">
        <w:t>, with both groups also receiving fortnightly physiotherapy as a co-intervention</w:t>
      </w:r>
      <w:r w:rsidR="00022D23" w:rsidRPr="00A55335">
        <w:t xml:space="preserve">. </w:t>
      </w:r>
      <w:r w:rsidR="00217981" w:rsidRPr="00A55335">
        <w:t>One</w:t>
      </w:r>
      <w:r w:rsidR="00DD505D" w:rsidRPr="00A55335">
        <w:t xml:space="preserve"> stud</w:t>
      </w:r>
      <w:r w:rsidR="00217981" w:rsidRPr="00A55335">
        <w:t>y</w:t>
      </w:r>
      <w:r w:rsidR="00DD505D" w:rsidRPr="00A55335">
        <w:t xml:space="preserve"> (Stam 2001) </w:t>
      </w:r>
      <w:r w:rsidR="00217981" w:rsidRPr="00A55335">
        <w:t>compared</w:t>
      </w:r>
      <w:r w:rsidR="00DD505D" w:rsidRPr="00A55335">
        <w:t xml:space="preserve"> </w:t>
      </w:r>
      <w:r w:rsidR="0016559D" w:rsidRPr="00A55335">
        <w:t xml:space="preserve">a topical </w:t>
      </w:r>
      <w:r w:rsidR="00DD505D" w:rsidRPr="00A55335">
        <w:t>homeopath</w:t>
      </w:r>
      <w:r w:rsidR="0016559D" w:rsidRPr="00A55335">
        <w:t>ic product</w:t>
      </w:r>
      <w:r w:rsidR="00DD505D" w:rsidRPr="00A55335">
        <w:t xml:space="preserve"> </w:t>
      </w:r>
      <w:r w:rsidR="00217981" w:rsidRPr="00A55335">
        <w:t>with an</w:t>
      </w:r>
      <w:r w:rsidR="00B62B17" w:rsidRPr="00A55335">
        <w:t>other topical intervention</w:t>
      </w:r>
      <w:r w:rsidR="00DD505D" w:rsidRPr="00A55335">
        <w:t>,</w:t>
      </w:r>
      <w:r w:rsidR="00217981" w:rsidRPr="00A55335">
        <w:t xml:space="preserve"> </w:t>
      </w:r>
      <w:r w:rsidR="00B62B17" w:rsidRPr="00A55335">
        <w:t xml:space="preserve">both of </w:t>
      </w:r>
      <w:r w:rsidR="00217981" w:rsidRPr="00A55335">
        <w:t>which w</w:t>
      </w:r>
      <w:r w:rsidR="00B62B17" w:rsidRPr="00A55335">
        <w:t>ere</w:t>
      </w:r>
      <w:r w:rsidR="00217981" w:rsidRPr="00A55335">
        <w:t xml:space="preserve"> delivered a</w:t>
      </w:r>
      <w:r w:rsidR="00F4623D" w:rsidRPr="00A55335">
        <w:t>s an adjunct to usual care (</w:t>
      </w:r>
      <w:r w:rsidR="00DD505D" w:rsidRPr="00A55335">
        <w:t>paracetamol</w:t>
      </w:r>
      <w:r w:rsidR="00F4623D" w:rsidRPr="00A55335">
        <w:t>)</w:t>
      </w:r>
      <w:r w:rsidR="00DD505D" w:rsidRPr="00A55335">
        <w:t>.</w:t>
      </w:r>
    </w:p>
    <w:p w14:paraId="65F5C1E1" w14:textId="22A6BA1B" w:rsidR="00DD505D" w:rsidRPr="00A55335" w:rsidRDefault="00DD505D" w:rsidP="00DD505D">
      <w:pPr>
        <w:pStyle w:val="BodyText"/>
      </w:pPr>
      <w:r w:rsidRPr="00A55335">
        <w:t xml:space="preserve">Administration of </w:t>
      </w:r>
      <w:r w:rsidR="00B52319" w:rsidRPr="00A55335">
        <w:t xml:space="preserve">the </w:t>
      </w:r>
      <w:r w:rsidRPr="00A55335">
        <w:t xml:space="preserve">homeopathic </w:t>
      </w:r>
      <w:r w:rsidR="00B52319" w:rsidRPr="00A55335">
        <w:t>intervention</w:t>
      </w:r>
      <w:r w:rsidRPr="00A55335">
        <w:t xml:space="preserve"> varied between studies. </w:t>
      </w:r>
      <w:r w:rsidR="00B52319" w:rsidRPr="00A55335">
        <w:t>In o</w:t>
      </w:r>
      <w:r w:rsidRPr="00A55335">
        <w:t xml:space="preserve">ne study (Gupta 2020) the intervention </w:t>
      </w:r>
      <w:r w:rsidR="00B52319" w:rsidRPr="00A55335">
        <w:t>was</w:t>
      </w:r>
      <w:r w:rsidRPr="00A55335">
        <w:t xml:space="preserve"> administered 3 times daily at 6-hour intervals. </w:t>
      </w:r>
      <w:r w:rsidR="00B62B17" w:rsidRPr="00A55335">
        <w:t>In one</w:t>
      </w:r>
      <w:r w:rsidRPr="00A55335">
        <w:t xml:space="preserve"> study (Morris 2016) the intervention </w:t>
      </w:r>
      <w:r w:rsidR="00B62B17" w:rsidRPr="00A55335">
        <w:t>was</w:t>
      </w:r>
      <w:r w:rsidRPr="00A55335">
        <w:t xml:space="preserve"> administered twice daily 20 minutes before meals. One study (Stam 2001) required the intervention to be applied 3 times daily to the </w:t>
      </w:r>
      <w:r w:rsidR="008811CF" w:rsidRPr="00A55335">
        <w:t>affected</w:t>
      </w:r>
      <w:r w:rsidRPr="00A55335">
        <w:t xml:space="preserve"> area. Length of follow up ranged from 7 days (Stam 2001) to 6 weeks (Morris 2016).</w:t>
      </w:r>
    </w:p>
    <w:p w14:paraId="45862B0A" w14:textId="78A60E5B" w:rsidR="00B62B17" w:rsidRPr="00A55335" w:rsidRDefault="00DD505D" w:rsidP="00B62B17">
      <w:pPr>
        <w:pStyle w:val="BodyText"/>
      </w:pPr>
      <w:r w:rsidRPr="00A55335">
        <w:t xml:space="preserve">Results for </w:t>
      </w:r>
      <w:r w:rsidR="0010333E" w:rsidRPr="00A55335">
        <w:t xml:space="preserve">the </w:t>
      </w:r>
      <w:r w:rsidR="006070ED" w:rsidRPr="00A55335">
        <w:t>Primary Comparison</w:t>
      </w:r>
      <w:r w:rsidR="00B62B17" w:rsidRPr="00A55335">
        <w:t xml:space="preserve">: </w:t>
      </w:r>
      <w:r w:rsidR="00F73318" w:rsidRPr="00A55335">
        <w:t>H</w:t>
      </w:r>
      <w:r w:rsidR="00B62B17" w:rsidRPr="00A55335">
        <w:t xml:space="preserve">omeopathy versus placebo are provided in the Summary of Findings table </w:t>
      </w:r>
      <w:r w:rsidRPr="00A55335">
        <w:t>(see</w:t>
      </w:r>
      <w:r w:rsidR="00B62B17" w:rsidRPr="00A55335">
        <w:t xml:space="preserve"> Section </w:t>
      </w:r>
      <w:r w:rsidR="00B62B17" w:rsidRPr="00A55335">
        <w:fldChar w:fldCharType="begin"/>
      </w:r>
      <w:r w:rsidR="00B62B17" w:rsidRPr="00A55335">
        <w:instrText xml:space="preserve"> REF _Ref152174687 \r \h </w:instrText>
      </w:r>
      <w:r w:rsidR="00B62B17" w:rsidRPr="00A55335">
        <w:fldChar w:fldCharType="separate"/>
      </w:r>
      <w:r w:rsidR="00814B04">
        <w:t>4.17.4</w:t>
      </w:r>
      <w:r w:rsidR="00B62B17" w:rsidRPr="00A55335">
        <w:fldChar w:fldCharType="end"/>
      </w:r>
      <w:r w:rsidRPr="00A55335">
        <w:t>).</w:t>
      </w:r>
      <w:r w:rsidR="00B62B17" w:rsidRPr="00A55335">
        <w:t xml:space="preserve"> </w:t>
      </w:r>
      <w:r w:rsidR="00882C54" w:rsidRPr="00A55335">
        <w:t xml:space="preserve">There were no studies found for </w:t>
      </w:r>
      <w:r w:rsidR="0010333E" w:rsidRPr="00A55335">
        <w:t xml:space="preserve">the </w:t>
      </w:r>
      <w:r w:rsidR="00882C54" w:rsidRPr="00A55335">
        <w:t xml:space="preserve">Secondary Comparison: Homeopathy versus inactive control (no intervention, waitlist or usual care). </w:t>
      </w:r>
      <w:r w:rsidR="00B62B17" w:rsidRPr="00A55335">
        <w:t xml:space="preserve">Results of studies that compared homeopathy with another comparator </w:t>
      </w:r>
      <w:r w:rsidR="00882C54" w:rsidRPr="00A55335">
        <w:t xml:space="preserve">(Tertiary Comparison) </w:t>
      </w:r>
      <w:r w:rsidR="00B62B17" w:rsidRPr="00A55335">
        <w:t>are presented in Appendix F2.</w:t>
      </w:r>
    </w:p>
    <w:p w14:paraId="6DBF622B"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6574A25A" w14:textId="77777777" w:rsidR="00DD505D" w:rsidRPr="00A55335" w:rsidRDefault="00DD505D" w:rsidP="004D433B">
      <w:pPr>
        <w:pStyle w:val="Heading3"/>
      </w:pPr>
      <w:bookmarkStart w:id="429" w:name="_Toc183441396"/>
      <w:r w:rsidRPr="00A55335">
        <w:t>Risk of bias – summary assessment across studies</w:t>
      </w:r>
      <w:bookmarkEnd w:id="429"/>
      <w:r w:rsidRPr="00A55335">
        <w:t xml:space="preserve"> </w:t>
      </w:r>
    </w:p>
    <w:p w14:paraId="7D277E9F" w14:textId="2743B84A" w:rsidR="00822D21" w:rsidRPr="00A55335" w:rsidRDefault="00822D21" w:rsidP="00822D21">
      <w:pPr>
        <w:pStyle w:val="BodyText"/>
      </w:pPr>
      <w:r w:rsidRPr="00A55335">
        <w:t xml:space="preserve">The risk of bias for each item in the included RCTs for back and neck pain are summarised in </w:t>
      </w:r>
      <w:r w:rsidRPr="00A55335">
        <w:fldChar w:fldCharType="begin"/>
      </w:r>
      <w:r w:rsidRPr="00A55335">
        <w:instrText xml:space="preserve"> REF _Ref151894544 \h </w:instrText>
      </w:r>
      <w:r w:rsidRPr="00A55335">
        <w:fldChar w:fldCharType="separate"/>
      </w:r>
      <w:r w:rsidR="00814B04" w:rsidRPr="00A55335">
        <w:t xml:space="preserve">Figure </w:t>
      </w:r>
      <w:r w:rsidR="00814B04">
        <w:rPr>
          <w:noProof/>
        </w:rPr>
        <w:t>77</w:t>
      </w:r>
      <w:r w:rsidRPr="00A55335">
        <w:fldChar w:fldCharType="end"/>
      </w:r>
      <w:r w:rsidRPr="00A55335">
        <w:t>. Details are provided in Appendix D8.</w:t>
      </w:r>
      <w:r w:rsidR="00CE4D97" w:rsidRPr="00A55335">
        <w:t>2</w:t>
      </w:r>
      <w:r w:rsidRPr="00A55335">
        <w:t>.2. No studies were judged to be at overall low risk of bias.</w:t>
      </w:r>
    </w:p>
    <w:p w14:paraId="01D70496" w14:textId="641E93B9" w:rsidR="00DD505D" w:rsidRPr="00A55335" w:rsidRDefault="00DD505D" w:rsidP="00DD505D">
      <w:pPr>
        <w:pStyle w:val="Caption"/>
      </w:pPr>
      <w:bookmarkStart w:id="430" w:name="_Ref151894544"/>
      <w:bookmarkStart w:id="431" w:name="_Toc183520350"/>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77</w:t>
      </w:r>
      <w:r w:rsidRPr="00A55335">
        <w:fldChar w:fldCharType="end"/>
      </w:r>
      <w:bookmarkEnd w:id="430"/>
      <w:r w:rsidR="006E4B35" w:rsidRPr="00A55335">
        <w:tab/>
      </w:r>
      <w:r w:rsidRPr="00A55335">
        <w:t>Risk of bias summary: review authors' judgement about each risk of bias item for each included study: back and neck pain</w:t>
      </w:r>
      <w:bookmarkEnd w:id="431"/>
    </w:p>
    <w:p w14:paraId="58499323" w14:textId="5CB7B919" w:rsidR="006E4B35" w:rsidRPr="00A55335" w:rsidRDefault="006E4B35" w:rsidP="006E4B35">
      <w:pPr>
        <w:pStyle w:val="Pic"/>
      </w:pPr>
      <w:r w:rsidRPr="00A55335">
        <w:rPr>
          <w:noProof/>
        </w:rPr>
        <w:drawing>
          <wp:inline distT="0" distB="0" distL="0" distR="0" wp14:anchorId="0F44EDC5" wp14:editId="4AB40EC6">
            <wp:extent cx="4122420" cy="2162798"/>
            <wp:effectExtent l="0" t="0" r="0" b="9525"/>
            <wp:docPr id="1449537289" name="Picture 1449537289" descr="A chart with green circles and red cro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37289" name="Picture 1449537289" descr="A chart with green circles and red crosses&#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77715" cy="2191808"/>
                    </a:xfrm>
                    <a:prstGeom prst="rect">
                      <a:avLst/>
                    </a:prstGeom>
                    <a:noFill/>
                    <a:ln>
                      <a:noFill/>
                    </a:ln>
                  </pic:spPr>
                </pic:pic>
              </a:graphicData>
            </a:graphic>
          </wp:inline>
        </w:drawing>
      </w:r>
    </w:p>
    <w:p w14:paraId="20E836FC" w14:textId="77777777" w:rsidR="006E4B35" w:rsidRPr="00A55335" w:rsidRDefault="006E4B35" w:rsidP="006E4B35">
      <w:pPr>
        <w:pStyle w:val="TableFigNotes18"/>
      </w:pPr>
    </w:p>
    <w:p w14:paraId="49C01518" w14:textId="68F60CF6" w:rsidR="008D662F" w:rsidRPr="00A55335" w:rsidRDefault="008D662F" w:rsidP="004D433B">
      <w:pPr>
        <w:pStyle w:val="Heading3"/>
      </w:pPr>
      <w:bookmarkStart w:id="432" w:name="_Ref152174687"/>
      <w:bookmarkStart w:id="433" w:name="_Toc183441397"/>
      <w:r w:rsidRPr="00A55335">
        <w:t>Summary of findings and evidence statements</w:t>
      </w:r>
      <w:bookmarkEnd w:id="432"/>
      <w:bookmarkEnd w:id="433"/>
    </w:p>
    <w:p w14:paraId="5D928011" w14:textId="6F301494" w:rsidR="00DD505D" w:rsidRPr="00A55335" w:rsidRDefault="006070ED" w:rsidP="008D662F">
      <w:pPr>
        <w:pStyle w:val="Heading4"/>
      </w:pPr>
      <w:r w:rsidRPr="00A55335">
        <w:t>Primary Comparison</w:t>
      </w:r>
      <w:r w:rsidR="00DD505D" w:rsidRPr="00A55335">
        <w:t xml:space="preserve"> (vs placebo) </w:t>
      </w:r>
    </w:p>
    <w:tbl>
      <w:tblPr>
        <w:tblW w:w="5000" w:type="pct"/>
        <w:tblLayout w:type="fixed"/>
        <w:tblCellMar>
          <w:top w:w="57" w:type="dxa"/>
          <w:left w:w="57" w:type="dxa"/>
          <w:bottom w:w="57" w:type="dxa"/>
          <w:right w:w="57" w:type="dxa"/>
        </w:tblCellMar>
        <w:tblLook w:val="04A0" w:firstRow="1" w:lastRow="0" w:firstColumn="1" w:lastColumn="0" w:noHBand="0" w:noVBand="1"/>
      </w:tblPr>
      <w:tblGrid>
        <w:gridCol w:w="1844"/>
        <w:gridCol w:w="1419"/>
        <w:gridCol w:w="1419"/>
        <w:gridCol w:w="852"/>
        <w:gridCol w:w="1132"/>
        <w:gridCol w:w="1140"/>
        <w:gridCol w:w="1939"/>
      </w:tblGrid>
      <w:tr w:rsidR="00DD505D" w:rsidRPr="00A55335" w14:paraId="6DFBFE13" w14:textId="77777777" w:rsidTr="008D662F">
        <w:trPr>
          <w:cantSplit/>
          <w:tblHeader/>
        </w:trPr>
        <w:tc>
          <w:tcPr>
            <w:tcW w:w="5000" w:type="pct"/>
            <w:gridSpan w:val="7"/>
            <w:tcBorders>
              <w:top w:val="single" w:sz="12" w:space="0" w:color="000000"/>
              <w:left w:val="nil"/>
              <w:bottom w:val="single" w:sz="12" w:space="0" w:color="000000"/>
              <w:right w:val="nil"/>
            </w:tcBorders>
            <w:vAlign w:val="center"/>
            <w:hideMark/>
          </w:tcPr>
          <w:p w14:paraId="59B77478" w14:textId="172EBA1F" w:rsidR="00DD505D" w:rsidRPr="00A55335" w:rsidRDefault="00DD505D" w:rsidP="008D662F">
            <w:pPr>
              <w:pStyle w:val="TableH1"/>
              <w:rPr>
                <w:rFonts w:eastAsiaTheme="minorEastAsia"/>
                <w:lang w:val="en-AU"/>
              </w:rPr>
            </w:pPr>
            <w:r w:rsidRPr="00A55335">
              <w:rPr>
                <w:lang w:val="en-AU"/>
              </w:rPr>
              <w:t xml:space="preserve">Homeopathy compared to placebo for </w:t>
            </w:r>
            <w:r w:rsidR="00B62B17" w:rsidRPr="00A55335">
              <w:rPr>
                <w:lang w:val="en-AU"/>
              </w:rPr>
              <w:t>B</w:t>
            </w:r>
            <w:r w:rsidRPr="00A55335">
              <w:rPr>
                <w:lang w:val="en-AU"/>
              </w:rPr>
              <w:t>ack and neck pain</w:t>
            </w:r>
          </w:p>
        </w:tc>
      </w:tr>
      <w:tr w:rsidR="00DD505D" w:rsidRPr="00A55335" w14:paraId="6A4C0301" w14:textId="77777777" w:rsidTr="008D662F">
        <w:trPr>
          <w:cantSplit/>
          <w:tblHeader/>
        </w:trPr>
        <w:tc>
          <w:tcPr>
            <w:tcW w:w="5000" w:type="pct"/>
            <w:gridSpan w:val="7"/>
            <w:tcBorders>
              <w:top w:val="single" w:sz="12" w:space="0" w:color="000000"/>
              <w:left w:val="nil"/>
              <w:bottom w:val="single" w:sz="12" w:space="0" w:color="000000"/>
              <w:right w:val="nil"/>
            </w:tcBorders>
            <w:vAlign w:val="center"/>
            <w:hideMark/>
          </w:tcPr>
          <w:p w14:paraId="774F20FA" w14:textId="1767D4F0" w:rsidR="00DD505D" w:rsidRPr="00A55335" w:rsidRDefault="00DD505D" w:rsidP="00565245">
            <w:pPr>
              <w:pStyle w:val="Tabletext9pt"/>
            </w:pPr>
            <w:r w:rsidRPr="00A55335">
              <w:rPr>
                <w:rStyle w:val="Strong"/>
              </w:rPr>
              <w:t>Patient or population:</w:t>
            </w:r>
            <w:r w:rsidRPr="00A55335">
              <w:t xml:space="preserve"> </w:t>
            </w:r>
            <w:r w:rsidR="00565245" w:rsidRPr="00A55335">
              <w:t>B</w:t>
            </w:r>
            <w:r w:rsidRPr="00A55335">
              <w:t>ack and neck pain</w:t>
            </w:r>
          </w:p>
          <w:p w14:paraId="31B0FD40" w14:textId="77777777" w:rsidR="00DD505D" w:rsidRPr="00A55335" w:rsidRDefault="00DD505D" w:rsidP="00565245">
            <w:pPr>
              <w:pStyle w:val="Tabletext9pt"/>
            </w:pPr>
            <w:r w:rsidRPr="00A55335">
              <w:rPr>
                <w:rStyle w:val="Strong"/>
              </w:rPr>
              <w:t>Setting:</w:t>
            </w:r>
            <w:r w:rsidRPr="00A55335">
              <w:t xml:space="preserve"> Community</w:t>
            </w:r>
          </w:p>
          <w:p w14:paraId="6DF03F69" w14:textId="190C7DF1" w:rsidR="00DD505D" w:rsidRPr="00A55335" w:rsidRDefault="00DD505D" w:rsidP="00565245">
            <w:pPr>
              <w:pStyle w:val="Tabletext9pt"/>
            </w:pPr>
            <w:r w:rsidRPr="00A55335">
              <w:rPr>
                <w:rStyle w:val="Strong"/>
              </w:rPr>
              <w:t>Intervention:</w:t>
            </w:r>
            <w:r w:rsidRPr="00A55335">
              <w:t xml:space="preserve"> </w:t>
            </w:r>
            <w:r w:rsidR="00565245" w:rsidRPr="00A55335">
              <w:t>H</w:t>
            </w:r>
            <w:r w:rsidRPr="00A55335">
              <w:t>omeopathy</w:t>
            </w:r>
          </w:p>
          <w:p w14:paraId="34BDA411" w14:textId="17445C1B" w:rsidR="00DD505D" w:rsidRPr="00A55335" w:rsidRDefault="00DD505D" w:rsidP="00565245">
            <w:pPr>
              <w:pStyle w:val="Tabletext9pt"/>
            </w:pPr>
            <w:r w:rsidRPr="00A55335">
              <w:rPr>
                <w:rStyle w:val="Strong"/>
              </w:rPr>
              <w:t>Comparison:</w:t>
            </w:r>
            <w:r w:rsidRPr="00A55335">
              <w:t xml:space="preserve"> </w:t>
            </w:r>
            <w:r w:rsidR="00CE4D97" w:rsidRPr="00A55335">
              <w:t>P</w:t>
            </w:r>
            <w:r w:rsidRPr="00A55335">
              <w:t>lacebo</w:t>
            </w:r>
          </w:p>
        </w:tc>
      </w:tr>
      <w:tr w:rsidR="008D662F" w:rsidRPr="00A55335" w14:paraId="13ECA1D9" w14:textId="77777777" w:rsidTr="007252A0">
        <w:trPr>
          <w:cantSplit/>
          <w:tblHeader/>
        </w:trPr>
        <w:tc>
          <w:tcPr>
            <w:tcW w:w="946" w:type="pct"/>
            <w:vMerge w:val="restart"/>
            <w:tcBorders>
              <w:right w:val="single" w:sz="6" w:space="0" w:color="EFEFEF"/>
            </w:tcBorders>
            <w:shd w:val="clear" w:color="auto" w:fill="006579" w:themeFill="accent2"/>
            <w:vAlign w:val="bottom"/>
            <w:hideMark/>
          </w:tcPr>
          <w:p w14:paraId="011C2D9C" w14:textId="77777777" w:rsidR="00DD505D" w:rsidRPr="00A55335" w:rsidRDefault="00DD505D" w:rsidP="008D662F">
            <w:pPr>
              <w:pStyle w:val="Tabletext8pt"/>
              <w:rPr>
                <w:rFonts w:eastAsiaTheme="minorEastAsia"/>
                <w:b/>
                <w:bCs/>
                <w:color w:val="F9F9F9" w:themeColor="background1"/>
              </w:rPr>
            </w:pPr>
            <w:r w:rsidRPr="00A55335">
              <w:rPr>
                <w:b/>
                <w:bCs/>
                <w:color w:val="F9F9F9" w:themeColor="background1"/>
              </w:rPr>
              <w:t>Outcomes</w:t>
            </w:r>
          </w:p>
        </w:tc>
        <w:tc>
          <w:tcPr>
            <w:tcW w:w="1456" w:type="pct"/>
            <w:gridSpan w:val="2"/>
            <w:tcBorders>
              <w:top w:val="single" w:sz="6" w:space="0" w:color="EFEFEF"/>
              <w:right w:val="single" w:sz="6" w:space="0" w:color="EFEFEF"/>
            </w:tcBorders>
            <w:shd w:val="clear" w:color="auto" w:fill="E0E0E0"/>
            <w:vAlign w:val="bottom"/>
            <w:hideMark/>
          </w:tcPr>
          <w:p w14:paraId="310E70E5" w14:textId="77777777" w:rsidR="00DD505D" w:rsidRPr="00A55335" w:rsidRDefault="00DD505D" w:rsidP="008D662F">
            <w:pPr>
              <w:pStyle w:val="Tabletext8pt"/>
              <w:rPr>
                <w:rStyle w:val="Strong"/>
              </w:rPr>
            </w:pPr>
            <w:r w:rsidRPr="00A55335">
              <w:rPr>
                <w:rStyle w:val="Strong"/>
              </w:rPr>
              <w:t>Anticipated absolute effects* (95% CI)</w:t>
            </w:r>
          </w:p>
        </w:tc>
        <w:tc>
          <w:tcPr>
            <w:tcW w:w="437" w:type="pct"/>
            <w:vMerge w:val="restart"/>
            <w:tcBorders>
              <w:right w:val="single" w:sz="6" w:space="0" w:color="EFEFEF"/>
            </w:tcBorders>
            <w:shd w:val="clear" w:color="auto" w:fill="006579" w:themeFill="accent2"/>
            <w:vAlign w:val="bottom"/>
            <w:hideMark/>
          </w:tcPr>
          <w:p w14:paraId="120DD604" w14:textId="77777777" w:rsidR="00DD505D" w:rsidRPr="00A55335" w:rsidRDefault="00DD505D" w:rsidP="008D662F">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1" w:type="pct"/>
            <w:vMerge w:val="restart"/>
            <w:tcBorders>
              <w:right w:val="single" w:sz="6" w:space="0" w:color="EFEFEF"/>
            </w:tcBorders>
            <w:shd w:val="clear" w:color="auto" w:fill="006579" w:themeFill="accent2"/>
            <w:vAlign w:val="bottom"/>
            <w:hideMark/>
          </w:tcPr>
          <w:p w14:paraId="37D807BF" w14:textId="77777777" w:rsidR="00DD505D" w:rsidRPr="00A55335" w:rsidRDefault="00DD505D" w:rsidP="008D662F">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5" w:type="pct"/>
            <w:vMerge w:val="restart"/>
            <w:tcBorders>
              <w:right w:val="single" w:sz="6" w:space="0" w:color="EFEFEF"/>
            </w:tcBorders>
            <w:shd w:val="clear" w:color="auto" w:fill="006579" w:themeFill="accent2"/>
            <w:vAlign w:val="bottom"/>
            <w:hideMark/>
          </w:tcPr>
          <w:p w14:paraId="75ADF3A0" w14:textId="77777777" w:rsidR="00DD505D" w:rsidRPr="00A55335" w:rsidRDefault="00DD505D" w:rsidP="008D662F">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995" w:type="pct"/>
            <w:vMerge w:val="restart"/>
            <w:tcBorders>
              <w:right w:val="single" w:sz="6" w:space="0" w:color="EFEFEF"/>
            </w:tcBorders>
            <w:shd w:val="clear" w:color="auto" w:fill="006579" w:themeFill="accent2"/>
            <w:vAlign w:val="bottom"/>
            <w:hideMark/>
          </w:tcPr>
          <w:p w14:paraId="2D68435A" w14:textId="21DC2735" w:rsidR="00DD505D" w:rsidRPr="00A55335" w:rsidRDefault="008D662F" w:rsidP="008D662F">
            <w:pPr>
              <w:pStyle w:val="Tabletext8pt"/>
              <w:rPr>
                <w:b/>
                <w:bCs/>
                <w:color w:val="F9F9F9" w:themeColor="background1"/>
              </w:rPr>
            </w:pPr>
            <w:r w:rsidRPr="00A55335">
              <w:rPr>
                <w:b/>
                <w:bCs/>
                <w:color w:val="F9F9F9" w:themeColor="background1"/>
              </w:rPr>
              <w:t>Evidence statement</w:t>
            </w:r>
          </w:p>
        </w:tc>
      </w:tr>
      <w:tr w:rsidR="008D662F" w:rsidRPr="00A55335" w14:paraId="03BABA09" w14:textId="77777777" w:rsidTr="007252A0">
        <w:trPr>
          <w:cantSplit/>
          <w:tblHeader/>
        </w:trPr>
        <w:tc>
          <w:tcPr>
            <w:tcW w:w="946" w:type="pct"/>
            <w:vMerge/>
            <w:tcBorders>
              <w:right w:val="single" w:sz="6" w:space="0" w:color="EFEFEF"/>
            </w:tcBorders>
            <w:shd w:val="clear" w:color="auto" w:fill="006579" w:themeFill="accent2"/>
            <w:vAlign w:val="center"/>
            <w:hideMark/>
          </w:tcPr>
          <w:p w14:paraId="7809C69D" w14:textId="77777777" w:rsidR="00DD505D" w:rsidRPr="00A55335" w:rsidRDefault="00DD505D" w:rsidP="008D662F">
            <w:pPr>
              <w:pStyle w:val="Tabletext8pt"/>
              <w:rPr>
                <w:rFonts w:eastAsiaTheme="minorEastAsia"/>
              </w:rPr>
            </w:pPr>
          </w:p>
        </w:tc>
        <w:tc>
          <w:tcPr>
            <w:tcW w:w="728" w:type="pct"/>
            <w:tcBorders>
              <w:top w:val="single" w:sz="6" w:space="0" w:color="EFEFEF"/>
              <w:right w:val="single" w:sz="6" w:space="0" w:color="EFEFEF"/>
            </w:tcBorders>
            <w:shd w:val="clear" w:color="auto" w:fill="E0E0E0"/>
            <w:vAlign w:val="bottom"/>
            <w:hideMark/>
          </w:tcPr>
          <w:p w14:paraId="2A156B80" w14:textId="77777777" w:rsidR="00DD505D" w:rsidRPr="00A55335" w:rsidRDefault="00DD505D" w:rsidP="008D662F">
            <w:pPr>
              <w:pStyle w:val="Tabletext8pt"/>
              <w:rPr>
                <w:rStyle w:val="Strong"/>
              </w:rPr>
            </w:pPr>
            <w:r w:rsidRPr="00A55335">
              <w:rPr>
                <w:rStyle w:val="Strong"/>
              </w:rPr>
              <w:t>Risk with placebo</w:t>
            </w:r>
          </w:p>
        </w:tc>
        <w:tc>
          <w:tcPr>
            <w:tcW w:w="728" w:type="pct"/>
            <w:tcBorders>
              <w:top w:val="single" w:sz="6" w:space="0" w:color="EFEFEF"/>
              <w:right w:val="single" w:sz="6" w:space="0" w:color="EFEFEF"/>
            </w:tcBorders>
            <w:shd w:val="clear" w:color="auto" w:fill="E0E0E0"/>
            <w:vAlign w:val="bottom"/>
            <w:hideMark/>
          </w:tcPr>
          <w:p w14:paraId="12C9C7B9" w14:textId="77777777" w:rsidR="00DD505D" w:rsidRPr="00A55335" w:rsidRDefault="00DD505D" w:rsidP="008D662F">
            <w:pPr>
              <w:pStyle w:val="Tabletext8pt"/>
              <w:rPr>
                <w:rStyle w:val="Strong"/>
              </w:rPr>
            </w:pPr>
            <w:r w:rsidRPr="00A55335">
              <w:rPr>
                <w:rStyle w:val="Strong"/>
              </w:rPr>
              <w:t>Risk with homeopathy</w:t>
            </w:r>
          </w:p>
        </w:tc>
        <w:tc>
          <w:tcPr>
            <w:tcW w:w="437" w:type="pct"/>
            <w:vMerge/>
            <w:tcBorders>
              <w:right w:val="single" w:sz="6" w:space="0" w:color="EFEFEF"/>
            </w:tcBorders>
            <w:shd w:val="clear" w:color="auto" w:fill="006579" w:themeFill="accent2"/>
            <w:vAlign w:val="center"/>
            <w:hideMark/>
          </w:tcPr>
          <w:p w14:paraId="61FFBCDA" w14:textId="77777777" w:rsidR="00DD505D" w:rsidRPr="00A55335" w:rsidRDefault="00DD505D" w:rsidP="008D662F">
            <w:pPr>
              <w:pStyle w:val="Tabletext8pt"/>
              <w:rPr>
                <w:rFonts w:eastAsiaTheme="minorEastAsia"/>
                <w:b/>
                <w:bCs/>
                <w:color w:val="F9F9F9" w:themeColor="background1"/>
              </w:rPr>
            </w:pPr>
          </w:p>
        </w:tc>
        <w:tc>
          <w:tcPr>
            <w:tcW w:w="581" w:type="pct"/>
            <w:vMerge/>
            <w:tcBorders>
              <w:right w:val="single" w:sz="6" w:space="0" w:color="EFEFEF"/>
            </w:tcBorders>
            <w:shd w:val="clear" w:color="auto" w:fill="006579" w:themeFill="accent2"/>
            <w:vAlign w:val="center"/>
            <w:hideMark/>
          </w:tcPr>
          <w:p w14:paraId="2AFCDD53" w14:textId="77777777" w:rsidR="00DD505D" w:rsidRPr="00A55335" w:rsidRDefault="00DD505D" w:rsidP="008D662F">
            <w:pPr>
              <w:pStyle w:val="Tabletext8pt"/>
              <w:rPr>
                <w:rFonts w:eastAsiaTheme="minorEastAsia"/>
                <w:b/>
                <w:bCs/>
                <w:color w:val="F9F9F9" w:themeColor="background1"/>
              </w:rPr>
            </w:pPr>
          </w:p>
        </w:tc>
        <w:tc>
          <w:tcPr>
            <w:tcW w:w="585" w:type="pct"/>
            <w:vMerge/>
            <w:tcBorders>
              <w:right w:val="single" w:sz="6" w:space="0" w:color="EFEFEF"/>
            </w:tcBorders>
            <w:shd w:val="clear" w:color="auto" w:fill="006579" w:themeFill="accent2"/>
            <w:vAlign w:val="center"/>
            <w:hideMark/>
          </w:tcPr>
          <w:p w14:paraId="41C382BB" w14:textId="77777777" w:rsidR="00DD505D" w:rsidRPr="00A55335" w:rsidRDefault="00DD505D" w:rsidP="008D662F">
            <w:pPr>
              <w:pStyle w:val="Tabletext8pt"/>
              <w:rPr>
                <w:rFonts w:eastAsiaTheme="minorEastAsia"/>
                <w:b/>
                <w:bCs/>
                <w:color w:val="F9F9F9" w:themeColor="background1"/>
              </w:rPr>
            </w:pPr>
          </w:p>
        </w:tc>
        <w:tc>
          <w:tcPr>
            <w:tcW w:w="995" w:type="pct"/>
            <w:vMerge/>
            <w:tcBorders>
              <w:right w:val="single" w:sz="6" w:space="0" w:color="EFEFEF"/>
            </w:tcBorders>
            <w:shd w:val="clear" w:color="auto" w:fill="006579" w:themeFill="accent2"/>
            <w:vAlign w:val="center"/>
            <w:hideMark/>
          </w:tcPr>
          <w:p w14:paraId="047B2803" w14:textId="77777777" w:rsidR="00DD505D" w:rsidRPr="00A55335" w:rsidRDefault="00DD505D" w:rsidP="008D662F">
            <w:pPr>
              <w:pStyle w:val="Tabletext8pt"/>
              <w:rPr>
                <w:rFonts w:eastAsiaTheme="minorEastAsia"/>
                <w:b/>
                <w:bCs/>
                <w:color w:val="F9F9F9" w:themeColor="background1"/>
              </w:rPr>
            </w:pPr>
          </w:p>
        </w:tc>
      </w:tr>
      <w:tr w:rsidR="008D662F" w:rsidRPr="00A55335" w14:paraId="06F1A694" w14:textId="77777777" w:rsidTr="007252A0">
        <w:trPr>
          <w:cantSplit/>
        </w:trPr>
        <w:tc>
          <w:tcPr>
            <w:tcW w:w="946" w:type="pct"/>
            <w:tcBorders>
              <w:top w:val="single" w:sz="6" w:space="0" w:color="000000"/>
              <w:left w:val="nil"/>
              <w:bottom w:val="single" w:sz="6" w:space="0" w:color="000000"/>
              <w:right w:val="nil"/>
            </w:tcBorders>
            <w:vAlign w:val="center"/>
            <w:hideMark/>
          </w:tcPr>
          <w:p w14:paraId="2D7F8E90" w14:textId="1CB0649D" w:rsidR="00DD505D" w:rsidRPr="00A55335" w:rsidRDefault="00DD505D" w:rsidP="008D662F">
            <w:pPr>
              <w:pStyle w:val="Tabletext8pt"/>
              <w:rPr>
                <w:rFonts w:eastAsia="Times New Roman"/>
              </w:rPr>
            </w:pPr>
            <w:r w:rsidRPr="00A55335">
              <w:t>Pain</w:t>
            </w:r>
            <w:r w:rsidR="002E4C9C" w:rsidRPr="00A55335">
              <w:t xml:space="preserve"> intensity</w:t>
            </w:r>
            <w:r w:rsidRPr="00A55335">
              <w:rPr>
                <w:rFonts w:eastAsia="Times New Roman"/>
              </w:rPr>
              <w:br/>
            </w:r>
            <w:r w:rsidRPr="00A55335">
              <w:t>assessed with: VAS</w:t>
            </w:r>
            <w:r w:rsidR="008D662F" w:rsidRPr="00A55335">
              <w:br/>
            </w:r>
            <w:r w:rsidRPr="00A55335">
              <w:t>Scale from: 0 to 10</w:t>
            </w:r>
            <w:r w:rsidR="00B077CC" w:rsidRPr="00A55335">
              <w:t xml:space="preserve"> </w:t>
            </w:r>
            <w:r w:rsidR="00D775BC" w:rsidRPr="00A55335">
              <w:t>(higher is worse)</w:t>
            </w:r>
            <w:r w:rsidRPr="00A55335">
              <w:rPr>
                <w:rFonts w:eastAsia="Times New Roman"/>
              </w:rPr>
              <w:br/>
            </w:r>
            <w:r w:rsidRPr="00A55335">
              <w:t>follow-up: 8 days</w:t>
            </w:r>
          </w:p>
        </w:tc>
        <w:tc>
          <w:tcPr>
            <w:tcW w:w="728" w:type="pct"/>
            <w:tcBorders>
              <w:top w:val="single" w:sz="6" w:space="0" w:color="000000"/>
              <w:left w:val="nil"/>
              <w:bottom w:val="single" w:sz="6" w:space="0" w:color="000000"/>
              <w:right w:val="nil"/>
            </w:tcBorders>
            <w:shd w:val="clear" w:color="auto" w:fill="EBEBEB"/>
            <w:vAlign w:val="center"/>
            <w:hideMark/>
          </w:tcPr>
          <w:p w14:paraId="118CF2FF" w14:textId="134DBED6" w:rsidR="00DD505D" w:rsidRPr="00A55335" w:rsidRDefault="00DD505D" w:rsidP="00DE64AA">
            <w:pPr>
              <w:pStyle w:val="Tabletext8pt"/>
              <w:jc w:val="center"/>
              <w:rPr>
                <w:rFonts w:eastAsia="Times New Roman"/>
              </w:rPr>
            </w:pPr>
            <w:r w:rsidRPr="00A55335">
              <w:t xml:space="preserve">The mean </w:t>
            </w:r>
            <w:r w:rsidR="004B2271" w:rsidRPr="00A55335">
              <w:t>VAS score</w:t>
            </w:r>
            <w:r w:rsidRPr="00A55335">
              <w:t xml:space="preserve"> was </w:t>
            </w:r>
            <w:r w:rsidRPr="00A55335">
              <w:rPr>
                <w:rStyle w:val="Strong"/>
              </w:rPr>
              <w:t>4</w:t>
            </w:r>
            <w:r w:rsidR="004B2271" w:rsidRPr="00A55335">
              <w:rPr>
                <w:rStyle w:val="Strong"/>
              </w:rPr>
              <w:t>.0</w:t>
            </w:r>
            <w:r w:rsidR="00522117" w:rsidRPr="00A55335">
              <w:rPr>
                <w:rStyle w:val="Strong"/>
              </w:rPr>
              <w:t xml:space="preserve"> cm</w:t>
            </w:r>
          </w:p>
        </w:tc>
        <w:tc>
          <w:tcPr>
            <w:tcW w:w="728" w:type="pct"/>
            <w:tcBorders>
              <w:top w:val="single" w:sz="6" w:space="0" w:color="000000"/>
              <w:left w:val="nil"/>
              <w:bottom w:val="single" w:sz="6" w:space="0" w:color="000000"/>
              <w:right w:val="nil"/>
            </w:tcBorders>
            <w:shd w:val="clear" w:color="auto" w:fill="EBEBEB"/>
            <w:vAlign w:val="center"/>
            <w:hideMark/>
          </w:tcPr>
          <w:p w14:paraId="6752DB74" w14:textId="5561CD04" w:rsidR="00DD505D" w:rsidRPr="00A55335" w:rsidRDefault="00DD505D" w:rsidP="00DE64AA">
            <w:pPr>
              <w:pStyle w:val="Tabletext8pt"/>
              <w:jc w:val="center"/>
              <w:rPr>
                <w:rFonts w:eastAsia="Times New Roman"/>
              </w:rPr>
            </w:pPr>
            <w:r w:rsidRPr="00A55335">
              <w:t xml:space="preserve">MD </w:t>
            </w:r>
            <w:r w:rsidRPr="00A55335">
              <w:rPr>
                <w:rStyle w:val="Strong"/>
              </w:rPr>
              <w:t xml:space="preserve">0.74 </w:t>
            </w:r>
            <w:r w:rsidR="00B077CC" w:rsidRPr="00A55335">
              <w:rPr>
                <w:rStyle w:val="Strong"/>
              </w:rPr>
              <w:t xml:space="preserve">higher </w:t>
            </w:r>
            <w:r w:rsidRPr="00A55335">
              <w:t>(1.8</w:t>
            </w:r>
            <w:r w:rsidR="00DF5610" w:rsidRPr="00A55335">
              <w:t>7</w:t>
            </w:r>
            <w:r w:rsidRPr="00A55335">
              <w:t xml:space="preserve"> </w:t>
            </w:r>
            <w:r w:rsidR="001915F6" w:rsidRPr="00A55335">
              <w:t>higher</w:t>
            </w:r>
            <w:r w:rsidRPr="00A55335">
              <w:t xml:space="preserve"> to 0.</w:t>
            </w:r>
            <w:r w:rsidR="00DF5610" w:rsidRPr="00A55335">
              <w:t>39</w:t>
            </w:r>
            <w:r w:rsidRPr="00A55335">
              <w:t xml:space="preserve"> </w:t>
            </w:r>
            <w:r w:rsidR="001915F6" w:rsidRPr="00A55335">
              <w:t>lower</w:t>
            </w:r>
            <w:r w:rsidRPr="00A55335">
              <w:t>)</w:t>
            </w:r>
          </w:p>
        </w:tc>
        <w:tc>
          <w:tcPr>
            <w:tcW w:w="437" w:type="pct"/>
            <w:tcBorders>
              <w:top w:val="single" w:sz="6" w:space="0" w:color="000000"/>
              <w:left w:val="nil"/>
              <w:bottom w:val="single" w:sz="6" w:space="0" w:color="000000"/>
              <w:right w:val="nil"/>
            </w:tcBorders>
            <w:vAlign w:val="center"/>
            <w:hideMark/>
          </w:tcPr>
          <w:p w14:paraId="70B9E188" w14:textId="77777777" w:rsidR="00DD505D" w:rsidRPr="00A55335" w:rsidRDefault="00DD505D" w:rsidP="00DE64AA">
            <w:pPr>
              <w:pStyle w:val="Tabletext8pt"/>
              <w:jc w:val="center"/>
              <w:rPr>
                <w:rFonts w:eastAsia="Times New Roman"/>
              </w:rPr>
            </w:pPr>
            <w:r w:rsidRPr="00A55335">
              <w:t>-</w:t>
            </w:r>
          </w:p>
        </w:tc>
        <w:tc>
          <w:tcPr>
            <w:tcW w:w="581" w:type="pct"/>
            <w:tcBorders>
              <w:top w:val="single" w:sz="6" w:space="0" w:color="000000"/>
              <w:left w:val="nil"/>
              <w:bottom w:val="single" w:sz="6" w:space="0" w:color="000000"/>
              <w:right w:val="nil"/>
            </w:tcBorders>
            <w:vAlign w:val="center"/>
            <w:hideMark/>
          </w:tcPr>
          <w:p w14:paraId="260E09EE" w14:textId="3610994D" w:rsidR="00DD505D" w:rsidRPr="00A55335" w:rsidRDefault="00DD505D" w:rsidP="00DE64AA">
            <w:pPr>
              <w:pStyle w:val="Tabletext8pt"/>
              <w:jc w:val="center"/>
              <w:rPr>
                <w:rFonts w:eastAsia="Times New Roman"/>
              </w:rPr>
            </w:pPr>
            <w:r w:rsidRPr="00A55335">
              <w:rPr>
                <w:rFonts w:eastAsia="Times New Roman"/>
              </w:rPr>
              <w:t>134</w:t>
            </w:r>
            <w:r w:rsidRPr="00A55335">
              <w:rPr>
                <w:rFonts w:eastAsia="Times New Roman"/>
              </w:rPr>
              <w:br/>
              <w:t>(1 RCT)</w:t>
            </w:r>
            <w:r w:rsidR="0010774D" w:rsidRPr="00A55335">
              <w:rPr>
                <w:rFonts w:eastAsia="Times New Roman"/>
              </w:rPr>
              <w:t xml:space="preserve"> </w:t>
            </w:r>
            <w:r w:rsidR="0010774D" w:rsidRPr="00A55335">
              <w:rPr>
                <w:rStyle w:val="FootnoteReference"/>
              </w:rPr>
              <w:t>†</w:t>
            </w:r>
          </w:p>
        </w:tc>
        <w:tc>
          <w:tcPr>
            <w:tcW w:w="585" w:type="pct"/>
            <w:tcBorders>
              <w:top w:val="single" w:sz="6" w:space="0" w:color="000000"/>
              <w:left w:val="nil"/>
              <w:bottom w:val="single" w:sz="6" w:space="0" w:color="000000"/>
              <w:right w:val="nil"/>
            </w:tcBorders>
            <w:vAlign w:val="center"/>
            <w:hideMark/>
          </w:tcPr>
          <w:p w14:paraId="039FBC1E" w14:textId="25C4F5F0" w:rsidR="00DD505D" w:rsidRPr="00A55335" w:rsidRDefault="00DD505D" w:rsidP="00DE64AA">
            <w:pPr>
              <w:pStyle w:val="Tabletext8pt"/>
              <w:jc w:val="center"/>
              <w:rPr>
                <w:rFonts w:eastAsia="Times New Roman"/>
              </w:rPr>
            </w:pPr>
            <w:r w:rsidRPr="00A55335">
              <w:rPr>
                <w:rStyle w:val="quality-sign"/>
                <w:rFonts w:ascii="Cambria Math" w:hAnsi="Cambria Math"/>
              </w:rPr>
              <w:t>⨁⨁◯◯</w:t>
            </w:r>
            <w:r w:rsidRPr="00A55335">
              <w:rPr>
                <w:rFonts w:eastAsia="Times New Roman"/>
              </w:rPr>
              <w:br/>
            </w:r>
            <w:r w:rsidRPr="00A55335">
              <w:rPr>
                <w:rStyle w:val="QualitytextChar"/>
              </w:rPr>
              <w:t>Low</w:t>
            </w:r>
            <w:r w:rsidR="0088053B" w:rsidRPr="00A55335">
              <w:rPr>
                <w:rStyle w:val="QualitytextChar"/>
              </w:rPr>
              <w:t xml:space="preserve"> </w:t>
            </w:r>
            <w:proofErr w:type="spellStart"/>
            <w:r w:rsidRPr="00A55335">
              <w:rPr>
                <w:rStyle w:val="FootnoteReference"/>
              </w:rPr>
              <w:t>a,b</w:t>
            </w:r>
            <w:r w:rsidR="00995AE4" w:rsidRPr="00A55335">
              <w:rPr>
                <w:rStyle w:val="FootnoteReference"/>
              </w:rPr>
              <w:t>,c,d,e</w:t>
            </w:r>
            <w:proofErr w:type="spellEnd"/>
          </w:p>
        </w:tc>
        <w:tc>
          <w:tcPr>
            <w:tcW w:w="995" w:type="pct"/>
            <w:tcBorders>
              <w:top w:val="single" w:sz="6" w:space="0" w:color="000000"/>
              <w:left w:val="nil"/>
              <w:bottom w:val="single" w:sz="6" w:space="0" w:color="000000"/>
              <w:right w:val="nil"/>
            </w:tcBorders>
            <w:vAlign w:val="center"/>
            <w:hideMark/>
          </w:tcPr>
          <w:p w14:paraId="22007768" w14:textId="568B951C" w:rsidR="00DD505D" w:rsidRPr="00A55335" w:rsidRDefault="002128CA" w:rsidP="008D662F">
            <w:pPr>
              <w:pStyle w:val="Tabletext8pt"/>
              <w:rPr>
                <w:rFonts w:eastAsia="Times New Roman"/>
              </w:rPr>
            </w:pPr>
            <w:r w:rsidRPr="00A55335">
              <w:rPr>
                <w:rFonts w:eastAsia="Times New Roman"/>
              </w:rPr>
              <w:t>H</w:t>
            </w:r>
            <w:r w:rsidR="001D5B87" w:rsidRPr="00A55335">
              <w:rPr>
                <w:rFonts w:eastAsia="Times New Roman"/>
              </w:rPr>
              <w:t xml:space="preserve">omeopathy </w:t>
            </w:r>
            <w:r w:rsidR="00BD443B" w:rsidRPr="00A55335">
              <w:rPr>
                <w:rFonts w:eastAsia="Times New Roman"/>
              </w:rPr>
              <w:t>may result</w:t>
            </w:r>
            <w:r w:rsidR="00DD505D" w:rsidRPr="00A55335">
              <w:rPr>
                <w:rFonts w:eastAsia="Times New Roman"/>
              </w:rPr>
              <w:t xml:space="preserve"> in a </w:t>
            </w:r>
            <w:r w:rsidR="00105CA2" w:rsidRPr="00A55335">
              <w:rPr>
                <w:rFonts w:eastAsia="Times New Roman"/>
              </w:rPr>
              <w:t xml:space="preserve">little </w:t>
            </w:r>
            <w:r w:rsidR="002E4C9C" w:rsidRPr="00A55335">
              <w:rPr>
                <w:rFonts w:eastAsia="Times New Roman"/>
              </w:rPr>
              <w:t xml:space="preserve">to </w:t>
            </w:r>
            <w:r w:rsidR="00105CA2" w:rsidRPr="00A55335">
              <w:rPr>
                <w:rFonts w:eastAsia="Times New Roman"/>
              </w:rPr>
              <w:t xml:space="preserve">no </w:t>
            </w:r>
            <w:r w:rsidR="002E4C9C" w:rsidRPr="00A55335">
              <w:rPr>
                <w:rFonts w:eastAsia="Times New Roman"/>
              </w:rPr>
              <w:t>difference</w:t>
            </w:r>
            <w:r w:rsidR="00DD505D" w:rsidRPr="00A55335">
              <w:rPr>
                <w:rFonts w:eastAsia="Times New Roman"/>
              </w:rPr>
              <w:t xml:space="preserve"> in pain </w:t>
            </w:r>
            <w:r w:rsidR="002E4C9C" w:rsidRPr="00A55335">
              <w:rPr>
                <w:rFonts w:eastAsia="Times New Roman"/>
              </w:rPr>
              <w:t xml:space="preserve">intensity </w:t>
            </w:r>
            <w:r w:rsidR="00DD505D" w:rsidRPr="00A55335">
              <w:rPr>
                <w:rFonts w:eastAsia="Times New Roman"/>
              </w:rPr>
              <w:t>in people with neck pain</w:t>
            </w:r>
            <w:r w:rsidR="00D5756E" w:rsidRPr="00A55335">
              <w:rPr>
                <w:rFonts w:eastAsia="Times New Roman"/>
              </w:rPr>
              <w:t xml:space="preserve"> </w:t>
            </w:r>
            <w:r w:rsidR="00D5756E" w:rsidRPr="00A55335">
              <w:rPr>
                <w:rFonts w:eastAsia="Times New Roman"/>
                <w:vertAlign w:val="superscript"/>
              </w:rPr>
              <w:t>#</w:t>
            </w:r>
          </w:p>
        </w:tc>
      </w:tr>
      <w:tr w:rsidR="008D662F" w:rsidRPr="00A55335" w14:paraId="6B12043E" w14:textId="77777777" w:rsidTr="007252A0">
        <w:trPr>
          <w:cantSplit/>
        </w:trPr>
        <w:tc>
          <w:tcPr>
            <w:tcW w:w="946" w:type="pct"/>
            <w:tcBorders>
              <w:top w:val="single" w:sz="6" w:space="0" w:color="000000"/>
              <w:left w:val="nil"/>
              <w:bottom w:val="single" w:sz="6" w:space="0" w:color="000000"/>
              <w:right w:val="nil"/>
            </w:tcBorders>
            <w:vAlign w:val="center"/>
            <w:hideMark/>
          </w:tcPr>
          <w:p w14:paraId="7F902E6A" w14:textId="5A979BB1" w:rsidR="00DD505D" w:rsidRPr="00A55335" w:rsidRDefault="00F611E1" w:rsidP="008D662F">
            <w:pPr>
              <w:pStyle w:val="Tabletext8pt"/>
              <w:rPr>
                <w:rFonts w:eastAsia="Times New Roman"/>
              </w:rPr>
            </w:pPr>
            <w:r w:rsidRPr="00A55335">
              <w:t xml:space="preserve">Mobility </w:t>
            </w:r>
            <w:r w:rsidR="00650184" w:rsidRPr="00A55335">
              <w:t>(stiffness)</w:t>
            </w:r>
            <w:r w:rsidRPr="00A55335">
              <w:br/>
            </w:r>
            <w:r w:rsidR="00DD505D" w:rsidRPr="00A55335">
              <w:t>assessed with: VAS</w:t>
            </w:r>
            <w:r w:rsidR="009B07A3" w:rsidRPr="00A55335">
              <w:t xml:space="preserve"> </w:t>
            </w:r>
            <w:r w:rsidRPr="00A55335">
              <w:br/>
            </w:r>
            <w:r w:rsidR="000A739B" w:rsidRPr="00A55335">
              <w:t>Scale from: 0 to 10 (higher is worse)</w:t>
            </w:r>
            <w:r w:rsidR="008D662F" w:rsidRPr="00A55335">
              <w:br/>
            </w:r>
            <w:r w:rsidR="00DD505D" w:rsidRPr="00A55335">
              <w:t>follow-up: 8 days</w:t>
            </w:r>
          </w:p>
        </w:tc>
        <w:tc>
          <w:tcPr>
            <w:tcW w:w="728" w:type="pct"/>
            <w:tcBorders>
              <w:top w:val="single" w:sz="6" w:space="0" w:color="000000"/>
              <w:left w:val="nil"/>
              <w:bottom w:val="single" w:sz="6" w:space="0" w:color="000000"/>
              <w:right w:val="nil"/>
            </w:tcBorders>
            <w:shd w:val="clear" w:color="auto" w:fill="EBEBEB"/>
            <w:vAlign w:val="center"/>
            <w:hideMark/>
          </w:tcPr>
          <w:p w14:paraId="5951909E" w14:textId="30D1F4C5" w:rsidR="00DD505D" w:rsidRPr="00A55335" w:rsidRDefault="00DD505D" w:rsidP="00DE64AA">
            <w:pPr>
              <w:pStyle w:val="Tabletext8pt"/>
              <w:jc w:val="center"/>
              <w:rPr>
                <w:rFonts w:eastAsia="Times New Roman"/>
              </w:rPr>
            </w:pPr>
            <w:r w:rsidRPr="00A55335">
              <w:t xml:space="preserve">The mean </w:t>
            </w:r>
            <w:r w:rsidR="004B2271" w:rsidRPr="00A55335">
              <w:t>VAS score</w:t>
            </w:r>
            <w:r w:rsidRPr="00A55335">
              <w:t xml:space="preserve"> was </w:t>
            </w:r>
            <w:r w:rsidRPr="00A55335">
              <w:rPr>
                <w:rStyle w:val="Strong"/>
              </w:rPr>
              <w:t>3.28</w:t>
            </w:r>
          </w:p>
        </w:tc>
        <w:tc>
          <w:tcPr>
            <w:tcW w:w="728" w:type="pct"/>
            <w:tcBorders>
              <w:top w:val="single" w:sz="6" w:space="0" w:color="000000"/>
              <w:left w:val="nil"/>
              <w:bottom w:val="single" w:sz="6" w:space="0" w:color="000000"/>
              <w:right w:val="nil"/>
            </w:tcBorders>
            <w:shd w:val="clear" w:color="auto" w:fill="EBEBEB"/>
            <w:vAlign w:val="center"/>
            <w:hideMark/>
          </w:tcPr>
          <w:p w14:paraId="2925DDD5" w14:textId="77777777" w:rsidR="00DD505D" w:rsidRPr="00A55335" w:rsidRDefault="00DD505D" w:rsidP="00DE64AA">
            <w:pPr>
              <w:pStyle w:val="Tabletext8pt"/>
              <w:jc w:val="center"/>
              <w:rPr>
                <w:rFonts w:eastAsia="Times New Roman"/>
              </w:rPr>
            </w:pPr>
            <w:r w:rsidRPr="00A55335">
              <w:t xml:space="preserve">MD </w:t>
            </w:r>
            <w:r w:rsidRPr="00A55335">
              <w:rPr>
                <w:rStyle w:val="Strong"/>
              </w:rPr>
              <w:t>0.36 lower</w:t>
            </w:r>
            <w:r w:rsidRPr="00A55335">
              <w:rPr>
                <w:rFonts w:eastAsia="Times New Roman"/>
              </w:rPr>
              <w:br/>
            </w:r>
            <w:r w:rsidRPr="00A55335">
              <w:t>(1.48 lower to 0.76 higher)</w:t>
            </w:r>
          </w:p>
        </w:tc>
        <w:tc>
          <w:tcPr>
            <w:tcW w:w="437" w:type="pct"/>
            <w:tcBorders>
              <w:top w:val="single" w:sz="6" w:space="0" w:color="000000"/>
              <w:left w:val="nil"/>
              <w:bottom w:val="single" w:sz="6" w:space="0" w:color="000000"/>
              <w:right w:val="nil"/>
            </w:tcBorders>
            <w:vAlign w:val="center"/>
            <w:hideMark/>
          </w:tcPr>
          <w:p w14:paraId="2CBC0574" w14:textId="77777777" w:rsidR="00DD505D" w:rsidRPr="00A55335" w:rsidRDefault="00DD505D" w:rsidP="00DE64AA">
            <w:pPr>
              <w:pStyle w:val="Tabletext8pt"/>
              <w:jc w:val="center"/>
              <w:rPr>
                <w:rFonts w:eastAsia="Times New Roman"/>
              </w:rPr>
            </w:pPr>
            <w:r w:rsidRPr="00A55335">
              <w:t>-</w:t>
            </w:r>
          </w:p>
        </w:tc>
        <w:tc>
          <w:tcPr>
            <w:tcW w:w="581" w:type="pct"/>
            <w:tcBorders>
              <w:top w:val="single" w:sz="6" w:space="0" w:color="000000"/>
              <w:left w:val="nil"/>
              <w:bottom w:val="single" w:sz="6" w:space="0" w:color="000000"/>
              <w:right w:val="nil"/>
            </w:tcBorders>
            <w:vAlign w:val="center"/>
            <w:hideMark/>
          </w:tcPr>
          <w:p w14:paraId="4429FB26" w14:textId="053CBBA8" w:rsidR="00DD505D" w:rsidRPr="00A55335" w:rsidRDefault="00DD505D" w:rsidP="00DE64AA">
            <w:pPr>
              <w:pStyle w:val="Tabletext8pt"/>
              <w:jc w:val="center"/>
              <w:rPr>
                <w:rFonts w:eastAsia="Times New Roman"/>
              </w:rPr>
            </w:pPr>
            <w:r w:rsidRPr="00A55335">
              <w:rPr>
                <w:rFonts w:eastAsia="Times New Roman"/>
              </w:rPr>
              <w:t>134</w:t>
            </w:r>
            <w:r w:rsidRPr="00A55335">
              <w:rPr>
                <w:rFonts w:eastAsia="Times New Roman"/>
              </w:rPr>
              <w:br/>
              <w:t>(1 RCT)</w:t>
            </w:r>
            <w:r w:rsidR="0010774D" w:rsidRPr="00A55335">
              <w:rPr>
                <w:rFonts w:eastAsia="Times New Roman"/>
              </w:rPr>
              <w:t xml:space="preserve"> </w:t>
            </w:r>
            <w:r w:rsidR="0010774D" w:rsidRPr="00A55335">
              <w:rPr>
                <w:rStyle w:val="FootnoteReference"/>
              </w:rPr>
              <w:t>†</w:t>
            </w:r>
          </w:p>
        </w:tc>
        <w:tc>
          <w:tcPr>
            <w:tcW w:w="585" w:type="pct"/>
            <w:tcBorders>
              <w:top w:val="single" w:sz="6" w:space="0" w:color="000000"/>
              <w:left w:val="nil"/>
              <w:bottom w:val="single" w:sz="6" w:space="0" w:color="000000"/>
              <w:right w:val="nil"/>
            </w:tcBorders>
            <w:vAlign w:val="center"/>
            <w:hideMark/>
          </w:tcPr>
          <w:p w14:paraId="1994A9A3" w14:textId="372C7B3F" w:rsidR="00DD505D" w:rsidRPr="00A55335" w:rsidRDefault="00DD505D" w:rsidP="00DE64AA">
            <w:pPr>
              <w:pStyle w:val="Tabletext8pt"/>
              <w:jc w:val="center"/>
              <w:rPr>
                <w:rFonts w:eastAsia="Times New Roman"/>
              </w:rPr>
            </w:pPr>
            <w:r w:rsidRPr="00A55335">
              <w:rPr>
                <w:rStyle w:val="quality-sign"/>
                <w:rFonts w:ascii="Cambria Math" w:hAnsi="Cambria Math"/>
              </w:rPr>
              <w:t>⨁⨁◯◯</w:t>
            </w:r>
            <w:r w:rsidRPr="00A55335">
              <w:rPr>
                <w:rFonts w:eastAsia="Times New Roman"/>
              </w:rPr>
              <w:br/>
            </w:r>
            <w:r w:rsidRPr="00A55335">
              <w:rPr>
                <w:rStyle w:val="QualitytextChar"/>
              </w:rPr>
              <w:t>Low</w:t>
            </w:r>
            <w:r w:rsidR="0088053B" w:rsidRPr="00A55335">
              <w:rPr>
                <w:rStyle w:val="QualitytextChar"/>
              </w:rPr>
              <w:t xml:space="preserve"> </w:t>
            </w:r>
            <w:proofErr w:type="spellStart"/>
            <w:r w:rsidRPr="00A55335">
              <w:rPr>
                <w:rStyle w:val="FootnoteReference"/>
              </w:rPr>
              <w:t>a,b</w:t>
            </w:r>
            <w:r w:rsidR="00995AE4" w:rsidRPr="00A55335">
              <w:rPr>
                <w:rStyle w:val="FootnoteReference"/>
              </w:rPr>
              <w:t>,c,d,e</w:t>
            </w:r>
            <w:proofErr w:type="spellEnd"/>
          </w:p>
        </w:tc>
        <w:tc>
          <w:tcPr>
            <w:tcW w:w="995" w:type="pct"/>
            <w:tcBorders>
              <w:top w:val="single" w:sz="6" w:space="0" w:color="000000"/>
              <w:left w:val="nil"/>
              <w:bottom w:val="single" w:sz="6" w:space="0" w:color="000000"/>
              <w:right w:val="nil"/>
            </w:tcBorders>
            <w:vAlign w:val="center"/>
            <w:hideMark/>
          </w:tcPr>
          <w:p w14:paraId="773C9AF8" w14:textId="1874F4E2" w:rsidR="00DD505D" w:rsidRPr="00A55335" w:rsidRDefault="00151A4E" w:rsidP="008D662F">
            <w:pPr>
              <w:pStyle w:val="Tabletext8pt"/>
              <w:rPr>
                <w:rFonts w:eastAsia="Times New Roman"/>
              </w:rPr>
            </w:pPr>
            <w:r w:rsidRPr="00A55335">
              <w:rPr>
                <w:rFonts w:eastAsia="Times New Roman"/>
              </w:rPr>
              <w:t xml:space="preserve">Homeopathy </w:t>
            </w:r>
            <w:r w:rsidR="00BD443B" w:rsidRPr="00A55335">
              <w:rPr>
                <w:rFonts w:eastAsia="Times New Roman"/>
              </w:rPr>
              <w:t>may result</w:t>
            </w:r>
            <w:r w:rsidR="00DD505D" w:rsidRPr="00A55335">
              <w:rPr>
                <w:rFonts w:eastAsia="Times New Roman"/>
              </w:rPr>
              <w:t xml:space="preserve"> in </w:t>
            </w:r>
            <w:r w:rsidR="00F611E1" w:rsidRPr="00A55335">
              <w:rPr>
                <w:rFonts w:eastAsia="Times New Roman"/>
              </w:rPr>
              <w:t xml:space="preserve">little to no difference in stiffness or range of motion </w:t>
            </w:r>
            <w:r w:rsidR="00DD505D" w:rsidRPr="00A55335">
              <w:rPr>
                <w:rFonts w:eastAsia="Times New Roman"/>
              </w:rPr>
              <w:t>in people with neck pain</w:t>
            </w:r>
            <w:r w:rsidR="00D17ADB">
              <w:rPr>
                <w:rFonts w:eastAsia="Times New Roman"/>
              </w:rPr>
              <w:t xml:space="preserve"> **</w:t>
            </w:r>
          </w:p>
        </w:tc>
      </w:tr>
      <w:tr w:rsidR="008D662F" w:rsidRPr="00A55335" w14:paraId="1B72A51F" w14:textId="77777777" w:rsidTr="007252A0">
        <w:trPr>
          <w:cantSplit/>
        </w:trPr>
        <w:tc>
          <w:tcPr>
            <w:tcW w:w="946" w:type="pct"/>
            <w:tcBorders>
              <w:top w:val="single" w:sz="6" w:space="0" w:color="000000"/>
              <w:left w:val="nil"/>
              <w:bottom w:val="single" w:sz="6" w:space="0" w:color="000000"/>
              <w:right w:val="nil"/>
            </w:tcBorders>
            <w:vAlign w:val="center"/>
            <w:hideMark/>
          </w:tcPr>
          <w:p w14:paraId="2D39AAF2" w14:textId="7AC345B5" w:rsidR="00DD505D" w:rsidRPr="00A55335" w:rsidRDefault="00DD505D" w:rsidP="008D662F">
            <w:pPr>
              <w:pStyle w:val="Tabletext8pt"/>
              <w:rPr>
                <w:rFonts w:eastAsia="Times New Roman"/>
              </w:rPr>
            </w:pPr>
            <w:r w:rsidRPr="00A55335">
              <w:t>Disability</w:t>
            </w:r>
            <w:r w:rsidR="00CB113D" w:rsidRPr="00A55335">
              <w:br/>
              <w:t xml:space="preserve">assessed with: </w:t>
            </w:r>
            <w:r w:rsidR="00BF5B77" w:rsidRPr="00A55335">
              <w:t>ODI</w:t>
            </w:r>
            <w:r w:rsidR="00CB113D" w:rsidRPr="00A55335">
              <w:br/>
            </w:r>
            <w:r w:rsidR="00CB113D" w:rsidRPr="00A55335">
              <w:rPr>
                <w:rFonts w:eastAsia="Times New Roman"/>
              </w:rPr>
              <w:t>Scale from: 0 to 100 (higher is worse)</w:t>
            </w:r>
            <w:r w:rsidR="00CB113D" w:rsidRPr="00A55335">
              <w:rPr>
                <w:rFonts w:eastAsia="Times New Roman"/>
              </w:rPr>
              <w:br/>
            </w:r>
            <w:r w:rsidR="00CB113D" w:rsidRPr="00A55335">
              <w:t>follow-up: 6 weeks</w:t>
            </w:r>
          </w:p>
        </w:tc>
        <w:tc>
          <w:tcPr>
            <w:tcW w:w="728" w:type="pct"/>
            <w:tcBorders>
              <w:top w:val="single" w:sz="6" w:space="0" w:color="000000"/>
              <w:left w:val="nil"/>
              <w:bottom w:val="single" w:sz="6" w:space="0" w:color="000000"/>
              <w:right w:val="nil"/>
            </w:tcBorders>
            <w:shd w:val="clear" w:color="auto" w:fill="EBEBEB"/>
            <w:vAlign w:val="center"/>
            <w:hideMark/>
          </w:tcPr>
          <w:p w14:paraId="185FD976" w14:textId="30562EB6" w:rsidR="00DD505D" w:rsidRPr="00A55335" w:rsidRDefault="00CB113D" w:rsidP="00DE64AA">
            <w:pPr>
              <w:pStyle w:val="Tabletext8pt"/>
              <w:jc w:val="center"/>
              <w:rPr>
                <w:rFonts w:eastAsia="Times New Roman"/>
              </w:rPr>
            </w:pPr>
            <w:r w:rsidRPr="00A55335">
              <w:t xml:space="preserve">The median ODI score was </w:t>
            </w:r>
            <w:r w:rsidR="0095492A" w:rsidRPr="00A55335">
              <w:rPr>
                <w:rStyle w:val="Strong"/>
              </w:rPr>
              <w:t>19</w:t>
            </w:r>
          </w:p>
        </w:tc>
        <w:tc>
          <w:tcPr>
            <w:tcW w:w="728" w:type="pct"/>
            <w:tcBorders>
              <w:top w:val="single" w:sz="6" w:space="0" w:color="000000"/>
              <w:left w:val="nil"/>
              <w:bottom w:val="single" w:sz="6" w:space="0" w:color="000000"/>
              <w:right w:val="nil"/>
            </w:tcBorders>
            <w:shd w:val="clear" w:color="auto" w:fill="EBEBEB"/>
            <w:hideMark/>
          </w:tcPr>
          <w:p w14:paraId="30264BA6" w14:textId="754ABCA1" w:rsidR="00DD505D" w:rsidRPr="00A55335" w:rsidRDefault="009B4849" w:rsidP="00DE64AA">
            <w:pPr>
              <w:pStyle w:val="Tabletext8pt"/>
              <w:jc w:val="center"/>
              <w:rPr>
                <w:rFonts w:eastAsia="Times New Roman"/>
              </w:rPr>
            </w:pPr>
            <w:r w:rsidRPr="00A55335">
              <w:t xml:space="preserve">The median ODI score was </w:t>
            </w:r>
            <w:r w:rsidRPr="00A55335">
              <w:rPr>
                <w:rStyle w:val="Strong"/>
              </w:rPr>
              <w:t>12</w:t>
            </w:r>
          </w:p>
        </w:tc>
        <w:tc>
          <w:tcPr>
            <w:tcW w:w="437" w:type="pct"/>
            <w:tcBorders>
              <w:top w:val="single" w:sz="6" w:space="0" w:color="000000"/>
              <w:left w:val="nil"/>
              <w:bottom w:val="single" w:sz="6" w:space="0" w:color="000000"/>
              <w:right w:val="nil"/>
            </w:tcBorders>
            <w:vAlign w:val="center"/>
            <w:hideMark/>
          </w:tcPr>
          <w:p w14:paraId="4830F998" w14:textId="77777777" w:rsidR="00DD505D" w:rsidRPr="00A55335" w:rsidRDefault="00DD505D" w:rsidP="00DE64AA">
            <w:pPr>
              <w:pStyle w:val="Tabletext8pt"/>
              <w:jc w:val="center"/>
              <w:rPr>
                <w:rFonts w:eastAsia="Times New Roman"/>
              </w:rPr>
            </w:pPr>
            <w:r w:rsidRPr="00A55335">
              <w:t>-</w:t>
            </w:r>
          </w:p>
        </w:tc>
        <w:tc>
          <w:tcPr>
            <w:tcW w:w="581" w:type="pct"/>
            <w:tcBorders>
              <w:top w:val="single" w:sz="6" w:space="0" w:color="000000"/>
              <w:left w:val="nil"/>
              <w:bottom w:val="single" w:sz="6" w:space="0" w:color="000000"/>
              <w:right w:val="nil"/>
            </w:tcBorders>
            <w:vAlign w:val="center"/>
            <w:hideMark/>
          </w:tcPr>
          <w:p w14:paraId="19E41157" w14:textId="4F335563" w:rsidR="00DD505D" w:rsidRPr="00A55335" w:rsidRDefault="00937B40" w:rsidP="00DE64AA">
            <w:pPr>
              <w:pStyle w:val="Tabletext8pt"/>
              <w:jc w:val="center"/>
              <w:rPr>
                <w:rFonts w:eastAsia="Times New Roman"/>
              </w:rPr>
            </w:pPr>
            <w:r w:rsidRPr="00A55335">
              <w:t>30</w:t>
            </w:r>
            <w:r w:rsidRPr="00A55335">
              <w:br/>
              <w:t xml:space="preserve">(1 RCT) </w:t>
            </w:r>
            <w:r w:rsidR="00DD505D" w:rsidRPr="00A55335">
              <w:rPr>
                <w:rStyle w:val="FootnoteReference"/>
              </w:rPr>
              <w:t>†</w:t>
            </w:r>
          </w:p>
        </w:tc>
        <w:tc>
          <w:tcPr>
            <w:tcW w:w="585" w:type="pct"/>
            <w:tcBorders>
              <w:top w:val="single" w:sz="6" w:space="0" w:color="000000"/>
              <w:left w:val="nil"/>
              <w:bottom w:val="single" w:sz="6" w:space="0" w:color="000000"/>
              <w:right w:val="nil"/>
            </w:tcBorders>
            <w:vAlign w:val="center"/>
            <w:hideMark/>
          </w:tcPr>
          <w:p w14:paraId="5D79F744" w14:textId="7F5F9C30" w:rsidR="00DD505D" w:rsidRPr="00A55335" w:rsidRDefault="00937B40" w:rsidP="00DE64AA">
            <w:pPr>
              <w:pStyle w:val="Tabletext8pt"/>
              <w:jc w:val="center"/>
              <w:rPr>
                <w:rFonts w:eastAsia="Times New Roman"/>
              </w:rPr>
            </w:pPr>
            <w:r w:rsidRPr="00A55335">
              <w:rPr>
                <w:rStyle w:val="quality-sign"/>
                <w:rFonts w:ascii="Cambria Math" w:hAnsi="Cambria Math"/>
              </w:rPr>
              <w:t>⨁◯◯◯</w:t>
            </w:r>
            <w:r w:rsidRPr="00A55335">
              <w:rPr>
                <w:rFonts w:eastAsia="Times New Roman"/>
              </w:rPr>
              <w:br/>
            </w:r>
            <w:r w:rsidRPr="00A55335">
              <w:rPr>
                <w:rStyle w:val="QualitytextChar"/>
              </w:rPr>
              <w:t xml:space="preserve">Very low </w:t>
            </w:r>
            <w:proofErr w:type="spellStart"/>
            <w:r w:rsidRPr="00A55335">
              <w:rPr>
                <w:rStyle w:val="FootnoteReference"/>
              </w:rPr>
              <w:t>b,</w:t>
            </w:r>
            <w:r w:rsidR="00147A16" w:rsidRPr="00A55335">
              <w:rPr>
                <w:rStyle w:val="FootnoteReference"/>
              </w:rPr>
              <w:t>e,</w:t>
            </w:r>
            <w:r w:rsidRPr="00A55335">
              <w:rPr>
                <w:rStyle w:val="FootnoteReference"/>
              </w:rPr>
              <w:t>f,g,</w:t>
            </w:r>
            <w:r w:rsidR="004A68A7" w:rsidRPr="00A55335">
              <w:rPr>
                <w:rStyle w:val="FootnoteReference"/>
              </w:rPr>
              <w:t>h</w:t>
            </w:r>
            <w:proofErr w:type="spellEnd"/>
          </w:p>
        </w:tc>
        <w:tc>
          <w:tcPr>
            <w:tcW w:w="995" w:type="pct"/>
            <w:tcBorders>
              <w:top w:val="single" w:sz="6" w:space="0" w:color="000000"/>
              <w:left w:val="nil"/>
              <w:bottom w:val="single" w:sz="6" w:space="0" w:color="000000"/>
              <w:right w:val="nil"/>
            </w:tcBorders>
            <w:vAlign w:val="center"/>
            <w:hideMark/>
          </w:tcPr>
          <w:p w14:paraId="2B0FE28A" w14:textId="121C170C" w:rsidR="00DD505D" w:rsidRPr="00A55335" w:rsidRDefault="004A68A7" w:rsidP="008D662F">
            <w:pPr>
              <w:pStyle w:val="Tabletext8pt"/>
              <w:rPr>
                <w:rFonts w:eastAsia="Times New Roman"/>
              </w:rPr>
            </w:pPr>
            <w:r w:rsidRPr="00A55335">
              <w:rPr>
                <w:rFonts w:eastAsia="Times New Roman"/>
              </w:rPr>
              <w:t>The evidence is very uncertain about the effect of homeopathy on disability in people with back pain</w:t>
            </w:r>
            <w:r w:rsidR="00D17ADB">
              <w:rPr>
                <w:rFonts w:eastAsia="Times New Roman"/>
              </w:rPr>
              <w:t xml:space="preserve"> **</w:t>
            </w:r>
          </w:p>
        </w:tc>
      </w:tr>
      <w:tr w:rsidR="00DD505D" w:rsidRPr="00A55335" w14:paraId="5F9B6D87" w14:textId="77777777" w:rsidTr="007252A0">
        <w:trPr>
          <w:cantSplit/>
        </w:trPr>
        <w:tc>
          <w:tcPr>
            <w:tcW w:w="946" w:type="pct"/>
            <w:tcBorders>
              <w:top w:val="single" w:sz="6" w:space="0" w:color="000000"/>
              <w:left w:val="nil"/>
              <w:bottom w:val="single" w:sz="6" w:space="0" w:color="000000"/>
              <w:right w:val="nil"/>
            </w:tcBorders>
            <w:vAlign w:val="center"/>
            <w:hideMark/>
          </w:tcPr>
          <w:p w14:paraId="183559B3" w14:textId="27D612B2" w:rsidR="00DD505D" w:rsidRPr="00A55335" w:rsidRDefault="00DD505D">
            <w:pPr>
              <w:pStyle w:val="Tabletext8pt"/>
              <w:rPr>
                <w:rFonts w:eastAsia="Times New Roman"/>
              </w:rPr>
            </w:pPr>
            <w:r w:rsidRPr="00A55335">
              <w:lastRenderedPageBreak/>
              <w:t>Quality of life</w:t>
            </w:r>
            <w:r w:rsidRPr="00A55335">
              <w:rPr>
                <w:rFonts w:eastAsia="Times New Roman"/>
              </w:rPr>
              <w:br/>
            </w:r>
            <w:r w:rsidRPr="00A55335">
              <w:t>assessed with: Patient's Global Impression of Change Scale</w:t>
            </w:r>
            <w:r w:rsidRPr="00A55335">
              <w:rPr>
                <w:rFonts w:eastAsia="Times New Roman"/>
              </w:rPr>
              <w:br/>
            </w:r>
            <w:proofErr w:type="spellStart"/>
            <w:r w:rsidR="002B5E85" w:rsidRPr="00A55335">
              <w:t>Scale</w:t>
            </w:r>
            <w:proofErr w:type="spellEnd"/>
            <w:r w:rsidR="002B5E85" w:rsidRPr="00A55335">
              <w:t xml:space="preserve"> from: 0 to 10 (higher is worse)</w:t>
            </w:r>
            <w:r w:rsidR="002B5E85" w:rsidRPr="00A55335">
              <w:rPr>
                <w:rFonts w:eastAsia="Times New Roman"/>
              </w:rPr>
              <w:br/>
            </w:r>
            <w:r w:rsidRPr="00A55335">
              <w:t>follow-up: 8 days</w:t>
            </w:r>
          </w:p>
        </w:tc>
        <w:tc>
          <w:tcPr>
            <w:tcW w:w="728" w:type="pct"/>
            <w:tcBorders>
              <w:top w:val="single" w:sz="6" w:space="0" w:color="000000"/>
              <w:left w:val="nil"/>
              <w:bottom w:val="single" w:sz="6" w:space="0" w:color="000000"/>
              <w:right w:val="nil"/>
            </w:tcBorders>
            <w:shd w:val="clear" w:color="auto" w:fill="EBEBEB"/>
            <w:vAlign w:val="center"/>
            <w:hideMark/>
          </w:tcPr>
          <w:p w14:paraId="51BEEDC9" w14:textId="77777777" w:rsidR="00DD505D" w:rsidRPr="00A55335" w:rsidRDefault="00DD505D" w:rsidP="00DE64AA">
            <w:pPr>
              <w:pStyle w:val="Tabletext8pt"/>
              <w:jc w:val="center"/>
              <w:rPr>
                <w:rFonts w:eastAsia="Times New Roman"/>
              </w:rPr>
            </w:pPr>
            <w:r w:rsidRPr="00A55335">
              <w:t xml:space="preserve">The mean quality of life was </w:t>
            </w:r>
            <w:r w:rsidRPr="00A55335">
              <w:rPr>
                <w:rStyle w:val="Strong"/>
              </w:rPr>
              <w:t>2.93</w:t>
            </w:r>
          </w:p>
        </w:tc>
        <w:tc>
          <w:tcPr>
            <w:tcW w:w="728" w:type="pct"/>
            <w:tcBorders>
              <w:top w:val="single" w:sz="6" w:space="0" w:color="000000"/>
              <w:left w:val="nil"/>
              <w:bottom w:val="single" w:sz="6" w:space="0" w:color="000000"/>
              <w:right w:val="nil"/>
            </w:tcBorders>
            <w:shd w:val="clear" w:color="auto" w:fill="EBEBEB"/>
            <w:hideMark/>
          </w:tcPr>
          <w:p w14:paraId="24B515FB" w14:textId="77777777" w:rsidR="00DD505D" w:rsidRPr="00A55335" w:rsidRDefault="00DD505D" w:rsidP="00DE64AA">
            <w:pPr>
              <w:pStyle w:val="Tabletext8pt"/>
              <w:jc w:val="center"/>
              <w:rPr>
                <w:rFonts w:eastAsia="Times New Roman"/>
              </w:rPr>
            </w:pPr>
            <w:r w:rsidRPr="00A55335">
              <w:t xml:space="preserve">MD </w:t>
            </w:r>
            <w:r w:rsidRPr="00A55335">
              <w:rPr>
                <w:rStyle w:val="Strong"/>
              </w:rPr>
              <w:t>0.64 lower</w:t>
            </w:r>
            <w:r w:rsidRPr="00A55335">
              <w:rPr>
                <w:rFonts w:eastAsia="Times New Roman"/>
              </w:rPr>
              <w:br/>
            </w:r>
            <w:r w:rsidRPr="00A55335">
              <w:t>(1.35 lower to 0.07 higher)</w:t>
            </w:r>
          </w:p>
        </w:tc>
        <w:tc>
          <w:tcPr>
            <w:tcW w:w="437" w:type="pct"/>
            <w:tcBorders>
              <w:top w:val="single" w:sz="6" w:space="0" w:color="000000"/>
              <w:left w:val="nil"/>
              <w:bottom w:val="single" w:sz="6" w:space="0" w:color="000000"/>
              <w:right w:val="nil"/>
            </w:tcBorders>
            <w:vAlign w:val="center"/>
            <w:hideMark/>
          </w:tcPr>
          <w:p w14:paraId="52190F7B" w14:textId="77777777" w:rsidR="00DD505D" w:rsidRPr="00A55335" w:rsidRDefault="00DD505D" w:rsidP="00DE64AA">
            <w:pPr>
              <w:pStyle w:val="Tabletext8pt"/>
              <w:jc w:val="center"/>
              <w:rPr>
                <w:rFonts w:eastAsia="Times New Roman"/>
              </w:rPr>
            </w:pPr>
            <w:r w:rsidRPr="00A55335">
              <w:t>-</w:t>
            </w:r>
          </w:p>
        </w:tc>
        <w:tc>
          <w:tcPr>
            <w:tcW w:w="581" w:type="pct"/>
            <w:tcBorders>
              <w:top w:val="single" w:sz="6" w:space="0" w:color="000000"/>
              <w:left w:val="nil"/>
              <w:bottom w:val="single" w:sz="6" w:space="0" w:color="000000"/>
              <w:right w:val="nil"/>
            </w:tcBorders>
            <w:vAlign w:val="center"/>
            <w:hideMark/>
          </w:tcPr>
          <w:p w14:paraId="2673BE99" w14:textId="77777777" w:rsidR="00DD505D" w:rsidRPr="00A55335" w:rsidRDefault="00DD505D" w:rsidP="00DE64AA">
            <w:pPr>
              <w:pStyle w:val="Tabletext8pt"/>
              <w:jc w:val="center"/>
              <w:rPr>
                <w:rFonts w:eastAsia="Times New Roman"/>
              </w:rPr>
            </w:pPr>
            <w:r w:rsidRPr="00A55335">
              <w:rPr>
                <w:rFonts w:eastAsia="Times New Roman"/>
              </w:rPr>
              <w:t>134</w:t>
            </w:r>
            <w:r w:rsidRPr="00A55335">
              <w:rPr>
                <w:rFonts w:eastAsia="Times New Roman"/>
              </w:rPr>
              <w:br/>
              <w:t>(1 RCT)</w:t>
            </w:r>
          </w:p>
        </w:tc>
        <w:tc>
          <w:tcPr>
            <w:tcW w:w="585" w:type="pct"/>
            <w:tcBorders>
              <w:top w:val="single" w:sz="6" w:space="0" w:color="000000"/>
              <w:left w:val="nil"/>
              <w:bottom w:val="single" w:sz="6" w:space="0" w:color="000000"/>
              <w:right w:val="nil"/>
            </w:tcBorders>
            <w:vAlign w:val="center"/>
            <w:hideMark/>
          </w:tcPr>
          <w:p w14:paraId="4163B00D" w14:textId="6F463425" w:rsidR="00DD505D" w:rsidRPr="00A55335" w:rsidRDefault="00DD505D" w:rsidP="00DE64AA">
            <w:pPr>
              <w:pStyle w:val="Tabletext8pt"/>
              <w:jc w:val="center"/>
              <w:rPr>
                <w:rFonts w:eastAsia="Times New Roman"/>
              </w:rPr>
            </w:pPr>
            <w:r w:rsidRPr="00A55335">
              <w:rPr>
                <w:rStyle w:val="quality-sign"/>
                <w:rFonts w:ascii="Cambria Math" w:hAnsi="Cambria Math"/>
              </w:rPr>
              <w:t>⨁</w:t>
            </w:r>
            <w:r w:rsidR="00C15738" w:rsidRPr="00A55335">
              <w:rPr>
                <w:rStyle w:val="quality-sign"/>
                <w:rFonts w:ascii="Cambria Math" w:hAnsi="Cambria Math"/>
              </w:rPr>
              <w:t>⨁</w:t>
            </w:r>
            <w:r w:rsidRPr="00A55335">
              <w:rPr>
                <w:rStyle w:val="quality-sign"/>
                <w:rFonts w:ascii="Cambria Math" w:hAnsi="Cambria Math"/>
              </w:rPr>
              <w:t>◯◯</w:t>
            </w:r>
            <w:r w:rsidRPr="00A55335">
              <w:rPr>
                <w:rFonts w:eastAsia="Times New Roman"/>
              </w:rPr>
              <w:br/>
            </w:r>
            <w:r w:rsidRPr="00A55335">
              <w:rPr>
                <w:rStyle w:val="QualitytextChar"/>
              </w:rPr>
              <w:t>low</w:t>
            </w:r>
            <w:r w:rsidR="00E67AE3" w:rsidRPr="00A55335">
              <w:rPr>
                <w:rStyle w:val="QualitytextChar"/>
              </w:rPr>
              <w:t xml:space="preserve"> </w:t>
            </w:r>
            <w:proofErr w:type="spellStart"/>
            <w:r w:rsidRPr="00A55335">
              <w:rPr>
                <w:rStyle w:val="FootnoteReference"/>
              </w:rPr>
              <w:t>a,b,c,d</w:t>
            </w:r>
            <w:r w:rsidR="00C15738" w:rsidRPr="00A55335">
              <w:rPr>
                <w:rStyle w:val="FootnoteReference"/>
              </w:rPr>
              <w:t>,e</w:t>
            </w:r>
            <w:proofErr w:type="spellEnd"/>
          </w:p>
        </w:tc>
        <w:tc>
          <w:tcPr>
            <w:tcW w:w="995" w:type="pct"/>
            <w:tcBorders>
              <w:top w:val="single" w:sz="6" w:space="0" w:color="000000"/>
              <w:left w:val="nil"/>
              <w:bottom w:val="single" w:sz="6" w:space="0" w:color="000000"/>
              <w:right w:val="nil"/>
            </w:tcBorders>
            <w:vAlign w:val="center"/>
            <w:hideMark/>
          </w:tcPr>
          <w:p w14:paraId="2865AC9B" w14:textId="7FE39C6B" w:rsidR="00DD505D" w:rsidRPr="00A55335" w:rsidRDefault="002128CA">
            <w:pPr>
              <w:pStyle w:val="Tabletext8pt"/>
              <w:rPr>
                <w:rFonts w:eastAsia="Times New Roman"/>
              </w:rPr>
            </w:pPr>
            <w:r w:rsidRPr="00A55335">
              <w:rPr>
                <w:rFonts w:eastAsia="Times New Roman"/>
              </w:rPr>
              <w:t>H</w:t>
            </w:r>
            <w:r w:rsidR="00DD505D" w:rsidRPr="00A55335">
              <w:rPr>
                <w:rFonts w:eastAsia="Times New Roman"/>
              </w:rPr>
              <w:t xml:space="preserve">omeopathy </w:t>
            </w:r>
            <w:r w:rsidR="00415418" w:rsidRPr="00A55335">
              <w:rPr>
                <w:rFonts w:eastAsia="Times New Roman"/>
              </w:rPr>
              <w:t>may result in little to no</w:t>
            </w:r>
            <w:r w:rsidR="00D835D2" w:rsidRPr="00A55335">
              <w:rPr>
                <w:rFonts w:eastAsia="Times New Roman"/>
              </w:rPr>
              <w:t xml:space="preserve"> difference in </w:t>
            </w:r>
            <w:r w:rsidR="00DD505D" w:rsidRPr="00A55335">
              <w:rPr>
                <w:rFonts w:eastAsia="Times New Roman"/>
              </w:rPr>
              <w:t>quality of life in people with neck pain</w:t>
            </w:r>
            <w:r w:rsidR="00D17ADB">
              <w:rPr>
                <w:rFonts w:eastAsia="Times New Roman"/>
              </w:rPr>
              <w:t xml:space="preserve"> **</w:t>
            </w:r>
          </w:p>
        </w:tc>
      </w:tr>
      <w:tr w:rsidR="004A68A7" w:rsidRPr="00A55335" w14:paraId="100FC5E1" w14:textId="77777777" w:rsidTr="007745F5">
        <w:trPr>
          <w:cantSplit/>
        </w:trPr>
        <w:tc>
          <w:tcPr>
            <w:tcW w:w="946" w:type="pct"/>
            <w:tcBorders>
              <w:top w:val="single" w:sz="6" w:space="0" w:color="000000"/>
              <w:left w:val="nil"/>
              <w:bottom w:val="single" w:sz="6" w:space="0" w:color="000000"/>
              <w:right w:val="nil"/>
            </w:tcBorders>
            <w:vAlign w:val="center"/>
            <w:hideMark/>
          </w:tcPr>
          <w:p w14:paraId="68C5CF39" w14:textId="72D0967F" w:rsidR="004A68A7" w:rsidRPr="00A55335" w:rsidRDefault="004A68A7" w:rsidP="004A68A7">
            <w:pPr>
              <w:pStyle w:val="Tabletext8pt"/>
              <w:rPr>
                <w:rFonts w:eastAsia="Times New Roman"/>
              </w:rPr>
            </w:pPr>
            <w:r w:rsidRPr="00A55335">
              <w:t xml:space="preserve">Medication use assessed </w:t>
            </w:r>
            <w:proofErr w:type="gramStart"/>
            <w:r w:rsidRPr="00A55335">
              <w:t>with:</w:t>
            </w:r>
            <w:proofErr w:type="gramEnd"/>
            <w:r w:rsidRPr="00A55335">
              <w:t xml:space="preserve"> tablets per week </w:t>
            </w:r>
            <w:r w:rsidRPr="00A55335">
              <w:rPr>
                <w:rFonts w:eastAsia="Times New Roman"/>
              </w:rPr>
              <w:t>(higher is worse)</w:t>
            </w:r>
            <w:r w:rsidRPr="00A55335">
              <w:rPr>
                <w:rFonts w:eastAsia="Times New Roman"/>
              </w:rPr>
              <w:br/>
            </w:r>
            <w:r w:rsidRPr="00A55335">
              <w:t>follow-up: 6 weeks</w:t>
            </w:r>
          </w:p>
        </w:tc>
        <w:tc>
          <w:tcPr>
            <w:tcW w:w="728" w:type="pct"/>
            <w:tcBorders>
              <w:top w:val="single" w:sz="6" w:space="0" w:color="000000"/>
              <w:left w:val="nil"/>
              <w:bottom w:val="single" w:sz="6" w:space="0" w:color="000000"/>
              <w:right w:val="nil"/>
            </w:tcBorders>
            <w:shd w:val="clear" w:color="auto" w:fill="EBEBEB"/>
            <w:vAlign w:val="center"/>
            <w:hideMark/>
          </w:tcPr>
          <w:p w14:paraId="07ABAF3A" w14:textId="472A788D" w:rsidR="004A68A7" w:rsidRPr="00A55335" w:rsidRDefault="004A68A7" w:rsidP="004A68A7">
            <w:pPr>
              <w:pStyle w:val="Tabletext8pt"/>
              <w:jc w:val="center"/>
              <w:rPr>
                <w:rFonts w:eastAsia="Times New Roman"/>
              </w:rPr>
            </w:pPr>
            <w:r w:rsidRPr="00A55335">
              <w:t xml:space="preserve">The median number of tablets was </w:t>
            </w:r>
            <w:r w:rsidRPr="00A55335">
              <w:rPr>
                <w:rStyle w:val="Strong"/>
              </w:rPr>
              <w:t>18</w:t>
            </w:r>
          </w:p>
        </w:tc>
        <w:tc>
          <w:tcPr>
            <w:tcW w:w="728" w:type="pct"/>
            <w:tcBorders>
              <w:top w:val="single" w:sz="6" w:space="0" w:color="000000"/>
              <w:left w:val="nil"/>
              <w:bottom w:val="single" w:sz="6" w:space="0" w:color="000000"/>
              <w:right w:val="nil"/>
            </w:tcBorders>
            <w:shd w:val="clear" w:color="auto" w:fill="EBEBEB"/>
            <w:hideMark/>
          </w:tcPr>
          <w:p w14:paraId="606DFEAA" w14:textId="435FA126" w:rsidR="004A68A7" w:rsidRPr="00A55335" w:rsidRDefault="009B4849" w:rsidP="004A68A7">
            <w:pPr>
              <w:pStyle w:val="Tabletext8pt"/>
              <w:jc w:val="center"/>
              <w:rPr>
                <w:rFonts w:eastAsia="Times New Roman"/>
              </w:rPr>
            </w:pPr>
            <w:r w:rsidRPr="00A55335">
              <w:t xml:space="preserve">The median number of tablets was </w:t>
            </w:r>
            <w:r w:rsidRPr="00A55335">
              <w:rPr>
                <w:rStyle w:val="Strong"/>
              </w:rPr>
              <w:t>10</w:t>
            </w:r>
          </w:p>
        </w:tc>
        <w:tc>
          <w:tcPr>
            <w:tcW w:w="437" w:type="pct"/>
            <w:tcBorders>
              <w:top w:val="single" w:sz="6" w:space="0" w:color="000000"/>
              <w:left w:val="nil"/>
              <w:bottom w:val="single" w:sz="6" w:space="0" w:color="000000"/>
              <w:right w:val="nil"/>
            </w:tcBorders>
            <w:vAlign w:val="center"/>
            <w:hideMark/>
          </w:tcPr>
          <w:p w14:paraId="76CF9B3E" w14:textId="77777777" w:rsidR="004A68A7" w:rsidRPr="00A55335" w:rsidRDefault="004A68A7" w:rsidP="004A68A7">
            <w:pPr>
              <w:pStyle w:val="Tabletext8pt"/>
              <w:jc w:val="center"/>
              <w:rPr>
                <w:rFonts w:eastAsia="Times New Roman"/>
              </w:rPr>
            </w:pPr>
            <w:r w:rsidRPr="00A55335">
              <w:t>-</w:t>
            </w:r>
          </w:p>
        </w:tc>
        <w:tc>
          <w:tcPr>
            <w:tcW w:w="581" w:type="pct"/>
            <w:tcBorders>
              <w:top w:val="single" w:sz="6" w:space="0" w:color="000000"/>
              <w:left w:val="nil"/>
              <w:bottom w:val="single" w:sz="6" w:space="0" w:color="000000"/>
              <w:right w:val="nil"/>
            </w:tcBorders>
            <w:vAlign w:val="center"/>
            <w:hideMark/>
          </w:tcPr>
          <w:p w14:paraId="15839169" w14:textId="46B6062C" w:rsidR="004A68A7" w:rsidRPr="00A55335" w:rsidRDefault="004A68A7" w:rsidP="004A68A7">
            <w:pPr>
              <w:pStyle w:val="Tabletext8pt"/>
              <w:jc w:val="center"/>
              <w:rPr>
                <w:rFonts w:eastAsia="Times New Roman"/>
              </w:rPr>
            </w:pPr>
            <w:r w:rsidRPr="00A55335">
              <w:t>30</w:t>
            </w:r>
            <w:r w:rsidRPr="00A55335">
              <w:br/>
              <w:t xml:space="preserve">(1 RCT) </w:t>
            </w:r>
            <w:r w:rsidRPr="00A55335">
              <w:rPr>
                <w:rStyle w:val="FootnoteReference"/>
              </w:rPr>
              <w:t>†</w:t>
            </w:r>
          </w:p>
        </w:tc>
        <w:tc>
          <w:tcPr>
            <w:tcW w:w="585" w:type="pct"/>
            <w:tcBorders>
              <w:top w:val="single" w:sz="6" w:space="0" w:color="000000"/>
              <w:left w:val="nil"/>
              <w:bottom w:val="single" w:sz="6" w:space="0" w:color="000000"/>
              <w:right w:val="nil"/>
            </w:tcBorders>
            <w:vAlign w:val="center"/>
            <w:hideMark/>
          </w:tcPr>
          <w:p w14:paraId="736E3498" w14:textId="501797E1" w:rsidR="004A68A7" w:rsidRPr="00A55335" w:rsidRDefault="004A68A7" w:rsidP="004A68A7">
            <w:pPr>
              <w:pStyle w:val="Tabletext8pt"/>
              <w:jc w:val="center"/>
              <w:rPr>
                <w:rFonts w:eastAsia="Times New Roman"/>
              </w:rPr>
            </w:pPr>
            <w:r w:rsidRPr="00A55335">
              <w:rPr>
                <w:rStyle w:val="quality-sign"/>
                <w:rFonts w:ascii="Cambria Math" w:hAnsi="Cambria Math"/>
              </w:rPr>
              <w:t>⨁◯◯◯</w:t>
            </w:r>
            <w:r w:rsidRPr="00A55335">
              <w:rPr>
                <w:rFonts w:eastAsia="Times New Roman"/>
              </w:rPr>
              <w:br/>
            </w:r>
            <w:r w:rsidRPr="00A55335">
              <w:rPr>
                <w:rStyle w:val="QualitytextChar"/>
              </w:rPr>
              <w:t xml:space="preserve">Very low </w:t>
            </w:r>
            <w:proofErr w:type="spellStart"/>
            <w:r w:rsidRPr="00A55335">
              <w:rPr>
                <w:rStyle w:val="FootnoteReference"/>
              </w:rPr>
              <w:t>b,</w:t>
            </w:r>
            <w:r w:rsidR="00BF5B77" w:rsidRPr="00A55335">
              <w:rPr>
                <w:rStyle w:val="FootnoteReference"/>
              </w:rPr>
              <w:t>e,</w:t>
            </w:r>
            <w:r w:rsidRPr="00A55335">
              <w:rPr>
                <w:rStyle w:val="FootnoteReference"/>
              </w:rPr>
              <w:t>f,g,h</w:t>
            </w:r>
            <w:proofErr w:type="spellEnd"/>
          </w:p>
        </w:tc>
        <w:tc>
          <w:tcPr>
            <w:tcW w:w="995" w:type="pct"/>
            <w:tcBorders>
              <w:top w:val="single" w:sz="6" w:space="0" w:color="000000"/>
              <w:left w:val="nil"/>
              <w:bottom w:val="single" w:sz="6" w:space="0" w:color="000000"/>
              <w:right w:val="nil"/>
            </w:tcBorders>
            <w:vAlign w:val="center"/>
            <w:hideMark/>
          </w:tcPr>
          <w:p w14:paraId="65E4A80C" w14:textId="358B44BC" w:rsidR="004A68A7" w:rsidRPr="00A55335" w:rsidRDefault="004A68A7" w:rsidP="004A68A7">
            <w:pPr>
              <w:pStyle w:val="Tabletext8pt"/>
              <w:rPr>
                <w:rFonts w:eastAsia="Times New Roman"/>
              </w:rPr>
            </w:pPr>
            <w:r w:rsidRPr="00A55335">
              <w:rPr>
                <w:rFonts w:eastAsia="Times New Roman"/>
              </w:rPr>
              <w:t>The evidence is very uncertain about the effect of homeopathy on medication use in people with back pain</w:t>
            </w:r>
            <w:r w:rsidR="00B44C14" w:rsidRPr="00581A0A">
              <w:rPr>
                <w:rFonts w:eastAsia="Times New Roman"/>
                <w:vertAlign w:val="superscript"/>
              </w:rPr>
              <w:t xml:space="preserve"> </w:t>
            </w:r>
          </w:p>
        </w:tc>
      </w:tr>
      <w:tr w:rsidR="00DD505D" w:rsidRPr="00A55335" w14:paraId="77B244BA" w14:textId="77777777" w:rsidTr="008D662F">
        <w:trPr>
          <w:cantSplit/>
        </w:trPr>
        <w:tc>
          <w:tcPr>
            <w:tcW w:w="5000" w:type="pct"/>
            <w:gridSpan w:val="7"/>
            <w:tcBorders>
              <w:top w:val="single" w:sz="6" w:space="0" w:color="000000"/>
              <w:left w:val="nil"/>
              <w:bottom w:val="single" w:sz="6" w:space="0" w:color="000000"/>
              <w:right w:val="nil"/>
            </w:tcBorders>
            <w:vAlign w:val="center"/>
            <w:hideMark/>
          </w:tcPr>
          <w:p w14:paraId="1BB7AF5E" w14:textId="782A6D13" w:rsidR="00DD505D" w:rsidRPr="00A55335" w:rsidRDefault="00DD505D" w:rsidP="008D662F">
            <w:pPr>
              <w:pStyle w:val="TableFigNotes18"/>
              <w:rPr>
                <w:rFonts w:eastAsia="Times New Roman"/>
              </w:rPr>
            </w:pP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r w:rsidR="00D17ADB">
              <w:br/>
            </w:r>
            <w:r w:rsidR="00D17ADB">
              <w:rPr>
                <w:rFonts w:eastAsia="Times New Roman"/>
              </w:rPr>
              <w:t xml:space="preserve">** </w:t>
            </w:r>
            <w:r w:rsidR="00D17ADB" w:rsidRPr="00D17ADB">
              <w:rPr>
                <w:rFonts w:eastAsia="Times New Roman"/>
              </w:rPr>
              <w:t>Effect estimates were considered on 3 levels: small (MD &lt;10% of the scale), moderate (MD between 10% to 20% of the scale) or large (MD more than 20% of the scale).</w:t>
            </w:r>
          </w:p>
          <w:p w14:paraId="00DEAE55" w14:textId="77777777" w:rsidR="008D662F" w:rsidRPr="00A55335" w:rsidRDefault="008D662F" w:rsidP="008D662F">
            <w:pPr>
              <w:pStyle w:val="TableFigNotes18"/>
            </w:pPr>
          </w:p>
          <w:p w14:paraId="6D76ACA2" w14:textId="00B831F4" w:rsidR="00262974" w:rsidRPr="00A55335" w:rsidRDefault="00DD505D" w:rsidP="008D662F">
            <w:pPr>
              <w:pStyle w:val="TableFigNotes18"/>
            </w:pPr>
            <w:r w:rsidRPr="00A55335">
              <w:t>†</w:t>
            </w:r>
            <w:r w:rsidR="008D662F" w:rsidRPr="00A55335">
              <w:t xml:space="preserve"> </w:t>
            </w:r>
            <w:r w:rsidR="00154410" w:rsidRPr="00A55335">
              <w:t>Data</w:t>
            </w:r>
            <w:r w:rsidRPr="00A55335">
              <w:t xml:space="preserve"> from one RCT </w:t>
            </w:r>
            <w:r w:rsidR="00154410" w:rsidRPr="00A55335">
              <w:t xml:space="preserve">were incomplete (30 participants) and could not be included in the data synthesis. </w:t>
            </w:r>
            <w:r w:rsidR="00262974" w:rsidRPr="00A55335">
              <w:t xml:space="preserve"> </w:t>
            </w:r>
          </w:p>
          <w:p w14:paraId="053973D0" w14:textId="1853975A" w:rsidR="008D662F" w:rsidRPr="00A55335" w:rsidRDefault="00262974" w:rsidP="008D662F">
            <w:pPr>
              <w:pStyle w:val="TableFigNotes18"/>
            </w:pPr>
            <w:r w:rsidRPr="00A55335">
              <w:t xml:space="preserve"># The MCID </w:t>
            </w:r>
            <w:r w:rsidR="00D775BC" w:rsidRPr="00A55335">
              <w:t xml:space="preserve">for pain with chronic back or neck pain </w:t>
            </w:r>
            <w:r w:rsidRPr="00A55335">
              <w:t xml:space="preserve">is estimated to be 2.0 cm </w:t>
            </w:r>
            <w:r w:rsidRPr="00A55335">
              <w:fldChar w:fldCharType="begin">
                <w:fldData xml:space="preserve">PEVuZE5vdGU+PENpdGU+PEF1dGhvcj5PbHNlbjwvQXV0aG9yPjxZZWFyPjIwMTc8L1llYXI+PFJl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</w:fldData>
              </w:fldChar>
            </w:r>
            <w:r w:rsidR="00EC2769">
              <w:instrText xml:space="preserve"> ADDIN EN.CITE </w:instrText>
            </w:r>
            <w:r w:rsidR="00EC2769">
              <w:fldChar w:fldCharType="begin">
                <w:fldData xml:space="preserve">PEVuZE5vdGU+PENpdGU+PEF1dGhvcj5PbHNlbjwvQXV0aG9yPjxZZWFyPjIwMTc8L1llYXI+PFJl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</w:fldData>
              </w:fldChar>
            </w:r>
            <w:r w:rsidR="00EC2769">
              <w:instrText xml:space="preserve"> ADDIN EN.CITE.DATA </w:instrText>
            </w:r>
            <w:r w:rsidR="00EC2769">
              <w:fldChar w:fldCharType="end"/>
            </w:r>
            <w:r w:rsidRPr="00A55335">
              <w:fldChar w:fldCharType="separate"/>
            </w:r>
            <w:r w:rsidR="00EC2769">
              <w:rPr>
                <w:noProof/>
              </w:rPr>
              <w:t>(</w:t>
            </w:r>
            <w:hyperlink w:anchor="_ENREF_291" w:tooltip="Olsen, 2017 #732" w:history="1">
              <w:r w:rsidR="00EC2769">
                <w:rPr>
                  <w:noProof/>
                </w:rPr>
                <w:t>291-293</w:t>
              </w:r>
            </w:hyperlink>
            <w:r w:rsidR="00EC2769">
              <w:rPr>
                <w:noProof/>
              </w:rPr>
              <w:t>)</w:t>
            </w:r>
            <w:r w:rsidRPr="00A55335">
              <w:fldChar w:fldCharType="end"/>
            </w:r>
            <w:r w:rsidRPr="00A55335">
              <w:t>.</w:t>
            </w:r>
          </w:p>
          <w:p w14:paraId="62A1E3EF" w14:textId="40B9DA12" w:rsidR="00DD505D" w:rsidRPr="00A55335" w:rsidRDefault="00DD505D" w:rsidP="008D662F">
            <w:pPr>
              <w:pStyle w:val="TableFigNotes0"/>
            </w:pPr>
            <w:r w:rsidRPr="00A55335">
              <w:rPr>
                <w:rStyle w:val="Strong"/>
              </w:rPr>
              <w:t>CI:</w:t>
            </w:r>
            <w:r w:rsidRPr="00A55335">
              <w:t xml:space="preserve"> confidence interval; </w:t>
            </w:r>
            <w:r w:rsidRPr="00A55335">
              <w:rPr>
                <w:rStyle w:val="Strong"/>
              </w:rPr>
              <w:t>MD:</w:t>
            </w:r>
            <w:r w:rsidRPr="00A55335">
              <w:t xml:space="preserve"> mean difference</w:t>
            </w:r>
            <w:r w:rsidR="008D662F" w:rsidRPr="00A55335">
              <w:t xml:space="preserve">; </w:t>
            </w:r>
            <w:r w:rsidR="00BF5B77" w:rsidRPr="00A55335">
              <w:rPr>
                <w:rStyle w:val="Strong"/>
              </w:rPr>
              <w:t>ODI:</w:t>
            </w:r>
            <w:r w:rsidR="00BF5B77" w:rsidRPr="00A55335">
              <w:t xml:space="preserve"> Oswestry disability index; </w:t>
            </w:r>
            <w:r w:rsidR="008D662F" w:rsidRPr="00A55335">
              <w:rPr>
                <w:rStyle w:val="Strong"/>
              </w:rPr>
              <w:t>VAS:</w:t>
            </w:r>
            <w:r w:rsidR="008D662F" w:rsidRPr="00A55335">
              <w:t xml:space="preserve"> visual analogue scale</w:t>
            </w:r>
          </w:p>
        </w:tc>
      </w:tr>
      <w:tr w:rsidR="00DD505D" w:rsidRPr="00A55335" w14:paraId="5C1B1254" w14:textId="77777777" w:rsidTr="008D662F">
        <w:trPr>
          <w:cantSplit/>
        </w:trPr>
        <w:tc>
          <w:tcPr>
            <w:tcW w:w="5000" w:type="pct"/>
            <w:gridSpan w:val="7"/>
            <w:tcBorders>
              <w:top w:val="single" w:sz="6" w:space="0" w:color="000000"/>
              <w:left w:val="nil"/>
              <w:bottom w:val="single" w:sz="6" w:space="0" w:color="000000"/>
              <w:right w:val="nil"/>
            </w:tcBorders>
            <w:vAlign w:val="center"/>
            <w:hideMark/>
          </w:tcPr>
          <w:p w14:paraId="0D038BE9" w14:textId="77777777" w:rsidR="00DD505D" w:rsidRPr="00A55335" w:rsidRDefault="00DD505D" w:rsidP="00A44D66">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159B128F" w14:textId="77777777" w:rsidR="00DD505D" w:rsidRPr="00A55335" w:rsidRDefault="00E35087" w:rsidP="00B4013E">
      <w:pPr>
        <w:pStyle w:val="Heading5a"/>
        <w:rPr>
          <w:lang w:val="en-AU"/>
        </w:rPr>
      </w:pPr>
      <w:r w:rsidRPr="00A55335">
        <w:rPr>
          <w:lang w:val="en-AU"/>
        </w:rPr>
        <w:t>Explanations</w:t>
      </w:r>
    </w:p>
    <w:p w14:paraId="4080E92B" w14:textId="77777777" w:rsidR="00995AE4" w:rsidRPr="00A55335" w:rsidRDefault="00995AE4" w:rsidP="00995AE4">
      <w:pPr>
        <w:pStyle w:val="Footnote"/>
      </w:pPr>
      <w:r w:rsidRPr="00A55335">
        <w:t>a. No serious risk of bias. Certainty of evidence not downgraded.</w:t>
      </w:r>
    </w:p>
    <w:p w14:paraId="2C7DE2D3" w14:textId="77777777" w:rsidR="00995AE4" w:rsidRPr="00A55335" w:rsidRDefault="00995AE4" w:rsidP="00995AE4">
      <w:pPr>
        <w:pStyle w:val="Footnote"/>
      </w:pPr>
      <w:r w:rsidRPr="00A55335">
        <w:t xml:space="preserve">b. Single study. Inconsistency not assessed. Certainty of evidence not downgraded. </w:t>
      </w:r>
    </w:p>
    <w:p w14:paraId="74738813" w14:textId="77777777" w:rsidR="00995AE4" w:rsidRPr="00A55335" w:rsidRDefault="00995AE4" w:rsidP="00995AE4">
      <w:pPr>
        <w:pStyle w:val="Footnote"/>
      </w:pPr>
      <w:r w:rsidRPr="00A55335">
        <w:t xml:space="preserve">c. </w:t>
      </w:r>
      <w:proofErr w:type="gramStart"/>
      <w:r w:rsidRPr="00A55335">
        <w:t>Serious</w:t>
      </w:r>
      <w:proofErr w:type="gramEnd"/>
      <w:r w:rsidRPr="00A55335">
        <w:t xml:space="preserve"> indirectness. The available evidence is in people with cervical spondylosis and may not be applicable to people with chronic nonspecific low back or neck pain. Certainty of evidence downgraded. </w:t>
      </w:r>
    </w:p>
    <w:p w14:paraId="0F382F6D" w14:textId="5FEF4E1D" w:rsidR="00995AE4" w:rsidRPr="00A55335" w:rsidRDefault="00995AE4" w:rsidP="00995AE4">
      <w:pPr>
        <w:pStyle w:val="Footnote"/>
      </w:pPr>
      <w:r w:rsidRPr="00A55335">
        <w:t xml:space="preserve">d. </w:t>
      </w:r>
      <w:proofErr w:type="gramStart"/>
      <w:r w:rsidRPr="00A55335">
        <w:t>Serious</w:t>
      </w:r>
      <w:proofErr w:type="gramEnd"/>
      <w:r w:rsidRPr="00A55335">
        <w:t xml:space="preserve"> imprecision. </w:t>
      </w:r>
      <w:r w:rsidR="002B6DE0" w:rsidRPr="00A55335">
        <w:t>Single study with w</w:t>
      </w:r>
      <w:r w:rsidRPr="00A55335">
        <w:t xml:space="preserve">ide confidence intervals </w:t>
      </w:r>
      <w:r w:rsidR="002B6DE0" w:rsidRPr="00A55335">
        <w:t xml:space="preserve">(upper and lower bounds overlap with </w:t>
      </w:r>
      <w:r w:rsidRPr="00A55335">
        <w:t>both</w:t>
      </w:r>
      <w:r w:rsidR="00E322CB" w:rsidRPr="00A55335">
        <w:t xml:space="preserve"> important and no important </w:t>
      </w:r>
      <w:r w:rsidRPr="00A55335">
        <w:t>benefit</w:t>
      </w:r>
      <w:r w:rsidR="00E322CB" w:rsidRPr="00A55335">
        <w:t>)</w:t>
      </w:r>
      <w:r w:rsidRPr="00A55335">
        <w:t>. Certainty of evidence downgraded.</w:t>
      </w:r>
    </w:p>
    <w:p w14:paraId="79801913" w14:textId="77777777" w:rsidR="00995AE4" w:rsidRPr="00A55335" w:rsidRDefault="00995AE4" w:rsidP="00995AE4">
      <w:pPr>
        <w:pStyle w:val="Footnote"/>
      </w:pPr>
      <w:r w:rsidRPr="00A55335">
        <w:t>e. Publication bias not suspected. Certainty of evidence not downgraded.</w:t>
      </w:r>
    </w:p>
    <w:p w14:paraId="1C1568E0" w14:textId="18BC3A38" w:rsidR="00DD505D" w:rsidRPr="00A55335" w:rsidRDefault="00C15738" w:rsidP="00E35087">
      <w:pPr>
        <w:pStyle w:val="Footnote"/>
      </w:pPr>
      <w:r w:rsidRPr="00A55335">
        <w:t>f</w:t>
      </w:r>
      <w:r w:rsidR="00DD505D" w:rsidRPr="00A55335">
        <w:t xml:space="preserve">. </w:t>
      </w:r>
      <w:proofErr w:type="gramStart"/>
      <w:r w:rsidR="00DD505D" w:rsidRPr="00A55335">
        <w:t>Serious</w:t>
      </w:r>
      <w:proofErr w:type="gramEnd"/>
      <w:r w:rsidR="00DD505D" w:rsidRPr="00A55335">
        <w:t xml:space="preserve"> risk of bias. </w:t>
      </w:r>
      <w:r w:rsidRPr="00A55335">
        <w:t>One study contributing 100% of data was at high risk of bias</w:t>
      </w:r>
      <w:r w:rsidR="00DD505D" w:rsidRPr="00A55335">
        <w:t>. Certainty of evidence downgraded.</w:t>
      </w:r>
    </w:p>
    <w:p w14:paraId="302A75F1" w14:textId="49235816" w:rsidR="00147A16" w:rsidRPr="00A55335" w:rsidRDefault="00C15738" w:rsidP="00E35087">
      <w:pPr>
        <w:pStyle w:val="Footnote"/>
      </w:pPr>
      <w:r w:rsidRPr="00A55335">
        <w:t>g</w:t>
      </w:r>
      <w:r w:rsidR="00DD505D" w:rsidRPr="00A55335">
        <w:t xml:space="preserve">. </w:t>
      </w:r>
      <w:proofErr w:type="gramStart"/>
      <w:r w:rsidR="003A7071" w:rsidRPr="00A55335">
        <w:t>S</w:t>
      </w:r>
      <w:r w:rsidR="00D456EF" w:rsidRPr="00A55335">
        <w:t>erious</w:t>
      </w:r>
      <w:proofErr w:type="gramEnd"/>
      <w:r w:rsidR="00D456EF" w:rsidRPr="00A55335">
        <w:t xml:space="preserve"> indirectness. The available evidence is in </w:t>
      </w:r>
      <w:r w:rsidR="003A7071" w:rsidRPr="00A55335">
        <w:t>people with low back pain secondary to osteoarthritis of the lumbar spine</w:t>
      </w:r>
      <w:r w:rsidR="00BF5B77" w:rsidRPr="00A55335">
        <w:t xml:space="preserve"> and may not be applicable to people with chronic nonspecific low back or neck pain</w:t>
      </w:r>
      <w:r w:rsidR="003A7071" w:rsidRPr="00A55335">
        <w:t xml:space="preserve">. </w:t>
      </w:r>
      <w:r w:rsidR="00BF5B77" w:rsidRPr="00A55335">
        <w:t>Certainty of evidence downgraded.</w:t>
      </w:r>
    </w:p>
    <w:p w14:paraId="4B93D9E7" w14:textId="00157F04" w:rsidR="00DD505D" w:rsidRPr="00A55335" w:rsidRDefault="00147A16" w:rsidP="00E35087">
      <w:pPr>
        <w:pStyle w:val="Footnote"/>
      </w:pPr>
      <w:r w:rsidRPr="00A55335">
        <w:t xml:space="preserve">h. </w:t>
      </w:r>
      <w:r w:rsidR="00C15738" w:rsidRPr="00A55335">
        <w:t>Very s</w:t>
      </w:r>
      <w:r w:rsidR="00DD505D" w:rsidRPr="00A55335">
        <w:t>erious imprecision.</w:t>
      </w:r>
      <w:r w:rsidR="005D2BC7" w:rsidRPr="00A55335">
        <w:t xml:space="preserve"> Small pilot study. </w:t>
      </w:r>
      <w:r w:rsidRPr="00A55335">
        <w:t xml:space="preserve">Baseline data showed abnormal distribution, with median values reported. </w:t>
      </w:r>
      <w:r w:rsidR="00DD505D" w:rsidRPr="00A55335">
        <w:t xml:space="preserve"> Certainty of evidence downgraded</w:t>
      </w:r>
      <w:r w:rsidRPr="00A55335">
        <w:t xml:space="preserve"> 2 levels</w:t>
      </w:r>
      <w:r w:rsidR="00DD505D" w:rsidRPr="00A55335">
        <w:t>.</w:t>
      </w:r>
    </w:p>
    <w:p w14:paraId="5D423D65" w14:textId="4F9CDD93" w:rsidR="00565245" w:rsidRPr="00A55335" w:rsidRDefault="006070ED" w:rsidP="00565245">
      <w:pPr>
        <w:pStyle w:val="Heading4"/>
      </w:pPr>
      <w:r w:rsidRPr="00A55335">
        <w:lastRenderedPageBreak/>
        <w:t>Secondary Comparison</w:t>
      </w:r>
      <w:r w:rsidR="00565245" w:rsidRPr="00A55335">
        <w:t xml:space="preserve"> (vs </w:t>
      </w:r>
      <w:r w:rsidR="00C8444E" w:rsidRPr="00A55335">
        <w:t xml:space="preserve">inactive </w:t>
      </w:r>
      <w:r w:rsidR="00565245" w:rsidRPr="00A55335">
        <w:t xml:space="preserve">control) </w:t>
      </w:r>
    </w:p>
    <w:p w14:paraId="513A36C3" w14:textId="31F56BDE" w:rsidR="00565245" w:rsidRPr="00A55335" w:rsidRDefault="00565245" w:rsidP="00565245">
      <w:pPr>
        <w:pStyle w:val="BodyText"/>
      </w:pPr>
      <w:r w:rsidRPr="00A55335">
        <w:t xml:space="preserve">There were no studies identified which compared homeopathy to </w:t>
      </w:r>
      <w:r w:rsidR="00C8444E" w:rsidRPr="00A55335">
        <w:t xml:space="preserve">inactive </w:t>
      </w:r>
      <w:r w:rsidRPr="00A55335">
        <w:t xml:space="preserve">control (no intervention, usual care, or waitlist) in people living with back </w:t>
      </w:r>
      <w:r w:rsidR="00265E31" w:rsidRPr="00A55335">
        <w:t xml:space="preserve">or </w:t>
      </w:r>
      <w:r w:rsidRPr="00A55335">
        <w:t>neck pain.</w:t>
      </w:r>
    </w:p>
    <w:p w14:paraId="6B8209FA" w14:textId="77777777" w:rsidR="00DD505D" w:rsidRPr="00A55335" w:rsidRDefault="00DD505D" w:rsidP="004D433B">
      <w:pPr>
        <w:pStyle w:val="Heading3"/>
      </w:pPr>
      <w:bookmarkStart w:id="434" w:name="_Toc183441398"/>
      <w:r w:rsidRPr="00A55335">
        <w:t>Forest plots</w:t>
      </w:r>
      <w:bookmarkEnd w:id="434"/>
    </w:p>
    <w:p w14:paraId="0F9B9DB9" w14:textId="5EA815BB" w:rsidR="002A79D4" w:rsidRPr="00A55335" w:rsidRDefault="00DD505D" w:rsidP="002A79D4">
      <w:pPr>
        <w:pStyle w:val="BodyText"/>
      </w:pPr>
      <w:r w:rsidRPr="00A55335">
        <w:t>Outcome results related</w:t>
      </w:r>
      <w:r w:rsidR="009D62B4" w:rsidRPr="00A55335">
        <w:t xml:space="preserve"> to</w:t>
      </w:r>
      <w:r w:rsidRPr="00A55335">
        <w:t xml:space="preserve"> </w:t>
      </w:r>
      <w:r w:rsidR="0010333E" w:rsidRPr="00A55335">
        <w:t>the p</w:t>
      </w:r>
      <w:r w:rsidR="006070ED" w:rsidRPr="00A55335">
        <w:t xml:space="preserve">rimary </w:t>
      </w:r>
      <w:r w:rsidR="0010333E" w:rsidRPr="00A55335">
        <w:t xml:space="preserve">comparison </w:t>
      </w:r>
      <w:r w:rsidR="00E67AE3" w:rsidRPr="00A55335">
        <w:t xml:space="preserve">(homeopathy vs placebo) </w:t>
      </w:r>
      <w:r w:rsidRPr="00A55335">
        <w:t xml:space="preserve">in people with back </w:t>
      </w:r>
      <w:r w:rsidR="00265E31" w:rsidRPr="00A55335">
        <w:t xml:space="preserve">or </w:t>
      </w:r>
      <w:r w:rsidRPr="00A55335">
        <w:t xml:space="preserve">neck pain are presented in </w:t>
      </w:r>
      <w:r w:rsidRPr="00A55335">
        <w:rPr>
          <w:highlight w:val="yellow"/>
        </w:rPr>
        <w:fldChar w:fldCharType="begin"/>
      </w:r>
      <w:r w:rsidRPr="00A55335">
        <w:instrText xml:space="preserve"> REF _Ref150775585 \h </w:instrText>
      </w:r>
      <w:r w:rsidRPr="00A55335">
        <w:rPr>
          <w:highlight w:val="yellow"/>
        </w:rPr>
      </w:r>
      <w:r w:rsidRPr="00A55335">
        <w:rPr>
          <w:highlight w:val="yellow"/>
        </w:rPr>
        <w:fldChar w:fldCharType="separate"/>
      </w:r>
      <w:r w:rsidR="00814B04" w:rsidRPr="00A55335">
        <w:t xml:space="preserve">Figure </w:t>
      </w:r>
      <w:r w:rsidR="00814B04">
        <w:rPr>
          <w:noProof/>
        </w:rPr>
        <w:t>78</w:t>
      </w:r>
      <w:r w:rsidRPr="00A55335">
        <w:rPr>
          <w:highlight w:val="yellow"/>
        </w:rPr>
        <w:fldChar w:fldCharType="end"/>
      </w:r>
      <w:r w:rsidR="00E67AE3" w:rsidRPr="00A55335">
        <w:t xml:space="preserve"> (pain intensity), </w:t>
      </w:r>
      <w:r w:rsidR="00E67AE3" w:rsidRPr="00A55335">
        <w:rPr>
          <w:highlight w:val="yellow"/>
        </w:rPr>
        <w:fldChar w:fldCharType="begin"/>
      </w:r>
      <w:r w:rsidR="00E67AE3" w:rsidRPr="00A55335">
        <w:instrText xml:space="preserve"> REF _Ref150775711 \h </w:instrText>
      </w:r>
      <w:r w:rsidR="00E67AE3" w:rsidRPr="00A55335">
        <w:rPr>
          <w:highlight w:val="yellow"/>
        </w:rPr>
      </w:r>
      <w:r w:rsidR="00E67AE3" w:rsidRPr="00A55335">
        <w:rPr>
          <w:highlight w:val="yellow"/>
        </w:rPr>
        <w:fldChar w:fldCharType="separate"/>
      </w:r>
      <w:r w:rsidR="00814B04" w:rsidRPr="00A55335">
        <w:t xml:space="preserve">Figure </w:t>
      </w:r>
      <w:r w:rsidR="00814B04">
        <w:rPr>
          <w:noProof/>
        </w:rPr>
        <w:t>79</w:t>
      </w:r>
      <w:r w:rsidR="00E67AE3" w:rsidRPr="00A55335">
        <w:rPr>
          <w:highlight w:val="yellow"/>
        </w:rPr>
        <w:fldChar w:fldCharType="end"/>
      </w:r>
      <w:r w:rsidR="00E67AE3" w:rsidRPr="00A55335">
        <w:t xml:space="preserve"> (</w:t>
      </w:r>
      <w:r w:rsidR="00265E31" w:rsidRPr="00A55335">
        <w:t>mobility</w:t>
      </w:r>
      <w:r w:rsidR="00E67AE3" w:rsidRPr="00A55335">
        <w:t>)</w:t>
      </w:r>
      <w:r w:rsidR="00097C96" w:rsidRPr="00A55335">
        <w:t xml:space="preserve">, </w:t>
      </w:r>
      <w:r w:rsidR="00884889" w:rsidRPr="00A55335">
        <w:fldChar w:fldCharType="begin"/>
      </w:r>
      <w:r w:rsidR="00884889" w:rsidRPr="00A55335">
        <w:instrText xml:space="preserve"> REF _Ref153894481 \h </w:instrText>
      </w:r>
      <w:r w:rsidR="00884889" w:rsidRPr="00A55335">
        <w:fldChar w:fldCharType="separate"/>
      </w:r>
      <w:r w:rsidR="00814B04" w:rsidRPr="00A55335">
        <w:t xml:space="preserve">Figure </w:t>
      </w:r>
      <w:r w:rsidR="00814B04">
        <w:rPr>
          <w:noProof/>
        </w:rPr>
        <w:t>80</w:t>
      </w:r>
      <w:r w:rsidR="00884889" w:rsidRPr="00A55335">
        <w:fldChar w:fldCharType="end"/>
      </w:r>
      <w:r w:rsidR="00884889" w:rsidRPr="00A55335">
        <w:t xml:space="preserve"> (disability) </w:t>
      </w:r>
      <w:r w:rsidR="002A79D4" w:rsidRPr="00A55335">
        <w:t xml:space="preserve">and </w:t>
      </w:r>
      <w:r w:rsidR="002A79D4" w:rsidRPr="00A55335">
        <w:rPr>
          <w:highlight w:val="yellow"/>
        </w:rPr>
        <w:fldChar w:fldCharType="begin"/>
      </w:r>
      <w:r w:rsidR="002A79D4" w:rsidRPr="00A55335">
        <w:instrText xml:space="preserve"> REF _Ref150775799 \h </w:instrText>
      </w:r>
      <w:r w:rsidR="002A79D4" w:rsidRPr="00A55335">
        <w:rPr>
          <w:highlight w:val="yellow"/>
        </w:rPr>
      </w:r>
      <w:r w:rsidR="002A79D4" w:rsidRPr="00A55335">
        <w:rPr>
          <w:highlight w:val="yellow"/>
        </w:rPr>
        <w:fldChar w:fldCharType="separate"/>
      </w:r>
      <w:r w:rsidR="00814B04" w:rsidRPr="00A55335">
        <w:t xml:space="preserve">Figure </w:t>
      </w:r>
      <w:r w:rsidR="00814B04">
        <w:rPr>
          <w:noProof/>
        </w:rPr>
        <w:t>81</w:t>
      </w:r>
      <w:r w:rsidR="002A79D4" w:rsidRPr="00A55335">
        <w:rPr>
          <w:highlight w:val="yellow"/>
        </w:rPr>
        <w:fldChar w:fldCharType="end"/>
      </w:r>
      <w:r w:rsidR="002A79D4" w:rsidRPr="00A55335">
        <w:t xml:space="preserve"> (quality of life).</w:t>
      </w:r>
    </w:p>
    <w:p w14:paraId="15EB92FC" w14:textId="5082F0A8" w:rsidR="00DD505D" w:rsidRDefault="00DD505D" w:rsidP="00DD505D">
      <w:pPr>
        <w:pStyle w:val="Caption"/>
      </w:pPr>
      <w:bookmarkStart w:id="435" w:name="_Ref150775585"/>
      <w:bookmarkStart w:id="436" w:name="_Toc183520351"/>
      <w:r w:rsidRPr="00A55335">
        <w:t xml:space="preserve">Figure </w:t>
      </w:r>
      <w:r w:rsidRPr="00A55335">
        <w:fldChar w:fldCharType="begin"/>
      </w:r>
      <w:r w:rsidRPr="00A55335">
        <w:instrText xml:space="preserve"> SEQ Figure \* ARABIC </w:instrText>
      </w:r>
      <w:r w:rsidRPr="00A55335">
        <w:fldChar w:fldCharType="separate"/>
      </w:r>
      <w:r w:rsidR="00814B04">
        <w:rPr>
          <w:noProof/>
        </w:rPr>
        <w:t>78</w:t>
      </w:r>
      <w:r w:rsidRPr="00A55335">
        <w:fldChar w:fldCharType="end"/>
      </w:r>
      <w:bookmarkEnd w:id="435"/>
      <w:r w:rsidR="002A79D4" w:rsidRPr="00A55335">
        <w:tab/>
      </w:r>
      <w:r w:rsidRPr="00A55335">
        <w:t xml:space="preserve">Forest plot of </w:t>
      </w:r>
      <w:r w:rsidR="00833C91" w:rsidRPr="00A55335">
        <w:t xml:space="preserve">primary </w:t>
      </w:r>
      <w:r w:rsidRPr="00A55335">
        <w:t xml:space="preserve">comparison: Homeopathy vs placebo: </w:t>
      </w:r>
      <w:r w:rsidR="006D59DD" w:rsidRPr="00A55335">
        <w:t xml:space="preserve">Back or neck pain – </w:t>
      </w:r>
      <w:r w:rsidRPr="00A55335">
        <w:t>pain</w:t>
      </w:r>
      <w:r w:rsidR="00E67AE3" w:rsidRPr="00A55335">
        <w:t xml:space="preserve"> intensity</w:t>
      </w:r>
      <w:bookmarkEnd w:id="436"/>
    </w:p>
    <w:p w14:paraId="7F5295D1" w14:textId="1378A1DD" w:rsidR="002A79D4" w:rsidRPr="00A55335" w:rsidRDefault="00502A31" w:rsidP="002A79D4">
      <w:pPr>
        <w:pStyle w:val="Pic"/>
      </w:pPr>
      <w:r>
        <w:rPr>
          <w:noProof/>
        </w:rPr>
        <w:drawing>
          <wp:inline distT="0" distB="0" distL="0" distR="0" wp14:anchorId="1CCEE61B" wp14:editId="37A5ADCC">
            <wp:extent cx="6101249" cy="2349795"/>
            <wp:effectExtent l="0" t="0" r="0" b="0"/>
            <wp:docPr id="19562145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06513" cy="2351822"/>
                    </a:xfrm>
                    <a:prstGeom prst="rect">
                      <a:avLst/>
                    </a:prstGeom>
                    <a:noFill/>
                    <a:ln>
                      <a:noFill/>
                    </a:ln>
                  </pic:spPr>
                </pic:pic>
              </a:graphicData>
            </a:graphic>
          </wp:inline>
        </w:drawing>
      </w:r>
    </w:p>
    <w:p w14:paraId="6ECBF33C" w14:textId="77777777" w:rsidR="002A79D4" w:rsidRPr="00A55335" w:rsidRDefault="002A79D4" w:rsidP="002A79D4">
      <w:pPr>
        <w:pStyle w:val="TableFigNotes18"/>
      </w:pPr>
    </w:p>
    <w:p w14:paraId="6046B397" w14:textId="1F22DC5A" w:rsidR="00DD505D" w:rsidRPr="00A55335" w:rsidRDefault="00DD505D" w:rsidP="00DD505D">
      <w:pPr>
        <w:pStyle w:val="Caption"/>
      </w:pPr>
      <w:bookmarkStart w:id="437" w:name="_Ref150775711"/>
      <w:bookmarkStart w:id="438" w:name="_Toc183520352"/>
      <w:r w:rsidRPr="00A55335">
        <w:t xml:space="preserve">Figure </w:t>
      </w:r>
      <w:r w:rsidRPr="00A55335">
        <w:fldChar w:fldCharType="begin"/>
      </w:r>
      <w:r w:rsidRPr="00A55335">
        <w:instrText xml:space="preserve"> SEQ Figure \* ARABIC </w:instrText>
      </w:r>
      <w:r w:rsidRPr="00A55335">
        <w:fldChar w:fldCharType="separate"/>
      </w:r>
      <w:r w:rsidR="00814B04">
        <w:rPr>
          <w:noProof/>
        </w:rPr>
        <w:t>79</w:t>
      </w:r>
      <w:r w:rsidRPr="00A55335">
        <w:fldChar w:fldCharType="end"/>
      </w:r>
      <w:bookmarkEnd w:id="437"/>
      <w:r w:rsidR="002A79D4" w:rsidRPr="00A55335">
        <w:tab/>
      </w:r>
      <w:r w:rsidRPr="00A55335">
        <w:t xml:space="preserve">Forest plot of </w:t>
      </w:r>
      <w:r w:rsidR="00E7723B" w:rsidRPr="00A55335">
        <w:t xml:space="preserve">primary </w:t>
      </w:r>
      <w:r w:rsidRPr="00A55335">
        <w:t xml:space="preserve">comparison: Homeopathy vs placebo: </w:t>
      </w:r>
      <w:r w:rsidR="00335094" w:rsidRPr="00A55335">
        <w:t>Back or neck pain –</w:t>
      </w:r>
      <w:r w:rsidR="002245CB" w:rsidRPr="00A55335">
        <w:t xml:space="preserve"> </w:t>
      </w:r>
      <w:r w:rsidRPr="00A55335">
        <w:t>mobility</w:t>
      </w:r>
      <w:bookmarkEnd w:id="438"/>
    </w:p>
    <w:p w14:paraId="59F295E4" w14:textId="1B054AC0" w:rsidR="002245CB" w:rsidRPr="00A55335" w:rsidRDefault="00572301" w:rsidP="007252A0">
      <w:pPr>
        <w:pStyle w:val="Pic"/>
      </w:pPr>
      <w:r w:rsidRPr="00A55335">
        <w:rPr>
          <w:noProof/>
        </w:rPr>
        <w:drawing>
          <wp:inline distT="0" distB="0" distL="0" distR="0" wp14:anchorId="46E17C96" wp14:editId="688EF50C">
            <wp:extent cx="6011390" cy="3228975"/>
            <wp:effectExtent l="0" t="0" r="8890" b="0"/>
            <wp:docPr id="1075364418" name="Picture 107536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19818" cy="3233502"/>
                    </a:xfrm>
                    <a:prstGeom prst="rect">
                      <a:avLst/>
                    </a:prstGeom>
                    <a:noFill/>
                    <a:ln>
                      <a:noFill/>
                    </a:ln>
                  </pic:spPr>
                </pic:pic>
              </a:graphicData>
            </a:graphic>
          </wp:inline>
        </w:drawing>
      </w:r>
    </w:p>
    <w:p w14:paraId="1008A6C8" w14:textId="4F5BBFA0" w:rsidR="002A79D4" w:rsidRPr="00A55335" w:rsidRDefault="002A79D4" w:rsidP="002A79D4">
      <w:pPr>
        <w:pStyle w:val="Pic"/>
      </w:pPr>
    </w:p>
    <w:p w14:paraId="06EDCDA4" w14:textId="77777777" w:rsidR="002A79D4" w:rsidRPr="00A55335" w:rsidRDefault="002A79D4" w:rsidP="002A79D4">
      <w:pPr>
        <w:pStyle w:val="TableFigNotes18"/>
      </w:pPr>
    </w:p>
    <w:p w14:paraId="512E4B3B" w14:textId="66BCB31C" w:rsidR="00640211" w:rsidRPr="00A55335" w:rsidRDefault="00640211" w:rsidP="00640211">
      <w:pPr>
        <w:pStyle w:val="Caption"/>
      </w:pPr>
      <w:bookmarkStart w:id="439" w:name="_Ref153894481"/>
      <w:bookmarkStart w:id="440" w:name="_Toc183520353"/>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80</w:t>
      </w:r>
      <w:r w:rsidRPr="00A55335">
        <w:fldChar w:fldCharType="end"/>
      </w:r>
      <w:bookmarkEnd w:id="439"/>
      <w:r w:rsidRPr="00A55335">
        <w:tab/>
        <w:t xml:space="preserve">Forest plot of </w:t>
      </w:r>
      <w:r w:rsidR="00FD6668" w:rsidRPr="00A55335">
        <w:t xml:space="preserve">primary </w:t>
      </w:r>
      <w:r w:rsidRPr="00A55335">
        <w:t>comparison: Homeopathy vs placebo: Back or neck pain – disability</w:t>
      </w:r>
      <w:bookmarkEnd w:id="440"/>
    </w:p>
    <w:p w14:paraId="5745A4DE" w14:textId="5C6BB16B" w:rsidR="00640211" w:rsidRPr="00A55335" w:rsidRDefault="00640211" w:rsidP="00640211">
      <w:pPr>
        <w:pStyle w:val="Pic"/>
      </w:pPr>
      <w:r w:rsidRPr="00A55335">
        <w:rPr>
          <w:noProof/>
        </w:rPr>
        <w:drawing>
          <wp:inline distT="0" distB="0" distL="0" distR="0" wp14:anchorId="6A380DEF" wp14:editId="15F7F520">
            <wp:extent cx="5983727" cy="3257550"/>
            <wp:effectExtent l="0" t="0" r="0" b="0"/>
            <wp:docPr id="338182039" name="Picture 33818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87178" cy="3259429"/>
                    </a:xfrm>
                    <a:prstGeom prst="rect">
                      <a:avLst/>
                    </a:prstGeom>
                    <a:noFill/>
                    <a:ln>
                      <a:noFill/>
                    </a:ln>
                  </pic:spPr>
                </pic:pic>
              </a:graphicData>
            </a:graphic>
          </wp:inline>
        </w:drawing>
      </w:r>
    </w:p>
    <w:p w14:paraId="27E6C84E" w14:textId="77777777" w:rsidR="00640211" w:rsidRPr="00A55335" w:rsidRDefault="00640211" w:rsidP="00640211">
      <w:pPr>
        <w:pStyle w:val="TableFigNotes18"/>
      </w:pPr>
    </w:p>
    <w:p w14:paraId="37E3FD99" w14:textId="27354990" w:rsidR="00DD505D" w:rsidRPr="00A55335" w:rsidRDefault="00DD505D" w:rsidP="00DD505D">
      <w:pPr>
        <w:pStyle w:val="Caption"/>
      </w:pPr>
      <w:bookmarkStart w:id="441" w:name="_Ref150775799"/>
      <w:bookmarkStart w:id="442" w:name="_Toc183520354"/>
      <w:r w:rsidRPr="00A55335">
        <w:t xml:space="preserve">Figure </w:t>
      </w:r>
      <w:r w:rsidRPr="00A55335">
        <w:fldChar w:fldCharType="begin"/>
      </w:r>
      <w:r w:rsidRPr="00A55335">
        <w:instrText xml:space="preserve"> SEQ Figure \* ARABIC </w:instrText>
      </w:r>
      <w:r w:rsidRPr="00A55335">
        <w:fldChar w:fldCharType="separate"/>
      </w:r>
      <w:r w:rsidR="00814B04">
        <w:rPr>
          <w:noProof/>
        </w:rPr>
        <w:t>81</w:t>
      </w:r>
      <w:r w:rsidRPr="00A55335">
        <w:fldChar w:fldCharType="end"/>
      </w:r>
      <w:bookmarkEnd w:id="441"/>
      <w:r w:rsidR="002A79D4" w:rsidRPr="00A55335">
        <w:tab/>
      </w:r>
      <w:r w:rsidRPr="00A55335">
        <w:t xml:space="preserve">Forest plot of </w:t>
      </w:r>
      <w:r w:rsidR="00FD6668" w:rsidRPr="00A55335">
        <w:t xml:space="preserve">primary </w:t>
      </w:r>
      <w:r w:rsidRPr="00A55335">
        <w:t xml:space="preserve">comparison: Homeopathy vs placebo: </w:t>
      </w:r>
      <w:r w:rsidR="00572301" w:rsidRPr="00A55335">
        <w:t xml:space="preserve">Back or neck pain – </w:t>
      </w:r>
      <w:r w:rsidRPr="00A55335">
        <w:t>quality of life</w:t>
      </w:r>
      <w:bookmarkEnd w:id="442"/>
    </w:p>
    <w:p w14:paraId="749AAF86" w14:textId="63CA0709" w:rsidR="002A79D4" w:rsidRPr="00A55335" w:rsidRDefault="00640211" w:rsidP="002A79D4">
      <w:pPr>
        <w:pStyle w:val="Pic"/>
      </w:pPr>
      <w:r w:rsidRPr="00A55335">
        <w:rPr>
          <w:noProof/>
        </w:rPr>
        <w:drawing>
          <wp:inline distT="0" distB="0" distL="0" distR="0" wp14:anchorId="630C9C66" wp14:editId="4FC0B0E2">
            <wp:extent cx="5981070" cy="2762250"/>
            <wp:effectExtent l="0" t="0" r="635" b="0"/>
            <wp:docPr id="1278643673" name="Picture 127864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87564" cy="2765249"/>
                    </a:xfrm>
                    <a:prstGeom prst="rect">
                      <a:avLst/>
                    </a:prstGeom>
                    <a:noFill/>
                    <a:ln>
                      <a:noFill/>
                    </a:ln>
                  </pic:spPr>
                </pic:pic>
              </a:graphicData>
            </a:graphic>
          </wp:inline>
        </w:drawing>
      </w:r>
    </w:p>
    <w:p w14:paraId="1DB0ACA4" w14:textId="77777777" w:rsidR="002A79D4" w:rsidRPr="00A55335" w:rsidRDefault="002A79D4" w:rsidP="002A79D4">
      <w:pPr>
        <w:pStyle w:val="TableFigNotes18"/>
      </w:pPr>
    </w:p>
    <w:p w14:paraId="380F21E1" w14:textId="6A4632C4" w:rsidR="002A79D4" w:rsidRPr="00A55335" w:rsidRDefault="002A79D4" w:rsidP="002456F7">
      <w:pPr>
        <w:pStyle w:val="BodyText"/>
      </w:pPr>
      <w:r w:rsidRPr="00A55335">
        <w:br w:type="page"/>
      </w:r>
    </w:p>
    <w:p w14:paraId="57EA5FE2" w14:textId="219FF7BD" w:rsidR="00DD505D" w:rsidRPr="00A55335" w:rsidRDefault="00DD505D" w:rsidP="00C373A2">
      <w:pPr>
        <w:pStyle w:val="Heading2"/>
      </w:pPr>
      <w:bookmarkStart w:id="443" w:name="_Toc183441399"/>
      <w:r w:rsidRPr="00A55335">
        <w:lastRenderedPageBreak/>
        <w:t>Menopausal symptoms</w:t>
      </w:r>
      <w:r w:rsidR="006D4E25" w:rsidRPr="00A55335">
        <w:t xml:space="preserve"> or complaints</w:t>
      </w:r>
      <w:bookmarkEnd w:id="443"/>
    </w:p>
    <w:p w14:paraId="556D51B8" w14:textId="77777777" w:rsidR="00DD505D" w:rsidRPr="00A55335" w:rsidRDefault="00DD505D" w:rsidP="004D433B">
      <w:pPr>
        <w:pStyle w:val="Heading3"/>
      </w:pPr>
      <w:bookmarkStart w:id="444" w:name="_Toc183441400"/>
      <w:r w:rsidRPr="00A55335">
        <w:t>Description of the condition</w:t>
      </w:r>
      <w:bookmarkEnd w:id="444"/>
      <w:r w:rsidRPr="00A55335">
        <w:t xml:space="preserve"> </w:t>
      </w:r>
    </w:p>
    <w:p w14:paraId="210B5E62" w14:textId="4F8C0F77" w:rsidR="00986D7F" w:rsidRPr="00A55335" w:rsidRDefault="00DD505D" w:rsidP="00DD505D">
      <w:pPr>
        <w:pStyle w:val="BodyText"/>
      </w:pPr>
      <w:r w:rsidRPr="00A55335">
        <w:t xml:space="preserve">Natural menopause is defined as the permanent cessation of menses and is a normal process of ageing that is typically confirmed after menstrual periods have been absent for 12 months </w:t>
      </w:r>
      <w:r w:rsidR="00635FCD" w:rsidRPr="00A55335">
        <w:fldChar w:fldCharType="begin">
          <w:fldData xml:space="preserve">PEVuZE5vdGU+PENpdGU+PEF1dGhvcj5NY0tpbmxheTwvQXV0aG9yPjxZZWFyPjE5OTI8L1llYXI+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</w:fldData>
        </w:fldChar>
      </w:r>
      <w:r w:rsidR="00EC2769">
        <w:instrText xml:space="preserve"> ADDIN EN.CITE </w:instrText>
      </w:r>
      <w:r w:rsidR="00EC2769">
        <w:fldChar w:fldCharType="begin">
          <w:fldData xml:space="preserve">PEVuZE5vdGU+PENpdGU+PEF1dGhvcj5NY0tpbmxheTwvQXV0aG9yPjxZZWFyPjE5OTI8L1llYXI+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294" w:tooltip="McKinlay, 1992 #460" w:history="1">
        <w:r w:rsidR="00EC2769">
          <w:rPr>
            <w:noProof/>
          </w:rPr>
          <w:t>294-297</w:t>
        </w:r>
      </w:hyperlink>
      <w:r w:rsidR="00EC2769">
        <w:rPr>
          <w:noProof/>
        </w:rPr>
        <w:t>)</w:t>
      </w:r>
      <w:r w:rsidR="00635FCD" w:rsidRPr="00A55335">
        <w:fldChar w:fldCharType="end"/>
      </w:r>
      <w:r w:rsidR="00283487" w:rsidRPr="00A55335">
        <w:t>.</w:t>
      </w:r>
      <w:r w:rsidRPr="00A55335">
        <w:t xml:space="preserve"> Symptoms of menopause are characterised by the pathological changes that occur during the transition period (perimenopause) and are related to the gradual loss of ovarian follicular function and decline in circulating blood oestrogen levels </w:t>
      </w:r>
      <w:r w:rsidR="00635FCD" w:rsidRPr="00A55335">
        <w:fldChar w:fldCharType="begin">
          <w:fldData xml:space="preserve">PEVuZE5vdGU+PENpdGUgRXhjbHVkZUF1dGg9IjEiPjxZZWFyPjIwMDU8L1llYXI+PFJlY051bT40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</w:fldData>
        </w:fldChar>
      </w:r>
      <w:r w:rsidR="00EC2769">
        <w:instrText xml:space="preserve"> ADDIN EN.CITE </w:instrText>
      </w:r>
      <w:r w:rsidR="00EC2769">
        <w:fldChar w:fldCharType="begin">
          <w:fldData xml:space="preserve">PEVuZE5vdGU+PENpdGUgRXhjbHVkZUF1dGg9IjEiPjxZZWFyPjIwMDU8L1llYXI+PFJlY051bT40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295" w:tooltip=", 2005 #461" w:history="1">
        <w:r w:rsidR="00EC2769">
          <w:rPr>
            <w:noProof/>
          </w:rPr>
          <w:t>295-297</w:t>
        </w:r>
      </w:hyperlink>
      <w:r w:rsidR="00EC2769">
        <w:rPr>
          <w:noProof/>
        </w:rPr>
        <w:t>)</w:t>
      </w:r>
      <w:r w:rsidR="00635FCD" w:rsidRPr="00A55335">
        <w:fldChar w:fldCharType="end"/>
      </w:r>
      <w:r w:rsidRPr="00A55335">
        <w:t xml:space="preserve">. Perimenopause is estimated to last around 4 years and is the period when bothersome symptoms such as hot flushes, headache, sleep disturbance, lack of concentration, depressed mood, atrophic genital changes and bone loss can begin, with </w:t>
      </w:r>
      <w:r w:rsidR="004F45D1" w:rsidRPr="00A55335">
        <w:t xml:space="preserve">females </w:t>
      </w:r>
      <w:r w:rsidRPr="00A55335">
        <w:t xml:space="preserve">who experience a longer transition period more likely to seek help </w:t>
      </w:r>
      <w:r w:rsidR="00635FCD" w:rsidRPr="00A55335">
        <w:fldChar w:fldCharType="begin"/>
      </w:r>
      <w:r w:rsidR="00EC2769">
        <w:instrText xml:space="preserve"> ADDIN EN.CITE &lt;EndNote&gt;&lt;Cite&gt;&lt;Author&gt;McKinlay&lt;/Author&gt;&lt;Year&gt;1992&lt;/Year&gt;&lt;RecNum&gt;460&lt;/RecNum&gt;&lt;DisplayText&gt;(294)&lt;/DisplayText&gt;&lt;record&gt;&lt;rec-number&gt;460&lt;/rec-number&gt;&lt;foreign-keys&gt;&lt;key app="EN" db-id="t5prptatr9sp0we5exbxt9zz20fwp55tdza9" timestamp="1700774035"&gt;460&lt;/key&gt;&lt;/foreign-keys&gt;&lt;ref-type name="Journal Article"&gt;17&lt;/ref-type&gt;&lt;contributors&gt;&lt;authors&gt;&lt;author&gt;McKinlay, S. M.&lt;/author&gt;&lt;author&gt;Brambilla, D. J.&lt;/author&gt;&lt;author&gt;Posner, J. G.&lt;/author&gt;&lt;/authors&gt;&lt;/contributors&gt;&lt;auth-address&gt;New England Research Institute, Watertown, Massachusetts 02172.&lt;/auth-address&gt;&lt;titles&gt;&lt;title&gt;The normal menopause transition&lt;/title&gt;&lt;secondary-title&gt;Maturitas&lt;/secondary-title&gt;&lt;/titles&gt;&lt;periodical&gt;&lt;full-title&gt;Maturitas&lt;/full-title&gt;&lt;/periodical&gt;&lt;pages&gt;103-15&lt;/pages&gt;&lt;volume&gt;14&lt;/volume&gt;&lt;number&gt;2&lt;/number&gt;&lt;keywords&gt;&lt;keyword&gt;Age Factors&lt;/keyword&gt;&lt;keyword&gt;Climacteric&lt;/keyword&gt;&lt;keyword&gt;Cohort Studies&lt;/keyword&gt;&lt;keyword&gt;Female&lt;/keyword&gt;&lt;keyword&gt;Humans&lt;/keyword&gt;&lt;keyword&gt;Longitudinal Studies&lt;/keyword&gt;&lt;keyword&gt;*Menopause&lt;/keyword&gt;&lt;keyword&gt;Middle Aged&lt;/keyword&gt;&lt;keyword&gt;Parity&lt;/keyword&gt;&lt;keyword&gt;Physicians/statistics &amp;amp; numerical data&lt;/keyword&gt;&lt;keyword&gt;Prospective Studies&lt;/keyword&gt;&lt;keyword&gt;Reference Values&lt;/keyword&gt;&lt;keyword&gt;Smoking&lt;/keyword&gt;&lt;/keywords&gt;&lt;dates&gt;&lt;year&gt;1992&lt;/year&gt;&lt;pub-dates&gt;&lt;date&gt;Jan&lt;/date&gt;&lt;/pub-dates&gt;&lt;/dates&gt;&lt;isbn&gt;0378-5122 (Print)&amp;#xD;0378-5122 (Linking)&lt;/isbn&gt;&lt;accession-num&gt;1565019&lt;/accession-num&gt;&lt;urls&gt;&lt;related-urls&gt;&lt;url&gt;https://www.ncbi.nlm.nih.gov/pubmed/1565019&lt;/url&gt;&lt;/related-urls&gt;&lt;/urls&gt;&lt;electronic-resource-num&gt;10.1016/0378-5122(92)90003-m&lt;/electronic-resource-num&gt;&lt;remote-database-name&gt;Medline&lt;/remote-database-name&gt;&lt;remote-database-provider&gt;NLM&lt;/remote-database-provider&gt;&lt;language&gt;eng&lt;/language&gt;&lt;/record&gt;&lt;/Cite&gt;&lt;/EndNote&gt;</w:instrText>
      </w:r>
      <w:r w:rsidR="00635FCD" w:rsidRPr="00A55335">
        <w:fldChar w:fldCharType="separate"/>
      </w:r>
      <w:r w:rsidR="00EC2769">
        <w:rPr>
          <w:noProof/>
        </w:rPr>
        <w:t>(</w:t>
      </w:r>
      <w:hyperlink w:anchor="_ENREF_294" w:tooltip="McKinlay, 1992 #460" w:history="1">
        <w:r w:rsidR="00EC2769">
          <w:rPr>
            <w:noProof/>
          </w:rPr>
          <w:t>294</w:t>
        </w:r>
      </w:hyperlink>
      <w:r w:rsidR="00EC2769">
        <w:rPr>
          <w:noProof/>
        </w:rPr>
        <w:t>)</w:t>
      </w:r>
      <w:r w:rsidR="00635FCD" w:rsidRPr="00A55335">
        <w:fldChar w:fldCharType="end"/>
      </w:r>
      <w:r w:rsidRPr="00A55335">
        <w:t xml:space="preserve">. </w:t>
      </w:r>
    </w:p>
    <w:p w14:paraId="5DE4D9E8" w14:textId="5F8AB875" w:rsidR="00DD505D" w:rsidRPr="00A55335" w:rsidRDefault="004F45D1" w:rsidP="00DD505D">
      <w:pPr>
        <w:pStyle w:val="BodyText"/>
      </w:pPr>
      <w:r w:rsidRPr="00A55335">
        <w:t xml:space="preserve">Females </w:t>
      </w:r>
      <w:r w:rsidR="00DD505D" w:rsidRPr="00A55335">
        <w:t xml:space="preserve">with artificial menopause, induced after the surgical removal of ovaries, or through interventions such as chemotherapy or radiation therapy, are also more likely to experience bothersome or disabling symptoms of menopause </w:t>
      </w:r>
      <w:r w:rsidR="00635FCD" w:rsidRPr="00A55335">
        <w:fldChar w:fldCharType="begin"/>
      </w:r>
      <w:r w:rsidR="00EC2769">
        <w:instrText xml:space="preserve"> ADDIN EN.CITE &lt;EndNote&gt;&lt;Cite ExcludeAuth="1"&gt;&lt;Year&gt;2005&lt;/Year&gt;&lt;RecNum&gt;461&lt;/RecNum&gt;&lt;DisplayText&gt;(295)&lt;/DisplayText&gt;&lt;record&gt;&lt;rec-number&gt;461&lt;/rec-number&gt;&lt;foreign-keys&gt;&lt;key app="EN" db-id="t5prptatr9sp0we5exbxt9zz20fwp55tdza9" timestamp="1700774035"&gt;461&lt;/key&gt;&lt;/foreign-keys&gt;&lt;ref-type name="Journal Article"&gt;17&lt;/ref-type&gt;&lt;contributors&gt;&lt;/contributors&gt;&lt;titles&gt;&lt;title&gt;NIH State-of-the-Science Conference Statement on management of menopause-related symptoms&lt;/title&gt;&lt;secondary-title&gt;NIH Consens State Sci Statements&lt;/secondary-title&gt;&lt;/titles&gt;&lt;periodical&gt;&lt;full-title&gt;NIH Consens State Sci Statements&lt;/full-title&gt;&lt;/periodical&gt;&lt;pages&gt;1-38&lt;/pages&gt;&lt;volume&gt;22&lt;/volume&gt;&lt;number&gt;1&lt;/number&gt;&lt;keywords&gt;&lt;keyword&gt;Behavior Therapy&lt;/keyword&gt;&lt;keyword&gt;Complementary Therapies&lt;/keyword&gt;&lt;keyword&gt;Decision Making&lt;/keyword&gt;&lt;keyword&gt;Estrogen Replacement Therapy&lt;/keyword&gt;&lt;keyword&gt;Evidence-Based Medicine&lt;/keyword&gt;&lt;keyword&gt;Female&lt;/keyword&gt;&lt;keyword&gt;Hot Flashes/etiology/*therapy&lt;/keyword&gt;&lt;keyword&gt;Humans&lt;/keyword&gt;&lt;keyword&gt;Interdisciplinary Communication&lt;/keyword&gt;&lt;keyword&gt;*Menopause&lt;/keyword&gt;&lt;keyword&gt;Menopause, Premature&lt;/keyword&gt;&lt;keyword&gt;Quality of Life&lt;/keyword&gt;&lt;keyword&gt;Risk Assessment&lt;/keyword&gt;&lt;keyword&gt;Risk Factors&lt;/keyword&gt;&lt;keyword&gt;Sleep Wake Disorders/etiology/therapy&lt;/keyword&gt;&lt;keyword&gt;United States&lt;/keyword&gt;&lt;/keywords&gt;&lt;dates&gt;&lt;year&gt;2005&lt;/year&gt;&lt;pub-dates&gt;&lt;date&gt;Mar 21-23&lt;/date&gt;&lt;/pub-dates&gt;&lt;/dates&gt;&lt;isbn&gt;1553-0957 (Print)&amp;#xD;1553-0779 (Linking)&lt;/isbn&gt;&lt;accession-num&gt;17308548&lt;/accession-num&gt;&lt;urls&gt;&lt;related-urls&gt;&lt;url&gt;https://www.ncbi.nlm.nih.gov/pubmed/17308548&lt;/url&gt;&lt;/related-urls&gt;&lt;/urls&gt;&lt;remote-database-name&gt;Medline&lt;/remote-database-name&gt;&lt;remote-database-provider&gt;NLM&lt;/remote-database-provider&gt;&lt;language&gt;eng&lt;/language&gt;&lt;/record&gt;&lt;/Cite&gt;&lt;/EndNote&gt;</w:instrText>
      </w:r>
      <w:r w:rsidR="00635FCD" w:rsidRPr="00A55335">
        <w:fldChar w:fldCharType="separate"/>
      </w:r>
      <w:r w:rsidR="00EC2769">
        <w:rPr>
          <w:noProof/>
        </w:rPr>
        <w:t>(</w:t>
      </w:r>
      <w:hyperlink w:anchor="_ENREF_295" w:tooltip=", 2005 #461" w:history="1">
        <w:r w:rsidR="00EC2769">
          <w:rPr>
            <w:noProof/>
          </w:rPr>
          <w:t>295</w:t>
        </w:r>
      </w:hyperlink>
      <w:r w:rsidR="00EC2769">
        <w:rPr>
          <w:noProof/>
        </w:rPr>
        <w:t>)</w:t>
      </w:r>
      <w:r w:rsidR="00635FCD" w:rsidRPr="00A55335">
        <w:fldChar w:fldCharType="end"/>
      </w:r>
      <w:r w:rsidR="00DD505D" w:rsidRPr="00A55335">
        <w:t xml:space="preserve">; as are </w:t>
      </w:r>
      <w:r w:rsidRPr="00A55335">
        <w:t>females</w:t>
      </w:r>
      <w:r w:rsidR="00DD505D" w:rsidRPr="00A55335">
        <w:t xml:space="preserve"> who experience premature (before 40 years of age) or early menopause (aged between 40 and 45 years) </w:t>
      </w:r>
      <w:r w:rsidR="00635FCD" w:rsidRPr="00A55335">
        <w:fldChar w:fldCharType="begin"/>
      </w:r>
      <w:r w:rsidR="00EC2769">
        <w:instrText xml:space="preserve"> ADDIN EN.CITE &lt;EndNote&gt;&lt;Cite&gt;&lt;Author&gt;Giri&lt;/Author&gt;&lt;Year&gt;2020&lt;/Year&gt;&lt;RecNum&gt;463&lt;/RecNum&gt;&lt;DisplayText&gt;(297)&lt;/DisplayText&gt;&lt;record&gt;&lt;rec-number&gt;463&lt;/rec-number&gt;&lt;foreign-keys&gt;&lt;key app="EN" db-id="t5prptatr9sp0we5exbxt9zz20fwp55tdza9" timestamp="1700774035"&gt;463&lt;/key&gt;&lt;/foreign-keys&gt;&lt;ref-type name="Journal Article"&gt;17&lt;/ref-type&gt;&lt;contributors&gt;&lt;authors&gt;&lt;author&gt;Giri, R.&lt;/author&gt;&lt;author&gt;Vincent, A. J.&lt;/author&gt;&lt;/authors&gt;&lt;/contributors&gt;&lt;auth-address&gt;Department of Endocrinology, Monash Health, Clayton, Victoria, Australia.&amp;#xD;Monash Centre for Health Research and Implementation (MCHRI), School of Public Health and Preventive Medicine, Monash University, Clayton, Victoria, Australia.&lt;/auth-address&gt;&lt;titles&gt;&lt;title&gt;Prevalence and Risk Factors of Premature Ovarian Insufficiency/Early Menopause&lt;/title&gt;&lt;secondary-title&gt;Semin Reprod Med&lt;/secondary-title&gt;&lt;/titles&gt;&lt;periodical&gt;&lt;full-title&gt;Semin Reprod Med&lt;/full-title&gt;&lt;/periodical&gt;&lt;pages&gt;237-246&lt;/pages&gt;&lt;volume&gt;38&lt;/volume&gt;&lt;number&gt;4-05&lt;/number&gt;&lt;edition&gt;20210112&lt;/edition&gt;&lt;keywords&gt;&lt;keyword&gt;Adult&lt;/keyword&gt;&lt;keyword&gt;Female&lt;/keyword&gt;&lt;keyword&gt;Humans&lt;/keyword&gt;&lt;keyword&gt;Menopause&lt;/keyword&gt;&lt;keyword&gt;*Menopause, Premature&lt;/keyword&gt;&lt;keyword&gt;Middle Aged&lt;/keyword&gt;&lt;keyword&gt;Prevalence&lt;/keyword&gt;&lt;keyword&gt;*Primary Ovarian Insufficiency/epidemiology&lt;/keyword&gt;&lt;keyword&gt;Risk Factors&lt;/keyword&gt;&lt;/keywords&gt;&lt;dates&gt;&lt;year&gt;2020&lt;/year&gt;&lt;pub-dates&gt;&lt;date&gt;Sep&lt;/date&gt;&lt;/pub-dates&gt;&lt;/dates&gt;&lt;isbn&gt;1526-4564 (Electronic)&amp;#xD;1526-4564 (Linking)&lt;/isbn&gt;&lt;accession-num&gt;33434933&lt;/accession-num&gt;&lt;urls&gt;&lt;related-urls&gt;&lt;url&gt;https://www.ncbi.nlm.nih.gov/pubmed/33434933&lt;/url&gt;&lt;/related-urls&gt;&lt;/urls&gt;&lt;custom1&gt;None declared.&lt;/custom1&gt;&lt;electronic-resource-num&gt;10.1055/s-0040-1722317&lt;/electronic-resource-num&gt;&lt;remote-database-name&gt;Medline&lt;/remote-database-name&gt;&lt;remote-database-provider&gt;NLM&lt;/remote-database-provider&gt;&lt;language&gt;eng&lt;/language&gt;&lt;/record&gt;&lt;/Cite&gt;&lt;/EndNote&gt;</w:instrText>
      </w:r>
      <w:r w:rsidR="00635FCD" w:rsidRPr="00A55335">
        <w:fldChar w:fldCharType="separate"/>
      </w:r>
      <w:r w:rsidR="00EC2769">
        <w:rPr>
          <w:noProof/>
        </w:rPr>
        <w:t>(</w:t>
      </w:r>
      <w:hyperlink w:anchor="_ENREF_297" w:tooltip="Giri, 2020 #463" w:history="1">
        <w:r w:rsidR="00EC2769">
          <w:rPr>
            <w:noProof/>
          </w:rPr>
          <w:t>297</w:t>
        </w:r>
      </w:hyperlink>
      <w:r w:rsidR="00EC2769">
        <w:rPr>
          <w:noProof/>
        </w:rPr>
        <w:t>)</w:t>
      </w:r>
      <w:r w:rsidR="00635FCD" w:rsidRPr="00A55335">
        <w:fldChar w:fldCharType="end"/>
      </w:r>
      <w:r w:rsidR="00DD505D" w:rsidRPr="00A55335">
        <w:t xml:space="preserve">.  </w:t>
      </w:r>
    </w:p>
    <w:p w14:paraId="2F887FDC" w14:textId="30C8210E" w:rsidR="00DD505D" w:rsidRPr="00A55335" w:rsidRDefault="00DD505D" w:rsidP="00DD505D">
      <w:pPr>
        <w:pStyle w:val="BodyText"/>
      </w:pPr>
      <w:r w:rsidRPr="00A55335">
        <w:t xml:space="preserve">Natural menopause is estimated to occur between the ages of 47 and 53 years, with education, lifestyle factors (such as smoking, high physical activity), and ethnicity reported to play a role </w:t>
      </w:r>
      <w:r w:rsidR="00635FCD" w:rsidRPr="00A55335">
        <w:fldChar w:fldCharType="begin">
          <w:fldData xml:space="preserve">PEVuZE5vdGU+PENpdGU+PEF1dGhvcj5HaXJpPC9BdXRob3I+PFllYXI+MjAyMDwvWWVhcj48UmVj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</w:fldData>
        </w:fldChar>
      </w:r>
      <w:r w:rsidR="00EC2769">
        <w:instrText xml:space="preserve"> ADDIN EN.CITE </w:instrText>
      </w:r>
      <w:r w:rsidR="00EC2769">
        <w:fldChar w:fldCharType="begin">
          <w:fldData xml:space="preserve">PEVuZE5vdGU+PENpdGU+PEF1dGhvcj5HaXJpPC9BdXRob3I+PFllYXI+MjAyMDwvWWVhcj48UmVj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297" w:tooltip="Giri, 2020 #463" w:history="1">
        <w:r w:rsidR="00EC2769">
          <w:rPr>
            <w:noProof/>
          </w:rPr>
          <w:t>297-299</w:t>
        </w:r>
      </w:hyperlink>
      <w:r w:rsidR="00EC2769">
        <w:rPr>
          <w:noProof/>
        </w:rPr>
        <w:t>)</w:t>
      </w:r>
      <w:r w:rsidR="00635FCD" w:rsidRPr="00A55335">
        <w:fldChar w:fldCharType="end"/>
      </w:r>
      <w:r w:rsidRPr="00A55335">
        <w:t xml:space="preserve">. Globally, between 2% and 3.7% of </w:t>
      </w:r>
      <w:r w:rsidR="004F45D1" w:rsidRPr="00A55335">
        <w:t>females</w:t>
      </w:r>
      <w:r w:rsidRPr="00A55335">
        <w:t xml:space="preserve"> are estimated to experience premature menopause and between 7.6% and 12.2% of </w:t>
      </w:r>
      <w:r w:rsidR="004F45D1" w:rsidRPr="00A55335">
        <w:t>females</w:t>
      </w:r>
      <w:r w:rsidRPr="00A55335">
        <w:t xml:space="preserve"> are estimated to undergo early menopause </w:t>
      </w:r>
      <w:r w:rsidR="00635FCD" w:rsidRPr="00A55335">
        <w:fldChar w:fldCharType="begin">
          <w:fldData xml:space="preserve">PEVuZE5vdGU+PENpdGU+PEF1dGhvcj5NaXNocmE8L0F1dGhvcj48WWVhcj4yMDE3PC9ZZWFyPjxS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</w:fldData>
        </w:fldChar>
      </w:r>
      <w:r w:rsidR="00EC2769">
        <w:instrText xml:space="preserve"> ADDIN EN.CITE </w:instrText>
      </w:r>
      <w:r w:rsidR="00EC2769">
        <w:fldChar w:fldCharType="begin">
          <w:fldData xml:space="preserve">PEVuZE5vdGU+PENpdGU+PEF1dGhvcj5NaXNocmE8L0F1dGhvcj48WWVhcj4yMDE3PC9ZZWFyPjxS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299" w:tooltip="Mishra, 2017 #466" w:history="1">
        <w:r w:rsidR="00EC2769">
          <w:rPr>
            <w:noProof/>
          </w:rPr>
          <w:t>299</w:t>
        </w:r>
      </w:hyperlink>
      <w:r w:rsidR="00EC2769">
        <w:rPr>
          <w:noProof/>
        </w:rPr>
        <w:t xml:space="preserve">, </w:t>
      </w:r>
      <w:hyperlink w:anchor="_ENREF_300" w:tooltip="Golezar, 2019 #467" w:history="1">
        <w:r w:rsidR="00EC2769">
          <w:rPr>
            <w:noProof/>
          </w:rPr>
          <w:t>300</w:t>
        </w:r>
      </w:hyperlink>
      <w:r w:rsidR="00EC2769">
        <w:rPr>
          <w:noProof/>
        </w:rPr>
        <w:t>)</w:t>
      </w:r>
      <w:r w:rsidR="00635FCD" w:rsidRPr="00A55335">
        <w:fldChar w:fldCharType="end"/>
      </w:r>
      <w:r w:rsidRPr="00A55335">
        <w:t xml:space="preserve">, which places them at increased risk of chronic conditions later in life. In Australia, natural menopause is estimated to occur at a mean age of 52 years </w:t>
      </w:r>
      <w:r w:rsidR="00635FCD" w:rsidRPr="00A55335">
        <w:fldChar w:fldCharType="begin">
          <w:fldData xml:space="preserve">PEVuZE5vdGU+PENpdGU+PEF1dGhvcj5TY2hvZW5ha2VyPC9BdXRob3I+PFllYXI+MjAxNDwvWWVh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</w:fldData>
        </w:fldChar>
      </w:r>
      <w:r w:rsidR="00EC2769">
        <w:instrText xml:space="preserve"> ADDIN EN.CITE </w:instrText>
      </w:r>
      <w:r w:rsidR="00EC2769">
        <w:fldChar w:fldCharType="begin">
          <w:fldData xml:space="preserve">PEVuZE5vdGU+PENpdGU+PEF1dGhvcj5TY2hvZW5ha2VyPC9BdXRob3I+PFllYXI+MjAxNDwvWWVh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298" w:tooltip="Schoenaker, 2014 #465" w:history="1">
        <w:r w:rsidR="00EC2769">
          <w:rPr>
            <w:noProof/>
          </w:rPr>
          <w:t>298</w:t>
        </w:r>
      </w:hyperlink>
      <w:r w:rsidR="00EC2769">
        <w:rPr>
          <w:noProof/>
        </w:rPr>
        <w:t>)</w:t>
      </w:r>
      <w:r w:rsidR="00635FCD" w:rsidRPr="00A55335">
        <w:fldChar w:fldCharType="end"/>
      </w:r>
      <w:r w:rsidRPr="00A55335">
        <w:t xml:space="preserve">, with about 1.2% of </w:t>
      </w:r>
      <w:r w:rsidR="004F45D1" w:rsidRPr="00A55335">
        <w:t>females</w:t>
      </w:r>
      <w:r w:rsidRPr="00A55335">
        <w:t xml:space="preserve"> undergoing premature menopause and 5.8% experiencing early menopause </w:t>
      </w:r>
      <w:r w:rsidR="00635FCD" w:rsidRPr="00A55335">
        <w:fldChar w:fldCharType="begin">
          <w:fldData xml:space="preserve">PEVuZE5vdGU+PENpdGU+PEF1dGhvcj5NaXNocmE8L0F1dGhvcj48WWVhcj4yMDE3PC9ZZWFyPjxS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==
</w:fldData>
        </w:fldChar>
      </w:r>
      <w:r w:rsidR="00EC2769">
        <w:instrText xml:space="preserve"> ADDIN EN.CITE </w:instrText>
      </w:r>
      <w:r w:rsidR="00EC2769">
        <w:fldChar w:fldCharType="begin">
          <w:fldData xml:space="preserve">PEVuZE5vdGU+PENpdGU+PEF1dGhvcj5NaXNocmE8L0F1dGhvcj48WWVhcj4yMDE3PC9ZZWFyPjxS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==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299" w:tooltip="Mishra, 2017 #466" w:history="1">
        <w:r w:rsidR="00EC2769">
          <w:rPr>
            <w:noProof/>
          </w:rPr>
          <w:t>299</w:t>
        </w:r>
      </w:hyperlink>
      <w:r w:rsidR="00EC2769">
        <w:rPr>
          <w:noProof/>
        </w:rPr>
        <w:t>)</w:t>
      </w:r>
      <w:r w:rsidR="00635FCD" w:rsidRPr="00A55335">
        <w:fldChar w:fldCharType="end"/>
      </w:r>
      <w:r w:rsidRPr="00A55335">
        <w:t xml:space="preserve">. </w:t>
      </w:r>
    </w:p>
    <w:p w14:paraId="229DE7F3" w14:textId="431E06F7" w:rsidR="00DD505D" w:rsidRPr="00A55335" w:rsidRDefault="00DD505D" w:rsidP="00DD505D">
      <w:pPr>
        <w:pStyle w:val="BodyText"/>
      </w:pPr>
      <w:r w:rsidRPr="00A55335">
        <w:t>Treatment and management of troublesome and disruptive symptoms associated with menopause centre on minimising the effects of declining oestrogen levels through horm</w:t>
      </w:r>
      <w:r w:rsidR="005042CA" w:rsidRPr="00A55335">
        <w:t>one</w:t>
      </w:r>
      <w:r w:rsidRPr="00A55335">
        <w:t xml:space="preserve"> replacement therapy </w:t>
      </w:r>
      <w:r w:rsidR="00635FCD" w:rsidRPr="00A55335">
        <w:fldChar w:fldCharType="begin">
          <w:fldData xml:space="preserve">PEVuZE5vdGU+PENpdGU+PEF1dGhvcj5LZXR2ZXJ0aXM8L0F1dGhvcj48WWVhcj4yMDIxPC9ZZWFy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</w:fldData>
        </w:fldChar>
      </w:r>
      <w:r w:rsidR="00EC2769">
        <w:instrText xml:space="preserve"> ADDIN EN.CITE </w:instrText>
      </w:r>
      <w:r w:rsidR="00EC2769">
        <w:fldChar w:fldCharType="begin">
          <w:fldData xml:space="preserve">PEVuZE5vdGU+PENpdGU+PEF1dGhvcj5LZXR2ZXJ0aXM8L0F1dGhvcj48WWVhcj4yMDIxPC9ZZWFy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296" w:tooltip="Ketvertis, 2021 #462" w:history="1">
        <w:r w:rsidR="00EC2769">
          <w:rPr>
            <w:noProof/>
          </w:rPr>
          <w:t>296</w:t>
        </w:r>
      </w:hyperlink>
      <w:r w:rsidR="00EC2769">
        <w:rPr>
          <w:noProof/>
        </w:rPr>
        <w:t xml:space="preserve">, </w:t>
      </w:r>
      <w:hyperlink w:anchor="_ENREF_301" w:tooltip=", 2018 #468" w:history="1">
        <w:r w:rsidR="00EC2769">
          <w:rPr>
            <w:noProof/>
          </w:rPr>
          <w:t>301-303</w:t>
        </w:r>
      </w:hyperlink>
      <w:r w:rsidR="00EC2769">
        <w:rPr>
          <w:noProof/>
        </w:rPr>
        <w:t>)</w:t>
      </w:r>
      <w:r w:rsidR="00635FCD" w:rsidRPr="00A55335">
        <w:fldChar w:fldCharType="end"/>
      </w:r>
      <w:r w:rsidRPr="00A55335">
        <w:t xml:space="preserve">. Other treatments may focus on managing or preventing specific symptoms such as localised oestrogen cream for vaginal atrophy, blood pressure medications for hot flushes, antidepressants for mood changes, or calcium and Vitamin D for bone loss </w:t>
      </w:r>
      <w:r w:rsidR="00635FCD" w:rsidRPr="00A55335">
        <w:fldChar w:fldCharType="begin">
          <w:fldData xml:space="preserve">PEVuZE5vdGU+PENpdGU+PFllYXI+MjAxODwvWWVhcj48UmVjTnVtPjQ2ODwvUmVjTnVtPjxEaXNw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=
</w:fldData>
        </w:fldChar>
      </w:r>
      <w:r w:rsidR="00EC2769">
        <w:instrText xml:space="preserve"> ADDIN EN.CITE </w:instrText>
      </w:r>
      <w:r w:rsidR="00EC2769">
        <w:fldChar w:fldCharType="begin">
          <w:fldData xml:space="preserve">PEVuZE5vdGU+PENpdGU+PFllYXI+MjAxODwvWWVhcj48UmVjTnVtPjQ2ODwvUmVjTnVtPjxEaXNw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=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301" w:tooltip=", 2018 #468" w:history="1">
        <w:r w:rsidR="00EC2769">
          <w:rPr>
            <w:noProof/>
          </w:rPr>
          <w:t>301</w:t>
        </w:r>
      </w:hyperlink>
      <w:r w:rsidR="00EC2769">
        <w:rPr>
          <w:noProof/>
        </w:rPr>
        <w:t xml:space="preserve">, </w:t>
      </w:r>
      <w:hyperlink w:anchor="_ENREF_303" w:tooltip="Armeni, 2016 #470" w:history="1">
        <w:r w:rsidR="00EC2769">
          <w:rPr>
            <w:noProof/>
          </w:rPr>
          <w:t>303-305</w:t>
        </w:r>
      </w:hyperlink>
      <w:r w:rsidR="00EC2769">
        <w:rPr>
          <w:noProof/>
        </w:rPr>
        <w:t>)</w:t>
      </w:r>
      <w:r w:rsidR="00635FCD" w:rsidRPr="00A55335">
        <w:fldChar w:fldCharType="end"/>
      </w:r>
      <w:r w:rsidRPr="00A55335">
        <w:t>. Given the risks associated with long-term horm</w:t>
      </w:r>
      <w:r w:rsidR="00AA2CF9" w:rsidRPr="00A55335">
        <w:t>one</w:t>
      </w:r>
      <w:r w:rsidRPr="00A55335">
        <w:t xml:space="preserve"> replacement therapy (e.g. thromboembolic or coronary events, breast cancer) </w:t>
      </w:r>
      <w:r w:rsidR="00635FCD" w:rsidRPr="00A55335">
        <w:fldChar w:fldCharType="begin">
          <w:fldData xml:space="preserve">PEVuZE5vdGU+PENpdGUgRXhjbHVkZUF1dGg9IjEiPjxZZWFyPjIwMDU8L1llYXI+PFJlY051bT40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</w:fldData>
        </w:fldChar>
      </w:r>
      <w:r w:rsidR="00EC2769">
        <w:instrText xml:space="preserve"> ADDIN EN.CITE </w:instrText>
      </w:r>
      <w:r w:rsidR="00EC2769">
        <w:fldChar w:fldCharType="begin">
          <w:fldData xml:space="preserve">PEVuZE5vdGU+PENpdGUgRXhjbHVkZUF1dGg9IjEiPjxZZWFyPjIwMDU8L1llYXI+PFJlY051bT40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295" w:tooltip=", 2005 #461" w:history="1">
        <w:r w:rsidR="00EC2769">
          <w:rPr>
            <w:noProof/>
          </w:rPr>
          <w:t>295</w:t>
        </w:r>
      </w:hyperlink>
      <w:r w:rsidR="00EC2769">
        <w:rPr>
          <w:noProof/>
        </w:rPr>
        <w:t xml:space="preserve">, </w:t>
      </w:r>
      <w:hyperlink w:anchor="_ENREF_301" w:tooltip=", 2018 #468" w:history="1">
        <w:r w:rsidR="00EC2769">
          <w:rPr>
            <w:noProof/>
          </w:rPr>
          <w:t>301</w:t>
        </w:r>
      </w:hyperlink>
      <w:r w:rsidR="00EC2769">
        <w:rPr>
          <w:noProof/>
        </w:rPr>
        <w:t xml:space="preserve">, </w:t>
      </w:r>
      <w:hyperlink w:anchor="_ENREF_303" w:tooltip="Armeni, 2016 #470" w:history="1">
        <w:r w:rsidR="00EC2769">
          <w:rPr>
            <w:noProof/>
          </w:rPr>
          <w:t>303</w:t>
        </w:r>
      </w:hyperlink>
      <w:r w:rsidR="00EC2769">
        <w:rPr>
          <w:noProof/>
        </w:rPr>
        <w:t xml:space="preserve">, </w:t>
      </w:r>
      <w:hyperlink w:anchor="_ENREF_306" w:tooltip="The, 2017 #469" w:history="1">
        <w:r w:rsidR="00EC2769">
          <w:rPr>
            <w:noProof/>
          </w:rPr>
          <w:t>306</w:t>
        </w:r>
      </w:hyperlink>
      <w:r w:rsidR="00EC2769">
        <w:rPr>
          <w:noProof/>
        </w:rPr>
        <w:t>)</w:t>
      </w:r>
      <w:r w:rsidR="00635FCD" w:rsidRPr="00A55335">
        <w:fldChar w:fldCharType="end"/>
      </w:r>
      <w:r w:rsidRPr="00A55335">
        <w:t xml:space="preserve">, and the variability of symptom severity, </w:t>
      </w:r>
      <w:r w:rsidR="004F45D1" w:rsidRPr="00A55335">
        <w:t>females</w:t>
      </w:r>
      <w:r w:rsidRPr="00A55335">
        <w:t xml:space="preserve"> experiencing mild or moderate symptoms of menopause may seek lifestyle and other alternative therapies such as homeopathy.</w:t>
      </w:r>
    </w:p>
    <w:p w14:paraId="1ED824A1" w14:textId="77777777" w:rsidR="00DD505D" w:rsidRPr="00A55335" w:rsidRDefault="00DD505D" w:rsidP="004D433B">
      <w:pPr>
        <w:pStyle w:val="Heading3"/>
      </w:pPr>
      <w:bookmarkStart w:id="445" w:name="_Toc183441401"/>
      <w:r w:rsidRPr="00A55335">
        <w:t>Description of studies</w:t>
      </w:r>
      <w:bookmarkEnd w:id="445"/>
      <w:r w:rsidRPr="00A55335">
        <w:t xml:space="preserve"> </w:t>
      </w:r>
    </w:p>
    <w:p w14:paraId="6501F5AD" w14:textId="5C34E1F3" w:rsidR="00DD505D" w:rsidRPr="00A55335" w:rsidRDefault="005F45E8" w:rsidP="00DD505D">
      <w:pPr>
        <w:pStyle w:val="BodyText"/>
      </w:pPr>
      <w:r w:rsidRPr="00A55335">
        <w:t>There were 8</w:t>
      </w:r>
      <w:r w:rsidR="00594246" w:rsidRPr="00A55335">
        <w:t xml:space="preserve"> </w:t>
      </w:r>
      <w:r w:rsidR="00DD505D" w:rsidRPr="00A55335">
        <w:t xml:space="preserve">citations </w:t>
      </w:r>
      <w:r w:rsidR="007905B1" w:rsidRPr="00A55335">
        <w:fldChar w:fldCharType="begin">
          <w:fldData xml:space="preserve">PEVuZE5vdGU+PENpdGU+PEF1dGhvcj5BbmRyYWRlPC9BdXRob3I+PFllYXI+MjAxOTwvWWVhcj48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</w:fldData>
        </w:fldChar>
      </w:r>
      <w:r w:rsidR="00EC2769">
        <w:instrText xml:space="preserve"> ADDIN EN.CITE </w:instrText>
      </w:r>
      <w:r w:rsidR="00EC2769">
        <w:fldChar w:fldCharType="begin">
          <w:fldData xml:space="preserve">PEVuZE5vdGU+PENpdGU+PEF1dGhvcj5BbmRyYWRlPC9BdXRob3I+PFllYXI+MjAxOTwvWWVhcj48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</w:fldData>
        </w:fldChar>
      </w:r>
      <w:r w:rsidR="00EC2769">
        <w:instrText xml:space="preserve"> ADDIN EN.CITE.DATA </w:instrText>
      </w:r>
      <w:r w:rsidR="00EC2769">
        <w:fldChar w:fldCharType="end"/>
      </w:r>
      <w:r w:rsidR="007905B1" w:rsidRPr="00A55335">
        <w:fldChar w:fldCharType="separate"/>
      </w:r>
      <w:r w:rsidR="00EC2769">
        <w:rPr>
          <w:noProof/>
        </w:rPr>
        <w:t>(</w:t>
      </w:r>
      <w:hyperlink w:anchor="_ENREF_307" w:tooltip="Andrade, 2019 #473" w:history="1">
        <w:r w:rsidR="00EC2769">
          <w:rPr>
            <w:noProof/>
          </w:rPr>
          <w:t>307-314</w:t>
        </w:r>
      </w:hyperlink>
      <w:r w:rsidR="00EC2769">
        <w:rPr>
          <w:noProof/>
        </w:rPr>
        <w:t>)</w:t>
      </w:r>
      <w:r w:rsidR="007905B1" w:rsidRPr="00A55335">
        <w:fldChar w:fldCharType="end"/>
      </w:r>
      <w:r w:rsidR="00F86BE5" w:rsidRPr="00A55335">
        <w:t xml:space="preserve"> </w:t>
      </w:r>
      <w:r w:rsidR="00DD505D" w:rsidRPr="00A55335">
        <w:t xml:space="preserve">corresponding to </w:t>
      </w:r>
      <w:r w:rsidR="005543EB" w:rsidRPr="00A55335">
        <w:t>5</w:t>
      </w:r>
      <w:r w:rsidR="00DD505D" w:rsidRPr="00A55335">
        <w:t xml:space="preserve"> RCTs (Andrade 2019, Colau 2012, Jacobs 2005, Relton 2012</w:t>
      </w:r>
      <w:r w:rsidR="00594246" w:rsidRPr="00A55335">
        <w:t>,</w:t>
      </w:r>
      <w:r w:rsidR="00DD505D" w:rsidRPr="00A55335">
        <w:t xml:space="preserve"> </w:t>
      </w:r>
      <w:r w:rsidR="00F86BE5" w:rsidRPr="00A55335">
        <w:t>v</w:t>
      </w:r>
      <w:r w:rsidR="00DD505D" w:rsidRPr="00A55335">
        <w:t>on Hagens 2012) identified in the literature</w:t>
      </w:r>
      <w:r w:rsidR="00F86BE5" w:rsidRPr="00A55335">
        <w:t xml:space="preserve"> search</w:t>
      </w:r>
      <w:r w:rsidR="00DD505D" w:rsidRPr="00A55335">
        <w:t xml:space="preserve">. </w:t>
      </w:r>
      <w:r w:rsidR="005935CA" w:rsidRPr="00A55335">
        <w:t xml:space="preserve">One additional study (Gupta 2019) </w:t>
      </w:r>
      <w:r w:rsidR="005935CA" w:rsidRPr="00A55335">
        <w:fldChar w:fldCharType="begin"/>
      </w:r>
      <w:r w:rsidR="00EC2769">
        <w:instrText xml:space="preserve"> ADDIN EN.CITE &lt;EndNote&gt;&lt;Cite&gt;&lt;Author&gt;Gupta&lt;/Author&gt;&lt;Year&gt;2019&lt;/Year&gt;&lt;RecNum&gt;481&lt;/RecNum&gt;&lt;DisplayText&gt;(315)&lt;/DisplayText&gt;&lt;record&gt;&lt;rec-number&gt;481&lt;/rec-number&gt;&lt;foreign-keys&gt;&lt;key app="EN" db-id="t5prptatr9sp0we5exbxt9zz20fwp55tdza9" timestamp="1700774035"&gt;481&lt;/key&gt;&lt;/foreign-keys&gt;&lt;ref-type name="Journal Article"&gt;17&lt;/ref-type&gt;&lt;contributors&gt;&lt;authors&gt;&lt;author&gt;Gupta, Jaya&lt;/author&gt;&lt;author&gt;Kulshreshtha, Dimpi&lt;/author&gt;&lt;author&gt;Lamba, Chetna Deep&lt;/author&gt;&lt;author&gt;Gupta, Payal&lt;/author&gt;&lt;author&gt;Shinde, Vaishali H.&lt;/author&gt;&lt;author&gt;Wadhwa, Bharti&lt;/author&gt;&lt;author&gt;Soren, Arti&lt;/author&gt;&lt;author&gt;Arya, JS&lt;/author&gt;&lt;author&gt;Koley, Munmun&lt;/author&gt;&lt;author&gt;Pramanik, Abhishek&lt;/author&gt;&lt;author&gt;Parveen, Suraia&lt;/author&gt;&lt;author&gt;Kumar, Arvind&lt;/author&gt;&lt;/authors&gt;&lt;/contributors&gt;&lt;titles&gt;&lt;title&gt;Homoeopathic medicine – Sepia for the management of menopausal symptoms: A multicentric, randomised, double-blind placebo-controlled clinical trial&lt;/title&gt;&lt;secondary-title&gt;Indian Journal of Research in Homoeopathy&lt;/secondary-title&gt;&lt;/titles&gt;&lt;periodical&gt;&lt;full-title&gt;Indian journal of research in homoeopathy&lt;/full-title&gt;&lt;/periodical&gt;&lt;pages&gt;219 - 228&lt;/pages&gt;&lt;volume&gt;13&lt;/volume&gt;&lt;dates&gt;&lt;year&gt;2019&lt;/year&gt;&lt;/dates&gt;&lt;urls&gt;&lt;/urls&gt;&lt;/record&gt;&lt;/Cite&gt;&lt;/EndNote&gt;</w:instrText>
      </w:r>
      <w:r w:rsidR="005935CA" w:rsidRPr="00A55335">
        <w:fldChar w:fldCharType="separate"/>
      </w:r>
      <w:r w:rsidR="00EC2769">
        <w:rPr>
          <w:noProof/>
        </w:rPr>
        <w:t>(</w:t>
      </w:r>
      <w:hyperlink w:anchor="_ENREF_315" w:tooltip="Gupta, 2019 #481" w:history="1">
        <w:r w:rsidR="00EC2769">
          <w:rPr>
            <w:noProof/>
          </w:rPr>
          <w:t>315</w:t>
        </w:r>
      </w:hyperlink>
      <w:r w:rsidR="00EC2769">
        <w:rPr>
          <w:noProof/>
        </w:rPr>
        <w:t>)</w:t>
      </w:r>
      <w:r w:rsidR="005935CA" w:rsidRPr="00A55335">
        <w:fldChar w:fldCharType="end"/>
      </w:r>
      <w:r w:rsidR="005935CA" w:rsidRPr="00A55335">
        <w:t xml:space="preserve"> was identified in the Department’s public call for evidence. </w:t>
      </w:r>
      <w:r w:rsidR="00DD505D" w:rsidRPr="00A55335">
        <w:t xml:space="preserve">There were 2 </w:t>
      </w:r>
      <w:hyperlink w:anchor="_Ongoing_studies" w:history="1">
        <w:r w:rsidR="00DD505D" w:rsidRPr="00A55335">
          <w:rPr>
            <w:rStyle w:val="Hyperlink"/>
          </w:rPr>
          <w:t>ongoing studies</w:t>
        </w:r>
      </w:hyperlink>
      <w:r w:rsidR="00DD505D" w:rsidRPr="00A55335">
        <w:t xml:space="preserve"> and</w:t>
      </w:r>
      <w:r w:rsidR="00980CA0" w:rsidRPr="00A55335">
        <w:t xml:space="preserve"> </w:t>
      </w:r>
      <w:r w:rsidR="00391574" w:rsidRPr="00A55335">
        <w:t xml:space="preserve">2 </w:t>
      </w:r>
      <w:hyperlink w:anchor="_Studies_awaiting_classification" w:history="1">
        <w:r w:rsidR="00F4204B" w:rsidRPr="00A55335">
          <w:rPr>
            <w:rStyle w:val="Hyperlink"/>
          </w:rPr>
          <w:t>studies awaiting classification</w:t>
        </w:r>
      </w:hyperlink>
      <w:r w:rsidR="00DD505D" w:rsidRPr="00A55335">
        <w:t>. An overview of the PICO criteria of included studies is provided in Appendix D9.1</w:t>
      </w:r>
      <w:r w:rsidR="0074202F" w:rsidRPr="00A55335">
        <w:t>.</w:t>
      </w:r>
      <w:r w:rsidR="00DD505D" w:rsidRPr="00A55335">
        <w:t>1.</w:t>
      </w:r>
    </w:p>
    <w:p w14:paraId="173AC8BD" w14:textId="1B79EB5E" w:rsidR="00DD505D" w:rsidRPr="00A55335" w:rsidRDefault="00DD505D" w:rsidP="00DD505D">
      <w:pPr>
        <w:pStyle w:val="BodyText"/>
      </w:pPr>
      <w:r w:rsidRPr="00A55335">
        <w:t xml:space="preserve">Five studies were conducted in </w:t>
      </w:r>
      <w:r w:rsidR="005A6E69" w:rsidRPr="00A55335">
        <w:t xml:space="preserve">single </w:t>
      </w:r>
      <w:r w:rsidRPr="00A55335">
        <w:t>outpatient clinics</w:t>
      </w:r>
      <w:r w:rsidR="005A6E69" w:rsidRPr="00A55335">
        <w:t xml:space="preserve"> across Brazil</w:t>
      </w:r>
      <w:r w:rsidRPr="00A55335">
        <w:t xml:space="preserve"> (Andrade 2019)</w:t>
      </w:r>
      <w:r w:rsidR="005A6E69" w:rsidRPr="00A55335">
        <w:t>, France (</w:t>
      </w:r>
      <w:r w:rsidRPr="00A55335">
        <w:t>Colau 2012)</w:t>
      </w:r>
      <w:r w:rsidR="005A6E69" w:rsidRPr="00A55335">
        <w:t xml:space="preserve">, </w:t>
      </w:r>
      <w:r w:rsidR="00986D7F" w:rsidRPr="00A55335">
        <w:t>Germany (</w:t>
      </w:r>
      <w:r w:rsidR="00467FC9" w:rsidRPr="00A55335">
        <w:t>v</w:t>
      </w:r>
      <w:r w:rsidR="00986D7F" w:rsidRPr="00A55335">
        <w:t xml:space="preserve">on Hagens 2012), </w:t>
      </w:r>
      <w:r w:rsidR="005A6E69" w:rsidRPr="00A55335">
        <w:t xml:space="preserve">the United Kingdom </w:t>
      </w:r>
      <w:r w:rsidRPr="00A55335">
        <w:t>(Relton 2012)</w:t>
      </w:r>
      <w:r w:rsidR="005A6E69" w:rsidRPr="00A55335">
        <w:t xml:space="preserve"> </w:t>
      </w:r>
      <w:r w:rsidR="00986D7F" w:rsidRPr="00A55335">
        <w:t>and the United States (Jacobs 2005)</w:t>
      </w:r>
      <w:r w:rsidRPr="00A55335">
        <w:t xml:space="preserve">. One study (Gupta 2019) was conducted in multiple research centres across India. </w:t>
      </w:r>
    </w:p>
    <w:p w14:paraId="4533BACC" w14:textId="392D25F0" w:rsidR="00DD505D" w:rsidRPr="00A55335" w:rsidRDefault="00BE48FA" w:rsidP="00DD505D">
      <w:pPr>
        <w:pStyle w:val="BodyText"/>
      </w:pPr>
      <w:r w:rsidRPr="00A55335">
        <w:t xml:space="preserve">Five </w:t>
      </w:r>
      <w:r w:rsidR="00DD505D" w:rsidRPr="00A55335">
        <w:t>studies (Andrade 2019, Colau 2012</w:t>
      </w:r>
      <w:r w:rsidR="00986D7F" w:rsidRPr="00A55335">
        <w:t>,</w:t>
      </w:r>
      <w:r w:rsidR="00DD505D" w:rsidRPr="00A55335">
        <w:t xml:space="preserve"> </w:t>
      </w:r>
      <w:r w:rsidR="00467FC9" w:rsidRPr="00A55335">
        <w:t xml:space="preserve">Gupta 2019, </w:t>
      </w:r>
      <w:r w:rsidR="00DD505D" w:rsidRPr="00A55335">
        <w:t>Relton 2012</w:t>
      </w:r>
      <w:r w:rsidR="00467FC9" w:rsidRPr="00A55335">
        <w:t>, von Hagens 2012</w:t>
      </w:r>
      <w:r w:rsidR="00DD505D" w:rsidRPr="00A55335">
        <w:t xml:space="preserve">) </w:t>
      </w:r>
      <w:r w:rsidR="007D53A6" w:rsidRPr="00A55335">
        <w:t>enrolled</w:t>
      </w:r>
      <w:r w:rsidR="00DD505D" w:rsidRPr="00A55335">
        <w:t xml:space="preserve"> </w:t>
      </w:r>
      <w:r w:rsidRPr="00A55335">
        <w:t>peri</w:t>
      </w:r>
      <w:r w:rsidR="00E40261" w:rsidRPr="00A55335">
        <w:t xml:space="preserve"> and</w:t>
      </w:r>
      <w:r w:rsidR="00447F9B" w:rsidRPr="00A55335">
        <w:t>/</w:t>
      </w:r>
      <w:r w:rsidR="00E40261" w:rsidRPr="00A55335">
        <w:t>or post</w:t>
      </w:r>
      <w:r w:rsidRPr="00A55335">
        <w:t xml:space="preserve">menopausal </w:t>
      </w:r>
      <w:r w:rsidR="004F45D1" w:rsidRPr="00A55335">
        <w:t>females</w:t>
      </w:r>
      <w:r w:rsidR="00DD505D" w:rsidRPr="00A55335">
        <w:t xml:space="preserve"> </w:t>
      </w:r>
      <w:r w:rsidRPr="00A55335">
        <w:t>experiencing</w:t>
      </w:r>
      <w:r w:rsidR="00DD505D" w:rsidRPr="00A55335">
        <w:t xml:space="preserve"> </w:t>
      </w:r>
      <w:r w:rsidR="00036F80" w:rsidRPr="00A55335">
        <w:t xml:space="preserve">symptoms of menopause, 3 </w:t>
      </w:r>
      <w:r w:rsidR="00467FC9" w:rsidRPr="00A55335">
        <w:t xml:space="preserve">of which </w:t>
      </w:r>
      <w:r w:rsidR="00B15EFE" w:rsidRPr="00A55335">
        <w:t xml:space="preserve">(Andrade 2019, Colau 2012, Relton 2012) </w:t>
      </w:r>
      <w:r w:rsidR="00467FC9" w:rsidRPr="00A55335">
        <w:t xml:space="preserve">were </w:t>
      </w:r>
      <w:r w:rsidR="00036F80" w:rsidRPr="00A55335">
        <w:t xml:space="preserve">focused on </w:t>
      </w:r>
      <w:r w:rsidR="004F45D1" w:rsidRPr="00A55335">
        <w:t>females</w:t>
      </w:r>
      <w:r w:rsidR="00036F80" w:rsidRPr="00A55335">
        <w:t xml:space="preserve"> </w:t>
      </w:r>
      <w:r w:rsidR="00C652A9" w:rsidRPr="00A55335">
        <w:t>with</w:t>
      </w:r>
      <w:r w:rsidR="00036F80" w:rsidRPr="00A55335">
        <w:t xml:space="preserve"> </w:t>
      </w:r>
      <w:r w:rsidR="00DD505D" w:rsidRPr="00A55335">
        <w:t>hot fl</w:t>
      </w:r>
      <w:r w:rsidR="00AF0D8C" w:rsidRPr="00A55335">
        <w:t>u</w:t>
      </w:r>
      <w:r w:rsidR="00DD505D" w:rsidRPr="00A55335">
        <w:t>shes</w:t>
      </w:r>
      <w:r w:rsidR="00E9510B" w:rsidRPr="00A55335">
        <w:t>. S</w:t>
      </w:r>
      <w:r w:rsidR="00DD505D" w:rsidRPr="00A55335">
        <w:t>ample sizes rang</w:t>
      </w:r>
      <w:r w:rsidR="000C569C" w:rsidRPr="00A55335">
        <w:t>ed</w:t>
      </w:r>
      <w:r w:rsidR="00DD505D" w:rsidRPr="00A55335">
        <w:t xml:space="preserve"> from 40 to 108</w:t>
      </w:r>
      <w:r w:rsidR="00D2748B" w:rsidRPr="00A55335">
        <w:t xml:space="preserve"> participants</w:t>
      </w:r>
      <w:r w:rsidR="00DD505D" w:rsidRPr="00A55335">
        <w:t xml:space="preserve"> (total </w:t>
      </w:r>
      <w:r w:rsidR="00F81D33" w:rsidRPr="00A55335">
        <w:t>408</w:t>
      </w:r>
      <w:r w:rsidR="00DD505D" w:rsidRPr="00A55335">
        <w:t xml:space="preserve">). One study (Jacobs 2005) </w:t>
      </w:r>
      <w:r w:rsidR="00B15EFE" w:rsidRPr="00A55335">
        <w:t xml:space="preserve">enrolled </w:t>
      </w:r>
      <w:r w:rsidR="00DD505D" w:rsidRPr="00A55335">
        <w:t>breast cancer survivors with menopausal symptoms (</w:t>
      </w:r>
      <w:r w:rsidR="00B15EFE" w:rsidRPr="00A55335">
        <w:t>total 83 participants</w:t>
      </w:r>
      <w:r w:rsidR="00DD505D" w:rsidRPr="00A55335">
        <w:t>)</w:t>
      </w:r>
      <w:r w:rsidR="00B15EFE" w:rsidRPr="00A55335">
        <w:t>.</w:t>
      </w:r>
    </w:p>
    <w:p w14:paraId="6C921087" w14:textId="6C5CAD67" w:rsidR="00DD505D" w:rsidRPr="00A55335" w:rsidRDefault="00DD505D" w:rsidP="00DD505D">
      <w:pPr>
        <w:pStyle w:val="BodyText"/>
      </w:pPr>
      <w:r w:rsidRPr="00A55335">
        <w:lastRenderedPageBreak/>
        <w:t>Five studies (Andrade 2019, Colau 2012, Gupta 2019, Jacobs 2005</w:t>
      </w:r>
      <w:r w:rsidR="002D42D9" w:rsidRPr="00A55335">
        <w:t>, v</w:t>
      </w:r>
      <w:r w:rsidRPr="00A55335">
        <w:t>on Hagens 2012) compared homeopathy with placebo. Of these, 4 studies (Andrade 2019, Colau 2012, Gupta 2019</w:t>
      </w:r>
      <w:r w:rsidR="00294B19" w:rsidRPr="00A55335">
        <w:t>, v</w:t>
      </w:r>
      <w:r w:rsidRPr="00A55335">
        <w:t>on Hagens</w:t>
      </w:r>
      <w:r w:rsidR="0094159D" w:rsidRPr="00A55335">
        <w:t xml:space="preserve"> 2012</w:t>
      </w:r>
      <w:r w:rsidRPr="00A55335">
        <w:t xml:space="preserve">) used </w:t>
      </w:r>
      <w:r w:rsidR="0011082B" w:rsidRPr="00A55335">
        <w:t xml:space="preserve">various </w:t>
      </w:r>
      <w:r w:rsidRPr="00A55335">
        <w:t>non-individualised homeopath</w:t>
      </w:r>
      <w:r w:rsidR="0011082B" w:rsidRPr="00A55335">
        <w:t>ic</w:t>
      </w:r>
      <w:r w:rsidRPr="00A55335">
        <w:t xml:space="preserve"> treatments. One study (Jacobs 2005) had </w:t>
      </w:r>
      <w:r w:rsidR="00FE22CD" w:rsidRPr="00A55335">
        <w:t xml:space="preserve">two </w:t>
      </w:r>
      <w:r w:rsidR="0010045A" w:rsidRPr="00A55335">
        <w:t>intervention</w:t>
      </w:r>
      <w:r w:rsidRPr="00A55335">
        <w:t xml:space="preserve"> </w:t>
      </w:r>
      <w:r w:rsidR="0010045A" w:rsidRPr="00A55335">
        <w:t>groups</w:t>
      </w:r>
      <w:r w:rsidRPr="00A55335">
        <w:t xml:space="preserve"> consisting of individualised homeopathy</w:t>
      </w:r>
      <w:r w:rsidR="00FE22CD" w:rsidRPr="00A55335">
        <w:t xml:space="preserve"> and </w:t>
      </w:r>
      <w:r w:rsidRPr="00A55335">
        <w:t>non-individualised homeopathy.</w:t>
      </w:r>
    </w:p>
    <w:p w14:paraId="3A9104E1" w14:textId="77777777" w:rsidR="00DD505D" w:rsidRPr="00A55335" w:rsidRDefault="00DD505D" w:rsidP="00DD505D">
      <w:pPr>
        <w:pStyle w:val="BodyText"/>
      </w:pPr>
      <w:r w:rsidRPr="00A55335">
        <w:t xml:space="preserve">One study (Relton 2012) compared individualised homeopathy with an inactive control. Participants in the homeopathy treatment group attended up to five consultations with a homeopath and were prescribed individualised treatment, whilst those in the control group received no intervention. </w:t>
      </w:r>
    </w:p>
    <w:p w14:paraId="6874ECB3" w14:textId="1A1294B0" w:rsidR="00DD505D" w:rsidRPr="00A55335" w:rsidRDefault="0048627B" w:rsidP="00DD505D">
      <w:pPr>
        <w:pStyle w:val="BodyText"/>
      </w:pPr>
      <w:r w:rsidRPr="00A55335">
        <w:t xml:space="preserve">Results for </w:t>
      </w:r>
      <w:r w:rsidR="0010333E" w:rsidRPr="00A55335">
        <w:t xml:space="preserve">the </w:t>
      </w:r>
      <w:r w:rsidR="006070ED" w:rsidRPr="00A55335">
        <w:t>Primary Comparison</w:t>
      </w:r>
      <w:r w:rsidRPr="00A55335">
        <w:t xml:space="preserve">: </w:t>
      </w:r>
      <w:r w:rsidR="008C22F7" w:rsidRPr="00A55335">
        <w:t>H</w:t>
      </w:r>
      <w:r w:rsidRPr="00A55335">
        <w:t xml:space="preserve">omeopathy versus placebo and </w:t>
      </w:r>
      <w:r w:rsidR="0010333E" w:rsidRPr="00A55335">
        <w:t xml:space="preserve">the </w:t>
      </w:r>
      <w:r w:rsidR="006070ED" w:rsidRPr="00A55335">
        <w:t>Secondary Comparison</w:t>
      </w:r>
      <w:r w:rsidRPr="00A55335">
        <w:t xml:space="preserve">: </w:t>
      </w:r>
      <w:r w:rsidR="008C22F7" w:rsidRPr="00A55335">
        <w:t>H</w:t>
      </w:r>
      <w:r w:rsidRPr="00A55335">
        <w:t xml:space="preserve">omeopathy versus inactive control (no intervention, waitlist or usual care) are provided in the Summary of Findings table (see Section </w:t>
      </w:r>
      <w:r w:rsidRPr="00A55335">
        <w:fldChar w:fldCharType="begin"/>
      </w:r>
      <w:r w:rsidRPr="00A55335">
        <w:instrText xml:space="preserve"> REF _Ref151388254 \r \h </w:instrText>
      </w:r>
      <w:r w:rsidRPr="00A55335">
        <w:fldChar w:fldCharType="separate"/>
      </w:r>
      <w:r w:rsidR="00814B04">
        <w:t>4.18.4</w:t>
      </w:r>
      <w:r w:rsidRPr="00A55335">
        <w:fldChar w:fldCharType="end"/>
      </w:r>
      <w:r w:rsidRPr="00A55335">
        <w:t xml:space="preserve">). </w:t>
      </w:r>
      <w:r w:rsidR="006723B5" w:rsidRPr="00A55335">
        <w:t>There were no studies found for Tertiary Comparison: Homeopathy versus another comparator</w:t>
      </w:r>
      <w:r w:rsidRPr="00A55335">
        <w:t>.</w:t>
      </w:r>
    </w:p>
    <w:p w14:paraId="47925DCD"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68A97B5F" w14:textId="77777777" w:rsidR="00DD505D" w:rsidRPr="00A55335" w:rsidRDefault="00DD505D" w:rsidP="004D433B">
      <w:pPr>
        <w:pStyle w:val="Heading3"/>
      </w:pPr>
      <w:bookmarkStart w:id="446" w:name="_Toc183441402"/>
      <w:r w:rsidRPr="00A55335">
        <w:t>Risk of bias – summary assessment across studies</w:t>
      </w:r>
      <w:bookmarkEnd w:id="446"/>
      <w:r w:rsidRPr="00A55335">
        <w:t xml:space="preserve"> </w:t>
      </w:r>
    </w:p>
    <w:p w14:paraId="7E727EA9" w14:textId="14E0A1F4" w:rsidR="0011736D" w:rsidRPr="00A55335" w:rsidRDefault="00DD505D" w:rsidP="00DD505D">
      <w:pPr>
        <w:pStyle w:val="BodyText"/>
      </w:pPr>
      <w:r w:rsidRPr="00A55335">
        <w:t xml:space="preserve">The risk of bias for each item in the </w:t>
      </w:r>
      <w:r w:rsidR="00F56A75" w:rsidRPr="00A55335">
        <w:t xml:space="preserve">included </w:t>
      </w:r>
      <w:r w:rsidRPr="00A55335">
        <w:t xml:space="preserve">RCTs for </w:t>
      </w:r>
      <w:r w:rsidR="0011736D" w:rsidRPr="00A55335">
        <w:t xml:space="preserve">menopausal symptoms or complaints </w:t>
      </w:r>
      <w:r w:rsidRPr="00A55335">
        <w:t xml:space="preserve">is summarised in </w:t>
      </w:r>
      <w:r w:rsidRPr="00A55335">
        <w:fldChar w:fldCharType="begin"/>
      </w:r>
      <w:r w:rsidRPr="00A55335">
        <w:instrText xml:space="preserve"> REF _Ref143520392 \h </w:instrText>
      </w:r>
      <w:r w:rsidRPr="00A55335">
        <w:fldChar w:fldCharType="separate"/>
      </w:r>
      <w:r w:rsidR="00814B04" w:rsidRPr="00A55335">
        <w:t xml:space="preserve">Figure </w:t>
      </w:r>
      <w:r w:rsidR="00814B04">
        <w:rPr>
          <w:noProof/>
        </w:rPr>
        <w:t>82</w:t>
      </w:r>
      <w:r w:rsidRPr="00A55335">
        <w:fldChar w:fldCharType="end"/>
      </w:r>
      <w:r w:rsidRPr="00A55335">
        <w:t>. Details are provided in Appendix D</w:t>
      </w:r>
      <w:r w:rsidR="00E92C2C" w:rsidRPr="00A55335">
        <w:t>9</w:t>
      </w:r>
      <w:r w:rsidRPr="00A55335">
        <w:t>.1.</w:t>
      </w:r>
      <w:r w:rsidR="00E92C2C" w:rsidRPr="00A55335">
        <w:t>2</w:t>
      </w:r>
      <w:r w:rsidRPr="00A55335">
        <w:t>.</w:t>
      </w:r>
      <w:r w:rsidR="000C580C" w:rsidRPr="00A55335">
        <w:t xml:space="preserve"> </w:t>
      </w:r>
      <w:r w:rsidR="0011736D" w:rsidRPr="00A55335">
        <w:t>No studies were judged to be at overall low risk of bias.</w:t>
      </w:r>
    </w:p>
    <w:p w14:paraId="0ED5F42D" w14:textId="74AFF620" w:rsidR="00DD505D" w:rsidRPr="00A55335" w:rsidRDefault="00DD505D" w:rsidP="00DD505D">
      <w:pPr>
        <w:pStyle w:val="Caption"/>
      </w:pPr>
      <w:bookmarkStart w:id="447" w:name="_Ref143520392"/>
      <w:bookmarkStart w:id="448" w:name="_Toc183520355"/>
      <w:r w:rsidRPr="00A55335">
        <w:t xml:space="preserve">Figure </w:t>
      </w:r>
      <w:r w:rsidRPr="00A55335">
        <w:fldChar w:fldCharType="begin"/>
      </w:r>
      <w:r w:rsidRPr="00A55335">
        <w:instrText xml:space="preserve"> SEQ Figure \* ARABIC </w:instrText>
      </w:r>
      <w:r w:rsidRPr="00A55335">
        <w:fldChar w:fldCharType="separate"/>
      </w:r>
      <w:r w:rsidR="00814B04">
        <w:rPr>
          <w:noProof/>
        </w:rPr>
        <w:t>82</w:t>
      </w:r>
      <w:r w:rsidRPr="00A55335">
        <w:fldChar w:fldCharType="end"/>
      </w:r>
      <w:bookmarkEnd w:id="447"/>
      <w:r w:rsidR="00F47927" w:rsidRPr="00A55335">
        <w:tab/>
      </w:r>
      <w:r w:rsidRPr="00A55335">
        <w:t xml:space="preserve">Risk of bias summary: review authors' judgement about each risk of bias item for each included study: </w:t>
      </w:r>
      <w:r w:rsidR="0048627B" w:rsidRPr="00A55335">
        <w:t>M</w:t>
      </w:r>
      <w:r w:rsidRPr="00A55335">
        <w:t>enopausal symptoms</w:t>
      </w:r>
      <w:r w:rsidR="0011736D" w:rsidRPr="00A55335">
        <w:t xml:space="preserve"> or complaints</w:t>
      </w:r>
      <w:bookmarkEnd w:id="448"/>
    </w:p>
    <w:p w14:paraId="48A68134" w14:textId="29733A5D" w:rsidR="006E4B35" w:rsidRPr="00A55335" w:rsidRDefault="006E4B35" w:rsidP="006E4B35">
      <w:pPr>
        <w:pStyle w:val="Pic"/>
      </w:pPr>
      <w:r w:rsidRPr="00A55335">
        <w:rPr>
          <w:noProof/>
        </w:rPr>
        <w:drawing>
          <wp:inline distT="0" distB="0" distL="0" distR="0" wp14:anchorId="4492C97E" wp14:editId="0031CA16">
            <wp:extent cx="4481425" cy="2918460"/>
            <wp:effectExtent l="0" t="0" r="0" b="0"/>
            <wp:docPr id="26351520" name="Picture 26351520" descr="A chart with red green and yellow circles and cro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1520" name="Picture 26351520" descr="A chart with red green and yellow circles and crosses&#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08936" cy="2936376"/>
                    </a:xfrm>
                    <a:prstGeom prst="rect">
                      <a:avLst/>
                    </a:prstGeom>
                    <a:noFill/>
                    <a:ln>
                      <a:noFill/>
                    </a:ln>
                  </pic:spPr>
                </pic:pic>
              </a:graphicData>
            </a:graphic>
          </wp:inline>
        </w:drawing>
      </w:r>
    </w:p>
    <w:p w14:paraId="44CD058F" w14:textId="77777777" w:rsidR="006E4B35" w:rsidRPr="00A55335" w:rsidRDefault="006E4B35" w:rsidP="006E4B35">
      <w:pPr>
        <w:pStyle w:val="TableFigNotes18"/>
      </w:pPr>
    </w:p>
    <w:p w14:paraId="73BA7535" w14:textId="532F5ED3" w:rsidR="0053146E" w:rsidRPr="00A55335" w:rsidRDefault="0053146E" w:rsidP="004D433B">
      <w:pPr>
        <w:pStyle w:val="Heading3"/>
      </w:pPr>
      <w:bookmarkStart w:id="449" w:name="_Ref151388254"/>
      <w:bookmarkStart w:id="450" w:name="_Toc183441403"/>
      <w:r w:rsidRPr="00A55335">
        <w:lastRenderedPageBreak/>
        <w:t>Summary of findings and evidence statements</w:t>
      </w:r>
      <w:bookmarkEnd w:id="449"/>
      <w:bookmarkEnd w:id="450"/>
    </w:p>
    <w:p w14:paraId="7BC40A14" w14:textId="4A095070" w:rsidR="00DD505D" w:rsidRPr="00A55335" w:rsidRDefault="006070ED" w:rsidP="0053146E">
      <w:pPr>
        <w:pStyle w:val="Heading4"/>
      </w:pPr>
      <w:r w:rsidRPr="00A55335">
        <w:t>Primary Comparison</w:t>
      </w:r>
      <w:r w:rsidR="00DD505D" w:rsidRPr="00A55335">
        <w:t xml:space="preserve"> (vs placebo) </w:t>
      </w:r>
    </w:p>
    <w:tbl>
      <w:tblPr>
        <w:tblW w:w="5000" w:type="pct"/>
        <w:tblLayout w:type="fixed"/>
        <w:tblCellMar>
          <w:top w:w="60" w:type="dxa"/>
          <w:left w:w="60" w:type="dxa"/>
          <w:bottom w:w="60" w:type="dxa"/>
          <w:right w:w="60" w:type="dxa"/>
        </w:tblCellMar>
        <w:tblLook w:val="04A0" w:firstRow="1" w:lastRow="0" w:firstColumn="1" w:lastColumn="0" w:noHBand="0" w:noVBand="1"/>
      </w:tblPr>
      <w:tblGrid>
        <w:gridCol w:w="1701"/>
        <w:gridCol w:w="1421"/>
        <w:gridCol w:w="1421"/>
        <w:gridCol w:w="852"/>
        <w:gridCol w:w="1136"/>
        <w:gridCol w:w="1132"/>
        <w:gridCol w:w="2082"/>
      </w:tblGrid>
      <w:tr w:rsidR="00DD505D" w:rsidRPr="00A55335" w14:paraId="2055017F" w14:textId="77777777">
        <w:trPr>
          <w:cantSplit/>
          <w:tblHeader/>
        </w:trPr>
        <w:tc>
          <w:tcPr>
            <w:tcW w:w="5000" w:type="pct"/>
            <w:gridSpan w:val="7"/>
            <w:tcBorders>
              <w:top w:val="single" w:sz="12" w:space="0" w:color="000000"/>
              <w:left w:val="nil"/>
              <w:bottom w:val="single" w:sz="12" w:space="0" w:color="000000"/>
              <w:right w:val="nil"/>
            </w:tcBorders>
            <w:vAlign w:val="center"/>
            <w:hideMark/>
          </w:tcPr>
          <w:p w14:paraId="2DEE0C27" w14:textId="7D87FC11" w:rsidR="00DD505D" w:rsidRPr="00A55335" w:rsidRDefault="00DD505D" w:rsidP="0053146E">
            <w:pPr>
              <w:pStyle w:val="TableH1"/>
              <w:rPr>
                <w:rFonts w:eastAsiaTheme="minorEastAsia"/>
                <w:lang w:val="en-AU"/>
              </w:rPr>
            </w:pPr>
            <w:r w:rsidRPr="00A55335">
              <w:rPr>
                <w:lang w:val="en-AU"/>
              </w:rPr>
              <w:t xml:space="preserve">Homeopathy compared to Placebo for </w:t>
            </w:r>
            <w:r w:rsidR="006D4E25" w:rsidRPr="00A55335">
              <w:rPr>
                <w:lang w:val="en-AU"/>
              </w:rPr>
              <w:t>Menopausal symptoms or complaints</w:t>
            </w:r>
          </w:p>
        </w:tc>
      </w:tr>
      <w:tr w:rsidR="00DD505D" w:rsidRPr="00A55335" w14:paraId="6B969342" w14:textId="77777777">
        <w:trPr>
          <w:cantSplit/>
          <w:tblHeader/>
        </w:trPr>
        <w:tc>
          <w:tcPr>
            <w:tcW w:w="5000" w:type="pct"/>
            <w:gridSpan w:val="7"/>
            <w:tcBorders>
              <w:top w:val="single" w:sz="12" w:space="0" w:color="000000"/>
              <w:left w:val="nil"/>
              <w:bottom w:val="single" w:sz="12" w:space="0" w:color="000000"/>
              <w:right w:val="nil"/>
            </w:tcBorders>
            <w:vAlign w:val="center"/>
            <w:hideMark/>
          </w:tcPr>
          <w:p w14:paraId="782729FE" w14:textId="46FACD93" w:rsidR="00DD505D" w:rsidRPr="00A55335" w:rsidRDefault="00DD505D" w:rsidP="00C165BA">
            <w:pPr>
              <w:pStyle w:val="Tabletext9pt"/>
            </w:pPr>
            <w:r w:rsidRPr="00A55335">
              <w:rPr>
                <w:rStyle w:val="Strong"/>
              </w:rPr>
              <w:t>Patient or population:</w:t>
            </w:r>
            <w:r w:rsidRPr="00A55335">
              <w:t xml:space="preserve"> </w:t>
            </w:r>
            <w:r w:rsidR="006D4E25" w:rsidRPr="00A55335">
              <w:t>Menopausal symptoms or complaints</w:t>
            </w:r>
          </w:p>
          <w:p w14:paraId="1182F2B5" w14:textId="3412ECD1" w:rsidR="0053146E" w:rsidRPr="00A55335" w:rsidRDefault="00DD505D" w:rsidP="00C165BA">
            <w:pPr>
              <w:pStyle w:val="Tabletext9pt"/>
            </w:pPr>
            <w:r w:rsidRPr="00A55335">
              <w:rPr>
                <w:rStyle w:val="Strong"/>
              </w:rPr>
              <w:t xml:space="preserve">Setting: </w:t>
            </w:r>
            <w:r w:rsidR="00D17898" w:rsidRPr="00A55335">
              <w:t>Community (ou</w:t>
            </w:r>
            <w:r w:rsidRPr="00A55335">
              <w:t>tpatient clinics</w:t>
            </w:r>
            <w:r w:rsidR="00D17898" w:rsidRPr="00A55335">
              <w:t>)</w:t>
            </w:r>
          </w:p>
          <w:p w14:paraId="67A5BFED" w14:textId="77777777" w:rsidR="00DD505D" w:rsidRPr="00A55335" w:rsidRDefault="00DD505D" w:rsidP="00C165BA">
            <w:pPr>
              <w:pStyle w:val="Tabletext9pt"/>
            </w:pPr>
            <w:r w:rsidRPr="00A55335">
              <w:rPr>
                <w:rStyle w:val="Strong"/>
              </w:rPr>
              <w:t>Intervention:</w:t>
            </w:r>
            <w:r w:rsidRPr="00A55335">
              <w:t xml:space="preserve"> Homeopathy</w:t>
            </w:r>
          </w:p>
          <w:p w14:paraId="5CC0CD73" w14:textId="77777777" w:rsidR="00DD505D" w:rsidRPr="00A55335" w:rsidRDefault="00DD505D" w:rsidP="0053146E">
            <w:pPr>
              <w:pStyle w:val="Tabletext9pt"/>
              <w:rPr>
                <w:rFonts w:eastAsia="Times New Roman"/>
                <w:sz w:val="16"/>
              </w:rPr>
            </w:pPr>
            <w:r w:rsidRPr="00A55335">
              <w:rPr>
                <w:rStyle w:val="Strong"/>
              </w:rPr>
              <w:t>Comparison:</w:t>
            </w:r>
            <w:r w:rsidRPr="00A55335">
              <w:t xml:space="preserve"> Placebo</w:t>
            </w:r>
          </w:p>
        </w:tc>
      </w:tr>
      <w:tr w:rsidR="00DD505D" w:rsidRPr="00A55335" w14:paraId="6E188399" w14:textId="77777777" w:rsidTr="00FD65D9">
        <w:trPr>
          <w:cantSplit/>
          <w:tblHeader/>
        </w:trPr>
        <w:tc>
          <w:tcPr>
            <w:tcW w:w="873" w:type="pct"/>
            <w:vMerge w:val="restart"/>
            <w:tcBorders>
              <w:right w:val="single" w:sz="6" w:space="0" w:color="EFEFEF"/>
            </w:tcBorders>
            <w:shd w:val="clear" w:color="auto" w:fill="006579" w:themeFill="accent2"/>
            <w:vAlign w:val="bottom"/>
            <w:hideMark/>
          </w:tcPr>
          <w:p w14:paraId="0A9C4D0E" w14:textId="77777777" w:rsidR="00DD505D" w:rsidRPr="00A55335" w:rsidRDefault="00DD505D" w:rsidP="003C48C8">
            <w:pPr>
              <w:pStyle w:val="Tabletext8pt"/>
              <w:rPr>
                <w:rFonts w:eastAsiaTheme="minorEastAsia"/>
                <w:b/>
                <w:bCs/>
                <w:color w:val="F9F9F9" w:themeColor="background1"/>
              </w:rPr>
            </w:pPr>
            <w:r w:rsidRPr="00A55335">
              <w:rPr>
                <w:b/>
                <w:bCs/>
                <w:color w:val="F9F9F9" w:themeColor="background1"/>
              </w:rPr>
              <w:t>Outcomes</w:t>
            </w:r>
          </w:p>
        </w:tc>
        <w:tc>
          <w:tcPr>
            <w:tcW w:w="1458" w:type="pct"/>
            <w:gridSpan w:val="2"/>
            <w:tcBorders>
              <w:top w:val="single" w:sz="6" w:space="0" w:color="EFEFEF"/>
              <w:right w:val="single" w:sz="6" w:space="0" w:color="EFEFEF"/>
            </w:tcBorders>
            <w:shd w:val="clear" w:color="auto" w:fill="E0E0E0"/>
            <w:vAlign w:val="bottom"/>
            <w:hideMark/>
          </w:tcPr>
          <w:p w14:paraId="2944D227" w14:textId="77777777" w:rsidR="00DD505D" w:rsidRPr="00A55335" w:rsidRDefault="00DD505D" w:rsidP="00F47927">
            <w:pPr>
              <w:pStyle w:val="Tabletext8pt"/>
              <w:rPr>
                <w:b/>
                <w:bCs/>
                <w:color w:val="auto"/>
              </w:rPr>
            </w:pPr>
            <w:r w:rsidRPr="00A55335">
              <w:rPr>
                <w:rStyle w:val="Strong"/>
              </w:rPr>
              <w:t>Anticipated absolute effects* (95% CI)</w:t>
            </w:r>
          </w:p>
        </w:tc>
        <w:tc>
          <w:tcPr>
            <w:tcW w:w="437" w:type="pct"/>
            <w:vMerge w:val="restart"/>
            <w:tcBorders>
              <w:right w:val="single" w:sz="6" w:space="0" w:color="EFEFEF"/>
            </w:tcBorders>
            <w:shd w:val="clear" w:color="auto" w:fill="006579" w:themeFill="accent2"/>
            <w:vAlign w:val="bottom"/>
            <w:hideMark/>
          </w:tcPr>
          <w:p w14:paraId="503EE142" w14:textId="77777777" w:rsidR="00DD505D" w:rsidRPr="00A55335" w:rsidRDefault="00DD505D" w:rsidP="003C48C8">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3" w:type="pct"/>
            <w:vMerge w:val="restart"/>
            <w:tcBorders>
              <w:right w:val="single" w:sz="6" w:space="0" w:color="EFEFEF"/>
            </w:tcBorders>
            <w:shd w:val="clear" w:color="auto" w:fill="006579" w:themeFill="accent2"/>
            <w:vAlign w:val="bottom"/>
            <w:hideMark/>
          </w:tcPr>
          <w:p w14:paraId="17547892" w14:textId="77777777" w:rsidR="00DD505D" w:rsidRPr="00A55335" w:rsidRDefault="00DD505D" w:rsidP="003C48C8">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1" w:type="pct"/>
            <w:vMerge w:val="restart"/>
            <w:tcBorders>
              <w:right w:val="single" w:sz="6" w:space="0" w:color="EFEFEF"/>
            </w:tcBorders>
            <w:shd w:val="clear" w:color="auto" w:fill="006579" w:themeFill="accent2"/>
            <w:vAlign w:val="bottom"/>
            <w:hideMark/>
          </w:tcPr>
          <w:p w14:paraId="1EA2397B" w14:textId="77777777" w:rsidR="00DD505D" w:rsidRPr="00A55335" w:rsidRDefault="00DD505D" w:rsidP="003C48C8">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68" w:type="pct"/>
            <w:vMerge w:val="restart"/>
            <w:tcBorders>
              <w:right w:val="single" w:sz="6" w:space="0" w:color="EFEFEF"/>
            </w:tcBorders>
            <w:shd w:val="clear" w:color="auto" w:fill="006579" w:themeFill="accent2"/>
            <w:vAlign w:val="bottom"/>
            <w:hideMark/>
          </w:tcPr>
          <w:p w14:paraId="5083DF40" w14:textId="6844C0C5" w:rsidR="00DD505D" w:rsidRPr="00A55335" w:rsidRDefault="006D4E25" w:rsidP="003C48C8">
            <w:pPr>
              <w:pStyle w:val="Tabletext8pt"/>
              <w:rPr>
                <w:b/>
                <w:bCs/>
                <w:color w:val="F9F9F9" w:themeColor="background1"/>
              </w:rPr>
            </w:pPr>
            <w:r w:rsidRPr="00A55335">
              <w:rPr>
                <w:b/>
                <w:bCs/>
                <w:color w:val="F9F9F9" w:themeColor="background1"/>
              </w:rPr>
              <w:t>Evidence statement</w:t>
            </w:r>
          </w:p>
        </w:tc>
      </w:tr>
      <w:tr w:rsidR="00DD505D" w:rsidRPr="00A55335" w14:paraId="2090BF32" w14:textId="77777777" w:rsidTr="00FD65D9">
        <w:trPr>
          <w:cantSplit/>
          <w:tblHeader/>
        </w:trPr>
        <w:tc>
          <w:tcPr>
            <w:tcW w:w="873" w:type="pct"/>
            <w:vMerge/>
            <w:tcBorders>
              <w:right w:val="single" w:sz="6" w:space="0" w:color="EFEFEF"/>
            </w:tcBorders>
            <w:shd w:val="clear" w:color="auto" w:fill="006579" w:themeFill="accent2"/>
            <w:vAlign w:val="center"/>
            <w:hideMark/>
          </w:tcPr>
          <w:p w14:paraId="3D7D6D42" w14:textId="77777777" w:rsidR="00DD505D" w:rsidRPr="00A55335" w:rsidRDefault="00DD505D" w:rsidP="00F47927">
            <w:pPr>
              <w:pStyle w:val="Tabletext8pt"/>
              <w:rPr>
                <w:rFonts w:eastAsiaTheme="minorEastAsia"/>
              </w:rPr>
            </w:pPr>
          </w:p>
        </w:tc>
        <w:tc>
          <w:tcPr>
            <w:tcW w:w="729" w:type="pct"/>
            <w:tcBorders>
              <w:top w:val="single" w:sz="6" w:space="0" w:color="EFEFEF"/>
              <w:right w:val="single" w:sz="6" w:space="0" w:color="EFEFEF"/>
            </w:tcBorders>
            <w:shd w:val="clear" w:color="auto" w:fill="E0E0E0"/>
            <w:vAlign w:val="bottom"/>
            <w:hideMark/>
          </w:tcPr>
          <w:p w14:paraId="0FD54D61" w14:textId="77777777" w:rsidR="00DD505D" w:rsidRPr="00A55335" w:rsidRDefault="00DD505D" w:rsidP="00442534">
            <w:pPr>
              <w:pStyle w:val="Tabletext8pt"/>
              <w:rPr>
                <w:rStyle w:val="Strong"/>
              </w:rPr>
            </w:pPr>
            <w:r w:rsidRPr="00A55335">
              <w:rPr>
                <w:rStyle w:val="Strong"/>
              </w:rPr>
              <w:t>Risk with Placebo</w:t>
            </w:r>
          </w:p>
        </w:tc>
        <w:tc>
          <w:tcPr>
            <w:tcW w:w="729" w:type="pct"/>
            <w:tcBorders>
              <w:top w:val="single" w:sz="6" w:space="0" w:color="EFEFEF"/>
              <w:right w:val="single" w:sz="6" w:space="0" w:color="EFEFEF"/>
            </w:tcBorders>
            <w:shd w:val="clear" w:color="auto" w:fill="E0E0E0"/>
            <w:vAlign w:val="bottom"/>
            <w:hideMark/>
          </w:tcPr>
          <w:p w14:paraId="050631E6" w14:textId="77777777" w:rsidR="00DD505D" w:rsidRPr="00A55335" w:rsidRDefault="00DD505D" w:rsidP="00442534">
            <w:pPr>
              <w:pStyle w:val="Tabletext8pt"/>
              <w:rPr>
                <w:rStyle w:val="Strong"/>
              </w:rPr>
            </w:pPr>
            <w:r w:rsidRPr="00A55335">
              <w:rPr>
                <w:rStyle w:val="Strong"/>
              </w:rPr>
              <w:t>Risk with Homeopathy</w:t>
            </w:r>
          </w:p>
        </w:tc>
        <w:tc>
          <w:tcPr>
            <w:tcW w:w="437" w:type="pct"/>
            <w:vMerge/>
            <w:tcBorders>
              <w:right w:val="single" w:sz="6" w:space="0" w:color="EFEFEF"/>
            </w:tcBorders>
            <w:shd w:val="clear" w:color="auto" w:fill="006579" w:themeFill="accent2"/>
            <w:vAlign w:val="center"/>
            <w:hideMark/>
          </w:tcPr>
          <w:p w14:paraId="59B4E5BF" w14:textId="77777777" w:rsidR="00DD505D" w:rsidRPr="00A55335" w:rsidRDefault="00DD505D" w:rsidP="00F47927">
            <w:pPr>
              <w:pStyle w:val="Tabletext8pt"/>
              <w:rPr>
                <w:rFonts w:eastAsiaTheme="minorEastAsia"/>
              </w:rPr>
            </w:pPr>
          </w:p>
        </w:tc>
        <w:tc>
          <w:tcPr>
            <w:tcW w:w="583" w:type="pct"/>
            <w:vMerge/>
            <w:tcBorders>
              <w:right w:val="single" w:sz="6" w:space="0" w:color="EFEFEF"/>
            </w:tcBorders>
            <w:shd w:val="clear" w:color="auto" w:fill="006579" w:themeFill="accent2"/>
            <w:vAlign w:val="center"/>
            <w:hideMark/>
          </w:tcPr>
          <w:p w14:paraId="0BDEBC23" w14:textId="77777777" w:rsidR="00DD505D" w:rsidRPr="00A55335" w:rsidRDefault="00DD505D" w:rsidP="00F47927">
            <w:pPr>
              <w:pStyle w:val="Tabletext8pt"/>
              <w:rPr>
                <w:rFonts w:eastAsiaTheme="minorEastAsia"/>
              </w:rPr>
            </w:pPr>
          </w:p>
        </w:tc>
        <w:tc>
          <w:tcPr>
            <w:tcW w:w="581" w:type="pct"/>
            <w:vMerge/>
            <w:tcBorders>
              <w:right w:val="single" w:sz="6" w:space="0" w:color="EFEFEF"/>
            </w:tcBorders>
            <w:shd w:val="clear" w:color="auto" w:fill="006579" w:themeFill="accent2"/>
            <w:vAlign w:val="center"/>
            <w:hideMark/>
          </w:tcPr>
          <w:p w14:paraId="7AE445D4" w14:textId="77777777" w:rsidR="00DD505D" w:rsidRPr="00A55335" w:rsidRDefault="00DD505D" w:rsidP="00F47927">
            <w:pPr>
              <w:pStyle w:val="Tabletext8pt"/>
              <w:rPr>
                <w:rFonts w:eastAsiaTheme="minorEastAsia"/>
              </w:rPr>
            </w:pPr>
          </w:p>
        </w:tc>
        <w:tc>
          <w:tcPr>
            <w:tcW w:w="1068" w:type="pct"/>
            <w:vMerge/>
            <w:tcBorders>
              <w:right w:val="single" w:sz="6" w:space="0" w:color="EFEFEF"/>
            </w:tcBorders>
            <w:shd w:val="clear" w:color="auto" w:fill="006579" w:themeFill="accent2"/>
            <w:vAlign w:val="center"/>
            <w:hideMark/>
          </w:tcPr>
          <w:p w14:paraId="2257E249" w14:textId="77777777" w:rsidR="00DD505D" w:rsidRPr="00A55335" w:rsidRDefault="00DD505D" w:rsidP="00F47927">
            <w:pPr>
              <w:pStyle w:val="Tabletext8pt"/>
              <w:rPr>
                <w:rFonts w:eastAsiaTheme="minorEastAsia"/>
              </w:rPr>
            </w:pPr>
          </w:p>
        </w:tc>
      </w:tr>
      <w:tr w:rsidR="00DD505D" w:rsidRPr="00A55335" w14:paraId="2EA109F3" w14:textId="77777777" w:rsidTr="00FD65D9">
        <w:trPr>
          <w:cantSplit/>
        </w:trPr>
        <w:tc>
          <w:tcPr>
            <w:tcW w:w="873" w:type="pct"/>
            <w:tcBorders>
              <w:top w:val="single" w:sz="6" w:space="0" w:color="000000"/>
              <w:left w:val="nil"/>
              <w:bottom w:val="single" w:sz="6" w:space="0" w:color="000000"/>
              <w:right w:val="nil"/>
            </w:tcBorders>
            <w:vAlign w:val="center"/>
            <w:hideMark/>
          </w:tcPr>
          <w:p w14:paraId="6C03AF3D" w14:textId="77777777" w:rsidR="00DD505D" w:rsidRPr="00A55335" w:rsidRDefault="00DD505D" w:rsidP="00F47927">
            <w:pPr>
              <w:pStyle w:val="Tabletext8pt"/>
            </w:pPr>
            <w:r w:rsidRPr="00A55335">
              <w:t>Symptom severity</w:t>
            </w:r>
          </w:p>
          <w:p w14:paraId="64669B56" w14:textId="21C2AD68" w:rsidR="00DD505D" w:rsidRPr="00A55335" w:rsidRDefault="00DD505D" w:rsidP="00F47927">
            <w:pPr>
              <w:pStyle w:val="Tabletext8pt"/>
            </w:pPr>
            <w:r w:rsidRPr="00A55335">
              <w:t>assessed with MRS or GCS</w:t>
            </w:r>
            <w:r w:rsidRPr="00A55335">
              <w:br/>
              <w:t>follow-up: from 12 weeks to 6 months</w:t>
            </w:r>
          </w:p>
        </w:tc>
        <w:tc>
          <w:tcPr>
            <w:tcW w:w="729" w:type="pct"/>
            <w:tcBorders>
              <w:top w:val="single" w:sz="6" w:space="0" w:color="000000"/>
              <w:left w:val="nil"/>
              <w:bottom w:val="single" w:sz="6" w:space="0" w:color="000000"/>
              <w:right w:val="nil"/>
            </w:tcBorders>
            <w:shd w:val="clear" w:color="auto" w:fill="auto"/>
            <w:vAlign w:val="center"/>
            <w:hideMark/>
          </w:tcPr>
          <w:p w14:paraId="4F622CE6" w14:textId="77777777" w:rsidR="00DD505D" w:rsidRPr="00A55335" w:rsidRDefault="00DD505D" w:rsidP="0068045E">
            <w:pPr>
              <w:pStyle w:val="Tabletext8pt"/>
              <w:jc w:val="center"/>
            </w:pPr>
            <w:r w:rsidRPr="00A55335">
              <w:t>-</w:t>
            </w:r>
          </w:p>
        </w:tc>
        <w:tc>
          <w:tcPr>
            <w:tcW w:w="729" w:type="pct"/>
            <w:tcBorders>
              <w:top w:val="single" w:sz="6" w:space="0" w:color="000000"/>
              <w:left w:val="nil"/>
              <w:bottom w:val="single" w:sz="6" w:space="0" w:color="000000"/>
              <w:right w:val="nil"/>
            </w:tcBorders>
            <w:shd w:val="clear" w:color="auto" w:fill="EBEBEB"/>
            <w:hideMark/>
          </w:tcPr>
          <w:p w14:paraId="04615AA9" w14:textId="1A25E78B" w:rsidR="00DD505D" w:rsidRPr="00A55335" w:rsidRDefault="00DD505D" w:rsidP="0068045E">
            <w:pPr>
              <w:pStyle w:val="Tabletext8pt"/>
              <w:jc w:val="center"/>
            </w:pPr>
            <w:r w:rsidRPr="00A55335">
              <w:t>SMD</w:t>
            </w:r>
            <w:r w:rsidRPr="00A55335">
              <w:rPr>
                <w:rStyle w:val="Strong"/>
              </w:rPr>
              <w:t xml:space="preserve"> 0.07 lower</w:t>
            </w:r>
            <w:r w:rsidRPr="00A55335">
              <w:br/>
              <w:t>(0.71 lower to 0.57 higher)</w:t>
            </w:r>
          </w:p>
        </w:tc>
        <w:tc>
          <w:tcPr>
            <w:tcW w:w="437" w:type="pct"/>
            <w:tcBorders>
              <w:top w:val="single" w:sz="6" w:space="0" w:color="000000"/>
              <w:left w:val="nil"/>
              <w:bottom w:val="single" w:sz="6" w:space="0" w:color="000000"/>
              <w:right w:val="nil"/>
            </w:tcBorders>
            <w:vAlign w:val="center"/>
            <w:hideMark/>
          </w:tcPr>
          <w:p w14:paraId="25DFB679" w14:textId="77777777" w:rsidR="00DD505D" w:rsidRPr="00A55335" w:rsidRDefault="00DD505D" w:rsidP="0068045E">
            <w:pPr>
              <w:pStyle w:val="Tabletext8pt"/>
              <w:jc w:val="center"/>
            </w:pPr>
            <w:r w:rsidRPr="00A55335">
              <w:t>-</w:t>
            </w:r>
          </w:p>
        </w:tc>
        <w:tc>
          <w:tcPr>
            <w:tcW w:w="583" w:type="pct"/>
            <w:tcBorders>
              <w:top w:val="single" w:sz="6" w:space="0" w:color="000000"/>
              <w:left w:val="nil"/>
              <w:bottom w:val="single" w:sz="6" w:space="0" w:color="000000"/>
              <w:right w:val="nil"/>
            </w:tcBorders>
            <w:vAlign w:val="center"/>
            <w:hideMark/>
          </w:tcPr>
          <w:p w14:paraId="126818D3" w14:textId="5472270C" w:rsidR="00DD505D" w:rsidRPr="00A55335" w:rsidRDefault="005D66C5" w:rsidP="0068045E">
            <w:pPr>
              <w:pStyle w:val="Tabletext8pt"/>
              <w:jc w:val="center"/>
            </w:pPr>
            <w:r w:rsidRPr="00A55335">
              <w:t>290</w:t>
            </w:r>
            <w:r w:rsidR="00DD505D" w:rsidRPr="00A55335">
              <w:br/>
              <w:t xml:space="preserve">(3 RCTs) </w:t>
            </w:r>
            <w:r w:rsidR="00DD505D" w:rsidRPr="00A55335">
              <w:rPr>
                <w:rStyle w:val="FootnoteReference"/>
              </w:rPr>
              <w:t>†</w:t>
            </w:r>
            <w:r w:rsidR="00DD505D" w:rsidRPr="00A55335">
              <w:t xml:space="preserve"> </w:t>
            </w:r>
          </w:p>
        </w:tc>
        <w:tc>
          <w:tcPr>
            <w:tcW w:w="581" w:type="pct"/>
            <w:tcBorders>
              <w:top w:val="single" w:sz="6" w:space="0" w:color="000000"/>
              <w:left w:val="nil"/>
              <w:bottom w:val="single" w:sz="6" w:space="0" w:color="000000"/>
              <w:right w:val="nil"/>
            </w:tcBorders>
            <w:vAlign w:val="center"/>
            <w:hideMark/>
          </w:tcPr>
          <w:p w14:paraId="3E8D1A76" w14:textId="4EE2CA66" w:rsidR="00DD505D" w:rsidRPr="00A55335" w:rsidRDefault="00DD505D" w:rsidP="004B2271">
            <w:pPr>
              <w:pStyle w:val="Tabletext8pt"/>
              <w:jc w:val="center"/>
              <w:rPr>
                <w:rFonts w:eastAsia="Times New Roman"/>
              </w:rPr>
            </w:pPr>
            <w:r w:rsidRPr="00A55335">
              <w:rPr>
                <w:rStyle w:val="quality-sign"/>
                <w:rFonts w:ascii="Cambria Math" w:hAnsi="Cambria Math"/>
              </w:rPr>
              <w:t>⨁</w:t>
            </w:r>
            <w:r w:rsidR="009152AC" w:rsidRPr="00A55335">
              <w:rPr>
                <w:rStyle w:val="quality-sign"/>
                <w:rFonts w:ascii="Cambria Math" w:hAnsi="Cambria Math"/>
              </w:rPr>
              <w:t>◯</w:t>
            </w:r>
            <w:r w:rsidRPr="00A55335">
              <w:rPr>
                <w:rStyle w:val="quality-sign"/>
                <w:rFonts w:ascii="Cambria Math" w:hAnsi="Cambria Math"/>
              </w:rPr>
              <w:t>◯◯</w:t>
            </w:r>
            <w:r w:rsidRPr="00A55335">
              <w:rPr>
                <w:rFonts w:eastAsia="Times New Roman"/>
              </w:rPr>
              <w:br/>
            </w:r>
            <w:r w:rsidR="009152AC" w:rsidRPr="00A55335">
              <w:rPr>
                <w:rStyle w:val="QualitytextChar"/>
              </w:rPr>
              <w:t xml:space="preserve">Very </w:t>
            </w:r>
            <w:r w:rsidRPr="00A55335">
              <w:rPr>
                <w:rStyle w:val="QualitytextChar"/>
              </w:rPr>
              <w:t>Low</w:t>
            </w:r>
            <w:r w:rsidRPr="00A55335">
              <w:t xml:space="preserve"> </w:t>
            </w:r>
            <w:proofErr w:type="spellStart"/>
            <w:proofErr w:type="gramStart"/>
            <w:r w:rsidR="00BE691F" w:rsidRPr="00A55335">
              <w:rPr>
                <w:rFonts w:cs="Montserrat"/>
                <w:color w:val="000000"/>
                <w:vertAlign w:val="superscript"/>
              </w:rPr>
              <w:t>a,b</w:t>
            </w:r>
            <w:proofErr w:type="gramEnd"/>
            <w:r w:rsidR="00BE691F" w:rsidRPr="00A55335">
              <w:rPr>
                <w:rFonts w:cs="Montserrat"/>
                <w:color w:val="000000"/>
                <w:vertAlign w:val="superscript"/>
              </w:rPr>
              <w:t>,c,d,e</w:t>
            </w:r>
            <w:proofErr w:type="spellEnd"/>
          </w:p>
        </w:tc>
        <w:tc>
          <w:tcPr>
            <w:tcW w:w="1068" w:type="pct"/>
            <w:tcBorders>
              <w:top w:val="single" w:sz="6" w:space="0" w:color="000000"/>
              <w:left w:val="nil"/>
              <w:bottom w:val="single" w:sz="6" w:space="0" w:color="000000"/>
              <w:right w:val="nil"/>
            </w:tcBorders>
            <w:vAlign w:val="center"/>
            <w:hideMark/>
          </w:tcPr>
          <w:p w14:paraId="463D0978" w14:textId="252F5DEF" w:rsidR="00DD505D" w:rsidRPr="00A55335" w:rsidRDefault="00241173" w:rsidP="00F47927">
            <w:pPr>
              <w:pStyle w:val="Tabletext8pt"/>
              <w:rPr>
                <w:rFonts w:eastAsia="Times New Roman"/>
              </w:rPr>
            </w:pPr>
            <w:r w:rsidRPr="00A55335">
              <w:rPr>
                <w:rFonts w:eastAsia="Times New Roman"/>
              </w:rPr>
              <w:t>The evidence is very uncertain about the effect of homeopathy on</w:t>
            </w:r>
            <w:r w:rsidR="00DD505D" w:rsidRPr="00A55335">
              <w:rPr>
                <w:rFonts w:eastAsia="Times New Roman"/>
              </w:rPr>
              <w:t xml:space="preserve"> symptom severity in people with </w:t>
            </w:r>
            <w:r w:rsidR="006D4E25" w:rsidRPr="00A55335">
              <w:rPr>
                <w:rFonts w:eastAsia="Times New Roman"/>
              </w:rPr>
              <w:t>menopausal symptoms or complaints.</w:t>
            </w:r>
            <w:r w:rsidR="00FF12B6" w:rsidRPr="00A55335">
              <w:t xml:space="preserve"> **</w:t>
            </w:r>
          </w:p>
        </w:tc>
      </w:tr>
      <w:tr w:rsidR="004B2271" w:rsidRPr="00A55335" w14:paraId="292A41C1" w14:textId="77777777" w:rsidTr="00FD65D9">
        <w:trPr>
          <w:cantSplit/>
        </w:trPr>
        <w:tc>
          <w:tcPr>
            <w:tcW w:w="873" w:type="pct"/>
            <w:tcBorders>
              <w:top w:val="single" w:sz="6" w:space="0" w:color="000000"/>
              <w:left w:val="nil"/>
              <w:bottom w:val="single" w:sz="6" w:space="0" w:color="000000"/>
              <w:right w:val="nil"/>
            </w:tcBorders>
            <w:vAlign w:val="center"/>
          </w:tcPr>
          <w:p w14:paraId="346DEA15" w14:textId="086657C8" w:rsidR="004B2271" w:rsidRPr="00A55335" w:rsidRDefault="004B2271" w:rsidP="004B2271">
            <w:pPr>
              <w:pStyle w:val="Tabletext8pt"/>
            </w:pPr>
            <w:bookmarkStart w:id="451" w:name="_Hlk153964829"/>
            <w:r w:rsidRPr="00A55335">
              <w:t xml:space="preserve">Hot flush severity </w:t>
            </w:r>
            <w:r w:rsidRPr="00A55335">
              <w:br/>
              <w:t xml:space="preserve">assessed </w:t>
            </w:r>
            <w:proofErr w:type="gramStart"/>
            <w:r w:rsidRPr="00A55335">
              <w:t>with:</w:t>
            </w:r>
            <w:proofErr w:type="gramEnd"/>
            <w:r w:rsidRPr="00A55335">
              <w:t xml:space="preserve"> hot flush severity score</w:t>
            </w:r>
            <w:r w:rsidR="005D66C5" w:rsidRPr="00A55335">
              <w:t xml:space="preserve"> </w:t>
            </w:r>
            <w:r w:rsidR="00F30B67" w:rsidRPr="00A55335">
              <w:t xml:space="preserve">Scale from: </w:t>
            </w:r>
            <w:r w:rsidR="00D53AF0" w:rsidRPr="00A55335">
              <w:t xml:space="preserve">NR </w:t>
            </w:r>
            <w:r w:rsidR="005D66C5" w:rsidRPr="00A55335">
              <w:t>(higher is worse)</w:t>
            </w:r>
            <w:r w:rsidRPr="00A55335">
              <w:br/>
              <w:t>follow-up: 12 weeks</w:t>
            </w:r>
          </w:p>
        </w:tc>
        <w:tc>
          <w:tcPr>
            <w:tcW w:w="729" w:type="pct"/>
            <w:tcBorders>
              <w:top w:val="single" w:sz="6" w:space="0" w:color="000000"/>
              <w:left w:val="nil"/>
              <w:bottom w:val="single" w:sz="6" w:space="0" w:color="000000"/>
              <w:right w:val="nil"/>
            </w:tcBorders>
            <w:shd w:val="clear" w:color="auto" w:fill="EBEBEB"/>
            <w:vAlign w:val="center"/>
          </w:tcPr>
          <w:p w14:paraId="77B9F4E0" w14:textId="163C6BBD" w:rsidR="004B2271" w:rsidRPr="00A55335" w:rsidRDefault="004B2271" w:rsidP="0068045E">
            <w:pPr>
              <w:pStyle w:val="Tabletext8pt"/>
              <w:jc w:val="center"/>
            </w:pPr>
            <w:r w:rsidRPr="00A55335">
              <w:t>The mean hot flush severity</w:t>
            </w:r>
            <w:r w:rsidR="00F93C79" w:rsidRPr="00A55335">
              <w:t xml:space="preserve"> score</w:t>
            </w:r>
            <w:r w:rsidRPr="00A55335">
              <w:t xml:space="preserve"> was </w:t>
            </w:r>
            <w:r w:rsidRPr="00A55335">
              <w:rPr>
                <w:rStyle w:val="Strong"/>
              </w:rPr>
              <w:t>113</w:t>
            </w:r>
          </w:p>
        </w:tc>
        <w:tc>
          <w:tcPr>
            <w:tcW w:w="729" w:type="pct"/>
            <w:tcBorders>
              <w:top w:val="single" w:sz="6" w:space="0" w:color="000000"/>
              <w:left w:val="nil"/>
              <w:bottom w:val="single" w:sz="6" w:space="0" w:color="000000"/>
              <w:right w:val="nil"/>
            </w:tcBorders>
            <w:shd w:val="clear" w:color="auto" w:fill="EBEBEB"/>
          </w:tcPr>
          <w:p w14:paraId="33F43FFE" w14:textId="60B449A0" w:rsidR="004B2271" w:rsidRPr="00A55335" w:rsidRDefault="004B2271" w:rsidP="0068045E">
            <w:pPr>
              <w:pStyle w:val="Tabletext8pt"/>
              <w:jc w:val="center"/>
              <w:rPr>
                <w:b/>
                <w:bCs/>
              </w:rPr>
            </w:pPr>
            <w:r w:rsidRPr="00A55335">
              <w:t xml:space="preserve">MD </w:t>
            </w:r>
            <w:r w:rsidRPr="00A55335">
              <w:rPr>
                <w:rStyle w:val="Strong"/>
              </w:rPr>
              <w:t>30.7 lower</w:t>
            </w:r>
            <w:r w:rsidRPr="00A55335">
              <w:br/>
              <w:t>(</w:t>
            </w:r>
            <w:r w:rsidR="00F93C79" w:rsidRPr="00A55335">
              <w:t>57.66</w:t>
            </w:r>
            <w:r w:rsidRPr="00A55335">
              <w:t xml:space="preserve"> lower to </w:t>
            </w:r>
            <w:r w:rsidR="00F93C79" w:rsidRPr="00A55335">
              <w:t>3.74</w:t>
            </w:r>
            <w:r w:rsidRPr="00A55335">
              <w:t xml:space="preserve"> lower)</w:t>
            </w:r>
          </w:p>
        </w:tc>
        <w:tc>
          <w:tcPr>
            <w:tcW w:w="437" w:type="pct"/>
            <w:tcBorders>
              <w:top w:val="single" w:sz="6" w:space="0" w:color="000000"/>
              <w:left w:val="nil"/>
              <w:bottom w:val="single" w:sz="6" w:space="0" w:color="000000"/>
              <w:right w:val="nil"/>
            </w:tcBorders>
            <w:vAlign w:val="center"/>
          </w:tcPr>
          <w:p w14:paraId="3C47CE9D" w14:textId="2C1124AF" w:rsidR="004B2271" w:rsidRPr="00A55335" w:rsidRDefault="004B2271" w:rsidP="0068045E">
            <w:pPr>
              <w:pStyle w:val="Tabletext8pt"/>
              <w:jc w:val="center"/>
            </w:pPr>
            <w:r w:rsidRPr="00A55335">
              <w:t>-</w:t>
            </w:r>
          </w:p>
        </w:tc>
        <w:tc>
          <w:tcPr>
            <w:tcW w:w="583" w:type="pct"/>
            <w:tcBorders>
              <w:top w:val="single" w:sz="6" w:space="0" w:color="000000"/>
              <w:left w:val="nil"/>
              <w:bottom w:val="single" w:sz="6" w:space="0" w:color="000000"/>
              <w:right w:val="nil"/>
            </w:tcBorders>
            <w:vAlign w:val="center"/>
          </w:tcPr>
          <w:p w14:paraId="29CE209F" w14:textId="7F796A45" w:rsidR="004B2271" w:rsidRPr="00A55335" w:rsidRDefault="002C3E3B" w:rsidP="0068045E">
            <w:pPr>
              <w:pStyle w:val="Tabletext8pt"/>
              <w:jc w:val="center"/>
            </w:pPr>
            <w:r w:rsidRPr="00A55335">
              <w:t>108</w:t>
            </w:r>
            <w:r w:rsidR="004B2271" w:rsidRPr="00A55335">
              <w:br/>
              <w:t xml:space="preserve">(1 RCT) </w:t>
            </w:r>
            <w:r w:rsidR="004B2271" w:rsidRPr="00A55335">
              <w:rPr>
                <w:rStyle w:val="FootnoteReference"/>
              </w:rPr>
              <w:t>††</w:t>
            </w:r>
          </w:p>
        </w:tc>
        <w:tc>
          <w:tcPr>
            <w:tcW w:w="581" w:type="pct"/>
            <w:tcBorders>
              <w:top w:val="single" w:sz="6" w:space="0" w:color="000000"/>
              <w:left w:val="nil"/>
              <w:bottom w:val="single" w:sz="6" w:space="0" w:color="000000"/>
              <w:right w:val="nil"/>
            </w:tcBorders>
            <w:vAlign w:val="center"/>
          </w:tcPr>
          <w:p w14:paraId="63C64774" w14:textId="2C6C94FB" w:rsidR="004B2271" w:rsidRPr="00A55335" w:rsidRDefault="004B2271" w:rsidP="008D0C2A">
            <w:pPr>
              <w:pStyle w:val="Tabletext8pt"/>
              <w:jc w:val="center"/>
            </w:pPr>
            <w:r w:rsidRPr="00A55335">
              <w:rPr>
                <w:rFonts w:ascii="Cambria Math" w:hAnsi="Cambria Math" w:cs="Cambria Math"/>
              </w:rPr>
              <w:t>⨁</w:t>
            </w:r>
            <w:r w:rsidR="00927F79" w:rsidRPr="00A55335">
              <w:rPr>
                <w:rFonts w:ascii="Cambria Math" w:hAnsi="Cambria Math" w:cs="Cambria Math"/>
              </w:rPr>
              <w:t>◯◯</w:t>
            </w:r>
            <w:r w:rsidRPr="00A55335">
              <w:rPr>
                <w:rFonts w:ascii="Cambria Math" w:hAnsi="Cambria Math" w:cs="Cambria Math"/>
              </w:rPr>
              <w:t>◯</w:t>
            </w:r>
            <w:r w:rsidRPr="00A55335">
              <w:br/>
            </w:r>
            <w:r w:rsidR="00927F79" w:rsidRPr="00A55335">
              <w:rPr>
                <w:rStyle w:val="QualitytextChar"/>
              </w:rPr>
              <w:t>Very Low</w:t>
            </w:r>
            <w:r w:rsidR="00927F79" w:rsidRPr="00A55335">
              <w:t xml:space="preserve"> </w:t>
            </w:r>
            <w:proofErr w:type="spellStart"/>
            <w:proofErr w:type="gramStart"/>
            <w:r w:rsidR="00473202" w:rsidRPr="00A55335">
              <w:rPr>
                <w:rFonts w:cs="Montserrat"/>
                <w:color w:val="000000"/>
                <w:vertAlign w:val="superscript"/>
              </w:rPr>
              <w:t>c,f</w:t>
            </w:r>
            <w:proofErr w:type="gramEnd"/>
            <w:r w:rsidR="00473202" w:rsidRPr="00A55335">
              <w:rPr>
                <w:rFonts w:cs="Montserrat"/>
                <w:color w:val="000000"/>
                <w:vertAlign w:val="superscript"/>
              </w:rPr>
              <w:t>,g,h,i</w:t>
            </w:r>
            <w:proofErr w:type="spellEnd"/>
          </w:p>
        </w:tc>
        <w:tc>
          <w:tcPr>
            <w:tcW w:w="1068" w:type="pct"/>
            <w:tcBorders>
              <w:top w:val="single" w:sz="6" w:space="0" w:color="000000"/>
              <w:left w:val="nil"/>
              <w:bottom w:val="single" w:sz="6" w:space="0" w:color="000000"/>
              <w:right w:val="nil"/>
            </w:tcBorders>
            <w:vAlign w:val="center"/>
          </w:tcPr>
          <w:p w14:paraId="48B02939" w14:textId="107E79B1" w:rsidR="004B2271" w:rsidRPr="00A55335" w:rsidRDefault="00927F79" w:rsidP="004B2271">
            <w:pPr>
              <w:pStyle w:val="Tabletext8pt"/>
            </w:pPr>
            <w:r w:rsidRPr="00A55335">
              <w:t>The evidence is very uncertain about the effect of h</w:t>
            </w:r>
            <w:r w:rsidR="004B2271" w:rsidRPr="00A55335">
              <w:t xml:space="preserve">omeopathy </w:t>
            </w:r>
            <w:r w:rsidRPr="00A55335">
              <w:t>on</w:t>
            </w:r>
            <w:r w:rsidR="004B2271" w:rsidRPr="00A55335">
              <w:t xml:space="preserve"> hot flush severity in in people with menopausal symptoms or complaints.</w:t>
            </w:r>
            <w:r w:rsidR="00F1298C" w:rsidRPr="00A55335">
              <w:t xml:space="preserve"> </w:t>
            </w:r>
            <w:r w:rsidR="000D7F0E" w:rsidRPr="00A55335">
              <w:rPr>
                <w:rFonts w:cs="Montserrat"/>
                <w:color w:val="000000"/>
              </w:rPr>
              <w:t>#</w:t>
            </w:r>
          </w:p>
        </w:tc>
      </w:tr>
      <w:bookmarkEnd w:id="451"/>
      <w:tr w:rsidR="00FD65D9" w:rsidRPr="00A55335" w14:paraId="20B28CC8" w14:textId="77777777" w:rsidTr="00FD65D9">
        <w:trPr>
          <w:cantSplit/>
        </w:trPr>
        <w:tc>
          <w:tcPr>
            <w:tcW w:w="873" w:type="pct"/>
            <w:tcBorders>
              <w:top w:val="single" w:sz="6" w:space="0" w:color="000000"/>
              <w:left w:val="nil"/>
              <w:bottom w:val="single" w:sz="6" w:space="0" w:color="000000"/>
              <w:right w:val="nil"/>
            </w:tcBorders>
            <w:vAlign w:val="center"/>
            <w:hideMark/>
          </w:tcPr>
          <w:p w14:paraId="58A578FD" w14:textId="652336CF" w:rsidR="00FD65D9" w:rsidRPr="00A55335" w:rsidRDefault="00FD65D9" w:rsidP="00FD65D9">
            <w:pPr>
              <w:pStyle w:val="Tabletext8pt"/>
            </w:pPr>
            <w:r w:rsidRPr="00A55335">
              <w:t>Health-related quality of life</w:t>
            </w:r>
            <w:r w:rsidRPr="00A55335">
              <w:br/>
              <w:t>assessed with: HFRDIS</w:t>
            </w:r>
            <w:r w:rsidRPr="00A55335">
              <w:br/>
              <w:t>Scale from: 0 to 10 (higher is worse)</w:t>
            </w:r>
            <w:r w:rsidRPr="00A55335">
              <w:br/>
              <w:t>follow-up: 12 weeks</w:t>
            </w:r>
          </w:p>
        </w:tc>
        <w:tc>
          <w:tcPr>
            <w:tcW w:w="729" w:type="pct"/>
            <w:tcBorders>
              <w:top w:val="single" w:sz="6" w:space="0" w:color="000000"/>
              <w:left w:val="nil"/>
              <w:bottom w:val="single" w:sz="6" w:space="0" w:color="000000"/>
              <w:right w:val="nil"/>
            </w:tcBorders>
            <w:shd w:val="clear" w:color="auto" w:fill="EBEBEB"/>
            <w:vAlign w:val="center"/>
            <w:hideMark/>
          </w:tcPr>
          <w:p w14:paraId="5F1F785F" w14:textId="3D8B0048" w:rsidR="00FD65D9" w:rsidRPr="00A55335" w:rsidRDefault="00FD65D9" w:rsidP="00FD65D9">
            <w:pPr>
              <w:pStyle w:val="Tabletext8pt"/>
              <w:jc w:val="center"/>
            </w:pPr>
            <w:r w:rsidRPr="00A55335">
              <w:t xml:space="preserve">The mean change in HFRDIS was </w:t>
            </w:r>
            <w:r w:rsidRPr="00A55335">
              <w:rPr>
                <w:rStyle w:val="Strong"/>
              </w:rPr>
              <w:t>2.0</w:t>
            </w:r>
          </w:p>
        </w:tc>
        <w:tc>
          <w:tcPr>
            <w:tcW w:w="729" w:type="pct"/>
            <w:tcBorders>
              <w:top w:val="single" w:sz="6" w:space="0" w:color="000000"/>
              <w:left w:val="nil"/>
              <w:bottom w:val="single" w:sz="6" w:space="0" w:color="000000"/>
              <w:right w:val="nil"/>
            </w:tcBorders>
            <w:shd w:val="clear" w:color="auto" w:fill="EBEBEB"/>
            <w:hideMark/>
          </w:tcPr>
          <w:p w14:paraId="5559B505" w14:textId="093BB60B" w:rsidR="00FD65D9" w:rsidRPr="00A55335" w:rsidRDefault="00FD65D9" w:rsidP="00FD65D9">
            <w:pPr>
              <w:pStyle w:val="Tabletext8pt"/>
              <w:jc w:val="center"/>
            </w:pPr>
            <w:r w:rsidRPr="00A55335">
              <w:t>MD</w:t>
            </w:r>
            <w:r w:rsidRPr="00A55335">
              <w:rPr>
                <w:rStyle w:val="Strong"/>
              </w:rPr>
              <w:t xml:space="preserve"> 0.30 lower</w:t>
            </w:r>
            <w:r w:rsidRPr="00A55335">
              <w:br/>
            </w:r>
            <w:r w:rsidRPr="00A55335">
              <w:rPr>
                <w:rFonts w:cs="Montserrat"/>
                <w:color w:val="000000"/>
              </w:rPr>
              <w:t xml:space="preserve">(0.65 lower to 1.25 higher) </w:t>
            </w:r>
          </w:p>
        </w:tc>
        <w:tc>
          <w:tcPr>
            <w:tcW w:w="437" w:type="pct"/>
            <w:tcBorders>
              <w:top w:val="single" w:sz="6" w:space="0" w:color="000000"/>
              <w:left w:val="nil"/>
              <w:bottom w:val="single" w:sz="6" w:space="0" w:color="000000"/>
              <w:right w:val="nil"/>
            </w:tcBorders>
            <w:vAlign w:val="center"/>
            <w:hideMark/>
          </w:tcPr>
          <w:p w14:paraId="6D8258DB" w14:textId="77777777" w:rsidR="00FD65D9" w:rsidRPr="00A55335" w:rsidRDefault="00FD65D9" w:rsidP="00FD65D9">
            <w:pPr>
              <w:pStyle w:val="Tabletext8pt"/>
              <w:jc w:val="center"/>
            </w:pPr>
            <w:r w:rsidRPr="00A55335">
              <w:t>-</w:t>
            </w:r>
          </w:p>
        </w:tc>
        <w:tc>
          <w:tcPr>
            <w:tcW w:w="583" w:type="pct"/>
            <w:tcBorders>
              <w:top w:val="single" w:sz="6" w:space="0" w:color="000000"/>
              <w:left w:val="nil"/>
              <w:bottom w:val="single" w:sz="6" w:space="0" w:color="000000"/>
              <w:right w:val="nil"/>
            </w:tcBorders>
            <w:vAlign w:val="center"/>
            <w:hideMark/>
          </w:tcPr>
          <w:p w14:paraId="3C97B3CF" w14:textId="21D888A8" w:rsidR="00FD65D9" w:rsidRPr="00A55335" w:rsidRDefault="00FD65D9" w:rsidP="00FD65D9">
            <w:pPr>
              <w:pStyle w:val="Tabletext8pt"/>
              <w:jc w:val="center"/>
            </w:pPr>
            <w:r w:rsidRPr="00A55335">
              <w:t>108</w:t>
            </w:r>
            <w:r w:rsidRPr="00A55335">
              <w:br/>
              <w:t xml:space="preserve">(1 RCT) </w:t>
            </w:r>
            <w:r w:rsidRPr="00A55335">
              <w:rPr>
                <w:rStyle w:val="FootnoteReference"/>
              </w:rPr>
              <w:t>‡</w:t>
            </w:r>
          </w:p>
        </w:tc>
        <w:tc>
          <w:tcPr>
            <w:tcW w:w="581" w:type="pct"/>
            <w:tcBorders>
              <w:top w:val="single" w:sz="6" w:space="0" w:color="000000"/>
              <w:left w:val="nil"/>
              <w:bottom w:val="single" w:sz="6" w:space="0" w:color="000000"/>
              <w:right w:val="nil"/>
            </w:tcBorders>
            <w:vAlign w:val="center"/>
            <w:hideMark/>
          </w:tcPr>
          <w:p w14:paraId="22D9D58E" w14:textId="378D3A34" w:rsidR="00FD65D9" w:rsidRPr="00A55335" w:rsidRDefault="00FD65D9" w:rsidP="00FD65D9">
            <w:pPr>
              <w:pStyle w:val="Tabletext8pt"/>
              <w:jc w:val="center"/>
              <w:rPr>
                <w:rFonts w:eastAsia="Times New Roman"/>
              </w:rPr>
            </w:pPr>
            <w:r w:rsidRPr="00A55335">
              <w:rPr>
                <w:rFonts w:ascii="Cambria Math" w:eastAsia="Cambria Math" w:hAnsi="Cambria Math" w:cs="Cambria Math"/>
                <w:color w:val="000000"/>
              </w:rPr>
              <w:t>⨁⨁</w:t>
            </w:r>
            <w:r w:rsidR="00D546D9" w:rsidRPr="00A55335">
              <w:rPr>
                <w:rFonts w:ascii="Cambria Math" w:eastAsia="Cambria Math" w:hAnsi="Cambria Math" w:cs="Cambria Math"/>
                <w:color w:val="000000"/>
              </w:rPr>
              <w:t>◯</w:t>
            </w:r>
            <w:r w:rsidRPr="00A55335">
              <w:rPr>
                <w:rFonts w:ascii="Cambria Math" w:eastAsia="Cambria Math" w:hAnsi="Cambria Math" w:cs="Cambria Math"/>
                <w:color w:val="000000"/>
              </w:rPr>
              <w:t>◯</w:t>
            </w:r>
            <w:r w:rsidRPr="00A55335">
              <w:rPr>
                <w:rFonts w:cs="Montserrat"/>
                <w:color w:val="000000"/>
              </w:rPr>
              <w:br/>
            </w:r>
            <w:r w:rsidR="002479DE" w:rsidRPr="00A55335">
              <w:rPr>
                <w:rFonts w:cs="Montserrat"/>
                <w:smallCaps/>
                <w:color w:val="000000"/>
              </w:rPr>
              <w:t>LOW</w:t>
            </w:r>
            <w:r w:rsidR="002479DE" w:rsidRPr="00A55335">
              <w:rPr>
                <w:rFonts w:cs="Montserrat"/>
                <w:color w:val="000000"/>
              </w:rPr>
              <w:t xml:space="preserve"> </w:t>
            </w:r>
            <w:proofErr w:type="spellStart"/>
            <w:proofErr w:type="gramStart"/>
            <w:r w:rsidRPr="00A55335">
              <w:rPr>
                <w:rFonts w:cs="Montserrat"/>
                <w:color w:val="000000"/>
                <w:vertAlign w:val="superscript"/>
              </w:rPr>
              <w:t>c</w:t>
            </w:r>
            <w:r w:rsidR="00B54022">
              <w:rPr>
                <w:rFonts w:cs="Montserrat"/>
                <w:color w:val="000000"/>
                <w:vertAlign w:val="superscript"/>
              </w:rPr>
              <w:t>,</w:t>
            </w:r>
            <w:r w:rsidRPr="00A55335">
              <w:rPr>
                <w:rFonts w:cs="Montserrat"/>
                <w:color w:val="000000"/>
                <w:vertAlign w:val="superscript"/>
              </w:rPr>
              <w:t>d</w:t>
            </w:r>
            <w:proofErr w:type="gramEnd"/>
            <w:r w:rsidR="0042464C">
              <w:rPr>
                <w:rFonts w:cs="Montserrat"/>
                <w:color w:val="000000"/>
                <w:vertAlign w:val="superscript"/>
              </w:rPr>
              <w:t>,</w:t>
            </w:r>
            <w:r w:rsidRPr="00A55335">
              <w:rPr>
                <w:rFonts w:cs="Montserrat"/>
                <w:color w:val="000000"/>
                <w:vertAlign w:val="superscript"/>
              </w:rPr>
              <w:t>f,g</w:t>
            </w:r>
            <w:r w:rsidR="00D546D9" w:rsidRPr="00A55335">
              <w:rPr>
                <w:rFonts w:cs="Montserrat"/>
                <w:color w:val="000000"/>
                <w:vertAlign w:val="superscript"/>
              </w:rPr>
              <w:t>,i</w:t>
            </w:r>
            <w:proofErr w:type="spellEnd"/>
          </w:p>
        </w:tc>
        <w:tc>
          <w:tcPr>
            <w:tcW w:w="1068" w:type="pct"/>
            <w:tcBorders>
              <w:top w:val="single" w:sz="6" w:space="0" w:color="000000"/>
              <w:left w:val="nil"/>
              <w:bottom w:val="single" w:sz="6" w:space="0" w:color="000000"/>
              <w:right w:val="nil"/>
            </w:tcBorders>
            <w:vAlign w:val="center"/>
            <w:hideMark/>
          </w:tcPr>
          <w:p w14:paraId="19E27BC2" w14:textId="22941CF1" w:rsidR="00FD65D9" w:rsidRPr="00A55335" w:rsidRDefault="002128CA" w:rsidP="00FD65D9">
            <w:pPr>
              <w:pStyle w:val="Tabletext8pt"/>
              <w:rPr>
                <w:rFonts w:eastAsia="Times New Roman"/>
              </w:rPr>
            </w:pPr>
            <w:r w:rsidRPr="00A55335">
              <w:rPr>
                <w:rFonts w:eastAsia="Times New Roman"/>
              </w:rPr>
              <w:t>H</w:t>
            </w:r>
            <w:r w:rsidR="00FD65D9" w:rsidRPr="00A55335">
              <w:rPr>
                <w:rFonts w:eastAsia="Times New Roman"/>
              </w:rPr>
              <w:t xml:space="preserve">omeopathy </w:t>
            </w:r>
            <w:r w:rsidR="00D546D9" w:rsidRPr="00A55335">
              <w:rPr>
                <w:rFonts w:eastAsia="Times New Roman"/>
              </w:rPr>
              <w:t xml:space="preserve">may </w:t>
            </w:r>
            <w:r w:rsidR="00FD65D9" w:rsidRPr="00A55335">
              <w:rPr>
                <w:rFonts w:eastAsia="Times New Roman"/>
              </w:rPr>
              <w:t xml:space="preserve">result in little to no difference in quality of life in people with menopausal symptoms or complaints. </w:t>
            </w:r>
            <w:r w:rsidR="00F955BF" w:rsidRPr="00A55335">
              <w:rPr>
                <w:rFonts w:eastAsia="Times New Roman"/>
              </w:rPr>
              <w:t>##</w:t>
            </w:r>
          </w:p>
        </w:tc>
      </w:tr>
      <w:tr w:rsidR="00FD65D9" w:rsidRPr="00A55335" w14:paraId="4365D9A8" w14:textId="77777777" w:rsidTr="00FD65D9">
        <w:trPr>
          <w:cantSplit/>
        </w:trPr>
        <w:tc>
          <w:tcPr>
            <w:tcW w:w="873" w:type="pct"/>
            <w:tcBorders>
              <w:top w:val="single" w:sz="6" w:space="0" w:color="000000"/>
              <w:left w:val="nil"/>
              <w:bottom w:val="single" w:sz="6" w:space="0" w:color="000000"/>
              <w:right w:val="nil"/>
            </w:tcBorders>
            <w:vAlign w:val="center"/>
            <w:hideMark/>
          </w:tcPr>
          <w:p w14:paraId="649272B8" w14:textId="29721134" w:rsidR="00FD65D9" w:rsidRPr="00A55335" w:rsidRDefault="00FD65D9" w:rsidP="00FD65D9">
            <w:pPr>
              <w:pStyle w:val="Tabletext8pt"/>
            </w:pPr>
            <w:r w:rsidRPr="00A55335">
              <w:t xml:space="preserve">Hot flush frequency </w:t>
            </w:r>
            <w:r w:rsidR="00F955BF" w:rsidRPr="00A55335">
              <w:t>–</w:t>
            </w:r>
            <w:r w:rsidRPr="00A55335">
              <w:t xml:space="preserve"> not reported</w:t>
            </w:r>
          </w:p>
        </w:tc>
        <w:tc>
          <w:tcPr>
            <w:tcW w:w="729" w:type="pct"/>
            <w:tcBorders>
              <w:top w:val="single" w:sz="6" w:space="0" w:color="000000"/>
              <w:left w:val="nil"/>
              <w:bottom w:val="single" w:sz="6" w:space="0" w:color="000000"/>
              <w:right w:val="nil"/>
            </w:tcBorders>
            <w:shd w:val="clear" w:color="auto" w:fill="EBEBEB"/>
            <w:vAlign w:val="center"/>
            <w:hideMark/>
          </w:tcPr>
          <w:p w14:paraId="6147EB36" w14:textId="77777777" w:rsidR="00FD65D9" w:rsidRPr="00A55335" w:rsidRDefault="00FD65D9" w:rsidP="00FD65D9">
            <w:pPr>
              <w:pStyle w:val="Tabletext8pt"/>
              <w:jc w:val="center"/>
            </w:pPr>
            <w:r w:rsidRPr="00A55335">
              <w:t>-</w:t>
            </w:r>
          </w:p>
        </w:tc>
        <w:tc>
          <w:tcPr>
            <w:tcW w:w="729" w:type="pct"/>
            <w:tcBorders>
              <w:top w:val="single" w:sz="6" w:space="0" w:color="000000"/>
              <w:left w:val="nil"/>
              <w:bottom w:val="single" w:sz="6" w:space="0" w:color="000000"/>
              <w:right w:val="nil"/>
            </w:tcBorders>
            <w:shd w:val="clear" w:color="auto" w:fill="EBEBEB"/>
            <w:hideMark/>
          </w:tcPr>
          <w:p w14:paraId="1F1765D0" w14:textId="77777777" w:rsidR="00FD65D9" w:rsidRPr="00A55335" w:rsidRDefault="00FD65D9" w:rsidP="00FD65D9">
            <w:pPr>
              <w:pStyle w:val="Tabletext8pt"/>
              <w:jc w:val="center"/>
            </w:pPr>
            <w:r w:rsidRPr="00A55335">
              <w:t>-</w:t>
            </w:r>
          </w:p>
        </w:tc>
        <w:tc>
          <w:tcPr>
            <w:tcW w:w="437" w:type="pct"/>
            <w:tcBorders>
              <w:top w:val="single" w:sz="6" w:space="0" w:color="000000"/>
              <w:left w:val="nil"/>
              <w:bottom w:val="single" w:sz="6" w:space="0" w:color="000000"/>
              <w:right w:val="nil"/>
            </w:tcBorders>
            <w:vAlign w:val="center"/>
            <w:hideMark/>
          </w:tcPr>
          <w:p w14:paraId="5FA9A551" w14:textId="77777777" w:rsidR="00FD65D9" w:rsidRPr="00A55335" w:rsidRDefault="00FD65D9" w:rsidP="00FD65D9">
            <w:pPr>
              <w:pStyle w:val="Tabletext8pt"/>
              <w:jc w:val="center"/>
            </w:pPr>
            <w:r w:rsidRPr="00A55335">
              <w:t>-</w:t>
            </w:r>
          </w:p>
        </w:tc>
        <w:tc>
          <w:tcPr>
            <w:tcW w:w="583" w:type="pct"/>
            <w:tcBorders>
              <w:top w:val="single" w:sz="6" w:space="0" w:color="000000"/>
              <w:left w:val="nil"/>
              <w:bottom w:val="single" w:sz="6" w:space="0" w:color="000000"/>
              <w:right w:val="nil"/>
            </w:tcBorders>
            <w:vAlign w:val="center"/>
            <w:hideMark/>
          </w:tcPr>
          <w:p w14:paraId="0A37FC94" w14:textId="48A57459" w:rsidR="00FD65D9" w:rsidRPr="00A55335" w:rsidRDefault="00FD65D9" w:rsidP="00FD65D9">
            <w:pPr>
              <w:pStyle w:val="Tabletext8pt"/>
              <w:jc w:val="center"/>
            </w:pPr>
            <w:r w:rsidRPr="00A55335">
              <w:t>(0 studies)</w:t>
            </w:r>
          </w:p>
        </w:tc>
        <w:tc>
          <w:tcPr>
            <w:tcW w:w="581" w:type="pct"/>
            <w:tcBorders>
              <w:top w:val="single" w:sz="6" w:space="0" w:color="000000"/>
              <w:left w:val="nil"/>
              <w:bottom w:val="single" w:sz="6" w:space="0" w:color="000000"/>
              <w:right w:val="nil"/>
            </w:tcBorders>
            <w:vAlign w:val="center"/>
            <w:hideMark/>
          </w:tcPr>
          <w:p w14:paraId="20E17FAD" w14:textId="77777777" w:rsidR="00FD65D9" w:rsidRPr="00A55335" w:rsidRDefault="00FD65D9" w:rsidP="00FD65D9">
            <w:pPr>
              <w:pStyle w:val="Qualitytext"/>
            </w:pPr>
            <w:r w:rsidRPr="00A55335">
              <w:t>-</w:t>
            </w:r>
          </w:p>
        </w:tc>
        <w:tc>
          <w:tcPr>
            <w:tcW w:w="1068" w:type="pct"/>
            <w:tcBorders>
              <w:top w:val="single" w:sz="6" w:space="0" w:color="000000"/>
              <w:left w:val="nil"/>
              <w:bottom w:val="single" w:sz="6" w:space="0" w:color="000000"/>
              <w:right w:val="nil"/>
            </w:tcBorders>
            <w:vAlign w:val="center"/>
            <w:hideMark/>
          </w:tcPr>
          <w:p w14:paraId="05EBD563" w14:textId="4B5AB435" w:rsidR="00FD65D9" w:rsidRPr="00A55335" w:rsidRDefault="00FD65D9" w:rsidP="00FD65D9">
            <w:pPr>
              <w:pStyle w:val="Tabletext8pt"/>
              <w:rPr>
                <w:rFonts w:eastAsia="Times New Roman"/>
              </w:rPr>
            </w:pPr>
            <w:r w:rsidRPr="00A55335">
              <w:rPr>
                <w:szCs w:val="18"/>
              </w:rPr>
              <w:t xml:space="preserve">The effect of homeopathy on hot flush frequency in people with </w:t>
            </w:r>
            <w:r w:rsidRPr="00A55335">
              <w:rPr>
                <w:rFonts w:eastAsia="Times New Roman"/>
              </w:rPr>
              <w:t>menopausal symptoms or complaints</w:t>
            </w:r>
            <w:r w:rsidRPr="00A55335">
              <w:rPr>
                <w:szCs w:val="18"/>
              </w:rPr>
              <w:t xml:space="preserve"> is unknown</w:t>
            </w:r>
          </w:p>
        </w:tc>
      </w:tr>
      <w:tr w:rsidR="00FD65D9" w:rsidRPr="00A55335" w14:paraId="4C606FFF" w14:textId="77777777" w:rsidTr="00FD65D9">
        <w:trPr>
          <w:cantSplit/>
        </w:trPr>
        <w:tc>
          <w:tcPr>
            <w:tcW w:w="873" w:type="pct"/>
            <w:tcBorders>
              <w:top w:val="single" w:sz="6" w:space="0" w:color="000000"/>
              <w:left w:val="nil"/>
              <w:bottom w:val="single" w:sz="6" w:space="0" w:color="000000"/>
              <w:right w:val="nil"/>
            </w:tcBorders>
            <w:vAlign w:val="center"/>
            <w:hideMark/>
          </w:tcPr>
          <w:p w14:paraId="50F59BD7" w14:textId="14ECB765" w:rsidR="00FD65D9" w:rsidRPr="00A55335" w:rsidRDefault="00FD65D9" w:rsidP="00FD65D9">
            <w:pPr>
              <w:pStyle w:val="Tabletext8pt"/>
            </w:pPr>
            <w:r w:rsidRPr="00A55335">
              <w:t xml:space="preserve">Night sweat frequency </w:t>
            </w:r>
            <w:r w:rsidR="00F955BF" w:rsidRPr="00A55335">
              <w:t>–</w:t>
            </w:r>
            <w:r w:rsidRPr="00A55335">
              <w:t xml:space="preserve"> not reported</w:t>
            </w:r>
          </w:p>
        </w:tc>
        <w:tc>
          <w:tcPr>
            <w:tcW w:w="729" w:type="pct"/>
            <w:tcBorders>
              <w:top w:val="single" w:sz="6" w:space="0" w:color="000000"/>
              <w:left w:val="nil"/>
              <w:bottom w:val="single" w:sz="6" w:space="0" w:color="000000"/>
              <w:right w:val="nil"/>
            </w:tcBorders>
            <w:shd w:val="clear" w:color="auto" w:fill="EBEBEB"/>
            <w:vAlign w:val="center"/>
            <w:hideMark/>
          </w:tcPr>
          <w:p w14:paraId="7968636A" w14:textId="77777777" w:rsidR="00FD65D9" w:rsidRPr="00A55335" w:rsidRDefault="00FD65D9" w:rsidP="00FD65D9">
            <w:pPr>
              <w:pStyle w:val="Tabletext8pt"/>
              <w:jc w:val="center"/>
            </w:pPr>
            <w:r w:rsidRPr="00A55335">
              <w:t>-</w:t>
            </w:r>
          </w:p>
        </w:tc>
        <w:tc>
          <w:tcPr>
            <w:tcW w:w="729" w:type="pct"/>
            <w:tcBorders>
              <w:top w:val="single" w:sz="6" w:space="0" w:color="000000"/>
              <w:left w:val="nil"/>
              <w:bottom w:val="single" w:sz="6" w:space="0" w:color="000000"/>
              <w:right w:val="nil"/>
            </w:tcBorders>
            <w:shd w:val="clear" w:color="auto" w:fill="EBEBEB"/>
            <w:hideMark/>
          </w:tcPr>
          <w:p w14:paraId="34BAD152" w14:textId="77777777" w:rsidR="00FD65D9" w:rsidRPr="00A55335" w:rsidRDefault="00FD65D9" w:rsidP="00FD65D9">
            <w:pPr>
              <w:pStyle w:val="Tabletext8pt"/>
              <w:jc w:val="center"/>
            </w:pPr>
            <w:r w:rsidRPr="00A55335">
              <w:t>-</w:t>
            </w:r>
          </w:p>
        </w:tc>
        <w:tc>
          <w:tcPr>
            <w:tcW w:w="437" w:type="pct"/>
            <w:tcBorders>
              <w:top w:val="single" w:sz="6" w:space="0" w:color="000000"/>
              <w:left w:val="nil"/>
              <w:bottom w:val="single" w:sz="6" w:space="0" w:color="000000"/>
              <w:right w:val="nil"/>
            </w:tcBorders>
            <w:vAlign w:val="center"/>
            <w:hideMark/>
          </w:tcPr>
          <w:p w14:paraId="7DFCFB58" w14:textId="0D332BFF" w:rsidR="00FD65D9" w:rsidRPr="00A55335" w:rsidRDefault="00FD65D9" w:rsidP="00FD65D9">
            <w:pPr>
              <w:pStyle w:val="Tabletext8pt"/>
              <w:jc w:val="center"/>
            </w:pPr>
            <w:r w:rsidRPr="00A55335">
              <w:t>-</w:t>
            </w:r>
          </w:p>
        </w:tc>
        <w:tc>
          <w:tcPr>
            <w:tcW w:w="583" w:type="pct"/>
            <w:tcBorders>
              <w:top w:val="single" w:sz="6" w:space="0" w:color="000000"/>
              <w:left w:val="nil"/>
              <w:bottom w:val="single" w:sz="6" w:space="0" w:color="000000"/>
              <w:right w:val="nil"/>
            </w:tcBorders>
            <w:vAlign w:val="center"/>
            <w:hideMark/>
          </w:tcPr>
          <w:p w14:paraId="6D4366E3" w14:textId="44DEA7B5" w:rsidR="00FD65D9" w:rsidRPr="00A55335" w:rsidRDefault="00FD65D9" w:rsidP="00FD65D9">
            <w:pPr>
              <w:pStyle w:val="Tabletext8pt"/>
              <w:jc w:val="center"/>
            </w:pPr>
            <w:r w:rsidRPr="00A55335">
              <w:t>(0 studies)</w:t>
            </w:r>
          </w:p>
        </w:tc>
        <w:tc>
          <w:tcPr>
            <w:tcW w:w="581" w:type="pct"/>
            <w:tcBorders>
              <w:top w:val="single" w:sz="6" w:space="0" w:color="000000"/>
              <w:left w:val="nil"/>
              <w:bottom w:val="single" w:sz="6" w:space="0" w:color="000000"/>
              <w:right w:val="nil"/>
            </w:tcBorders>
            <w:vAlign w:val="center"/>
            <w:hideMark/>
          </w:tcPr>
          <w:p w14:paraId="4DCEFF7C" w14:textId="7356BCED" w:rsidR="00FD65D9" w:rsidRPr="00A55335" w:rsidRDefault="00FD65D9" w:rsidP="00FD65D9">
            <w:pPr>
              <w:pStyle w:val="Qualitytext"/>
              <w:rPr>
                <w:rFonts w:eastAsia="Times New Roman"/>
              </w:rPr>
            </w:pPr>
            <w:r w:rsidRPr="00A55335">
              <w:t>-</w:t>
            </w:r>
          </w:p>
        </w:tc>
        <w:tc>
          <w:tcPr>
            <w:tcW w:w="1068" w:type="pct"/>
            <w:tcBorders>
              <w:top w:val="single" w:sz="6" w:space="0" w:color="000000"/>
              <w:left w:val="nil"/>
              <w:bottom w:val="single" w:sz="6" w:space="0" w:color="000000"/>
              <w:right w:val="nil"/>
            </w:tcBorders>
            <w:vAlign w:val="center"/>
            <w:hideMark/>
          </w:tcPr>
          <w:p w14:paraId="192C1CFA" w14:textId="7611EF6C" w:rsidR="00FD65D9" w:rsidRPr="00A55335" w:rsidRDefault="00FD65D9" w:rsidP="00FD65D9">
            <w:pPr>
              <w:pStyle w:val="Tabletext8pt"/>
              <w:rPr>
                <w:rFonts w:eastAsia="Times New Roman"/>
              </w:rPr>
            </w:pPr>
            <w:r w:rsidRPr="00A55335">
              <w:rPr>
                <w:szCs w:val="18"/>
              </w:rPr>
              <w:t xml:space="preserve">The effect of homeopathy on night sweat frequency in people with </w:t>
            </w:r>
            <w:r w:rsidRPr="00A55335">
              <w:rPr>
                <w:rFonts w:eastAsia="Times New Roman"/>
              </w:rPr>
              <w:t>menopausal symptoms or complaints</w:t>
            </w:r>
            <w:r w:rsidRPr="00A55335">
              <w:rPr>
                <w:szCs w:val="18"/>
              </w:rPr>
              <w:t xml:space="preserve"> is unknown</w:t>
            </w:r>
          </w:p>
        </w:tc>
      </w:tr>
      <w:tr w:rsidR="00FD65D9" w:rsidRPr="00A55335" w14:paraId="35A2AAA6" w14:textId="77777777">
        <w:trPr>
          <w:cantSplit/>
        </w:trPr>
        <w:tc>
          <w:tcPr>
            <w:tcW w:w="5000" w:type="pct"/>
            <w:gridSpan w:val="7"/>
            <w:tcBorders>
              <w:top w:val="single" w:sz="6" w:space="0" w:color="000000"/>
              <w:left w:val="nil"/>
              <w:bottom w:val="single" w:sz="6" w:space="0" w:color="000000"/>
              <w:right w:val="nil"/>
            </w:tcBorders>
            <w:vAlign w:val="center"/>
            <w:hideMark/>
          </w:tcPr>
          <w:p w14:paraId="2AB566ED" w14:textId="77777777" w:rsidR="00FD65D9" w:rsidRPr="00A55335" w:rsidRDefault="00FD65D9" w:rsidP="00FD65D9">
            <w:pPr>
              <w:pStyle w:val="TableFigNotes18"/>
            </w:pPr>
            <w:r w:rsidRPr="00A55335">
              <w:lastRenderedPageBreak/>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1B597E54" w14:textId="77777777" w:rsidR="00FD65D9" w:rsidRPr="00A55335" w:rsidRDefault="00FD65D9" w:rsidP="00FD65D9">
            <w:pPr>
              <w:pStyle w:val="TableFigNotes18"/>
            </w:pPr>
          </w:p>
          <w:p w14:paraId="1E25A641" w14:textId="2A49BF88" w:rsidR="00FD65D9" w:rsidRPr="00A55335" w:rsidRDefault="00FD65D9" w:rsidP="00FD65D9">
            <w:pPr>
              <w:pStyle w:val="TableFigNotes18"/>
            </w:pPr>
            <w:r w:rsidRPr="00A55335">
              <w:rPr>
                <w:rFonts w:eastAsia="Times New Roman"/>
              </w:rPr>
              <w:t>**</w:t>
            </w:r>
            <w:r w:rsidRPr="00A55335">
              <w:t xml:space="preserve"> As a rule of thumb, an SMD of 0.2 is considered a small difference, 0.5 is considered medium, and 0.8 is considered large </w:t>
            </w:r>
            <w:r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Pr="00A55335">
              <w:fldChar w:fldCharType="separate"/>
            </w:r>
            <w:r w:rsidRPr="00A55335">
              <w:rPr>
                <w:noProof/>
              </w:rPr>
              <w:t>(</w:t>
            </w:r>
            <w:hyperlink w:anchor="_ENREF_83" w:tooltip="Faraone, 2008 #165" w:history="1">
              <w:r w:rsidR="00EC2769" w:rsidRPr="00A55335">
                <w:rPr>
                  <w:noProof/>
                </w:rPr>
                <w:t>83</w:t>
              </w:r>
            </w:hyperlink>
            <w:r w:rsidRPr="00A55335">
              <w:rPr>
                <w:noProof/>
              </w:rPr>
              <w:t>)</w:t>
            </w:r>
            <w:r w:rsidRPr="00A55335">
              <w:fldChar w:fldCharType="end"/>
            </w:r>
            <w:r w:rsidRPr="00A55335">
              <w:t>.</w:t>
            </w:r>
          </w:p>
          <w:p w14:paraId="335DC0A2" w14:textId="21DE8076" w:rsidR="00FD65D9" w:rsidRPr="00A55335" w:rsidRDefault="00FD65D9" w:rsidP="00FD65D9">
            <w:pPr>
              <w:pStyle w:val="TableFigNotes18"/>
            </w:pPr>
            <w:r w:rsidRPr="00A55335">
              <w:t xml:space="preserve">† </w:t>
            </w:r>
            <w:r w:rsidR="00202964" w:rsidRPr="00A55335">
              <w:t>D</w:t>
            </w:r>
            <w:r w:rsidRPr="00A55335">
              <w:t xml:space="preserve">ata from one RCT (83 participants) </w:t>
            </w:r>
            <w:r w:rsidR="00202964" w:rsidRPr="00A55335">
              <w:t xml:space="preserve">not </w:t>
            </w:r>
            <w:r w:rsidR="008A4199" w:rsidRPr="00A55335">
              <w:t>able to be included in the meta-analysis</w:t>
            </w:r>
            <w:r w:rsidRPr="00A55335">
              <w:t>. Study authors suggest no difference in symptom severity in the homeopathy groups compared with placebo (</w:t>
            </w:r>
            <w:r w:rsidRPr="00A55335">
              <w:rPr>
                <w:rStyle w:val="Emphasis"/>
              </w:rPr>
              <w:t>p</w:t>
            </w:r>
            <w:r w:rsidRPr="00A55335">
              <w:t> = 0.1).</w:t>
            </w:r>
          </w:p>
          <w:p w14:paraId="4F82D330" w14:textId="77777777" w:rsidR="00F741B3" w:rsidRPr="00A55335" w:rsidRDefault="00FD65D9" w:rsidP="00F741B3">
            <w:pPr>
              <w:pStyle w:val="TableFigNotes18"/>
            </w:pPr>
            <w:r w:rsidRPr="00A55335">
              <w:t>†† Missing data from 2 RCTs (total 123 participants) as the data were incomplete. Study authors report no difference in hot flush severity between the homeopathy and placebo groups.</w:t>
            </w:r>
          </w:p>
          <w:p w14:paraId="23B5E3E3" w14:textId="72A5F6EA" w:rsidR="00F741B3" w:rsidRPr="00A55335" w:rsidRDefault="00F741B3" w:rsidP="00F741B3">
            <w:pPr>
              <w:pStyle w:val="TableFigNotes18"/>
            </w:pPr>
            <w:r w:rsidRPr="00A55335">
              <w:rPr>
                <w:rFonts w:cs="Montserrat"/>
                <w:szCs w:val="15"/>
              </w:rPr>
              <w:t xml:space="preserve">‡ </w:t>
            </w:r>
            <w:r w:rsidR="00202964" w:rsidRPr="00A55335">
              <w:rPr>
                <w:rFonts w:cs="Montserrat"/>
                <w:szCs w:val="15"/>
              </w:rPr>
              <w:t>D</w:t>
            </w:r>
            <w:r w:rsidRPr="00A55335">
              <w:rPr>
                <w:rFonts w:cs="Montserrat"/>
                <w:szCs w:val="15"/>
              </w:rPr>
              <w:t xml:space="preserve">ata from one RCT (83 participants) </w:t>
            </w:r>
            <w:r w:rsidR="00202964" w:rsidRPr="00A55335">
              <w:t>not able to be included in the meta-analysis</w:t>
            </w:r>
            <w:r w:rsidRPr="00A55335">
              <w:rPr>
                <w:rFonts w:cs="Montserrat"/>
                <w:szCs w:val="15"/>
              </w:rPr>
              <w:t>.</w:t>
            </w:r>
            <w:r w:rsidR="003D5FC1" w:rsidRPr="00A55335">
              <w:rPr>
                <w:rFonts w:cs="Montserrat"/>
                <w:szCs w:val="15"/>
              </w:rPr>
              <w:t xml:space="preserve"> It is not known whether missing data would meaningfully change the result.</w:t>
            </w:r>
          </w:p>
          <w:p w14:paraId="12D1E377" w14:textId="77777777" w:rsidR="00FD65D9" w:rsidRPr="00A55335" w:rsidRDefault="00FD65D9" w:rsidP="00FD65D9">
            <w:pPr>
              <w:pStyle w:val="TableFigNotes18"/>
            </w:pPr>
          </w:p>
          <w:p w14:paraId="3BCC5051" w14:textId="0A5EF960" w:rsidR="00F955BF" w:rsidRPr="00A55335" w:rsidRDefault="00F955BF" w:rsidP="00FD65D9">
            <w:pPr>
              <w:pStyle w:val="TableFigNotes18"/>
            </w:pPr>
            <w:r w:rsidRPr="00A55335">
              <w:t xml:space="preserve"># </w:t>
            </w:r>
            <w:r w:rsidR="00325E94" w:rsidRPr="00A55335">
              <w:t xml:space="preserve">The MCID for HFS in people with menopausal symptoms is estimated to be a weekly reduction of 25 hot flushes </w:t>
            </w:r>
            <w:r w:rsidR="00325E94" w:rsidRPr="00A55335">
              <w:fldChar w:fldCharType="begin">
                <w:fldData xml:space="preserve">PEVuZE5vdGU+PENpdGU+PEF1dGhvcj5Db25zdGFudGluZTwvQXV0aG9yPjxZZWFyPjIwMTk8L1ll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</w:fldData>
              </w:fldChar>
            </w:r>
            <w:r w:rsidR="00EC2769">
              <w:instrText xml:space="preserve"> ADDIN EN.CITE </w:instrText>
            </w:r>
            <w:r w:rsidR="00EC2769">
              <w:fldChar w:fldCharType="begin">
                <w:fldData xml:space="preserve">PEVuZE5vdGU+PENpdGU+PEF1dGhvcj5Db25zdGFudGluZTwvQXV0aG9yPjxZZWFyPjIwMTk8L1ll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</w:fldData>
              </w:fldChar>
            </w:r>
            <w:r w:rsidR="00EC2769">
              <w:instrText xml:space="preserve"> ADDIN EN.CITE.DATA </w:instrText>
            </w:r>
            <w:r w:rsidR="00EC2769">
              <w:fldChar w:fldCharType="end"/>
            </w:r>
            <w:r w:rsidR="00325E94" w:rsidRPr="00A55335">
              <w:fldChar w:fldCharType="separate"/>
            </w:r>
            <w:r w:rsidR="00EC2769">
              <w:rPr>
                <w:noProof/>
              </w:rPr>
              <w:t>(</w:t>
            </w:r>
            <w:hyperlink w:anchor="_ENREF_316" w:tooltip="Constantine, 2019 #737" w:history="1">
              <w:r w:rsidR="00EC2769">
                <w:rPr>
                  <w:noProof/>
                </w:rPr>
                <w:t>316</w:t>
              </w:r>
            </w:hyperlink>
            <w:r w:rsidR="00EC2769">
              <w:rPr>
                <w:noProof/>
              </w:rPr>
              <w:t>)</w:t>
            </w:r>
            <w:r w:rsidR="00325E94" w:rsidRPr="00A55335">
              <w:fldChar w:fldCharType="end"/>
            </w:r>
          </w:p>
          <w:p w14:paraId="2ED06013" w14:textId="0256D07A" w:rsidR="00FD65D9" w:rsidRPr="00A55335" w:rsidRDefault="00F955BF" w:rsidP="00FD65D9">
            <w:pPr>
              <w:pStyle w:val="TableFigNotes18"/>
            </w:pPr>
            <w:r w:rsidRPr="00A55335">
              <w:t>#</w:t>
            </w:r>
            <w:r w:rsidR="00FD65D9" w:rsidRPr="00A55335">
              <w:t xml:space="preserve"># The MCID for HFRDIS is estimated to be a reduction of 1.66 points </w:t>
            </w:r>
            <w:r w:rsidR="00FD65D9" w:rsidRPr="00A55335">
              <w:fldChar w:fldCharType="begin">
                <w:fldData xml:space="preserve">PEVuZE5vdGU+PENpdGU+PEF1dGhvcj5DYXJwZW50ZXI8L0F1dGhvcj48WWVhcj4yMDE3PC9ZZWFy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</w:fldData>
              </w:fldChar>
            </w:r>
            <w:r w:rsidR="00EC2769">
              <w:instrText xml:space="preserve"> ADDIN EN.CITE </w:instrText>
            </w:r>
            <w:r w:rsidR="00EC2769">
              <w:fldChar w:fldCharType="begin">
                <w:fldData xml:space="preserve">PEVuZE5vdGU+PENpdGU+PEF1dGhvcj5DYXJwZW50ZXI8L0F1dGhvcj48WWVhcj4yMDE3PC9ZZWFy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</w:fldData>
              </w:fldChar>
            </w:r>
            <w:r w:rsidR="00EC2769">
              <w:instrText xml:space="preserve"> ADDIN EN.CITE.DATA </w:instrText>
            </w:r>
            <w:r w:rsidR="00EC2769">
              <w:fldChar w:fldCharType="end"/>
            </w:r>
            <w:r w:rsidR="00FD65D9" w:rsidRPr="00A55335">
              <w:fldChar w:fldCharType="separate"/>
            </w:r>
            <w:r w:rsidR="00EC2769">
              <w:rPr>
                <w:noProof/>
              </w:rPr>
              <w:t>(</w:t>
            </w:r>
            <w:hyperlink w:anchor="_ENREF_317" w:tooltip="Carpenter, 2017 #624" w:history="1">
              <w:r w:rsidR="00EC2769">
                <w:rPr>
                  <w:noProof/>
                </w:rPr>
                <w:t>317</w:t>
              </w:r>
            </w:hyperlink>
            <w:r w:rsidR="00EC2769">
              <w:rPr>
                <w:noProof/>
              </w:rPr>
              <w:t>)</w:t>
            </w:r>
            <w:r w:rsidR="00FD65D9" w:rsidRPr="00A55335">
              <w:fldChar w:fldCharType="end"/>
            </w:r>
            <w:r w:rsidR="00FD65D9" w:rsidRPr="00A55335">
              <w:t xml:space="preserve">. </w:t>
            </w:r>
          </w:p>
          <w:p w14:paraId="46974E46" w14:textId="6A459025" w:rsidR="00FD65D9" w:rsidRPr="00A55335" w:rsidRDefault="00FD65D9" w:rsidP="00FD65D9">
            <w:pPr>
              <w:pStyle w:val="TableFigNotes0"/>
            </w:pPr>
            <w:r w:rsidRPr="00A55335">
              <w:rPr>
                <w:rStyle w:val="Strong"/>
              </w:rPr>
              <w:t>CI:</w:t>
            </w:r>
            <w:r w:rsidRPr="00A55335">
              <w:t xml:space="preserve"> confidence interval; </w:t>
            </w:r>
            <w:r w:rsidRPr="00A55335">
              <w:rPr>
                <w:rStyle w:val="Strong"/>
              </w:rPr>
              <w:t>GCS:</w:t>
            </w:r>
            <w:r w:rsidRPr="00A55335">
              <w:t xml:space="preserve"> Greene climacteric scale; </w:t>
            </w:r>
            <w:r w:rsidRPr="00A55335">
              <w:rPr>
                <w:rStyle w:val="Strong"/>
              </w:rPr>
              <w:t>HFRDIS:</w:t>
            </w:r>
            <w:r w:rsidRPr="00A55335">
              <w:t xml:space="preserve"> hot flush related daily interference scale; </w:t>
            </w:r>
            <w:r w:rsidRPr="00A55335">
              <w:rPr>
                <w:rStyle w:val="Strong"/>
              </w:rPr>
              <w:t>MD:</w:t>
            </w:r>
            <w:r w:rsidRPr="00A55335">
              <w:t xml:space="preserve"> mean difference; </w:t>
            </w:r>
            <w:r w:rsidRPr="00A55335">
              <w:rPr>
                <w:rStyle w:val="Strong"/>
              </w:rPr>
              <w:t xml:space="preserve">MRS: </w:t>
            </w:r>
            <w:r w:rsidRPr="00A55335">
              <w:t xml:space="preserve">menopausal rating scale; </w:t>
            </w:r>
            <w:r w:rsidRPr="00A55335">
              <w:rPr>
                <w:rStyle w:val="Strong"/>
              </w:rPr>
              <w:t>SMD:</w:t>
            </w:r>
            <w:r w:rsidRPr="00A55335">
              <w:t xml:space="preserve"> standardised mean difference.</w:t>
            </w:r>
          </w:p>
        </w:tc>
      </w:tr>
      <w:tr w:rsidR="00FD65D9" w:rsidRPr="00A55335" w14:paraId="18550EE1" w14:textId="77777777">
        <w:trPr>
          <w:cantSplit/>
        </w:trPr>
        <w:tc>
          <w:tcPr>
            <w:tcW w:w="5000" w:type="pct"/>
            <w:gridSpan w:val="7"/>
            <w:tcBorders>
              <w:top w:val="single" w:sz="6" w:space="0" w:color="000000"/>
              <w:left w:val="nil"/>
              <w:bottom w:val="single" w:sz="6" w:space="0" w:color="000000"/>
              <w:right w:val="nil"/>
            </w:tcBorders>
            <w:vAlign w:val="center"/>
            <w:hideMark/>
          </w:tcPr>
          <w:p w14:paraId="3C796644" w14:textId="77777777" w:rsidR="00FD65D9" w:rsidRPr="00A55335" w:rsidRDefault="00FD65D9" w:rsidP="00FD65D9">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12288EDB" w14:textId="77777777" w:rsidR="00DD505D" w:rsidRPr="00A55335" w:rsidRDefault="00E35087" w:rsidP="00E35087">
      <w:pPr>
        <w:pStyle w:val="Heading5a"/>
        <w:rPr>
          <w:lang w:val="en-AU"/>
        </w:rPr>
      </w:pPr>
      <w:r w:rsidRPr="00A55335">
        <w:rPr>
          <w:lang w:val="en-AU"/>
        </w:rPr>
        <w:t>Explanations</w:t>
      </w:r>
    </w:p>
    <w:p w14:paraId="38FD151E" w14:textId="56F6B17D" w:rsidR="00DD505D" w:rsidRPr="00A55335" w:rsidRDefault="00DD505D" w:rsidP="007252A0">
      <w:pPr>
        <w:pStyle w:val="Footnote"/>
      </w:pPr>
      <w:r w:rsidRPr="00A55335">
        <w:t xml:space="preserve">a. </w:t>
      </w:r>
      <w:proofErr w:type="gramStart"/>
      <w:r w:rsidR="00F61FC5" w:rsidRPr="00A55335">
        <w:t>Serious</w:t>
      </w:r>
      <w:proofErr w:type="gramEnd"/>
      <w:r w:rsidR="00F61FC5" w:rsidRPr="00A55335">
        <w:t xml:space="preserve"> risk of bias. </w:t>
      </w:r>
      <w:r w:rsidRPr="00A55335">
        <w:t>One study contributing 33% of data was at high risk of bias</w:t>
      </w:r>
      <w:r w:rsidR="00EE3390" w:rsidRPr="00A55335">
        <w:t xml:space="preserve">. </w:t>
      </w:r>
      <w:r w:rsidRPr="00A55335">
        <w:t>Certainty of evidence downgraded.</w:t>
      </w:r>
    </w:p>
    <w:p w14:paraId="2526707B" w14:textId="31094C12" w:rsidR="00C30E2F" w:rsidRPr="00A55335" w:rsidRDefault="00DD505D" w:rsidP="007252A0">
      <w:pPr>
        <w:pStyle w:val="Footnote"/>
      </w:pPr>
      <w:r w:rsidRPr="00A55335">
        <w:t xml:space="preserve">b. </w:t>
      </w:r>
      <w:proofErr w:type="gramStart"/>
      <w:r w:rsidR="00EE3390" w:rsidRPr="00A55335">
        <w:t>Serious</w:t>
      </w:r>
      <w:proofErr w:type="gramEnd"/>
      <w:r w:rsidR="00EE3390" w:rsidRPr="00A55335">
        <w:t xml:space="preserve"> inconsistency. </w:t>
      </w:r>
      <w:r w:rsidRPr="00A55335">
        <w:t xml:space="preserve">Point estimates varied and some confidence intervals do not overlap. </w:t>
      </w:r>
      <w:r w:rsidR="00250D26" w:rsidRPr="00A55335">
        <w:t>S</w:t>
      </w:r>
      <w:r w:rsidRPr="00A55335">
        <w:t>tatistical heterogeneity</w:t>
      </w:r>
      <w:r w:rsidR="00250D26" w:rsidRPr="00A55335">
        <w:t xml:space="preserve"> was high </w:t>
      </w:r>
      <w:r w:rsidRPr="00A55335">
        <w:t>(I</w:t>
      </w:r>
      <w:r w:rsidRPr="00A55335">
        <w:rPr>
          <w:rStyle w:val="FootnoteReference"/>
        </w:rPr>
        <w:t>2</w:t>
      </w:r>
      <w:r w:rsidRPr="00A55335">
        <w:t xml:space="preserve"> &gt; 8</w:t>
      </w:r>
      <w:r w:rsidR="00250D26" w:rsidRPr="00A55335">
        <w:t>6</w:t>
      </w:r>
      <w:r w:rsidRPr="00A55335">
        <w:t>%)</w:t>
      </w:r>
      <w:r w:rsidR="00C30E2F" w:rsidRPr="00A55335">
        <w:t xml:space="preserve">. </w:t>
      </w:r>
      <w:r w:rsidRPr="00A55335">
        <w:t>Certainty of evidence downgraded.</w:t>
      </w:r>
      <w:r w:rsidR="00C30E2F" w:rsidRPr="00A55335">
        <w:t xml:space="preserve"> </w:t>
      </w:r>
    </w:p>
    <w:p w14:paraId="5FC5DDF8" w14:textId="77777777" w:rsidR="00040EED" w:rsidRPr="00A55335" w:rsidRDefault="00C30E2F" w:rsidP="007252A0">
      <w:pPr>
        <w:pStyle w:val="Footnote"/>
      </w:pPr>
      <w:r w:rsidRPr="00A55335">
        <w:t>c. No serious indirectness. The available evidence is in</w:t>
      </w:r>
      <w:r w:rsidR="00F2069F" w:rsidRPr="00A55335">
        <w:t xml:space="preserve"> perimenopausal and menopausal women experiencing hot flushes</w:t>
      </w:r>
      <w:r w:rsidR="00040EED" w:rsidRPr="00A55335">
        <w:t xml:space="preserve"> and is generalisable to the Australian population with few caveats. Certainty of evidence not downgraded. </w:t>
      </w:r>
    </w:p>
    <w:p w14:paraId="219887F7" w14:textId="77777777" w:rsidR="00261739" w:rsidRPr="00A55335" w:rsidRDefault="00040EED" w:rsidP="007252A0">
      <w:pPr>
        <w:pStyle w:val="Footnote"/>
      </w:pPr>
      <w:r w:rsidRPr="00A55335">
        <w:t xml:space="preserve">d. </w:t>
      </w:r>
      <w:proofErr w:type="gramStart"/>
      <w:r w:rsidRPr="00A55335">
        <w:t>Serious</w:t>
      </w:r>
      <w:proofErr w:type="gramEnd"/>
      <w:r w:rsidRPr="00A55335">
        <w:t xml:space="preserve"> imprecision. </w:t>
      </w:r>
      <w:r w:rsidR="00261739" w:rsidRPr="00A55335">
        <w:t>Wide</w:t>
      </w:r>
      <w:r w:rsidRPr="00A55335">
        <w:t xml:space="preserve"> confidence intervals </w:t>
      </w:r>
      <w:r w:rsidR="00261739" w:rsidRPr="00A55335">
        <w:t xml:space="preserve">(upper and lower bounds overlap with both important and no important difference). Certainty of evidence downgraded. </w:t>
      </w:r>
    </w:p>
    <w:p w14:paraId="601FE428" w14:textId="3E300F6B" w:rsidR="00DD505D" w:rsidRPr="00A55335" w:rsidRDefault="00261739" w:rsidP="007252A0">
      <w:pPr>
        <w:pStyle w:val="Footnote"/>
      </w:pPr>
      <w:r w:rsidRPr="00A55335">
        <w:t>e. Publication bias not suspected. Certainty of evidence not downgraded.</w:t>
      </w:r>
    </w:p>
    <w:p w14:paraId="7EAB86ED" w14:textId="7057E2FE" w:rsidR="00EE35CD" w:rsidRPr="00A55335" w:rsidRDefault="00EE35CD" w:rsidP="007252A0">
      <w:pPr>
        <w:pStyle w:val="Footnote"/>
      </w:pPr>
      <w:r w:rsidRPr="00A55335">
        <w:t>f. No serious risk of bias</w:t>
      </w:r>
      <w:r w:rsidR="00BA41BF" w:rsidRPr="00A55335">
        <w:t>.</w:t>
      </w:r>
      <w:r w:rsidRPr="00A55335">
        <w:t xml:space="preserve"> Certainty of evidence not downgraded.</w:t>
      </w:r>
    </w:p>
    <w:p w14:paraId="190D99E7" w14:textId="50100C50" w:rsidR="00D00C30" w:rsidRPr="00A55335" w:rsidRDefault="001564F6" w:rsidP="00D00C30">
      <w:pPr>
        <w:pStyle w:val="Footnote"/>
      </w:pPr>
      <w:r w:rsidRPr="00A55335">
        <w:t xml:space="preserve">g. </w:t>
      </w:r>
      <w:r w:rsidR="00D00C30" w:rsidRPr="00A55335">
        <w:t xml:space="preserve">Single study. Inconsistency not assessed. Certainty of evidence </w:t>
      </w:r>
      <w:r w:rsidR="00244797">
        <w:t xml:space="preserve">not </w:t>
      </w:r>
      <w:r w:rsidR="00D00C30" w:rsidRPr="00A55335">
        <w:t>downgraded.</w:t>
      </w:r>
    </w:p>
    <w:p w14:paraId="1B3FB340" w14:textId="6CF334EC" w:rsidR="00927F79" w:rsidRPr="00A55335" w:rsidRDefault="00927F79" w:rsidP="00927F79">
      <w:pPr>
        <w:pStyle w:val="Footnote"/>
      </w:pPr>
      <w:r w:rsidRPr="00A55335">
        <w:t xml:space="preserve">h. Very serious imprecision. Single study with wide confidence intervals (upper and lower bounds overlap with both important and no important difference). Certainty of evidence downgraded 2 levels. </w:t>
      </w:r>
    </w:p>
    <w:p w14:paraId="453FDD26" w14:textId="6C6683BA" w:rsidR="004E58F9" w:rsidRPr="00A55335" w:rsidRDefault="00CD0475" w:rsidP="004E58F9">
      <w:pPr>
        <w:pStyle w:val="Footnote"/>
      </w:pPr>
      <w:proofErr w:type="spellStart"/>
      <w:r w:rsidRPr="00A55335">
        <w:t>i</w:t>
      </w:r>
      <w:proofErr w:type="spellEnd"/>
      <w:r w:rsidRPr="00A55335">
        <w:t xml:space="preserve">. </w:t>
      </w:r>
      <w:r w:rsidR="004E58F9" w:rsidRPr="00A55335">
        <w:t xml:space="preserve">Publication bias suspected. There is a strong suspicion of non-reporting of results related to </w:t>
      </w:r>
      <w:r w:rsidR="004E58F9" w:rsidRPr="009876E6">
        <w:rPr>
          <w:rStyle w:val="Emphasis"/>
        </w:rPr>
        <w:t>p</w:t>
      </w:r>
      <w:r w:rsidR="004E58F9" w:rsidRPr="00A55335">
        <w:t xml:space="preserve"> value, magnitude or direction of the results being considered unfavourable by the study investigators.  Certainty of evidence downgraded.</w:t>
      </w:r>
    </w:p>
    <w:p w14:paraId="52605B25" w14:textId="6EB90933" w:rsidR="00CD0475" w:rsidRPr="00A55335" w:rsidRDefault="00CD0475" w:rsidP="00927F79">
      <w:pPr>
        <w:pStyle w:val="Footnote"/>
      </w:pPr>
    </w:p>
    <w:p w14:paraId="1434197A" w14:textId="7A4379DC" w:rsidR="006D4E25" w:rsidRPr="00A55335" w:rsidRDefault="006070ED" w:rsidP="006D4E25">
      <w:pPr>
        <w:pStyle w:val="Heading4"/>
      </w:pPr>
      <w:r w:rsidRPr="00A55335">
        <w:lastRenderedPageBreak/>
        <w:t>Secondary Comparison</w:t>
      </w:r>
      <w:r w:rsidR="006D4E25" w:rsidRPr="00A55335">
        <w:t xml:space="preserve"> (vs </w:t>
      </w:r>
      <w:r w:rsidR="00C8444E" w:rsidRPr="00A55335">
        <w:t xml:space="preserve">inactive </w:t>
      </w:r>
      <w:r w:rsidR="006D4E25" w:rsidRPr="00A55335">
        <w:t xml:space="preserve">control) </w:t>
      </w:r>
    </w:p>
    <w:p w14:paraId="2DC20C3A" w14:textId="069261FF" w:rsidR="006D4E25" w:rsidRPr="00A55335" w:rsidRDefault="00576ABF" w:rsidP="006D4E25">
      <w:pPr>
        <w:pStyle w:val="BodyText"/>
      </w:pPr>
      <w:r w:rsidRPr="00A55335">
        <w:t>One study (4</w:t>
      </w:r>
      <w:r w:rsidR="00EF54AB" w:rsidRPr="00A55335">
        <w:t>3</w:t>
      </w:r>
      <w:r w:rsidRPr="00A55335">
        <w:t xml:space="preserve"> participants) comparing individualised homeopathy with control (</w:t>
      </w:r>
      <w:r w:rsidR="00EF54AB" w:rsidRPr="00A55335">
        <w:t>no intervention</w:t>
      </w:r>
      <w:r w:rsidRPr="00A55335">
        <w:t>) was eligible for this comparison. Results from this study contribute to</w:t>
      </w:r>
      <w:r w:rsidR="00537F37" w:rsidRPr="00A55335">
        <w:t xml:space="preserve"> two</w:t>
      </w:r>
      <w:r w:rsidRPr="00A55335">
        <w:t xml:space="preserve"> outcome</w:t>
      </w:r>
      <w:r w:rsidR="00537F37" w:rsidRPr="00A55335">
        <w:t>s</w:t>
      </w:r>
      <w:r w:rsidRPr="00A55335">
        <w:t xml:space="preserve"> (symptom severity</w:t>
      </w:r>
      <w:r w:rsidR="00537F37" w:rsidRPr="00A55335">
        <w:t>, hot flush severity</w:t>
      </w:r>
      <w:r w:rsidRPr="00A55335">
        <w:t>).</w:t>
      </w:r>
      <w:r w:rsidR="00B01E13" w:rsidRPr="00A55335">
        <w:t xml:space="preserve"> </w:t>
      </w:r>
    </w:p>
    <w:tbl>
      <w:tblPr>
        <w:tblW w:w="5000" w:type="pct"/>
        <w:tblLayout w:type="fixed"/>
        <w:tblCellMar>
          <w:top w:w="60" w:type="dxa"/>
          <w:left w:w="60" w:type="dxa"/>
          <w:bottom w:w="60" w:type="dxa"/>
          <w:right w:w="60" w:type="dxa"/>
        </w:tblCellMar>
        <w:tblLook w:val="04A0" w:firstRow="1" w:lastRow="0" w:firstColumn="1" w:lastColumn="0" w:noHBand="0" w:noVBand="1"/>
      </w:tblPr>
      <w:tblGrid>
        <w:gridCol w:w="1700"/>
        <w:gridCol w:w="1277"/>
        <w:gridCol w:w="1277"/>
        <w:gridCol w:w="848"/>
        <w:gridCol w:w="1275"/>
        <w:gridCol w:w="1132"/>
        <w:gridCol w:w="2236"/>
      </w:tblGrid>
      <w:tr w:rsidR="002203B6" w:rsidRPr="00A55335" w14:paraId="34E812D9" w14:textId="77777777" w:rsidTr="00F30EA9">
        <w:trPr>
          <w:cantSplit/>
          <w:tblHeader/>
        </w:trPr>
        <w:tc>
          <w:tcPr>
            <w:tcW w:w="5000" w:type="pct"/>
            <w:gridSpan w:val="7"/>
            <w:tcBorders>
              <w:top w:val="single" w:sz="12" w:space="0" w:color="000000"/>
              <w:left w:val="nil"/>
              <w:bottom w:val="single" w:sz="12" w:space="0" w:color="000000"/>
              <w:right w:val="nil"/>
            </w:tcBorders>
            <w:vAlign w:val="center"/>
            <w:hideMark/>
          </w:tcPr>
          <w:p w14:paraId="4DC90C42" w14:textId="70B47481" w:rsidR="002203B6" w:rsidRPr="00A55335" w:rsidRDefault="002203B6" w:rsidP="00D22E05">
            <w:pPr>
              <w:pStyle w:val="TableH1"/>
            </w:pPr>
            <w:r w:rsidRPr="00A55335">
              <w:t xml:space="preserve">Homeopathy compared to </w:t>
            </w:r>
            <w:r w:rsidR="00C8444E" w:rsidRPr="00A55335">
              <w:t xml:space="preserve">inactive </w:t>
            </w:r>
            <w:r w:rsidRPr="00A55335">
              <w:t>control for Menopausal symptoms or complaints</w:t>
            </w:r>
          </w:p>
        </w:tc>
      </w:tr>
      <w:tr w:rsidR="002203B6" w:rsidRPr="00A55335" w14:paraId="1B190932" w14:textId="77777777" w:rsidTr="00F30EA9">
        <w:trPr>
          <w:cantSplit/>
          <w:tblHeader/>
        </w:trPr>
        <w:tc>
          <w:tcPr>
            <w:tcW w:w="5000" w:type="pct"/>
            <w:gridSpan w:val="7"/>
            <w:tcBorders>
              <w:top w:val="single" w:sz="12" w:space="0" w:color="000000"/>
              <w:left w:val="nil"/>
              <w:bottom w:val="single" w:sz="12" w:space="0" w:color="000000"/>
              <w:right w:val="nil"/>
            </w:tcBorders>
            <w:vAlign w:val="center"/>
            <w:hideMark/>
          </w:tcPr>
          <w:p w14:paraId="4627E4A0" w14:textId="77777777" w:rsidR="002203B6" w:rsidRPr="00A55335" w:rsidRDefault="002203B6" w:rsidP="00D22E05">
            <w:pPr>
              <w:pStyle w:val="Tabletext9pt"/>
            </w:pPr>
            <w:r w:rsidRPr="00D22E05">
              <w:rPr>
                <w:rStyle w:val="Strong"/>
              </w:rPr>
              <w:t>Patient or population:</w:t>
            </w:r>
            <w:r w:rsidRPr="00A55335">
              <w:t xml:space="preserve"> </w:t>
            </w:r>
            <w:r w:rsidRPr="00D22E05">
              <w:t>Menopausal symptoms or complaints</w:t>
            </w:r>
          </w:p>
          <w:p w14:paraId="037AA725" w14:textId="77777777" w:rsidR="002203B6" w:rsidRPr="00A55335" w:rsidRDefault="002203B6" w:rsidP="00D22E05">
            <w:pPr>
              <w:pStyle w:val="Tabletext9pt"/>
            </w:pPr>
            <w:r w:rsidRPr="00D22E05">
              <w:rPr>
                <w:rStyle w:val="Strong"/>
              </w:rPr>
              <w:t>Setting:</w:t>
            </w:r>
            <w:r w:rsidRPr="00A55335">
              <w:t xml:space="preserve"> </w:t>
            </w:r>
            <w:r w:rsidRPr="00D22E05">
              <w:t>Community (outpatient clinics)</w:t>
            </w:r>
          </w:p>
          <w:p w14:paraId="136AE1D4" w14:textId="77777777" w:rsidR="002203B6" w:rsidRPr="00A55335" w:rsidRDefault="002203B6" w:rsidP="00D22E05">
            <w:pPr>
              <w:pStyle w:val="Tabletext9pt"/>
            </w:pPr>
            <w:r w:rsidRPr="00D22E05">
              <w:rPr>
                <w:rStyle w:val="Strong"/>
              </w:rPr>
              <w:t>Intervention:</w:t>
            </w:r>
            <w:r w:rsidRPr="00A55335">
              <w:t xml:space="preserve"> </w:t>
            </w:r>
            <w:r w:rsidRPr="00D22E05">
              <w:t>Homeopathy</w:t>
            </w:r>
          </w:p>
          <w:p w14:paraId="06663C04" w14:textId="01678897" w:rsidR="002203B6" w:rsidRPr="00A55335" w:rsidRDefault="002203B6" w:rsidP="00D22E05">
            <w:pPr>
              <w:pStyle w:val="Tabletext9pt"/>
            </w:pPr>
            <w:r w:rsidRPr="00D22E05">
              <w:rPr>
                <w:rStyle w:val="Strong"/>
              </w:rPr>
              <w:t>Comparison:</w:t>
            </w:r>
            <w:r w:rsidRPr="00A55335">
              <w:t xml:space="preserve"> </w:t>
            </w:r>
            <w:r w:rsidR="00C8444E" w:rsidRPr="00D22E05">
              <w:t>inactive control</w:t>
            </w:r>
          </w:p>
        </w:tc>
      </w:tr>
      <w:tr w:rsidR="00F30EA9" w:rsidRPr="00A55335" w14:paraId="48B3DB60" w14:textId="77777777" w:rsidTr="00F30EA9">
        <w:trPr>
          <w:cantSplit/>
          <w:tblHeader/>
        </w:trPr>
        <w:tc>
          <w:tcPr>
            <w:tcW w:w="873" w:type="pct"/>
            <w:vMerge w:val="restart"/>
            <w:tcBorders>
              <w:right w:val="single" w:sz="6" w:space="0" w:color="EFEFEF"/>
            </w:tcBorders>
            <w:shd w:val="clear" w:color="auto" w:fill="006579" w:themeFill="accent2"/>
            <w:vAlign w:val="bottom"/>
            <w:hideMark/>
          </w:tcPr>
          <w:p w14:paraId="2A828F4B" w14:textId="77777777" w:rsidR="002203B6" w:rsidRPr="00A55335" w:rsidRDefault="002203B6" w:rsidP="00C030F2">
            <w:pPr>
              <w:pStyle w:val="Tabletext8pt"/>
              <w:rPr>
                <w:b/>
                <w:bCs/>
                <w:color w:val="F9F9F9" w:themeColor="background1"/>
              </w:rPr>
            </w:pPr>
            <w:r w:rsidRPr="00A55335">
              <w:rPr>
                <w:b/>
                <w:bCs/>
                <w:color w:val="F9F9F9" w:themeColor="background1"/>
              </w:rPr>
              <w:t>Outcomes</w:t>
            </w:r>
          </w:p>
        </w:tc>
        <w:tc>
          <w:tcPr>
            <w:tcW w:w="1310" w:type="pct"/>
            <w:gridSpan w:val="2"/>
            <w:tcBorders>
              <w:top w:val="single" w:sz="6" w:space="0" w:color="EFEFEF"/>
              <w:right w:val="single" w:sz="6" w:space="0" w:color="EFEFEF"/>
            </w:tcBorders>
            <w:shd w:val="clear" w:color="auto" w:fill="E0E0E0"/>
            <w:vAlign w:val="bottom"/>
            <w:hideMark/>
          </w:tcPr>
          <w:p w14:paraId="6DBFF8B3" w14:textId="77777777" w:rsidR="002203B6" w:rsidRPr="00A55335" w:rsidRDefault="002203B6" w:rsidP="00C030F2">
            <w:pPr>
              <w:pStyle w:val="Tabletext8pt"/>
              <w:rPr>
                <w:b/>
                <w:bCs/>
                <w:color w:val="F9F9F9" w:themeColor="background1"/>
              </w:rPr>
            </w:pPr>
            <w:r w:rsidRPr="00A55335">
              <w:rPr>
                <w:b/>
                <w:bCs/>
                <w:color w:val="auto"/>
              </w:rPr>
              <w:t>Anticipated absolute effects* (95% CI)</w:t>
            </w:r>
          </w:p>
        </w:tc>
        <w:tc>
          <w:tcPr>
            <w:tcW w:w="435" w:type="pct"/>
            <w:vMerge w:val="restart"/>
            <w:tcBorders>
              <w:right w:val="single" w:sz="6" w:space="0" w:color="EFEFEF"/>
            </w:tcBorders>
            <w:shd w:val="clear" w:color="auto" w:fill="006579" w:themeFill="accent2"/>
            <w:vAlign w:val="bottom"/>
            <w:hideMark/>
          </w:tcPr>
          <w:p w14:paraId="78B4DDAA" w14:textId="77777777" w:rsidR="002203B6" w:rsidRPr="00A55335" w:rsidRDefault="002203B6" w:rsidP="00C030F2">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654" w:type="pct"/>
            <w:vMerge w:val="restart"/>
            <w:tcBorders>
              <w:right w:val="single" w:sz="6" w:space="0" w:color="EFEFEF"/>
            </w:tcBorders>
            <w:shd w:val="clear" w:color="auto" w:fill="006579" w:themeFill="accent2"/>
            <w:vAlign w:val="bottom"/>
            <w:hideMark/>
          </w:tcPr>
          <w:p w14:paraId="4DA8BFAA" w14:textId="77777777" w:rsidR="002203B6" w:rsidRPr="00A55335" w:rsidRDefault="002203B6" w:rsidP="00C030F2">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1" w:type="pct"/>
            <w:vMerge w:val="restart"/>
            <w:tcBorders>
              <w:right w:val="single" w:sz="6" w:space="0" w:color="EFEFEF"/>
            </w:tcBorders>
            <w:shd w:val="clear" w:color="auto" w:fill="006579" w:themeFill="accent2"/>
            <w:vAlign w:val="bottom"/>
            <w:hideMark/>
          </w:tcPr>
          <w:p w14:paraId="5DCDAECE" w14:textId="77777777" w:rsidR="002203B6" w:rsidRPr="00A55335" w:rsidRDefault="002203B6" w:rsidP="00C030F2">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147" w:type="pct"/>
            <w:vMerge w:val="restart"/>
            <w:tcBorders>
              <w:right w:val="single" w:sz="6" w:space="0" w:color="EFEFEF"/>
            </w:tcBorders>
            <w:shd w:val="clear" w:color="auto" w:fill="006579" w:themeFill="accent2"/>
            <w:vAlign w:val="bottom"/>
            <w:hideMark/>
          </w:tcPr>
          <w:p w14:paraId="36B7EAB4" w14:textId="77777777" w:rsidR="002203B6" w:rsidRPr="00A55335" w:rsidRDefault="002203B6" w:rsidP="00C030F2">
            <w:pPr>
              <w:pStyle w:val="Tabletext8pt"/>
              <w:rPr>
                <w:b/>
                <w:bCs/>
                <w:color w:val="F9F9F9" w:themeColor="background1"/>
              </w:rPr>
            </w:pPr>
            <w:r w:rsidRPr="00A55335">
              <w:rPr>
                <w:b/>
                <w:bCs/>
                <w:color w:val="F9F9F9" w:themeColor="background1"/>
              </w:rPr>
              <w:t>Comments</w:t>
            </w:r>
          </w:p>
        </w:tc>
      </w:tr>
      <w:tr w:rsidR="00F30EA9" w:rsidRPr="00A55335" w14:paraId="1965E8FC" w14:textId="77777777" w:rsidTr="00F30EA9">
        <w:trPr>
          <w:cantSplit/>
          <w:tblHeader/>
        </w:trPr>
        <w:tc>
          <w:tcPr>
            <w:tcW w:w="873" w:type="pct"/>
            <w:vMerge/>
            <w:tcBorders>
              <w:right w:val="single" w:sz="6" w:space="0" w:color="EFEFEF"/>
            </w:tcBorders>
            <w:shd w:val="clear" w:color="auto" w:fill="006579" w:themeFill="accent2"/>
            <w:vAlign w:val="center"/>
            <w:hideMark/>
          </w:tcPr>
          <w:p w14:paraId="36F3BF80" w14:textId="77777777" w:rsidR="002203B6" w:rsidRPr="00A55335" w:rsidRDefault="002203B6" w:rsidP="00C030F2">
            <w:pPr>
              <w:pStyle w:val="Tabletext8pt"/>
            </w:pPr>
          </w:p>
        </w:tc>
        <w:tc>
          <w:tcPr>
            <w:tcW w:w="655" w:type="pct"/>
            <w:tcBorders>
              <w:top w:val="single" w:sz="6" w:space="0" w:color="EFEFEF"/>
              <w:right w:val="single" w:sz="6" w:space="0" w:color="EFEFEF"/>
            </w:tcBorders>
            <w:shd w:val="clear" w:color="auto" w:fill="E0E0E0"/>
            <w:vAlign w:val="bottom"/>
            <w:hideMark/>
          </w:tcPr>
          <w:p w14:paraId="4006723C" w14:textId="77777777" w:rsidR="002203B6" w:rsidRPr="00A55335" w:rsidRDefault="002203B6" w:rsidP="008920B6">
            <w:pPr>
              <w:pStyle w:val="Tabletext8pt"/>
              <w:rPr>
                <w:rStyle w:val="Strong"/>
              </w:rPr>
            </w:pPr>
            <w:r w:rsidRPr="00A55335">
              <w:rPr>
                <w:rStyle w:val="Strong"/>
              </w:rPr>
              <w:t>Risk with Control</w:t>
            </w:r>
          </w:p>
        </w:tc>
        <w:tc>
          <w:tcPr>
            <w:tcW w:w="655" w:type="pct"/>
            <w:tcBorders>
              <w:top w:val="single" w:sz="6" w:space="0" w:color="EFEFEF"/>
              <w:right w:val="single" w:sz="6" w:space="0" w:color="EFEFEF"/>
            </w:tcBorders>
            <w:shd w:val="clear" w:color="auto" w:fill="E0E0E0"/>
            <w:vAlign w:val="bottom"/>
            <w:hideMark/>
          </w:tcPr>
          <w:p w14:paraId="52592E61" w14:textId="77777777" w:rsidR="002203B6" w:rsidRPr="00A55335" w:rsidRDefault="002203B6" w:rsidP="008920B6">
            <w:pPr>
              <w:pStyle w:val="Tabletext8pt"/>
              <w:rPr>
                <w:rStyle w:val="Strong"/>
              </w:rPr>
            </w:pPr>
            <w:r w:rsidRPr="00A55335">
              <w:rPr>
                <w:rStyle w:val="Strong"/>
              </w:rPr>
              <w:t>Risk with Homeopathy</w:t>
            </w:r>
          </w:p>
        </w:tc>
        <w:tc>
          <w:tcPr>
            <w:tcW w:w="435" w:type="pct"/>
            <w:vMerge/>
            <w:tcBorders>
              <w:right w:val="single" w:sz="6" w:space="0" w:color="EFEFEF"/>
            </w:tcBorders>
            <w:shd w:val="clear" w:color="auto" w:fill="006579" w:themeFill="accent2"/>
            <w:vAlign w:val="center"/>
            <w:hideMark/>
          </w:tcPr>
          <w:p w14:paraId="42551D20" w14:textId="77777777" w:rsidR="002203B6" w:rsidRPr="00A55335" w:rsidRDefault="002203B6" w:rsidP="00C030F2">
            <w:pPr>
              <w:pStyle w:val="Tabletext8pt"/>
              <w:rPr>
                <w:b/>
                <w:bCs/>
              </w:rPr>
            </w:pPr>
          </w:p>
        </w:tc>
        <w:tc>
          <w:tcPr>
            <w:tcW w:w="654" w:type="pct"/>
            <w:vMerge/>
            <w:tcBorders>
              <w:right w:val="single" w:sz="6" w:space="0" w:color="EFEFEF"/>
            </w:tcBorders>
            <w:shd w:val="clear" w:color="auto" w:fill="006579" w:themeFill="accent2"/>
            <w:vAlign w:val="center"/>
            <w:hideMark/>
          </w:tcPr>
          <w:p w14:paraId="564B1EF4" w14:textId="77777777" w:rsidR="002203B6" w:rsidRPr="00A55335" w:rsidRDefault="002203B6" w:rsidP="00C030F2">
            <w:pPr>
              <w:pStyle w:val="Tabletext8pt"/>
              <w:rPr>
                <w:b/>
                <w:bCs/>
              </w:rPr>
            </w:pPr>
          </w:p>
        </w:tc>
        <w:tc>
          <w:tcPr>
            <w:tcW w:w="581" w:type="pct"/>
            <w:vMerge/>
            <w:tcBorders>
              <w:right w:val="single" w:sz="6" w:space="0" w:color="EFEFEF"/>
            </w:tcBorders>
            <w:shd w:val="clear" w:color="auto" w:fill="006579" w:themeFill="accent2"/>
            <w:vAlign w:val="center"/>
            <w:hideMark/>
          </w:tcPr>
          <w:p w14:paraId="1AEF57AD" w14:textId="77777777" w:rsidR="002203B6" w:rsidRPr="00A55335" w:rsidRDefault="002203B6" w:rsidP="00C030F2">
            <w:pPr>
              <w:pStyle w:val="Tabletext8pt"/>
              <w:rPr>
                <w:b/>
                <w:bCs/>
              </w:rPr>
            </w:pPr>
          </w:p>
        </w:tc>
        <w:tc>
          <w:tcPr>
            <w:tcW w:w="1147" w:type="pct"/>
            <w:vMerge/>
            <w:tcBorders>
              <w:right w:val="single" w:sz="6" w:space="0" w:color="EFEFEF"/>
            </w:tcBorders>
            <w:shd w:val="clear" w:color="auto" w:fill="006579" w:themeFill="accent2"/>
            <w:vAlign w:val="center"/>
            <w:hideMark/>
          </w:tcPr>
          <w:p w14:paraId="6B0343F0" w14:textId="77777777" w:rsidR="002203B6" w:rsidRPr="00A55335" w:rsidRDefault="002203B6" w:rsidP="00C030F2">
            <w:pPr>
              <w:pStyle w:val="Tabletext8pt"/>
              <w:rPr>
                <w:b/>
                <w:bCs/>
              </w:rPr>
            </w:pPr>
          </w:p>
        </w:tc>
      </w:tr>
      <w:tr w:rsidR="00F30EA9" w:rsidRPr="00A55335" w14:paraId="461B591B" w14:textId="77777777" w:rsidTr="00F30EA9">
        <w:trPr>
          <w:cantSplit/>
        </w:trPr>
        <w:tc>
          <w:tcPr>
            <w:tcW w:w="873" w:type="pct"/>
            <w:tcBorders>
              <w:top w:val="single" w:sz="6" w:space="0" w:color="000000"/>
              <w:left w:val="nil"/>
              <w:bottom w:val="single" w:sz="6" w:space="0" w:color="000000"/>
              <w:right w:val="nil"/>
            </w:tcBorders>
            <w:vAlign w:val="center"/>
            <w:hideMark/>
          </w:tcPr>
          <w:p w14:paraId="29B8F98B" w14:textId="77777777" w:rsidR="002203B6" w:rsidRPr="00B973C0" w:rsidRDefault="002203B6" w:rsidP="00B973C0">
            <w:pPr>
              <w:pStyle w:val="Tabletext8pt"/>
              <w:rPr>
                <w:rStyle w:val="label"/>
              </w:rPr>
            </w:pPr>
            <w:r w:rsidRPr="00A55335">
              <w:t xml:space="preserve">Symptom severity </w:t>
            </w:r>
            <w:r w:rsidRPr="00A55335">
              <w:br/>
            </w:r>
            <w:r w:rsidRPr="00B973C0">
              <w:rPr>
                <w:rStyle w:val="label"/>
              </w:rPr>
              <w:t xml:space="preserve">assessed with: Greene </w:t>
            </w:r>
            <w:proofErr w:type="spellStart"/>
            <w:r w:rsidRPr="00B973C0">
              <w:rPr>
                <w:rStyle w:val="label"/>
              </w:rPr>
              <w:t>Climateric</w:t>
            </w:r>
            <w:proofErr w:type="spellEnd"/>
            <w:r w:rsidRPr="00B973C0">
              <w:rPr>
                <w:rStyle w:val="label"/>
              </w:rPr>
              <w:t xml:space="preserve"> Scale</w:t>
            </w:r>
          </w:p>
          <w:p w14:paraId="384A237C" w14:textId="77777777" w:rsidR="002203B6" w:rsidRPr="00B973C0" w:rsidRDefault="002203B6" w:rsidP="00B973C0">
            <w:pPr>
              <w:pStyle w:val="Tabletext8pt"/>
              <w:rPr>
                <w:rStyle w:val="label"/>
              </w:rPr>
            </w:pPr>
            <w:r w:rsidRPr="00B973C0">
              <w:rPr>
                <w:rStyle w:val="label"/>
              </w:rPr>
              <w:t xml:space="preserve">Scale from: 0 to 36 (higher is worse) </w:t>
            </w:r>
          </w:p>
          <w:p w14:paraId="0F402BA9" w14:textId="77777777" w:rsidR="002203B6" w:rsidRPr="00A55335" w:rsidRDefault="002203B6" w:rsidP="00C030F2">
            <w:pPr>
              <w:pStyle w:val="Tabletext8pt"/>
            </w:pPr>
            <w:r w:rsidRPr="00A55335">
              <w:t>follow up: 36 weeks</w:t>
            </w:r>
          </w:p>
        </w:tc>
        <w:tc>
          <w:tcPr>
            <w:tcW w:w="655" w:type="pct"/>
            <w:tcBorders>
              <w:top w:val="single" w:sz="6" w:space="0" w:color="000000"/>
              <w:left w:val="nil"/>
              <w:bottom w:val="single" w:sz="6" w:space="0" w:color="000000"/>
              <w:right w:val="nil"/>
            </w:tcBorders>
            <w:shd w:val="clear" w:color="auto" w:fill="EBEBEB"/>
            <w:vAlign w:val="center"/>
            <w:hideMark/>
          </w:tcPr>
          <w:p w14:paraId="2BD79D2E" w14:textId="77777777" w:rsidR="002203B6" w:rsidRPr="00A55335" w:rsidRDefault="002203B6" w:rsidP="003867B2">
            <w:pPr>
              <w:pStyle w:val="Tabletext8pt"/>
              <w:jc w:val="center"/>
            </w:pPr>
            <w:r w:rsidRPr="00A55335">
              <w:rPr>
                <w:rStyle w:val="cell-value"/>
              </w:rPr>
              <w:t xml:space="preserve">The mean symptom severity was </w:t>
            </w:r>
            <w:r w:rsidRPr="00A55335">
              <w:rPr>
                <w:rStyle w:val="cell-value"/>
                <w:b/>
                <w:bCs/>
              </w:rPr>
              <w:t>1.83</w:t>
            </w:r>
          </w:p>
        </w:tc>
        <w:tc>
          <w:tcPr>
            <w:tcW w:w="655" w:type="pct"/>
            <w:tcBorders>
              <w:top w:val="single" w:sz="6" w:space="0" w:color="000000"/>
              <w:left w:val="nil"/>
              <w:bottom w:val="single" w:sz="6" w:space="0" w:color="000000"/>
              <w:right w:val="nil"/>
            </w:tcBorders>
            <w:shd w:val="clear" w:color="auto" w:fill="EBEBEB"/>
            <w:vAlign w:val="center"/>
            <w:hideMark/>
          </w:tcPr>
          <w:p w14:paraId="09B5BCB0" w14:textId="77777777" w:rsidR="002203B6" w:rsidRPr="00A55335" w:rsidRDefault="002203B6" w:rsidP="003867B2">
            <w:pPr>
              <w:pStyle w:val="Tabletext8pt"/>
              <w:jc w:val="center"/>
            </w:pPr>
            <w:r w:rsidRPr="00A55335">
              <w:rPr>
                <w:rStyle w:val="cell-value"/>
              </w:rPr>
              <w:t>MD</w:t>
            </w:r>
            <w:r w:rsidRPr="00A55335">
              <w:rPr>
                <w:rStyle w:val="cell-value"/>
                <w:b/>
                <w:bCs/>
              </w:rPr>
              <w:t xml:space="preserve"> 3.78 lower</w:t>
            </w:r>
            <w:r w:rsidRPr="00A55335">
              <w:br/>
            </w:r>
            <w:r w:rsidRPr="00A55335">
              <w:rPr>
                <w:rStyle w:val="cell-value"/>
              </w:rPr>
              <w:t>(7.81 lower to 0.25 higher)</w:t>
            </w:r>
          </w:p>
        </w:tc>
        <w:tc>
          <w:tcPr>
            <w:tcW w:w="435" w:type="pct"/>
            <w:tcBorders>
              <w:top w:val="single" w:sz="6" w:space="0" w:color="000000"/>
              <w:left w:val="nil"/>
              <w:bottom w:val="single" w:sz="6" w:space="0" w:color="000000"/>
              <w:right w:val="nil"/>
            </w:tcBorders>
            <w:vAlign w:val="center"/>
            <w:hideMark/>
          </w:tcPr>
          <w:p w14:paraId="1C1470A6" w14:textId="77777777" w:rsidR="002203B6" w:rsidRPr="00B26FE3" w:rsidRDefault="002203B6" w:rsidP="00B26FE3">
            <w:pPr>
              <w:pStyle w:val="Tabletext8pt"/>
              <w:jc w:val="center"/>
            </w:pPr>
            <w:r w:rsidRPr="00B26FE3">
              <w:rPr>
                <w:rStyle w:val="cell"/>
              </w:rPr>
              <w:t>-</w:t>
            </w:r>
          </w:p>
        </w:tc>
        <w:tc>
          <w:tcPr>
            <w:tcW w:w="654" w:type="pct"/>
            <w:tcBorders>
              <w:top w:val="single" w:sz="6" w:space="0" w:color="000000"/>
              <w:left w:val="nil"/>
              <w:bottom w:val="single" w:sz="6" w:space="0" w:color="000000"/>
              <w:right w:val="nil"/>
            </w:tcBorders>
            <w:vAlign w:val="center"/>
            <w:hideMark/>
          </w:tcPr>
          <w:p w14:paraId="5732596F" w14:textId="77777777" w:rsidR="002203B6" w:rsidRPr="00A55335" w:rsidRDefault="002203B6" w:rsidP="003867B2">
            <w:pPr>
              <w:pStyle w:val="Tabletext8pt"/>
              <w:jc w:val="center"/>
            </w:pPr>
            <w:r w:rsidRPr="00A55335">
              <w:t>43</w:t>
            </w:r>
            <w:r w:rsidRPr="00A55335">
              <w:br/>
              <w:t>(1 RCT)</w:t>
            </w:r>
          </w:p>
        </w:tc>
        <w:tc>
          <w:tcPr>
            <w:tcW w:w="581" w:type="pct"/>
            <w:tcBorders>
              <w:top w:val="single" w:sz="6" w:space="0" w:color="000000"/>
              <w:left w:val="nil"/>
              <w:bottom w:val="single" w:sz="6" w:space="0" w:color="000000"/>
              <w:right w:val="nil"/>
            </w:tcBorders>
            <w:vAlign w:val="center"/>
            <w:hideMark/>
          </w:tcPr>
          <w:p w14:paraId="419DDBF4" w14:textId="241FA661" w:rsidR="002203B6" w:rsidRPr="00A55335" w:rsidRDefault="002203B6" w:rsidP="003867B2">
            <w:pPr>
              <w:pStyle w:val="Tabletext8pt"/>
              <w:jc w:val="center"/>
            </w:pPr>
            <w:r w:rsidRPr="00A55335">
              <w:rPr>
                <w:rStyle w:val="quality-sign"/>
                <w:rFonts w:ascii="Cambria Math" w:hAnsi="Cambria Math" w:cs="Cambria Math"/>
              </w:rPr>
              <w:t>⨁◯◯◯</w:t>
            </w:r>
            <w:r w:rsidRPr="00A55335">
              <w:br/>
            </w:r>
            <w:r w:rsidRPr="00A55335">
              <w:rPr>
                <w:rStyle w:val="QualitytextChar"/>
              </w:rPr>
              <w:t>Very low</w:t>
            </w:r>
            <w:r w:rsidR="006E7ECB" w:rsidRPr="00A55335">
              <w:rPr>
                <w:rStyle w:val="quality-text"/>
              </w:rPr>
              <w:t xml:space="preserve"> </w:t>
            </w:r>
            <w:proofErr w:type="spellStart"/>
            <w:r w:rsidRPr="00A55335">
              <w:rPr>
                <w:rStyle w:val="FootnoteReference"/>
              </w:rPr>
              <w:t>a,b,c,d,e</w:t>
            </w:r>
            <w:proofErr w:type="spellEnd"/>
          </w:p>
        </w:tc>
        <w:tc>
          <w:tcPr>
            <w:tcW w:w="1147" w:type="pct"/>
            <w:tcBorders>
              <w:top w:val="single" w:sz="6" w:space="0" w:color="000000"/>
              <w:left w:val="nil"/>
              <w:bottom w:val="single" w:sz="6" w:space="0" w:color="000000"/>
              <w:right w:val="nil"/>
            </w:tcBorders>
            <w:vAlign w:val="center"/>
            <w:hideMark/>
          </w:tcPr>
          <w:p w14:paraId="600BF74E" w14:textId="1CF64D10" w:rsidR="002203B6" w:rsidRPr="00A55335" w:rsidRDefault="002203B6" w:rsidP="00C030F2">
            <w:pPr>
              <w:pStyle w:val="Tabletext8pt"/>
            </w:pPr>
            <w:r w:rsidRPr="00A55335">
              <w:t>The evidence is very uncertain about the effect of homeopathy on symptom severity in people with menopausal symptoms or complaints</w:t>
            </w:r>
            <w:r w:rsidR="00F30EA9">
              <w:t xml:space="preserve"> **</w:t>
            </w:r>
          </w:p>
        </w:tc>
      </w:tr>
      <w:tr w:rsidR="00F30EA9" w:rsidRPr="00A55335" w14:paraId="7CDB2D20" w14:textId="77777777" w:rsidTr="00F30EA9">
        <w:trPr>
          <w:cantSplit/>
        </w:trPr>
        <w:tc>
          <w:tcPr>
            <w:tcW w:w="873" w:type="pct"/>
            <w:tcBorders>
              <w:top w:val="single" w:sz="6" w:space="0" w:color="000000"/>
              <w:left w:val="nil"/>
              <w:bottom w:val="single" w:sz="6" w:space="0" w:color="000000"/>
              <w:right w:val="nil"/>
            </w:tcBorders>
            <w:vAlign w:val="center"/>
            <w:hideMark/>
          </w:tcPr>
          <w:p w14:paraId="22363E9F" w14:textId="77777777" w:rsidR="002203B6" w:rsidRPr="00B973C0" w:rsidRDefault="002203B6" w:rsidP="00B973C0">
            <w:pPr>
              <w:pStyle w:val="Tabletext8pt"/>
              <w:rPr>
                <w:rStyle w:val="label"/>
              </w:rPr>
            </w:pPr>
            <w:r w:rsidRPr="00A55335">
              <w:t>Hot flush severity</w:t>
            </w:r>
            <w:r w:rsidRPr="00A55335">
              <w:br/>
            </w:r>
            <w:r w:rsidRPr="00B973C0">
              <w:rPr>
                <w:rStyle w:val="label"/>
              </w:rPr>
              <w:t>assessed with: Hot flush frequency severity score</w:t>
            </w:r>
          </w:p>
          <w:p w14:paraId="160D1D20" w14:textId="77777777" w:rsidR="002203B6" w:rsidRPr="00B973C0" w:rsidRDefault="002203B6" w:rsidP="00B973C0">
            <w:pPr>
              <w:pStyle w:val="Tabletext8pt"/>
              <w:rPr>
                <w:rStyle w:val="label"/>
              </w:rPr>
            </w:pPr>
            <w:r w:rsidRPr="00B973C0">
              <w:rPr>
                <w:rStyle w:val="label"/>
              </w:rPr>
              <w:t>Scale from: 0 to 36 (higher is worse)</w:t>
            </w:r>
          </w:p>
          <w:p w14:paraId="1023136B" w14:textId="77777777" w:rsidR="002203B6" w:rsidRPr="00A55335" w:rsidRDefault="002203B6" w:rsidP="00C030F2">
            <w:pPr>
              <w:pStyle w:val="Tabletext8pt"/>
            </w:pPr>
            <w:r w:rsidRPr="00A55335">
              <w:t>follow up: 36 weeks</w:t>
            </w:r>
          </w:p>
        </w:tc>
        <w:tc>
          <w:tcPr>
            <w:tcW w:w="655" w:type="pct"/>
            <w:tcBorders>
              <w:top w:val="single" w:sz="6" w:space="0" w:color="000000"/>
              <w:left w:val="nil"/>
              <w:bottom w:val="single" w:sz="6" w:space="0" w:color="000000"/>
              <w:right w:val="nil"/>
            </w:tcBorders>
            <w:shd w:val="clear" w:color="auto" w:fill="EBEBEB"/>
            <w:vAlign w:val="center"/>
            <w:hideMark/>
          </w:tcPr>
          <w:p w14:paraId="2CACAB97" w14:textId="77777777" w:rsidR="002203B6" w:rsidRPr="00A55335" w:rsidRDefault="002203B6" w:rsidP="003867B2">
            <w:pPr>
              <w:pStyle w:val="Tabletext8pt"/>
              <w:jc w:val="center"/>
            </w:pPr>
            <w:r w:rsidRPr="00A55335">
              <w:rPr>
                <w:rStyle w:val="cell-value"/>
              </w:rPr>
              <w:t xml:space="preserve">The mean hot flush severity was </w:t>
            </w:r>
            <w:r w:rsidRPr="00A55335">
              <w:rPr>
                <w:rStyle w:val="cell-value"/>
                <w:b/>
                <w:bCs/>
              </w:rPr>
              <w:t>-1.16</w:t>
            </w:r>
          </w:p>
        </w:tc>
        <w:tc>
          <w:tcPr>
            <w:tcW w:w="655" w:type="pct"/>
            <w:tcBorders>
              <w:top w:val="single" w:sz="6" w:space="0" w:color="000000"/>
              <w:left w:val="nil"/>
              <w:bottom w:val="single" w:sz="6" w:space="0" w:color="000000"/>
              <w:right w:val="nil"/>
            </w:tcBorders>
            <w:shd w:val="clear" w:color="auto" w:fill="EBEBEB"/>
            <w:vAlign w:val="center"/>
            <w:hideMark/>
          </w:tcPr>
          <w:p w14:paraId="773F90C6" w14:textId="77777777" w:rsidR="002203B6" w:rsidRPr="00A55335" w:rsidRDefault="002203B6" w:rsidP="003867B2">
            <w:pPr>
              <w:pStyle w:val="Tabletext8pt"/>
              <w:jc w:val="center"/>
            </w:pPr>
            <w:r w:rsidRPr="00A55335">
              <w:rPr>
                <w:rStyle w:val="cell-value"/>
              </w:rPr>
              <w:t>MD</w:t>
            </w:r>
            <w:r w:rsidRPr="00A55335">
              <w:rPr>
                <w:rStyle w:val="cell-value"/>
                <w:b/>
                <w:bCs/>
              </w:rPr>
              <w:t xml:space="preserve"> 5.73</w:t>
            </w:r>
            <w:r w:rsidRPr="00A55335">
              <w:rPr>
                <w:rStyle w:val="cell-value"/>
              </w:rPr>
              <w:t xml:space="preserve"> </w:t>
            </w:r>
            <w:r w:rsidRPr="00A55335">
              <w:rPr>
                <w:rStyle w:val="cell-value"/>
                <w:b/>
                <w:bCs/>
              </w:rPr>
              <w:t>lower</w:t>
            </w:r>
            <w:r w:rsidRPr="00A55335">
              <w:br/>
            </w:r>
            <w:r w:rsidRPr="00A55335">
              <w:rPr>
                <w:rStyle w:val="cell-value"/>
              </w:rPr>
              <w:t>(11.94 lower to 0.48 higher)</w:t>
            </w:r>
          </w:p>
        </w:tc>
        <w:tc>
          <w:tcPr>
            <w:tcW w:w="435" w:type="pct"/>
            <w:tcBorders>
              <w:top w:val="single" w:sz="6" w:space="0" w:color="000000"/>
              <w:left w:val="nil"/>
              <w:bottom w:val="single" w:sz="6" w:space="0" w:color="000000"/>
              <w:right w:val="nil"/>
            </w:tcBorders>
            <w:vAlign w:val="center"/>
            <w:hideMark/>
          </w:tcPr>
          <w:p w14:paraId="5CA202B9" w14:textId="77777777" w:rsidR="002203B6" w:rsidRPr="00B26FE3" w:rsidRDefault="002203B6" w:rsidP="00B26FE3">
            <w:pPr>
              <w:pStyle w:val="Tabletext8pt"/>
              <w:jc w:val="center"/>
            </w:pPr>
            <w:r w:rsidRPr="00B26FE3">
              <w:rPr>
                <w:rStyle w:val="cell"/>
              </w:rPr>
              <w:t>-</w:t>
            </w:r>
          </w:p>
        </w:tc>
        <w:tc>
          <w:tcPr>
            <w:tcW w:w="654" w:type="pct"/>
            <w:tcBorders>
              <w:top w:val="single" w:sz="6" w:space="0" w:color="000000"/>
              <w:left w:val="nil"/>
              <w:bottom w:val="single" w:sz="6" w:space="0" w:color="000000"/>
              <w:right w:val="nil"/>
            </w:tcBorders>
            <w:vAlign w:val="center"/>
            <w:hideMark/>
          </w:tcPr>
          <w:p w14:paraId="4E4F6AB8" w14:textId="77777777" w:rsidR="002203B6" w:rsidRPr="00A55335" w:rsidRDefault="002203B6" w:rsidP="003867B2">
            <w:pPr>
              <w:pStyle w:val="Tabletext8pt"/>
              <w:jc w:val="center"/>
            </w:pPr>
            <w:r w:rsidRPr="00A55335">
              <w:t>43</w:t>
            </w:r>
            <w:r w:rsidRPr="00A55335">
              <w:br/>
              <w:t>(1 RCT)</w:t>
            </w:r>
          </w:p>
        </w:tc>
        <w:tc>
          <w:tcPr>
            <w:tcW w:w="581" w:type="pct"/>
            <w:tcBorders>
              <w:top w:val="single" w:sz="6" w:space="0" w:color="000000"/>
              <w:left w:val="nil"/>
              <w:bottom w:val="single" w:sz="6" w:space="0" w:color="000000"/>
              <w:right w:val="nil"/>
            </w:tcBorders>
            <w:vAlign w:val="center"/>
            <w:hideMark/>
          </w:tcPr>
          <w:p w14:paraId="57BDE3D1" w14:textId="60E09E28" w:rsidR="002203B6" w:rsidRPr="00A55335" w:rsidRDefault="002203B6" w:rsidP="003867B2">
            <w:pPr>
              <w:pStyle w:val="Tabletext8pt"/>
              <w:jc w:val="center"/>
            </w:pPr>
            <w:r w:rsidRPr="00A55335">
              <w:rPr>
                <w:rStyle w:val="quality-sign"/>
                <w:rFonts w:ascii="Cambria Math" w:hAnsi="Cambria Math" w:cs="Cambria Math"/>
              </w:rPr>
              <w:t>⨁◯◯◯</w:t>
            </w:r>
            <w:r w:rsidRPr="00A55335">
              <w:br/>
            </w:r>
            <w:r w:rsidRPr="00A55335">
              <w:rPr>
                <w:rStyle w:val="QualitytextChar"/>
              </w:rPr>
              <w:t>Very low</w:t>
            </w:r>
            <w:r w:rsidR="006E7ECB" w:rsidRPr="00A55335">
              <w:rPr>
                <w:rStyle w:val="quality-text"/>
              </w:rPr>
              <w:t xml:space="preserve"> </w:t>
            </w:r>
            <w:proofErr w:type="spellStart"/>
            <w:r w:rsidRPr="00A55335">
              <w:rPr>
                <w:rStyle w:val="FootnoteReference"/>
              </w:rPr>
              <w:t>a,b,c,d,e</w:t>
            </w:r>
            <w:proofErr w:type="spellEnd"/>
          </w:p>
        </w:tc>
        <w:tc>
          <w:tcPr>
            <w:tcW w:w="1147" w:type="pct"/>
            <w:tcBorders>
              <w:top w:val="single" w:sz="6" w:space="0" w:color="000000"/>
              <w:left w:val="nil"/>
              <w:bottom w:val="single" w:sz="6" w:space="0" w:color="000000"/>
              <w:right w:val="nil"/>
            </w:tcBorders>
            <w:vAlign w:val="center"/>
            <w:hideMark/>
          </w:tcPr>
          <w:p w14:paraId="2AD9B400" w14:textId="252D829D" w:rsidR="002203B6" w:rsidRPr="00A55335" w:rsidRDefault="002203B6" w:rsidP="00C030F2">
            <w:pPr>
              <w:pStyle w:val="Tabletext8pt"/>
            </w:pPr>
            <w:r w:rsidRPr="00A55335">
              <w:t>The evidence is very uncertain about the effect of homeopathy on hot flush severity in people with menopausal symptoms or complaints</w:t>
            </w:r>
            <w:r w:rsidR="00F30EA9">
              <w:t xml:space="preserve"> **</w:t>
            </w:r>
          </w:p>
        </w:tc>
      </w:tr>
      <w:tr w:rsidR="00F30EA9" w:rsidRPr="00A55335" w14:paraId="77EEF4E7" w14:textId="77777777" w:rsidTr="00F30EA9">
        <w:trPr>
          <w:cantSplit/>
        </w:trPr>
        <w:tc>
          <w:tcPr>
            <w:tcW w:w="873" w:type="pct"/>
            <w:tcBorders>
              <w:top w:val="single" w:sz="6" w:space="0" w:color="000000"/>
              <w:left w:val="nil"/>
              <w:bottom w:val="single" w:sz="6" w:space="0" w:color="000000"/>
              <w:right w:val="nil"/>
            </w:tcBorders>
            <w:vAlign w:val="center"/>
            <w:hideMark/>
          </w:tcPr>
          <w:p w14:paraId="7F5F2F9D" w14:textId="77777777" w:rsidR="002203B6" w:rsidRPr="00B973C0" w:rsidRDefault="002203B6" w:rsidP="00B973C0">
            <w:pPr>
              <w:pStyle w:val="Tabletext8pt"/>
            </w:pPr>
            <w:r w:rsidRPr="00B973C0">
              <w:rPr>
                <w:rStyle w:val="label"/>
              </w:rPr>
              <w:t>Health-related quality of life - not reported</w:t>
            </w:r>
          </w:p>
        </w:tc>
        <w:tc>
          <w:tcPr>
            <w:tcW w:w="655" w:type="pct"/>
            <w:tcBorders>
              <w:top w:val="single" w:sz="6" w:space="0" w:color="000000"/>
              <w:left w:val="nil"/>
              <w:bottom w:val="single" w:sz="6" w:space="0" w:color="000000"/>
              <w:right w:val="nil"/>
            </w:tcBorders>
            <w:shd w:val="clear" w:color="auto" w:fill="EBEBEB"/>
            <w:vAlign w:val="center"/>
            <w:hideMark/>
          </w:tcPr>
          <w:p w14:paraId="01B29825" w14:textId="77777777" w:rsidR="002203B6" w:rsidRPr="00B26FE3" w:rsidRDefault="002203B6" w:rsidP="00B26FE3">
            <w:pPr>
              <w:pStyle w:val="Tabletext8pt"/>
              <w:jc w:val="center"/>
            </w:pPr>
            <w:r w:rsidRPr="00B26FE3">
              <w:rPr>
                <w:rStyle w:val="cell"/>
              </w:rPr>
              <w:t>-</w:t>
            </w:r>
          </w:p>
        </w:tc>
        <w:tc>
          <w:tcPr>
            <w:tcW w:w="655" w:type="pct"/>
            <w:tcBorders>
              <w:top w:val="single" w:sz="6" w:space="0" w:color="000000"/>
              <w:left w:val="nil"/>
              <w:bottom w:val="single" w:sz="6" w:space="0" w:color="000000"/>
              <w:right w:val="nil"/>
            </w:tcBorders>
            <w:shd w:val="clear" w:color="auto" w:fill="EBEBEB"/>
            <w:vAlign w:val="center"/>
            <w:hideMark/>
          </w:tcPr>
          <w:p w14:paraId="3B836B87" w14:textId="77777777" w:rsidR="002203B6" w:rsidRPr="00B26FE3" w:rsidRDefault="002203B6" w:rsidP="00B26FE3">
            <w:pPr>
              <w:pStyle w:val="Tabletext8pt"/>
              <w:jc w:val="center"/>
            </w:pPr>
            <w:r w:rsidRPr="00B26FE3">
              <w:rPr>
                <w:rStyle w:val="cell"/>
              </w:rPr>
              <w:t>-</w:t>
            </w:r>
          </w:p>
        </w:tc>
        <w:tc>
          <w:tcPr>
            <w:tcW w:w="435" w:type="pct"/>
            <w:tcBorders>
              <w:top w:val="single" w:sz="6" w:space="0" w:color="000000"/>
              <w:left w:val="nil"/>
              <w:bottom w:val="single" w:sz="6" w:space="0" w:color="000000"/>
              <w:right w:val="nil"/>
            </w:tcBorders>
            <w:vAlign w:val="center"/>
            <w:hideMark/>
          </w:tcPr>
          <w:p w14:paraId="3BC0FAB4" w14:textId="77777777" w:rsidR="002203B6" w:rsidRPr="00B26FE3" w:rsidRDefault="002203B6" w:rsidP="00B26FE3">
            <w:pPr>
              <w:pStyle w:val="Tabletext8pt"/>
              <w:jc w:val="center"/>
            </w:pPr>
            <w:r w:rsidRPr="00B26FE3">
              <w:rPr>
                <w:rStyle w:val="cell"/>
              </w:rPr>
              <w:t>-</w:t>
            </w:r>
          </w:p>
        </w:tc>
        <w:tc>
          <w:tcPr>
            <w:tcW w:w="654" w:type="pct"/>
            <w:tcBorders>
              <w:top w:val="single" w:sz="6" w:space="0" w:color="000000"/>
              <w:left w:val="nil"/>
              <w:bottom w:val="single" w:sz="6" w:space="0" w:color="000000"/>
              <w:right w:val="nil"/>
            </w:tcBorders>
            <w:vAlign w:val="center"/>
            <w:hideMark/>
          </w:tcPr>
          <w:p w14:paraId="755EA201" w14:textId="77777777" w:rsidR="002203B6" w:rsidRPr="00B26FE3" w:rsidRDefault="002203B6" w:rsidP="00B26FE3">
            <w:pPr>
              <w:pStyle w:val="Tabletext8pt"/>
              <w:jc w:val="center"/>
            </w:pPr>
            <w:r w:rsidRPr="00B26FE3">
              <w:rPr>
                <w:rStyle w:val="cell"/>
              </w:rPr>
              <w:t>-</w:t>
            </w:r>
          </w:p>
        </w:tc>
        <w:tc>
          <w:tcPr>
            <w:tcW w:w="581" w:type="pct"/>
            <w:tcBorders>
              <w:top w:val="single" w:sz="6" w:space="0" w:color="000000"/>
              <w:left w:val="nil"/>
              <w:bottom w:val="single" w:sz="6" w:space="0" w:color="000000"/>
              <w:right w:val="nil"/>
            </w:tcBorders>
            <w:vAlign w:val="center"/>
            <w:hideMark/>
          </w:tcPr>
          <w:p w14:paraId="4A79FFAB" w14:textId="77777777" w:rsidR="002203B6" w:rsidRPr="00B26FE3" w:rsidRDefault="002203B6" w:rsidP="00B26FE3">
            <w:pPr>
              <w:pStyle w:val="Tabletext8pt"/>
              <w:jc w:val="center"/>
            </w:pPr>
            <w:r w:rsidRPr="00B26FE3">
              <w:rPr>
                <w:rStyle w:val="cell"/>
              </w:rPr>
              <w:t>-</w:t>
            </w:r>
          </w:p>
        </w:tc>
        <w:tc>
          <w:tcPr>
            <w:tcW w:w="1147" w:type="pct"/>
            <w:tcBorders>
              <w:top w:val="single" w:sz="6" w:space="0" w:color="000000"/>
              <w:left w:val="nil"/>
              <w:bottom w:val="single" w:sz="6" w:space="0" w:color="000000"/>
              <w:right w:val="nil"/>
            </w:tcBorders>
            <w:vAlign w:val="center"/>
            <w:hideMark/>
          </w:tcPr>
          <w:p w14:paraId="45520DF9" w14:textId="25574252" w:rsidR="002203B6" w:rsidRPr="00A55335" w:rsidRDefault="002203B6" w:rsidP="00C030F2">
            <w:pPr>
              <w:pStyle w:val="Tabletext8pt"/>
            </w:pPr>
            <w:r w:rsidRPr="00A55335">
              <w:t>The effect of homeopathy on quality of life in people with menopausal symptoms or complaints is unknown</w:t>
            </w:r>
          </w:p>
        </w:tc>
      </w:tr>
      <w:tr w:rsidR="00F30EA9" w:rsidRPr="00A55335" w14:paraId="7CD789DD" w14:textId="77777777" w:rsidTr="00F30EA9">
        <w:trPr>
          <w:cantSplit/>
        </w:trPr>
        <w:tc>
          <w:tcPr>
            <w:tcW w:w="873" w:type="pct"/>
            <w:tcBorders>
              <w:top w:val="single" w:sz="6" w:space="0" w:color="000000"/>
              <w:left w:val="nil"/>
              <w:bottom w:val="single" w:sz="6" w:space="0" w:color="000000"/>
              <w:right w:val="nil"/>
            </w:tcBorders>
            <w:vAlign w:val="center"/>
            <w:hideMark/>
          </w:tcPr>
          <w:p w14:paraId="25362DE4" w14:textId="77777777" w:rsidR="002203B6" w:rsidRPr="00B973C0" w:rsidRDefault="002203B6" w:rsidP="00B973C0">
            <w:pPr>
              <w:pStyle w:val="Tabletext8pt"/>
            </w:pPr>
            <w:r w:rsidRPr="00B973C0">
              <w:rPr>
                <w:rStyle w:val="label"/>
              </w:rPr>
              <w:t>Hot flush frequency - not reported</w:t>
            </w:r>
          </w:p>
        </w:tc>
        <w:tc>
          <w:tcPr>
            <w:tcW w:w="655" w:type="pct"/>
            <w:tcBorders>
              <w:top w:val="single" w:sz="6" w:space="0" w:color="000000"/>
              <w:left w:val="nil"/>
              <w:bottom w:val="single" w:sz="6" w:space="0" w:color="000000"/>
              <w:right w:val="nil"/>
            </w:tcBorders>
            <w:shd w:val="clear" w:color="auto" w:fill="EBEBEB"/>
            <w:vAlign w:val="center"/>
            <w:hideMark/>
          </w:tcPr>
          <w:p w14:paraId="2A8B53EE" w14:textId="77777777" w:rsidR="002203B6" w:rsidRPr="00B26FE3" w:rsidRDefault="002203B6" w:rsidP="00B26FE3">
            <w:pPr>
              <w:pStyle w:val="Tabletext8pt"/>
              <w:jc w:val="center"/>
            </w:pPr>
            <w:r w:rsidRPr="00B26FE3">
              <w:rPr>
                <w:rStyle w:val="cell"/>
              </w:rPr>
              <w:t>-</w:t>
            </w:r>
          </w:p>
        </w:tc>
        <w:tc>
          <w:tcPr>
            <w:tcW w:w="655" w:type="pct"/>
            <w:tcBorders>
              <w:top w:val="single" w:sz="6" w:space="0" w:color="000000"/>
              <w:left w:val="nil"/>
              <w:bottom w:val="single" w:sz="6" w:space="0" w:color="000000"/>
              <w:right w:val="nil"/>
            </w:tcBorders>
            <w:shd w:val="clear" w:color="auto" w:fill="EBEBEB"/>
            <w:vAlign w:val="center"/>
            <w:hideMark/>
          </w:tcPr>
          <w:p w14:paraId="3E1F8B9B" w14:textId="77777777" w:rsidR="002203B6" w:rsidRPr="00B26FE3" w:rsidRDefault="002203B6" w:rsidP="00B26FE3">
            <w:pPr>
              <w:pStyle w:val="Tabletext8pt"/>
              <w:jc w:val="center"/>
            </w:pPr>
            <w:r w:rsidRPr="00B26FE3">
              <w:rPr>
                <w:rStyle w:val="cell"/>
              </w:rPr>
              <w:t>-</w:t>
            </w:r>
          </w:p>
        </w:tc>
        <w:tc>
          <w:tcPr>
            <w:tcW w:w="435" w:type="pct"/>
            <w:tcBorders>
              <w:top w:val="single" w:sz="6" w:space="0" w:color="000000"/>
              <w:left w:val="nil"/>
              <w:bottom w:val="single" w:sz="6" w:space="0" w:color="000000"/>
              <w:right w:val="nil"/>
            </w:tcBorders>
            <w:vAlign w:val="center"/>
            <w:hideMark/>
          </w:tcPr>
          <w:p w14:paraId="5B3B9159" w14:textId="77777777" w:rsidR="002203B6" w:rsidRPr="00B26FE3" w:rsidRDefault="002203B6" w:rsidP="00B26FE3">
            <w:pPr>
              <w:pStyle w:val="Tabletext8pt"/>
              <w:jc w:val="center"/>
            </w:pPr>
            <w:r w:rsidRPr="00B26FE3">
              <w:rPr>
                <w:rStyle w:val="cell"/>
              </w:rPr>
              <w:t>-</w:t>
            </w:r>
          </w:p>
        </w:tc>
        <w:tc>
          <w:tcPr>
            <w:tcW w:w="654" w:type="pct"/>
            <w:tcBorders>
              <w:top w:val="single" w:sz="6" w:space="0" w:color="000000"/>
              <w:left w:val="nil"/>
              <w:bottom w:val="single" w:sz="6" w:space="0" w:color="000000"/>
              <w:right w:val="nil"/>
            </w:tcBorders>
            <w:vAlign w:val="center"/>
            <w:hideMark/>
          </w:tcPr>
          <w:p w14:paraId="1743ED95" w14:textId="77777777" w:rsidR="002203B6" w:rsidRPr="00B26FE3" w:rsidRDefault="002203B6" w:rsidP="00B26FE3">
            <w:pPr>
              <w:pStyle w:val="Tabletext8pt"/>
              <w:jc w:val="center"/>
            </w:pPr>
            <w:r w:rsidRPr="00B26FE3">
              <w:rPr>
                <w:rStyle w:val="cell"/>
              </w:rPr>
              <w:t>-</w:t>
            </w:r>
          </w:p>
        </w:tc>
        <w:tc>
          <w:tcPr>
            <w:tcW w:w="581" w:type="pct"/>
            <w:tcBorders>
              <w:top w:val="single" w:sz="6" w:space="0" w:color="000000"/>
              <w:left w:val="nil"/>
              <w:bottom w:val="single" w:sz="6" w:space="0" w:color="000000"/>
              <w:right w:val="nil"/>
            </w:tcBorders>
            <w:vAlign w:val="center"/>
            <w:hideMark/>
          </w:tcPr>
          <w:p w14:paraId="23FE3656" w14:textId="77777777" w:rsidR="002203B6" w:rsidRPr="00B26FE3" w:rsidRDefault="002203B6" w:rsidP="00B26FE3">
            <w:pPr>
              <w:pStyle w:val="Tabletext8pt"/>
              <w:jc w:val="center"/>
            </w:pPr>
            <w:r w:rsidRPr="00B26FE3">
              <w:rPr>
                <w:rStyle w:val="cell"/>
              </w:rPr>
              <w:t>-</w:t>
            </w:r>
          </w:p>
        </w:tc>
        <w:tc>
          <w:tcPr>
            <w:tcW w:w="1147" w:type="pct"/>
            <w:tcBorders>
              <w:top w:val="single" w:sz="6" w:space="0" w:color="000000"/>
              <w:left w:val="nil"/>
              <w:bottom w:val="single" w:sz="6" w:space="0" w:color="000000"/>
              <w:right w:val="nil"/>
            </w:tcBorders>
            <w:vAlign w:val="center"/>
            <w:hideMark/>
          </w:tcPr>
          <w:p w14:paraId="6A774679" w14:textId="4F677209" w:rsidR="002203B6" w:rsidRPr="00A55335" w:rsidRDefault="002203B6" w:rsidP="00C030F2">
            <w:pPr>
              <w:pStyle w:val="Tabletext8pt"/>
            </w:pPr>
            <w:r w:rsidRPr="00A55335">
              <w:t>The effect of homeopathy on hot flush frequency in people with menopausal symptoms or complaints is unknown</w:t>
            </w:r>
          </w:p>
        </w:tc>
      </w:tr>
      <w:tr w:rsidR="00F30EA9" w:rsidRPr="00A55335" w14:paraId="28946269" w14:textId="77777777" w:rsidTr="00F30EA9">
        <w:trPr>
          <w:cantSplit/>
        </w:trPr>
        <w:tc>
          <w:tcPr>
            <w:tcW w:w="873" w:type="pct"/>
            <w:tcBorders>
              <w:top w:val="single" w:sz="6" w:space="0" w:color="000000"/>
              <w:left w:val="nil"/>
              <w:bottom w:val="single" w:sz="6" w:space="0" w:color="000000"/>
              <w:right w:val="nil"/>
            </w:tcBorders>
            <w:vAlign w:val="center"/>
            <w:hideMark/>
          </w:tcPr>
          <w:p w14:paraId="73D0D16D" w14:textId="77777777" w:rsidR="002203B6" w:rsidRPr="00B973C0" w:rsidRDefault="002203B6" w:rsidP="00B973C0">
            <w:pPr>
              <w:pStyle w:val="Tabletext8pt"/>
            </w:pPr>
            <w:r w:rsidRPr="00B973C0">
              <w:rPr>
                <w:rStyle w:val="label"/>
              </w:rPr>
              <w:t>Night sweat frequency - not reported</w:t>
            </w:r>
          </w:p>
        </w:tc>
        <w:tc>
          <w:tcPr>
            <w:tcW w:w="655" w:type="pct"/>
            <w:tcBorders>
              <w:top w:val="single" w:sz="6" w:space="0" w:color="000000"/>
              <w:left w:val="nil"/>
              <w:bottom w:val="single" w:sz="6" w:space="0" w:color="000000"/>
              <w:right w:val="nil"/>
            </w:tcBorders>
            <w:shd w:val="clear" w:color="auto" w:fill="EBEBEB"/>
            <w:vAlign w:val="center"/>
            <w:hideMark/>
          </w:tcPr>
          <w:p w14:paraId="2CFF4367" w14:textId="77777777" w:rsidR="002203B6" w:rsidRPr="00B26FE3" w:rsidRDefault="002203B6" w:rsidP="00B26FE3">
            <w:pPr>
              <w:pStyle w:val="Tabletext8pt"/>
              <w:jc w:val="center"/>
            </w:pPr>
            <w:r w:rsidRPr="00B26FE3">
              <w:rPr>
                <w:rStyle w:val="cell"/>
              </w:rPr>
              <w:t>-</w:t>
            </w:r>
          </w:p>
        </w:tc>
        <w:tc>
          <w:tcPr>
            <w:tcW w:w="655" w:type="pct"/>
            <w:tcBorders>
              <w:top w:val="single" w:sz="6" w:space="0" w:color="000000"/>
              <w:left w:val="nil"/>
              <w:bottom w:val="single" w:sz="6" w:space="0" w:color="000000"/>
              <w:right w:val="nil"/>
            </w:tcBorders>
            <w:shd w:val="clear" w:color="auto" w:fill="EBEBEB"/>
            <w:vAlign w:val="center"/>
            <w:hideMark/>
          </w:tcPr>
          <w:p w14:paraId="57C9832F" w14:textId="77777777" w:rsidR="002203B6" w:rsidRPr="00B26FE3" w:rsidRDefault="002203B6" w:rsidP="00B26FE3">
            <w:pPr>
              <w:pStyle w:val="Tabletext8pt"/>
              <w:jc w:val="center"/>
            </w:pPr>
            <w:r w:rsidRPr="00B26FE3">
              <w:rPr>
                <w:rStyle w:val="cell"/>
              </w:rPr>
              <w:t>-</w:t>
            </w:r>
          </w:p>
        </w:tc>
        <w:tc>
          <w:tcPr>
            <w:tcW w:w="435" w:type="pct"/>
            <w:tcBorders>
              <w:top w:val="single" w:sz="6" w:space="0" w:color="000000"/>
              <w:left w:val="nil"/>
              <w:bottom w:val="single" w:sz="6" w:space="0" w:color="000000"/>
              <w:right w:val="nil"/>
            </w:tcBorders>
            <w:vAlign w:val="center"/>
            <w:hideMark/>
          </w:tcPr>
          <w:p w14:paraId="68BA87D3" w14:textId="77777777" w:rsidR="002203B6" w:rsidRPr="00B26FE3" w:rsidRDefault="002203B6" w:rsidP="00B26FE3">
            <w:pPr>
              <w:pStyle w:val="Tabletext8pt"/>
              <w:jc w:val="center"/>
            </w:pPr>
            <w:r w:rsidRPr="00B26FE3">
              <w:rPr>
                <w:rStyle w:val="cell"/>
              </w:rPr>
              <w:t>-</w:t>
            </w:r>
          </w:p>
        </w:tc>
        <w:tc>
          <w:tcPr>
            <w:tcW w:w="654" w:type="pct"/>
            <w:tcBorders>
              <w:top w:val="single" w:sz="6" w:space="0" w:color="000000"/>
              <w:left w:val="nil"/>
              <w:bottom w:val="single" w:sz="6" w:space="0" w:color="000000"/>
              <w:right w:val="nil"/>
            </w:tcBorders>
            <w:vAlign w:val="center"/>
            <w:hideMark/>
          </w:tcPr>
          <w:p w14:paraId="56F99D1E" w14:textId="77777777" w:rsidR="002203B6" w:rsidRPr="00B26FE3" w:rsidRDefault="002203B6" w:rsidP="00B26FE3">
            <w:pPr>
              <w:pStyle w:val="Tabletext8pt"/>
              <w:jc w:val="center"/>
            </w:pPr>
            <w:r w:rsidRPr="00B26FE3">
              <w:rPr>
                <w:rStyle w:val="cell"/>
              </w:rPr>
              <w:t>-</w:t>
            </w:r>
          </w:p>
        </w:tc>
        <w:tc>
          <w:tcPr>
            <w:tcW w:w="581" w:type="pct"/>
            <w:tcBorders>
              <w:top w:val="single" w:sz="6" w:space="0" w:color="000000"/>
              <w:left w:val="nil"/>
              <w:bottom w:val="single" w:sz="6" w:space="0" w:color="000000"/>
              <w:right w:val="nil"/>
            </w:tcBorders>
            <w:vAlign w:val="center"/>
            <w:hideMark/>
          </w:tcPr>
          <w:p w14:paraId="410D5E37" w14:textId="77777777" w:rsidR="002203B6" w:rsidRPr="00B26FE3" w:rsidRDefault="002203B6" w:rsidP="00B26FE3">
            <w:pPr>
              <w:pStyle w:val="Tabletext8pt"/>
              <w:jc w:val="center"/>
            </w:pPr>
            <w:r w:rsidRPr="00B26FE3">
              <w:rPr>
                <w:rStyle w:val="cell"/>
              </w:rPr>
              <w:t>-</w:t>
            </w:r>
          </w:p>
        </w:tc>
        <w:tc>
          <w:tcPr>
            <w:tcW w:w="1147" w:type="pct"/>
            <w:tcBorders>
              <w:top w:val="single" w:sz="6" w:space="0" w:color="000000"/>
              <w:left w:val="nil"/>
              <w:bottom w:val="single" w:sz="6" w:space="0" w:color="000000"/>
              <w:right w:val="nil"/>
            </w:tcBorders>
            <w:vAlign w:val="center"/>
            <w:hideMark/>
          </w:tcPr>
          <w:p w14:paraId="38E44769" w14:textId="77777777" w:rsidR="002203B6" w:rsidRPr="00A55335" w:rsidRDefault="002203B6" w:rsidP="00C030F2">
            <w:pPr>
              <w:pStyle w:val="Tabletext8pt"/>
            </w:pPr>
            <w:r w:rsidRPr="00A55335">
              <w:t>The effect of homeopathy on night sweat frequency in people with menopausal symptoms or complaints is unknown</w:t>
            </w:r>
          </w:p>
        </w:tc>
      </w:tr>
      <w:tr w:rsidR="002203B6" w:rsidRPr="00A55335" w14:paraId="352C9AA8" w14:textId="77777777" w:rsidTr="00F30EA9">
        <w:trPr>
          <w:cantSplit/>
        </w:trPr>
        <w:tc>
          <w:tcPr>
            <w:tcW w:w="5000" w:type="pct"/>
            <w:gridSpan w:val="7"/>
            <w:tcBorders>
              <w:top w:val="single" w:sz="6" w:space="0" w:color="000000"/>
              <w:left w:val="nil"/>
              <w:bottom w:val="single" w:sz="6" w:space="0" w:color="000000"/>
              <w:right w:val="nil"/>
            </w:tcBorders>
            <w:vAlign w:val="center"/>
            <w:hideMark/>
          </w:tcPr>
          <w:p w14:paraId="5F9012C3" w14:textId="174810AC" w:rsidR="002203B6" w:rsidRPr="00A55335" w:rsidRDefault="002203B6" w:rsidP="00F30EA9">
            <w:pPr>
              <w:pStyle w:val="TableFigNotes0"/>
            </w:pPr>
            <w:r w:rsidRPr="00BD1A50">
              <w:rPr>
                <w:rStyle w:val="Strong"/>
              </w:rPr>
              <w:t>*The risk in the intervention group</w:t>
            </w:r>
            <w:r w:rsidRPr="00A55335">
              <w:t xml:space="preserve"> (and its 95% confidence interval) is based on the assumed risk in the comparison group and the </w:t>
            </w:r>
            <w:r w:rsidRPr="00BD1A50">
              <w:rPr>
                <w:rStyle w:val="Strong"/>
              </w:rPr>
              <w:t>relative effect</w:t>
            </w:r>
            <w:r w:rsidRPr="00A55335">
              <w:t xml:space="preserve"> of the intervention (and its 95% CI).</w:t>
            </w:r>
            <w:r w:rsidR="00F30EA9">
              <w:br/>
              <w:t>**</w:t>
            </w:r>
            <w:r w:rsidR="00F30EA9" w:rsidRPr="00F30EA9">
              <w:t>Effect estimates were to be considered on 3 levels: small (MD &lt;10% of the scale), moderate (MD between 10% to 20% of the scale) or large (MD more than 20% of the scale).</w:t>
            </w:r>
            <w:r w:rsidRPr="00A55335">
              <w:br/>
            </w:r>
            <w:r w:rsidRPr="00A55335">
              <w:br/>
            </w:r>
            <w:r w:rsidRPr="00BD1A50">
              <w:rPr>
                <w:rStyle w:val="Strong"/>
              </w:rPr>
              <w:t>CI:</w:t>
            </w:r>
            <w:r w:rsidRPr="00A55335">
              <w:t xml:space="preserve"> confidence interval; </w:t>
            </w:r>
            <w:r w:rsidRPr="00BD1A50">
              <w:rPr>
                <w:rStyle w:val="Strong"/>
              </w:rPr>
              <w:t>MD:</w:t>
            </w:r>
            <w:r w:rsidRPr="00A55335">
              <w:t xml:space="preserve"> mean difference</w:t>
            </w:r>
          </w:p>
        </w:tc>
      </w:tr>
      <w:tr w:rsidR="002203B6" w:rsidRPr="00A55335" w14:paraId="2FECDC72" w14:textId="77777777" w:rsidTr="00F30EA9">
        <w:trPr>
          <w:cantSplit/>
        </w:trPr>
        <w:tc>
          <w:tcPr>
            <w:tcW w:w="5000" w:type="pct"/>
            <w:gridSpan w:val="7"/>
            <w:tcBorders>
              <w:top w:val="single" w:sz="6" w:space="0" w:color="000000"/>
              <w:left w:val="nil"/>
              <w:bottom w:val="single" w:sz="6" w:space="0" w:color="000000"/>
              <w:right w:val="nil"/>
            </w:tcBorders>
            <w:vAlign w:val="center"/>
            <w:hideMark/>
          </w:tcPr>
          <w:p w14:paraId="0B35F461" w14:textId="77777777" w:rsidR="002203B6" w:rsidRPr="00A55335" w:rsidRDefault="002203B6" w:rsidP="00491C1D">
            <w:pPr>
              <w:pStyle w:val="TableFigNotes0"/>
            </w:pPr>
            <w:r w:rsidRPr="00BD1A50">
              <w:rPr>
                <w:rStyle w:val="Strong"/>
              </w:rPr>
              <w:lastRenderedPageBreak/>
              <w:t>GRADE Working Group grades of evidence</w:t>
            </w:r>
            <w:r w:rsidRPr="00BD1A50">
              <w:rPr>
                <w:rStyle w:val="Strong"/>
              </w:rPr>
              <w:br/>
              <w:t>High certainty:</w:t>
            </w:r>
            <w:r w:rsidRPr="00A55335">
              <w:t xml:space="preserve"> we are very confident that the true effect lies close to that of the estimate of the effect.</w:t>
            </w:r>
            <w:r w:rsidRPr="00A55335">
              <w:br/>
            </w:r>
            <w:r w:rsidRPr="00BD1A50">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BD1A50">
              <w:rPr>
                <w:rStyle w:val="Strong"/>
              </w:rPr>
              <w:t>Low certainty:</w:t>
            </w:r>
            <w:r w:rsidRPr="00A55335">
              <w:t xml:space="preserve"> our confidence in the effect estimate is limited: the true effect may be substantially different from the estimate of the effect.</w:t>
            </w:r>
            <w:r w:rsidRPr="00A55335">
              <w:br/>
            </w:r>
            <w:r w:rsidRPr="00BD1A50">
              <w:rPr>
                <w:rStyle w:val="Strong"/>
              </w:rPr>
              <w:t>Very low certainty:</w:t>
            </w:r>
            <w:r w:rsidRPr="00A55335">
              <w:t xml:space="preserve"> we have very little confidence in the effect estimate: the true effect is likely to be substantially different from the estimate of effect.</w:t>
            </w:r>
          </w:p>
        </w:tc>
      </w:tr>
    </w:tbl>
    <w:p w14:paraId="2CD1C586" w14:textId="77777777" w:rsidR="002203B6" w:rsidRPr="00A55335" w:rsidRDefault="002203B6" w:rsidP="002203B6">
      <w:pPr>
        <w:pStyle w:val="Heading5a"/>
        <w:rPr>
          <w:lang w:val="en-AU"/>
        </w:rPr>
      </w:pPr>
      <w:r w:rsidRPr="00A55335">
        <w:rPr>
          <w:lang w:val="en-AU"/>
        </w:rPr>
        <w:t>Explanations</w:t>
      </w:r>
    </w:p>
    <w:p w14:paraId="069383CB" w14:textId="77777777" w:rsidR="002203B6" w:rsidRPr="00A55335" w:rsidRDefault="002203B6" w:rsidP="00491C1D">
      <w:pPr>
        <w:pStyle w:val="Footnote"/>
      </w:pPr>
      <w:r w:rsidRPr="00A55335">
        <w:t>a. No serious risk of bias. Certainty of evidence not downgraded.</w:t>
      </w:r>
    </w:p>
    <w:p w14:paraId="6433BB9D" w14:textId="77777777" w:rsidR="002203B6" w:rsidRPr="00A55335" w:rsidRDefault="002203B6" w:rsidP="00491C1D">
      <w:pPr>
        <w:pStyle w:val="Footnote"/>
      </w:pPr>
      <w:r w:rsidRPr="00A55335">
        <w:t>b. Single study. Inconsistency not assessed. Certainty of evidence not downgraded.</w:t>
      </w:r>
    </w:p>
    <w:p w14:paraId="2FB17112" w14:textId="77777777" w:rsidR="002203B6" w:rsidRPr="00A55335" w:rsidRDefault="002203B6" w:rsidP="00491C1D">
      <w:pPr>
        <w:pStyle w:val="Footnote"/>
      </w:pPr>
      <w:r w:rsidRPr="00A55335">
        <w:t>c. No serious indirectness. The available evidence in perimenopausal and menopausal women experiencing hot flushes and is generalisable to the Australian population with a few caveats. Certainty of evidence not downgraded.</w:t>
      </w:r>
    </w:p>
    <w:p w14:paraId="7D69329E" w14:textId="163663DE" w:rsidR="006E7ECB" w:rsidRPr="00A55335" w:rsidRDefault="002203B6" w:rsidP="006E7ECB">
      <w:pPr>
        <w:pStyle w:val="Footnote"/>
      </w:pPr>
      <w:r w:rsidRPr="00A55335">
        <w:rPr>
          <w:szCs w:val="16"/>
        </w:rPr>
        <w:t xml:space="preserve">d. Very serious imprecision. </w:t>
      </w:r>
      <w:r w:rsidR="006E7ECB" w:rsidRPr="00A55335">
        <w:t xml:space="preserve">Single study with wide confidence intervals (upper and lower bounds overlap with both important </w:t>
      </w:r>
      <w:r w:rsidR="00F7185F">
        <w:t xml:space="preserve">benefits </w:t>
      </w:r>
      <w:r w:rsidR="006E7ECB" w:rsidRPr="00A55335">
        <w:t xml:space="preserve">and no important difference). Certainty of evidence downgraded 2 levels. </w:t>
      </w:r>
    </w:p>
    <w:p w14:paraId="195F726E" w14:textId="69159E5D" w:rsidR="002203B6" w:rsidRPr="00A55335" w:rsidRDefault="002203B6" w:rsidP="00491C1D">
      <w:pPr>
        <w:pStyle w:val="Footnote"/>
      </w:pPr>
      <w:r w:rsidRPr="00A55335">
        <w:t>e. Publication bias suspected. Evidence is limited to 1 small study. There is a strong suspicion of non-reporting of results related to p value, magnitude or direction of the results being considered unfavourable by the study investigators.  Certainty of evidence downgraded.</w:t>
      </w:r>
    </w:p>
    <w:p w14:paraId="5117F2BA" w14:textId="77777777" w:rsidR="00DD505D" w:rsidRPr="00A55335" w:rsidRDefault="00DD505D" w:rsidP="004D433B">
      <w:pPr>
        <w:pStyle w:val="Heading3"/>
      </w:pPr>
      <w:bookmarkStart w:id="452" w:name="_Toc183441404"/>
      <w:r w:rsidRPr="00A55335">
        <w:t>Forest plots</w:t>
      </w:r>
      <w:bookmarkEnd w:id="452"/>
    </w:p>
    <w:p w14:paraId="154B434E" w14:textId="6B4898A6" w:rsidR="006D4E25" w:rsidRPr="00A55335" w:rsidRDefault="00DD505D" w:rsidP="006D4E25">
      <w:pPr>
        <w:pStyle w:val="BodyText"/>
      </w:pPr>
      <w:r w:rsidRPr="00A55335">
        <w:t xml:space="preserve">Outcome results related </w:t>
      </w:r>
      <w:r w:rsidR="006D4E25" w:rsidRPr="00A55335">
        <w:t>to</w:t>
      </w:r>
      <w:r w:rsidR="0010333E" w:rsidRPr="00A55335">
        <w:t xml:space="preserve"> the p</w:t>
      </w:r>
      <w:r w:rsidR="006070ED" w:rsidRPr="00A55335">
        <w:t xml:space="preserve">rimary </w:t>
      </w:r>
      <w:r w:rsidR="0010333E" w:rsidRPr="00A55335">
        <w:t>c</w:t>
      </w:r>
      <w:r w:rsidR="006070ED" w:rsidRPr="00A55335">
        <w:t>omparison</w:t>
      </w:r>
      <w:r w:rsidR="006D4E25" w:rsidRPr="00A55335">
        <w:t xml:space="preserve"> (homeopathy vs placebo) </w:t>
      </w:r>
      <w:r w:rsidRPr="00A55335">
        <w:t xml:space="preserve">in people with menopausal symptoms </w:t>
      </w:r>
      <w:r w:rsidR="006D4E25" w:rsidRPr="00A55335">
        <w:t xml:space="preserve">or complaints </w:t>
      </w:r>
      <w:r w:rsidRPr="00A55335">
        <w:t xml:space="preserve">are presented in </w:t>
      </w:r>
      <w:r w:rsidRPr="00A55335">
        <w:fldChar w:fldCharType="begin"/>
      </w:r>
      <w:r w:rsidRPr="00A55335">
        <w:instrText xml:space="preserve"> REF _Ref143776670 \h </w:instrText>
      </w:r>
      <w:r w:rsidRPr="00A55335">
        <w:fldChar w:fldCharType="separate"/>
      </w:r>
      <w:r w:rsidR="00814B04" w:rsidRPr="00A55335">
        <w:t xml:space="preserve">Figure </w:t>
      </w:r>
      <w:r w:rsidR="00814B04">
        <w:rPr>
          <w:noProof/>
        </w:rPr>
        <w:t>83</w:t>
      </w:r>
      <w:r w:rsidRPr="00A55335">
        <w:fldChar w:fldCharType="end"/>
      </w:r>
      <w:r w:rsidR="006D4E25" w:rsidRPr="00A55335">
        <w:t xml:space="preserve"> (symptom severity), </w:t>
      </w:r>
      <w:r w:rsidRPr="00A55335">
        <w:fldChar w:fldCharType="begin"/>
      </w:r>
      <w:r w:rsidRPr="00A55335">
        <w:instrText xml:space="preserve"> REF _Ref143776830 \h </w:instrText>
      </w:r>
      <w:r w:rsidRPr="00A55335">
        <w:fldChar w:fldCharType="separate"/>
      </w:r>
      <w:r w:rsidR="00814B04" w:rsidRPr="00A55335">
        <w:t xml:space="preserve">Figure </w:t>
      </w:r>
      <w:r w:rsidR="00814B04">
        <w:rPr>
          <w:noProof/>
        </w:rPr>
        <w:t>84</w:t>
      </w:r>
      <w:r w:rsidRPr="00A55335">
        <w:fldChar w:fldCharType="end"/>
      </w:r>
      <w:r w:rsidR="006D4E25" w:rsidRPr="00A55335">
        <w:t xml:space="preserve"> (hot flush severity), and </w:t>
      </w:r>
      <w:r w:rsidRPr="00A55335">
        <w:fldChar w:fldCharType="begin"/>
      </w:r>
      <w:r w:rsidRPr="00A55335">
        <w:instrText xml:space="preserve"> REF _Ref143776836 \h </w:instrText>
      </w:r>
      <w:r w:rsidRPr="00A55335">
        <w:fldChar w:fldCharType="separate"/>
      </w:r>
      <w:r w:rsidR="00814B04" w:rsidRPr="00A55335">
        <w:t xml:space="preserve">Figure </w:t>
      </w:r>
      <w:r w:rsidR="00814B04">
        <w:rPr>
          <w:noProof/>
        </w:rPr>
        <w:t>85</w:t>
      </w:r>
      <w:r w:rsidRPr="00A55335">
        <w:fldChar w:fldCharType="end"/>
      </w:r>
      <w:r w:rsidR="006D4E25" w:rsidRPr="00A55335">
        <w:t xml:space="preserve"> (health-related quality of life).</w:t>
      </w:r>
    </w:p>
    <w:p w14:paraId="0B255276" w14:textId="49186EC7" w:rsidR="00306816" w:rsidRPr="00A55335" w:rsidRDefault="00306816" w:rsidP="006D4E25">
      <w:pPr>
        <w:pStyle w:val="BodyText"/>
      </w:pPr>
      <w:r w:rsidRPr="00A55335">
        <w:t xml:space="preserve">Outcome results related to </w:t>
      </w:r>
      <w:r w:rsidR="0010333E" w:rsidRPr="00A55335">
        <w:t>the s</w:t>
      </w:r>
      <w:r w:rsidR="006070ED" w:rsidRPr="00A55335">
        <w:t xml:space="preserve">econdary </w:t>
      </w:r>
      <w:r w:rsidR="0010333E" w:rsidRPr="00A55335">
        <w:t>c</w:t>
      </w:r>
      <w:r w:rsidR="006070ED" w:rsidRPr="00A55335">
        <w:t>omparison</w:t>
      </w:r>
      <w:r w:rsidRPr="00A55335">
        <w:t xml:space="preserve"> (homeopathy vs </w:t>
      </w:r>
      <w:r w:rsidR="001517BC" w:rsidRPr="00A55335">
        <w:t xml:space="preserve">inactive </w:t>
      </w:r>
      <w:r w:rsidRPr="00A55335">
        <w:t xml:space="preserve">control) in people with menopausal symptoms or complaints are presented in </w:t>
      </w:r>
      <w:r w:rsidRPr="00A55335">
        <w:fldChar w:fldCharType="begin"/>
      </w:r>
      <w:r w:rsidRPr="00A55335">
        <w:instrText xml:space="preserve"> REF _Ref153915364 \h </w:instrText>
      </w:r>
      <w:r w:rsidRPr="00A55335">
        <w:fldChar w:fldCharType="separate"/>
      </w:r>
      <w:r w:rsidR="00814B04" w:rsidRPr="00A55335">
        <w:t xml:space="preserve">Figure </w:t>
      </w:r>
      <w:r w:rsidR="00814B04">
        <w:rPr>
          <w:noProof/>
        </w:rPr>
        <w:t>86</w:t>
      </w:r>
      <w:r w:rsidRPr="00A55335">
        <w:fldChar w:fldCharType="end"/>
      </w:r>
      <w:r w:rsidRPr="00A55335">
        <w:t xml:space="preserve"> (symptom severity), </w:t>
      </w:r>
      <w:r w:rsidRPr="00A55335">
        <w:fldChar w:fldCharType="begin"/>
      </w:r>
      <w:r w:rsidRPr="00A55335">
        <w:instrText xml:space="preserve"> REF _Ref153915365 \h </w:instrText>
      </w:r>
      <w:r w:rsidRPr="00A55335">
        <w:fldChar w:fldCharType="separate"/>
      </w:r>
      <w:r w:rsidR="00814B04" w:rsidRPr="00A55335">
        <w:t xml:space="preserve">Figure </w:t>
      </w:r>
      <w:r w:rsidR="00814B04">
        <w:rPr>
          <w:noProof/>
        </w:rPr>
        <w:t>87</w:t>
      </w:r>
      <w:r w:rsidRPr="00A55335">
        <w:fldChar w:fldCharType="end"/>
      </w:r>
      <w:r w:rsidRPr="00A55335">
        <w:t xml:space="preserve"> (hot flush severity),</w:t>
      </w:r>
    </w:p>
    <w:p w14:paraId="2A10C684" w14:textId="3010E246" w:rsidR="00DD505D" w:rsidRPr="00A55335" w:rsidRDefault="00DD505D" w:rsidP="00DD505D">
      <w:pPr>
        <w:pStyle w:val="Caption"/>
      </w:pPr>
      <w:bookmarkStart w:id="453" w:name="_Ref143776670"/>
      <w:bookmarkStart w:id="454" w:name="_Toc183520356"/>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83</w:t>
      </w:r>
      <w:r w:rsidRPr="00A55335">
        <w:fldChar w:fldCharType="end"/>
      </w:r>
      <w:bookmarkEnd w:id="453"/>
      <w:r w:rsidR="00902F96" w:rsidRPr="00A55335">
        <w:tab/>
      </w:r>
      <w:r w:rsidRPr="00A55335">
        <w:t xml:space="preserve">Forest plot of </w:t>
      </w:r>
      <w:r w:rsidR="00FD6668" w:rsidRPr="00A55335">
        <w:t xml:space="preserve">primary </w:t>
      </w:r>
      <w:r w:rsidRPr="00A55335">
        <w:t xml:space="preserve">comparison: Homeopathy vs placebo: </w:t>
      </w:r>
      <w:r w:rsidR="005F0563" w:rsidRPr="00A55335">
        <w:t>M</w:t>
      </w:r>
      <w:r w:rsidRPr="00A55335">
        <w:t>enopausal symptoms – symptom severity</w:t>
      </w:r>
      <w:bookmarkEnd w:id="454"/>
    </w:p>
    <w:p w14:paraId="352DF0B5" w14:textId="026DEE3D" w:rsidR="00E66D4E" w:rsidRPr="00A55335" w:rsidRDefault="00E66D4E" w:rsidP="00E66D4E">
      <w:pPr>
        <w:pStyle w:val="Pic"/>
      </w:pPr>
      <w:r w:rsidRPr="00A55335">
        <w:rPr>
          <w:noProof/>
        </w:rPr>
        <w:drawing>
          <wp:inline distT="0" distB="0" distL="0" distR="0" wp14:anchorId="4719D981" wp14:editId="52E2E286">
            <wp:extent cx="5987369" cy="5443268"/>
            <wp:effectExtent l="0" t="0" r="0" b="5080"/>
            <wp:docPr id="960319844" name="Picture 960319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94816" cy="5450038"/>
                    </a:xfrm>
                    <a:prstGeom prst="rect">
                      <a:avLst/>
                    </a:prstGeom>
                    <a:noFill/>
                    <a:ln>
                      <a:noFill/>
                    </a:ln>
                  </pic:spPr>
                </pic:pic>
              </a:graphicData>
            </a:graphic>
          </wp:inline>
        </w:drawing>
      </w:r>
    </w:p>
    <w:p w14:paraId="1720780F" w14:textId="77777777" w:rsidR="006D4E25" w:rsidRPr="00A55335" w:rsidRDefault="006D4E25" w:rsidP="006D4E25">
      <w:pPr>
        <w:pStyle w:val="TableFigNotes18"/>
      </w:pPr>
    </w:p>
    <w:p w14:paraId="6D42FE96" w14:textId="79621AE8" w:rsidR="00DD505D" w:rsidRPr="00A55335" w:rsidRDefault="00DD505D" w:rsidP="00DD505D">
      <w:pPr>
        <w:pStyle w:val="Caption"/>
      </w:pPr>
      <w:bookmarkStart w:id="455" w:name="_Ref143776830"/>
      <w:bookmarkStart w:id="456" w:name="_Toc183520357"/>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84</w:t>
      </w:r>
      <w:r w:rsidRPr="00A55335">
        <w:fldChar w:fldCharType="end"/>
      </w:r>
      <w:bookmarkEnd w:id="455"/>
      <w:r w:rsidR="00902F96" w:rsidRPr="00A55335">
        <w:tab/>
      </w:r>
      <w:r w:rsidRPr="00A55335">
        <w:t>Forest plot of</w:t>
      </w:r>
      <w:r w:rsidR="00FD6668" w:rsidRPr="00A55335">
        <w:t xml:space="preserve"> primary</w:t>
      </w:r>
      <w:r w:rsidRPr="00A55335">
        <w:t xml:space="preserve"> comparison: Homeopathy vs placebo: </w:t>
      </w:r>
      <w:r w:rsidR="00667167" w:rsidRPr="00A55335">
        <w:t>M</w:t>
      </w:r>
      <w:r w:rsidRPr="00A55335">
        <w:t>enopausal symptoms – hot flush severity</w:t>
      </w:r>
      <w:bookmarkEnd w:id="456"/>
      <w:r w:rsidRPr="00A55335">
        <w:t xml:space="preserve"> </w:t>
      </w:r>
    </w:p>
    <w:p w14:paraId="3E2DA74B" w14:textId="05B13B71" w:rsidR="00DD505D" w:rsidRPr="00A55335" w:rsidRDefault="006745E7" w:rsidP="00AC0A80">
      <w:pPr>
        <w:pStyle w:val="Pic"/>
      </w:pPr>
      <w:r w:rsidRPr="00A55335">
        <w:rPr>
          <w:noProof/>
        </w:rPr>
        <w:drawing>
          <wp:inline distT="0" distB="0" distL="0" distR="0" wp14:anchorId="3B9279C4" wp14:editId="59DC89BC">
            <wp:extent cx="6081937" cy="4166558"/>
            <wp:effectExtent l="0" t="0" r="0" b="5715"/>
            <wp:docPr id="1340986419" name="Picture 134098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98708" cy="4178048"/>
                    </a:xfrm>
                    <a:prstGeom prst="rect">
                      <a:avLst/>
                    </a:prstGeom>
                    <a:noFill/>
                    <a:ln>
                      <a:noFill/>
                    </a:ln>
                  </pic:spPr>
                </pic:pic>
              </a:graphicData>
            </a:graphic>
          </wp:inline>
        </w:drawing>
      </w:r>
    </w:p>
    <w:p w14:paraId="53A28A0B" w14:textId="77777777" w:rsidR="006D4E25" w:rsidRPr="00A55335" w:rsidRDefault="006D4E25" w:rsidP="006D4E25">
      <w:pPr>
        <w:pStyle w:val="TableFigNotes18"/>
      </w:pPr>
    </w:p>
    <w:p w14:paraId="6E473CA5" w14:textId="3A8F815C" w:rsidR="004C7C19" w:rsidRPr="00A55335" w:rsidRDefault="00DD505D" w:rsidP="00823AF3">
      <w:pPr>
        <w:pStyle w:val="Caption"/>
      </w:pPr>
      <w:bookmarkStart w:id="457" w:name="_Ref143776836"/>
      <w:bookmarkStart w:id="458" w:name="_Toc183520358"/>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85</w:t>
      </w:r>
      <w:r w:rsidRPr="00A55335">
        <w:fldChar w:fldCharType="end"/>
      </w:r>
      <w:bookmarkEnd w:id="457"/>
      <w:r w:rsidR="00902F96" w:rsidRPr="00A55335">
        <w:tab/>
      </w:r>
      <w:r w:rsidRPr="00A55335">
        <w:t xml:space="preserve">Forest plot of </w:t>
      </w:r>
      <w:r w:rsidR="00FD6668" w:rsidRPr="00A55335">
        <w:t xml:space="preserve">primary </w:t>
      </w:r>
      <w:r w:rsidRPr="00A55335">
        <w:t xml:space="preserve">comparison: Homeopathy vs placebo: </w:t>
      </w:r>
      <w:r w:rsidR="00667167" w:rsidRPr="00A55335">
        <w:t>M</w:t>
      </w:r>
      <w:r w:rsidRPr="00A55335">
        <w:t>enopausal symptoms – health-related quality of life</w:t>
      </w:r>
      <w:bookmarkEnd w:id="458"/>
    </w:p>
    <w:p w14:paraId="26CDEF39" w14:textId="3932028B" w:rsidR="006D4E25" w:rsidRPr="00A55335" w:rsidRDefault="00667167" w:rsidP="006D4E25">
      <w:pPr>
        <w:pStyle w:val="Pic"/>
      </w:pPr>
      <w:r w:rsidRPr="00A55335">
        <w:rPr>
          <w:noProof/>
        </w:rPr>
        <w:drawing>
          <wp:inline distT="0" distB="0" distL="0" distR="0" wp14:anchorId="417E3EF4" wp14:editId="23BB9870">
            <wp:extent cx="5991906" cy="4183811"/>
            <wp:effectExtent l="0" t="0" r="8890" b="7620"/>
            <wp:docPr id="900630911" name="Picture 90063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07766" cy="4194885"/>
                    </a:xfrm>
                    <a:prstGeom prst="rect">
                      <a:avLst/>
                    </a:prstGeom>
                    <a:noFill/>
                    <a:ln>
                      <a:noFill/>
                    </a:ln>
                  </pic:spPr>
                </pic:pic>
              </a:graphicData>
            </a:graphic>
          </wp:inline>
        </w:drawing>
      </w:r>
    </w:p>
    <w:p w14:paraId="569D3FE0" w14:textId="77777777" w:rsidR="006D4E25" w:rsidRPr="00A55335" w:rsidRDefault="006D4E25" w:rsidP="006D4E25">
      <w:pPr>
        <w:pStyle w:val="TableFigNotes18"/>
      </w:pPr>
    </w:p>
    <w:p w14:paraId="555BD99F" w14:textId="3C0927D8" w:rsidR="004A2EB8" w:rsidRPr="00A55335" w:rsidRDefault="004A2EB8" w:rsidP="004A2EB8">
      <w:pPr>
        <w:pStyle w:val="Caption"/>
      </w:pPr>
      <w:bookmarkStart w:id="459" w:name="_Ref153915364"/>
      <w:bookmarkStart w:id="460" w:name="_Toc183520359"/>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86</w:t>
      </w:r>
      <w:r w:rsidRPr="00A55335">
        <w:fldChar w:fldCharType="end"/>
      </w:r>
      <w:bookmarkEnd w:id="459"/>
      <w:r w:rsidRPr="00A55335">
        <w:tab/>
        <w:t xml:space="preserve">Forest plot of </w:t>
      </w:r>
      <w:r w:rsidR="00FD6668" w:rsidRPr="00A55335">
        <w:t xml:space="preserve">secondary </w:t>
      </w:r>
      <w:r w:rsidRPr="00A55335">
        <w:t xml:space="preserve">comparison: Homeopathy vs </w:t>
      </w:r>
      <w:r w:rsidR="00FD6668" w:rsidRPr="00A55335">
        <w:t xml:space="preserve">inactive </w:t>
      </w:r>
      <w:r w:rsidRPr="00A55335">
        <w:t>control: Menopausal symptoms – symptom severity</w:t>
      </w:r>
      <w:bookmarkEnd w:id="460"/>
    </w:p>
    <w:p w14:paraId="5A65EFF9" w14:textId="0D55F107" w:rsidR="004A2EB8" w:rsidRPr="00A55335" w:rsidRDefault="004A2EB8" w:rsidP="004A2EB8">
      <w:pPr>
        <w:pStyle w:val="Pic"/>
      </w:pPr>
      <w:r w:rsidRPr="00A55335">
        <w:rPr>
          <w:noProof/>
        </w:rPr>
        <w:drawing>
          <wp:inline distT="0" distB="0" distL="0" distR="0" wp14:anchorId="350C4FF1" wp14:editId="27541D94">
            <wp:extent cx="5962229" cy="1526875"/>
            <wp:effectExtent l="0" t="0" r="635" b="0"/>
            <wp:docPr id="1841436715" name="Picture 1841436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71618" cy="1529280"/>
                    </a:xfrm>
                    <a:prstGeom prst="rect">
                      <a:avLst/>
                    </a:prstGeom>
                    <a:noFill/>
                    <a:ln>
                      <a:noFill/>
                    </a:ln>
                  </pic:spPr>
                </pic:pic>
              </a:graphicData>
            </a:graphic>
          </wp:inline>
        </w:drawing>
      </w:r>
    </w:p>
    <w:p w14:paraId="175A8B0E" w14:textId="21D666E0" w:rsidR="004A2EB8" w:rsidRPr="00A55335" w:rsidRDefault="004A2EB8" w:rsidP="004A2EB8">
      <w:pPr>
        <w:pStyle w:val="Caption"/>
      </w:pPr>
      <w:bookmarkStart w:id="461" w:name="_Ref153915365"/>
      <w:bookmarkStart w:id="462" w:name="_Toc183520360"/>
      <w:r w:rsidRPr="00A55335">
        <w:t xml:space="preserve">Figure </w:t>
      </w:r>
      <w:r w:rsidRPr="00A55335">
        <w:fldChar w:fldCharType="begin"/>
      </w:r>
      <w:r w:rsidRPr="00A55335">
        <w:instrText xml:space="preserve"> SEQ Figure \* ARABIC </w:instrText>
      </w:r>
      <w:r w:rsidRPr="00A55335">
        <w:fldChar w:fldCharType="separate"/>
      </w:r>
      <w:r w:rsidR="00814B04">
        <w:rPr>
          <w:noProof/>
        </w:rPr>
        <w:t>87</w:t>
      </w:r>
      <w:r w:rsidRPr="00A55335">
        <w:fldChar w:fldCharType="end"/>
      </w:r>
      <w:bookmarkEnd w:id="461"/>
      <w:r w:rsidRPr="00A55335">
        <w:tab/>
        <w:t xml:space="preserve">Forest plot of </w:t>
      </w:r>
      <w:r w:rsidR="00FD6668" w:rsidRPr="00A55335">
        <w:t xml:space="preserve">secondary </w:t>
      </w:r>
      <w:r w:rsidRPr="00A55335">
        <w:t xml:space="preserve">comparison: Homeopathy vs </w:t>
      </w:r>
      <w:r w:rsidR="00FD6668" w:rsidRPr="00A55335">
        <w:t xml:space="preserve">inactive </w:t>
      </w:r>
      <w:r w:rsidRPr="00A55335">
        <w:t>control: Menopausal symptoms – hot flush severity</w:t>
      </w:r>
      <w:bookmarkEnd w:id="462"/>
    </w:p>
    <w:p w14:paraId="66628B64" w14:textId="0A271FD6" w:rsidR="004A2EB8" w:rsidRPr="00A55335" w:rsidRDefault="004A2EB8" w:rsidP="004A2EB8">
      <w:pPr>
        <w:pStyle w:val="Pic"/>
      </w:pPr>
      <w:r w:rsidRPr="00A55335">
        <w:rPr>
          <w:noProof/>
        </w:rPr>
        <w:drawing>
          <wp:inline distT="0" distB="0" distL="0" distR="0" wp14:anchorId="19FCFDBB" wp14:editId="1AB15333">
            <wp:extent cx="6133381" cy="1581862"/>
            <wp:effectExtent l="0" t="0" r="1270" b="0"/>
            <wp:docPr id="992065279" name="Picture 99206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51939" cy="1586648"/>
                    </a:xfrm>
                    <a:prstGeom prst="rect">
                      <a:avLst/>
                    </a:prstGeom>
                    <a:noFill/>
                    <a:ln>
                      <a:noFill/>
                    </a:ln>
                  </pic:spPr>
                </pic:pic>
              </a:graphicData>
            </a:graphic>
          </wp:inline>
        </w:drawing>
      </w:r>
    </w:p>
    <w:p w14:paraId="017C4472" w14:textId="77777777" w:rsidR="004A2EB8" w:rsidRPr="00A55335" w:rsidRDefault="004A2EB8" w:rsidP="004A2EB8">
      <w:pPr>
        <w:pStyle w:val="TableFigNotes18"/>
      </w:pPr>
    </w:p>
    <w:p w14:paraId="41A2DF50" w14:textId="205DD6C2" w:rsidR="004A2EB8" w:rsidRPr="00A55335" w:rsidRDefault="004A2EB8" w:rsidP="008D0C2A">
      <w:pPr>
        <w:pStyle w:val="BodyText"/>
      </w:pPr>
      <w:r w:rsidRPr="00A55335">
        <w:br w:type="page"/>
      </w:r>
    </w:p>
    <w:p w14:paraId="1E1ED6BD" w14:textId="77777777" w:rsidR="00DD505D" w:rsidRPr="00A55335" w:rsidRDefault="00DD505D" w:rsidP="00C373A2">
      <w:pPr>
        <w:pStyle w:val="Heading2"/>
      </w:pPr>
      <w:bookmarkStart w:id="463" w:name="_Toc183441405"/>
      <w:r w:rsidRPr="00A55335">
        <w:lastRenderedPageBreak/>
        <w:t>Menstrual disorders</w:t>
      </w:r>
      <w:bookmarkEnd w:id="463"/>
    </w:p>
    <w:p w14:paraId="2020C6B0" w14:textId="77777777" w:rsidR="00DD505D" w:rsidRPr="00A55335" w:rsidRDefault="00DD505D" w:rsidP="004D433B">
      <w:pPr>
        <w:pStyle w:val="Heading3"/>
      </w:pPr>
      <w:bookmarkStart w:id="464" w:name="_Toc183441406"/>
      <w:r w:rsidRPr="00A55335">
        <w:softHyphen/>
        <w:t>Description of the condition</w:t>
      </w:r>
      <w:bookmarkEnd w:id="464"/>
      <w:r w:rsidRPr="00A55335">
        <w:t xml:space="preserve"> </w:t>
      </w:r>
    </w:p>
    <w:p w14:paraId="2472FFFE" w14:textId="4387D96D" w:rsidR="00DD505D" w:rsidRPr="00A55335" w:rsidRDefault="00DD505D" w:rsidP="007252A0">
      <w:pPr>
        <w:pStyle w:val="BodyText"/>
      </w:pPr>
      <w:r w:rsidRPr="00A55335">
        <w:t>Menstrual disorders refer to conditions relating to the menstrual cycle, and in this review include</w:t>
      </w:r>
      <w:r w:rsidR="00905BE4" w:rsidRPr="00A55335">
        <w:t>s</w:t>
      </w:r>
      <w:r w:rsidRPr="00A55335">
        <w:t xml:space="preserve"> amenorrhea, dysmenorrhea, heavy bleeding, endometriosis, and premenstrual syndrome</w:t>
      </w:r>
      <w:r w:rsidR="00723068" w:rsidRPr="00A55335">
        <w:t xml:space="preserve"> (PMS)</w:t>
      </w:r>
      <w:r w:rsidRPr="00A55335">
        <w:t xml:space="preserve">. Endometriosis is a chronic inflammatory condition characterised by abnormal growth of endometrial-like tissue outside the uterine cavity </w:t>
      </w:r>
      <w:r w:rsidR="00635FCD" w:rsidRPr="00A55335">
        <w:fldChar w:fldCharType="begin">
          <w:fldData xml:space="preserve">PEVuZE5vdGU+PENpdGU+PEF1dGhvcj5EdW5zZWxtYW48L0F1dGhvcj48WWVhcj4yMDE0PC9ZZWFy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</w:fldData>
        </w:fldChar>
      </w:r>
      <w:r w:rsidR="00EC2769">
        <w:instrText xml:space="preserve"> ADDIN EN.CITE </w:instrText>
      </w:r>
      <w:r w:rsidR="00EC2769">
        <w:fldChar w:fldCharType="begin">
          <w:fldData xml:space="preserve">PEVuZE5vdGU+PENpdGU+PEF1dGhvcj5EdW5zZWxtYW48L0F1dGhvcj48WWVhcj4yMDE0PC9ZZWFy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318" w:tooltip="Dunselman, 2014 #602" w:history="1">
        <w:r w:rsidR="00EC2769">
          <w:rPr>
            <w:noProof/>
          </w:rPr>
          <w:t>318</w:t>
        </w:r>
      </w:hyperlink>
      <w:r w:rsidR="00EC2769">
        <w:rPr>
          <w:noProof/>
        </w:rPr>
        <w:t>)</w:t>
      </w:r>
      <w:r w:rsidR="00635FCD" w:rsidRPr="00A55335">
        <w:fldChar w:fldCharType="end"/>
      </w:r>
      <w:r w:rsidRPr="00A55335">
        <w:t xml:space="preserve">. Primary dysmenorrhoea describes painful menstrual bleeding, commonly experienced by 50-90% of people with menstrual cycles. Secondary dysmenorrhoea is attributed to underlying pelvic conditions such as endometriosis or fibroids in females who have menstruated previously </w:t>
      </w:r>
      <w:r w:rsidR="00635FCD" w:rsidRPr="00A55335">
        <w:fldChar w:fldCharType="begin"/>
      </w:r>
      <w:r w:rsidR="00EC2769">
        <w:instrText xml:space="preserve"> ADDIN EN.CITE &lt;EndNote&gt;&lt;Cite&gt;&lt;Author&gt;Kho&lt;/Author&gt;&lt;Year&gt;2020&lt;/Year&gt;&lt;RecNum&gt;483&lt;/RecNum&gt;&lt;DisplayText&gt;(319)&lt;/DisplayText&gt;&lt;record&gt;&lt;rec-number&gt;483&lt;/rec-number&gt;&lt;foreign-keys&gt;&lt;key app="EN" db-id="t5prptatr9sp0we5exbxt9zz20fwp55tdza9" timestamp="1700774035"&gt;483&lt;/key&gt;&lt;/foreign-keys&gt;&lt;ref-type name="Journal Article"&gt;17&lt;/ref-type&gt;&lt;contributors&gt;&lt;authors&gt;&lt;author&gt;Kho, K. A.&lt;/author&gt;&lt;author&gt;Shields, J. K.&lt;/author&gt;&lt;/authors&gt;&lt;/contributors&gt;&lt;auth-address&gt;Division of Gynecology, Department of Obstetrics and Gynecology, University of Texas Southwestern Medical Center, Dallas.&lt;/auth-address&gt;&lt;titles&gt;&lt;title&gt;Diagnosis and Management of Primary Dysmenorrhea&lt;/title&gt;&lt;secondary-title&gt;JAMA&lt;/secondary-title&gt;&lt;/titles&gt;&lt;periodical&gt;&lt;full-title&gt;Jama&lt;/full-title&gt;&lt;/periodical&gt;&lt;pages&gt;268-269&lt;/pages&gt;&lt;volume&gt;323&lt;/volume&gt;&lt;number&gt;3&lt;/number&gt;&lt;keywords&gt;&lt;keyword&gt;Absenteeism&lt;/keyword&gt;&lt;keyword&gt;Adolescent&lt;/keyword&gt;&lt;keyword&gt;Adult&lt;/keyword&gt;&lt;keyword&gt;Anti-Inflammatory Agents, Non-Steroidal/therapeutic use&lt;/keyword&gt;&lt;keyword&gt;Contraceptives, Oral, Combined/therapeutic use&lt;/keyword&gt;&lt;keyword&gt;Dysmenorrhea/complications/*diagnosis/*therapy&lt;/keyword&gt;&lt;keyword&gt;Female&lt;/keyword&gt;&lt;keyword&gt;Humans&lt;/keyword&gt;&lt;keyword&gt;Medical History Taking&lt;/keyword&gt;&lt;keyword&gt;Pelvic Pain/etiology/physiopathology/therapy&lt;/keyword&gt;&lt;keyword&gt;Young Adult&lt;/keyword&gt;&lt;/keywords&gt;&lt;dates&gt;&lt;year&gt;2020&lt;/year&gt;&lt;pub-dates&gt;&lt;date&gt;Jan 21&lt;/date&gt;&lt;/pub-dates&gt;&lt;/dates&gt;&lt;isbn&gt;1538-3598 (Electronic)&amp;#xD;0098-7484 (Linking)&lt;/isbn&gt;&lt;accession-num&gt;31855238&lt;/accession-num&gt;&lt;urls&gt;&lt;related-urls&gt;&lt;url&gt;https://www.ncbi.nlm.nih.gov/pubmed/31855238&lt;/url&gt;&lt;/related-urls&gt;&lt;/urls&gt;&lt;electronic-resource-num&gt;10.1001/jama.2019.16921&lt;/electronic-resource-num&gt;&lt;remote-database-name&gt;Medline&lt;/remote-database-name&gt;&lt;remote-database-provider&gt;NLM&lt;/remote-database-provider&gt;&lt;language&gt;eng&lt;/language&gt;&lt;/record&gt;&lt;/Cite&gt;&lt;/EndNote&gt;</w:instrText>
      </w:r>
      <w:r w:rsidR="00635FCD" w:rsidRPr="00A55335">
        <w:fldChar w:fldCharType="separate"/>
      </w:r>
      <w:r w:rsidR="00EC2769">
        <w:rPr>
          <w:noProof/>
        </w:rPr>
        <w:t>(</w:t>
      </w:r>
      <w:hyperlink w:anchor="_ENREF_319" w:tooltip="Kho, 2020 #483" w:history="1">
        <w:r w:rsidR="00EC2769">
          <w:rPr>
            <w:noProof/>
          </w:rPr>
          <w:t>319</w:t>
        </w:r>
      </w:hyperlink>
      <w:r w:rsidR="00EC2769">
        <w:rPr>
          <w:noProof/>
        </w:rPr>
        <w:t>)</w:t>
      </w:r>
      <w:r w:rsidR="00635FCD" w:rsidRPr="00A55335">
        <w:fldChar w:fldCharType="end"/>
      </w:r>
      <w:r w:rsidRPr="00A55335">
        <w:t xml:space="preserve">. Amenorrhoea is the absence of menstruation, commonly due to a lack of hormonal function in the ovaries, which may result in infertility </w:t>
      </w:r>
      <w:r w:rsidR="00635FCD" w:rsidRPr="00A55335">
        <w:fldChar w:fldCharType="begin"/>
      </w:r>
      <w:r w:rsidR="00EC2769">
        <w:instrText xml:space="preserve"> ADDIN EN.CITE &lt;EndNote&gt;&lt;Cite ExcludeAuth="1"&gt;&lt;Year&gt;2008&lt;/Year&gt;&lt;RecNum&gt;603&lt;/RecNum&gt;&lt;DisplayText&gt;(320)&lt;/DisplayText&gt;&lt;record&gt;&lt;rec-number&gt;603&lt;/rec-number&gt;&lt;foreign-keys&gt;&lt;key app="EN" db-id="t5prptatr9sp0we5exbxt9zz20fwp55tdza9" timestamp="1700802231"&gt;603&lt;/key&gt;&lt;/foreign-keys&gt;&lt;ref-type name="Journal Article"&gt;17&lt;/ref-type&gt;&lt;contributors&gt;&lt;/contributors&gt;&lt;titles&gt;&lt;title&gt;Current evaluation of amenorrhea&lt;/title&gt;&lt;secondary-title&gt;Fertil Steril&lt;/secondary-title&gt;&lt;/titles&gt;&lt;periodical&gt;&lt;full-title&gt;Fertil Steril&lt;/full-title&gt;&lt;/periodical&gt;&lt;pages&gt;S219-25&lt;/pages&gt;&lt;volume&gt;90&lt;/volume&gt;&lt;number&gt;5 Suppl&lt;/number&gt;&lt;keywords&gt;&lt;keyword&gt;Algorithms&lt;/keyword&gt;&lt;keyword&gt;Amenorrhea/blood/classification/*diagnosis/etiology&lt;/keyword&gt;&lt;keyword&gt;Female&lt;/keyword&gt;&lt;keyword&gt;Follicle Stimulating Hormone/blood&lt;/keyword&gt;&lt;keyword&gt;Humans&lt;/keyword&gt;&lt;keyword&gt;Hypothalamic Diseases/complications&lt;/keyword&gt;&lt;keyword&gt;Polycystic Ovary Syndrome/blood/complications/diagnosis&lt;/keyword&gt;&lt;keyword&gt;Prolactin/blood&lt;/keyword&gt;&lt;/keywords&gt;&lt;dates&gt;&lt;year&gt;2008&lt;/year&gt;&lt;pub-dates&gt;&lt;date&gt;Nov&lt;/date&gt;&lt;/pub-dates&gt;&lt;/dates&gt;&lt;isbn&gt;0015-0282&lt;/isbn&gt;&lt;accession-num&gt;19007635&lt;/accession-num&gt;&lt;urls&gt;&lt;/urls&gt;&lt;electronic-resource-num&gt;10.1016/j.fertnstert.2008.08.038&lt;/electronic-resource-num&gt;&lt;remote-database-provider&gt;NLM&lt;/remote-database-provider&gt;&lt;language&gt;eng&lt;/language&gt;&lt;/record&gt;&lt;/Cite&gt;&lt;/EndNote&gt;</w:instrText>
      </w:r>
      <w:r w:rsidR="00635FCD" w:rsidRPr="00A55335">
        <w:fldChar w:fldCharType="separate"/>
      </w:r>
      <w:r w:rsidR="00EC2769">
        <w:rPr>
          <w:noProof/>
        </w:rPr>
        <w:t>(</w:t>
      </w:r>
      <w:hyperlink w:anchor="_ENREF_320" w:tooltip=", 2008 #603" w:history="1">
        <w:r w:rsidR="00EC2769">
          <w:rPr>
            <w:noProof/>
          </w:rPr>
          <w:t>320</w:t>
        </w:r>
      </w:hyperlink>
      <w:r w:rsidR="00EC2769">
        <w:rPr>
          <w:noProof/>
        </w:rPr>
        <w:t>)</w:t>
      </w:r>
      <w:r w:rsidR="00635FCD" w:rsidRPr="00A55335">
        <w:fldChar w:fldCharType="end"/>
      </w:r>
      <w:r w:rsidRPr="00A55335">
        <w:t xml:space="preserve">. PMS is a complex condition referring to the physical and emotional symptoms that may be experienced 1-2 weeks prior to menstruation </w:t>
      </w:r>
      <w:r w:rsidR="00635FCD" w:rsidRPr="00A55335">
        <w:fldChar w:fldCharType="begin"/>
      </w:r>
      <w:r w:rsidR="00EC2769">
        <w:instrText xml:space="preserve"> ADDIN EN.CITE &lt;EndNote&gt;&lt;Cite ExcludeYear="1"&gt;&lt;RecNum&gt;485&lt;/RecNum&gt;&lt;DisplayText&gt;(321)&lt;/DisplayText&gt;&lt;record&gt;&lt;rec-number&gt;485&lt;/rec-number&gt;&lt;foreign-keys&gt;&lt;key app="EN" db-id="t5prptatr9sp0we5exbxt9zz20fwp55tdza9" timestamp="1700774035"&gt;485&lt;/key&gt;&lt;/foreign-keys&gt;&lt;ref-type name="Web Page"&gt;12&lt;/ref-type&gt;&lt;contributors&gt;&lt;/contributors&gt;&lt;titles&gt;&lt;title&gt;Premenstrual syndrome (PMS)&lt;/title&gt;&lt;/titles&gt;&lt;volume&gt;2023&lt;/volume&gt;&lt;number&gt;10 August&lt;/number&gt;&lt;dates&gt;&lt;/dates&gt;&lt;pub-location&gt;Victoria State Government&lt;/pub-location&gt;&lt;urls&gt;&lt;related-urls&gt;&lt;url&gt;https://www.betterhealth.vic.gov.au/health/conditionsandtreatments/premenstrual-syndrome-pms&lt;/url&gt;&lt;/related-urls&gt;&lt;/urls&gt;&lt;custom1&gt;2023&lt;/custom1&gt;&lt;custom2&gt;10 August&lt;/custom2&gt;&lt;/record&gt;&lt;/Cite&gt;&lt;/EndNote&gt;</w:instrText>
      </w:r>
      <w:r w:rsidR="00635FCD" w:rsidRPr="00A55335">
        <w:fldChar w:fldCharType="separate"/>
      </w:r>
      <w:r w:rsidR="00EC2769">
        <w:rPr>
          <w:noProof/>
        </w:rPr>
        <w:t>(</w:t>
      </w:r>
      <w:hyperlink w:anchor="_ENREF_321" w:tooltip=",  #485" w:history="1">
        <w:r w:rsidR="00EC2769">
          <w:rPr>
            <w:noProof/>
          </w:rPr>
          <w:t>321</w:t>
        </w:r>
      </w:hyperlink>
      <w:r w:rsidR="00EC2769">
        <w:rPr>
          <w:noProof/>
        </w:rPr>
        <w:t>)</w:t>
      </w:r>
      <w:r w:rsidR="00635FCD" w:rsidRPr="00A55335">
        <w:fldChar w:fldCharType="end"/>
      </w:r>
      <w:r w:rsidRPr="00A55335">
        <w:t>.</w:t>
      </w:r>
    </w:p>
    <w:p w14:paraId="6AD373A2" w14:textId="41E64342" w:rsidR="00DD505D" w:rsidRPr="00A55335" w:rsidRDefault="00DD505D" w:rsidP="007252A0">
      <w:pPr>
        <w:pStyle w:val="BodyText"/>
      </w:pPr>
      <w:r w:rsidRPr="00A55335">
        <w:t xml:space="preserve">Endometriosis affects 10-15% of all females of reproductive age and 70% of females with chronic pelvic pain </w:t>
      </w:r>
      <w:r w:rsidR="00635FCD" w:rsidRPr="00A55335">
        <w:fldChar w:fldCharType="begin">
          <w:fldData xml:space="preserve">PEVuZE5vdGU+PENpdGU+PEF1dGhvcj5QYXJhc2FyPC9BdXRob3I+PFllYXI+MjAxNzwvWWVhcj48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</w:fldData>
        </w:fldChar>
      </w:r>
      <w:r w:rsidR="00EC2769">
        <w:instrText xml:space="preserve"> ADDIN EN.CITE </w:instrText>
      </w:r>
      <w:r w:rsidR="00EC2769">
        <w:fldChar w:fldCharType="begin">
          <w:fldData xml:space="preserve">PEVuZE5vdGU+PENpdGU+PEF1dGhvcj5QYXJhc2FyPC9BdXRob3I+PFllYXI+MjAxNzwvWWVhcj48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</w:fldData>
        </w:fldChar>
      </w:r>
      <w:r w:rsidR="00EC2769">
        <w:instrText xml:space="preserve"> ADDIN EN.CITE.DATA </w:instrText>
      </w:r>
      <w:r w:rsidR="00EC2769">
        <w:fldChar w:fldCharType="end"/>
      </w:r>
      <w:r w:rsidR="00635FCD" w:rsidRPr="00A55335">
        <w:fldChar w:fldCharType="separate"/>
      </w:r>
      <w:r w:rsidR="00EC2769">
        <w:rPr>
          <w:noProof/>
        </w:rPr>
        <w:t>(</w:t>
      </w:r>
      <w:hyperlink w:anchor="_ENREF_322" w:tooltip="Parasar, 2017 #486" w:history="1">
        <w:r w:rsidR="00EC2769">
          <w:rPr>
            <w:noProof/>
          </w:rPr>
          <w:t>322</w:t>
        </w:r>
      </w:hyperlink>
      <w:r w:rsidR="00EC2769">
        <w:rPr>
          <w:noProof/>
        </w:rPr>
        <w:t>)</w:t>
      </w:r>
      <w:r w:rsidR="00635FCD" w:rsidRPr="00A55335">
        <w:fldChar w:fldCharType="end"/>
      </w:r>
      <w:r w:rsidRPr="00A55335">
        <w:t xml:space="preserve">. Typically, the diagnosis of endometriosis is often delayed, impairing the quality of life for many females, and resulting in unnecessary pain and, in some cases, infertility. The prevalence of dysmenorrhoea is estimated to affect 16.8% to 81% of </w:t>
      </w:r>
      <w:r w:rsidR="00A732A9" w:rsidRPr="00A55335">
        <w:t xml:space="preserve">females </w:t>
      </w:r>
      <w:r w:rsidRPr="00A55335">
        <w:t xml:space="preserve">of reproductive age, although some evidence reports rates high as 90% </w:t>
      </w:r>
      <w:r w:rsidR="00635FCD" w:rsidRPr="00A55335">
        <w:fldChar w:fldCharType="begin"/>
      </w:r>
      <w:r w:rsidR="00EC2769">
        <w:instrText xml:space="preserve"> ADDIN EN.CITE &lt;EndNote&gt;&lt;Cite&gt;&lt;Author&gt;Osayande&lt;/Author&gt;&lt;Year&gt;2014&lt;/Year&gt;&lt;RecNum&gt;487&lt;/RecNum&gt;&lt;DisplayText&gt;(323)&lt;/DisplayText&gt;&lt;record&gt;&lt;rec-number&gt;487&lt;/rec-number&gt;&lt;foreign-keys&gt;&lt;key app="EN" db-id="t5prptatr9sp0we5exbxt9zz20fwp55tdza9" timestamp="1700774035"&gt;487&lt;/key&gt;&lt;/foreign-keys&gt;&lt;ref-type name="Journal Article"&gt;17&lt;/ref-type&gt;&lt;contributors&gt;&lt;authors&gt;&lt;author&gt;Osayande, A. S.&lt;/author&gt;&lt;author&gt;Mehulic, S.&lt;/author&gt;&lt;/authors&gt;&lt;/contributors&gt;&lt;auth-address&gt;University of Texas Southwestern Medical Center, Dallas, TX, USA.&lt;/auth-address&gt;&lt;titles&gt;&lt;title&gt;Diagnosis and initial management of dysmenorrhea&lt;/title&gt;&lt;secondary-title&gt;Am Fam Physician&lt;/secondary-title&gt;&lt;/titles&gt;&lt;periodical&gt;&lt;full-title&gt;Am Fam Physician&lt;/full-title&gt;&lt;/periodical&gt;&lt;pages&gt;341-6&lt;/pages&gt;&lt;volume&gt;89&lt;/volume&gt;&lt;number&gt;5&lt;/number&gt;&lt;keywords&gt;&lt;keyword&gt;Anti-Infective Agents/*therapeutic use&lt;/keyword&gt;&lt;keyword&gt;Contraceptives, Oral, Hormonal/*therapeutic use&lt;/keyword&gt;&lt;keyword&gt;*Disease Management&lt;/keyword&gt;&lt;keyword&gt;Dysmenorrhea/*diagnosis/*therapy&lt;/keyword&gt;&lt;keyword&gt;Exercise Therapy/*methods&lt;/keyword&gt;&lt;keyword&gt;Female&lt;/keyword&gt;&lt;keyword&gt;Humans&lt;/keyword&gt;&lt;keyword&gt;Physical Examination&lt;/keyword&gt;&lt;keyword&gt;Prognosis&lt;/keyword&gt;&lt;/keywords&gt;&lt;dates&gt;&lt;year&gt;2014&lt;/year&gt;&lt;pub-dates&gt;&lt;date&gt;Mar 1&lt;/date&gt;&lt;/pub-dates&gt;&lt;/dates&gt;&lt;isbn&gt;1532-0650 (Electronic)&amp;#xD;0002-838X (Linking)&lt;/isbn&gt;&lt;accession-num&gt;24695505&lt;/accession-num&gt;&lt;urls&gt;&lt;related-urls&gt;&lt;url&gt;https://www.ncbi.nlm.nih.gov/pubmed/24695505&lt;/url&gt;&lt;/related-urls&gt;&lt;/urls&gt;&lt;remote-database-name&gt;Medline&lt;/remote-database-name&gt;&lt;remote-database-provider&gt;NLM&lt;/remote-database-provider&gt;&lt;language&gt;eng&lt;/language&gt;&lt;/record&gt;&lt;/Cite&gt;&lt;/EndNote&gt;</w:instrText>
      </w:r>
      <w:r w:rsidR="00635FCD" w:rsidRPr="00A55335">
        <w:fldChar w:fldCharType="separate"/>
      </w:r>
      <w:r w:rsidR="00EC2769">
        <w:rPr>
          <w:noProof/>
        </w:rPr>
        <w:t>(</w:t>
      </w:r>
      <w:hyperlink w:anchor="_ENREF_323" w:tooltip="Osayande, 2014 #487" w:history="1">
        <w:r w:rsidR="00EC2769">
          <w:rPr>
            <w:noProof/>
          </w:rPr>
          <w:t>323</w:t>
        </w:r>
      </w:hyperlink>
      <w:r w:rsidR="00EC2769">
        <w:rPr>
          <w:noProof/>
        </w:rPr>
        <w:t>)</w:t>
      </w:r>
      <w:r w:rsidR="00635FCD" w:rsidRPr="00A55335">
        <w:fldChar w:fldCharType="end"/>
      </w:r>
      <w:r w:rsidRPr="00A55335">
        <w:t>. At the same time, amenorrhoea not due to pregnancy, lactation or menopause affects between 3-4% of</w:t>
      </w:r>
      <w:r w:rsidRPr="00A55335" w:rsidDel="00CD5945">
        <w:t xml:space="preserve"> </w:t>
      </w:r>
      <w:r w:rsidRPr="00A55335">
        <w:t xml:space="preserve">females </w:t>
      </w:r>
      <w:r w:rsidR="00635FCD" w:rsidRPr="00A55335">
        <w:fldChar w:fldCharType="begin"/>
      </w:r>
      <w:r w:rsidR="00EC2769">
        <w:instrText xml:space="preserve"> ADDIN EN.CITE &lt;EndNote&gt;&lt;Cite ExcludeAuth="1"&gt;&lt;Author&gt;Practice Committee of American Society for Reproductive&lt;/Author&gt;&lt;Year&gt;2008&lt;/Year&gt;&lt;RecNum&gt;484&lt;/RecNum&gt;&lt;DisplayText&gt;(324)&lt;/DisplayText&gt;&lt;record&gt;&lt;rec-number&gt;484&lt;/rec-number&gt;&lt;foreign-keys&gt;&lt;key app="EN" db-id="t5prptatr9sp0we5exbxt9zz20fwp55tdza9" timestamp="1700774035"&gt;484&lt;/key&gt;&lt;/foreign-keys&gt;&lt;ref-type name="Journal Article"&gt;17&lt;/ref-type&gt;&lt;contributors&gt;&lt;authors&gt;&lt;author&gt;Practice Committee of American Society for Reproductive, Medicine&lt;/author&gt;&lt;/authors&gt;&lt;/contributors&gt;&lt;titles&gt;&lt;title&gt;Current evaluation of amenorrhea&lt;/title&gt;&lt;secondary-title&gt;Fertil Steril&lt;/secondary-title&gt;&lt;/titles&gt;&lt;periodical&gt;&lt;full-title&gt;Fertil Steril&lt;/full-title&gt;&lt;/periodical&gt;&lt;pages&gt;S219-25&lt;/pages&gt;&lt;volume&gt;90&lt;/volume&gt;&lt;number&gt;5 Suppl&lt;/number&gt;&lt;keywords&gt;&lt;keyword&gt;Algorithms&lt;/keyword&gt;&lt;keyword&gt;Amenorrhea/blood/classification/*diagnosis/etiology&lt;/keyword&gt;&lt;keyword&gt;Female&lt;/keyword&gt;&lt;keyword&gt;Follicle Stimulating Hormone/blood&lt;/keyword&gt;&lt;keyword&gt;Humans&lt;/keyword&gt;&lt;keyword&gt;Hypothalamic Diseases/complications&lt;/keyword&gt;&lt;keyword&gt;Polycystic Ovary Syndrome/blood/complications/diagnosis&lt;/keyword&gt;&lt;keyword&gt;Prolactin/blood&lt;/keyword&gt;&lt;/keywords&gt;&lt;dates&gt;&lt;year&gt;2008&lt;/year&gt;&lt;pub-dates&gt;&lt;date&gt;Nov&lt;/date&gt;&lt;/pub-dates&gt;&lt;/dates&gt;&lt;isbn&gt;1556-5653 (Electronic)&amp;#xD;0015-0282 (Linking)&lt;/isbn&gt;&lt;accession-num&gt;19007635&lt;/accession-num&gt;&lt;urls&gt;&lt;related-urls&gt;&lt;url&gt;https://www.ncbi.nlm.nih.gov/pubmed/19007635&lt;/url&gt;&lt;/related-urls&gt;&lt;/urls&gt;&lt;electronic-resource-num&gt;10.1016/j.fertnstert.2008.08.038&lt;/electronic-resource-num&gt;&lt;remote-database-name&gt;Medline&lt;/remote-database-name&gt;&lt;remote-database-provider&gt;NLM&lt;/remote-database-provider&gt;&lt;language&gt;eng&lt;/language&gt;&lt;/record&gt;&lt;/Cite&gt;&lt;/EndNote&gt;</w:instrText>
      </w:r>
      <w:r w:rsidR="00635FCD" w:rsidRPr="00A55335">
        <w:fldChar w:fldCharType="separate"/>
      </w:r>
      <w:r w:rsidR="00EC2769">
        <w:rPr>
          <w:noProof/>
        </w:rPr>
        <w:t>(</w:t>
      </w:r>
      <w:hyperlink w:anchor="_ENREF_324" w:tooltip="Practice Committee of American Society for Reproductive, 2008 #484" w:history="1">
        <w:r w:rsidR="00EC2769">
          <w:rPr>
            <w:noProof/>
          </w:rPr>
          <w:t>324</w:t>
        </w:r>
      </w:hyperlink>
      <w:r w:rsidR="00EC2769">
        <w:rPr>
          <w:noProof/>
        </w:rPr>
        <w:t>)</w:t>
      </w:r>
      <w:r w:rsidR="00635FCD" w:rsidRPr="00A55335">
        <w:fldChar w:fldCharType="end"/>
      </w:r>
      <w:r w:rsidRPr="00A55335">
        <w:t xml:space="preserve">. The prevalence of PMS has a broad range in the literature, with estimates as high as 90% of </w:t>
      </w:r>
      <w:r w:rsidR="00A732A9" w:rsidRPr="00A55335">
        <w:t>females</w:t>
      </w:r>
      <w:r w:rsidRPr="00A55335">
        <w:t xml:space="preserve"> of reproductive age, most experiencing only mild symptoms </w:t>
      </w:r>
      <w:r w:rsidR="00635FCD" w:rsidRPr="00A55335">
        <w:fldChar w:fldCharType="begin"/>
      </w:r>
      <w:r w:rsidR="00EC2769">
        <w:instrText xml:space="preserve"> ADDIN EN.CITE &lt;EndNote&gt;&lt;Cite&gt;&lt;Author&gt;Gao&lt;/Author&gt;&lt;Year&gt;2022&lt;/Year&gt;&lt;RecNum&gt;604&lt;/RecNum&gt;&lt;DisplayText&gt;(325)&lt;/DisplayText&gt;&lt;record&gt;&lt;rec-number&gt;604&lt;/rec-number&gt;&lt;foreign-keys&gt;&lt;key app="EN" db-id="t5prptatr9sp0we5exbxt9zz20fwp55tdza9" timestamp="1700802231"&gt;604&lt;/key&gt;&lt;/foreign-keys&gt;&lt;ref-type name="Journal Article"&gt;17&lt;/ref-type&gt;&lt;contributors&gt;&lt;authors&gt;&lt;author&gt;Gao, Mingzhou MD. &lt;/author&gt;&lt;author&gt;Zhang, Hao MD. &lt;/author&gt;&lt;author&gt;Gao, Zhan MM. &lt;/author&gt;&lt;author&gt;Cheng, Xunshu MD.&lt;/author&gt;&lt;author&gt;Sun, Ya MM.&lt;/author&gt;&lt;author&gt;Qiao, Mingqi MD.&lt;/author&gt;&lt;author&gt;Gao, Dongmei MD.&lt;/author&gt;&lt;/authors&gt;&lt;/contributors&gt;&lt;titles&gt;&lt;title&gt;Global and regional prevalence and burden for premenstrual syndrome and premenstrual dysphoric disorder: A study protocol for systematic review and meta-analysis&lt;/title&gt;&lt;secondary-title&gt;Medicine&lt;/secondary-title&gt;&lt;/titles&gt;&lt;periodical&gt;&lt;full-title&gt;Medicine&lt;/full-title&gt;&lt;/periodical&gt;&lt;volume&gt;101(1)&lt;/volume&gt;&lt;dates&gt;&lt;year&gt;2022&lt;/year&gt;&lt;pub-dates&gt;&lt;date&gt;07 January 2022&lt;/date&gt;&lt;/pub-dates&gt;&lt;/dates&gt;&lt;urls&gt;&lt;/urls&gt;&lt;electronic-resource-num&gt;10.1097/MD.0000000000028528&lt;/electronic-resource-num&gt;&lt;/record&gt;&lt;/Cite&gt;&lt;/EndNote&gt;</w:instrText>
      </w:r>
      <w:r w:rsidR="00635FCD" w:rsidRPr="00A55335">
        <w:fldChar w:fldCharType="separate"/>
      </w:r>
      <w:r w:rsidR="00EC2769">
        <w:rPr>
          <w:noProof/>
        </w:rPr>
        <w:t>(</w:t>
      </w:r>
      <w:hyperlink w:anchor="_ENREF_325" w:tooltip="Gao, 2022 #604" w:history="1">
        <w:r w:rsidR="00EC2769">
          <w:rPr>
            <w:noProof/>
          </w:rPr>
          <w:t>325</w:t>
        </w:r>
      </w:hyperlink>
      <w:r w:rsidR="00EC2769">
        <w:rPr>
          <w:noProof/>
        </w:rPr>
        <w:t>)</w:t>
      </w:r>
      <w:r w:rsidR="00635FCD" w:rsidRPr="00A55335">
        <w:fldChar w:fldCharType="end"/>
      </w:r>
      <w:r w:rsidRPr="00A55335">
        <w:t xml:space="preserve">. </w:t>
      </w:r>
    </w:p>
    <w:p w14:paraId="4D080F2D" w14:textId="07F167BB" w:rsidR="00DD505D" w:rsidRPr="00A55335" w:rsidRDefault="00DD505D" w:rsidP="007252A0">
      <w:pPr>
        <w:pStyle w:val="BodyText"/>
      </w:pPr>
      <w:r w:rsidRPr="00A55335">
        <w:t xml:space="preserve">Lifestyle, dietary patterns, environment and genetic factors may influence the risk of menstrual disorders. However, there is no known aetiology behind endometriosis. Dysmenorrhoea has several underlying causes that can be classified as either primary or secondary </w:t>
      </w:r>
      <w:r w:rsidR="00635FCD" w:rsidRPr="00A55335">
        <w:fldChar w:fldCharType="begin"/>
      </w:r>
      <w:r w:rsidR="00EC2769">
        <w:instrText xml:space="preserve"> ADDIN EN.CITE &lt;EndNote&gt;&lt;Cite&gt;&lt;Author&gt;Kho&lt;/Author&gt;&lt;Year&gt;2020&lt;/Year&gt;&lt;RecNum&gt;483&lt;/RecNum&gt;&lt;DisplayText&gt;(319)&lt;/DisplayText&gt;&lt;record&gt;&lt;rec-number&gt;483&lt;/rec-number&gt;&lt;foreign-keys&gt;&lt;key app="EN" db-id="t5prptatr9sp0we5exbxt9zz20fwp55tdza9" timestamp="1700774035"&gt;483&lt;/key&gt;&lt;/foreign-keys&gt;&lt;ref-type name="Journal Article"&gt;17&lt;/ref-type&gt;&lt;contributors&gt;&lt;authors&gt;&lt;author&gt;Kho, K. A.&lt;/author&gt;&lt;author&gt;Shields, J. K.&lt;/author&gt;&lt;/authors&gt;&lt;/contributors&gt;&lt;auth-address&gt;Division of Gynecology, Department of Obstetrics and Gynecology, University of Texas Southwestern Medical Center, Dallas.&lt;/auth-address&gt;&lt;titles&gt;&lt;title&gt;Diagnosis and Management of Primary Dysmenorrhea&lt;/title&gt;&lt;secondary-title&gt;JAMA&lt;/secondary-title&gt;&lt;/titles&gt;&lt;periodical&gt;&lt;full-title&gt;Jama&lt;/full-title&gt;&lt;/periodical&gt;&lt;pages&gt;268-269&lt;/pages&gt;&lt;volume&gt;323&lt;/volume&gt;&lt;number&gt;3&lt;/number&gt;&lt;keywords&gt;&lt;keyword&gt;Absenteeism&lt;/keyword&gt;&lt;keyword&gt;Adolescent&lt;/keyword&gt;&lt;keyword&gt;Adult&lt;/keyword&gt;&lt;keyword&gt;Anti-Inflammatory Agents, Non-Steroidal/therapeutic use&lt;/keyword&gt;&lt;keyword&gt;Contraceptives, Oral, Combined/therapeutic use&lt;/keyword&gt;&lt;keyword&gt;Dysmenorrhea/complications/*diagnosis/*therapy&lt;/keyword&gt;&lt;keyword&gt;Female&lt;/keyword&gt;&lt;keyword&gt;Humans&lt;/keyword&gt;&lt;keyword&gt;Medical History Taking&lt;/keyword&gt;&lt;keyword&gt;Pelvic Pain/etiology/physiopathology/therapy&lt;/keyword&gt;&lt;keyword&gt;Young Adult&lt;/keyword&gt;&lt;/keywords&gt;&lt;dates&gt;&lt;year&gt;2020&lt;/year&gt;&lt;pub-dates&gt;&lt;date&gt;Jan 21&lt;/date&gt;&lt;/pub-dates&gt;&lt;/dates&gt;&lt;isbn&gt;1538-3598 (Electronic)&amp;#xD;0098-7484 (Linking)&lt;/isbn&gt;&lt;accession-num&gt;31855238&lt;/accession-num&gt;&lt;urls&gt;&lt;related-urls&gt;&lt;url&gt;https://www.ncbi.nlm.nih.gov/pubmed/31855238&lt;/url&gt;&lt;/related-urls&gt;&lt;/urls&gt;&lt;electronic-resource-num&gt;10.1001/jama.2019.16921&lt;/electronic-resource-num&gt;&lt;remote-database-name&gt;Medline&lt;/remote-database-name&gt;&lt;remote-database-provider&gt;NLM&lt;/remote-database-provider&gt;&lt;language&gt;eng&lt;/language&gt;&lt;/record&gt;&lt;/Cite&gt;&lt;/EndNote&gt;</w:instrText>
      </w:r>
      <w:r w:rsidR="00635FCD" w:rsidRPr="00A55335">
        <w:fldChar w:fldCharType="separate"/>
      </w:r>
      <w:r w:rsidR="00EC2769">
        <w:rPr>
          <w:noProof/>
        </w:rPr>
        <w:t>(</w:t>
      </w:r>
      <w:hyperlink w:anchor="_ENREF_319" w:tooltip="Kho, 2020 #483" w:history="1">
        <w:r w:rsidR="00EC2769">
          <w:rPr>
            <w:noProof/>
          </w:rPr>
          <w:t>319</w:t>
        </w:r>
      </w:hyperlink>
      <w:r w:rsidR="00EC2769">
        <w:rPr>
          <w:noProof/>
        </w:rPr>
        <w:t>)</w:t>
      </w:r>
      <w:r w:rsidR="00635FCD" w:rsidRPr="00A55335">
        <w:fldChar w:fldCharType="end"/>
      </w:r>
      <w:r w:rsidRPr="00A55335">
        <w:t xml:space="preserve">. The most common causes of amenorrhoea include polycystic ovarian syndrome, hypothalamic amenorrhoea, ovarian failure and hyperprolactinemia </w:t>
      </w:r>
      <w:r w:rsidR="00635FCD" w:rsidRPr="00A55335">
        <w:fldChar w:fldCharType="begin"/>
      </w:r>
      <w:r w:rsidR="00EC2769">
        <w:instrText xml:space="preserve"> ADDIN EN.CITE &lt;EndNote&gt;&lt;Cite ExcludeAuth="1"&gt;&lt;Author&gt;Practice Committee of American Society for Reproductive&lt;/Author&gt;&lt;Year&gt;2008&lt;/Year&gt;&lt;RecNum&gt;484&lt;/RecNum&gt;&lt;DisplayText&gt;(324)&lt;/DisplayText&gt;&lt;record&gt;&lt;rec-number&gt;484&lt;/rec-number&gt;&lt;foreign-keys&gt;&lt;key app="EN" db-id="t5prptatr9sp0we5exbxt9zz20fwp55tdza9" timestamp="1700774035"&gt;484&lt;/key&gt;&lt;/foreign-keys&gt;&lt;ref-type name="Journal Article"&gt;17&lt;/ref-type&gt;&lt;contributors&gt;&lt;authors&gt;&lt;author&gt;Practice Committee of American Society for Reproductive, Medicine&lt;/author&gt;&lt;/authors&gt;&lt;/contributors&gt;&lt;titles&gt;&lt;title&gt;Current evaluation of amenorrhea&lt;/title&gt;&lt;secondary-title&gt;Fertil Steril&lt;/secondary-title&gt;&lt;/titles&gt;&lt;periodical&gt;&lt;full-title&gt;Fertil Steril&lt;/full-title&gt;&lt;/periodical&gt;&lt;pages&gt;S219-25&lt;/pages&gt;&lt;volume&gt;90&lt;/volume&gt;&lt;number&gt;5 Suppl&lt;/number&gt;&lt;keywords&gt;&lt;keyword&gt;Algorithms&lt;/keyword&gt;&lt;keyword&gt;Amenorrhea/blood/classification/*diagnosis/etiology&lt;/keyword&gt;&lt;keyword&gt;Female&lt;/keyword&gt;&lt;keyword&gt;Follicle Stimulating Hormone/blood&lt;/keyword&gt;&lt;keyword&gt;Humans&lt;/keyword&gt;&lt;keyword&gt;Hypothalamic Diseases/complications&lt;/keyword&gt;&lt;keyword&gt;Polycystic Ovary Syndrome/blood/complications/diagnosis&lt;/keyword&gt;&lt;keyword&gt;Prolactin/blood&lt;/keyword&gt;&lt;/keywords&gt;&lt;dates&gt;&lt;year&gt;2008&lt;/year&gt;&lt;pub-dates&gt;&lt;date&gt;Nov&lt;/date&gt;&lt;/pub-dates&gt;&lt;/dates&gt;&lt;isbn&gt;1556-5653 (Electronic)&amp;#xD;0015-0282 (Linking)&lt;/isbn&gt;&lt;accession-num&gt;19007635&lt;/accession-num&gt;&lt;urls&gt;&lt;related-urls&gt;&lt;url&gt;https://www.ncbi.nlm.nih.gov/pubmed/19007635&lt;/url&gt;&lt;/related-urls&gt;&lt;/urls&gt;&lt;electronic-resource-num&gt;10.1016/j.fertnstert.2008.08.038&lt;/electronic-resource-num&gt;&lt;remote-database-name&gt;Medline&lt;/remote-database-name&gt;&lt;remote-database-provider&gt;NLM&lt;/remote-database-provider&gt;&lt;language&gt;eng&lt;/language&gt;&lt;/record&gt;&lt;/Cite&gt;&lt;/EndNote&gt;</w:instrText>
      </w:r>
      <w:r w:rsidR="00635FCD" w:rsidRPr="00A55335">
        <w:fldChar w:fldCharType="separate"/>
      </w:r>
      <w:r w:rsidR="00EC2769">
        <w:rPr>
          <w:noProof/>
        </w:rPr>
        <w:t>(</w:t>
      </w:r>
      <w:hyperlink w:anchor="_ENREF_324" w:tooltip="Practice Committee of American Society for Reproductive, 2008 #484" w:history="1">
        <w:r w:rsidR="00EC2769">
          <w:rPr>
            <w:noProof/>
          </w:rPr>
          <w:t>324</w:t>
        </w:r>
      </w:hyperlink>
      <w:r w:rsidR="00EC2769">
        <w:rPr>
          <w:noProof/>
        </w:rPr>
        <w:t>)</w:t>
      </w:r>
      <w:r w:rsidR="00635FCD" w:rsidRPr="00A55335">
        <w:fldChar w:fldCharType="end"/>
      </w:r>
      <w:r w:rsidRPr="00A55335">
        <w:t xml:space="preserve">. Therapeutic options for most menstrual conditions include nonsteroidal anti-inflammatory drugs and hormonal contraceptives </w:t>
      </w:r>
      <w:r w:rsidR="00635FCD" w:rsidRPr="00A55335">
        <w:fldChar w:fldCharType="begin"/>
      </w:r>
      <w:r w:rsidR="00EC2769">
        <w:instrText xml:space="preserve"> ADDIN EN.CITE &lt;EndNote&gt;&lt;Cite&gt;&lt;Author&gt;Kho&lt;/Author&gt;&lt;Year&gt;2020&lt;/Year&gt;&lt;RecNum&gt;483&lt;/RecNum&gt;&lt;DisplayText&gt;(319)&lt;/DisplayText&gt;&lt;record&gt;&lt;rec-number&gt;483&lt;/rec-number&gt;&lt;foreign-keys&gt;&lt;key app="EN" db-id="t5prptatr9sp0we5exbxt9zz20fwp55tdza9" timestamp="1700774035"&gt;483&lt;/key&gt;&lt;/foreign-keys&gt;&lt;ref-type name="Journal Article"&gt;17&lt;/ref-type&gt;&lt;contributors&gt;&lt;authors&gt;&lt;author&gt;Kho, K. A.&lt;/author&gt;&lt;author&gt;Shields, J. K.&lt;/author&gt;&lt;/authors&gt;&lt;/contributors&gt;&lt;auth-address&gt;Division of Gynecology, Department of Obstetrics and Gynecology, University of Texas Southwestern Medical Center, Dallas.&lt;/auth-address&gt;&lt;titles&gt;&lt;title&gt;Diagnosis and Management of Primary Dysmenorrhea&lt;/title&gt;&lt;secondary-title&gt;JAMA&lt;/secondary-title&gt;&lt;/titles&gt;&lt;periodical&gt;&lt;full-title&gt;Jama&lt;/full-title&gt;&lt;/periodical&gt;&lt;pages&gt;268-269&lt;/pages&gt;&lt;volume&gt;323&lt;/volume&gt;&lt;number&gt;3&lt;/number&gt;&lt;keywords&gt;&lt;keyword&gt;Absenteeism&lt;/keyword&gt;&lt;keyword&gt;Adolescent&lt;/keyword&gt;&lt;keyword&gt;Adult&lt;/keyword&gt;&lt;keyword&gt;Anti-Inflammatory Agents, Non-Steroidal/therapeutic use&lt;/keyword&gt;&lt;keyword&gt;Contraceptives, Oral, Combined/therapeutic use&lt;/keyword&gt;&lt;keyword&gt;Dysmenorrhea/complications/*diagnosis/*therapy&lt;/keyword&gt;&lt;keyword&gt;Female&lt;/keyword&gt;&lt;keyword&gt;Humans&lt;/keyword&gt;&lt;keyword&gt;Medical History Taking&lt;/keyword&gt;&lt;keyword&gt;Pelvic Pain/etiology/physiopathology/therapy&lt;/keyword&gt;&lt;keyword&gt;Young Adult&lt;/keyword&gt;&lt;/keywords&gt;&lt;dates&gt;&lt;year&gt;2020&lt;/year&gt;&lt;pub-dates&gt;&lt;date&gt;Jan 21&lt;/date&gt;&lt;/pub-dates&gt;&lt;/dates&gt;&lt;isbn&gt;1538-3598 (Electronic)&amp;#xD;0098-7484 (Linking)&lt;/isbn&gt;&lt;accession-num&gt;31855238&lt;/accession-num&gt;&lt;urls&gt;&lt;related-urls&gt;&lt;url&gt;https://www.ncbi.nlm.nih.gov/pubmed/31855238&lt;/url&gt;&lt;/related-urls&gt;&lt;/urls&gt;&lt;electronic-resource-num&gt;10.1001/jama.2019.16921&lt;/electronic-resource-num&gt;&lt;remote-database-name&gt;Medline&lt;/remote-database-name&gt;&lt;remote-database-provider&gt;NLM&lt;/remote-database-provider&gt;&lt;language&gt;eng&lt;/language&gt;&lt;/record&gt;&lt;/Cite&gt;&lt;/EndNote&gt;</w:instrText>
      </w:r>
      <w:r w:rsidR="00635FCD" w:rsidRPr="00A55335">
        <w:fldChar w:fldCharType="separate"/>
      </w:r>
      <w:r w:rsidR="00EC2769">
        <w:rPr>
          <w:noProof/>
        </w:rPr>
        <w:t>(</w:t>
      </w:r>
      <w:hyperlink w:anchor="_ENREF_319" w:tooltip="Kho, 2020 #483" w:history="1">
        <w:r w:rsidR="00EC2769">
          <w:rPr>
            <w:noProof/>
          </w:rPr>
          <w:t>319</w:t>
        </w:r>
      </w:hyperlink>
      <w:r w:rsidR="00EC2769">
        <w:rPr>
          <w:noProof/>
        </w:rPr>
        <w:t>)</w:t>
      </w:r>
      <w:r w:rsidR="00635FCD" w:rsidRPr="00A55335">
        <w:fldChar w:fldCharType="end"/>
      </w:r>
      <w:r w:rsidRPr="00A55335">
        <w:t xml:space="preserve">. The primary aim of treatment is to provide symptomatic relief and improve quality of life by reducing pain and discomfort, which is where alternative therapies such as homeopathy may be considered. </w:t>
      </w:r>
    </w:p>
    <w:p w14:paraId="493B1EF8" w14:textId="77777777" w:rsidR="00DD505D" w:rsidRPr="00A55335" w:rsidRDefault="00DD505D" w:rsidP="004D433B">
      <w:pPr>
        <w:pStyle w:val="Heading3"/>
      </w:pPr>
      <w:bookmarkStart w:id="465" w:name="_Toc183441407"/>
      <w:r w:rsidRPr="00A55335">
        <w:t>Description of studies</w:t>
      </w:r>
      <w:bookmarkEnd w:id="465"/>
      <w:r w:rsidRPr="00A55335">
        <w:t xml:space="preserve"> </w:t>
      </w:r>
    </w:p>
    <w:p w14:paraId="7C1FDFF7" w14:textId="3E2F65E4" w:rsidR="00DD505D" w:rsidRPr="00A55335" w:rsidRDefault="00A52052" w:rsidP="00DD505D">
      <w:pPr>
        <w:pStyle w:val="BodyText"/>
      </w:pPr>
      <w:r w:rsidRPr="00A55335">
        <w:t xml:space="preserve">There were 13 </w:t>
      </w:r>
      <w:r w:rsidR="00DD505D" w:rsidRPr="00A55335">
        <w:t xml:space="preserve">citations </w:t>
      </w:r>
      <w:r w:rsidR="009E06DF" w:rsidRPr="00A55335">
        <w:fldChar w:fldCharType="begin">
          <w:fldData xml:space="preserve">PjwvdXJscz48L3JlY29yZD48L0NpdGU+PENpdGU+PEF1dGhvcj5ZYWtpcjwvQXV0aG9yPjxZZWFy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</w:fldData>
        </w:fldChar>
      </w:r>
      <w:r w:rsidR="00EC2769">
        <w:instrText xml:space="preserve"> ADDIN EN.CITE </w:instrText>
      </w:r>
      <w:r w:rsidR="00EC2769">
        <w:fldChar w:fldCharType="begin">
          <w:fldData xml:space="preserve">PEVuZE5vdGU+PENpdGU+PEF1dGhvcj5DaGFyYW5kYWJpPC9BdXRob3I+PFllYXI+MjAxNjwvWWVh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==
</w:fldData>
        </w:fldChar>
      </w:r>
      <w:r w:rsidR="00EC2769">
        <w:instrText xml:space="preserve"> ADDIN EN.CITE.DATA </w:instrText>
      </w:r>
      <w:r w:rsidR="00EC2769">
        <w:fldChar w:fldCharType="end"/>
      </w:r>
      <w:r w:rsidR="00EC2769">
        <w:fldChar w:fldCharType="begin">
          <w:fldData xml:space="preserve">PjwvdXJscz48L3JlY29yZD48L0NpdGU+PENpdGU+PEF1dGhvcj5ZYWtpcjwvQXV0aG9yPjxZZWFy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</w:fldData>
        </w:fldChar>
      </w:r>
      <w:r w:rsidR="00EC2769">
        <w:instrText xml:space="preserve"> ADDIN EN.CITE.DATA </w:instrText>
      </w:r>
      <w:r w:rsidR="00EC2769">
        <w:fldChar w:fldCharType="end"/>
      </w:r>
      <w:r w:rsidR="009E06DF" w:rsidRPr="00A55335">
        <w:fldChar w:fldCharType="separate"/>
      </w:r>
      <w:r w:rsidR="00EC2769">
        <w:rPr>
          <w:noProof/>
        </w:rPr>
        <w:t>(</w:t>
      </w:r>
      <w:hyperlink w:anchor="_ENREF_326" w:tooltip="Charandabi, 2016 #605" w:history="1">
        <w:r w:rsidR="00EC2769">
          <w:rPr>
            <w:noProof/>
          </w:rPr>
          <w:t>326-338</w:t>
        </w:r>
      </w:hyperlink>
      <w:r w:rsidR="00EC2769">
        <w:rPr>
          <w:noProof/>
        </w:rPr>
        <w:t>)</w:t>
      </w:r>
      <w:r w:rsidR="009E06DF" w:rsidRPr="00A55335">
        <w:fldChar w:fldCharType="end"/>
      </w:r>
      <w:r w:rsidR="00DD505D" w:rsidRPr="00A55335">
        <w:t xml:space="preserve"> corresponding to 6 RCTs (</w:t>
      </w:r>
      <w:proofErr w:type="spellStart"/>
      <w:r w:rsidR="00DD505D" w:rsidRPr="00A55335">
        <w:t>Charandabi</w:t>
      </w:r>
      <w:proofErr w:type="spellEnd"/>
      <w:r w:rsidR="00DD505D" w:rsidRPr="00A55335">
        <w:t xml:space="preserve"> 2016, Klein-</w:t>
      </w:r>
      <w:proofErr w:type="spellStart"/>
      <w:r w:rsidR="00DD505D" w:rsidRPr="00A55335">
        <w:t>Laansma</w:t>
      </w:r>
      <w:proofErr w:type="spellEnd"/>
      <w:r w:rsidR="00DD505D" w:rsidRPr="00A55335">
        <w:t xml:space="preserve"> 2017, Singh 2020, Teixeira 2016, </w:t>
      </w:r>
      <w:r w:rsidR="004F45D1" w:rsidRPr="00A55335">
        <w:t xml:space="preserve">Yakir 1994, </w:t>
      </w:r>
      <w:r w:rsidR="00DD505D" w:rsidRPr="00A55335">
        <w:t>Yakir 2019) identified in the literature</w:t>
      </w:r>
      <w:r w:rsidRPr="00A55335">
        <w:t xml:space="preserve"> search</w:t>
      </w:r>
      <w:r w:rsidR="00DD505D" w:rsidRPr="00A55335">
        <w:t xml:space="preserve">. </w:t>
      </w:r>
      <w:r w:rsidR="00A732A9" w:rsidRPr="00A55335">
        <w:t xml:space="preserve">No additional studies were identified in the Department’s public call for evidence. </w:t>
      </w:r>
      <w:r w:rsidR="00DD505D" w:rsidRPr="00A55335">
        <w:t xml:space="preserve">There were 8 </w:t>
      </w:r>
      <w:hyperlink w:anchor="_Ongoing_studies" w:history="1">
        <w:r w:rsidR="00DD505D" w:rsidRPr="00A55335">
          <w:rPr>
            <w:rStyle w:val="Hyperlink"/>
          </w:rPr>
          <w:t>ongoing studies</w:t>
        </w:r>
      </w:hyperlink>
      <w:r w:rsidR="00DD505D" w:rsidRPr="00A55335">
        <w:t xml:space="preserve">, and 5 </w:t>
      </w:r>
      <w:hyperlink w:anchor="_Studies_awaiting_classification" w:history="1">
        <w:r w:rsidR="00DD505D" w:rsidRPr="00A55335">
          <w:rPr>
            <w:rStyle w:val="Hyperlink"/>
          </w:rPr>
          <w:t>studies awaiting classification</w:t>
        </w:r>
      </w:hyperlink>
      <w:r w:rsidR="00DD505D" w:rsidRPr="00A55335">
        <w:t xml:space="preserve"> including</w:t>
      </w:r>
      <w:r w:rsidR="00980CA0" w:rsidRPr="00A55335">
        <w:t xml:space="preserve"> one </w:t>
      </w:r>
      <w:r w:rsidR="00DD505D" w:rsidRPr="00A55335">
        <w:t>study published in a language other than English. An overview of the PICO criteria of included studies is provided in Appendix D9.2.1</w:t>
      </w:r>
      <w:r w:rsidR="00B41F45" w:rsidRPr="00A55335">
        <w:t>.</w:t>
      </w:r>
    </w:p>
    <w:p w14:paraId="6DDFF8B2" w14:textId="11963774" w:rsidR="00DD505D" w:rsidRPr="00A55335" w:rsidRDefault="005856BE" w:rsidP="00DD505D">
      <w:pPr>
        <w:pStyle w:val="BodyText"/>
      </w:pPr>
      <w:r w:rsidRPr="00A55335">
        <w:t xml:space="preserve">Five RCTs were conducted in single settings, being either </w:t>
      </w:r>
      <w:r w:rsidR="004F45D1" w:rsidRPr="00A55335">
        <w:t>a university hospital in Brazil (Teixeira 2016), a university centre in Iran (</w:t>
      </w:r>
      <w:proofErr w:type="spellStart"/>
      <w:r w:rsidR="004F45D1" w:rsidRPr="00A55335">
        <w:t>Charandabi</w:t>
      </w:r>
      <w:proofErr w:type="spellEnd"/>
      <w:r w:rsidR="004F45D1" w:rsidRPr="00A55335">
        <w:t xml:space="preserve"> 2016), </w:t>
      </w:r>
      <w:r w:rsidR="00E976E3" w:rsidRPr="00A55335">
        <w:t>a homeopathic hospital and research centre in India (Singh 2020)</w:t>
      </w:r>
      <w:r w:rsidR="004F45D1" w:rsidRPr="00A55335">
        <w:t>, or an outpatient clinic in Israel (Yakir 1994, Yakir 2019)</w:t>
      </w:r>
      <w:r w:rsidR="00E976E3" w:rsidRPr="00A55335">
        <w:t xml:space="preserve">. </w:t>
      </w:r>
      <w:r w:rsidR="00BF1923" w:rsidRPr="00A55335">
        <w:t>O</w:t>
      </w:r>
      <w:r w:rsidR="00DD505D" w:rsidRPr="00A55335">
        <w:t xml:space="preserve">ne study was </w:t>
      </w:r>
      <w:r w:rsidR="00BF1923" w:rsidRPr="00A55335">
        <w:t>conducted</w:t>
      </w:r>
      <w:r w:rsidR="00DD505D" w:rsidRPr="00A55335">
        <w:t xml:space="preserve"> across multiple homeopathic practices </w:t>
      </w:r>
      <w:r w:rsidR="00BF1923" w:rsidRPr="00A55335">
        <w:t>in</w:t>
      </w:r>
      <w:r w:rsidR="00DD505D" w:rsidRPr="00A55335">
        <w:t xml:space="preserve"> the Netherlands, Sweden</w:t>
      </w:r>
      <w:r w:rsidR="005C50BC" w:rsidRPr="00A55335">
        <w:t xml:space="preserve"> and </w:t>
      </w:r>
      <w:r w:rsidR="00DD505D" w:rsidRPr="00A55335">
        <w:t xml:space="preserve">Germany. </w:t>
      </w:r>
    </w:p>
    <w:p w14:paraId="4454A925" w14:textId="10638860" w:rsidR="00DD505D" w:rsidRPr="00A55335" w:rsidRDefault="00DD505D" w:rsidP="00DD505D">
      <w:pPr>
        <w:pStyle w:val="BodyText"/>
      </w:pPr>
      <w:r w:rsidRPr="00A55335">
        <w:t>Three studies (</w:t>
      </w:r>
      <w:r w:rsidR="004F45D1" w:rsidRPr="00A55335">
        <w:t>Klein-</w:t>
      </w:r>
      <w:proofErr w:type="spellStart"/>
      <w:r w:rsidR="004F45D1" w:rsidRPr="00A55335">
        <w:t>Laansma</w:t>
      </w:r>
      <w:proofErr w:type="spellEnd"/>
      <w:r w:rsidR="004F45D1" w:rsidRPr="00A55335">
        <w:t xml:space="preserve"> 2017, </w:t>
      </w:r>
      <w:r w:rsidRPr="00A55335">
        <w:t xml:space="preserve">Yakir 1994, Yakir 2019) </w:t>
      </w:r>
      <w:r w:rsidR="004F45D1" w:rsidRPr="00A55335">
        <w:t>enrolled</w:t>
      </w:r>
      <w:r w:rsidRPr="00A55335">
        <w:t xml:space="preserve"> </w:t>
      </w:r>
      <w:r w:rsidR="004F45D1" w:rsidRPr="00A55335">
        <w:t>females</w:t>
      </w:r>
      <w:r w:rsidRPr="00A55335">
        <w:t xml:space="preserve"> with </w:t>
      </w:r>
      <w:r w:rsidR="004F45D1" w:rsidRPr="00A55335">
        <w:t>PMS</w:t>
      </w:r>
      <w:r w:rsidRPr="00A55335">
        <w:t>, with sample sizes ranging from 23 to 105 (total 188</w:t>
      </w:r>
      <w:r w:rsidR="004F45D1" w:rsidRPr="00A55335">
        <w:t xml:space="preserve"> participants</w:t>
      </w:r>
      <w:r w:rsidRPr="00A55335">
        <w:t xml:space="preserve">). </w:t>
      </w:r>
      <w:r w:rsidR="00105009" w:rsidRPr="00A55335">
        <w:t>In 2</w:t>
      </w:r>
      <w:r w:rsidRPr="00A55335">
        <w:t xml:space="preserve"> studies (</w:t>
      </w:r>
      <w:proofErr w:type="spellStart"/>
      <w:r w:rsidRPr="00A55335">
        <w:t>Charandabi</w:t>
      </w:r>
      <w:proofErr w:type="spellEnd"/>
      <w:r w:rsidRPr="00A55335">
        <w:t xml:space="preserve"> 2016</w:t>
      </w:r>
      <w:r w:rsidR="004F45D1" w:rsidRPr="00A55335">
        <w:t>,</w:t>
      </w:r>
      <w:r w:rsidRPr="00A55335">
        <w:t xml:space="preserve"> Singh 2020) </w:t>
      </w:r>
      <w:r w:rsidR="00105009" w:rsidRPr="00A55335">
        <w:t xml:space="preserve">the participants had primary </w:t>
      </w:r>
      <w:r w:rsidRPr="00A55335">
        <w:t>dysmenorrhea</w:t>
      </w:r>
      <w:r w:rsidR="00105009" w:rsidRPr="00A55335">
        <w:t xml:space="preserve"> (</w:t>
      </w:r>
      <w:r w:rsidRPr="00A55335">
        <w:t>total 199</w:t>
      </w:r>
      <w:r w:rsidR="00105009" w:rsidRPr="00A55335">
        <w:t xml:space="preserve"> participants</w:t>
      </w:r>
      <w:r w:rsidRPr="00A55335">
        <w:t>)</w:t>
      </w:r>
      <w:r w:rsidR="00105009" w:rsidRPr="00A55335">
        <w:t xml:space="preserve"> and in o</w:t>
      </w:r>
      <w:r w:rsidRPr="00A55335">
        <w:t xml:space="preserve">ne study (Teixeira 2016) </w:t>
      </w:r>
      <w:r w:rsidR="00105009" w:rsidRPr="00A55335">
        <w:t xml:space="preserve">the participants </w:t>
      </w:r>
      <w:r w:rsidR="008A650C" w:rsidRPr="00A55335">
        <w:t xml:space="preserve">had </w:t>
      </w:r>
      <w:r w:rsidR="00105009" w:rsidRPr="00A55335">
        <w:t xml:space="preserve">been diagnosed with </w:t>
      </w:r>
      <w:r w:rsidRPr="00A55335">
        <w:t>endometriosis (total 50</w:t>
      </w:r>
      <w:r w:rsidR="00105009" w:rsidRPr="00A55335">
        <w:t xml:space="preserve"> participants</w:t>
      </w:r>
      <w:r w:rsidRPr="00A55335">
        <w:t>).</w:t>
      </w:r>
    </w:p>
    <w:p w14:paraId="7EE9BA3E" w14:textId="7D1C76CB" w:rsidR="00DD505D" w:rsidRPr="00A55335" w:rsidRDefault="00DD505D" w:rsidP="00DD505D">
      <w:pPr>
        <w:pStyle w:val="BodyText"/>
      </w:pPr>
      <w:r w:rsidRPr="00A55335">
        <w:lastRenderedPageBreak/>
        <w:t>Five studies (</w:t>
      </w:r>
      <w:proofErr w:type="spellStart"/>
      <w:r w:rsidRPr="00A55335">
        <w:t>Charandabi</w:t>
      </w:r>
      <w:proofErr w:type="spellEnd"/>
      <w:r w:rsidRPr="00A55335">
        <w:t xml:space="preserve"> 2016, Singh 2020, Teixeira 2016, </w:t>
      </w:r>
      <w:r w:rsidR="00FD2B01" w:rsidRPr="00A55335">
        <w:t xml:space="preserve">Yakir 1994, </w:t>
      </w:r>
      <w:r w:rsidRPr="00A55335">
        <w:t>Yakir 2019) compared homeopathy with a placebo. Of these, 4 studies (</w:t>
      </w:r>
      <w:proofErr w:type="spellStart"/>
      <w:r w:rsidRPr="00A55335">
        <w:t>Charandabi</w:t>
      </w:r>
      <w:proofErr w:type="spellEnd"/>
      <w:r w:rsidRPr="00A55335">
        <w:t xml:space="preserve"> 2016, Singh 2020, </w:t>
      </w:r>
      <w:r w:rsidR="00CF329A" w:rsidRPr="00A55335">
        <w:t>Yakir 1994, Yakir 2019</w:t>
      </w:r>
      <w:r w:rsidRPr="00A55335">
        <w:t xml:space="preserve">) used individualised </w:t>
      </w:r>
      <w:r w:rsidR="00CF329A" w:rsidRPr="00A55335">
        <w:t xml:space="preserve">homeopathic </w:t>
      </w:r>
      <w:r w:rsidRPr="00A55335">
        <w:t xml:space="preserve">treatments that were prescribed during consultations with a homeopath. One study (Teixeria 2016) used </w:t>
      </w:r>
      <w:r w:rsidR="00A1308E" w:rsidRPr="00A55335">
        <w:t xml:space="preserve">a </w:t>
      </w:r>
      <w:r w:rsidRPr="00A55335">
        <w:t xml:space="preserve">non-individualised </w:t>
      </w:r>
      <w:r w:rsidR="008C2A25" w:rsidRPr="00A55335">
        <w:t xml:space="preserve">homeopathic </w:t>
      </w:r>
      <w:r w:rsidRPr="00A55335">
        <w:t xml:space="preserve">treatment, which consisted of </w:t>
      </w:r>
      <w:r w:rsidR="00835C0A" w:rsidRPr="00A55335">
        <w:t>potenti</w:t>
      </w:r>
      <w:r w:rsidR="008C2A25" w:rsidRPr="00A55335">
        <w:t>sed</w:t>
      </w:r>
      <w:r w:rsidRPr="00A55335">
        <w:t xml:space="preserve"> </w:t>
      </w:r>
      <w:r w:rsidR="008C2A25" w:rsidRPr="00A55335">
        <w:t>o</w:t>
      </w:r>
      <w:r w:rsidRPr="00A55335">
        <w:t>estrogen</w:t>
      </w:r>
      <w:r w:rsidR="00A1308E" w:rsidRPr="00A55335">
        <w:t xml:space="preserve"> that was</w:t>
      </w:r>
      <w:r w:rsidRPr="00A55335">
        <w:t xml:space="preserve"> administered orally in increasing potencies over the course of 12 weeks.</w:t>
      </w:r>
    </w:p>
    <w:p w14:paraId="679AD980" w14:textId="48065723" w:rsidR="00DD505D" w:rsidRPr="00A55335" w:rsidRDefault="00DD505D" w:rsidP="00DD505D">
      <w:pPr>
        <w:pStyle w:val="BodyText"/>
      </w:pPr>
      <w:r w:rsidRPr="00A55335">
        <w:t>One study (Klein-</w:t>
      </w:r>
      <w:proofErr w:type="spellStart"/>
      <w:r w:rsidRPr="00A55335">
        <w:t>Laansma</w:t>
      </w:r>
      <w:proofErr w:type="spellEnd"/>
      <w:r w:rsidRPr="00A55335">
        <w:t xml:space="preserve"> 2017) compared individualised homeopathy with an inactive control</w:t>
      </w:r>
      <w:r w:rsidR="00AF7879" w:rsidRPr="00A55335">
        <w:t xml:space="preserve"> (no intervention)</w:t>
      </w:r>
      <w:r w:rsidRPr="00A55335">
        <w:t xml:space="preserve">. Participants were prescribed a homeopathic treatment based on a predetermined patient questionnaire. </w:t>
      </w:r>
      <w:r w:rsidR="00AF7879" w:rsidRPr="00A55335">
        <w:t>B</w:t>
      </w:r>
      <w:r w:rsidRPr="00A55335">
        <w:t>oth groups received usual care.</w:t>
      </w:r>
    </w:p>
    <w:p w14:paraId="3A9702CE" w14:textId="22214CB7" w:rsidR="00DD505D" w:rsidRPr="00A55335" w:rsidRDefault="00DD505D" w:rsidP="00DD505D">
      <w:pPr>
        <w:pStyle w:val="BodyText"/>
      </w:pPr>
      <w:r w:rsidRPr="00A55335">
        <w:t xml:space="preserve">Results for </w:t>
      </w:r>
      <w:r w:rsidR="001324EC" w:rsidRPr="00A55335">
        <w:t xml:space="preserve">the </w:t>
      </w:r>
      <w:r w:rsidR="006070ED" w:rsidRPr="00A55335">
        <w:t>Primary Comparison</w:t>
      </w:r>
      <w:r w:rsidR="00AF7879" w:rsidRPr="00A55335">
        <w:t xml:space="preserve">: </w:t>
      </w:r>
      <w:r w:rsidR="008C22F7" w:rsidRPr="00A55335">
        <w:t>H</w:t>
      </w:r>
      <w:r w:rsidR="00AF7879" w:rsidRPr="00A55335">
        <w:t xml:space="preserve">omeopathy versus placebo and </w:t>
      </w:r>
      <w:r w:rsidR="001324EC" w:rsidRPr="00A55335">
        <w:t xml:space="preserve">the </w:t>
      </w:r>
      <w:r w:rsidR="006070ED" w:rsidRPr="00A55335">
        <w:t>Secondary Comparison</w:t>
      </w:r>
      <w:r w:rsidR="00AF7879" w:rsidRPr="00A55335">
        <w:t xml:space="preserve">: </w:t>
      </w:r>
      <w:r w:rsidR="008C22F7" w:rsidRPr="00A55335">
        <w:t>H</w:t>
      </w:r>
      <w:r w:rsidRPr="00A55335">
        <w:t xml:space="preserve">omeopathy versus inactive control (no intervention, waitlist or usual care) are provided in the Summary of Findings table (see </w:t>
      </w:r>
      <w:r w:rsidR="00AF7879" w:rsidRPr="00A55335">
        <w:t xml:space="preserve">Section </w:t>
      </w:r>
      <w:r w:rsidR="00AF7879" w:rsidRPr="00A55335">
        <w:fldChar w:fldCharType="begin"/>
      </w:r>
      <w:r w:rsidR="00AF7879" w:rsidRPr="00A55335">
        <w:instrText xml:space="preserve"> REF _Ref152247498 \r \h </w:instrText>
      </w:r>
      <w:r w:rsidR="00AF7879" w:rsidRPr="00A55335">
        <w:fldChar w:fldCharType="separate"/>
      </w:r>
      <w:r w:rsidR="00814B04">
        <w:t>4.19.4</w:t>
      </w:r>
      <w:r w:rsidR="00AF7879" w:rsidRPr="00A55335">
        <w:fldChar w:fldCharType="end"/>
      </w:r>
      <w:r w:rsidRPr="00A55335">
        <w:t xml:space="preserve">). </w:t>
      </w:r>
      <w:r w:rsidR="006723B5" w:rsidRPr="00A55335">
        <w:t>There were no studies found for Tertiary Comparison: Homeopathy versus another comparator</w:t>
      </w:r>
      <w:r w:rsidRPr="00A55335">
        <w:t>.</w:t>
      </w:r>
    </w:p>
    <w:p w14:paraId="094BF1FD"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4E53639D" w14:textId="77777777" w:rsidR="00DD505D" w:rsidRPr="00A55335" w:rsidRDefault="00DD505D" w:rsidP="004D433B">
      <w:pPr>
        <w:pStyle w:val="Heading3"/>
      </w:pPr>
      <w:bookmarkStart w:id="466" w:name="_Toc183441408"/>
      <w:r w:rsidRPr="00A55335">
        <w:t>Risk of bias – summary assessment across studies</w:t>
      </w:r>
      <w:bookmarkEnd w:id="466"/>
      <w:r w:rsidRPr="00A55335">
        <w:t xml:space="preserve"> </w:t>
      </w:r>
    </w:p>
    <w:p w14:paraId="512A49A7" w14:textId="288CDE1A" w:rsidR="00B41F45" w:rsidRPr="00A55335" w:rsidRDefault="00DD505D" w:rsidP="00B41F45">
      <w:pPr>
        <w:pStyle w:val="BodyText"/>
      </w:pPr>
      <w:r w:rsidRPr="00A55335">
        <w:t xml:space="preserve">The risk of bias for each item in the </w:t>
      </w:r>
      <w:r w:rsidR="00F56A75" w:rsidRPr="00A55335">
        <w:t xml:space="preserve">included </w:t>
      </w:r>
      <w:r w:rsidRPr="00A55335">
        <w:t xml:space="preserve">RCTs for </w:t>
      </w:r>
      <w:r w:rsidR="00E92C2C" w:rsidRPr="00A55335">
        <w:t>menstrual disorders</w:t>
      </w:r>
      <w:r w:rsidRPr="00A55335">
        <w:t xml:space="preserve"> </w:t>
      </w:r>
      <w:r w:rsidR="00B41F45" w:rsidRPr="00A55335">
        <w:t>is</w:t>
      </w:r>
      <w:r w:rsidRPr="00A55335">
        <w:t xml:space="preserve"> summarised in </w:t>
      </w:r>
      <w:r w:rsidRPr="00A55335">
        <w:fldChar w:fldCharType="begin"/>
      </w:r>
      <w:r w:rsidRPr="00A55335">
        <w:instrText xml:space="preserve"> REF _Ref142291250 \h </w:instrText>
      </w:r>
      <w:r w:rsidRPr="00A55335">
        <w:fldChar w:fldCharType="separate"/>
      </w:r>
      <w:r w:rsidR="00814B04" w:rsidRPr="00A55335">
        <w:t xml:space="preserve">Figure </w:t>
      </w:r>
      <w:r w:rsidR="00814B04">
        <w:rPr>
          <w:noProof/>
        </w:rPr>
        <w:t>88</w:t>
      </w:r>
      <w:r w:rsidRPr="00A55335">
        <w:fldChar w:fldCharType="end"/>
      </w:r>
      <w:r w:rsidRPr="00A55335">
        <w:t>. Details are provided in Appendix D</w:t>
      </w:r>
      <w:r w:rsidR="00B41F45" w:rsidRPr="00A55335">
        <w:t>9</w:t>
      </w:r>
      <w:r w:rsidRPr="00A55335">
        <w:t>.2.2.</w:t>
      </w:r>
      <w:r w:rsidR="006A2784">
        <w:t xml:space="preserve"> </w:t>
      </w:r>
      <w:r w:rsidR="00B41F45" w:rsidRPr="00A55335">
        <w:t>No studies were judged to be at overall low risk of bias.</w:t>
      </w:r>
    </w:p>
    <w:p w14:paraId="4BCD2BAF" w14:textId="7F04E0C8" w:rsidR="00DD505D" w:rsidRPr="00A55335" w:rsidRDefault="00DD505D" w:rsidP="00DD505D">
      <w:pPr>
        <w:pStyle w:val="Caption"/>
      </w:pPr>
      <w:bookmarkStart w:id="467" w:name="_Ref142291250"/>
      <w:bookmarkStart w:id="468" w:name="_Toc183520361"/>
      <w:r w:rsidRPr="00A55335">
        <w:t xml:space="preserve">Figure </w:t>
      </w:r>
      <w:r w:rsidRPr="00A55335">
        <w:fldChar w:fldCharType="begin"/>
      </w:r>
      <w:r w:rsidRPr="00A55335">
        <w:instrText xml:space="preserve"> SEQ Figure \* ARABIC </w:instrText>
      </w:r>
      <w:r w:rsidRPr="00A55335">
        <w:fldChar w:fldCharType="separate"/>
      </w:r>
      <w:r w:rsidR="00814B04">
        <w:rPr>
          <w:noProof/>
        </w:rPr>
        <w:t>88</w:t>
      </w:r>
      <w:r w:rsidRPr="00A55335">
        <w:fldChar w:fldCharType="end"/>
      </w:r>
      <w:bookmarkEnd w:id="467"/>
      <w:r w:rsidR="00A74CF9" w:rsidRPr="00A55335">
        <w:tab/>
      </w:r>
      <w:r w:rsidRPr="00A55335">
        <w:t>Risk of bias summary: review authors' judgement about each risk of bias item for each included study: menstrual disorders</w:t>
      </w:r>
      <w:bookmarkEnd w:id="468"/>
    </w:p>
    <w:p w14:paraId="53F20443" w14:textId="45CCC4CD" w:rsidR="006E4B35" w:rsidRPr="00A55335" w:rsidRDefault="006E4B35" w:rsidP="006E4B35">
      <w:pPr>
        <w:pStyle w:val="Pic"/>
      </w:pPr>
      <w:r w:rsidRPr="00A55335">
        <w:rPr>
          <w:noProof/>
        </w:rPr>
        <w:drawing>
          <wp:inline distT="0" distB="0" distL="0" distR="0" wp14:anchorId="5BA6D752" wp14:editId="73A5A1E8">
            <wp:extent cx="4434716" cy="2828925"/>
            <wp:effectExtent l="0" t="0" r="4445" b="0"/>
            <wp:docPr id="1326889592" name="Picture 1326889592" descr="A chart with red and gree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889592" name="Picture 1326889592" descr="A chart with red and green circles&#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470474" cy="2851735"/>
                    </a:xfrm>
                    <a:prstGeom prst="rect">
                      <a:avLst/>
                    </a:prstGeom>
                    <a:noFill/>
                    <a:ln>
                      <a:noFill/>
                    </a:ln>
                  </pic:spPr>
                </pic:pic>
              </a:graphicData>
            </a:graphic>
          </wp:inline>
        </w:drawing>
      </w:r>
    </w:p>
    <w:p w14:paraId="3A420055" w14:textId="77777777" w:rsidR="006E4B35" w:rsidRPr="00A55335" w:rsidRDefault="006E4B35" w:rsidP="006E4B35">
      <w:pPr>
        <w:pStyle w:val="TableFigNotes18"/>
      </w:pPr>
    </w:p>
    <w:p w14:paraId="16DBA951" w14:textId="1B4EFE2A" w:rsidR="00E16347" w:rsidRPr="00A55335" w:rsidRDefault="00DD505D" w:rsidP="004D433B">
      <w:pPr>
        <w:pStyle w:val="Heading3"/>
      </w:pPr>
      <w:bookmarkStart w:id="469" w:name="_Ref152247498"/>
      <w:bookmarkStart w:id="470" w:name="_Toc183441409"/>
      <w:r w:rsidRPr="00A55335">
        <w:lastRenderedPageBreak/>
        <w:t>Summary of findings and evidence statements</w:t>
      </w:r>
      <w:bookmarkEnd w:id="469"/>
      <w:bookmarkEnd w:id="470"/>
    </w:p>
    <w:p w14:paraId="642BE64F" w14:textId="396CE691" w:rsidR="006D4E25" w:rsidRPr="00A55335" w:rsidRDefault="006070ED">
      <w:pPr>
        <w:pStyle w:val="Heading4"/>
      </w:pPr>
      <w:r w:rsidRPr="00A55335">
        <w:t>Primary Comparison</w:t>
      </w:r>
      <w:r w:rsidR="006D4E25" w:rsidRPr="00A55335">
        <w:t xml:space="preserve"> (vs placebo) </w:t>
      </w:r>
    </w:p>
    <w:tbl>
      <w:tblPr>
        <w:tblW w:w="5001" w:type="pct"/>
        <w:tblLayout w:type="fixed"/>
        <w:tblCellMar>
          <w:top w:w="57" w:type="dxa"/>
          <w:left w:w="57" w:type="dxa"/>
          <w:bottom w:w="57" w:type="dxa"/>
          <w:right w:w="57" w:type="dxa"/>
        </w:tblCellMar>
        <w:tblLook w:val="04A0" w:firstRow="1" w:lastRow="0" w:firstColumn="1" w:lastColumn="0" w:noHBand="0" w:noVBand="1"/>
      </w:tblPr>
      <w:tblGrid>
        <w:gridCol w:w="1836"/>
        <w:gridCol w:w="1421"/>
        <w:gridCol w:w="1421"/>
        <w:gridCol w:w="850"/>
        <w:gridCol w:w="1135"/>
        <w:gridCol w:w="1135"/>
        <w:gridCol w:w="1949"/>
      </w:tblGrid>
      <w:tr w:rsidR="00F92934" w:rsidRPr="00A55335" w14:paraId="0D10E509" w14:textId="77777777" w:rsidTr="00E00F50">
        <w:trPr>
          <w:cantSplit/>
          <w:tblHeader/>
        </w:trPr>
        <w:tc>
          <w:tcPr>
            <w:tcW w:w="5000" w:type="pct"/>
            <w:gridSpan w:val="7"/>
            <w:tcBorders>
              <w:top w:val="single" w:sz="12" w:space="0" w:color="000000"/>
              <w:left w:val="nil"/>
              <w:bottom w:val="single" w:sz="12" w:space="0" w:color="000000"/>
              <w:right w:val="nil"/>
            </w:tcBorders>
            <w:vAlign w:val="center"/>
            <w:hideMark/>
          </w:tcPr>
          <w:p w14:paraId="233D9885" w14:textId="28AEB968" w:rsidR="00F92934" w:rsidRPr="00A55335" w:rsidRDefault="00F92934">
            <w:pPr>
              <w:pStyle w:val="TableH1"/>
              <w:rPr>
                <w:lang w:val="en-AU"/>
              </w:rPr>
            </w:pPr>
            <w:r w:rsidRPr="00A55335">
              <w:rPr>
                <w:lang w:val="en-AU"/>
              </w:rPr>
              <w:t>Homeopathy compared to placebo for Menstrual disorders</w:t>
            </w:r>
          </w:p>
        </w:tc>
      </w:tr>
      <w:tr w:rsidR="00F92934" w:rsidRPr="00A55335" w14:paraId="54CBDDE7" w14:textId="77777777" w:rsidTr="00E00F50">
        <w:trPr>
          <w:cantSplit/>
          <w:tblHeader/>
        </w:trPr>
        <w:tc>
          <w:tcPr>
            <w:tcW w:w="5000" w:type="pct"/>
            <w:gridSpan w:val="7"/>
            <w:tcBorders>
              <w:top w:val="single" w:sz="12" w:space="0" w:color="000000"/>
              <w:left w:val="nil"/>
              <w:bottom w:val="single" w:sz="12" w:space="0" w:color="000000"/>
              <w:right w:val="nil"/>
            </w:tcBorders>
            <w:vAlign w:val="center"/>
            <w:hideMark/>
          </w:tcPr>
          <w:p w14:paraId="5C2F3F05" w14:textId="7AC6664C" w:rsidR="00F92934" w:rsidRPr="00A55335" w:rsidRDefault="00F92934">
            <w:pPr>
              <w:pStyle w:val="Tabletext9pt"/>
            </w:pPr>
            <w:r w:rsidRPr="00A55335">
              <w:rPr>
                <w:rStyle w:val="Strong"/>
              </w:rPr>
              <w:t>Patient or population:</w:t>
            </w:r>
            <w:r w:rsidRPr="00A55335">
              <w:t xml:space="preserve"> Menstrual disorders</w:t>
            </w:r>
          </w:p>
          <w:p w14:paraId="1B9177DD" w14:textId="77777777" w:rsidR="00F92934" w:rsidRPr="00A55335" w:rsidRDefault="00F92934">
            <w:pPr>
              <w:pStyle w:val="Tabletext9pt"/>
            </w:pPr>
            <w:r w:rsidRPr="00A55335">
              <w:rPr>
                <w:rStyle w:val="Strong"/>
              </w:rPr>
              <w:t>Setting:</w:t>
            </w:r>
            <w:r w:rsidRPr="00A55335">
              <w:t xml:space="preserve"> Community</w:t>
            </w:r>
          </w:p>
          <w:p w14:paraId="36B012FB" w14:textId="77777777" w:rsidR="00F92934" w:rsidRPr="00A55335" w:rsidRDefault="00F92934">
            <w:pPr>
              <w:pStyle w:val="Tabletext9pt"/>
            </w:pPr>
            <w:r w:rsidRPr="00A55335">
              <w:rPr>
                <w:rStyle w:val="Strong"/>
              </w:rPr>
              <w:t>Intervention:</w:t>
            </w:r>
            <w:r w:rsidRPr="00A55335">
              <w:t xml:space="preserve"> Homeopathy</w:t>
            </w:r>
          </w:p>
          <w:p w14:paraId="1BD4FBC8" w14:textId="77777777" w:rsidR="00F92934" w:rsidRPr="00A55335" w:rsidRDefault="00F92934">
            <w:pPr>
              <w:pStyle w:val="Tabletext9pt"/>
            </w:pPr>
            <w:r w:rsidRPr="00A55335">
              <w:rPr>
                <w:rStyle w:val="Strong"/>
              </w:rPr>
              <w:t xml:space="preserve">Comparison: </w:t>
            </w:r>
            <w:r w:rsidRPr="00A55335">
              <w:t>Placebo</w:t>
            </w:r>
          </w:p>
        </w:tc>
      </w:tr>
      <w:tr w:rsidR="009F2666" w:rsidRPr="00A55335" w14:paraId="7B9B9925" w14:textId="77777777" w:rsidTr="00E51F49">
        <w:trPr>
          <w:tblHeader/>
        </w:trPr>
        <w:tc>
          <w:tcPr>
            <w:tcW w:w="942" w:type="pct"/>
            <w:vMerge w:val="restart"/>
            <w:shd w:val="clear" w:color="auto" w:fill="006579" w:themeFill="accent2"/>
            <w:vAlign w:val="bottom"/>
            <w:hideMark/>
          </w:tcPr>
          <w:p w14:paraId="6BBBEC18" w14:textId="77777777" w:rsidR="00DD505D" w:rsidRPr="00A55335" w:rsidRDefault="00DD505D" w:rsidP="00F92934">
            <w:pPr>
              <w:pStyle w:val="Tabletext8pt"/>
              <w:rPr>
                <w:rFonts w:eastAsiaTheme="minorEastAsia"/>
                <w:b/>
                <w:bCs/>
                <w:color w:val="F9F9F9" w:themeColor="background1"/>
              </w:rPr>
            </w:pPr>
            <w:r w:rsidRPr="00A55335">
              <w:rPr>
                <w:b/>
                <w:bCs/>
                <w:color w:val="F9F9F9" w:themeColor="background1"/>
              </w:rPr>
              <w:t>Outcomes</w:t>
            </w:r>
          </w:p>
        </w:tc>
        <w:tc>
          <w:tcPr>
            <w:tcW w:w="1458" w:type="pct"/>
            <w:gridSpan w:val="2"/>
            <w:shd w:val="clear" w:color="auto" w:fill="EBEBEB"/>
            <w:vAlign w:val="bottom"/>
            <w:hideMark/>
          </w:tcPr>
          <w:p w14:paraId="235D330E" w14:textId="77777777" w:rsidR="00DD505D" w:rsidRPr="00A55335" w:rsidRDefault="00DD505D" w:rsidP="00F92934">
            <w:pPr>
              <w:pStyle w:val="Tabletext8pt"/>
              <w:rPr>
                <w:rStyle w:val="Strong"/>
              </w:rPr>
            </w:pPr>
            <w:r w:rsidRPr="00A55335">
              <w:rPr>
                <w:rStyle w:val="Strong"/>
              </w:rPr>
              <w:t>Anticipated absolute effects* (95% CI)</w:t>
            </w:r>
          </w:p>
        </w:tc>
        <w:tc>
          <w:tcPr>
            <w:tcW w:w="436" w:type="pct"/>
            <w:vMerge w:val="restart"/>
            <w:tcBorders>
              <w:bottom w:val="single" w:sz="4" w:space="0" w:color="auto"/>
            </w:tcBorders>
            <w:shd w:val="clear" w:color="auto" w:fill="006579" w:themeFill="accent2"/>
            <w:vAlign w:val="bottom"/>
            <w:hideMark/>
          </w:tcPr>
          <w:p w14:paraId="497C6DF0" w14:textId="77777777" w:rsidR="00DD505D" w:rsidRPr="00A55335" w:rsidRDefault="00DD505D" w:rsidP="00F92934">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2" w:type="pct"/>
            <w:vMerge w:val="restart"/>
            <w:tcBorders>
              <w:bottom w:val="single" w:sz="4" w:space="0" w:color="auto"/>
            </w:tcBorders>
            <w:shd w:val="clear" w:color="auto" w:fill="006579" w:themeFill="accent2"/>
            <w:vAlign w:val="bottom"/>
            <w:hideMark/>
          </w:tcPr>
          <w:p w14:paraId="45925F76" w14:textId="77777777" w:rsidR="00DD505D" w:rsidRPr="00A55335" w:rsidRDefault="00DD505D" w:rsidP="00F92934">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2" w:type="pct"/>
            <w:vMerge w:val="restart"/>
            <w:tcBorders>
              <w:bottom w:val="single" w:sz="4" w:space="0" w:color="auto"/>
            </w:tcBorders>
            <w:shd w:val="clear" w:color="auto" w:fill="006579" w:themeFill="accent2"/>
            <w:vAlign w:val="bottom"/>
            <w:hideMark/>
          </w:tcPr>
          <w:p w14:paraId="1B651274" w14:textId="77777777" w:rsidR="00DD505D" w:rsidRPr="00A55335" w:rsidRDefault="00DD505D" w:rsidP="00F92934">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00" w:type="pct"/>
            <w:vMerge w:val="restart"/>
            <w:tcBorders>
              <w:bottom w:val="single" w:sz="4" w:space="0" w:color="auto"/>
            </w:tcBorders>
            <w:shd w:val="clear" w:color="auto" w:fill="006579" w:themeFill="accent2"/>
            <w:vAlign w:val="center"/>
            <w:hideMark/>
          </w:tcPr>
          <w:p w14:paraId="0F81A4CA" w14:textId="5E112FF7" w:rsidR="00DD505D" w:rsidRPr="00A55335" w:rsidRDefault="006D4E25" w:rsidP="00E51F49">
            <w:pPr>
              <w:pStyle w:val="Tabletext8pt"/>
              <w:rPr>
                <w:b/>
                <w:bCs/>
                <w:color w:val="F9F9F9" w:themeColor="background1"/>
              </w:rPr>
            </w:pPr>
            <w:r w:rsidRPr="00A55335">
              <w:rPr>
                <w:b/>
                <w:bCs/>
                <w:color w:val="F9F9F9" w:themeColor="background1"/>
              </w:rPr>
              <w:t>Evidence statement</w:t>
            </w:r>
          </w:p>
        </w:tc>
      </w:tr>
      <w:tr w:rsidR="009F2666" w:rsidRPr="00A55335" w14:paraId="17E0B1F0" w14:textId="77777777" w:rsidTr="00E51F49">
        <w:trPr>
          <w:tblHeader/>
        </w:trPr>
        <w:tc>
          <w:tcPr>
            <w:tcW w:w="942" w:type="pct"/>
            <w:vMerge/>
            <w:tcBorders>
              <w:top w:val="single" w:sz="4" w:space="0" w:color="auto"/>
            </w:tcBorders>
            <w:shd w:val="clear" w:color="auto" w:fill="006579" w:themeFill="accent2"/>
            <w:vAlign w:val="bottom"/>
            <w:hideMark/>
          </w:tcPr>
          <w:p w14:paraId="1B4F1063" w14:textId="77777777" w:rsidR="00DD505D" w:rsidRPr="00A55335" w:rsidRDefault="00DD505D" w:rsidP="00F92934">
            <w:pPr>
              <w:pStyle w:val="Tabletext8pt"/>
              <w:rPr>
                <w:rFonts w:eastAsiaTheme="minorEastAsia"/>
              </w:rPr>
            </w:pPr>
          </w:p>
        </w:tc>
        <w:tc>
          <w:tcPr>
            <w:tcW w:w="729" w:type="pct"/>
            <w:shd w:val="clear" w:color="auto" w:fill="EBEBEB"/>
            <w:vAlign w:val="bottom"/>
            <w:hideMark/>
          </w:tcPr>
          <w:p w14:paraId="433467D4" w14:textId="77777777" w:rsidR="00DD505D" w:rsidRPr="00A55335" w:rsidRDefault="00DD505D" w:rsidP="00F92934">
            <w:pPr>
              <w:pStyle w:val="Tabletext8pt"/>
              <w:rPr>
                <w:rStyle w:val="Strong"/>
              </w:rPr>
            </w:pPr>
            <w:r w:rsidRPr="00A55335">
              <w:rPr>
                <w:rStyle w:val="Strong"/>
              </w:rPr>
              <w:t>Risk with Placebo</w:t>
            </w:r>
          </w:p>
        </w:tc>
        <w:tc>
          <w:tcPr>
            <w:tcW w:w="729" w:type="pct"/>
            <w:shd w:val="clear" w:color="auto" w:fill="EBEBEB"/>
            <w:vAlign w:val="bottom"/>
            <w:hideMark/>
          </w:tcPr>
          <w:p w14:paraId="4C7FFCE4" w14:textId="77777777" w:rsidR="00DD505D" w:rsidRPr="00A55335" w:rsidRDefault="00DD505D" w:rsidP="00F92934">
            <w:pPr>
              <w:pStyle w:val="Tabletext8pt"/>
              <w:rPr>
                <w:rStyle w:val="Strong"/>
              </w:rPr>
            </w:pPr>
            <w:r w:rsidRPr="00A55335">
              <w:rPr>
                <w:rStyle w:val="Strong"/>
              </w:rPr>
              <w:t>Risk with Homeopathy</w:t>
            </w:r>
          </w:p>
        </w:tc>
        <w:tc>
          <w:tcPr>
            <w:tcW w:w="436" w:type="pct"/>
            <w:vMerge/>
            <w:tcBorders>
              <w:bottom w:val="single" w:sz="4" w:space="0" w:color="auto"/>
            </w:tcBorders>
            <w:shd w:val="clear" w:color="auto" w:fill="006579" w:themeFill="accent2"/>
            <w:hideMark/>
          </w:tcPr>
          <w:p w14:paraId="65159E9A" w14:textId="77777777" w:rsidR="00DD505D" w:rsidRPr="00A55335" w:rsidRDefault="00DD505D" w:rsidP="006D4E25">
            <w:pPr>
              <w:pStyle w:val="Tabletext8pt"/>
              <w:rPr>
                <w:rFonts w:eastAsiaTheme="minorEastAsia"/>
              </w:rPr>
            </w:pPr>
          </w:p>
        </w:tc>
        <w:tc>
          <w:tcPr>
            <w:tcW w:w="582" w:type="pct"/>
            <w:vMerge/>
            <w:tcBorders>
              <w:bottom w:val="single" w:sz="4" w:space="0" w:color="auto"/>
            </w:tcBorders>
            <w:shd w:val="clear" w:color="auto" w:fill="006579" w:themeFill="accent2"/>
            <w:hideMark/>
          </w:tcPr>
          <w:p w14:paraId="097269BE" w14:textId="77777777" w:rsidR="00DD505D" w:rsidRPr="00A55335" w:rsidRDefault="00DD505D" w:rsidP="006D4E25">
            <w:pPr>
              <w:pStyle w:val="Tabletext8pt"/>
              <w:rPr>
                <w:rFonts w:eastAsiaTheme="minorEastAsia"/>
              </w:rPr>
            </w:pPr>
          </w:p>
        </w:tc>
        <w:tc>
          <w:tcPr>
            <w:tcW w:w="582" w:type="pct"/>
            <w:vMerge/>
            <w:tcBorders>
              <w:bottom w:val="single" w:sz="4" w:space="0" w:color="auto"/>
            </w:tcBorders>
            <w:shd w:val="clear" w:color="auto" w:fill="006579" w:themeFill="accent2"/>
            <w:hideMark/>
          </w:tcPr>
          <w:p w14:paraId="054F51CE" w14:textId="77777777" w:rsidR="00DD505D" w:rsidRPr="00A55335" w:rsidRDefault="00DD505D" w:rsidP="006D4E25">
            <w:pPr>
              <w:pStyle w:val="Tabletext8pt"/>
              <w:rPr>
                <w:rFonts w:eastAsiaTheme="minorEastAsia"/>
              </w:rPr>
            </w:pPr>
          </w:p>
        </w:tc>
        <w:tc>
          <w:tcPr>
            <w:tcW w:w="1000" w:type="pct"/>
            <w:vMerge/>
            <w:tcBorders>
              <w:bottom w:val="single" w:sz="4" w:space="0" w:color="auto"/>
            </w:tcBorders>
            <w:shd w:val="clear" w:color="auto" w:fill="006579" w:themeFill="accent2"/>
            <w:vAlign w:val="center"/>
            <w:hideMark/>
          </w:tcPr>
          <w:p w14:paraId="4F01ECA7" w14:textId="77777777" w:rsidR="00DD505D" w:rsidRPr="00A55335" w:rsidRDefault="00DD505D" w:rsidP="00E51F49">
            <w:pPr>
              <w:pStyle w:val="Tabletext8pt"/>
              <w:rPr>
                <w:rFonts w:eastAsiaTheme="minorEastAsia"/>
              </w:rPr>
            </w:pPr>
          </w:p>
        </w:tc>
      </w:tr>
      <w:tr w:rsidR="009F2666" w:rsidRPr="00A55335" w14:paraId="505C601E" w14:textId="77777777" w:rsidTr="00E51F49">
        <w:tc>
          <w:tcPr>
            <w:tcW w:w="942" w:type="pct"/>
            <w:tcBorders>
              <w:bottom w:val="single" w:sz="4" w:space="0" w:color="auto"/>
            </w:tcBorders>
            <w:hideMark/>
          </w:tcPr>
          <w:p w14:paraId="6A63B5AC" w14:textId="36AE42A6" w:rsidR="00DD505D" w:rsidRPr="00A55335" w:rsidRDefault="00DD505D" w:rsidP="006D722D">
            <w:pPr>
              <w:pStyle w:val="Tabletext8pt"/>
            </w:pPr>
            <w:r w:rsidRPr="00A55335">
              <w:t>Pain</w:t>
            </w:r>
            <w:r w:rsidR="00E00F50" w:rsidRPr="00A55335">
              <w:t xml:space="preserve"> intensity</w:t>
            </w:r>
            <w:r w:rsidRPr="00A55335">
              <w:br/>
              <w:t>assessed with: VAS</w:t>
            </w:r>
            <w:r w:rsidRPr="00A55335">
              <w:br/>
              <w:t>Scale from: 0 to 1</w:t>
            </w:r>
            <w:r w:rsidR="005954E6" w:rsidRPr="00A55335">
              <w:t>0</w:t>
            </w:r>
            <w:r w:rsidRPr="00A55335">
              <w:t>0</w:t>
            </w:r>
            <w:r w:rsidR="00071B9B" w:rsidRPr="00A55335">
              <w:t xml:space="preserve"> (h</w:t>
            </w:r>
            <w:r w:rsidRPr="00A55335">
              <w:t>igher is worse</w:t>
            </w:r>
            <w:r w:rsidR="00071B9B" w:rsidRPr="00A55335">
              <w:t>)</w:t>
            </w:r>
            <w:r w:rsidR="00E00F50" w:rsidRPr="00A55335">
              <w:br/>
              <w:t>follow-up: range 3 months to 6 months</w:t>
            </w:r>
          </w:p>
        </w:tc>
        <w:tc>
          <w:tcPr>
            <w:tcW w:w="729" w:type="pct"/>
            <w:tcBorders>
              <w:bottom w:val="single" w:sz="4" w:space="0" w:color="auto"/>
            </w:tcBorders>
            <w:shd w:val="clear" w:color="auto" w:fill="EBEBEB"/>
            <w:vAlign w:val="center"/>
            <w:hideMark/>
          </w:tcPr>
          <w:p w14:paraId="0E3D7422" w14:textId="32905273" w:rsidR="00DD505D" w:rsidRPr="00A55335" w:rsidRDefault="00DD505D" w:rsidP="00E00F50">
            <w:pPr>
              <w:pStyle w:val="Tabletext8pt"/>
              <w:jc w:val="center"/>
            </w:pPr>
            <w:r w:rsidRPr="00A55335">
              <w:t xml:space="preserve">The mean pain score was </w:t>
            </w:r>
            <w:r w:rsidR="004B7026" w:rsidRPr="00A55335">
              <w:rPr>
                <w:rStyle w:val="Strong"/>
              </w:rPr>
              <w:t>47.325</w:t>
            </w:r>
          </w:p>
        </w:tc>
        <w:tc>
          <w:tcPr>
            <w:tcW w:w="729" w:type="pct"/>
            <w:tcBorders>
              <w:bottom w:val="single" w:sz="4" w:space="0" w:color="auto"/>
            </w:tcBorders>
            <w:shd w:val="clear" w:color="auto" w:fill="EBEBEB"/>
            <w:hideMark/>
          </w:tcPr>
          <w:p w14:paraId="669CFE5D" w14:textId="7EC72640" w:rsidR="00DD505D" w:rsidRPr="00A55335" w:rsidRDefault="00DD505D" w:rsidP="00E00F50">
            <w:pPr>
              <w:pStyle w:val="Tabletext8pt"/>
              <w:jc w:val="center"/>
            </w:pPr>
            <w:r w:rsidRPr="00A55335">
              <w:t>MD</w:t>
            </w:r>
            <w:r w:rsidRPr="00A55335">
              <w:rPr>
                <w:rStyle w:val="Strong"/>
              </w:rPr>
              <w:t xml:space="preserve"> </w:t>
            </w:r>
            <w:r w:rsidR="004B7026" w:rsidRPr="00A55335">
              <w:rPr>
                <w:rStyle w:val="Strong"/>
              </w:rPr>
              <w:t>15.</w:t>
            </w:r>
            <w:r w:rsidR="007F6538" w:rsidRPr="00A55335">
              <w:rPr>
                <w:rStyle w:val="Strong"/>
              </w:rPr>
              <w:t xml:space="preserve">25 </w:t>
            </w:r>
            <w:r w:rsidRPr="00A55335">
              <w:rPr>
                <w:rStyle w:val="Strong"/>
              </w:rPr>
              <w:t>lower</w:t>
            </w:r>
            <w:r w:rsidRPr="00A55335">
              <w:br/>
              <w:t>(</w:t>
            </w:r>
            <w:r w:rsidR="004B7026" w:rsidRPr="00A55335">
              <w:t>36.</w:t>
            </w:r>
            <w:r w:rsidR="007F6538" w:rsidRPr="00A55335">
              <w:t>4</w:t>
            </w:r>
            <w:r w:rsidR="004B7026" w:rsidRPr="00A55335">
              <w:t>9</w:t>
            </w:r>
            <w:r w:rsidRPr="00A55335">
              <w:t xml:space="preserve"> lower to </w:t>
            </w:r>
            <w:r w:rsidR="007F6538" w:rsidRPr="00A55335">
              <w:t>5.98</w:t>
            </w:r>
            <w:r w:rsidRPr="00A55335">
              <w:t xml:space="preserve"> higher)</w:t>
            </w:r>
          </w:p>
        </w:tc>
        <w:tc>
          <w:tcPr>
            <w:tcW w:w="436" w:type="pct"/>
            <w:tcBorders>
              <w:top w:val="single" w:sz="4" w:space="0" w:color="auto"/>
              <w:bottom w:val="single" w:sz="4" w:space="0" w:color="auto"/>
            </w:tcBorders>
            <w:vAlign w:val="center"/>
            <w:hideMark/>
          </w:tcPr>
          <w:p w14:paraId="2FD71099" w14:textId="77777777" w:rsidR="00DD505D" w:rsidRPr="00A55335" w:rsidRDefault="00DD505D" w:rsidP="009F2666">
            <w:pPr>
              <w:pStyle w:val="Tabletext8pt"/>
              <w:jc w:val="center"/>
            </w:pPr>
            <w:r w:rsidRPr="00A55335">
              <w:t>-</w:t>
            </w:r>
          </w:p>
        </w:tc>
        <w:tc>
          <w:tcPr>
            <w:tcW w:w="582" w:type="pct"/>
            <w:tcBorders>
              <w:top w:val="single" w:sz="4" w:space="0" w:color="auto"/>
              <w:bottom w:val="single" w:sz="4" w:space="0" w:color="auto"/>
            </w:tcBorders>
            <w:vAlign w:val="center"/>
            <w:hideMark/>
          </w:tcPr>
          <w:p w14:paraId="68A49D1D" w14:textId="630BABAF" w:rsidR="00DD505D" w:rsidRPr="00A55335" w:rsidRDefault="009F2666" w:rsidP="009F2666">
            <w:pPr>
              <w:pStyle w:val="Tabletext8pt"/>
              <w:jc w:val="center"/>
            </w:pPr>
            <w:r w:rsidRPr="00A55335">
              <w:t>11</w:t>
            </w:r>
            <w:r w:rsidR="007F6538" w:rsidRPr="00A55335">
              <w:t>2</w:t>
            </w:r>
            <w:r w:rsidR="00DD505D" w:rsidRPr="00A55335">
              <w:br/>
              <w:t>(</w:t>
            </w:r>
            <w:r w:rsidRPr="00A55335">
              <w:t xml:space="preserve">2 </w:t>
            </w:r>
            <w:r w:rsidR="00DD505D" w:rsidRPr="00A55335">
              <w:t>RCT</w:t>
            </w:r>
            <w:r w:rsidRPr="00A55335">
              <w:t>s</w:t>
            </w:r>
            <w:r w:rsidR="00DD505D" w:rsidRPr="00A55335">
              <w:t xml:space="preserve">) </w:t>
            </w:r>
            <w:r w:rsidR="00DD505D" w:rsidRPr="00A55335">
              <w:rPr>
                <w:rStyle w:val="FootnoteReference"/>
              </w:rPr>
              <w:t>†</w:t>
            </w:r>
          </w:p>
        </w:tc>
        <w:tc>
          <w:tcPr>
            <w:tcW w:w="582" w:type="pct"/>
            <w:tcBorders>
              <w:top w:val="single" w:sz="4" w:space="0" w:color="auto"/>
              <w:bottom w:val="single" w:sz="4" w:space="0" w:color="auto"/>
            </w:tcBorders>
            <w:vAlign w:val="center"/>
            <w:hideMark/>
          </w:tcPr>
          <w:p w14:paraId="0E2C5215" w14:textId="6C678675" w:rsidR="00DD505D" w:rsidRPr="00A55335" w:rsidRDefault="00DD505D" w:rsidP="008D0C2A">
            <w:pPr>
              <w:pStyle w:val="Tabletext8pt"/>
              <w:jc w:val="center"/>
            </w:pPr>
            <w:r w:rsidRPr="00A55335">
              <w:rPr>
                <w:rFonts w:ascii="Cambria Math" w:hAnsi="Cambria Math" w:cs="Cambria Math"/>
              </w:rPr>
              <w:t>⨁◯◯◯</w:t>
            </w:r>
            <w:r w:rsidRPr="00A55335">
              <w:br/>
            </w:r>
            <w:r w:rsidRPr="00A55335">
              <w:rPr>
                <w:rStyle w:val="QualitytextChar"/>
              </w:rPr>
              <w:t xml:space="preserve">Very low </w:t>
            </w:r>
            <w:proofErr w:type="spellStart"/>
            <w:r w:rsidRPr="00A55335">
              <w:rPr>
                <w:rStyle w:val="FootnoteReference"/>
              </w:rPr>
              <w:t>a,b,c</w:t>
            </w:r>
            <w:r w:rsidR="00576FEA" w:rsidRPr="00A55335">
              <w:rPr>
                <w:rStyle w:val="FootnoteReference"/>
              </w:rPr>
              <w:t>,d,e</w:t>
            </w:r>
            <w:proofErr w:type="spellEnd"/>
          </w:p>
        </w:tc>
        <w:tc>
          <w:tcPr>
            <w:tcW w:w="1000" w:type="pct"/>
            <w:tcBorders>
              <w:top w:val="single" w:sz="4" w:space="0" w:color="auto"/>
              <w:bottom w:val="single" w:sz="4" w:space="0" w:color="auto"/>
            </w:tcBorders>
            <w:vAlign w:val="center"/>
            <w:hideMark/>
          </w:tcPr>
          <w:p w14:paraId="55559C5C" w14:textId="7D80C512" w:rsidR="00DD505D" w:rsidRPr="00A55335" w:rsidRDefault="00DD505D" w:rsidP="00E51F49">
            <w:pPr>
              <w:pStyle w:val="Tabletext8pt"/>
            </w:pPr>
            <w:r w:rsidRPr="00A55335">
              <w:t>The evidence is very uncertain about the effect of homeopathy on pain</w:t>
            </w:r>
            <w:r w:rsidR="001F39DB" w:rsidRPr="00A55335">
              <w:t xml:space="preserve"> intensity</w:t>
            </w:r>
            <w:r w:rsidRPr="00A55335">
              <w:t xml:space="preserve"> in people with menstrual disorders.</w:t>
            </w:r>
            <w:r w:rsidR="00992A8C" w:rsidRPr="00A55335">
              <w:t xml:space="preserve"> #</w:t>
            </w:r>
            <w:r w:rsidR="00140277">
              <w:t xml:space="preserve"> </w:t>
            </w:r>
          </w:p>
        </w:tc>
      </w:tr>
      <w:tr w:rsidR="009F2666" w:rsidRPr="00A55335" w14:paraId="5632DAA3" w14:textId="77777777" w:rsidTr="00E51F49">
        <w:tc>
          <w:tcPr>
            <w:tcW w:w="942" w:type="pct"/>
            <w:tcBorders>
              <w:top w:val="single" w:sz="4" w:space="0" w:color="auto"/>
              <w:bottom w:val="single" w:sz="4" w:space="0" w:color="auto"/>
            </w:tcBorders>
            <w:hideMark/>
          </w:tcPr>
          <w:p w14:paraId="72B350E0" w14:textId="62DF8ED8" w:rsidR="00DD505D" w:rsidRPr="00A55335" w:rsidRDefault="00DD505D" w:rsidP="006D722D">
            <w:pPr>
              <w:pStyle w:val="Tabletext8pt"/>
            </w:pPr>
            <w:r w:rsidRPr="00A55335">
              <w:t>Symptom severity</w:t>
            </w:r>
            <w:r w:rsidRPr="00A55335">
              <w:br/>
              <w:t>assessed with: MDQ</w:t>
            </w:r>
            <w:r w:rsidR="00071B9B" w:rsidRPr="00A55335">
              <w:t xml:space="preserve"> </w:t>
            </w:r>
            <w:r w:rsidR="002931A3" w:rsidRPr="00A55335">
              <w:br/>
              <w:t>range:</w:t>
            </w:r>
            <w:r w:rsidR="004F282F" w:rsidRPr="00A55335">
              <w:t xml:space="preserve"> 0 to </w:t>
            </w:r>
            <w:r w:rsidR="007A1A00" w:rsidRPr="00A55335">
              <w:t>4</w:t>
            </w:r>
            <w:r w:rsidR="002931A3" w:rsidRPr="00A55335">
              <w:t xml:space="preserve"> </w:t>
            </w:r>
            <w:r w:rsidR="00071B9B" w:rsidRPr="00A55335">
              <w:t>(h</w:t>
            </w:r>
            <w:r w:rsidRPr="00A55335">
              <w:t>igher is worse</w:t>
            </w:r>
            <w:r w:rsidR="00071B9B" w:rsidRPr="00A55335">
              <w:t>)</w:t>
            </w:r>
            <w:r w:rsidR="007A1A00" w:rsidRPr="00A55335">
              <w:br/>
              <w:t>follow-up: 3 months</w:t>
            </w:r>
          </w:p>
        </w:tc>
        <w:tc>
          <w:tcPr>
            <w:tcW w:w="729" w:type="pct"/>
            <w:tcBorders>
              <w:top w:val="single" w:sz="4" w:space="0" w:color="auto"/>
              <w:bottom w:val="single" w:sz="4" w:space="0" w:color="auto"/>
            </w:tcBorders>
            <w:shd w:val="clear" w:color="auto" w:fill="EBEBEB"/>
            <w:vAlign w:val="center"/>
            <w:hideMark/>
          </w:tcPr>
          <w:p w14:paraId="64329D88" w14:textId="5AC756F5" w:rsidR="00DD505D" w:rsidRPr="00A55335" w:rsidRDefault="00FE1755" w:rsidP="00E00F50">
            <w:pPr>
              <w:pStyle w:val="Tabletext8pt"/>
              <w:jc w:val="center"/>
            </w:pPr>
            <w:r w:rsidRPr="00A55335">
              <w:t xml:space="preserve">The mean MDQ score was </w:t>
            </w:r>
            <w:r w:rsidRPr="00A55335">
              <w:rPr>
                <w:rStyle w:val="Strong"/>
              </w:rPr>
              <w:t>0.34</w:t>
            </w:r>
          </w:p>
        </w:tc>
        <w:tc>
          <w:tcPr>
            <w:tcW w:w="729" w:type="pct"/>
            <w:tcBorders>
              <w:top w:val="single" w:sz="4" w:space="0" w:color="auto"/>
              <w:bottom w:val="single" w:sz="4" w:space="0" w:color="auto"/>
            </w:tcBorders>
            <w:shd w:val="clear" w:color="auto" w:fill="EBEBEB"/>
            <w:hideMark/>
          </w:tcPr>
          <w:p w14:paraId="04D25A6E" w14:textId="77777777" w:rsidR="00DD505D" w:rsidRPr="00A55335" w:rsidRDefault="00DD505D" w:rsidP="00E00F50">
            <w:pPr>
              <w:pStyle w:val="Tabletext8pt"/>
              <w:jc w:val="center"/>
            </w:pPr>
            <w:r w:rsidRPr="00A55335">
              <w:t>MD</w:t>
            </w:r>
            <w:r w:rsidRPr="00A55335">
              <w:rPr>
                <w:rStyle w:val="Strong"/>
              </w:rPr>
              <w:t xml:space="preserve"> 0.1 lower</w:t>
            </w:r>
            <w:r w:rsidRPr="00A55335">
              <w:br/>
              <w:t>(0.25 lower to 0.04 higher)</w:t>
            </w:r>
          </w:p>
        </w:tc>
        <w:tc>
          <w:tcPr>
            <w:tcW w:w="436" w:type="pct"/>
            <w:tcBorders>
              <w:top w:val="single" w:sz="4" w:space="0" w:color="auto"/>
              <w:bottom w:val="single" w:sz="4" w:space="0" w:color="auto"/>
            </w:tcBorders>
            <w:vAlign w:val="center"/>
            <w:hideMark/>
          </w:tcPr>
          <w:p w14:paraId="14E3D048" w14:textId="77777777" w:rsidR="00DD505D" w:rsidRPr="00A55335" w:rsidRDefault="00DD505D" w:rsidP="009F2666">
            <w:pPr>
              <w:pStyle w:val="Tabletext8pt"/>
              <w:jc w:val="center"/>
            </w:pPr>
            <w:r w:rsidRPr="00A55335">
              <w:t>-</w:t>
            </w:r>
          </w:p>
        </w:tc>
        <w:tc>
          <w:tcPr>
            <w:tcW w:w="582" w:type="pct"/>
            <w:tcBorders>
              <w:top w:val="single" w:sz="4" w:space="0" w:color="auto"/>
              <w:bottom w:val="single" w:sz="4" w:space="0" w:color="auto"/>
            </w:tcBorders>
            <w:vAlign w:val="center"/>
            <w:hideMark/>
          </w:tcPr>
          <w:p w14:paraId="02BA14FB" w14:textId="42F8DB72" w:rsidR="00DD505D" w:rsidRPr="00A55335" w:rsidRDefault="00DD505D" w:rsidP="009F2666">
            <w:pPr>
              <w:pStyle w:val="Tabletext8pt"/>
              <w:jc w:val="center"/>
              <w:rPr>
                <w:rFonts w:eastAsia="Times New Roman"/>
              </w:rPr>
            </w:pPr>
            <w:r w:rsidRPr="00A55335">
              <w:rPr>
                <w:rFonts w:eastAsia="Times New Roman"/>
              </w:rPr>
              <w:t>115</w:t>
            </w:r>
            <w:r w:rsidRPr="00A55335">
              <w:rPr>
                <w:rFonts w:eastAsia="Times New Roman"/>
              </w:rPr>
              <w:br/>
              <w:t>(2 RCTs)</w:t>
            </w:r>
            <w:r w:rsidR="0038719A" w:rsidRPr="00A55335">
              <w:rPr>
                <w:rFonts w:eastAsia="Times New Roman"/>
              </w:rPr>
              <w:t xml:space="preserve"> </w:t>
            </w:r>
            <w:r w:rsidR="0038719A" w:rsidRPr="00A55335">
              <w:rPr>
                <w:rStyle w:val="FootnoteReference"/>
              </w:rPr>
              <w:t>†</w:t>
            </w:r>
          </w:p>
        </w:tc>
        <w:tc>
          <w:tcPr>
            <w:tcW w:w="582" w:type="pct"/>
            <w:tcBorders>
              <w:top w:val="single" w:sz="4" w:space="0" w:color="auto"/>
              <w:bottom w:val="single" w:sz="4" w:space="0" w:color="auto"/>
            </w:tcBorders>
            <w:vAlign w:val="center"/>
            <w:hideMark/>
          </w:tcPr>
          <w:p w14:paraId="37C384DA" w14:textId="0F8DFBF6" w:rsidR="00DD505D" w:rsidRPr="00A55335" w:rsidRDefault="00DD505D" w:rsidP="009F2666">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00F514EB" w:rsidRPr="00A55335">
              <w:rPr>
                <w:rStyle w:val="FootnoteReference"/>
              </w:rPr>
              <w:t>a,</w:t>
            </w:r>
            <w:r w:rsidRPr="00A55335">
              <w:rPr>
                <w:rStyle w:val="FootnoteReference"/>
              </w:rPr>
              <w:t>d,e</w:t>
            </w:r>
            <w:r w:rsidR="00236BD6" w:rsidRPr="00A55335">
              <w:rPr>
                <w:rStyle w:val="FootnoteReference"/>
              </w:rPr>
              <w:t>,f,g</w:t>
            </w:r>
            <w:proofErr w:type="spellEnd"/>
          </w:p>
        </w:tc>
        <w:tc>
          <w:tcPr>
            <w:tcW w:w="1000" w:type="pct"/>
            <w:tcBorders>
              <w:top w:val="single" w:sz="4" w:space="0" w:color="auto"/>
              <w:bottom w:val="single" w:sz="4" w:space="0" w:color="auto"/>
            </w:tcBorders>
            <w:vAlign w:val="center"/>
            <w:hideMark/>
          </w:tcPr>
          <w:p w14:paraId="62CC645B" w14:textId="3A7C28DB" w:rsidR="00DD505D" w:rsidRPr="00A55335" w:rsidRDefault="00DD505D" w:rsidP="00E51F49">
            <w:pPr>
              <w:pStyle w:val="Tabletext8pt"/>
              <w:rPr>
                <w:rFonts w:eastAsia="Times New Roman"/>
              </w:rPr>
            </w:pPr>
            <w:r w:rsidRPr="00A55335">
              <w:rPr>
                <w:rFonts w:eastAsia="Times New Roman"/>
              </w:rPr>
              <w:t>The evidence is very uncertain about the effect of homeopathy on symptom severity in people with menstrual disorders.</w:t>
            </w:r>
          </w:p>
        </w:tc>
      </w:tr>
      <w:tr w:rsidR="001F4C9C" w:rsidRPr="00A55335" w14:paraId="7D323318" w14:textId="77777777" w:rsidTr="007252A0">
        <w:tc>
          <w:tcPr>
            <w:tcW w:w="942" w:type="pct"/>
            <w:tcBorders>
              <w:top w:val="single" w:sz="4" w:space="0" w:color="auto"/>
              <w:bottom w:val="single" w:sz="4" w:space="0" w:color="auto"/>
            </w:tcBorders>
            <w:vAlign w:val="center"/>
          </w:tcPr>
          <w:p w14:paraId="516AFD4A" w14:textId="5507BDE5" w:rsidR="001F4C9C" w:rsidRPr="00A55335" w:rsidRDefault="001F4C9C" w:rsidP="00E51F49">
            <w:pPr>
              <w:pStyle w:val="Tabletext8pt"/>
            </w:pPr>
            <w:r w:rsidRPr="00A55335">
              <w:t>Depression</w:t>
            </w:r>
            <w:r w:rsidR="00F95F69" w:rsidRPr="00A55335">
              <w:br/>
            </w:r>
            <w:r w:rsidRPr="00A55335">
              <w:t>assessed with BDI</w:t>
            </w:r>
            <w:r w:rsidRPr="00A55335">
              <w:br/>
              <w:t>Range: 0 to 63 (higher is worse)</w:t>
            </w:r>
            <w:r w:rsidRPr="00A55335">
              <w:br/>
              <w:t>follow-up: 3 months</w:t>
            </w:r>
          </w:p>
        </w:tc>
        <w:tc>
          <w:tcPr>
            <w:tcW w:w="729" w:type="pct"/>
            <w:tcBorders>
              <w:top w:val="single" w:sz="4" w:space="0" w:color="auto"/>
              <w:bottom w:val="single" w:sz="4" w:space="0" w:color="auto"/>
            </w:tcBorders>
            <w:shd w:val="clear" w:color="auto" w:fill="EBEBEB"/>
            <w:vAlign w:val="center"/>
          </w:tcPr>
          <w:p w14:paraId="34F0CFD0" w14:textId="788DE44F" w:rsidR="001F4C9C" w:rsidRPr="00A55335" w:rsidRDefault="001F4C9C" w:rsidP="001F4C9C">
            <w:pPr>
              <w:pStyle w:val="Tabletext8pt"/>
              <w:jc w:val="center"/>
            </w:pPr>
            <w:r w:rsidRPr="00A55335">
              <w:t>-</w:t>
            </w:r>
          </w:p>
        </w:tc>
        <w:tc>
          <w:tcPr>
            <w:tcW w:w="729" w:type="pct"/>
            <w:tcBorders>
              <w:top w:val="single" w:sz="4" w:space="0" w:color="auto"/>
              <w:bottom w:val="single" w:sz="4" w:space="0" w:color="auto"/>
            </w:tcBorders>
            <w:shd w:val="clear" w:color="auto" w:fill="EBEBEB"/>
          </w:tcPr>
          <w:p w14:paraId="1083E544" w14:textId="55EFB8EB" w:rsidR="001F4C9C" w:rsidRPr="00A55335" w:rsidRDefault="001F4C9C" w:rsidP="00112DC8">
            <w:pPr>
              <w:pStyle w:val="Tabletext8pt"/>
              <w:jc w:val="center"/>
            </w:pPr>
            <w:r w:rsidRPr="00A55335">
              <w:t>-</w:t>
            </w:r>
          </w:p>
        </w:tc>
        <w:tc>
          <w:tcPr>
            <w:tcW w:w="436" w:type="pct"/>
            <w:tcBorders>
              <w:top w:val="single" w:sz="4" w:space="0" w:color="auto"/>
              <w:bottom w:val="single" w:sz="4" w:space="0" w:color="auto"/>
            </w:tcBorders>
            <w:vAlign w:val="center"/>
          </w:tcPr>
          <w:p w14:paraId="2EFF0BF7" w14:textId="77777777" w:rsidR="001F4C9C" w:rsidRPr="00A55335" w:rsidRDefault="001F4C9C" w:rsidP="009F2666">
            <w:pPr>
              <w:pStyle w:val="Tabletext8pt"/>
              <w:jc w:val="center"/>
            </w:pPr>
            <w:r w:rsidRPr="00A55335">
              <w:t>-</w:t>
            </w:r>
          </w:p>
        </w:tc>
        <w:tc>
          <w:tcPr>
            <w:tcW w:w="582" w:type="pct"/>
            <w:tcBorders>
              <w:top w:val="single" w:sz="4" w:space="0" w:color="auto"/>
              <w:bottom w:val="single" w:sz="4" w:space="0" w:color="auto"/>
            </w:tcBorders>
            <w:vAlign w:val="center"/>
          </w:tcPr>
          <w:p w14:paraId="463C4370" w14:textId="6D2073F9" w:rsidR="001F4C9C" w:rsidRPr="00A55335" w:rsidRDefault="001F4C9C" w:rsidP="009F2666">
            <w:pPr>
              <w:pStyle w:val="Tabletext8pt"/>
              <w:jc w:val="center"/>
              <w:rPr>
                <w:rFonts w:eastAsia="Times New Roman"/>
              </w:rPr>
            </w:pPr>
            <w:r w:rsidRPr="00A55335">
              <w:rPr>
                <w:rFonts w:eastAsia="Times New Roman"/>
              </w:rPr>
              <w:t>(0 studies)</w:t>
            </w:r>
            <w:r w:rsidRPr="00A55335">
              <w:rPr>
                <w:rStyle w:val="FootnoteReference"/>
              </w:rPr>
              <w:t xml:space="preserve"> †</w:t>
            </w:r>
          </w:p>
        </w:tc>
        <w:tc>
          <w:tcPr>
            <w:tcW w:w="582" w:type="pct"/>
            <w:tcBorders>
              <w:top w:val="single" w:sz="4" w:space="0" w:color="auto"/>
              <w:bottom w:val="single" w:sz="4" w:space="0" w:color="auto"/>
            </w:tcBorders>
            <w:vAlign w:val="center"/>
          </w:tcPr>
          <w:p w14:paraId="10F40C90" w14:textId="77777777" w:rsidR="001F4C9C" w:rsidRPr="00A55335" w:rsidRDefault="001F4C9C" w:rsidP="009F2666">
            <w:pPr>
              <w:pStyle w:val="Tabletext8pt"/>
              <w:jc w:val="center"/>
              <w:rPr>
                <w:rStyle w:val="quality-sign"/>
                <w:rFonts w:ascii="Cambria Math" w:hAnsi="Cambria Math"/>
                <w:caps/>
              </w:rPr>
            </w:pPr>
            <w:r w:rsidRPr="00A55335">
              <w:rPr>
                <w:rStyle w:val="quality-sign"/>
                <w:rFonts w:ascii="Cambria Math" w:hAnsi="Cambria Math"/>
              </w:rPr>
              <w:t>-</w:t>
            </w:r>
          </w:p>
        </w:tc>
        <w:tc>
          <w:tcPr>
            <w:tcW w:w="1000" w:type="pct"/>
            <w:tcBorders>
              <w:top w:val="single" w:sz="4" w:space="0" w:color="auto"/>
              <w:bottom w:val="single" w:sz="4" w:space="0" w:color="auto"/>
            </w:tcBorders>
            <w:vAlign w:val="center"/>
          </w:tcPr>
          <w:p w14:paraId="7D92A0DD" w14:textId="77777777" w:rsidR="001F4C9C" w:rsidRPr="00A55335" w:rsidRDefault="001F4C9C" w:rsidP="00E51F49">
            <w:pPr>
              <w:pStyle w:val="Tabletext8pt"/>
              <w:rPr>
                <w:rFonts w:eastAsia="Times New Roman"/>
              </w:rPr>
            </w:pPr>
            <w:r w:rsidRPr="00A55335">
              <w:rPr>
                <w:rFonts w:eastAsia="Times New Roman"/>
              </w:rPr>
              <w:t>The effect of homeopathy on depression in people with menstrual disorders is unknown</w:t>
            </w:r>
          </w:p>
        </w:tc>
      </w:tr>
      <w:tr w:rsidR="00112DC8" w:rsidRPr="00A55335" w14:paraId="718D486D" w14:textId="77777777" w:rsidTr="007252A0">
        <w:tc>
          <w:tcPr>
            <w:tcW w:w="942" w:type="pct"/>
            <w:tcBorders>
              <w:top w:val="single" w:sz="4" w:space="0" w:color="auto"/>
              <w:bottom w:val="single" w:sz="4" w:space="0" w:color="auto"/>
            </w:tcBorders>
            <w:vAlign w:val="center"/>
          </w:tcPr>
          <w:p w14:paraId="650E8E4E" w14:textId="62FF538A" w:rsidR="00112DC8" w:rsidRPr="00A55335" w:rsidRDefault="00112DC8" w:rsidP="00E51F49">
            <w:pPr>
              <w:pStyle w:val="Tabletext8pt"/>
            </w:pPr>
            <w:r w:rsidRPr="00A55335">
              <w:t>Anxiety</w:t>
            </w:r>
            <w:r w:rsidRPr="00A55335">
              <w:br/>
              <w:t>assessed with: BAI</w:t>
            </w:r>
            <w:r w:rsidRPr="00A55335">
              <w:br/>
              <w:t>Range: 0 to 63 (higher is worse)</w:t>
            </w:r>
            <w:r w:rsidRPr="00A55335">
              <w:br/>
              <w:t>follow-up: 3 months</w:t>
            </w:r>
          </w:p>
        </w:tc>
        <w:tc>
          <w:tcPr>
            <w:tcW w:w="729" w:type="pct"/>
            <w:tcBorders>
              <w:bottom w:val="single" w:sz="4" w:space="0" w:color="auto"/>
            </w:tcBorders>
            <w:shd w:val="clear" w:color="auto" w:fill="EBEBEB"/>
            <w:vAlign w:val="center"/>
          </w:tcPr>
          <w:p w14:paraId="7C4FF1B3" w14:textId="19CA2561" w:rsidR="00112DC8" w:rsidRPr="00A55335" w:rsidRDefault="00112DC8" w:rsidP="00112DC8">
            <w:pPr>
              <w:pStyle w:val="Tabletext8pt"/>
              <w:jc w:val="center"/>
            </w:pPr>
            <w:r w:rsidRPr="00A55335">
              <w:t>-</w:t>
            </w:r>
          </w:p>
        </w:tc>
        <w:tc>
          <w:tcPr>
            <w:tcW w:w="729" w:type="pct"/>
            <w:tcBorders>
              <w:bottom w:val="single" w:sz="4" w:space="0" w:color="auto"/>
            </w:tcBorders>
            <w:shd w:val="clear" w:color="auto" w:fill="EBEBEB"/>
          </w:tcPr>
          <w:p w14:paraId="7A7624AB" w14:textId="752F1835" w:rsidR="00112DC8" w:rsidRPr="00A55335" w:rsidRDefault="00112DC8" w:rsidP="00112DC8">
            <w:pPr>
              <w:pStyle w:val="Tabletext8pt"/>
              <w:jc w:val="center"/>
            </w:pPr>
            <w:r w:rsidRPr="00A55335">
              <w:t>-</w:t>
            </w:r>
          </w:p>
        </w:tc>
        <w:tc>
          <w:tcPr>
            <w:tcW w:w="436" w:type="pct"/>
            <w:tcBorders>
              <w:top w:val="single" w:sz="4" w:space="0" w:color="auto"/>
              <w:bottom w:val="single" w:sz="4" w:space="0" w:color="auto"/>
            </w:tcBorders>
          </w:tcPr>
          <w:p w14:paraId="2169A843" w14:textId="7B08BD98" w:rsidR="00112DC8" w:rsidRPr="00A55335" w:rsidRDefault="00112DC8" w:rsidP="00112DC8">
            <w:pPr>
              <w:pStyle w:val="Tabletext8pt"/>
              <w:jc w:val="center"/>
            </w:pPr>
            <w:r w:rsidRPr="00A55335">
              <w:t>-</w:t>
            </w:r>
          </w:p>
        </w:tc>
        <w:tc>
          <w:tcPr>
            <w:tcW w:w="582" w:type="pct"/>
            <w:tcBorders>
              <w:top w:val="single" w:sz="4" w:space="0" w:color="auto"/>
              <w:bottom w:val="single" w:sz="4" w:space="0" w:color="auto"/>
            </w:tcBorders>
            <w:vAlign w:val="center"/>
          </w:tcPr>
          <w:p w14:paraId="6A9E9062" w14:textId="28A133FF" w:rsidR="00112DC8" w:rsidRPr="00A55335" w:rsidRDefault="00112DC8" w:rsidP="00112DC8">
            <w:pPr>
              <w:pStyle w:val="Tabletext8pt"/>
              <w:jc w:val="center"/>
              <w:rPr>
                <w:rFonts w:eastAsia="Times New Roman"/>
              </w:rPr>
            </w:pPr>
            <w:r w:rsidRPr="00A55335">
              <w:rPr>
                <w:rFonts w:eastAsia="Times New Roman"/>
              </w:rPr>
              <w:t>(0 studies)</w:t>
            </w:r>
            <w:r w:rsidRPr="00A55335">
              <w:rPr>
                <w:rStyle w:val="FootnoteReference"/>
              </w:rPr>
              <w:t xml:space="preserve"> †</w:t>
            </w:r>
            <w:r w:rsidR="00293B81" w:rsidRPr="00A55335">
              <w:rPr>
                <w:rStyle w:val="FootnoteReference"/>
              </w:rPr>
              <w:t>†</w:t>
            </w:r>
          </w:p>
        </w:tc>
        <w:tc>
          <w:tcPr>
            <w:tcW w:w="582" w:type="pct"/>
            <w:tcBorders>
              <w:top w:val="single" w:sz="4" w:space="0" w:color="auto"/>
              <w:bottom w:val="single" w:sz="4" w:space="0" w:color="auto"/>
            </w:tcBorders>
            <w:vAlign w:val="center"/>
          </w:tcPr>
          <w:p w14:paraId="6015FC81" w14:textId="77777777" w:rsidR="00112DC8" w:rsidRPr="00A55335" w:rsidRDefault="00112DC8" w:rsidP="00112DC8">
            <w:pPr>
              <w:pStyle w:val="Tabletext8pt"/>
              <w:jc w:val="center"/>
              <w:rPr>
                <w:rStyle w:val="quality-sign"/>
                <w:rFonts w:ascii="Cambria Math" w:hAnsi="Cambria Math"/>
                <w:caps/>
              </w:rPr>
            </w:pPr>
            <w:r w:rsidRPr="00A55335">
              <w:rPr>
                <w:rStyle w:val="quality-sign"/>
                <w:rFonts w:ascii="Cambria Math" w:hAnsi="Cambria Math"/>
              </w:rPr>
              <w:t>-</w:t>
            </w:r>
          </w:p>
        </w:tc>
        <w:tc>
          <w:tcPr>
            <w:tcW w:w="1000" w:type="pct"/>
            <w:tcBorders>
              <w:top w:val="single" w:sz="4" w:space="0" w:color="auto"/>
              <w:bottom w:val="single" w:sz="4" w:space="0" w:color="auto"/>
            </w:tcBorders>
            <w:vAlign w:val="center"/>
          </w:tcPr>
          <w:p w14:paraId="4684D933" w14:textId="77777777" w:rsidR="00112DC8" w:rsidRPr="00A55335" w:rsidRDefault="00112DC8" w:rsidP="00E51F49">
            <w:pPr>
              <w:pStyle w:val="Tabletext8pt"/>
              <w:rPr>
                <w:rFonts w:eastAsia="Times New Roman"/>
              </w:rPr>
            </w:pPr>
            <w:r w:rsidRPr="00A55335">
              <w:rPr>
                <w:rFonts w:eastAsia="Times New Roman"/>
              </w:rPr>
              <w:t>The effect of homeopathy on anxiety in people with menstrual disorders is unknown</w:t>
            </w:r>
          </w:p>
        </w:tc>
      </w:tr>
      <w:tr w:rsidR="00E51F49" w:rsidRPr="00A55335" w14:paraId="02E8D5FD" w14:textId="77777777" w:rsidTr="00E51F49">
        <w:tc>
          <w:tcPr>
            <w:tcW w:w="942" w:type="pct"/>
            <w:vMerge w:val="restart"/>
            <w:tcBorders>
              <w:top w:val="single" w:sz="4" w:space="0" w:color="auto"/>
            </w:tcBorders>
            <w:vAlign w:val="center"/>
          </w:tcPr>
          <w:p w14:paraId="73CAEDD9" w14:textId="4BD690B2" w:rsidR="00E51F49" w:rsidRPr="00A55335" w:rsidRDefault="00E51F49" w:rsidP="00E51F49">
            <w:pPr>
              <w:pStyle w:val="Tabletext8pt"/>
            </w:pPr>
            <w:r w:rsidRPr="00A55335">
              <w:t>Health-related quality of life</w:t>
            </w:r>
            <w:r w:rsidRPr="00A55335">
              <w:br/>
              <w:t xml:space="preserve">assessed with: SF-36 </w:t>
            </w:r>
            <w:r w:rsidRPr="00A55335">
              <w:br/>
              <w:t>Range: 0 to 100 (higher is better)</w:t>
            </w:r>
            <w:r w:rsidRPr="00A55335">
              <w:br/>
              <w:t>follow-up: 3 months</w:t>
            </w:r>
          </w:p>
        </w:tc>
        <w:tc>
          <w:tcPr>
            <w:tcW w:w="729" w:type="pct"/>
            <w:tcBorders>
              <w:bottom w:val="single" w:sz="4" w:space="0" w:color="auto"/>
            </w:tcBorders>
            <w:shd w:val="clear" w:color="auto" w:fill="EBEBEB"/>
            <w:vAlign w:val="center"/>
          </w:tcPr>
          <w:p w14:paraId="4B1390EC" w14:textId="26EA3903" w:rsidR="00E51F49" w:rsidRPr="00A55335" w:rsidRDefault="00E51F49" w:rsidP="00E51F49">
            <w:pPr>
              <w:pStyle w:val="Tabletext8pt"/>
              <w:jc w:val="center"/>
            </w:pPr>
            <w:r w:rsidRPr="00A55335">
              <w:t xml:space="preserve">The mean physical component score was </w:t>
            </w:r>
            <w:r w:rsidRPr="00A55335">
              <w:rPr>
                <w:rStyle w:val="Strong"/>
              </w:rPr>
              <w:t>78.2</w:t>
            </w:r>
          </w:p>
        </w:tc>
        <w:tc>
          <w:tcPr>
            <w:tcW w:w="729" w:type="pct"/>
            <w:tcBorders>
              <w:bottom w:val="single" w:sz="4" w:space="0" w:color="auto"/>
            </w:tcBorders>
            <w:shd w:val="clear" w:color="auto" w:fill="EBEBEB"/>
          </w:tcPr>
          <w:p w14:paraId="48AB8793" w14:textId="76F0A58C" w:rsidR="00E51F49" w:rsidRPr="00A55335" w:rsidRDefault="00E51F49" w:rsidP="00E51F49">
            <w:pPr>
              <w:pStyle w:val="Tabletext8pt"/>
              <w:jc w:val="center"/>
            </w:pPr>
            <w:r w:rsidRPr="00A55335">
              <w:t>MD</w:t>
            </w:r>
            <w:r w:rsidRPr="00A55335">
              <w:rPr>
                <w:rStyle w:val="Strong"/>
              </w:rPr>
              <w:t xml:space="preserve"> 0.50 higher</w:t>
            </w:r>
            <w:r w:rsidRPr="00A55335">
              <w:t xml:space="preserve"> (7.</w:t>
            </w:r>
            <w:r w:rsidR="00CA0D37" w:rsidRPr="00A55335">
              <w:t>0</w:t>
            </w:r>
            <w:r w:rsidRPr="00A55335">
              <w:t xml:space="preserve">5 </w:t>
            </w:r>
            <w:r w:rsidR="009529FD" w:rsidRPr="00A55335">
              <w:t xml:space="preserve">lower </w:t>
            </w:r>
            <w:r w:rsidRPr="00A55335">
              <w:t xml:space="preserve">to </w:t>
            </w:r>
            <w:r w:rsidR="009529FD" w:rsidRPr="00A55335">
              <w:t>8</w:t>
            </w:r>
            <w:r w:rsidRPr="00A55335">
              <w:t>.0</w:t>
            </w:r>
            <w:r w:rsidR="009529FD" w:rsidRPr="00A55335">
              <w:t>5</w:t>
            </w:r>
            <w:r w:rsidRPr="00A55335">
              <w:t xml:space="preserve"> </w:t>
            </w:r>
            <w:r w:rsidR="009529FD" w:rsidRPr="00A55335">
              <w:t>higher</w:t>
            </w:r>
            <w:r w:rsidRPr="00A55335">
              <w:t>)</w:t>
            </w:r>
          </w:p>
        </w:tc>
        <w:tc>
          <w:tcPr>
            <w:tcW w:w="436" w:type="pct"/>
            <w:vMerge w:val="restart"/>
            <w:tcBorders>
              <w:top w:val="single" w:sz="4" w:space="0" w:color="auto"/>
            </w:tcBorders>
          </w:tcPr>
          <w:p w14:paraId="777CE412" w14:textId="77777777" w:rsidR="00E51F49" w:rsidRPr="00A55335" w:rsidRDefault="00E51F49" w:rsidP="00E51F49">
            <w:pPr>
              <w:pStyle w:val="Tabletext8pt"/>
              <w:jc w:val="center"/>
            </w:pPr>
          </w:p>
        </w:tc>
        <w:tc>
          <w:tcPr>
            <w:tcW w:w="582" w:type="pct"/>
            <w:vMerge w:val="restart"/>
            <w:tcBorders>
              <w:top w:val="single" w:sz="4" w:space="0" w:color="auto"/>
            </w:tcBorders>
            <w:vAlign w:val="center"/>
          </w:tcPr>
          <w:p w14:paraId="0D46864C" w14:textId="66760CA3" w:rsidR="00E51F49" w:rsidRPr="00A55335" w:rsidRDefault="00816D03" w:rsidP="00E51F49">
            <w:pPr>
              <w:pStyle w:val="Tabletext8pt"/>
              <w:jc w:val="center"/>
              <w:rPr>
                <w:rFonts w:eastAsia="Times New Roman"/>
              </w:rPr>
            </w:pPr>
            <w:r w:rsidRPr="00A55335">
              <w:rPr>
                <w:rFonts w:cs="Montserrat"/>
                <w:color w:val="000000"/>
              </w:rPr>
              <w:t>47</w:t>
            </w:r>
            <w:r w:rsidR="00D34334" w:rsidRPr="00A55335">
              <w:rPr>
                <w:rFonts w:cs="Montserrat"/>
                <w:color w:val="000000"/>
              </w:rPr>
              <w:br/>
              <w:t xml:space="preserve">(1 RCT) </w:t>
            </w:r>
            <w:r w:rsidR="00D34334" w:rsidRPr="00A55335">
              <w:rPr>
                <w:rFonts w:cs="Montserrat"/>
                <w:color w:val="000000"/>
                <w:vertAlign w:val="superscript"/>
              </w:rPr>
              <w:t>†††</w:t>
            </w:r>
          </w:p>
        </w:tc>
        <w:tc>
          <w:tcPr>
            <w:tcW w:w="582" w:type="pct"/>
            <w:vMerge w:val="restart"/>
            <w:tcBorders>
              <w:top w:val="single" w:sz="4" w:space="0" w:color="auto"/>
            </w:tcBorders>
            <w:vAlign w:val="center"/>
          </w:tcPr>
          <w:p w14:paraId="659AB98B" w14:textId="0E5FE60E" w:rsidR="00E51F49" w:rsidRPr="00A55335" w:rsidRDefault="00E51F49" w:rsidP="00E51F49">
            <w:pPr>
              <w:pStyle w:val="Tabletext8pt"/>
              <w:jc w:val="center"/>
              <w:rPr>
                <w:rStyle w:val="quality-sign"/>
                <w:rFonts w:ascii="Cambria Math" w:hAnsi="Cambria Math"/>
              </w:rPr>
            </w:pPr>
            <w:r w:rsidRPr="00A55335">
              <w:rPr>
                <w:rStyle w:val="quality-sign"/>
                <w:rFonts w:ascii="Cambria Math" w:hAnsi="Cambria Math"/>
              </w:rPr>
              <w:t>⨁</w:t>
            </w:r>
            <w:r w:rsidR="00632FD3" w:rsidRPr="00A55335">
              <w:rPr>
                <w:rStyle w:val="quality-sign"/>
                <w:rFonts w:ascii="Cambria Math" w:hAnsi="Cambria Math"/>
              </w:rPr>
              <w:t>◯</w:t>
            </w:r>
            <w:r w:rsidRPr="00A55335">
              <w:rPr>
                <w:rStyle w:val="quality-sign"/>
                <w:rFonts w:ascii="Cambria Math" w:hAnsi="Cambria Math"/>
              </w:rPr>
              <w:t>◯◯</w:t>
            </w:r>
            <w:r w:rsidRPr="00A55335">
              <w:br/>
            </w:r>
            <w:r w:rsidR="00632FD3" w:rsidRPr="00A55335">
              <w:rPr>
                <w:rStyle w:val="QualitytextChar"/>
              </w:rPr>
              <w:t xml:space="preserve">Very </w:t>
            </w:r>
            <w:r w:rsidRPr="00A55335">
              <w:rPr>
                <w:rStyle w:val="QualitytextChar"/>
              </w:rPr>
              <w:t xml:space="preserve">Low </w:t>
            </w:r>
            <w:proofErr w:type="spellStart"/>
            <w:proofErr w:type="gramStart"/>
            <w:r w:rsidR="00DE1A79" w:rsidRPr="00A55335">
              <w:rPr>
                <w:rFonts w:cs="Montserrat"/>
                <w:color w:val="000000"/>
                <w:vertAlign w:val="superscript"/>
              </w:rPr>
              <w:t>a,c</w:t>
            </w:r>
            <w:proofErr w:type="gramEnd"/>
            <w:r w:rsidR="00DE1A79" w:rsidRPr="00A55335">
              <w:rPr>
                <w:rFonts w:cs="Montserrat"/>
                <w:color w:val="000000"/>
                <w:vertAlign w:val="superscript"/>
              </w:rPr>
              <w:t>,e,h,i</w:t>
            </w:r>
            <w:proofErr w:type="spellEnd"/>
          </w:p>
        </w:tc>
        <w:tc>
          <w:tcPr>
            <w:tcW w:w="1000" w:type="pct"/>
            <w:vMerge w:val="restart"/>
            <w:tcBorders>
              <w:top w:val="single" w:sz="4" w:space="0" w:color="auto"/>
            </w:tcBorders>
            <w:vAlign w:val="center"/>
          </w:tcPr>
          <w:p w14:paraId="7BCD0294" w14:textId="48381ECB" w:rsidR="00E51F49" w:rsidRPr="00A55335" w:rsidRDefault="00943745" w:rsidP="00E51F49">
            <w:pPr>
              <w:pStyle w:val="Tabletext8pt"/>
              <w:rPr>
                <w:rFonts w:eastAsia="Times New Roman"/>
              </w:rPr>
            </w:pPr>
            <w:r w:rsidRPr="00A55335">
              <w:rPr>
                <w:rFonts w:eastAsia="Times New Roman"/>
              </w:rPr>
              <w:t>The evidence is very uncertain about the effect of h</w:t>
            </w:r>
            <w:r w:rsidR="00E51F49" w:rsidRPr="00A55335">
              <w:rPr>
                <w:rFonts w:eastAsia="Times New Roman"/>
              </w:rPr>
              <w:t xml:space="preserve">omeopathy </w:t>
            </w:r>
            <w:r w:rsidRPr="00A55335">
              <w:rPr>
                <w:rFonts w:eastAsia="Times New Roman"/>
              </w:rPr>
              <w:t>on</w:t>
            </w:r>
            <w:r w:rsidR="00E51F49" w:rsidRPr="00A55335">
              <w:rPr>
                <w:rFonts w:eastAsia="Times New Roman"/>
              </w:rPr>
              <w:t xml:space="preserve"> health-related quality of life in people with menstrual disorders. </w:t>
            </w:r>
            <w:r w:rsidR="00503717" w:rsidRPr="00A55335">
              <w:rPr>
                <w:rFonts w:cs="Montserrat"/>
                <w:color w:val="000000"/>
              </w:rPr>
              <w:t>##</w:t>
            </w:r>
          </w:p>
        </w:tc>
      </w:tr>
      <w:tr w:rsidR="00E51F49" w:rsidRPr="00A55335" w14:paraId="6DD6CFEE" w14:textId="77777777" w:rsidTr="00E51F49">
        <w:tc>
          <w:tcPr>
            <w:tcW w:w="942" w:type="pct"/>
            <w:vMerge/>
            <w:tcBorders>
              <w:bottom w:val="single" w:sz="4" w:space="0" w:color="auto"/>
            </w:tcBorders>
            <w:vAlign w:val="center"/>
          </w:tcPr>
          <w:p w14:paraId="633FD0B4" w14:textId="2FCE5365" w:rsidR="00E51F49" w:rsidRPr="00A55335" w:rsidRDefault="00E51F49" w:rsidP="00E51F49">
            <w:pPr>
              <w:pStyle w:val="Tabletext8pt"/>
            </w:pPr>
          </w:p>
        </w:tc>
        <w:tc>
          <w:tcPr>
            <w:tcW w:w="729" w:type="pct"/>
            <w:tcBorders>
              <w:bottom w:val="single" w:sz="4" w:space="0" w:color="auto"/>
            </w:tcBorders>
            <w:shd w:val="clear" w:color="auto" w:fill="EBEBEB"/>
            <w:vAlign w:val="center"/>
          </w:tcPr>
          <w:p w14:paraId="2236761D" w14:textId="3E08E6B2" w:rsidR="00E51F49" w:rsidRPr="00A55335" w:rsidRDefault="00E51F49" w:rsidP="00E51F49">
            <w:pPr>
              <w:pStyle w:val="Tabletext8pt"/>
              <w:jc w:val="center"/>
            </w:pPr>
            <w:r w:rsidRPr="00A55335">
              <w:t xml:space="preserve">The mean mental component score was </w:t>
            </w:r>
            <w:r w:rsidRPr="00A55335">
              <w:rPr>
                <w:rStyle w:val="Strong"/>
              </w:rPr>
              <w:t>75.7</w:t>
            </w:r>
          </w:p>
        </w:tc>
        <w:tc>
          <w:tcPr>
            <w:tcW w:w="729" w:type="pct"/>
            <w:tcBorders>
              <w:bottom w:val="single" w:sz="4" w:space="0" w:color="auto"/>
            </w:tcBorders>
            <w:shd w:val="clear" w:color="auto" w:fill="EBEBEB"/>
          </w:tcPr>
          <w:p w14:paraId="1E5DFF85" w14:textId="29E1DE61" w:rsidR="00E51F49" w:rsidRPr="00A55335" w:rsidRDefault="00E51F49" w:rsidP="00E51F49">
            <w:pPr>
              <w:pStyle w:val="Tabletext8pt"/>
              <w:jc w:val="center"/>
            </w:pPr>
            <w:r w:rsidRPr="00A55335">
              <w:t>MD</w:t>
            </w:r>
            <w:r w:rsidRPr="00A55335">
              <w:rPr>
                <w:rStyle w:val="Strong"/>
              </w:rPr>
              <w:t xml:space="preserve"> 4.60 lower</w:t>
            </w:r>
            <w:r w:rsidRPr="00A55335">
              <w:t xml:space="preserve"> (12.</w:t>
            </w:r>
            <w:r w:rsidR="000C4109" w:rsidRPr="00A55335">
              <w:t xml:space="preserve">70 </w:t>
            </w:r>
            <w:r w:rsidRPr="00A55335">
              <w:t xml:space="preserve">lower to </w:t>
            </w:r>
            <w:r w:rsidR="000C4109" w:rsidRPr="00A55335">
              <w:t>3.50</w:t>
            </w:r>
            <w:r w:rsidRPr="00A55335">
              <w:t xml:space="preserve"> higher)</w:t>
            </w:r>
          </w:p>
        </w:tc>
        <w:tc>
          <w:tcPr>
            <w:tcW w:w="436" w:type="pct"/>
            <w:vMerge/>
            <w:tcBorders>
              <w:bottom w:val="single" w:sz="4" w:space="0" w:color="auto"/>
            </w:tcBorders>
          </w:tcPr>
          <w:p w14:paraId="172041A6" w14:textId="77777777" w:rsidR="00E51F49" w:rsidRPr="00A55335" w:rsidRDefault="00E51F49" w:rsidP="00E51F49">
            <w:pPr>
              <w:pStyle w:val="Tabletext8pt"/>
              <w:jc w:val="center"/>
            </w:pPr>
          </w:p>
        </w:tc>
        <w:tc>
          <w:tcPr>
            <w:tcW w:w="582" w:type="pct"/>
            <w:vMerge/>
            <w:tcBorders>
              <w:bottom w:val="single" w:sz="4" w:space="0" w:color="auto"/>
            </w:tcBorders>
            <w:vAlign w:val="center"/>
          </w:tcPr>
          <w:p w14:paraId="4B8336D9" w14:textId="77777777" w:rsidR="00E51F49" w:rsidRPr="00A55335" w:rsidRDefault="00E51F49" w:rsidP="00E51F49">
            <w:pPr>
              <w:pStyle w:val="Tabletext8pt"/>
              <w:jc w:val="center"/>
              <w:rPr>
                <w:rFonts w:eastAsia="Times New Roman"/>
              </w:rPr>
            </w:pPr>
          </w:p>
        </w:tc>
        <w:tc>
          <w:tcPr>
            <w:tcW w:w="582" w:type="pct"/>
            <w:vMerge/>
            <w:tcBorders>
              <w:bottom w:val="single" w:sz="4" w:space="0" w:color="auto"/>
            </w:tcBorders>
            <w:vAlign w:val="center"/>
          </w:tcPr>
          <w:p w14:paraId="03DC0FDB" w14:textId="77777777" w:rsidR="00E51F49" w:rsidRPr="00A55335" w:rsidRDefault="00E51F49" w:rsidP="00E51F49">
            <w:pPr>
              <w:pStyle w:val="Tabletext8pt"/>
              <w:jc w:val="center"/>
              <w:rPr>
                <w:rStyle w:val="quality-sign"/>
                <w:rFonts w:ascii="Cambria Math" w:hAnsi="Cambria Math"/>
              </w:rPr>
            </w:pPr>
          </w:p>
        </w:tc>
        <w:tc>
          <w:tcPr>
            <w:tcW w:w="1000" w:type="pct"/>
            <w:vMerge/>
            <w:tcBorders>
              <w:bottom w:val="single" w:sz="4" w:space="0" w:color="auto"/>
            </w:tcBorders>
            <w:vAlign w:val="center"/>
          </w:tcPr>
          <w:p w14:paraId="2C59030D" w14:textId="77777777" w:rsidR="00E51F49" w:rsidRPr="00A55335" w:rsidRDefault="00E51F49" w:rsidP="00E51F49">
            <w:pPr>
              <w:pStyle w:val="Tabletext8pt"/>
              <w:rPr>
                <w:rFonts w:eastAsia="Times New Roman"/>
              </w:rPr>
            </w:pPr>
          </w:p>
        </w:tc>
      </w:tr>
      <w:tr w:rsidR="00E51F49" w:rsidRPr="00A55335" w14:paraId="3E70A1C3" w14:textId="77777777" w:rsidTr="007252A0">
        <w:tc>
          <w:tcPr>
            <w:tcW w:w="942" w:type="pct"/>
            <w:tcBorders>
              <w:top w:val="single" w:sz="4" w:space="0" w:color="auto"/>
              <w:bottom w:val="single" w:sz="4" w:space="0" w:color="auto"/>
            </w:tcBorders>
            <w:vAlign w:val="center"/>
          </w:tcPr>
          <w:p w14:paraId="350DBD90" w14:textId="6A185C34" w:rsidR="0099116D" w:rsidRPr="00A55335" w:rsidRDefault="00E51F49" w:rsidP="0099116D">
            <w:pPr>
              <w:pStyle w:val="Tabletext8pt"/>
            </w:pPr>
            <w:r w:rsidRPr="00A55335">
              <w:t xml:space="preserve">Medication use </w:t>
            </w:r>
            <w:r w:rsidRPr="00A55335">
              <w:br/>
              <w:t xml:space="preserve">assessed with: Number of additional medications </w:t>
            </w:r>
            <w:r w:rsidR="0099116D" w:rsidRPr="00A55335">
              <w:t>used</w:t>
            </w:r>
            <w:r w:rsidR="0099116D" w:rsidRPr="00A55335">
              <w:br/>
              <w:t>follow-up: 3 months</w:t>
            </w:r>
          </w:p>
        </w:tc>
        <w:tc>
          <w:tcPr>
            <w:tcW w:w="729" w:type="pct"/>
            <w:tcBorders>
              <w:top w:val="single" w:sz="4" w:space="0" w:color="auto"/>
              <w:bottom w:val="single" w:sz="4" w:space="0" w:color="auto"/>
            </w:tcBorders>
            <w:shd w:val="clear" w:color="auto" w:fill="auto"/>
            <w:vAlign w:val="center"/>
          </w:tcPr>
          <w:p w14:paraId="6B2E1341" w14:textId="77777777" w:rsidR="00E51F49" w:rsidRPr="00A55335" w:rsidRDefault="00E51F49" w:rsidP="00E51F49">
            <w:pPr>
              <w:pStyle w:val="Tabletext8pt"/>
              <w:jc w:val="center"/>
            </w:pPr>
            <w:r w:rsidRPr="00A55335">
              <w:t>-</w:t>
            </w:r>
          </w:p>
        </w:tc>
        <w:tc>
          <w:tcPr>
            <w:tcW w:w="729" w:type="pct"/>
            <w:tcBorders>
              <w:top w:val="single" w:sz="4" w:space="0" w:color="auto"/>
              <w:bottom w:val="single" w:sz="4" w:space="0" w:color="auto"/>
            </w:tcBorders>
            <w:shd w:val="clear" w:color="auto" w:fill="EBEBEB"/>
          </w:tcPr>
          <w:p w14:paraId="61A58B90" w14:textId="64676EDF" w:rsidR="00E51F49" w:rsidRPr="00A55335" w:rsidRDefault="002C3B17" w:rsidP="00E51F49">
            <w:pPr>
              <w:pStyle w:val="Tabletext8pt"/>
              <w:jc w:val="center"/>
            </w:pPr>
            <w:r w:rsidRPr="00A55335">
              <w:t>S</w:t>
            </w:r>
            <w:r w:rsidR="00E51F49" w:rsidRPr="00A55335">
              <w:t>MD</w:t>
            </w:r>
            <w:r w:rsidR="00E51F49" w:rsidRPr="00A55335">
              <w:rPr>
                <w:rStyle w:val="Strong"/>
              </w:rPr>
              <w:t xml:space="preserve"> 0.</w:t>
            </w:r>
            <w:r w:rsidR="00DC3649" w:rsidRPr="00A55335">
              <w:rPr>
                <w:rStyle w:val="Strong"/>
              </w:rPr>
              <w:t xml:space="preserve">24 </w:t>
            </w:r>
            <w:r w:rsidR="00E51F49" w:rsidRPr="00A55335">
              <w:rPr>
                <w:rStyle w:val="Strong"/>
              </w:rPr>
              <w:t>lower</w:t>
            </w:r>
            <w:r w:rsidR="00E51F49" w:rsidRPr="00A55335">
              <w:br/>
              <w:t>(0.</w:t>
            </w:r>
            <w:r w:rsidR="00462C3B" w:rsidRPr="00A55335">
              <w:t xml:space="preserve">57 </w:t>
            </w:r>
            <w:r w:rsidR="00E51F49" w:rsidRPr="00A55335">
              <w:t>lower to 0.</w:t>
            </w:r>
            <w:r w:rsidR="00462C3B" w:rsidRPr="00A55335">
              <w:t xml:space="preserve">09 </w:t>
            </w:r>
            <w:r w:rsidR="00E51F49" w:rsidRPr="00A55335">
              <w:t>higher)</w:t>
            </w:r>
            <w:r w:rsidR="001E5CFB" w:rsidRPr="00A55335">
              <w:t xml:space="preserve"> </w:t>
            </w:r>
          </w:p>
        </w:tc>
        <w:tc>
          <w:tcPr>
            <w:tcW w:w="436" w:type="pct"/>
            <w:tcBorders>
              <w:top w:val="single" w:sz="4" w:space="0" w:color="auto"/>
              <w:bottom w:val="single" w:sz="4" w:space="0" w:color="auto"/>
            </w:tcBorders>
            <w:vAlign w:val="center"/>
          </w:tcPr>
          <w:p w14:paraId="26E80355" w14:textId="77777777" w:rsidR="00E51F49" w:rsidRPr="00A55335" w:rsidRDefault="00E51F49" w:rsidP="00E51F49">
            <w:pPr>
              <w:pStyle w:val="Tabletext8pt"/>
              <w:jc w:val="center"/>
            </w:pPr>
            <w:r w:rsidRPr="00A55335">
              <w:t>-</w:t>
            </w:r>
          </w:p>
        </w:tc>
        <w:tc>
          <w:tcPr>
            <w:tcW w:w="582" w:type="pct"/>
            <w:tcBorders>
              <w:top w:val="single" w:sz="4" w:space="0" w:color="auto"/>
              <w:bottom w:val="single" w:sz="4" w:space="0" w:color="auto"/>
            </w:tcBorders>
            <w:vAlign w:val="center"/>
          </w:tcPr>
          <w:p w14:paraId="2DD49C90" w14:textId="0315C0E1" w:rsidR="00E51F49" w:rsidRPr="00A55335" w:rsidRDefault="00DC3649" w:rsidP="00E51F49">
            <w:pPr>
              <w:pStyle w:val="Tabletext8pt"/>
              <w:jc w:val="center"/>
              <w:rPr>
                <w:rFonts w:eastAsia="Times New Roman"/>
              </w:rPr>
            </w:pPr>
            <w:r w:rsidRPr="00A55335">
              <w:rPr>
                <w:rFonts w:eastAsia="Times New Roman"/>
              </w:rPr>
              <w:t>143</w:t>
            </w:r>
            <w:r w:rsidR="00E51F49" w:rsidRPr="00A55335">
              <w:rPr>
                <w:rFonts w:eastAsia="Times New Roman"/>
              </w:rPr>
              <w:br/>
              <w:t xml:space="preserve">(2 RCTs) </w:t>
            </w:r>
            <w:r w:rsidR="007E6ED4" w:rsidRPr="00A55335">
              <w:rPr>
                <w:rStyle w:val="FootnoteReference"/>
              </w:rPr>
              <w:t>‡</w:t>
            </w:r>
          </w:p>
        </w:tc>
        <w:tc>
          <w:tcPr>
            <w:tcW w:w="582" w:type="pct"/>
            <w:tcBorders>
              <w:top w:val="single" w:sz="4" w:space="0" w:color="auto"/>
              <w:bottom w:val="single" w:sz="4" w:space="0" w:color="auto"/>
            </w:tcBorders>
            <w:vAlign w:val="center"/>
          </w:tcPr>
          <w:p w14:paraId="5086FB21" w14:textId="66573707" w:rsidR="00E51F49" w:rsidRPr="00A55335" w:rsidRDefault="00E51F49" w:rsidP="00E51F49">
            <w:pPr>
              <w:pStyle w:val="Tabletext8pt"/>
              <w:jc w:val="center"/>
              <w:rPr>
                <w:rStyle w:val="quality-sign"/>
                <w:rFonts w:ascii="Cambria Math" w:hAnsi="Cambria Math" w:cs="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005F0468" w:rsidRPr="00A55335">
              <w:rPr>
                <w:rStyle w:val="FootnoteReference"/>
              </w:rPr>
              <w:t>a,</w:t>
            </w:r>
            <w:r w:rsidR="009D3389" w:rsidRPr="00A55335">
              <w:rPr>
                <w:rStyle w:val="FootnoteReference"/>
              </w:rPr>
              <w:t>d,e</w:t>
            </w:r>
            <w:r w:rsidR="00BC58F8" w:rsidRPr="00112698">
              <w:rPr>
                <w:vertAlign w:val="superscript"/>
              </w:rPr>
              <w:t>,</w:t>
            </w:r>
            <w:r w:rsidR="0097252B" w:rsidRPr="00A55335">
              <w:rPr>
                <w:rStyle w:val="FootnoteReference"/>
              </w:rPr>
              <w:t>g,j</w:t>
            </w:r>
            <w:proofErr w:type="spellEnd"/>
            <w:r w:rsidR="0097252B" w:rsidRPr="00A55335">
              <w:rPr>
                <w:rStyle w:val="FootnoteReference"/>
              </w:rPr>
              <w:t>,</w:t>
            </w:r>
          </w:p>
        </w:tc>
        <w:tc>
          <w:tcPr>
            <w:tcW w:w="1000" w:type="pct"/>
            <w:tcBorders>
              <w:top w:val="single" w:sz="4" w:space="0" w:color="auto"/>
              <w:bottom w:val="single" w:sz="4" w:space="0" w:color="auto"/>
            </w:tcBorders>
          </w:tcPr>
          <w:p w14:paraId="655D1161" w14:textId="704DD838" w:rsidR="00E51F49" w:rsidRPr="00A55335" w:rsidRDefault="00E51F49" w:rsidP="00E51F49">
            <w:pPr>
              <w:pStyle w:val="Tabletext8pt"/>
              <w:rPr>
                <w:rFonts w:eastAsia="Times New Roman"/>
              </w:rPr>
            </w:pPr>
            <w:r w:rsidRPr="00A55335">
              <w:rPr>
                <w:rFonts w:eastAsia="Times New Roman"/>
              </w:rPr>
              <w:t>The evidence is very uncertain about the effect of homeopathy on medication use in people with menstrual disorders.</w:t>
            </w:r>
            <w:r w:rsidR="00CB035C" w:rsidRPr="00A55335">
              <w:t xml:space="preserve"> **</w:t>
            </w:r>
          </w:p>
        </w:tc>
      </w:tr>
      <w:tr w:rsidR="00E51F49" w:rsidRPr="00A55335" w14:paraId="72330B54" w14:textId="77777777" w:rsidTr="007252A0">
        <w:tc>
          <w:tcPr>
            <w:tcW w:w="5000" w:type="pct"/>
            <w:gridSpan w:val="7"/>
            <w:tcBorders>
              <w:top w:val="single" w:sz="4" w:space="0" w:color="auto"/>
            </w:tcBorders>
            <w:vAlign w:val="center"/>
            <w:hideMark/>
          </w:tcPr>
          <w:p w14:paraId="2EE8E947" w14:textId="646F1A0B" w:rsidR="001E5CFB" w:rsidRPr="00A55335" w:rsidRDefault="00E51F49" w:rsidP="001E5CFB">
            <w:pPr>
              <w:pStyle w:val="TableFigNotes18"/>
            </w:pPr>
            <w:r w:rsidRPr="00A55335">
              <w:lastRenderedPageBreak/>
              <w:t>*</w:t>
            </w:r>
            <w:r w:rsidRPr="00A55335">
              <w:rPr>
                <w:rStyle w:val="Strong"/>
              </w:rPr>
              <w:t xml:space="preserve">The risk in the intervention group </w:t>
            </w:r>
            <w:r w:rsidRPr="00A55335">
              <w:t>(and its 95% confidence interval) is based on the assumed risk in the comparison group and the</w:t>
            </w:r>
            <w:r w:rsidRPr="00A55335">
              <w:rPr>
                <w:rStyle w:val="Strong"/>
              </w:rPr>
              <w:t xml:space="preserve"> relative effect </w:t>
            </w:r>
            <w:r w:rsidRPr="00A55335">
              <w:t>of the intervention (and its 95% CI).</w:t>
            </w:r>
            <w:r w:rsidR="00140277">
              <w:br/>
            </w:r>
            <w:r w:rsidR="001E5CFB" w:rsidRPr="00A55335">
              <w:t xml:space="preserve">** As a rule of thumb, an SMD of 0.2 represents a small difference, 0.5 is moderate, and 0.8 is a large difference </w:t>
            </w:r>
            <w:r w:rsidR="001E5CFB" w:rsidRPr="00A55335">
              <w:fldChar w:fldCharType="begin"/>
            </w:r>
            <w:r w:rsidR="006952AD">
              <w:instrText xml:space="preserve"> ADDIN EN.CITE &lt;EndNote&gt;&lt;Cite&gt;&lt;Author&gt;Faraone&lt;/Author&gt;&lt;Year&gt;2008&lt;/Year&gt;&lt;RecNum&gt;165&lt;/RecNum&gt;&lt;DisplayText&gt;(83)&lt;/DisplayText&gt;&lt;record&gt;&lt;rec-number&gt;165&lt;/rec-number&gt;&lt;foreign-keys&gt;&lt;key app="EN" db-id="t5prptatr9sp0we5exbxt9zz20fwp55tdza9" timestamp="1700350332"&gt;165&lt;/key&gt;&lt;/foreign-keys&gt;&lt;ref-type name="Journal Article"&gt;17&lt;/ref-type&gt;&lt;contributors&gt;&lt;authors&gt;&lt;author&gt;Faraone, S. V.&lt;/author&gt;&lt;/authors&gt;&lt;/contributors&gt;&lt;titles&gt;&lt;title&gt;Interpreting estimates of treatment effects: implications for managed care&lt;/title&gt;&lt;secondary-title&gt;P T&lt;/secondary-title&gt;&lt;alt-title&gt;P T&lt;/alt-title&gt;&lt;/titles&gt;&lt;periodical&gt;&lt;full-title&gt;P &amp;amp; T : a peer-reviewed journal for formulary management&lt;/full-title&gt;&lt;abbr-1&gt;P T&lt;/abbr-1&gt;&lt;/periodical&gt;&lt;alt-periodical&gt;&lt;full-title&gt;P &amp;amp; T : a peer-reviewed journal for formulary management&lt;/full-title&gt;&lt;abbr-1&gt;P T&lt;/abbr-1&gt;&lt;/alt-periodical&gt;&lt;pages&gt;700-11&lt;/pages&gt;&lt;volume&gt;33&lt;/volume&gt;&lt;number&gt;12&lt;/number&gt;&lt;dates&gt;&lt;year&gt;2008&lt;/year&gt;&lt;pub-dates&gt;&lt;date&gt;Dec&lt;/date&gt;&lt;/pub-dates&gt;&lt;/dates&gt;&lt;publisher&gt;MediMedia USA, Inc.&lt;/publisher&gt;&lt;isbn&gt;1052-1372 (Print)&amp;#xD;1052-1372 (Linking)&lt;/isbn&gt;&lt;accession-num&gt;19750051&lt;/accession-num&gt;&lt;urls&gt;&lt;related-urls&gt;&lt;url&gt;https://www.ncbi.nlm.nih.gov/pubmed/19750051&lt;/url&gt;&lt;/related-urls&gt;&lt;/urls&gt;&lt;custom2&gt;PMC2730804&lt;/custom2&gt;&lt;remote-database-name&gt;PubMed-not-MEDLINE&lt;/remote-database-name&gt;&lt;remote-database-provider&gt;NLM&lt;/remote-database-provider&gt;&lt;language&gt;eng&lt;/language&gt;&lt;/record&gt;&lt;/Cite&gt;&lt;/EndNote&gt;</w:instrText>
            </w:r>
            <w:r w:rsidR="001E5CFB" w:rsidRPr="00A55335">
              <w:fldChar w:fldCharType="separate"/>
            </w:r>
            <w:r w:rsidR="00FA37A6" w:rsidRPr="00A55335">
              <w:rPr>
                <w:noProof/>
              </w:rPr>
              <w:t>(</w:t>
            </w:r>
            <w:hyperlink w:anchor="_ENREF_83" w:tooltip="Faraone, 2008 #165" w:history="1">
              <w:r w:rsidR="00EC2769" w:rsidRPr="00A55335">
                <w:rPr>
                  <w:noProof/>
                </w:rPr>
                <w:t>83</w:t>
              </w:r>
            </w:hyperlink>
            <w:r w:rsidR="00FA37A6" w:rsidRPr="00A55335">
              <w:rPr>
                <w:noProof/>
              </w:rPr>
              <w:t>)</w:t>
            </w:r>
            <w:r w:rsidR="001E5CFB" w:rsidRPr="00A55335">
              <w:fldChar w:fldCharType="end"/>
            </w:r>
          </w:p>
          <w:p w14:paraId="30D33088" w14:textId="7ACFD8DD" w:rsidR="00E51F49" w:rsidRPr="00A55335" w:rsidRDefault="001E5CFB" w:rsidP="00E51F49">
            <w:pPr>
              <w:pStyle w:val="TableFigNotes18"/>
            </w:pPr>
            <w:r w:rsidRPr="00A55335">
              <w:t>*</w:t>
            </w:r>
            <w:r w:rsidR="00E51F49" w:rsidRPr="00A55335">
              <w:t>** Effect estimates were to be considered on 3 levels: small (MD &lt;10% of the scale), moderate (MD between 10% to 20% of the scale) or large (MD more than 20% of the scale).</w:t>
            </w:r>
          </w:p>
          <w:p w14:paraId="5F8870E8" w14:textId="77777777" w:rsidR="00E51F49" w:rsidRPr="00A55335" w:rsidRDefault="00E51F49" w:rsidP="00E51F49">
            <w:pPr>
              <w:pStyle w:val="TableFigNotes18"/>
            </w:pPr>
          </w:p>
          <w:p w14:paraId="30986AC6" w14:textId="08ACC6FF" w:rsidR="008F5764" w:rsidRPr="00A55335" w:rsidRDefault="00E51F49" w:rsidP="00E51F49">
            <w:pPr>
              <w:pStyle w:val="TableFigNotes18"/>
            </w:pPr>
            <w:r w:rsidRPr="00A55335">
              <w:t>† Missing data from 1 RCT (50 participants). Study authors suggest a reduction in non-cyclic pelvic pain, global symptom severity, and depression that favours the homeopathy group, but data for the placebo group are incomplete and not able to be included in the data synthesis.</w:t>
            </w:r>
          </w:p>
          <w:p w14:paraId="07A7BAFE" w14:textId="77777777" w:rsidR="007E6ED4" w:rsidRPr="00A55335" w:rsidRDefault="008F5764" w:rsidP="007E6ED4">
            <w:pPr>
              <w:pStyle w:val="TableFigNotes18"/>
            </w:pPr>
            <w:r w:rsidRPr="00A55335">
              <w:t>†† Missing data from 1 RCT (50 participants). Study authors suggest there is no difference between treatment groups for anxiety.</w:t>
            </w:r>
            <w:r w:rsidR="00E51F49" w:rsidRPr="00A55335">
              <w:t xml:space="preserve"> </w:t>
            </w:r>
            <w:r w:rsidRPr="00A55335">
              <w:t xml:space="preserve">††† Missing data from 1 RCT (50 participants). Study authors suggest a reduction in bodily pain, vitality and mental health that favours the homeopathy group, but data for the placebo group are incomplete and information on other SF-36 domains are not reported. </w:t>
            </w:r>
          </w:p>
          <w:p w14:paraId="2521AA42" w14:textId="44CB453C" w:rsidR="007E6ED4" w:rsidRPr="00A55335" w:rsidRDefault="007E6ED4" w:rsidP="007E6ED4">
            <w:pPr>
              <w:pStyle w:val="TableFigNotes18"/>
            </w:pPr>
            <w:r w:rsidRPr="00A55335">
              <w:t>‡ Missing data from 1 RCT (</w:t>
            </w:r>
            <w:r w:rsidR="00CE0482" w:rsidRPr="00A55335">
              <w:t>23 participants). Study authors suggest there is no difference between treatment groups for</w:t>
            </w:r>
            <w:r w:rsidR="00911E8B" w:rsidRPr="00A55335">
              <w:t xml:space="preserve"> number of medications consumed during the 7-day period prior to menstruation.</w:t>
            </w:r>
          </w:p>
          <w:p w14:paraId="731F7D5E" w14:textId="77777777" w:rsidR="00E51F49" w:rsidRPr="00A55335" w:rsidRDefault="00E51F49" w:rsidP="00E51F49">
            <w:pPr>
              <w:pStyle w:val="TableFigNotes18"/>
            </w:pPr>
          </w:p>
          <w:p w14:paraId="1D4EF7A8" w14:textId="61A3A347" w:rsidR="001633BB" w:rsidRPr="00A55335" w:rsidRDefault="00E51F49" w:rsidP="001633BB">
            <w:pPr>
              <w:pStyle w:val="TableFigNotes18"/>
            </w:pPr>
            <w:r w:rsidRPr="00A55335">
              <w:t xml:space="preserve"># The MCID </w:t>
            </w:r>
            <w:r w:rsidR="001633BB" w:rsidRPr="00A55335">
              <w:t xml:space="preserve">for the VAS </w:t>
            </w:r>
            <w:r w:rsidRPr="00A55335">
              <w:t xml:space="preserve">is estimated to be 20 mm </w:t>
            </w:r>
            <w:r w:rsidRPr="00A55335">
              <w:fldChar w:fldCharType="begin">
                <w:fldData xml:space="preserve">PEVuZE5vdGU+PENpdGU+PEF1dGhvcj5PbHNlbjwvQXV0aG9yPjxZZWFyPjIwMTc8L1llYXI+PFJl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</w:fldData>
              </w:fldChar>
            </w:r>
            <w:r w:rsidR="00EC2769">
              <w:instrText xml:space="preserve"> ADDIN EN.CITE </w:instrText>
            </w:r>
            <w:r w:rsidR="00EC2769">
              <w:fldChar w:fldCharType="begin">
                <w:fldData xml:space="preserve">PEVuZE5vdGU+PENpdGU+PEF1dGhvcj5PbHNlbjwvQXV0aG9yPjxZZWFyPjIwMTc8L1llYXI+PFJl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</w:fldData>
              </w:fldChar>
            </w:r>
            <w:r w:rsidR="00EC2769">
              <w:instrText xml:space="preserve"> ADDIN EN.CITE.DATA </w:instrText>
            </w:r>
            <w:r w:rsidR="00EC2769">
              <w:fldChar w:fldCharType="end"/>
            </w:r>
            <w:r w:rsidRPr="00A55335">
              <w:fldChar w:fldCharType="separate"/>
            </w:r>
            <w:r w:rsidR="00EC2769">
              <w:rPr>
                <w:noProof/>
              </w:rPr>
              <w:t>(</w:t>
            </w:r>
            <w:hyperlink w:anchor="_ENREF_291" w:tooltip="Olsen, 2017 #732" w:history="1">
              <w:r w:rsidR="00EC2769">
                <w:rPr>
                  <w:noProof/>
                </w:rPr>
                <w:t>291</w:t>
              </w:r>
            </w:hyperlink>
            <w:r w:rsidR="00EC2769">
              <w:rPr>
                <w:noProof/>
              </w:rPr>
              <w:t>)</w:t>
            </w:r>
            <w:r w:rsidRPr="00A55335">
              <w:fldChar w:fldCharType="end"/>
            </w:r>
            <w:r w:rsidR="001633BB" w:rsidRPr="00A55335">
              <w:t>.</w:t>
            </w:r>
          </w:p>
          <w:p w14:paraId="484B00A3" w14:textId="07EA7B8D" w:rsidR="001633BB" w:rsidRPr="00A55335" w:rsidRDefault="001633BB" w:rsidP="001633BB">
            <w:pPr>
              <w:pStyle w:val="TableFigNotes18"/>
            </w:pPr>
            <w:r w:rsidRPr="00A55335">
              <w:t xml:space="preserve">## The MCID for the SF-36 is estimated to be around 2 to 4 points for the general population </w:t>
            </w:r>
            <w:r w:rsidRPr="00A55335">
              <w:fldChar w:fldCharType="begin"/>
            </w:r>
            <w:r w:rsidR="00EC2769">
              <w:instrText xml:space="preserve"> ADDIN EN.CITE &lt;EndNote&gt;&lt;Cite&gt;&lt;Author&gt;Quality Metric Incorporated&lt;/Author&gt;&lt;Year&gt; 2011&lt;/Year&gt;&lt;RecNum&gt;738&lt;/RecNum&gt;&lt;DisplayText&gt;(339)&lt;/DisplayText&gt;&lt;record&gt;&lt;rec-number&gt;738&lt;/rec-number&gt;&lt;foreign-keys&gt;&lt;key app="EN" db-id="t5prptatr9sp0we5exbxt9zz20fwp55tdza9" timestamp="1702979306"&gt;738&lt;/key&gt;&lt;/foreign-keys&gt;&lt;ref-type name="Book"&gt;6&lt;/ref-type&gt;&lt;contributors&gt;&lt;authors&gt;&lt;author&gt;Quality Metric Incorporated,&lt;/author&gt;&lt;/authors&gt;&lt;secondary-authors&gt;&lt;author&gt;Lincoln RD, &lt;/author&gt;&lt;/secondary-authors&gt;&lt;/contributors&gt;&lt;titles&gt;&lt;title&gt;User’s manual for the SF-36v2 survey&lt;/title&gt;&lt;/titles&gt;&lt;edition&gt;3rd&lt;/edition&gt;&lt;dates&gt;&lt;year&gt; 2011&lt;/year&gt;&lt;/dates&gt;&lt;urls&gt;&lt;/urls&gt;&lt;/record&gt;&lt;/Cite&gt;&lt;/EndNote&gt;</w:instrText>
            </w:r>
            <w:r w:rsidRPr="00A55335">
              <w:fldChar w:fldCharType="separate"/>
            </w:r>
            <w:r w:rsidR="00EC2769">
              <w:rPr>
                <w:noProof/>
              </w:rPr>
              <w:t>(</w:t>
            </w:r>
            <w:hyperlink w:anchor="_ENREF_339" w:tooltip="Quality Metric Incorporated,  2011 #738" w:history="1">
              <w:r w:rsidR="00EC2769">
                <w:rPr>
                  <w:noProof/>
                </w:rPr>
                <w:t>339</w:t>
              </w:r>
            </w:hyperlink>
            <w:r w:rsidR="00EC2769">
              <w:rPr>
                <w:noProof/>
              </w:rPr>
              <w:t>)</w:t>
            </w:r>
            <w:r w:rsidRPr="00A55335">
              <w:fldChar w:fldCharType="end"/>
            </w:r>
            <w:r w:rsidRPr="00A55335">
              <w:t>.</w:t>
            </w:r>
          </w:p>
          <w:p w14:paraId="7A8F9AD0" w14:textId="57635604" w:rsidR="00E51F49" w:rsidRPr="00A55335" w:rsidRDefault="00E51F49" w:rsidP="00E51F49">
            <w:pPr>
              <w:pStyle w:val="TableFigNotes0"/>
            </w:pPr>
            <w:r w:rsidRPr="00A55335">
              <w:rPr>
                <w:rStyle w:val="Strong"/>
              </w:rPr>
              <w:t xml:space="preserve">BAI: </w:t>
            </w:r>
            <w:r w:rsidRPr="00A55335">
              <w:t xml:space="preserve">Beck anxiety inventory; </w:t>
            </w:r>
            <w:r w:rsidRPr="00A55335">
              <w:rPr>
                <w:rStyle w:val="Strong"/>
              </w:rPr>
              <w:t>BDI:</w:t>
            </w:r>
            <w:r w:rsidRPr="00A55335">
              <w:t xml:space="preserve"> Beck depression inventory; </w:t>
            </w:r>
            <w:r w:rsidRPr="00A55335">
              <w:rPr>
                <w:rStyle w:val="Strong"/>
              </w:rPr>
              <w:t>CI:</w:t>
            </w:r>
            <w:r w:rsidRPr="00A55335">
              <w:t xml:space="preserve"> confidence interval; </w:t>
            </w:r>
            <w:r w:rsidRPr="00A55335">
              <w:rPr>
                <w:rStyle w:val="Strong"/>
              </w:rPr>
              <w:t xml:space="preserve">MD: </w:t>
            </w:r>
            <w:r w:rsidRPr="00A55335">
              <w:t xml:space="preserve">mean difference; </w:t>
            </w:r>
            <w:r w:rsidRPr="00A55335">
              <w:rPr>
                <w:rStyle w:val="Strong"/>
              </w:rPr>
              <w:t>MDQ:</w:t>
            </w:r>
            <w:r w:rsidRPr="00A55335">
              <w:t xml:space="preserve"> Moos menstrual distress questionnaire; </w:t>
            </w:r>
            <w:r w:rsidRPr="00A55335">
              <w:rPr>
                <w:rStyle w:val="Strong"/>
              </w:rPr>
              <w:t>SF-36</w:t>
            </w:r>
            <w:r w:rsidRPr="00A55335">
              <w:t xml:space="preserve">: 36-item short form; </w:t>
            </w:r>
            <w:r w:rsidRPr="00A55335">
              <w:rPr>
                <w:rStyle w:val="Strong"/>
              </w:rPr>
              <w:t>VAS:</w:t>
            </w:r>
            <w:r w:rsidRPr="00A55335">
              <w:t xml:space="preserve"> visual analogue scale</w:t>
            </w:r>
          </w:p>
        </w:tc>
      </w:tr>
      <w:tr w:rsidR="00E51F49" w:rsidRPr="00A55335" w14:paraId="61D263D7" w14:textId="77777777" w:rsidTr="009F2666">
        <w:trPr>
          <w:cantSplit/>
        </w:trPr>
        <w:tc>
          <w:tcPr>
            <w:tcW w:w="5000" w:type="pct"/>
            <w:gridSpan w:val="7"/>
            <w:tcBorders>
              <w:top w:val="single" w:sz="6" w:space="0" w:color="000000"/>
              <w:left w:val="nil"/>
              <w:bottom w:val="single" w:sz="6" w:space="0" w:color="000000"/>
              <w:right w:val="nil"/>
            </w:tcBorders>
            <w:vAlign w:val="center"/>
            <w:hideMark/>
          </w:tcPr>
          <w:p w14:paraId="0CBA4AC0" w14:textId="77777777" w:rsidR="00E51F49" w:rsidRPr="00A55335" w:rsidRDefault="00E51F49" w:rsidP="00E51F49">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7BEE284E" w14:textId="77777777" w:rsidR="00DD505D" w:rsidRPr="00A55335" w:rsidRDefault="00E35087" w:rsidP="00B4013E">
      <w:pPr>
        <w:pStyle w:val="Heading5a"/>
        <w:rPr>
          <w:lang w:val="en-AU"/>
        </w:rPr>
      </w:pPr>
      <w:r w:rsidRPr="00A55335">
        <w:rPr>
          <w:lang w:val="en-AU"/>
        </w:rPr>
        <w:t>Explanations</w:t>
      </w:r>
    </w:p>
    <w:p w14:paraId="7A8D3D08" w14:textId="18E7AF59" w:rsidR="00DD505D" w:rsidRPr="00A55335" w:rsidRDefault="00DD505D" w:rsidP="006D722D">
      <w:pPr>
        <w:pStyle w:val="Footnote"/>
      </w:pPr>
      <w:r w:rsidRPr="00A55335">
        <w:t xml:space="preserve">a. </w:t>
      </w:r>
      <w:r w:rsidR="00AE471C" w:rsidRPr="00A55335">
        <w:t>No serious risk of bias</w:t>
      </w:r>
      <w:r w:rsidR="007F7197" w:rsidRPr="00A55335">
        <w:t xml:space="preserve">. </w:t>
      </w:r>
      <w:r w:rsidRPr="00A55335">
        <w:t xml:space="preserve">Certainty of evidence </w:t>
      </w:r>
      <w:r w:rsidR="007F7197" w:rsidRPr="00A55335">
        <w:t xml:space="preserve">not </w:t>
      </w:r>
      <w:r w:rsidRPr="00A55335">
        <w:t>downgraded.</w:t>
      </w:r>
    </w:p>
    <w:p w14:paraId="51ECCE8A" w14:textId="491E2BC0" w:rsidR="007F7197" w:rsidRPr="00A55335" w:rsidRDefault="007F7197" w:rsidP="006D722D">
      <w:pPr>
        <w:pStyle w:val="Footnote"/>
      </w:pPr>
      <w:r w:rsidRPr="00A55335">
        <w:t xml:space="preserve">b. </w:t>
      </w:r>
      <w:proofErr w:type="gramStart"/>
      <w:r w:rsidRPr="00A55335">
        <w:t>Serious</w:t>
      </w:r>
      <w:proofErr w:type="gramEnd"/>
      <w:r w:rsidRPr="00A55335">
        <w:t xml:space="preserve"> i</w:t>
      </w:r>
      <w:r w:rsidR="00E266E8" w:rsidRPr="00A55335">
        <w:t>nconsistency</w:t>
      </w:r>
      <w:r w:rsidRPr="00A55335">
        <w:t xml:space="preserve">. </w:t>
      </w:r>
      <w:r w:rsidR="008B3D52" w:rsidRPr="00A55335">
        <w:t>Point estimates vary and no overlap of confidence intervals. Certainty of evidence downgraded.</w:t>
      </w:r>
    </w:p>
    <w:p w14:paraId="71FA2682" w14:textId="4C44C457" w:rsidR="00E266E8" w:rsidRPr="00A55335" w:rsidRDefault="008B3D52" w:rsidP="00E266E8">
      <w:pPr>
        <w:pStyle w:val="Footnote"/>
      </w:pPr>
      <w:r w:rsidRPr="00A55335">
        <w:t>c. No serious indirectness. The available evidence</w:t>
      </w:r>
      <w:r w:rsidR="00B71D36" w:rsidRPr="00A55335">
        <w:t xml:space="preserve"> is in people with dysmenorrhoea and is generalisable to the Australian population with some caveats. </w:t>
      </w:r>
      <w:r w:rsidR="009D77C0" w:rsidRPr="00A55335">
        <w:t xml:space="preserve">Applicability to people with premenstrual syndrome or endometriosis may be limited. </w:t>
      </w:r>
      <w:r w:rsidR="00E266E8" w:rsidRPr="00A55335">
        <w:t>Certainty of evidence not downgraded.</w:t>
      </w:r>
    </w:p>
    <w:p w14:paraId="176B501F" w14:textId="1832E7CB" w:rsidR="00DD505D" w:rsidRPr="00A55335" w:rsidRDefault="00E266E8" w:rsidP="006D722D">
      <w:pPr>
        <w:pStyle w:val="Footnote"/>
      </w:pPr>
      <w:r w:rsidRPr="00A55335">
        <w:t>d</w:t>
      </w:r>
      <w:r w:rsidR="00DD505D" w:rsidRPr="00A55335">
        <w:t xml:space="preserve">. </w:t>
      </w:r>
      <w:r w:rsidR="00AB2287">
        <w:t>Very s</w:t>
      </w:r>
      <w:r w:rsidRPr="00A55335">
        <w:t>erious imprecision.</w:t>
      </w:r>
      <w:r w:rsidR="00DD505D" w:rsidRPr="00A55335">
        <w:t xml:space="preserve"> </w:t>
      </w:r>
      <w:r w:rsidRPr="00A55335">
        <w:t xml:space="preserve">Wide </w:t>
      </w:r>
      <w:r w:rsidR="00DD505D" w:rsidRPr="00A55335">
        <w:t xml:space="preserve">confidence intervals </w:t>
      </w:r>
      <w:r w:rsidRPr="00A55335">
        <w:t>(upper and lower bounds overlap with both</w:t>
      </w:r>
      <w:r w:rsidR="0097759D" w:rsidRPr="00A55335">
        <w:t xml:space="preserve"> important </w:t>
      </w:r>
      <w:r w:rsidR="00974FED">
        <w:t>benefit</w:t>
      </w:r>
      <w:r w:rsidR="00AB2287">
        <w:t xml:space="preserve"> </w:t>
      </w:r>
      <w:r w:rsidR="0097759D" w:rsidRPr="00A55335">
        <w:t xml:space="preserve">and important </w:t>
      </w:r>
      <w:r w:rsidR="00AB2287">
        <w:t>harms</w:t>
      </w:r>
      <w:r w:rsidR="00160E8C" w:rsidRPr="00A55335">
        <w:t>)</w:t>
      </w:r>
      <w:r w:rsidR="00DD505D" w:rsidRPr="00A55335">
        <w:t>. Certainty of evidence downgraded</w:t>
      </w:r>
      <w:r w:rsidR="00254549">
        <w:t xml:space="preserve"> 2 levels</w:t>
      </w:r>
      <w:r w:rsidR="00DD505D" w:rsidRPr="00A55335">
        <w:t>.</w:t>
      </w:r>
    </w:p>
    <w:p w14:paraId="495F9491" w14:textId="67A02FC2" w:rsidR="002A045D" w:rsidRPr="00A55335" w:rsidRDefault="0097759D" w:rsidP="002A045D">
      <w:pPr>
        <w:pStyle w:val="Footnote"/>
      </w:pPr>
      <w:r w:rsidRPr="00A55335">
        <w:t xml:space="preserve">e. Publication bias suspected. </w:t>
      </w:r>
      <w:r w:rsidR="006778A0" w:rsidRPr="00A55335">
        <w:t>S</w:t>
      </w:r>
      <w:r w:rsidRPr="00A55335">
        <w:t>everal</w:t>
      </w:r>
      <w:r w:rsidR="00DD505D" w:rsidRPr="00A55335">
        <w:t xml:space="preserve"> studies</w:t>
      </w:r>
      <w:r w:rsidR="0052052D" w:rsidRPr="00A55335">
        <w:t xml:space="preserve"> awaiting classification or ongoing</w:t>
      </w:r>
      <w:r w:rsidR="00DD505D" w:rsidRPr="00A55335">
        <w:t xml:space="preserve"> (</w:t>
      </w:r>
      <w:r w:rsidR="002A045D" w:rsidRPr="00A55335">
        <w:t xml:space="preserve">292+ </w:t>
      </w:r>
      <w:r w:rsidR="00DD505D" w:rsidRPr="00A55335">
        <w:t xml:space="preserve">participants) </w:t>
      </w:r>
      <w:r w:rsidR="002A045D" w:rsidRPr="00A55335">
        <w:t>that were judged likely to be missing</w:t>
      </w:r>
      <w:r w:rsidR="006778A0" w:rsidRPr="00A55335">
        <w:t xml:space="preserve"> (not reported)</w:t>
      </w:r>
      <w:r w:rsidR="002A045D" w:rsidRPr="00A55335">
        <w:t xml:space="preserve"> because the </w:t>
      </w:r>
      <w:r w:rsidR="002A045D" w:rsidRPr="00A55335">
        <w:rPr>
          <w:rStyle w:val="Emphasis"/>
        </w:rPr>
        <w:t>p</w:t>
      </w:r>
      <w:r w:rsidR="002A045D" w:rsidRPr="00A55335">
        <w:t>-value, magnitude or direction of the results generated were considered unfavourable by the study investigators</w:t>
      </w:r>
      <w:r w:rsidR="00DD505D" w:rsidRPr="00A55335">
        <w:t>.</w:t>
      </w:r>
      <w:r w:rsidR="002A045D" w:rsidRPr="00A55335">
        <w:t xml:space="preserve"> Certainty of evidence downgraded.</w:t>
      </w:r>
    </w:p>
    <w:p w14:paraId="17E93365" w14:textId="77777777" w:rsidR="00B366C3" w:rsidRPr="00A55335" w:rsidRDefault="00B366C3" w:rsidP="00B366C3">
      <w:pPr>
        <w:pStyle w:val="Footnote"/>
      </w:pPr>
      <w:r w:rsidRPr="00A55335">
        <w:t>f. No serious inconsistency. Certainty of evidence not downgraded.</w:t>
      </w:r>
    </w:p>
    <w:p w14:paraId="725FA577" w14:textId="79127BCC" w:rsidR="0055785F" w:rsidRDefault="00B366C3" w:rsidP="0055785F">
      <w:pPr>
        <w:pStyle w:val="Footnote"/>
      </w:pPr>
      <w:r w:rsidRPr="00A55335">
        <w:t>g. No serious indirectness. The available evidence is in people with premenstrual syndrome and is generalisable to the Australian population with some caveats. Applicability to people with dysmenorrhoea or endometriosis may be limited. Certainty of evidence not downgraded.</w:t>
      </w:r>
    </w:p>
    <w:p w14:paraId="5414E3A2" w14:textId="77777777" w:rsidR="0019510C" w:rsidRPr="00A55335" w:rsidRDefault="0019510C" w:rsidP="0019510C">
      <w:pPr>
        <w:pStyle w:val="Footnote"/>
      </w:pPr>
      <w:r w:rsidRPr="00A55335">
        <w:t>h. Single study. Inconsistency not assessed. Certainty of evidence not downgraded.</w:t>
      </w:r>
    </w:p>
    <w:p w14:paraId="0AED849D" w14:textId="4B95525B" w:rsidR="00DD505D" w:rsidRPr="00A55335" w:rsidRDefault="0019510C" w:rsidP="006D722D">
      <w:pPr>
        <w:pStyle w:val="Footnote"/>
      </w:pPr>
      <w:proofErr w:type="spellStart"/>
      <w:r w:rsidRPr="00A55335">
        <w:lastRenderedPageBreak/>
        <w:t>i</w:t>
      </w:r>
      <w:proofErr w:type="spellEnd"/>
      <w:r w:rsidRPr="00A55335">
        <w:t xml:space="preserve">. Very serious imprecision. Single study with wide confidence intervals (upper and lower bounds overlap with both important </w:t>
      </w:r>
      <w:r w:rsidR="00112698">
        <w:t xml:space="preserve">benefit </w:t>
      </w:r>
      <w:r w:rsidRPr="00A55335">
        <w:t xml:space="preserve">and </w:t>
      </w:r>
      <w:r w:rsidR="00A507E2" w:rsidRPr="00A55335">
        <w:t>harm</w:t>
      </w:r>
      <w:r w:rsidR="00112698">
        <w:t>s</w:t>
      </w:r>
      <w:r w:rsidR="00A507E2" w:rsidRPr="00A55335">
        <w:t>)</w:t>
      </w:r>
      <w:r w:rsidRPr="00A55335">
        <w:t>. Certainty of evidence downgraded 2 levels.</w:t>
      </w:r>
    </w:p>
    <w:p w14:paraId="7D889B01" w14:textId="63CE9B90" w:rsidR="005F0468" w:rsidRPr="00A55335" w:rsidRDefault="005F0468" w:rsidP="006D722D">
      <w:pPr>
        <w:pStyle w:val="Footnote"/>
      </w:pPr>
      <w:r w:rsidRPr="00A55335">
        <w:t>j. No serious inconsistency. Certainty of evidence not downgraded.</w:t>
      </w:r>
    </w:p>
    <w:p w14:paraId="6D47BF44" w14:textId="18938FD4" w:rsidR="006D722D" w:rsidRPr="00A55335" w:rsidRDefault="006070ED" w:rsidP="006D722D">
      <w:pPr>
        <w:pStyle w:val="Heading4"/>
      </w:pPr>
      <w:r w:rsidRPr="00A55335">
        <w:t>Secondary Comparison</w:t>
      </w:r>
      <w:r w:rsidR="006D722D" w:rsidRPr="00A55335">
        <w:t xml:space="preserve"> (vs </w:t>
      </w:r>
      <w:r w:rsidR="00E54B56" w:rsidRPr="00A55335">
        <w:t xml:space="preserve">inactive </w:t>
      </w:r>
      <w:r w:rsidR="006D722D" w:rsidRPr="00A55335">
        <w:t xml:space="preserve">control) </w:t>
      </w:r>
    </w:p>
    <w:tbl>
      <w:tblPr>
        <w:tblW w:w="5004" w:type="pct"/>
        <w:tblLayout w:type="fixed"/>
        <w:tblCellMar>
          <w:top w:w="57" w:type="dxa"/>
          <w:left w:w="57" w:type="dxa"/>
          <w:bottom w:w="57" w:type="dxa"/>
          <w:right w:w="57" w:type="dxa"/>
        </w:tblCellMar>
        <w:tblLook w:val="04A0" w:firstRow="1" w:lastRow="0" w:firstColumn="1" w:lastColumn="0" w:noHBand="0" w:noVBand="1"/>
      </w:tblPr>
      <w:tblGrid>
        <w:gridCol w:w="1844"/>
        <w:gridCol w:w="1488"/>
        <w:gridCol w:w="1346"/>
        <w:gridCol w:w="852"/>
        <w:gridCol w:w="1133"/>
        <w:gridCol w:w="1135"/>
        <w:gridCol w:w="1955"/>
      </w:tblGrid>
      <w:tr w:rsidR="006D722D" w:rsidRPr="00A55335" w14:paraId="2A087D8C" w14:textId="77777777" w:rsidTr="006D722D">
        <w:trPr>
          <w:cantSplit/>
          <w:tblHeader/>
        </w:trPr>
        <w:tc>
          <w:tcPr>
            <w:tcW w:w="5000" w:type="pct"/>
            <w:gridSpan w:val="7"/>
            <w:tcBorders>
              <w:top w:val="single" w:sz="12" w:space="0" w:color="auto"/>
              <w:bottom w:val="single" w:sz="12" w:space="0" w:color="auto"/>
            </w:tcBorders>
            <w:shd w:val="clear" w:color="auto" w:fill="auto"/>
            <w:vAlign w:val="bottom"/>
          </w:tcPr>
          <w:p w14:paraId="7481939A" w14:textId="30788890" w:rsidR="006D722D" w:rsidRPr="00A55335" w:rsidRDefault="006D722D" w:rsidP="006D722D">
            <w:pPr>
              <w:pStyle w:val="TableH1"/>
              <w:rPr>
                <w:color w:val="FFFFFF" w:themeColor="background2"/>
                <w:lang w:val="en-AU"/>
              </w:rPr>
            </w:pPr>
            <w:r w:rsidRPr="00A55335">
              <w:rPr>
                <w:lang w:val="en-AU"/>
              </w:rPr>
              <w:t xml:space="preserve">Homeopathy compared to </w:t>
            </w:r>
            <w:r w:rsidR="00E54B56" w:rsidRPr="00A55335">
              <w:rPr>
                <w:lang w:val="en-AU"/>
              </w:rPr>
              <w:t xml:space="preserve">inactive </w:t>
            </w:r>
            <w:r w:rsidRPr="00A55335">
              <w:rPr>
                <w:lang w:val="en-AU"/>
              </w:rPr>
              <w:t>control for menstrual disorders</w:t>
            </w:r>
          </w:p>
        </w:tc>
      </w:tr>
      <w:tr w:rsidR="006D722D" w:rsidRPr="00A55335" w14:paraId="6EE31F05" w14:textId="77777777" w:rsidTr="006D722D">
        <w:trPr>
          <w:cantSplit/>
          <w:tblHeader/>
        </w:trPr>
        <w:tc>
          <w:tcPr>
            <w:tcW w:w="5000" w:type="pct"/>
            <w:gridSpan w:val="7"/>
            <w:tcBorders>
              <w:top w:val="single" w:sz="12" w:space="0" w:color="auto"/>
              <w:bottom w:val="single" w:sz="12" w:space="0" w:color="auto"/>
            </w:tcBorders>
            <w:shd w:val="clear" w:color="auto" w:fill="auto"/>
            <w:vAlign w:val="bottom"/>
          </w:tcPr>
          <w:p w14:paraId="22C52E6A" w14:textId="77777777" w:rsidR="006D722D" w:rsidRPr="00A55335" w:rsidRDefault="006D722D" w:rsidP="006D722D">
            <w:pPr>
              <w:pStyle w:val="Tabletext9pt"/>
            </w:pPr>
            <w:r w:rsidRPr="00A55335">
              <w:rPr>
                <w:rStyle w:val="Strong"/>
              </w:rPr>
              <w:t>Patient or population:</w:t>
            </w:r>
            <w:r w:rsidRPr="00A55335">
              <w:t xml:space="preserve"> Menstrual disorders </w:t>
            </w:r>
          </w:p>
          <w:p w14:paraId="01926816" w14:textId="77777777" w:rsidR="006D722D" w:rsidRPr="00A55335" w:rsidRDefault="006D722D" w:rsidP="006D722D">
            <w:pPr>
              <w:pStyle w:val="Tabletext9pt"/>
              <w:rPr>
                <w:rStyle w:val="Strong"/>
              </w:rPr>
            </w:pPr>
            <w:r w:rsidRPr="00A55335">
              <w:rPr>
                <w:rStyle w:val="Strong"/>
              </w:rPr>
              <w:t>Setting:</w:t>
            </w:r>
            <w:r w:rsidRPr="00A55335">
              <w:t xml:space="preserve"> Outpatient clinics</w:t>
            </w:r>
          </w:p>
          <w:p w14:paraId="68AFC3B8" w14:textId="77777777" w:rsidR="006D722D" w:rsidRPr="00A55335" w:rsidRDefault="006D722D" w:rsidP="006D722D">
            <w:pPr>
              <w:pStyle w:val="Tabletext9pt"/>
            </w:pPr>
            <w:r w:rsidRPr="00A55335">
              <w:rPr>
                <w:rStyle w:val="Strong"/>
              </w:rPr>
              <w:t>Intervention:</w:t>
            </w:r>
            <w:r w:rsidRPr="00A55335">
              <w:t xml:space="preserve"> Homeopathy</w:t>
            </w:r>
          </w:p>
          <w:p w14:paraId="39F45EBC" w14:textId="0FD9ABD1" w:rsidR="006D722D" w:rsidRPr="00A55335" w:rsidRDefault="006D722D" w:rsidP="006D722D">
            <w:pPr>
              <w:pStyle w:val="Tabletext9pt"/>
              <w:rPr>
                <w:color w:val="FFFFFF" w:themeColor="background2"/>
              </w:rPr>
            </w:pPr>
            <w:r w:rsidRPr="00A55335">
              <w:rPr>
                <w:rStyle w:val="Strong"/>
              </w:rPr>
              <w:t>Comparison:</w:t>
            </w:r>
            <w:r w:rsidRPr="00A55335">
              <w:t xml:space="preserve"> </w:t>
            </w:r>
            <w:r w:rsidR="00E54B56" w:rsidRPr="00A55335">
              <w:t>Inactive c</w:t>
            </w:r>
            <w:r w:rsidRPr="00A55335">
              <w:t>ontrol</w:t>
            </w:r>
          </w:p>
        </w:tc>
      </w:tr>
      <w:tr w:rsidR="005620B4" w:rsidRPr="00A55335" w14:paraId="3260A6A4" w14:textId="77777777" w:rsidTr="007252A0">
        <w:trPr>
          <w:cantSplit/>
          <w:tblHeader/>
        </w:trPr>
        <w:tc>
          <w:tcPr>
            <w:tcW w:w="945" w:type="pct"/>
            <w:vMerge w:val="restart"/>
            <w:tcBorders>
              <w:top w:val="single" w:sz="12" w:space="0" w:color="auto"/>
              <w:right w:val="single" w:sz="6" w:space="0" w:color="EFEFEF"/>
            </w:tcBorders>
            <w:shd w:val="clear" w:color="auto" w:fill="006579" w:themeFill="accent2"/>
            <w:vAlign w:val="bottom"/>
            <w:hideMark/>
          </w:tcPr>
          <w:p w14:paraId="1A2A0305" w14:textId="77777777" w:rsidR="006D722D" w:rsidRPr="00A55335" w:rsidRDefault="006D722D">
            <w:pPr>
              <w:pStyle w:val="Tabletext8pt"/>
              <w:rPr>
                <w:rFonts w:eastAsiaTheme="minorEastAsia"/>
                <w:b/>
                <w:bCs/>
                <w:color w:val="F9F9F9" w:themeColor="background1"/>
              </w:rPr>
            </w:pPr>
            <w:r w:rsidRPr="00A55335">
              <w:rPr>
                <w:b/>
                <w:bCs/>
                <w:color w:val="F9F9F9" w:themeColor="background1"/>
              </w:rPr>
              <w:t>Outcomes</w:t>
            </w:r>
          </w:p>
        </w:tc>
        <w:tc>
          <w:tcPr>
            <w:tcW w:w="1453" w:type="pct"/>
            <w:gridSpan w:val="2"/>
            <w:tcBorders>
              <w:top w:val="single" w:sz="12" w:space="0" w:color="auto"/>
              <w:right w:val="single" w:sz="6" w:space="0" w:color="EFEFEF"/>
            </w:tcBorders>
            <w:shd w:val="clear" w:color="auto" w:fill="E1E4E5" w:themeFill="accent5"/>
            <w:vAlign w:val="bottom"/>
            <w:hideMark/>
          </w:tcPr>
          <w:p w14:paraId="58C2A890" w14:textId="77777777" w:rsidR="006D722D" w:rsidRPr="00A55335" w:rsidRDefault="006D722D">
            <w:pPr>
              <w:pStyle w:val="Tabletext8pt"/>
              <w:rPr>
                <w:b/>
                <w:bCs/>
                <w:color w:val="auto"/>
              </w:rPr>
            </w:pPr>
            <w:r w:rsidRPr="00A55335">
              <w:rPr>
                <w:rStyle w:val="Strong"/>
              </w:rPr>
              <w:t>Anticipated absolute effects* (95% CI)</w:t>
            </w:r>
          </w:p>
        </w:tc>
        <w:tc>
          <w:tcPr>
            <w:tcW w:w="437" w:type="pct"/>
            <w:vMerge w:val="restart"/>
            <w:tcBorders>
              <w:top w:val="single" w:sz="12" w:space="0" w:color="auto"/>
              <w:right w:val="single" w:sz="6" w:space="0" w:color="EFEFEF"/>
            </w:tcBorders>
            <w:shd w:val="clear" w:color="auto" w:fill="006579" w:themeFill="accent2"/>
            <w:vAlign w:val="bottom"/>
            <w:hideMark/>
          </w:tcPr>
          <w:p w14:paraId="3EC97CAC" w14:textId="77777777" w:rsidR="006D722D" w:rsidRPr="00A55335" w:rsidRDefault="006D722D">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1" w:type="pct"/>
            <w:vMerge w:val="restart"/>
            <w:tcBorders>
              <w:top w:val="single" w:sz="12" w:space="0" w:color="auto"/>
              <w:right w:val="single" w:sz="6" w:space="0" w:color="EFEFEF"/>
            </w:tcBorders>
            <w:shd w:val="clear" w:color="auto" w:fill="006579" w:themeFill="accent2"/>
            <w:vAlign w:val="bottom"/>
            <w:hideMark/>
          </w:tcPr>
          <w:p w14:paraId="52C09C96" w14:textId="77777777" w:rsidR="006D722D" w:rsidRPr="00A55335" w:rsidRDefault="006D722D">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82" w:type="pct"/>
            <w:vMerge w:val="restart"/>
            <w:tcBorders>
              <w:top w:val="single" w:sz="12" w:space="0" w:color="auto"/>
              <w:right w:val="single" w:sz="6" w:space="0" w:color="EFEFEF"/>
            </w:tcBorders>
            <w:shd w:val="clear" w:color="auto" w:fill="006579" w:themeFill="accent2"/>
            <w:vAlign w:val="bottom"/>
            <w:hideMark/>
          </w:tcPr>
          <w:p w14:paraId="424418FC" w14:textId="77777777" w:rsidR="006D722D" w:rsidRPr="00A55335" w:rsidRDefault="006D722D">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02" w:type="pct"/>
            <w:vMerge w:val="restart"/>
            <w:tcBorders>
              <w:top w:val="single" w:sz="12" w:space="0" w:color="auto"/>
              <w:right w:val="single" w:sz="6" w:space="0" w:color="EFEFEF"/>
            </w:tcBorders>
            <w:shd w:val="clear" w:color="auto" w:fill="006579" w:themeFill="accent2"/>
            <w:vAlign w:val="bottom"/>
            <w:hideMark/>
          </w:tcPr>
          <w:p w14:paraId="497F4401" w14:textId="315CF4EB" w:rsidR="006D722D" w:rsidRPr="00A55335" w:rsidRDefault="005620B4">
            <w:pPr>
              <w:pStyle w:val="Tabletext8pt"/>
              <w:rPr>
                <w:b/>
                <w:bCs/>
                <w:color w:val="F9F9F9" w:themeColor="background1"/>
              </w:rPr>
            </w:pPr>
            <w:r w:rsidRPr="00A55335">
              <w:rPr>
                <w:b/>
                <w:bCs/>
                <w:color w:val="F9F9F9" w:themeColor="background1"/>
              </w:rPr>
              <w:t>Evidence statement</w:t>
            </w:r>
          </w:p>
        </w:tc>
      </w:tr>
      <w:tr w:rsidR="004479A4" w:rsidRPr="00A55335" w14:paraId="31EF9CC6" w14:textId="77777777" w:rsidTr="007252A0">
        <w:trPr>
          <w:cantSplit/>
          <w:tblHeader/>
        </w:trPr>
        <w:tc>
          <w:tcPr>
            <w:tcW w:w="945" w:type="pct"/>
            <w:vMerge/>
            <w:tcBorders>
              <w:right w:val="single" w:sz="6" w:space="0" w:color="EFEFEF"/>
            </w:tcBorders>
            <w:shd w:val="clear" w:color="auto" w:fill="006579" w:themeFill="accent2"/>
            <w:vAlign w:val="center"/>
            <w:hideMark/>
          </w:tcPr>
          <w:p w14:paraId="40E5B7F9" w14:textId="77777777" w:rsidR="006D722D" w:rsidRPr="00A55335" w:rsidRDefault="006D722D">
            <w:pPr>
              <w:pStyle w:val="Tabletext8pt"/>
              <w:rPr>
                <w:rFonts w:eastAsiaTheme="minorEastAsia"/>
              </w:rPr>
            </w:pPr>
          </w:p>
        </w:tc>
        <w:tc>
          <w:tcPr>
            <w:tcW w:w="763" w:type="pct"/>
            <w:tcBorders>
              <w:top w:val="single" w:sz="6" w:space="0" w:color="EFEFEF"/>
              <w:right w:val="single" w:sz="6" w:space="0" w:color="EFEFEF"/>
            </w:tcBorders>
            <w:shd w:val="clear" w:color="auto" w:fill="E1E4E5" w:themeFill="accent5"/>
            <w:vAlign w:val="bottom"/>
            <w:hideMark/>
          </w:tcPr>
          <w:p w14:paraId="47CF8F7E" w14:textId="77777777" w:rsidR="006D722D" w:rsidRPr="00A55335" w:rsidRDefault="006D722D">
            <w:pPr>
              <w:pStyle w:val="Tabletext8pt"/>
              <w:rPr>
                <w:rStyle w:val="Strong"/>
              </w:rPr>
            </w:pPr>
            <w:r w:rsidRPr="00A55335">
              <w:rPr>
                <w:rStyle w:val="Strong"/>
              </w:rPr>
              <w:t>Risk with Control (no intervention)</w:t>
            </w:r>
          </w:p>
        </w:tc>
        <w:tc>
          <w:tcPr>
            <w:tcW w:w="690" w:type="pct"/>
            <w:tcBorders>
              <w:top w:val="single" w:sz="6" w:space="0" w:color="EFEFEF"/>
              <w:right w:val="single" w:sz="6" w:space="0" w:color="EFEFEF"/>
            </w:tcBorders>
            <w:shd w:val="clear" w:color="auto" w:fill="E1E4E5" w:themeFill="accent5"/>
            <w:vAlign w:val="bottom"/>
            <w:hideMark/>
          </w:tcPr>
          <w:p w14:paraId="00C0ABEB" w14:textId="77777777" w:rsidR="006D722D" w:rsidRPr="00A55335" w:rsidRDefault="006D722D">
            <w:pPr>
              <w:pStyle w:val="Tabletext8pt"/>
              <w:rPr>
                <w:rStyle w:val="Strong"/>
              </w:rPr>
            </w:pPr>
            <w:r w:rsidRPr="00A55335">
              <w:rPr>
                <w:rStyle w:val="Strong"/>
              </w:rPr>
              <w:t>Risk with homeopathy</w:t>
            </w:r>
          </w:p>
        </w:tc>
        <w:tc>
          <w:tcPr>
            <w:tcW w:w="437" w:type="pct"/>
            <w:vMerge/>
            <w:tcBorders>
              <w:right w:val="single" w:sz="6" w:space="0" w:color="EFEFEF"/>
            </w:tcBorders>
            <w:shd w:val="clear" w:color="auto" w:fill="006579" w:themeFill="accent2"/>
            <w:vAlign w:val="center"/>
            <w:hideMark/>
          </w:tcPr>
          <w:p w14:paraId="7A90135C" w14:textId="77777777" w:rsidR="006D722D" w:rsidRPr="00A55335" w:rsidRDefault="006D722D">
            <w:pPr>
              <w:pStyle w:val="Tabletext8pt"/>
              <w:rPr>
                <w:rFonts w:eastAsiaTheme="minorEastAsia"/>
              </w:rPr>
            </w:pPr>
          </w:p>
        </w:tc>
        <w:tc>
          <w:tcPr>
            <w:tcW w:w="581" w:type="pct"/>
            <w:vMerge/>
            <w:tcBorders>
              <w:right w:val="single" w:sz="6" w:space="0" w:color="EFEFEF"/>
            </w:tcBorders>
            <w:shd w:val="clear" w:color="auto" w:fill="006579" w:themeFill="accent2"/>
            <w:vAlign w:val="center"/>
            <w:hideMark/>
          </w:tcPr>
          <w:p w14:paraId="0443AB16" w14:textId="77777777" w:rsidR="006D722D" w:rsidRPr="00A55335" w:rsidRDefault="006D722D">
            <w:pPr>
              <w:pStyle w:val="Tabletext8pt"/>
              <w:rPr>
                <w:rFonts w:eastAsiaTheme="minorEastAsia"/>
              </w:rPr>
            </w:pPr>
          </w:p>
        </w:tc>
        <w:tc>
          <w:tcPr>
            <w:tcW w:w="582" w:type="pct"/>
            <w:vMerge/>
            <w:tcBorders>
              <w:right w:val="single" w:sz="6" w:space="0" w:color="EFEFEF"/>
            </w:tcBorders>
            <w:shd w:val="clear" w:color="auto" w:fill="006579" w:themeFill="accent2"/>
            <w:vAlign w:val="center"/>
            <w:hideMark/>
          </w:tcPr>
          <w:p w14:paraId="330710FB" w14:textId="77777777" w:rsidR="006D722D" w:rsidRPr="00A55335" w:rsidRDefault="006D722D">
            <w:pPr>
              <w:pStyle w:val="Tabletext8pt"/>
              <w:rPr>
                <w:rFonts w:eastAsiaTheme="minorEastAsia"/>
              </w:rPr>
            </w:pPr>
          </w:p>
        </w:tc>
        <w:tc>
          <w:tcPr>
            <w:tcW w:w="1002" w:type="pct"/>
            <w:vMerge/>
            <w:tcBorders>
              <w:right w:val="single" w:sz="6" w:space="0" w:color="EFEFEF"/>
            </w:tcBorders>
            <w:shd w:val="clear" w:color="auto" w:fill="006579" w:themeFill="accent2"/>
            <w:vAlign w:val="center"/>
            <w:hideMark/>
          </w:tcPr>
          <w:p w14:paraId="31234A8C" w14:textId="77777777" w:rsidR="006D722D" w:rsidRPr="00A55335" w:rsidRDefault="006D722D">
            <w:pPr>
              <w:pStyle w:val="Tabletext8pt"/>
              <w:rPr>
                <w:rFonts w:eastAsiaTheme="minorEastAsia"/>
              </w:rPr>
            </w:pPr>
          </w:p>
        </w:tc>
      </w:tr>
      <w:tr w:rsidR="001B6FCB" w:rsidRPr="00A55335" w14:paraId="151F0B32" w14:textId="77777777" w:rsidTr="007252A0">
        <w:trPr>
          <w:cantSplit/>
        </w:trPr>
        <w:tc>
          <w:tcPr>
            <w:tcW w:w="945" w:type="pct"/>
            <w:tcBorders>
              <w:top w:val="single" w:sz="6" w:space="0" w:color="000000"/>
              <w:left w:val="nil"/>
              <w:bottom w:val="single" w:sz="6" w:space="0" w:color="000000"/>
              <w:right w:val="nil"/>
            </w:tcBorders>
            <w:vAlign w:val="center"/>
            <w:hideMark/>
          </w:tcPr>
          <w:p w14:paraId="5A076629" w14:textId="6D4556FD" w:rsidR="001B6FCB" w:rsidRPr="00A55335" w:rsidRDefault="001B6FCB" w:rsidP="005620B4">
            <w:pPr>
              <w:pStyle w:val="Tabletext8pt"/>
            </w:pPr>
            <w:r w:rsidRPr="00A55335">
              <w:t>Pain intensity</w:t>
            </w:r>
            <w:r w:rsidRPr="00A55335">
              <w:br/>
              <w:t>assessed with: PMTS- VAS</w:t>
            </w:r>
            <w:r w:rsidRPr="00A55335">
              <w:br/>
              <w:t>Range: 0 to 100 (higher is worse)</w:t>
            </w:r>
            <w:r w:rsidRPr="00A55335">
              <w:br/>
              <w:t>Follow up: 4 months</w:t>
            </w:r>
          </w:p>
        </w:tc>
        <w:tc>
          <w:tcPr>
            <w:tcW w:w="763" w:type="pct"/>
            <w:tcBorders>
              <w:top w:val="single" w:sz="6" w:space="0" w:color="000000"/>
              <w:left w:val="nil"/>
              <w:bottom w:val="single" w:sz="6" w:space="0" w:color="000000"/>
              <w:right w:val="nil"/>
            </w:tcBorders>
            <w:shd w:val="clear" w:color="auto" w:fill="EBEBEB"/>
            <w:vAlign w:val="center"/>
            <w:hideMark/>
          </w:tcPr>
          <w:p w14:paraId="12EDA9EB" w14:textId="70EB4FBA" w:rsidR="001B6FCB" w:rsidRPr="00A55335" w:rsidRDefault="001B6FCB" w:rsidP="007252A0">
            <w:pPr>
              <w:pStyle w:val="Tabletext8pt"/>
              <w:jc w:val="center"/>
            </w:pPr>
            <w:r w:rsidRPr="00A55335">
              <w:t>-</w:t>
            </w:r>
          </w:p>
        </w:tc>
        <w:tc>
          <w:tcPr>
            <w:tcW w:w="690" w:type="pct"/>
            <w:tcBorders>
              <w:top w:val="single" w:sz="6" w:space="0" w:color="000000"/>
              <w:left w:val="nil"/>
              <w:bottom w:val="single" w:sz="6" w:space="0" w:color="000000"/>
              <w:right w:val="nil"/>
            </w:tcBorders>
            <w:shd w:val="clear" w:color="auto" w:fill="EBEBEB"/>
          </w:tcPr>
          <w:p w14:paraId="68E71F17" w14:textId="0705F6B4" w:rsidR="001B6FCB" w:rsidRPr="00A55335" w:rsidRDefault="001B6FCB" w:rsidP="007252A0">
            <w:pPr>
              <w:pStyle w:val="Tabletext8pt"/>
              <w:jc w:val="center"/>
            </w:pPr>
            <w:r w:rsidRPr="00A55335">
              <w:t>-</w:t>
            </w:r>
          </w:p>
        </w:tc>
        <w:tc>
          <w:tcPr>
            <w:tcW w:w="437" w:type="pct"/>
            <w:tcBorders>
              <w:top w:val="single" w:sz="6" w:space="0" w:color="000000"/>
              <w:left w:val="nil"/>
              <w:bottom w:val="single" w:sz="6" w:space="0" w:color="000000"/>
              <w:right w:val="nil"/>
            </w:tcBorders>
            <w:vAlign w:val="center"/>
            <w:hideMark/>
          </w:tcPr>
          <w:p w14:paraId="05A09A4A" w14:textId="77777777" w:rsidR="001B6FCB" w:rsidRPr="00A55335" w:rsidRDefault="001B6FCB" w:rsidP="007252A0">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288375AA" w14:textId="39902B85" w:rsidR="001B6FCB" w:rsidRPr="00A55335" w:rsidRDefault="001B6FCB" w:rsidP="007252A0">
            <w:pPr>
              <w:pStyle w:val="Tabletext8pt"/>
              <w:jc w:val="center"/>
              <w:rPr>
                <w:rFonts w:eastAsia="Times New Roman"/>
              </w:rPr>
            </w:pPr>
            <w:r w:rsidRPr="00A55335">
              <w:t>(0 studies)</w:t>
            </w:r>
            <w:r w:rsidR="005373CF" w:rsidRPr="00A55335">
              <w:t xml:space="preserve"> </w:t>
            </w:r>
            <w:r w:rsidR="005373CF" w:rsidRPr="00A55335">
              <w:rPr>
                <w:rStyle w:val="FootnoteReference"/>
              </w:rPr>
              <w:t>†</w:t>
            </w:r>
          </w:p>
        </w:tc>
        <w:tc>
          <w:tcPr>
            <w:tcW w:w="582" w:type="pct"/>
            <w:tcBorders>
              <w:top w:val="single" w:sz="6" w:space="0" w:color="000000"/>
              <w:left w:val="nil"/>
              <w:bottom w:val="single" w:sz="6" w:space="0" w:color="000000"/>
              <w:right w:val="nil"/>
            </w:tcBorders>
            <w:vAlign w:val="center"/>
            <w:hideMark/>
          </w:tcPr>
          <w:p w14:paraId="5645B700" w14:textId="584121EC" w:rsidR="001B6FCB" w:rsidRPr="00A55335" w:rsidRDefault="001B6FCB" w:rsidP="009C1BFF">
            <w:pPr>
              <w:pStyle w:val="Tabletext8pt"/>
              <w:jc w:val="center"/>
              <w:rPr>
                <w:rFonts w:eastAsia="Times New Roman"/>
              </w:rPr>
            </w:pPr>
          </w:p>
        </w:tc>
        <w:tc>
          <w:tcPr>
            <w:tcW w:w="1002" w:type="pct"/>
            <w:tcBorders>
              <w:top w:val="single" w:sz="6" w:space="0" w:color="000000"/>
              <w:left w:val="nil"/>
              <w:bottom w:val="single" w:sz="6" w:space="0" w:color="000000"/>
              <w:right w:val="nil"/>
            </w:tcBorders>
            <w:vAlign w:val="center"/>
            <w:hideMark/>
          </w:tcPr>
          <w:p w14:paraId="4B8A5656" w14:textId="55BF4D00" w:rsidR="001B6FCB" w:rsidRPr="00A55335" w:rsidRDefault="001B6FCB">
            <w:pPr>
              <w:pStyle w:val="Tabletext8pt"/>
            </w:pPr>
            <w:r w:rsidRPr="00A55335">
              <w:t>The effect of homeopathy on pain in people with menstrual disorders is unknown</w:t>
            </w:r>
          </w:p>
        </w:tc>
      </w:tr>
      <w:tr w:rsidR="00351DD7" w:rsidRPr="00A55335" w14:paraId="16A07B99" w14:textId="77777777" w:rsidTr="007252A0">
        <w:trPr>
          <w:cantSplit/>
        </w:trPr>
        <w:tc>
          <w:tcPr>
            <w:tcW w:w="945" w:type="pct"/>
            <w:tcBorders>
              <w:top w:val="single" w:sz="6" w:space="0" w:color="000000"/>
              <w:left w:val="nil"/>
              <w:bottom w:val="single" w:sz="6" w:space="0" w:color="000000"/>
              <w:right w:val="nil"/>
            </w:tcBorders>
            <w:vAlign w:val="center"/>
            <w:hideMark/>
          </w:tcPr>
          <w:p w14:paraId="62FD2A7E" w14:textId="26F9D2EA" w:rsidR="00351DD7" w:rsidRPr="00A55335" w:rsidRDefault="00351DD7" w:rsidP="00351DD7">
            <w:pPr>
              <w:pStyle w:val="Tabletext8pt"/>
            </w:pPr>
            <w:r w:rsidRPr="00A55335">
              <w:t>Symptom severity assessed with: DRSP</w:t>
            </w:r>
            <w:r w:rsidRPr="00A55335">
              <w:br/>
              <w:t>Range: 168 to 1008 (higher is worse)</w:t>
            </w:r>
            <w:r w:rsidRPr="00A55335">
              <w:br/>
              <w:t>Follow up: 4 months</w:t>
            </w:r>
          </w:p>
        </w:tc>
        <w:tc>
          <w:tcPr>
            <w:tcW w:w="763" w:type="pct"/>
            <w:tcBorders>
              <w:top w:val="single" w:sz="6" w:space="0" w:color="000000"/>
              <w:left w:val="nil"/>
              <w:bottom w:val="single" w:sz="6" w:space="0" w:color="000000"/>
              <w:right w:val="nil"/>
            </w:tcBorders>
            <w:shd w:val="clear" w:color="auto" w:fill="EBEBEB"/>
            <w:vAlign w:val="center"/>
            <w:hideMark/>
          </w:tcPr>
          <w:p w14:paraId="14FC2833" w14:textId="591D33A6" w:rsidR="00351DD7" w:rsidRPr="00A55335" w:rsidRDefault="00351DD7" w:rsidP="00351DD7">
            <w:pPr>
              <w:pStyle w:val="Tabletext8pt"/>
              <w:jc w:val="center"/>
            </w:pPr>
            <w:r w:rsidRPr="00A55335">
              <w:t xml:space="preserve">The mean DRSP score was </w:t>
            </w:r>
            <w:r w:rsidRPr="00A55335">
              <w:rPr>
                <w:rStyle w:val="Strong"/>
              </w:rPr>
              <w:t>414</w:t>
            </w:r>
          </w:p>
        </w:tc>
        <w:tc>
          <w:tcPr>
            <w:tcW w:w="690" w:type="pct"/>
            <w:tcBorders>
              <w:top w:val="single" w:sz="6" w:space="0" w:color="000000"/>
              <w:left w:val="nil"/>
              <w:bottom w:val="single" w:sz="6" w:space="0" w:color="000000"/>
              <w:right w:val="nil"/>
            </w:tcBorders>
            <w:shd w:val="clear" w:color="auto" w:fill="EBEBEB"/>
          </w:tcPr>
          <w:p w14:paraId="25541FDB" w14:textId="463C43DF" w:rsidR="00351DD7" w:rsidRPr="00A55335" w:rsidRDefault="00351DD7" w:rsidP="007252A0">
            <w:pPr>
              <w:pStyle w:val="Tabletext8pt"/>
              <w:jc w:val="center"/>
            </w:pPr>
            <w:r w:rsidRPr="00A55335">
              <w:t>MD</w:t>
            </w:r>
            <w:r w:rsidRPr="00A55335">
              <w:rPr>
                <w:rStyle w:val="Strong"/>
              </w:rPr>
              <w:t xml:space="preserve"> 125 lower</w:t>
            </w:r>
            <w:r w:rsidRPr="00A55335">
              <w:br/>
              <w:t xml:space="preserve">(198.26 lower to </w:t>
            </w:r>
            <w:r w:rsidR="009C3489" w:rsidRPr="00A55335">
              <w:t>51.74 lower</w:t>
            </w:r>
            <w:r w:rsidRPr="00A55335">
              <w:t>)</w:t>
            </w:r>
          </w:p>
        </w:tc>
        <w:tc>
          <w:tcPr>
            <w:tcW w:w="437" w:type="pct"/>
            <w:tcBorders>
              <w:top w:val="single" w:sz="6" w:space="0" w:color="000000"/>
              <w:left w:val="nil"/>
              <w:bottom w:val="single" w:sz="6" w:space="0" w:color="000000"/>
              <w:right w:val="nil"/>
            </w:tcBorders>
            <w:vAlign w:val="center"/>
            <w:hideMark/>
          </w:tcPr>
          <w:p w14:paraId="2756E69B" w14:textId="50533C93" w:rsidR="00351DD7" w:rsidRPr="00A55335" w:rsidRDefault="00351DD7" w:rsidP="007252A0">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4BD99E2D" w14:textId="2447A201" w:rsidR="00351DD7" w:rsidRPr="00A55335" w:rsidRDefault="00351DD7" w:rsidP="007252A0">
            <w:pPr>
              <w:pStyle w:val="Tabletext8pt"/>
              <w:jc w:val="center"/>
            </w:pPr>
            <w:r w:rsidRPr="00A55335">
              <w:t>60</w:t>
            </w:r>
            <w:r w:rsidRPr="00A55335">
              <w:br/>
              <w:t>(1 RCT)</w:t>
            </w:r>
          </w:p>
        </w:tc>
        <w:tc>
          <w:tcPr>
            <w:tcW w:w="582" w:type="pct"/>
            <w:tcBorders>
              <w:top w:val="single" w:sz="6" w:space="0" w:color="000000"/>
              <w:left w:val="nil"/>
              <w:bottom w:val="single" w:sz="6" w:space="0" w:color="000000"/>
              <w:right w:val="nil"/>
            </w:tcBorders>
            <w:vAlign w:val="center"/>
            <w:hideMark/>
          </w:tcPr>
          <w:p w14:paraId="76960454" w14:textId="6B1EC898" w:rsidR="00351DD7" w:rsidRPr="00A55335" w:rsidRDefault="00351DD7" w:rsidP="008D0C2A">
            <w:pPr>
              <w:pStyle w:val="Tabletext8pt"/>
              <w:jc w:val="center"/>
            </w:pPr>
            <w:r w:rsidRPr="00A55335">
              <w:rPr>
                <w:rFonts w:ascii="Cambria Math" w:hAnsi="Cambria Math" w:cs="Cambria Math"/>
              </w:rPr>
              <w:t>⨁</w:t>
            </w:r>
            <w:r w:rsidR="004E01B5" w:rsidRPr="00A55335">
              <w:rPr>
                <w:rFonts w:ascii="Cambria Math" w:hAnsi="Cambria Math" w:cs="Cambria Math"/>
              </w:rPr>
              <w:t>⨁</w:t>
            </w:r>
            <w:r w:rsidRPr="00A55335">
              <w:rPr>
                <w:rFonts w:ascii="Cambria Math" w:hAnsi="Cambria Math" w:cs="Cambria Math"/>
              </w:rPr>
              <w:t>◯◯</w:t>
            </w:r>
            <w:r w:rsidRPr="00A55335">
              <w:br/>
            </w:r>
            <w:r w:rsidRPr="00A55335">
              <w:rPr>
                <w:rStyle w:val="QualitytextChar"/>
              </w:rPr>
              <w:t xml:space="preserve">low </w:t>
            </w:r>
            <w:proofErr w:type="spellStart"/>
            <w:r w:rsidRPr="00A55335">
              <w:rPr>
                <w:rStyle w:val="FootnoteReference"/>
              </w:rPr>
              <w:t>a,b,c,d,e</w:t>
            </w:r>
            <w:proofErr w:type="spellEnd"/>
          </w:p>
        </w:tc>
        <w:tc>
          <w:tcPr>
            <w:tcW w:w="1002" w:type="pct"/>
            <w:tcBorders>
              <w:top w:val="single" w:sz="6" w:space="0" w:color="000000"/>
              <w:left w:val="nil"/>
              <w:bottom w:val="single" w:sz="6" w:space="0" w:color="000000"/>
              <w:right w:val="nil"/>
            </w:tcBorders>
            <w:vAlign w:val="center"/>
            <w:hideMark/>
          </w:tcPr>
          <w:p w14:paraId="7430FE80" w14:textId="695D7606" w:rsidR="00351DD7" w:rsidRPr="00A55335" w:rsidRDefault="000C2BFD" w:rsidP="00351DD7">
            <w:pPr>
              <w:pStyle w:val="Tabletext8pt"/>
            </w:pPr>
            <w:r w:rsidRPr="00A55335">
              <w:t>Compared with no intervention, h</w:t>
            </w:r>
            <w:r w:rsidR="00351DD7" w:rsidRPr="00A55335">
              <w:t xml:space="preserve">omeopathy </w:t>
            </w:r>
            <w:r w:rsidR="004E01B5" w:rsidRPr="00A55335">
              <w:t xml:space="preserve">may </w:t>
            </w:r>
            <w:r w:rsidRPr="00A55335">
              <w:t xml:space="preserve">result </w:t>
            </w:r>
            <w:r w:rsidR="00944E32" w:rsidRPr="00A55335">
              <w:t xml:space="preserve">in a </w:t>
            </w:r>
            <w:r w:rsidRPr="00A55335">
              <w:t>reduction i</w:t>
            </w:r>
            <w:r w:rsidR="00351DD7" w:rsidRPr="00A55335">
              <w:t>n symptom severity in people with menstrual disorders</w:t>
            </w:r>
            <w:r w:rsidR="00000CE9" w:rsidRPr="00A55335">
              <w:t xml:space="preserve"> **</w:t>
            </w:r>
          </w:p>
        </w:tc>
      </w:tr>
      <w:tr w:rsidR="000C2BFD" w:rsidRPr="00A55335" w14:paraId="71F45088" w14:textId="77777777" w:rsidTr="007252A0">
        <w:trPr>
          <w:cantSplit/>
        </w:trPr>
        <w:tc>
          <w:tcPr>
            <w:tcW w:w="945" w:type="pct"/>
            <w:tcBorders>
              <w:top w:val="single" w:sz="6" w:space="0" w:color="000000"/>
              <w:left w:val="nil"/>
              <w:bottom w:val="single" w:sz="6" w:space="0" w:color="000000"/>
              <w:right w:val="nil"/>
            </w:tcBorders>
            <w:vAlign w:val="center"/>
            <w:hideMark/>
          </w:tcPr>
          <w:p w14:paraId="30F1866D" w14:textId="77777777" w:rsidR="000C2BFD" w:rsidRPr="00A55335" w:rsidRDefault="000C2BFD" w:rsidP="001B6FCB">
            <w:pPr>
              <w:pStyle w:val="Tabletext8pt"/>
            </w:pPr>
            <w:r w:rsidRPr="00A55335">
              <w:t>Depression - not reported</w:t>
            </w:r>
          </w:p>
        </w:tc>
        <w:tc>
          <w:tcPr>
            <w:tcW w:w="763" w:type="pct"/>
            <w:tcBorders>
              <w:top w:val="single" w:sz="6" w:space="0" w:color="000000"/>
              <w:left w:val="nil"/>
              <w:bottom w:val="single" w:sz="6" w:space="0" w:color="000000"/>
              <w:right w:val="nil"/>
            </w:tcBorders>
            <w:shd w:val="clear" w:color="auto" w:fill="EBEBEB"/>
            <w:vAlign w:val="center"/>
            <w:hideMark/>
          </w:tcPr>
          <w:p w14:paraId="3CBECA1B" w14:textId="77777777" w:rsidR="000C2BFD" w:rsidRPr="00A55335" w:rsidRDefault="000C2BFD" w:rsidP="001B6FCB">
            <w:pPr>
              <w:pStyle w:val="Tabletext8pt"/>
              <w:jc w:val="center"/>
              <w:rPr>
                <w:rFonts w:eastAsia="Times New Roman"/>
              </w:rPr>
            </w:pPr>
            <w:r w:rsidRPr="00A55335">
              <w:rPr>
                <w:rFonts w:eastAsia="Times New Roman"/>
              </w:rPr>
              <w:t>-</w:t>
            </w:r>
          </w:p>
        </w:tc>
        <w:tc>
          <w:tcPr>
            <w:tcW w:w="690" w:type="pct"/>
            <w:tcBorders>
              <w:top w:val="single" w:sz="6" w:space="0" w:color="000000"/>
              <w:left w:val="nil"/>
              <w:bottom w:val="single" w:sz="6" w:space="0" w:color="000000"/>
              <w:right w:val="nil"/>
            </w:tcBorders>
            <w:shd w:val="clear" w:color="auto" w:fill="EBEBEB"/>
          </w:tcPr>
          <w:p w14:paraId="7E5C44B9" w14:textId="77777777" w:rsidR="000C2BFD" w:rsidRPr="00A55335" w:rsidRDefault="000C2BFD" w:rsidP="007252A0">
            <w:pPr>
              <w:pStyle w:val="Tabletext8pt"/>
              <w:jc w:val="center"/>
              <w:rPr>
                <w:rFonts w:eastAsia="Times New Roman"/>
              </w:rPr>
            </w:pPr>
            <w:r w:rsidRPr="00A55335">
              <w:t>-</w:t>
            </w:r>
          </w:p>
        </w:tc>
        <w:tc>
          <w:tcPr>
            <w:tcW w:w="437" w:type="pct"/>
            <w:tcBorders>
              <w:top w:val="single" w:sz="6" w:space="0" w:color="000000"/>
              <w:left w:val="nil"/>
              <w:bottom w:val="single" w:sz="6" w:space="0" w:color="000000"/>
              <w:right w:val="nil"/>
            </w:tcBorders>
            <w:vAlign w:val="center"/>
            <w:hideMark/>
          </w:tcPr>
          <w:p w14:paraId="34C56205" w14:textId="77777777" w:rsidR="000C2BFD" w:rsidRPr="00A55335" w:rsidRDefault="000C2BFD" w:rsidP="007252A0">
            <w:pPr>
              <w:pStyle w:val="Tabletext8pt"/>
              <w:jc w:val="center"/>
              <w:rPr>
                <w:rFonts w:eastAsia="Times New Roman"/>
                <w:sz w:val="20"/>
              </w:rPr>
            </w:pPr>
            <w:r w:rsidRPr="00A55335">
              <w:t>-</w:t>
            </w:r>
          </w:p>
        </w:tc>
        <w:tc>
          <w:tcPr>
            <w:tcW w:w="581" w:type="pct"/>
            <w:tcBorders>
              <w:top w:val="single" w:sz="6" w:space="0" w:color="000000"/>
              <w:left w:val="nil"/>
              <w:bottom w:val="single" w:sz="6" w:space="0" w:color="000000"/>
              <w:right w:val="nil"/>
            </w:tcBorders>
            <w:vAlign w:val="center"/>
            <w:hideMark/>
          </w:tcPr>
          <w:p w14:paraId="134E3A8D" w14:textId="77777777" w:rsidR="000C2BFD" w:rsidRPr="00A55335" w:rsidRDefault="000C2BFD" w:rsidP="007252A0">
            <w:pPr>
              <w:pStyle w:val="Tabletext8pt"/>
              <w:jc w:val="center"/>
              <w:rPr>
                <w:rFonts w:eastAsia="Times New Roman"/>
              </w:rPr>
            </w:pPr>
            <w:r w:rsidRPr="00A55335">
              <w:t>(0 studies)</w:t>
            </w:r>
          </w:p>
        </w:tc>
        <w:tc>
          <w:tcPr>
            <w:tcW w:w="582" w:type="pct"/>
            <w:tcBorders>
              <w:top w:val="single" w:sz="6" w:space="0" w:color="000000"/>
              <w:left w:val="nil"/>
              <w:bottom w:val="single" w:sz="6" w:space="0" w:color="000000"/>
              <w:right w:val="nil"/>
            </w:tcBorders>
            <w:vAlign w:val="center"/>
            <w:hideMark/>
          </w:tcPr>
          <w:p w14:paraId="3B28F9CE" w14:textId="77777777" w:rsidR="000C2BFD" w:rsidRPr="00A55335" w:rsidRDefault="000C2BFD" w:rsidP="007252A0">
            <w:pPr>
              <w:pStyle w:val="Tabletext8pt"/>
              <w:jc w:val="center"/>
              <w:rPr>
                <w:rFonts w:eastAsia="Times New Roman"/>
              </w:rPr>
            </w:pPr>
            <w:r w:rsidRPr="00A55335">
              <w:t>-</w:t>
            </w:r>
          </w:p>
        </w:tc>
        <w:tc>
          <w:tcPr>
            <w:tcW w:w="1002" w:type="pct"/>
            <w:tcBorders>
              <w:top w:val="single" w:sz="6" w:space="0" w:color="000000"/>
              <w:left w:val="nil"/>
              <w:bottom w:val="single" w:sz="6" w:space="0" w:color="000000"/>
              <w:right w:val="nil"/>
            </w:tcBorders>
            <w:vAlign w:val="center"/>
            <w:hideMark/>
          </w:tcPr>
          <w:p w14:paraId="2E0431B9" w14:textId="77777777" w:rsidR="000C2BFD" w:rsidRPr="00A55335" w:rsidRDefault="000C2BFD" w:rsidP="001B6FCB">
            <w:pPr>
              <w:pStyle w:val="Tabletext8pt"/>
            </w:pPr>
            <w:r w:rsidRPr="00A55335">
              <w:t>The effect of homeopathy on depression in people with menstrual disorders is unknown</w:t>
            </w:r>
          </w:p>
        </w:tc>
      </w:tr>
      <w:tr w:rsidR="000C2BFD" w:rsidRPr="00A55335" w14:paraId="0C979E31" w14:textId="77777777" w:rsidTr="007252A0">
        <w:trPr>
          <w:cantSplit/>
        </w:trPr>
        <w:tc>
          <w:tcPr>
            <w:tcW w:w="945" w:type="pct"/>
            <w:tcBorders>
              <w:top w:val="single" w:sz="6" w:space="0" w:color="000000"/>
              <w:left w:val="nil"/>
              <w:bottom w:val="single" w:sz="6" w:space="0" w:color="000000"/>
              <w:right w:val="nil"/>
            </w:tcBorders>
            <w:vAlign w:val="center"/>
            <w:hideMark/>
          </w:tcPr>
          <w:p w14:paraId="36466989" w14:textId="77777777" w:rsidR="000C2BFD" w:rsidRPr="00A55335" w:rsidRDefault="000C2BFD" w:rsidP="001B6FCB">
            <w:pPr>
              <w:pStyle w:val="Tabletext8pt"/>
            </w:pPr>
            <w:r w:rsidRPr="00A55335">
              <w:t>Anxiety - not reported</w:t>
            </w:r>
          </w:p>
        </w:tc>
        <w:tc>
          <w:tcPr>
            <w:tcW w:w="763" w:type="pct"/>
            <w:tcBorders>
              <w:top w:val="single" w:sz="6" w:space="0" w:color="000000"/>
              <w:left w:val="nil"/>
              <w:bottom w:val="single" w:sz="6" w:space="0" w:color="000000"/>
              <w:right w:val="nil"/>
            </w:tcBorders>
            <w:shd w:val="clear" w:color="auto" w:fill="EBEBEB"/>
            <w:vAlign w:val="center"/>
            <w:hideMark/>
          </w:tcPr>
          <w:p w14:paraId="464B7F31" w14:textId="77777777" w:rsidR="000C2BFD" w:rsidRPr="00A55335" w:rsidRDefault="000C2BFD" w:rsidP="001B6FCB">
            <w:pPr>
              <w:pStyle w:val="Tabletext8pt"/>
              <w:jc w:val="center"/>
            </w:pPr>
            <w:r w:rsidRPr="00A55335">
              <w:t>-</w:t>
            </w:r>
          </w:p>
        </w:tc>
        <w:tc>
          <w:tcPr>
            <w:tcW w:w="690" w:type="pct"/>
            <w:tcBorders>
              <w:top w:val="single" w:sz="6" w:space="0" w:color="000000"/>
              <w:left w:val="nil"/>
              <w:bottom w:val="single" w:sz="6" w:space="0" w:color="000000"/>
              <w:right w:val="nil"/>
            </w:tcBorders>
            <w:shd w:val="clear" w:color="auto" w:fill="EBEBEB"/>
          </w:tcPr>
          <w:p w14:paraId="595B4D25" w14:textId="77777777" w:rsidR="000C2BFD" w:rsidRPr="00A55335" w:rsidRDefault="000C2BFD" w:rsidP="007252A0">
            <w:pPr>
              <w:pStyle w:val="Tabletext8pt"/>
              <w:jc w:val="center"/>
            </w:pPr>
            <w:r w:rsidRPr="00A55335">
              <w:t>-</w:t>
            </w:r>
          </w:p>
        </w:tc>
        <w:tc>
          <w:tcPr>
            <w:tcW w:w="437" w:type="pct"/>
            <w:tcBorders>
              <w:top w:val="single" w:sz="6" w:space="0" w:color="000000"/>
              <w:left w:val="nil"/>
              <w:bottom w:val="single" w:sz="6" w:space="0" w:color="000000"/>
              <w:right w:val="nil"/>
            </w:tcBorders>
            <w:vAlign w:val="center"/>
            <w:hideMark/>
          </w:tcPr>
          <w:p w14:paraId="1EAB762F" w14:textId="77777777" w:rsidR="000C2BFD" w:rsidRPr="00A55335" w:rsidRDefault="000C2BFD" w:rsidP="007252A0">
            <w:pPr>
              <w:pStyle w:val="Tabletext8pt"/>
              <w:jc w:val="center"/>
              <w:rPr>
                <w:rFonts w:eastAsia="Times New Roman"/>
                <w:sz w:val="20"/>
              </w:rPr>
            </w:pPr>
            <w:r w:rsidRPr="00A55335">
              <w:t>-</w:t>
            </w:r>
          </w:p>
        </w:tc>
        <w:tc>
          <w:tcPr>
            <w:tcW w:w="581" w:type="pct"/>
            <w:tcBorders>
              <w:top w:val="single" w:sz="6" w:space="0" w:color="000000"/>
              <w:left w:val="nil"/>
              <w:bottom w:val="single" w:sz="6" w:space="0" w:color="000000"/>
              <w:right w:val="nil"/>
            </w:tcBorders>
            <w:vAlign w:val="center"/>
            <w:hideMark/>
          </w:tcPr>
          <w:p w14:paraId="32E1B893" w14:textId="77777777" w:rsidR="000C2BFD" w:rsidRPr="00A55335" w:rsidRDefault="000C2BFD" w:rsidP="007252A0">
            <w:pPr>
              <w:pStyle w:val="Tabletext8pt"/>
              <w:jc w:val="center"/>
              <w:rPr>
                <w:rFonts w:eastAsia="Times New Roman"/>
              </w:rPr>
            </w:pPr>
            <w:r w:rsidRPr="00A55335">
              <w:t>(0 studies)</w:t>
            </w:r>
          </w:p>
        </w:tc>
        <w:tc>
          <w:tcPr>
            <w:tcW w:w="582" w:type="pct"/>
            <w:tcBorders>
              <w:top w:val="single" w:sz="6" w:space="0" w:color="000000"/>
              <w:left w:val="nil"/>
              <w:bottom w:val="single" w:sz="6" w:space="0" w:color="000000"/>
              <w:right w:val="nil"/>
            </w:tcBorders>
            <w:vAlign w:val="center"/>
            <w:hideMark/>
          </w:tcPr>
          <w:p w14:paraId="1872AE88" w14:textId="77777777" w:rsidR="000C2BFD" w:rsidRPr="00A55335" w:rsidRDefault="000C2BFD" w:rsidP="007252A0">
            <w:pPr>
              <w:pStyle w:val="Tabletext8pt"/>
              <w:jc w:val="center"/>
              <w:rPr>
                <w:rFonts w:eastAsia="Times New Roman"/>
              </w:rPr>
            </w:pPr>
            <w:r w:rsidRPr="00A55335">
              <w:t>-</w:t>
            </w:r>
          </w:p>
        </w:tc>
        <w:tc>
          <w:tcPr>
            <w:tcW w:w="1002" w:type="pct"/>
            <w:tcBorders>
              <w:top w:val="single" w:sz="6" w:space="0" w:color="000000"/>
              <w:left w:val="nil"/>
              <w:bottom w:val="single" w:sz="6" w:space="0" w:color="000000"/>
              <w:right w:val="nil"/>
            </w:tcBorders>
            <w:vAlign w:val="center"/>
            <w:hideMark/>
          </w:tcPr>
          <w:p w14:paraId="029E43B1" w14:textId="77777777" w:rsidR="000C2BFD" w:rsidRPr="00A55335" w:rsidRDefault="000C2BFD" w:rsidP="001B6FCB">
            <w:pPr>
              <w:pStyle w:val="Tabletext8pt"/>
            </w:pPr>
            <w:r w:rsidRPr="00A55335">
              <w:t>The effect of homeopathy on anxiety in people with menstrual disorders is unknown</w:t>
            </w:r>
          </w:p>
        </w:tc>
      </w:tr>
      <w:tr w:rsidR="001B6FCB" w:rsidRPr="00A55335" w14:paraId="1E007C70" w14:textId="77777777" w:rsidTr="007252A0">
        <w:trPr>
          <w:cantSplit/>
        </w:trPr>
        <w:tc>
          <w:tcPr>
            <w:tcW w:w="945" w:type="pct"/>
            <w:tcBorders>
              <w:top w:val="single" w:sz="6" w:space="0" w:color="000000"/>
              <w:left w:val="nil"/>
              <w:bottom w:val="single" w:sz="6" w:space="0" w:color="000000"/>
              <w:right w:val="nil"/>
            </w:tcBorders>
            <w:vAlign w:val="center"/>
            <w:hideMark/>
          </w:tcPr>
          <w:p w14:paraId="76724BF3" w14:textId="77777777" w:rsidR="001B6FCB" w:rsidRPr="00A55335" w:rsidRDefault="001B6FCB" w:rsidP="001B6FCB">
            <w:pPr>
              <w:pStyle w:val="Tabletext8pt"/>
            </w:pPr>
            <w:r w:rsidRPr="00A55335">
              <w:t>Health-related quality of life - not reported</w:t>
            </w:r>
          </w:p>
        </w:tc>
        <w:tc>
          <w:tcPr>
            <w:tcW w:w="763" w:type="pct"/>
            <w:tcBorders>
              <w:top w:val="single" w:sz="6" w:space="0" w:color="000000"/>
              <w:left w:val="nil"/>
              <w:bottom w:val="single" w:sz="6" w:space="0" w:color="000000"/>
              <w:right w:val="nil"/>
            </w:tcBorders>
            <w:shd w:val="clear" w:color="auto" w:fill="EBEBEB"/>
            <w:vAlign w:val="center"/>
            <w:hideMark/>
          </w:tcPr>
          <w:p w14:paraId="07899DB3" w14:textId="77777777" w:rsidR="001B6FCB" w:rsidRPr="00A55335" w:rsidRDefault="001B6FCB" w:rsidP="001B6FCB">
            <w:pPr>
              <w:pStyle w:val="Tabletext8pt"/>
              <w:jc w:val="center"/>
            </w:pPr>
            <w:r w:rsidRPr="00A55335">
              <w:t>-</w:t>
            </w:r>
          </w:p>
        </w:tc>
        <w:tc>
          <w:tcPr>
            <w:tcW w:w="690" w:type="pct"/>
            <w:tcBorders>
              <w:top w:val="single" w:sz="6" w:space="0" w:color="000000"/>
              <w:left w:val="nil"/>
              <w:bottom w:val="single" w:sz="6" w:space="0" w:color="000000"/>
              <w:right w:val="nil"/>
            </w:tcBorders>
            <w:shd w:val="clear" w:color="auto" w:fill="EBEBEB"/>
          </w:tcPr>
          <w:p w14:paraId="19D8921B" w14:textId="3C51A3E3" w:rsidR="001B6FCB" w:rsidRPr="00A55335" w:rsidRDefault="001B6FCB" w:rsidP="007252A0">
            <w:pPr>
              <w:pStyle w:val="Tabletext8pt"/>
              <w:jc w:val="center"/>
            </w:pPr>
            <w:r w:rsidRPr="00A55335">
              <w:t>-</w:t>
            </w:r>
          </w:p>
        </w:tc>
        <w:tc>
          <w:tcPr>
            <w:tcW w:w="437" w:type="pct"/>
            <w:tcBorders>
              <w:top w:val="single" w:sz="6" w:space="0" w:color="000000"/>
              <w:left w:val="nil"/>
              <w:bottom w:val="single" w:sz="6" w:space="0" w:color="000000"/>
              <w:right w:val="nil"/>
            </w:tcBorders>
            <w:vAlign w:val="center"/>
            <w:hideMark/>
          </w:tcPr>
          <w:p w14:paraId="2469CDC8" w14:textId="5C1D2FCC" w:rsidR="001B6FCB" w:rsidRPr="00A55335" w:rsidRDefault="001B6FCB" w:rsidP="007252A0">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0A083F6F" w14:textId="2D74E287" w:rsidR="001B6FCB" w:rsidRPr="00A55335" w:rsidRDefault="001B6FCB" w:rsidP="007252A0">
            <w:pPr>
              <w:pStyle w:val="Tabletext8pt"/>
              <w:jc w:val="center"/>
            </w:pPr>
            <w:r w:rsidRPr="00A55335">
              <w:t>(0 studies)</w:t>
            </w:r>
          </w:p>
        </w:tc>
        <w:tc>
          <w:tcPr>
            <w:tcW w:w="582" w:type="pct"/>
            <w:tcBorders>
              <w:top w:val="single" w:sz="6" w:space="0" w:color="000000"/>
              <w:left w:val="nil"/>
              <w:bottom w:val="single" w:sz="6" w:space="0" w:color="000000"/>
              <w:right w:val="nil"/>
            </w:tcBorders>
            <w:vAlign w:val="center"/>
            <w:hideMark/>
          </w:tcPr>
          <w:p w14:paraId="79764DA0" w14:textId="77777777" w:rsidR="001B6FCB" w:rsidRPr="00A55335" w:rsidRDefault="001B6FCB" w:rsidP="007252A0">
            <w:pPr>
              <w:pStyle w:val="Tabletext8pt"/>
              <w:jc w:val="center"/>
            </w:pPr>
            <w:r w:rsidRPr="00A55335">
              <w:t>-</w:t>
            </w:r>
          </w:p>
        </w:tc>
        <w:tc>
          <w:tcPr>
            <w:tcW w:w="1002" w:type="pct"/>
            <w:tcBorders>
              <w:top w:val="single" w:sz="6" w:space="0" w:color="000000"/>
              <w:left w:val="nil"/>
              <w:bottom w:val="single" w:sz="6" w:space="0" w:color="000000"/>
              <w:right w:val="nil"/>
            </w:tcBorders>
            <w:vAlign w:val="center"/>
            <w:hideMark/>
          </w:tcPr>
          <w:p w14:paraId="4A8CFE31" w14:textId="037A9CD9" w:rsidR="001B6FCB" w:rsidRPr="00A55335" w:rsidRDefault="001B6FCB" w:rsidP="001B6FCB">
            <w:pPr>
              <w:pStyle w:val="Tabletext8pt"/>
            </w:pPr>
            <w:r w:rsidRPr="00A55335">
              <w:t>The effect of homeopathy on health-related quality of life in people with menstrual disorders is unknown</w:t>
            </w:r>
          </w:p>
        </w:tc>
      </w:tr>
      <w:tr w:rsidR="000C2BFD" w:rsidRPr="00A55335" w14:paraId="2953E73F" w14:textId="77777777" w:rsidTr="007252A0">
        <w:trPr>
          <w:cantSplit/>
        </w:trPr>
        <w:tc>
          <w:tcPr>
            <w:tcW w:w="945" w:type="pct"/>
            <w:tcBorders>
              <w:top w:val="single" w:sz="6" w:space="0" w:color="000000"/>
              <w:left w:val="nil"/>
              <w:bottom w:val="single" w:sz="6" w:space="0" w:color="000000"/>
              <w:right w:val="nil"/>
            </w:tcBorders>
            <w:vAlign w:val="center"/>
            <w:hideMark/>
          </w:tcPr>
          <w:p w14:paraId="7C4455A4" w14:textId="77777777" w:rsidR="000C2BFD" w:rsidRPr="00A55335" w:rsidRDefault="000C2BFD" w:rsidP="001B6FCB">
            <w:pPr>
              <w:pStyle w:val="Tabletext8pt"/>
            </w:pPr>
            <w:r w:rsidRPr="00A55335">
              <w:t>Medication use - not reported</w:t>
            </w:r>
          </w:p>
        </w:tc>
        <w:tc>
          <w:tcPr>
            <w:tcW w:w="763" w:type="pct"/>
            <w:tcBorders>
              <w:top w:val="single" w:sz="6" w:space="0" w:color="000000"/>
              <w:left w:val="nil"/>
              <w:bottom w:val="single" w:sz="6" w:space="0" w:color="000000"/>
              <w:right w:val="nil"/>
            </w:tcBorders>
            <w:shd w:val="clear" w:color="auto" w:fill="EBEBEB"/>
            <w:vAlign w:val="center"/>
            <w:hideMark/>
          </w:tcPr>
          <w:p w14:paraId="64965E3A" w14:textId="77777777" w:rsidR="000C2BFD" w:rsidRPr="00A55335" w:rsidRDefault="000C2BFD" w:rsidP="001B6FCB">
            <w:pPr>
              <w:pStyle w:val="Tabletext8pt"/>
              <w:jc w:val="center"/>
            </w:pPr>
            <w:r w:rsidRPr="00A55335">
              <w:t>-</w:t>
            </w:r>
          </w:p>
        </w:tc>
        <w:tc>
          <w:tcPr>
            <w:tcW w:w="690" w:type="pct"/>
            <w:tcBorders>
              <w:top w:val="single" w:sz="6" w:space="0" w:color="000000"/>
              <w:left w:val="nil"/>
              <w:bottom w:val="single" w:sz="6" w:space="0" w:color="000000"/>
              <w:right w:val="nil"/>
            </w:tcBorders>
            <w:shd w:val="clear" w:color="auto" w:fill="EBEBEB"/>
          </w:tcPr>
          <w:p w14:paraId="77A9B567" w14:textId="77777777" w:rsidR="000C2BFD" w:rsidRPr="00A55335" w:rsidRDefault="000C2BFD" w:rsidP="007252A0">
            <w:pPr>
              <w:pStyle w:val="Tabletext8pt"/>
              <w:jc w:val="center"/>
            </w:pPr>
            <w:r w:rsidRPr="00A55335">
              <w:t>-</w:t>
            </w:r>
          </w:p>
        </w:tc>
        <w:tc>
          <w:tcPr>
            <w:tcW w:w="437" w:type="pct"/>
            <w:tcBorders>
              <w:top w:val="single" w:sz="6" w:space="0" w:color="000000"/>
              <w:left w:val="nil"/>
              <w:bottom w:val="single" w:sz="6" w:space="0" w:color="000000"/>
              <w:right w:val="nil"/>
            </w:tcBorders>
            <w:vAlign w:val="center"/>
            <w:hideMark/>
          </w:tcPr>
          <w:p w14:paraId="44A1248F" w14:textId="77777777" w:rsidR="000C2BFD" w:rsidRPr="00A55335" w:rsidRDefault="000C2BFD" w:rsidP="007252A0">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75044A67" w14:textId="2E30732E" w:rsidR="000C2BFD" w:rsidRPr="00A55335" w:rsidRDefault="000C2BFD" w:rsidP="007252A0">
            <w:pPr>
              <w:pStyle w:val="Tabletext8pt"/>
              <w:jc w:val="center"/>
            </w:pPr>
            <w:r w:rsidRPr="00A55335">
              <w:t>(0 studies)</w:t>
            </w:r>
          </w:p>
        </w:tc>
        <w:tc>
          <w:tcPr>
            <w:tcW w:w="582" w:type="pct"/>
            <w:tcBorders>
              <w:top w:val="single" w:sz="6" w:space="0" w:color="000000"/>
              <w:left w:val="nil"/>
              <w:bottom w:val="single" w:sz="6" w:space="0" w:color="000000"/>
              <w:right w:val="nil"/>
            </w:tcBorders>
            <w:vAlign w:val="center"/>
            <w:hideMark/>
          </w:tcPr>
          <w:p w14:paraId="40A7440F" w14:textId="77777777" w:rsidR="000C2BFD" w:rsidRPr="00A55335" w:rsidRDefault="000C2BFD" w:rsidP="007252A0">
            <w:pPr>
              <w:pStyle w:val="Tabletext8pt"/>
              <w:jc w:val="center"/>
            </w:pPr>
            <w:r w:rsidRPr="00A55335">
              <w:t>-</w:t>
            </w:r>
          </w:p>
        </w:tc>
        <w:tc>
          <w:tcPr>
            <w:tcW w:w="1002" w:type="pct"/>
            <w:tcBorders>
              <w:top w:val="single" w:sz="6" w:space="0" w:color="000000"/>
              <w:left w:val="nil"/>
              <w:bottom w:val="single" w:sz="6" w:space="0" w:color="000000"/>
              <w:right w:val="nil"/>
            </w:tcBorders>
            <w:vAlign w:val="center"/>
            <w:hideMark/>
          </w:tcPr>
          <w:p w14:paraId="6BEAC9FD" w14:textId="77777777" w:rsidR="000C2BFD" w:rsidRPr="00A55335" w:rsidRDefault="000C2BFD" w:rsidP="001B6FCB">
            <w:pPr>
              <w:pStyle w:val="Tabletext8pt"/>
            </w:pPr>
            <w:r w:rsidRPr="00A55335">
              <w:t>The effect of homeopathy on medication use in people with menstrual disorders is unknown</w:t>
            </w:r>
          </w:p>
        </w:tc>
      </w:tr>
      <w:tr w:rsidR="001C2C7B" w:rsidRPr="00A55335" w14:paraId="5DB5D6EE" w14:textId="77777777" w:rsidTr="006D722D">
        <w:trPr>
          <w:cantSplit/>
        </w:trPr>
        <w:tc>
          <w:tcPr>
            <w:tcW w:w="5000" w:type="pct"/>
            <w:gridSpan w:val="7"/>
            <w:tcBorders>
              <w:top w:val="single" w:sz="6" w:space="0" w:color="000000"/>
              <w:left w:val="nil"/>
              <w:bottom w:val="single" w:sz="6" w:space="0" w:color="000000"/>
              <w:right w:val="nil"/>
            </w:tcBorders>
            <w:vAlign w:val="center"/>
            <w:hideMark/>
          </w:tcPr>
          <w:p w14:paraId="53025629" w14:textId="77777777" w:rsidR="005373CF" w:rsidRPr="00A55335" w:rsidRDefault="001C2C7B" w:rsidP="00C75EB7">
            <w:pPr>
              <w:pStyle w:val="TableFigNotes18"/>
            </w:pPr>
            <w:r w:rsidRPr="00A55335">
              <w:rPr>
                <w:rStyle w:val="Strong"/>
              </w:rPr>
              <w:lastRenderedPageBreak/>
              <w:t>*The risk in the intervention group</w:t>
            </w:r>
            <w:r w:rsidRPr="00A55335">
              <w:t xml:space="preserve"> </w:t>
            </w:r>
            <w:r w:rsidRPr="00A55335">
              <w:rPr>
                <w:rStyle w:val="Strong"/>
              </w:rPr>
              <w:t>(and its 95% confidence interval)</w:t>
            </w:r>
            <w:r w:rsidRPr="00A55335">
              <w:t xml:space="preserve"> is based on the assumed risk in the comparison group and the </w:t>
            </w:r>
            <w:r w:rsidRPr="00A55335">
              <w:rPr>
                <w:rStyle w:val="Strong"/>
              </w:rPr>
              <w:t>relative effect</w:t>
            </w:r>
            <w:r w:rsidRPr="00A55335">
              <w:t xml:space="preserve"> of the intervention (and its 95% CI).</w:t>
            </w:r>
            <w:r w:rsidR="005373CF" w:rsidRPr="00A55335">
              <w:t xml:space="preserve"> </w:t>
            </w:r>
          </w:p>
          <w:p w14:paraId="5DDCE2B5" w14:textId="77777777" w:rsidR="005373CF" w:rsidRPr="00A55335" w:rsidRDefault="005373CF" w:rsidP="00C75EB7">
            <w:pPr>
              <w:pStyle w:val="TableFigNotes18"/>
            </w:pPr>
          </w:p>
          <w:p w14:paraId="33D4AF04" w14:textId="3F18C542" w:rsidR="00000CE9" w:rsidRPr="00A55335" w:rsidRDefault="00000CE9" w:rsidP="00000CE9">
            <w:pPr>
              <w:pStyle w:val="TableFigNotes18"/>
            </w:pPr>
            <w:r w:rsidRPr="00A55335">
              <w:t>** Effect estimates were to be considered on 3 levels: small (MD &lt;10% of the scale), moderate (MD between 10% to 20% of the scale) or large (MD more than 20% of the scale).</w:t>
            </w:r>
          </w:p>
          <w:p w14:paraId="1DF0F8B8" w14:textId="77777777" w:rsidR="00000CE9" w:rsidRPr="00A55335" w:rsidRDefault="00000CE9" w:rsidP="00C75EB7">
            <w:pPr>
              <w:pStyle w:val="TableFigNotes18"/>
            </w:pPr>
          </w:p>
          <w:p w14:paraId="6A593497" w14:textId="64AB628F" w:rsidR="00C75EB7" w:rsidRPr="00A55335" w:rsidRDefault="005373CF" w:rsidP="00C75EB7">
            <w:pPr>
              <w:pStyle w:val="TableFigNotes18"/>
            </w:pPr>
            <w:r w:rsidRPr="00A55335">
              <w:t>† Missing data from 1 study (6</w:t>
            </w:r>
            <w:r w:rsidR="00351DD7" w:rsidRPr="00A55335">
              <w:t>0</w:t>
            </w:r>
            <w:r w:rsidRPr="00A55335">
              <w:t xml:space="preserve"> participants)</w:t>
            </w:r>
            <w:r w:rsidR="00351DD7" w:rsidRPr="00A55335">
              <w:t xml:space="preserve">. </w:t>
            </w:r>
            <w:r w:rsidR="00411ACB" w:rsidRPr="00A55335">
              <w:t>Study</w:t>
            </w:r>
            <w:r w:rsidR="00351DD7" w:rsidRPr="00A55335">
              <w:t xml:space="preserve"> author</w:t>
            </w:r>
            <w:r w:rsidR="00411ACB" w:rsidRPr="00A55335">
              <w:t>s</w:t>
            </w:r>
            <w:r w:rsidR="00351DD7" w:rsidRPr="00A55335">
              <w:t xml:space="preserve"> suggest there is no difference between groups. </w:t>
            </w:r>
          </w:p>
          <w:p w14:paraId="1F460EE3" w14:textId="4944B958" w:rsidR="001C2C7B" w:rsidRPr="00A55335" w:rsidRDefault="001C2C7B" w:rsidP="00C75EB7">
            <w:pPr>
              <w:pStyle w:val="TableFigNotes0"/>
            </w:pPr>
            <w:r w:rsidRPr="00A55335">
              <w:rPr>
                <w:rStyle w:val="Strong"/>
              </w:rPr>
              <w:t>CI:</w:t>
            </w:r>
            <w:r w:rsidRPr="00A55335">
              <w:t xml:space="preserve"> confidence interval;</w:t>
            </w:r>
            <w:r w:rsidR="005479A8" w:rsidRPr="00A55335">
              <w:t xml:space="preserve"> </w:t>
            </w:r>
            <w:r w:rsidR="005479A8" w:rsidRPr="00A55335">
              <w:rPr>
                <w:rStyle w:val="Strong"/>
              </w:rPr>
              <w:t>DRSP:</w:t>
            </w:r>
            <w:r w:rsidR="005479A8" w:rsidRPr="00A55335">
              <w:t xml:space="preserve"> daily record of severity of problems; </w:t>
            </w:r>
            <w:r w:rsidR="005479A8" w:rsidRPr="00A55335">
              <w:rPr>
                <w:rStyle w:val="Strong"/>
              </w:rPr>
              <w:t>MD</w:t>
            </w:r>
            <w:r w:rsidR="005479A8" w:rsidRPr="00A55335">
              <w:t xml:space="preserve">: mean difference; </w:t>
            </w:r>
            <w:r w:rsidR="009C3489" w:rsidRPr="00A55335">
              <w:t xml:space="preserve">PMTS-VAS: </w:t>
            </w:r>
            <w:r w:rsidR="00411ACB" w:rsidRPr="00A55335">
              <w:t>premenstrual tension syndrome self-rating visual analogue scale</w:t>
            </w:r>
          </w:p>
        </w:tc>
      </w:tr>
      <w:tr w:rsidR="001C2C7B" w:rsidRPr="00A55335" w14:paraId="2F6ECEFA" w14:textId="77777777" w:rsidTr="006D722D">
        <w:trPr>
          <w:cantSplit/>
        </w:trPr>
        <w:tc>
          <w:tcPr>
            <w:tcW w:w="5000" w:type="pct"/>
            <w:gridSpan w:val="7"/>
            <w:tcBorders>
              <w:top w:val="single" w:sz="6" w:space="0" w:color="000000"/>
              <w:left w:val="nil"/>
              <w:bottom w:val="single" w:sz="6" w:space="0" w:color="000000"/>
              <w:right w:val="nil"/>
            </w:tcBorders>
            <w:vAlign w:val="center"/>
            <w:hideMark/>
          </w:tcPr>
          <w:p w14:paraId="240358B5" w14:textId="77777777" w:rsidR="001C2C7B" w:rsidRPr="00A55335" w:rsidRDefault="001C2C7B" w:rsidP="00C75EB7">
            <w:pPr>
              <w:pStyle w:val="TableFigNotes0"/>
            </w:pPr>
            <w:r w:rsidRPr="00A55335">
              <w:rPr>
                <w:rStyle w:val="Strong"/>
              </w:rPr>
              <w:t>GRADE Working Group grades of evidence</w:t>
            </w:r>
            <w:r w:rsidRPr="00A55335">
              <w:rPr>
                <w:rStyle w:val="Strong"/>
              </w:rPr>
              <w:b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73BCBF49" w14:textId="77777777" w:rsidR="003B436C" w:rsidRPr="00A55335" w:rsidRDefault="003B436C" w:rsidP="003B436C">
      <w:pPr>
        <w:pStyle w:val="Heading5a"/>
        <w:rPr>
          <w:lang w:val="en-AU"/>
        </w:rPr>
      </w:pPr>
      <w:r w:rsidRPr="00A55335">
        <w:rPr>
          <w:lang w:val="en-AU"/>
        </w:rPr>
        <w:t>Explanations</w:t>
      </w:r>
    </w:p>
    <w:p w14:paraId="4A57D8E7" w14:textId="6C873763" w:rsidR="003B436C" w:rsidRPr="00A55335" w:rsidRDefault="003B436C" w:rsidP="003B436C">
      <w:pPr>
        <w:pStyle w:val="Footnote"/>
      </w:pPr>
      <w:r w:rsidRPr="00A55335">
        <w:t>a. No serious risk of bias. Certainty of evidence not downgraded.</w:t>
      </w:r>
    </w:p>
    <w:p w14:paraId="2728F7C7" w14:textId="0753EC4D" w:rsidR="003B436C" w:rsidRPr="00A55335" w:rsidRDefault="003B436C" w:rsidP="003B436C">
      <w:pPr>
        <w:pStyle w:val="Footnote"/>
      </w:pPr>
      <w:r w:rsidRPr="00A55335">
        <w:t>b. Single study inconsistency not assessed. Certainty of evidence not downgraded.</w:t>
      </w:r>
    </w:p>
    <w:p w14:paraId="69B6494F" w14:textId="2BC47519" w:rsidR="003B436C" w:rsidRPr="00A55335" w:rsidRDefault="003B436C" w:rsidP="003B436C">
      <w:pPr>
        <w:pStyle w:val="Footnote"/>
      </w:pPr>
      <w:r w:rsidRPr="00A55335">
        <w:t>c. No serious indirectness. The available evidence is in people with premenstrual syndrome and is generalisable to the Australian population with some caveats. Applicability to people with dysmenorrhoea or endometriosis may be limited. Certainty of evidence not downgraded.</w:t>
      </w:r>
    </w:p>
    <w:p w14:paraId="2B150016" w14:textId="7ED3956F" w:rsidR="003B436C" w:rsidRPr="00A55335" w:rsidRDefault="003B436C" w:rsidP="003B436C">
      <w:pPr>
        <w:pStyle w:val="Footnote"/>
      </w:pPr>
      <w:r w:rsidRPr="00A55335">
        <w:t xml:space="preserve">d. </w:t>
      </w:r>
      <w:r w:rsidR="008E05B4">
        <w:t>Very s</w:t>
      </w:r>
      <w:r w:rsidRPr="00A55335">
        <w:t>erious imprecision. Single study with wide confidence intervals (upper and lower bounds overlap with both important and no important benefit. Certainty of evidence downgraded 2 levels.</w:t>
      </w:r>
    </w:p>
    <w:p w14:paraId="2E7A7A13" w14:textId="4EEF8220" w:rsidR="003B436C" w:rsidRPr="00A55335" w:rsidRDefault="003B436C" w:rsidP="006E1A66">
      <w:pPr>
        <w:pStyle w:val="Footnote"/>
      </w:pPr>
      <w:r w:rsidRPr="00A55335">
        <w:t xml:space="preserve">e. Publication bias not suspected. Certainty of evidence not </w:t>
      </w:r>
      <w:r w:rsidR="00F638D1" w:rsidRPr="009876E6">
        <w:t>downgraded.</w:t>
      </w:r>
    </w:p>
    <w:p w14:paraId="027417A1" w14:textId="5AC416AC" w:rsidR="00DD505D" w:rsidRPr="00A55335" w:rsidRDefault="00DD505D" w:rsidP="004D433B">
      <w:pPr>
        <w:pStyle w:val="Heading3"/>
      </w:pPr>
      <w:bookmarkStart w:id="471" w:name="_Toc183441410"/>
      <w:r w:rsidRPr="00A55335">
        <w:t>Forest plots</w:t>
      </w:r>
      <w:bookmarkEnd w:id="471"/>
    </w:p>
    <w:p w14:paraId="4829FC3A" w14:textId="5115A6A2" w:rsidR="00DD505D" w:rsidRPr="00A55335" w:rsidRDefault="00DD505D" w:rsidP="00DD505D">
      <w:pPr>
        <w:pStyle w:val="BodyText"/>
      </w:pPr>
      <w:r w:rsidRPr="00A55335">
        <w:t xml:space="preserve">Outcome results related to </w:t>
      </w:r>
      <w:r w:rsidR="006070ED" w:rsidRPr="00A55335">
        <w:t>Primary Comparison</w:t>
      </w:r>
      <w:r w:rsidR="006D722D" w:rsidRPr="00A55335">
        <w:t xml:space="preserve"> (homeopathy vs placebo) </w:t>
      </w:r>
      <w:r w:rsidRPr="00A55335">
        <w:t xml:space="preserve">in people with menstrual disorders are presented in </w:t>
      </w:r>
      <w:r w:rsidRPr="00A55335">
        <w:fldChar w:fldCharType="begin"/>
      </w:r>
      <w:r w:rsidRPr="00A55335">
        <w:instrText xml:space="preserve"> REF _Ref142569220 \h </w:instrText>
      </w:r>
      <w:r w:rsidRPr="00A55335">
        <w:fldChar w:fldCharType="separate"/>
      </w:r>
      <w:r w:rsidR="00814B04" w:rsidRPr="00A55335">
        <w:t xml:space="preserve">Figure </w:t>
      </w:r>
      <w:r w:rsidR="00814B04">
        <w:rPr>
          <w:noProof/>
        </w:rPr>
        <w:t>89</w:t>
      </w:r>
      <w:r w:rsidRPr="00A55335">
        <w:fldChar w:fldCharType="end"/>
      </w:r>
      <w:r w:rsidR="006D722D" w:rsidRPr="00A55335">
        <w:t xml:space="preserve"> (pain</w:t>
      </w:r>
      <w:r w:rsidR="001F39DB" w:rsidRPr="00A55335">
        <w:t xml:space="preserve"> intensity</w:t>
      </w:r>
      <w:r w:rsidR="006D722D" w:rsidRPr="00A55335">
        <w:t xml:space="preserve">), </w:t>
      </w:r>
      <w:r w:rsidRPr="00A55335">
        <w:fldChar w:fldCharType="begin"/>
      </w:r>
      <w:r w:rsidRPr="00A55335">
        <w:instrText xml:space="preserve"> REF _Ref142569305 \h </w:instrText>
      </w:r>
      <w:r w:rsidRPr="00A55335">
        <w:fldChar w:fldCharType="separate"/>
      </w:r>
      <w:r w:rsidR="00814B04" w:rsidRPr="00A55335">
        <w:t xml:space="preserve">Figure </w:t>
      </w:r>
      <w:r w:rsidR="00814B04">
        <w:rPr>
          <w:noProof/>
        </w:rPr>
        <w:t>90</w:t>
      </w:r>
      <w:r w:rsidRPr="00A55335">
        <w:fldChar w:fldCharType="end"/>
      </w:r>
      <w:r w:rsidR="006D722D" w:rsidRPr="00A55335">
        <w:t xml:space="preserve"> (symptom severity), </w:t>
      </w:r>
      <w:r w:rsidR="0019510C" w:rsidRPr="00A55335">
        <w:fldChar w:fldCharType="begin"/>
      </w:r>
      <w:r w:rsidR="0019510C" w:rsidRPr="00A55335">
        <w:instrText xml:space="preserve"> REF _Ref151388689 \h </w:instrText>
      </w:r>
      <w:r w:rsidR="0019510C" w:rsidRPr="00A55335">
        <w:fldChar w:fldCharType="separate"/>
      </w:r>
      <w:r w:rsidR="00814B04" w:rsidRPr="00A55335">
        <w:t xml:space="preserve">Figure </w:t>
      </w:r>
      <w:r w:rsidR="00814B04">
        <w:rPr>
          <w:noProof/>
        </w:rPr>
        <w:t>91</w:t>
      </w:r>
      <w:r w:rsidR="0019510C" w:rsidRPr="00A55335">
        <w:fldChar w:fldCharType="end"/>
      </w:r>
      <w:r w:rsidR="0019510C" w:rsidRPr="00A55335">
        <w:t xml:space="preserve"> (health-related quality of life) and </w:t>
      </w:r>
      <w:r w:rsidR="00CB2FF1" w:rsidRPr="00A55335">
        <w:fldChar w:fldCharType="begin"/>
      </w:r>
      <w:r w:rsidR="00CB2FF1" w:rsidRPr="00A55335">
        <w:instrText xml:space="preserve"> REF _Ref151388673 \h </w:instrText>
      </w:r>
      <w:r w:rsidR="00CB2FF1" w:rsidRPr="00A55335">
        <w:fldChar w:fldCharType="separate"/>
      </w:r>
      <w:r w:rsidR="00814B04" w:rsidRPr="00A55335">
        <w:t xml:space="preserve">Figure </w:t>
      </w:r>
      <w:r w:rsidR="00814B04">
        <w:rPr>
          <w:noProof/>
        </w:rPr>
        <w:t>92</w:t>
      </w:r>
      <w:r w:rsidR="00CB2FF1" w:rsidRPr="00A55335">
        <w:fldChar w:fldCharType="end"/>
      </w:r>
      <w:r w:rsidR="006D722D" w:rsidRPr="00A55335">
        <w:t xml:space="preserve"> (medication use)</w:t>
      </w:r>
      <w:r w:rsidRPr="00A55335">
        <w:t>.</w:t>
      </w:r>
    </w:p>
    <w:p w14:paraId="509F646A" w14:textId="36DF45CD" w:rsidR="00C75EB7" w:rsidRPr="00A55335" w:rsidRDefault="00C75EB7" w:rsidP="00DD505D">
      <w:pPr>
        <w:pStyle w:val="BodyText"/>
      </w:pPr>
      <w:r w:rsidRPr="00A55335">
        <w:t xml:space="preserve">Outcome results related to </w:t>
      </w:r>
      <w:r w:rsidR="006070ED" w:rsidRPr="00A55335">
        <w:t>Secondary Comparison</w:t>
      </w:r>
      <w:r w:rsidRPr="00A55335">
        <w:t xml:space="preserve"> (homeopathy vs </w:t>
      </w:r>
      <w:r w:rsidR="00EF7CB3" w:rsidRPr="00A55335">
        <w:t xml:space="preserve">inactive </w:t>
      </w:r>
      <w:r w:rsidRPr="00A55335">
        <w:t xml:space="preserve">control) in people with menstrual disorders are presented </w:t>
      </w:r>
      <w:r w:rsidR="00720787" w:rsidRPr="00A55335">
        <w:t xml:space="preserve">in </w:t>
      </w:r>
      <w:r w:rsidR="00720787" w:rsidRPr="00A55335">
        <w:fldChar w:fldCharType="begin"/>
      </w:r>
      <w:r w:rsidR="00720787" w:rsidRPr="00A55335">
        <w:instrText xml:space="preserve"> REF _Ref142932712 \h </w:instrText>
      </w:r>
      <w:r w:rsidR="00720787" w:rsidRPr="00A55335">
        <w:fldChar w:fldCharType="separate"/>
      </w:r>
      <w:r w:rsidR="00814B04" w:rsidRPr="00A55335">
        <w:t xml:space="preserve">Figure </w:t>
      </w:r>
      <w:r w:rsidR="00814B04">
        <w:rPr>
          <w:noProof/>
        </w:rPr>
        <w:t>93</w:t>
      </w:r>
      <w:r w:rsidR="00720787" w:rsidRPr="00A55335">
        <w:fldChar w:fldCharType="end"/>
      </w:r>
      <w:r w:rsidR="00720787" w:rsidRPr="00A55335">
        <w:t xml:space="preserve"> (</w:t>
      </w:r>
      <w:r w:rsidR="006E1A66" w:rsidRPr="00A55335">
        <w:t>symptom severity</w:t>
      </w:r>
      <w:r w:rsidR="00720787" w:rsidRPr="00A55335">
        <w:t>).</w:t>
      </w:r>
    </w:p>
    <w:p w14:paraId="0DBE0D9F" w14:textId="02C1CC21" w:rsidR="00DD505D" w:rsidRPr="00A55335" w:rsidRDefault="00DD505D" w:rsidP="00DD505D">
      <w:pPr>
        <w:pStyle w:val="Caption"/>
      </w:pPr>
      <w:bookmarkStart w:id="472" w:name="_Ref142569220"/>
      <w:bookmarkStart w:id="473" w:name="_Toc183520362"/>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89</w:t>
      </w:r>
      <w:r w:rsidRPr="00A55335">
        <w:fldChar w:fldCharType="end"/>
      </w:r>
      <w:bookmarkEnd w:id="472"/>
      <w:r w:rsidR="00CB2FF1" w:rsidRPr="00A55335">
        <w:tab/>
      </w:r>
      <w:r w:rsidRPr="00A55335">
        <w:t xml:space="preserve">Forest plot of </w:t>
      </w:r>
      <w:r w:rsidR="00FD6668" w:rsidRPr="00A55335">
        <w:t xml:space="preserve">primary </w:t>
      </w:r>
      <w:r w:rsidRPr="00A55335">
        <w:t xml:space="preserve">comparison: Homeopathy vs placebo: </w:t>
      </w:r>
      <w:r w:rsidR="001F39DB" w:rsidRPr="00A55335">
        <w:t xml:space="preserve">Menstrual </w:t>
      </w:r>
      <w:r w:rsidRPr="00A55335">
        <w:t xml:space="preserve">disorders – </w:t>
      </w:r>
      <w:r w:rsidR="009944F9" w:rsidRPr="009876E6">
        <w:t>pain intensity</w:t>
      </w:r>
      <w:bookmarkEnd w:id="473"/>
    </w:p>
    <w:p w14:paraId="159461D9" w14:textId="54E5C6B5" w:rsidR="006D722D" w:rsidRPr="00A55335" w:rsidRDefault="00367E82" w:rsidP="006D722D">
      <w:pPr>
        <w:pStyle w:val="Pic"/>
      </w:pPr>
      <w:r>
        <w:rPr>
          <w:noProof/>
        </w:rPr>
        <w:drawing>
          <wp:inline distT="0" distB="0" distL="0" distR="0" wp14:anchorId="652E7584" wp14:editId="0813C21E">
            <wp:extent cx="5904265" cy="3574473"/>
            <wp:effectExtent l="0" t="0" r="1270" b="6985"/>
            <wp:docPr id="9519530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21621" cy="3584980"/>
                    </a:xfrm>
                    <a:prstGeom prst="rect">
                      <a:avLst/>
                    </a:prstGeom>
                    <a:noFill/>
                    <a:ln>
                      <a:noFill/>
                    </a:ln>
                  </pic:spPr>
                </pic:pic>
              </a:graphicData>
            </a:graphic>
          </wp:inline>
        </w:drawing>
      </w:r>
    </w:p>
    <w:p w14:paraId="469CE155" w14:textId="77777777" w:rsidR="006D722D" w:rsidRPr="00A55335" w:rsidRDefault="006D722D" w:rsidP="006D722D">
      <w:pPr>
        <w:pStyle w:val="TableFigNotes18"/>
      </w:pPr>
    </w:p>
    <w:p w14:paraId="31BA4460" w14:textId="66D530A5" w:rsidR="00DD505D" w:rsidRPr="009876E6" w:rsidRDefault="00DD505D" w:rsidP="00DD505D">
      <w:pPr>
        <w:pStyle w:val="Caption"/>
      </w:pPr>
      <w:bookmarkStart w:id="474" w:name="_Ref142569305"/>
      <w:bookmarkStart w:id="475" w:name="_Toc183520363"/>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90</w:t>
      </w:r>
      <w:r w:rsidRPr="00A55335">
        <w:fldChar w:fldCharType="end"/>
      </w:r>
      <w:bookmarkEnd w:id="474"/>
      <w:r w:rsidR="00CB2FF1" w:rsidRPr="00A55335">
        <w:tab/>
      </w:r>
      <w:r w:rsidRPr="00A55335">
        <w:t xml:space="preserve">Forest plot of </w:t>
      </w:r>
      <w:r w:rsidR="00FD6668" w:rsidRPr="00A55335">
        <w:t xml:space="preserve">primary </w:t>
      </w:r>
      <w:r w:rsidRPr="00A55335">
        <w:t xml:space="preserve">comparison: Homeopathy vs placebo: </w:t>
      </w:r>
      <w:r w:rsidR="00DB3AFF" w:rsidRPr="00A55335">
        <w:t xml:space="preserve">Menstrual </w:t>
      </w:r>
      <w:r w:rsidRPr="00A55335">
        <w:t xml:space="preserve">disorders – </w:t>
      </w:r>
      <w:r w:rsidR="00D407FC" w:rsidRPr="009876E6">
        <w:t>symptom severity</w:t>
      </w:r>
      <w:bookmarkEnd w:id="475"/>
    </w:p>
    <w:p w14:paraId="74524C58" w14:textId="59BA37DA" w:rsidR="00DB3AFF" w:rsidRPr="00A55335" w:rsidRDefault="00083BF5" w:rsidP="00DB3AFF">
      <w:pPr>
        <w:pStyle w:val="Pic"/>
      </w:pPr>
      <w:r>
        <w:rPr>
          <w:noProof/>
        </w:rPr>
        <w:drawing>
          <wp:inline distT="0" distB="0" distL="0" distR="0" wp14:anchorId="17AAC35A" wp14:editId="69774227">
            <wp:extent cx="5860443" cy="4370120"/>
            <wp:effectExtent l="0" t="0" r="6985" b="0"/>
            <wp:docPr id="387680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72366" cy="4379011"/>
                    </a:xfrm>
                    <a:prstGeom prst="rect">
                      <a:avLst/>
                    </a:prstGeom>
                    <a:noFill/>
                    <a:ln>
                      <a:noFill/>
                    </a:ln>
                  </pic:spPr>
                </pic:pic>
              </a:graphicData>
            </a:graphic>
          </wp:inline>
        </w:drawing>
      </w:r>
    </w:p>
    <w:p w14:paraId="4E42F08F" w14:textId="77777777" w:rsidR="00035E4B" w:rsidRPr="00A55335" w:rsidRDefault="00035E4B" w:rsidP="00035E4B">
      <w:pPr>
        <w:pStyle w:val="TableFigNotes18"/>
      </w:pPr>
    </w:p>
    <w:p w14:paraId="6ED5D17E" w14:textId="0436948D" w:rsidR="00DD505D" w:rsidRPr="00A55335" w:rsidRDefault="00DD505D" w:rsidP="00DD505D">
      <w:pPr>
        <w:pStyle w:val="Caption"/>
      </w:pPr>
      <w:bookmarkStart w:id="476" w:name="_Ref151388689"/>
      <w:bookmarkStart w:id="477" w:name="_Toc183520364"/>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91</w:t>
      </w:r>
      <w:r w:rsidRPr="00A55335">
        <w:fldChar w:fldCharType="end"/>
      </w:r>
      <w:bookmarkEnd w:id="476"/>
      <w:r w:rsidR="00CB2FF1" w:rsidRPr="00A55335">
        <w:tab/>
      </w:r>
      <w:r w:rsidR="00E63715" w:rsidRPr="009876E6">
        <w:t xml:space="preserve">Forest plot of </w:t>
      </w:r>
      <w:r w:rsidR="00FD6668" w:rsidRPr="009876E6">
        <w:t xml:space="preserve">primary </w:t>
      </w:r>
      <w:r w:rsidR="00E63715" w:rsidRPr="009876E6">
        <w:t xml:space="preserve">comparison: </w:t>
      </w:r>
      <w:r w:rsidRPr="00A55335">
        <w:t xml:space="preserve">Homeopathy vs placebo: </w:t>
      </w:r>
      <w:r w:rsidR="00035E4B" w:rsidRPr="00A55335">
        <w:t>M</w:t>
      </w:r>
      <w:r w:rsidRPr="00A55335">
        <w:t>enstrual disorders – health-related quality of life</w:t>
      </w:r>
      <w:bookmarkEnd w:id="477"/>
    </w:p>
    <w:p w14:paraId="1BD2BEA5" w14:textId="3EB5057E" w:rsidR="00DD505D" w:rsidRPr="00A55335" w:rsidRDefault="00B30A31" w:rsidP="00AC0A80">
      <w:pPr>
        <w:pStyle w:val="Pic"/>
      </w:pPr>
      <w:r>
        <w:rPr>
          <w:noProof/>
        </w:rPr>
        <w:drawing>
          <wp:inline distT="0" distB="0" distL="0" distR="0" wp14:anchorId="278512E9" wp14:editId="5D1F1C6B">
            <wp:extent cx="5714692" cy="4969565"/>
            <wp:effectExtent l="0" t="0" r="635" b="2540"/>
            <wp:docPr id="8441156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9427" cy="4973683"/>
                    </a:xfrm>
                    <a:prstGeom prst="rect">
                      <a:avLst/>
                    </a:prstGeom>
                    <a:noFill/>
                    <a:ln>
                      <a:noFill/>
                    </a:ln>
                  </pic:spPr>
                </pic:pic>
              </a:graphicData>
            </a:graphic>
          </wp:inline>
        </w:drawing>
      </w:r>
    </w:p>
    <w:p w14:paraId="338358B0" w14:textId="77777777" w:rsidR="003F32D2" w:rsidRPr="00A55335" w:rsidRDefault="003F32D2" w:rsidP="003F32D2">
      <w:pPr>
        <w:pStyle w:val="TableFigNotes18"/>
      </w:pPr>
    </w:p>
    <w:p w14:paraId="3EEE4BA2" w14:textId="1CDCE2C7" w:rsidR="00035E4B" w:rsidRPr="00A55335" w:rsidRDefault="00035E4B" w:rsidP="00035E4B">
      <w:pPr>
        <w:pStyle w:val="Caption"/>
      </w:pPr>
      <w:bookmarkStart w:id="478" w:name="_Ref151388673"/>
      <w:bookmarkStart w:id="479" w:name="_Toc183520365"/>
      <w:r w:rsidRPr="00A55335">
        <w:lastRenderedPageBreak/>
        <w:t xml:space="preserve">Figure </w:t>
      </w:r>
      <w:r w:rsidRPr="00A55335">
        <w:fldChar w:fldCharType="begin"/>
      </w:r>
      <w:r w:rsidRPr="00A55335">
        <w:instrText xml:space="preserve"> SEQ Figure \* ARABIC </w:instrText>
      </w:r>
      <w:r w:rsidRPr="00A55335">
        <w:fldChar w:fldCharType="separate"/>
      </w:r>
      <w:r w:rsidR="00814B04">
        <w:rPr>
          <w:noProof/>
        </w:rPr>
        <w:t>92</w:t>
      </w:r>
      <w:r w:rsidRPr="00A55335">
        <w:fldChar w:fldCharType="end"/>
      </w:r>
      <w:bookmarkEnd w:id="478"/>
      <w:r w:rsidRPr="00A55335">
        <w:tab/>
        <w:t xml:space="preserve">Forest plot of </w:t>
      </w:r>
      <w:r w:rsidR="00FD6668" w:rsidRPr="00A55335">
        <w:t xml:space="preserve">primary </w:t>
      </w:r>
      <w:r w:rsidRPr="00A55335">
        <w:t xml:space="preserve">comparison: Homeopathy vs placebo: Menstrual disorders – </w:t>
      </w:r>
      <w:r w:rsidR="006D43D1" w:rsidRPr="009876E6">
        <w:t>medication use</w:t>
      </w:r>
      <w:bookmarkEnd w:id="479"/>
    </w:p>
    <w:p w14:paraId="56D85B92" w14:textId="786BE9EB" w:rsidR="00035E4B" w:rsidRPr="00A55335" w:rsidRDefault="00CF3AE1" w:rsidP="00035E4B">
      <w:pPr>
        <w:pStyle w:val="Pic"/>
      </w:pPr>
      <w:r w:rsidRPr="00A55335">
        <w:rPr>
          <w:noProof/>
        </w:rPr>
        <w:drawing>
          <wp:inline distT="0" distB="0" distL="0" distR="0" wp14:anchorId="2B906862" wp14:editId="3380F052">
            <wp:extent cx="5853605" cy="3190875"/>
            <wp:effectExtent l="0" t="0" r="0" b="0"/>
            <wp:docPr id="13205340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59798" cy="3194251"/>
                    </a:xfrm>
                    <a:prstGeom prst="rect">
                      <a:avLst/>
                    </a:prstGeom>
                    <a:noFill/>
                    <a:ln>
                      <a:noFill/>
                    </a:ln>
                  </pic:spPr>
                </pic:pic>
              </a:graphicData>
            </a:graphic>
          </wp:inline>
        </w:drawing>
      </w:r>
    </w:p>
    <w:p w14:paraId="2AB0593C" w14:textId="77777777" w:rsidR="003F32D2" w:rsidRPr="00A55335" w:rsidRDefault="003F32D2" w:rsidP="003F32D2">
      <w:pPr>
        <w:pStyle w:val="TableFigNotes18"/>
      </w:pPr>
    </w:p>
    <w:p w14:paraId="7B969B63" w14:textId="5DAC4F1F" w:rsidR="00DD505D" w:rsidRPr="00A55335" w:rsidRDefault="00DD505D" w:rsidP="00DD505D">
      <w:pPr>
        <w:pStyle w:val="Caption"/>
      </w:pPr>
      <w:bookmarkStart w:id="480" w:name="_Ref142932712"/>
      <w:bookmarkStart w:id="481" w:name="_Toc183520366"/>
      <w:r w:rsidRPr="00A55335">
        <w:t xml:space="preserve">Figure </w:t>
      </w:r>
      <w:r w:rsidRPr="00A55335">
        <w:fldChar w:fldCharType="begin"/>
      </w:r>
      <w:r w:rsidRPr="00A55335">
        <w:instrText xml:space="preserve"> SEQ Figure \* ARABIC </w:instrText>
      </w:r>
      <w:r w:rsidRPr="00A55335">
        <w:fldChar w:fldCharType="separate"/>
      </w:r>
      <w:r w:rsidR="00814B04">
        <w:rPr>
          <w:noProof/>
        </w:rPr>
        <w:t>93</w:t>
      </w:r>
      <w:r w:rsidRPr="00A55335">
        <w:fldChar w:fldCharType="end"/>
      </w:r>
      <w:bookmarkEnd w:id="480"/>
      <w:r w:rsidR="006E4B35" w:rsidRPr="00A55335">
        <w:tab/>
      </w:r>
      <w:r w:rsidRPr="00A55335">
        <w:t xml:space="preserve">Forest plot of </w:t>
      </w:r>
      <w:r w:rsidR="00FD6668" w:rsidRPr="00A55335">
        <w:t xml:space="preserve">secondary </w:t>
      </w:r>
      <w:r w:rsidRPr="00A55335">
        <w:t xml:space="preserve">comparison: Homeopathy vs </w:t>
      </w:r>
      <w:r w:rsidR="00A90C4B" w:rsidRPr="00A55335">
        <w:t xml:space="preserve">inactive </w:t>
      </w:r>
      <w:r w:rsidRPr="00A55335">
        <w:t xml:space="preserve">control (no intervention): </w:t>
      </w:r>
      <w:r w:rsidR="006E1A66" w:rsidRPr="00A55335">
        <w:t xml:space="preserve">Menstrual </w:t>
      </w:r>
      <w:r w:rsidRPr="00A55335">
        <w:t xml:space="preserve">disorders – </w:t>
      </w:r>
      <w:r w:rsidR="006E1A66" w:rsidRPr="00A55335">
        <w:t>symptom severity</w:t>
      </w:r>
      <w:bookmarkEnd w:id="481"/>
    </w:p>
    <w:p w14:paraId="5BD41D00" w14:textId="2EE2C47B" w:rsidR="00DD505D" w:rsidRPr="00A55335" w:rsidRDefault="007B7A57" w:rsidP="00AC0A80">
      <w:pPr>
        <w:pStyle w:val="Pic"/>
      </w:pPr>
      <w:r w:rsidRPr="00A55335">
        <w:rPr>
          <w:noProof/>
        </w:rPr>
        <w:drawing>
          <wp:inline distT="0" distB="0" distL="0" distR="0" wp14:anchorId="377F9C44" wp14:editId="3C60EE05">
            <wp:extent cx="6071493" cy="1615044"/>
            <wp:effectExtent l="0" t="0" r="5715" b="4445"/>
            <wp:docPr id="590602246" name="Picture 59060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97542" cy="1621973"/>
                    </a:xfrm>
                    <a:prstGeom prst="rect">
                      <a:avLst/>
                    </a:prstGeom>
                    <a:noFill/>
                    <a:ln>
                      <a:noFill/>
                    </a:ln>
                  </pic:spPr>
                </pic:pic>
              </a:graphicData>
            </a:graphic>
          </wp:inline>
        </w:drawing>
      </w:r>
    </w:p>
    <w:p w14:paraId="313F659B" w14:textId="77777777" w:rsidR="008732E7" w:rsidRPr="00A55335" w:rsidRDefault="008732E7" w:rsidP="008732E7">
      <w:pPr>
        <w:pStyle w:val="TableFigNotes18"/>
      </w:pPr>
    </w:p>
    <w:p w14:paraId="02872CA3" w14:textId="2CDBE966" w:rsidR="00130615" w:rsidRPr="00A55335" w:rsidRDefault="00130615" w:rsidP="00BD1A50">
      <w:pPr>
        <w:pStyle w:val="BodyText"/>
      </w:pPr>
      <w:r w:rsidRPr="00A55335">
        <w:br w:type="page"/>
      </w:r>
    </w:p>
    <w:p w14:paraId="6A7DA0BA" w14:textId="77777777" w:rsidR="00DD505D" w:rsidRPr="00A55335" w:rsidRDefault="00DD505D" w:rsidP="00C373A2">
      <w:pPr>
        <w:pStyle w:val="Heading2"/>
      </w:pPr>
      <w:bookmarkStart w:id="482" w:name="_Toc183441411"/>
      <w:r w:rsidRPr="00A55335">
        <w:lastRenderedPageBreak/>
        <w:t>Fatigue conditions</w:t>
      </w:r>
      <w:bookmarkEnd w:id="482"/>
    </w:p>
    <w:p w14:paraId="708BF7AD" w14:textId="77777777" w:rsidR="00DD505D" w:rsidRPr="00A55335" w:rsidRDefault="00DD505D" w:rsidP="004D433B">
      <w:pPr>
        <w:pStyle w:val="Heading3"/>
      </w:pPr>
      <w:bookmarkStart w:id="483" w:name="_Toc183441412"/>
      <w:r w:rsidRPr="00A55335">
        <w:t>Description of the condition</w:t>
      </w:r>
      <w:bookmarkEnd w:id="483"/>
    </w:p>
    <w:p w14:paraId="335F14FA" w14:textId="74EB4E76" w:rsidR="00391995" w:rsidRPr="00A55335" w:rsidRDefault="00DD505D" w:rsidP="00DD505D">
      <w:pPr>
        <w:pStyle w:val="BodyText"/>
      </w:pPr>
      <w:r w:rsidRPr="00A55335">
        <w:t xml:space="preserve">Fatigue conditions encompass a range of diagnoses whose symptoms present as recurrent, persistent fatigue that limit a person’s ability to carry out ordinary daily activities and impair cognitive function </w:t>
      </w:r>
      <w:r w:rsidRPr="00A55335">
        <w:fldChar w:fldCharType="begin"/>
      </w:r>
      <w:r w:rsidR="00EC2769">
        <w:instrText xml:space="preserve"> ADDIN EN.CITE &lt;EndNote&gt;&lt;Cite&gt;&lt;Author&gt;Prins&lt;/Author&gt;&lt;Year&gt;2006&lt;/Year&gt;&lt;RecNum&gt;496&lt;/RecNum&gt;&lt;DisplayText&gt;(340)&lt;/DisplayText&gt;&lt;record&gt;&lt;rec-number&gt;496&lt;/rec-number&gt;&lt;foreign-keys&gt;&lt;key app="EN" db-id="t5prptatr9sp0we5exbxt9zz20fwp55tdza9" timestamp="1700774036"&gt;496&lt;/key&gt;&lt;/foreign-keys&gt;&lt;ref-type name="Journal Article"&gt;17&lt;/ref-type&gt;&lt;contributors&gt;&lt;authors&gt;&lt;author&gt;Prins, J. B.&lt;/author&gt;&lt;author&gt;van der Meer, J. W.&lt;/author&gt;&lt;author&gt;Bleijenberg, G.&lt;/author&gt;&lt;/authors&gt;&lt;/contributors&gt;&lt;auth-address&gt;Department of Medical Psychology, Radboud University Nijmegen Medical Centre, Nijmegen, Netherlands. j.prins@mps.umcn.nl&lt;/auth-address&gt;&lt;titles&gt;&lt;title&gt;Chronic fatigue syndrome&lt;/title&gt;&lt;secondary-title&gt;Lancet&lt;/secondary-title&gt;&lt;/titles&gt;&lt;periodical&gt;&lt;full-title&gt;Lancet&lt;/full-title&gt;&lt;/periodical&gt;&lt;pages&gt;346-55&lt;/pages&gt;&lt;volume&gt;367&lt;/volume&gt;&lt;number&gt;9507&lt;/number&gt;&lt;keywords&gt;&lt;keyword&gt;Adult&lt;/keyword&gt;&lt;keyword&gt;*Fatigue Syndrome, Chronic/etiology/physiopathology/therapy&lt;/keyword&gt;&lt;keyword&gt;Female&lt;/keyword&gt;&lt;keyword&gt;Humans&lt;/keyword&gt;&lt;keyword&gt;Male&lt;/keyword&gt;&lt;keyword&gt;Models, Biological&lt;/keyword&gt;&lt;keyword&gt;Prevalence&lt;/keyword&gt;&lt;keyword&gt;Psychotherapy&lt;/keyword&gt;&lt;keyword&gt;Randomized Controlled Trials as Topic&lt;/keyword&gt;&lt;/keywords&gt;&lt;dates&gt;&lt;year&gt;2006&lt;/year&gt;&lt;pub-dates&gt;&lt;date&gt;Jan 28&lt;/date&gt;&lt;/pub-dates&gt;&lt;/dates&gt;&lt;publisher&gt;Elsevier&lt;/publisher&gt;&lt;isbn&gt;1474-547X (Electronic)&amp;#xD;0140-6736 (Linking)&lt;/isbn&gt;&lt;accession-num&gt;16443043&lt;/accession-num&gt;&lt;urls&gt;&lt;related-urls&gt;&lt;url&gt;https://www.ncbi.nlm.nih.gov/pubmed/16443043&lt;/url&gt;&lt;/related-urls&gt;&lt;/urls&gt;&lt;electronic-resource-num&gt;10.1016/S0140-6736(06)68073-2&lt;/electronic-resource-num&gt;&lt;remote-database-name&gt;Medline&lt;/remote-database-name&gt;&lt;remote-database-provider&gt;NLM&lt;/remote-database-provider&gt;&lt;access-date&gt;2023/05/31&lt;/access-date&gt;&lt;/record&gt;&lt;/Cite&gt;&lt;/EndNote&gt;</w:instrText>
      </w:r>
      <w:r w:rsidRPr="00A55335">
        <w:fldChar w:fldCharType="separate"/>
      </w:r>
      <w:r w:rsidR="00EC2769">
        <w:rPr>
          <w:noProof/>
        </w:rPr>
        <w:t>(</w:t>
      </w:r>
      <w:hyperlink w:anchor="_ENREF_340" w:tooltip="Prins, 2006 #496" w:history="1">
        <w:r w:rsidR="00EC2769">
          <w:rPr>
            <w:noProof/>
          </w:rPr>
          <w:t>340</w:t>
        </w:r>
      </w:hyperlink>
      <w:r w:rsidR="00EC2769">
        <w:rPr>
          <w:noProof/>
        </w:rPr>
        <w:t>)</w:t>
      </w:r>
      <w:r w:rsidRPr="00A55335">
        <w:fldChar w:fldCharType="end"/>
      </w:r>
      <w:r w:rsidRPr="00A55335">
        <w:t xml:space="preserve">. Fatigue conditions include post-viral fatigue and </w:t>
      </w:r>
      <w:proofErr w:type="spellStart"/>
      <w:r w:rsidRPr="00A55335">
        <w:t>myalgic</w:t>
      </w:r>
      <w:proofErr w:type="spellEnd"/>
      <w:r w:rsidRPr="00A55335">
        <w:t xml:space="preserve"> encephalomyelitis/chronic fatigue syndrome (ME/CFS), among others. Post-viral fatigue refers to symptoms of fatigue which persist for an extended </w:t>
      </w:r>
      <w:proofErr w:type="gramStart"/>
      <w:r w:rsidRPr="00A55335">
        <w:t>period of time</w:t>
      </w:r>
      <w:proofErr w:type="gramEnd"/>
      <w:r w:rsidRPr="00A55335">
        <w:t xml:space="preserve"> following a viral infection. Viruses associated with post-viral fatigue include Epstein-Barr virus (which causes Glandular fever), human herpes virus 6, and SARS-CoV-2 (COVID-19)</w:t>
      </w:r>
      <w:r w:rsidR="009C353F" w:rsidRPr="00A55335">
        <w:t xml:space="preserve"> </w:t>
      </w:r>
      <w:r w:rsidR="00030D09" w:rsidRPr="00A55335">
        <w:fldChar w:fldCharType="begin">
          <w:fldData xml:space="preserve">PEVuZE5vdGU+PENpdGU+PEF1dGhvcj5Gb3dsZXItRGF2aXM8L0F1dGhvcj48WWVhcj4yMDIxPC9Z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</w:fldData>
        </w:fldChar>
      </w:r>
      <w:r w:rsidR="00EC2769">
        <w:instrText xml:space="preserve"> ADDIN EN.CITE </w:instrText>
      </w:r>
      <w:r w:rsidR="00EC2769">
        <w:fldChar w:fldCharType="begin">
          <w:fldData xml:space="preserve">PEVuZE5vdGU+PENpdGU+PEF1dGhvcj5Gb3dsZXItRGF2aXM8L0F1dGhvcj48WWVhcj4yMDIxPC9Z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</w:fldData>
        </w:fldChar>
      </w:r>
      <w:r w:rsidR="00EC2769">
        <w:instrText xml:space="preserve"> ADDIN EN.CITE.DATA </w:instrText>
      </w:r>
      <w:r w:rsidR="00EC2769">
        <w:fldChar w:fldCharType="end"/>
      </w:r>
      <w:r w:rsidR="00030D09" w:rsidRPr="00A55335">
        <w:fldChar w:fldCharType="separate"/>
      </w:r>
      <w:r w:rsidR="00EC2769">
        <w:rPr>
          <w:noProof/>
        </w:rPr>
        <w:t>(</w:t>
      </w:r>
      <w:hyperlink w:anchor="_ENREF_341" w:tooltip="Fowler-Davis, 2021 #652" w:history="1">
        <w:r w:rsidR="00EC2769">
          <w:rPr>
            <w:noProof/>
          </w:rPr>
          <w:t>341</w:t>
        </w:r>
      </w:hyperlink>
      <w:r w:rsidR="00EC2769">
        <w:rPr>
          <w:noProof/>
        </w:rPr>
        <w:t xml:space="preserve">, </w:t>
      </w:r>
      <w:hyperlink w:anchor="_ENREF_342" w:tooltip="Campos, 2022 #673" w:history="1">
        <w:r w:rsidR="00EC2769">
          <w:rPr>
            <w:noProof/>
          </w:rPr>
          <w:t>342</w:t>
        </w:r>
      </w:hyperlink>
      <w:r w:rsidR="00EC2769">
        <w:rPr>
          <w:noProof/>
        </w:rPr>
        <w:t>)</w:t>
      </w:r>
      <w:r w:rsidR="00030D09" w:rsidRPr="00A55335">
        <w:fldChar w:fldCharType="end"/>
      </w:r>
      <w:r w:rsidRPr="00A55335">
        <w:t>.</w:t>
      </w:r>
      <w:r w:rsidR="00391995" w:rsidRPr="00A55335">
        <w:t xml:space="preserve"> </w:t>
      </w:r>
    </w:p>
    <w:p w14:paraId="3C9AE14B" w14:textId="77B9950E" w:rsidR="00DD505D" w:rsidRPr="00A55335" w:rsidRDefault="00DD505D" w:rsidP="00DD505D">
      <w:pPr>
        <w:pStyle w:val="BodyText"/>
      </w:pPr>
      <w:r w:rsidRPr="00A55335">
        <w:t xml:space="preserve">ME/CFS is a complex condition, characterised by recurrent fatigue and post-exertional malaise that does not go away with rest </w:t>
      </w:r>
      <w:r w:rsidRPr="00A55335">
        <w:fldChar w:fldCharType="begin"/>
      </w:r>
      <w:r w:rsidR="00EC2769">
        <w:instrText xml:space="preserve"> ADDIN EN.CITE &lt;EndNote&gt;&lt;Cite&gt;&lt;Author&gt;Orji&lt;/Author&gt;&lt;Year&gt;2022&lt;/Year&gt;&lt;RecNum&gt;722&lt;/RecNum&gt;&lt;DisplayText&gt;(343)&lt;/DisplayText&gt;&lt;record&gt;&lt;rec-number&gt;722&lt;/rec-number&gt;&lt;foreign-keys&gt;&lt;key app="EN" db-id="t5prptatr9sp0we5exbxt9zz20fwp55tdza9" timestamp="1702513281"&gt;722&lt;/key&gt;&lt;/foreign-keys&gt;&lt;ref-type name="Journal Article"&gt;17&lt;/ref-type&gt;&lt;contributors&gt;&lt;authors&gt;&lt;author&gt;Orji, Nneka&lt;/author&gt;&lt;author&gt;Campbell, Julie A.&lt;/author&gt;&lt;author&gt;Wills, Karen&lt;/author&gt;&lt;author&gt;Hensher, Martin&lt;/author&gt;&lt;author&gt;Palmer, Andrew J.&lt;/author&gt;&lt;author&gt;Rogerson, Melissa&lt;/author&gt;&lt;author&gt;Kelly, Ryan&lt;/author&gt;&lt;author&gt;de Graaff, Barbara&lt;/author&gt;&lt;/authors&gt;&lt;/contributors&gt;&lt;titles&gt;&lt;title&gt;Prevalence of myalgic encephalomyelitis/chronic fatigue syndrome (ME/CFS) in Australian primary care patients: only part of the story?&lt;/title&gt;&lt;secondary-title&gt;BMC Public Health&lt;/secondary-title&gt;&lt;/titles&gt;&lt;periodical&gt;&lt;full-title&gt;BMC Public Health&lt;/full-title&gt;&lt;/periodical&gt;&lt;pages&gt;1516&lt;/pages&gt;&lt;volume&gt;22&lt;/volume&gt;&lt;number&gt;1&lt;/number&gt;&lt;dates&gt;&lt;year&gt;2022&lt;/year&gt;&lt;pub-dates&gt;&lt;date&gt;2022/08/09&lt;/date&gt;&lt;/pub-dates&gt;&lt;/dates&gt;&lt;isbn&gt;1471-2458&lt;/isbn&gt;&lt;urls&gt;&lt;related-urls&gt;&lt;url&gt;https://doi.org/10.1186/s12889-022-13929-9&lt;/url&gt;&lt;/related-urls&gt;&lt;/urls&gt;&lt;electronic-resource-num&gt;10.1186/s12889-022-13929-9&lt;/electronic-resource-num&gt;&lt;/record&gt;&lt;/Cite&gt;&lt;/EndNote&gt;</w:instrText>
      </w:r>
      <w:r w:rsidRPr="00A55335">
        <w:fldChar w:fldCharType="separate"/>
      </w:r>
      <w:r w:rsidR="00EC2769">
        <w:rPr>
          <w:noProof/>
        </w:rPr>
        <w:t>(</w:t>
      </w:r>
      <w:hyperlink w:anchor="_ENREF_343" w:tooltip="Orji, 2022 #722" w:history="1">
        <w:r w:rsidR="00EC2769">
          <w:rPr>
            <w:noProof/>
          </w:rPr>
          <w:t>343</w:t>
        </w:r>
      </w:hyperlink>
      <w:r w:rsidR="00EC2769">
        <w:rPr>
          <w:noProof/>
        </w:rPr>
        <w:t>)</w:t>
      </w:r>
      <w:r w:rsidRPr="00A55335">
        <w:fldChar w:fldCharType="end"/>
      </w:r>
      <w:r w:rsidRPr="00A55335">
        <w:t xml:space="preserve">. ME/CFS involves dysregulation of the central nervous system, immune system, cellular energy metabolism and ion transport </w:t>
      </w:r>
      <w:r w:rsidRPr="00A55335">
        <w:fldChar w:fldCharType="begin"/>
      </w:r>
      <w:r w:rsidR="00EC2769">
        <w:instrText xml:space="preserve"> ADDIN EN.CITE &lt;EndNote&gt;&lt;Cite&gt;&lt;Author&gt;Carruthers&lt;/Author&gt;&lt;Year&gt;2011&lt;/Year&gt;&lt;RecNum&gt;607&lt;/RecNum&gt;&lt;DisplayText&gt;(344)&lt;/DisplayText&gt;&lt;record&gt;&lt;rec-number&gt;607&lt;/rec-number&gt;&lt;foreign-keys&gt;&lt;key app="EN" db-id="t5prptatr9sp0we5exbxt9zz20fwp55tdza9" timestamp="1700802231"&gt;607&lt;/key&gt;&lt;/foreign-keys&gt;&lt;ref-type name="Journal Article"&gt;17&lt;/ref-type&gt;&lt;contributors&gt;&lt;authors&gt;&lt;author&gt;Carruthers, B. M.&lt;/author&gt;&lt;author&gt;van de Sande, M. I.&lt;/author&gt;&lt;author&gt;De Meirleir, K. L.&lt;/author&gt;&lt;author&gt;Klimas, N. G.&lt;/author&gt;&lt;author&gt;Broderick, G.&lt;/author&gt;&lt;author&gt;Mitchell, T.&lt;/author&gt;&lt;author&gt;Staines, D.&lt;/author&gt;&lt;author&gt;Powles, A. C. P.&lt;/author&gt;&lt;author&gt;Speight, N.&lt;/author&gt;&lt;author&gt;Vallings, R.&lt;/author&gt;&lt;author&gt;Bateman, L.&lt;/author&gt;&lt;author&gt;Baumgarten-Austrheim, B.&lt;/author&gt;&lt;author&gt;Bell, D. S.&lt;/author&gt;&lt;author&gt;Carlo-Stella, N.&lt;/author&gt;&lt;author&gt;Chia, J.&lt;/author&gt;&lt;author&gt;Darragh, A.&lt;/author&gt;&lt;author&gt;Jo, D.&lt;/author&gt;&lt;author&gt;Lewis, D.&lt;/author&gt;&lt;author&gt;Light, A. R.&lt;/author&gt;&lt;author&gt;Marshall-Gradisbik, S.&lt;/author&gt;&lt;author&gt;Mena, I.&lt;/author&gt;&lt;author&gt;Mikovits, J. A.&lt;/author&gt;&lt;author&gt;Miwa, K.&lt;/author&gt;&lt;author&gt;Murovska, M.&lt;/author&gt;&lt;author&gt;Pall, M. L.&lt;/author&gt;&lt;author&gt;Stevens, S.&lt;/author&gt;&lt;/authors&gt;&lt;/contributors&gt;&lt;titles&gt;&lt;title&gt;Myalgic encephalomyelitis: International Consensus Criteria&lt;/title&gt;&lt;secondary-title&gt;Journal of Internal Medicine&lt;/secondary-title&gt;&lt;/titles&gt;&lt;periodical&gt;&lt;full-title&gt;Journal of Internal Medicine&lt;/full-title&gt;&lt;/periodical&gt;&lt;pages&gt;327-338&lt;/pages&gt;&lt;volume&gt;270&lt;/volume&gt;&lt;number&gt;4&lt;/number&gt;&lt;dates&gt;&lt;year&gt;2011&lt;/year&gt;&lt;/dates&gt;&lt;isbn&gt;0954-6820&lt;/isbn&gt;&lt;urls&gt;&lt;related-urls&gt;&lt;url&gt;https://onlinelibrary.wiley.com/doi/abs/10.1111/j.1365-2796.2011.02428.x&lt;/url&gt;&lt;/related-urls&gt;&lt;/urls&gt;&lt;electronic-resource-num&gt;https://doi.org/10.1111/j.1365-2796.2011.02428.x&lt;/electronic-resource-num&gt;&lt;/record&gt;&lt;/Cite&gt;&lt;/EndNote&gt;</w:instrText>
      </w:r>
      <w:r w:rsidRPr="00A55335">
        <w:fldChar w:fldCharType="separate"/>
      </w:r>
      <w:r w:rsidR="00EC2769">
        <w:rPr>
          <w:noProof/>
        </w:rPr>
        <w:t>(</w:t>
      </w:r>
      <w:hyperlink w:anchor="_ENREF_344" w:tooltip="Carruthers, 2011 #607" w:history="1">
        <w:r w:rsidR="00EC2769">
          <w:rPr>
            <w:noProof/>
          </w:rPr>
          <w:t>344</w:t>
        </w:r>
      </w:hyperlink>
      <w:r w:rsidR="00EC2769">
        <w:rPr>
          <w:noProof/>
        </w:rPr>
        <w:t>)</w:t>
      </w:r>
      <w:r w:rsidRPr="00A55335">
        <w:fldChar w:fldCharType="end"/>
      </w:r>
      <w:r w:rsidRPr="00A55335">
        <w:t xml:space="preserve">. Diagnostic criteria for chronic fatigue vary, leading to a wide range of prevalence estimates depending on the criterion used. Australian studies estimate that there are over 20,000 people in Australia living with ME/CFS </w:t>
      </w:r>
      <w:r w:rsidRPr="00A55335">
        <w:fldChar w:fldCharType="begin"/>
      </w:r>
      <w:r w:rsidR="00EC2769">
        <w:instrText xml:space="preserve"> ADDIN EN.CITE &lt;EndNote&gt;&lt;Cite&gt;&lt;Author&gt;Orji&lt;/Author&gt;&lt;Year&gt;2022&lt;/Year&gt;&lt;RecNum&gt;722&lt;/RecNum&gt;&lt;DisplayText&gt;(343)&lt;/DisplayText&gt;&lt;record&gt;&lt;rec-number&gt;722&lt;/rec-number&gt;&lt;foreign-keys&gt;&lt;key app="EN" db-id="t5prptatr9sp0we5exbxt9zz20fwp55tdza9" timestamp="1702513281"&gt;722&lt;/key&gt;&lt;/foreign-keys&gt;&lt;ref-type name="Journal Article"&gt;17&lt;/ref-type&gt;&lt;contributors&gt;&lt;authors&gt;&lt;author&gt;Orji, Nneka&lt;/author&gt;&lt;author&gt;Campbell, Julie A.&lt;/author&gt;&lt;author&gt;Wills, Karen&lt;/author&gt;&lt;author&gt;Hensher, Martin&lt;/author&gt;&lt;author&gt;Palmer, Andrew J.&lt;/author&gt;&lt;author&gt;Rogerson, Melissa&lt;/author&gt;&lt;author&gt;Kelly, Ryan&lt;/author&gt;&lt;author&gt;de Graaff, Barbara&lt;/author&gt;&lt;/authors&gt;&lt;/contributors&gt;&lt;titles&gt;&lt;title&gt;Prevalence of myalgic encephalomyelitis/chronic fatigue syndrome (ME/CFS) in Australian primary care patients: only part of the story?&lt;/title&gt;&lt;secondary-title&gt;BMC Public Health&lt;/secondary-title&gt;&lt;/titles&gt;&lt;periodical&gt;&lt;full-title&gt;BMC Public Health&lt;/full-title&gt;&lt;/periodical&gt;&lt;pages&gt;1516&lt;/pages&gt;&lt;volume&gt;22&lt;/volume&gt;&lt;number&gt;1&lt;/number&gt;&lt;dates&gt;&lt;year&gt;2022&lt;/year&gt;&lt;pub-dates&gt;&lt;date&gt;2022/08/09&lt;/date&gt;&lt;/pub-dates&gt;&lt;/dates&gt;&lt;isbn&gt;1471-2458&lt;/isbn&gt;&lt;urls&gt;&lt;related-urls&gt;&lt;url&gt;https://doi.org/10.1186/s12889-022-13929-9&lt;/url&gt;&lt;/related-urls&gt;&lt;/urls&gt;&lt;electronic-resource-num&gt;10.1186/s12889-022-13929-9&lt;/electronic-resource-num&gt;&lt;/record&gt;&lt;/Cite&gt;&lt;/EndNote&gt;</w:instrText>
      </w:r>
      <w:r w:rsidRPr="00A55335">
        <w:fldChar w:fldCharType="separate"/>
      </w:r>
      <w:r w:rsidR="00EC2769">
        <w:rPr>
          <w:noProof/>
        </w:rPr>
        <w:t>(</w:t>
      </w:r>
      <w:hyperlink w:anchor="_ENREF_343" w:tooltip="Orji, 2022 #722" w:history="1">
        <w:r w:rsidR="00EC2769">
          <w:rPr>
            <w:noProof/>
          </w:rPr>
          <w:t>343</w:t>
        </w:r>
      </w:hyperlink>
      <w:r w:rsidR="00EC2769">
        <w:rPr>
          <w:noProof/>
        </w:rPr>
        <w:t>)</w:t>
      </w:r>
      <w:r w:rsidRPr="00A55335">
        <w:fldChar w:fldCharType="end"/>
      </w:r>
      <w:r w:rsidRPr="00A55335">
        <w:t>.</w:t>
      </w:r>
    </w:p>
    <w:p w14:paraId="199B7892" w14:textId="59B69503" w:rsidR="00361DA9" w:rsidRPr="00A55335" w:rsidRDefault="00544E5C" w:rsidP="00DD505D">
      <w:pPr>
        <w:pStyle w:val="BodyText"/>
      </w:pPr>
      <w:r w:rsidRPr="00A55335">
        <w:t xml:space="preserve">Treatment for </w:t>
      </w:r>
      <w:r w:rsidR="00882C1E" w:rsidRPr="00A55335">
        <w:t xml:space="preserve">fatigue conditions centre on </w:t>
      </w:r>
      <w:r w:rsidR="00EF0396" w:rsidRPr="00A55335">
        <w:t>symptoms management</w:t>
      </w:r>
      <w:r w:rsidR="00DB524C" w:rsidRPr="00A55335">
        <w:t xml:space="preserve"> and include</w:t>
      </w:r>
      <w:r w:rsidR="00EF0396" w:rsidRPr="00A55335">
        <w:t xml:space="preserve"> </w:t>
      </w:r>
      <w:r w:rsidR="00882C1E" w:rsidRPr="00A55335">
        <w:t>rest</w:t>
      </w:r>
      <w:r w:rsidR="00CF0211" w:rsidRPr="00A55335">
        <w:t>, diet</w:t>
      </w:r>
      <w:r w:rsidR="00882C1E" w:rsidRPr="00A55335">
        <w:t xml:space="preserve"> and </w:t>
      </w:r>
      <w:r w:rsidR="00D73A37" w:rsidRPr="00A55335">
        <w:t xml:space="preserve">the </w:t>
      </w:r>
      <w:r w:rsidR="00882C1E" w:rsidRPr="00A55335">
        <w:t xml:space="preserve">gradual </w:t>
      </w:r>
      <w:r w:rsidR="002D2C00" w:rsidRPr="00A55335">
        <w:t>re-</w:t>
      </w:r>
      <w:r w:rsidR="00B6177E" w:rsidRPr="00A55335">
        <w:t>introduction</w:t>
      </w:r>
      <w:r w:rsidR="002D2C00" w:rsidRPr="00A55335">
        <w:t xml:space="preserve"> </w:t>
      </w:r>
      <w:r w:rsidR="00B6177E" w:rsidRPr="00A55335">
        <w:t xml:space="preserve">to </w:t>
      </w:r>
      <w:r w:rsidR="002C4157" w:rsidRPr="00A55335">
        <w:t xml:space="preserve">daily </w:t>
      </w:r>
      <w:r w:rsidR="00B6177E" w:rsidRPr="00A55335">
        <w:t>routine</w:t>
      </w:r>
      <w:r w:rsidR="002C4157" w:rsidRPr="00A55335">
        <w:t>s</w:t>
      </w:r>
      <w:r w:rsidR="00694EF9" w:rsidRPr="00A55335">
        <w:t xml:space="preserve"> </w:t>
      </w:r>
      <w:r w:rsidR="00030D09" w:rsidRPr="00A55335">
        <w:fldChar w:fldCharType="begin"/>
      </w:r>
      <w:r w:rsidR="00EC2769">
        <w:instrText xml:space="preserve"> ADDIN EN.CITE &lt;EndNote&gt;&lt;Cite&gt;&lt;Author&gt;Royal Australian College of General Practitioners (RACGP)&lt;/Author&gt;&lt;Year&gt;20&lt;/Year&gt;&lt;RecNum&gt;653&lt;/RecNum&gt;&lt;DisplayText&gt;(345)&lt;/DisplayText&gt;&lt;record&gt;&lt;rec-number&gt;653&lt;/rec-number&gt;&lt;foreign-keys&gt;&lt;key app="EN" db-id="t5prptatr9sp0we5exbxt9zz20fwp55tdza9" timestamp="1701317667"&gt;653&lt;/key&gt;&lt;/foreign-keys&gt;&lt;ref-type name="Web Page"&gt;12&lt;/ref-type&gt;&lt;contributors&gt;&lt;authors&gt;&lt;author&gt;Royal Australian College of General Practitioners (RACGP),&lt;/author&gt;&lt;/authors&gt;&lt;/contributors&gt;&lt;titles&gt;&lt;title&gt;The most common scenario: Non-specific multisystem post-viral symptoms&lt;/title&gt;&lt;/titles&gt;&lt;number&gt;30/11/2023&lt;/number&gt;&lt;dates&gt;&lt;year&gt;20&lt;/year&gt;&lt;/dates&gt;&lt;urls&gt;&lt;related-urls&gt;&lt;url&gt;https://www.racgp.org.au/clinical-resources/covid-19-resources/clinical-care/caring-for-patients-with-post-covid-19-conditions/the-most-common-scenario-non-specific-multisystem&lt;/url&gt;&lt;/related-urls&gt;&lt;/urls&gt;&lt;/record&gt;&lt;/Cite&gt;&lt;/EndNote&gt;</w:instrText>
      </w:r>
      <w:r w:rsidR="00030D09" w:rsidRPr="00A55335">
        <w:fldChar w:fldCharType="separate"/>
      </w:r>
      <w:r w:rsidR="00EC2769">
        <w:rPr>
          <w:noProof/>
        </w:rPr>
        <w:t>(</w:t>
      </w:r>
      <w:hyperlink w:anchor="_ENREF_345" w:tooltip="Royal Australian College of General Practitioners (RACGP), 20 #653" w:history="1">
        <w:r w:rsidR="00EC2769">
          <w:rPr>
            <w:noProof/>
          </w:rPr>
          <w:t>345</w:t>
        </w:r>
      </w:hyperlink>
      <w:r w:rsidR="00EC2769">
        <w:rPr>
          <w:noProof/>
        </w:rPr>
        <w:t>)</w:t>
      </w:r>
      <w:r w:rsidR="00030D09" w:rsidRPr="00A55335">
        <w:fldChar w:fldCharType="end"/>
      </w:r>
      <w:r w:rsidR="00B6177E" w:rsidRPr="00A55335">
        <w:t>.</w:t>
      </w:r>
      <w:r w:rsidR="00A24AA7" w:rsidRPr="00A55335">
        <w:t xml:space="preserve"> </w:t>
      </w:r>
      <w:r w:rsidR="00EF0396" w:rsidRPr="00A55335">
        <w:t>M</w:t>
      </w:r>
      <w:r w:rsidR="00B4591E" w:rsidRPr="00A55335">
        <w:t xml:space="preserve">any complementary and alternative therapies, including homeopathy, </w:t>
      </w:r>
      <w:r w:rsidR="00A24AA7" w:rsidRPr="00A55335">
        <w:t>yoga, meditation, massage therapy, and acupuncture</w:t>
      </w:r>
      <w:r w:rsidR="00B4591E" w:rsidRPr="00A55335">
        <w:t xml:space="preserve"> are</w:t>
      </w:r>
      <w:r w:rsidR="00971ADF" w:rsidRPr="00A55335">
        <w:t xml:space="preserve"> </w:t>
      </w:r>
      <w:r w:rsidR="00694EF9" w:rsidRPr="00A55335">
        <w:t xml:space="preserve">also </w:t>
      </w:r>
      <w:r w:rsidR="00971ADF" w:rsidRPr="00A55335">
        <w:t>used by people with ME/CFS</w:t>
      </w:r>
      <w:r w:rsidR="00694EF9" w:rsidRPr="00A55335">
        <w:t xml:space="preserve"> or post-viral fatigue</w:t>
      </w:r>
      <w:r w:rsidR="00FC32A0" w:rsidRPr="00A55335">
        <w:t>.</w:t>
      </w:r>
    </w:p>
    <w:p w14:paraId="1CC1D450" w14:textId="77777777" w:rsidR="00DD505D" w:rsidRPr="00A55335" w:rsidRDefault="00DD505D" w:rsidP="004D433B">
      <w:pPr>
        <w:pStyle w:val="Heading3"/>
      </w:pPr>
      <w:bookmarkStart w:id="484" w:name="_Toc183441413"/>
      <w:r w:rsidRPr="00A55335">
        <w:t>Description of studies</w:t>
      </w:r>
      <w:bookmarkEnd w:id="484"/>
      <w:r w:rsidRPr="00A55335">
        <w:t xml:space="preserve"> </w:t>
      </w:r>
    </w:p>
    <w:p w14:paraId="52FAC146" w14:textId="1300BF52" w:rsidR="00DD505D" w:rsidRPr="00A55335" w:rsidRDefault="00312F0C" w:rsidP="00DD505D">
      <w:pPr>
        <w:pStyle w:val="BodyText"/>
      </w:pPr>
      <w:r w:rsidRPr="00A55335">
        <w:t xml:space="preserve">There were </w:t>
      </w:r>
      <w:r w:rsidR="00DD505D" w:rsidRPr="00A55335">
        <w:t xml:space="preserve">4 citations </w:t>
      </w:r>
      <w:r w:rsidR="00C66A8D" w:rsidRPr="00A55335">
        <w:fldChar w:fldCharType="begin">
          <w:fldData xml:space="preserve">PEVuZE5vdGU+PENpdGU+PEF1dGhvcj5NY0tlbmRyaWNrPC9BdXRob3I+PFllYXI+MTk5OTwvWWVh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==
</w:fldData>
        </w:fldChar>
      </w:r>
      <w:r w:rsidR="00EC2769">
        <w:instrText xml:space="preserve"> ADDIN EN.CITE </w:instrText>
      </w:r>
      <w:r w:rsidR="00EC2769">
        <w:fldChar w:fldCharType="begin">
          <w:fldData xml:space="preserve">PEVuZE5vdGU+PENpdGU+PEF1dGhvcj5NY0tlbmRyaWNrPC9BdXRob3I+PFllYXI+MTk5OTwvWWVh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==
</w:fldData>
        </w:fldChar>
      </w:r>
      <w:r w:rsidR="00EC2769">
        <w:instrText xml:space="preserve"> ADDIN EN.CITE.DATA </w:instrText>
      </w:r>
      <w:r w:rsidR="00EC2769">
        <w:fldChar w:fldCharType="end"/>
      </w:r>
      <w:r w:rsidR="00C66A8D" w:rsidRPr="00A55335">
        <w:fldChar w:fldCharType="separate"/>
      </w:r>
      <w:r w:rsidR="00EC2769">
        <w:rPr>
          <w:noProof/>
        </w:rPr>
        <w:t>(</w:t>
      </w:r>
      <w:hyperlink w:anchor="_ENREF_346" w:tooltip="McKendrick, 1999 #499" w:history="1">
        <w:r w:rsidR="00EC2769">
          <w:rPr>
            <w:noProof/>
          </w:rPr>
          <w:t>346-349</w:t>
        </w:r>
      </w:hyperlink>
      <w:r w:rsidR="00EC2769">
        <w:rPr>
          <w:noProof/>
        </w:rPr>
        <w:t>)</w:t>
      </w:r>
      <w:r w:rsidR="00C66A8D" w:rsidRPr="00A55335">
        <w:fldChar w:fldCharType="end"/>
      </w:r>
      <w:r w:rsidR="00C66A8D" w:rsidRPr="00A55335">
        <w:t xml:space="preserve"> </w:t>
      </w:r>
      <w:r w:rsidR="00DD505D" w:rsidRPr="00A55335">
        <w:t>corresponding to</w:t>
      </w:r>
      <w:r w:rsidR="00980CA0" w:rsidRPr="00A55335">
        <w:t xml:space="preserve"> one </w:t>
      </w:r>
      <w:r w:rsidR="00DD505D" w:rsidRPr="00A55335">
        <w:t>RCT (McKendrick 1999) identified in the literature</w:t>
      </w:r>
      <w:r w:rsidR="00C66A8D" w:rsidRPr="00A55335">
        <w:t xml:space="preserve"> search</w:t>
      </w:r>
      <w:r w:rsidR="00DD505D" w:rsidRPr="00A55335">
        <w:t xml:space="preserve">. </w:t>
      </w:r>
      <w:r w:rsidR="00C66A8D" w:rsidRPr="00A55335">
        <w:t xml:space="preserve">No additional studies were identified in the Department’s public call for evidence. </w:t>
      </w:r>
      <w:r w:rsidR="00DD505D" w:rsidRPr="00A55335">
        <w:t xml:space="preserve">There were 3 </w:t>
      </w:r>
      <w:hyperlink w:anchor="_Ongoing_studies" w:history="1">
        <w:r w:rsidR="00DD505D" w:rsidRPr="00A55335">
          <w:rPr>
            <w:rStyle w:val="Hyperlink"/>
          </w:rPr>
          <w:t>ongoing studies</w:t>
        </w:r>
      </w:hyperlink>
      <w:r w:rsidR="00277EA0" w:rsidRPr="00A55335">
        <w:t xml:space="preserve"> (total 197 participants)</w:t>
      </w:r>
      <w:r w:rsidR="00DD505D" w:rsidRPr="00A55335">
        <w:t xml:space="preserve"> and no </w:t>
      </w:r>
      <w:hyperlink w:anchor="_Studies_awaiting_classification" w:history="1">
        <w:r w:rsidR="00DD505D" w:rsidRPr="00A55335">
          <w:rPr>
            <w:rStyle w:val="Hyperlink"/>
          </w:rPr>
          <w:t>studies awaiting classification</w:t>
        </w:r>
      </w:hyperlink>
      <w:r w:rsidR="00DD505D" w:rsidRPr="00A55335">
        <w:t>. An overview of the PICO criteria of included studies is provided in Appendix D10.1.1.</w:t>
      </w:r>
    </w:p>
    <w:p w14:paraId="78D58DD1" w14:textId="37C2ACE6" w:rsidR="00DD505D" w:rsidRPr="00A55335" w:rsidRDefault="007D2F15" w:rsidP="00DD505D">
      <w:pPr>
        <w:pStyle w:val="BodyText"/>
      </w:pPr>
      <w:r w:rsidRPr="00A55335">
        <w:t>One RCT (</w:t>
      </w:r>
      <w:r w:rsidR="00DD505D" w:rsidRPr="00A55335">
        <w:t>McKendrick 1999</w:t>
      </w:r>
      <w:r w:rsidRPr="00A55335">
        <w:t>)</w:t>
      </w:r>
      <w:r w:rsidR="00DD505D" w:rsidRPr="00A55335">
        <w:t xml:space="preserve"> was conducted in the </w:t>
      </w:r>
      <w:r w:rsidRPr="00A55335">
        <w:t>United Kingdom</w:t>
      </w:r>
      <w:r w:rsidR="00DD505D" w:rsidRPr="00A55335">
        <w:t xml:space="preserve">, </w:t>
      </w:r>
      <w:r w:rsidR="00F9040E" w:rsidRPr="00A55335">
        <w:t>and enrolled</w:t>
      </w:r>
      <w:r w:rsidR="00DD505D" w:rsidRPr="00A55335">
        <w:t xml:space="preserve"> participants from outpatient departments with chronic fatigue syndrome. </w:t>
      </w:r>
      <w:r w:rsidR="005E4065" w:rsidRPr="00A55335">
        <w:t>A total of</w:t>
      </w:r>
      <w:r w:rsidR="001D2169" w:rsidRPr="00A55335">
        <w:t xml:space="preserve"> </w:t>
      </w:r>
      <w:r w:rsidR="00DD505D" w:rsidRPr="00A55335">
        <w:t>103 participants</w:t>
      </w:r>
      <w:r w:rsidR="005E42AB" w:rsidRPr="00A55335">
        <w:t xml:space="preserve"> </w:t>
      </w:r>
      <w:r w:rsidR="00DD505D" w:rsidRPr="00A55335">
        <w:t xml:space="preserve">were randomised to individualised homeopathy or placebo. All participants received monthly consultations with a homeopath for 6 months. There were no limitations of the product, dosage or patency prescribed. </w:t>
      </w:r>
    </w:p>
    <w:p w14:paraId="33AE80A4" w14:textId="23F58F7F" w:rsidR="00DD505D" w:rsidRPr="00A55335" w:rsidRDefault="00DD505D" w:rsidP="00DD505D">
      <w:pPr>
        <w:pStyle w:val="BodyText"/>
      </w:pPr>
      <w:r w:rsidRPr="00A55335">
        <w:t xml:space="preserve">Results for </w:t>
      </w:r>
      <w:r w:rsidR="000A21E2" w:rsidRPr="00A55335">
        <w:t xml:space="preserve">the </w:t>
      </w:r>
      <w:r w:rsidR="006070ED" w:rsidRPr="00A55335">
        <w:t>Primary Comparison</w:t>
      </w:r>
      <w:r w:rsidR="00970A18" w:rsidRPr="00A55335">
        <w:t xml:space="preserve">: </w:t>
      </w:r>
      <w:r w:rsidR="008C22F7" w:rsidRPr="00A55335">
        <w:t>H</w:t>
      </w:r>
      <w:r w:rsidRPr="00A55335">
        <w:t xml:space="preserve">omeopathy </w:t>
      </w:r>
      <w:r w:rsidR="008C22F7" w:rsidRPr="00A55335">
        <w:t xml:space="preserve">versus </w:t>
      </w:r>
      <w:r w:rsidR="00970A18" w:rsidRPr="00A55335">
        <w:t xml:space="preserve">placebo </w:t>
      </w:r>
      <w:r w:rsidRPr="00A55335">
        <w:t xml:space="preserve">are provided in the Summary of Findings table (see </w:t>
      </w:r>
      <w:r w:rsidR="00982FA3" w:rsidRPr="00A55335">
        <w:fldChar w:fldCharType="begin"/>
      </w:r>
      <w:r w:rsidR="00982FA3" w:rsidRPr="00A55335">
        <w:instrText xml:space="preserve"> REF _Ref151382024 \r \h </w:instrText>
      </w:r>
      <w:r w:rsidR="00982FA3" w:rsidRPr="00A55335">
        <w:fldChar w:fldCharType="separate"/>
      </w:r>
      <w:r w:rsidR="00814B04">
        <w:t>4.20.4.1</w:t>
      </w:r>
      <w:r w:rsidR="00982FA3" w:rsidRPr="00A55335">
        <w:fldChar w:fldCharType="end"/>
      </w:r>
      <w:r w:rsidRPr="00A55335">
        <w:t xml:space="preserve">). </w:t>
      </w:r>
      <w:r w:rsidR="00970A18" w:rsidRPr="00A55335">
        <w:t>There were no studies found for</w:t>
      </w:r>
      <w:r w:rsidR="000A21E2" w:rsidRPr="00A55335">
        <w:t xml:space="preserve"> the</w:t>
      </w:r>
      <w:r w:rsidR="00970A18" w:rsidRPr="00A55335">
        <w:t xml:space="preserve"> </w:t>
      </w:r>
      <w:r w:rsidR="006070ED" w:rsidRPr="00A55335">
        <w:t>Secondary Comparison</w:t>
      </w:r>
      <w:r w:rsidR="00970A18" w:rsidRPr="00A55335">
        <w:t xml:space="preserve">: </w:t>
      </w:r>
      <w:r w:rsidR="008C22F7" w:rsidRPr="00A55335">
        <w:t>H</w:t>
      </w:r>
      <w:r w:rsidR="00970A18" w:rsidRPr="00A55335">
        <w:t xml:space="preserve">omeopathy versus inactive control (no intervention, waitlist or usual care) or </w:t>
      </w:r>
      <w:r w:rsidR="000A21E2" w:rsidRPr="00A55335">
        <w:t xml:space="preserve">the </w:t>
      </w:r>
      <w:r w:rsidR="008A5DA1" w:rsidRPr="00A55335">
        <w:t>Tertiary Comparison</w:t>
      </w:r>
      <w:r w:rsidR="00970A18" w:rsidRPr="00A55335">
        <w:t xml:space="preserve">: </w:t>
      </w:r>
      <w:r w:rsidR="008C22F7" w:rsidRPr="00A55335">
        <w:t>H</w:t>
      </w:r>
      <w:r w:rsidRPr="00A55335">
        <w:t xml:space="preserve">omeopathy </w:t>
      </w:r>
      <w:r w:rsidR="00970A18" w:rsidRPr="00A55335">
        <w:t xml:space="preserve">versus </w:t>
      </w:r>
      <w:r w:rsidRPr="00A55335">
        <w:t>another comparator.</w:t>
      </w:r>
    </w:p>
    <w:p w14:paraId="476A8746" w14:textId="77777777" w:rsidR="00D92AC6" w:rsidRPr="00A55335" w:rsidRDefault="00D92AC6" w:rsidP="00D92AC6">
      <w:pPr>
        <w:pStyle w:val="BodyText"/>
      </w:pPr>
      <w:r w:rsidRPr="00A55335">
        <w:t xml:space="preserve">We did not stratify according to the intervention (individualised or non-individualised) as there were too few studies per comparison that also included studies with a different mode of intervention. </w:t>
      </w:r>
    </w:p>
    <w:p w14:paraId="4889D4D7" w14:textId="77777777" w:rsidR="00DD505D" w:rsidRPr="00A55335" w:rsidRDefault="00DD505D" w:rsidP="004D433B">
      <w:pPr>
        <w:pStyle w:val="Heading3"/>
      </w:pPr>
      <w:bookmarkStart w:id="485" w:name="_Toc183441414"/>
      <w:r w:rsidRPr="00A55335">
        <w:t>Risk of bias – summary assessment across studies</w:t>
      </w:r>
      <w:bookmarkEnd w:id="485"/>
    </w:p>
    <w:p w14:paraId="6AB71DF6" w14:textId="16E66981" w:rsidR="00DD505D" w:rsidRPr="00A55335" w:rsidRDefault="00DD505D" w:rsidP="00DD505D">
      <w:pPr>
        <w:pStyle w:val="BodyText"/>
      </w:pPr>
      <w:r w:rsidRPr="00A55335">
        <w:t xml:space="preserve">The risk of bias for each item in the </w:t>
      </w:r>
      <w:r w:rsidR="00F56A75" w:rsidRPr="00A55335">
        <w:t xml:space="preserve">included </w:t>
      </w:r>
      <w:r w:rsidRPr="00A55335">
        <w:t>RCTs for fatigue conditions is summarised in</w:t>
      </w:r>
      <w:r w:rsidR="00B41F45" w:rsidRPr="00A55335">
        <w:t xml:space="preserve"> </w:t>
      </w:r>
      <w:r w:rsidR="00B41F45" w:rsidRPr="00A55335">
        <w:fldChar w:fldCharType="begin"/>
      </w:r>
      <w:r w:rsidR="00B41F45" w:rsidRPr="00A55335">
        <w:instrText xml:space="preserve"> REF _Ref151894927 \h </w:instrText>
      </w:r>
      <w:r w:rsidR="00B41F45" w:rsidRPr="00A55335">
        <w:fldChar w:fldCharType="separate"/>
      </w:r>
      <w:r w:rsidR="00814B04" w:rsidRPr="00A55335">
        <w:t xml:space="preserve">Figure </w:t>
      </w:r>
      <w:r w:rsidR="00814B04">
        <w:rPr>
          <w:noProof/>
        </w:rPr>
        <w:t>94</w:t>
      </w:r>
      <w:r w:rsidR="00B41F45" w:rsidRPr="00A55335">
        <w:fldChar w:fldCharType="end"/>
      </w:r>
      <w:r w:rsidRPr="00A55335">
        <w:t>. Details are provided in Appendix D10.1.2.</w:t>
      </w:r>
      <w:r w:rsidR="00F56E56" w:rsidRPr="00A55335">
        <w:t xml:space="preserve"> No studies were judged to be a low risk of bias.</w:t>
      </w:r>
    </w:p>
    <w:p w14:paraId="0E0548C0" w14:textId="31492C4D" w:rsidR="00DD505D" w:rsidRPr="00A55335" w:rsidRDefault="00DD505D" w:rsidP="00DD505D">
      <w:pPr>
        <w:pStyle w:val="Caption"/>
      </w:pPr>
      <w:bookmarkStart w:id="486" w:name="_Ref139542037"/>
      <w:bookmarkStart w:id="487" w:name="_Ref151894927"/>
      <w:bookmarkStart w:id="488" w:name="_Ref139542029"/>
      <w:bookmarkStart w:id="489" w:name="_Toc183520367"/>
      <w:r w:rsidRPr="00A55335">
        <w:lastRenderedPageBreak/>
        <w:t xml:space="preserve">Figure </w:t>
      </w:r>
      <w:bookmarkEnd w:id="486"/>
      <w:r w:rsidRPr="00A55335">
        <w:fldChar w:fldCharType="begin"/>
      </w:r>
      <w:r w:rsidRPr="00A55335">
        <w:instrText xml:space="preserve"> SEQ Figure \* ARABIC </w:instrText>
      </w:r>
      <w:r w:rsidRPr="00A55335">
        <w:fldChar w:fldCharType="separate"/>
      </w:r>
      <w:r w:rsidR="00814B04">
        <w:rPr>
          <w:noProof/>
        </w:rPr>
        <w:t>94</w:t>
      </w:r>
      <w:r w:rsidRPr="00A55335">
        <w:fldChar w:fldCharType="end"/>
      </w:r>
      <w:bookmarkEnd w:id="487"/>
      <w:r w:rsidR="006E4B35" w:rsidRPr="00A55335">
        <w:tab/>
      </w:r>
      <w:r w:rsidRPr="00A55335">
        <w:t>Risk of bias summary: review authors' judgement about each risk of b</w:t>
      </w:r>
      <w:r w:rsidR="007C14B6">
        <w:t>i</w:t>
      </w:r>
      <w:r w:rsidRPr="00A55335">
        <w:t>as item for each included study: Fatigue conditions</w:t>
      </w:r>
      <w:bookmarkEnd w:id="488"/>
      <w:bookmarkEnd w:id="489"/>
    </w:p>
    <w:p w14:paraId="7BC4B42E" w14:textId="77777777" w:rsidR="00DD505D" w:rsidRPr="00A55335" w:rsidRDefault="00DD505D" w:rsidP="00DD505D">
      <w:pPr>
        <w:pStyle w:val="Pic"/>
      </w:pPr>
      <w:r w:rsidRPr="00A55335">
        <w:rPr>
          <w:noProof/>
        </w:rPr>
        <w:drawing>
          <wp:inline distT="0" distB="0" distL="0" distR="0" wp14:anchorId="4F0C8C4D" wp14:editId="0D600E06">
            <wp:extent cx="4348716" cy="1542861"/>
            <wp:effectExtent l="0" t="0" r="0" b="635"/>
            <wp:docPr id="1465417742" name="Picture 1465417742"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17742" name="Picture 1" descr="A close-up of a test&#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434852" cy="1573421"/>
                    </a:xfrm>
                    <a:prstGeom prst="rect">
                      <a:avLst/>
                    </a:prstGeom>
                    <a:noFill/>
                    <a:ln>
                      <a:noFill/>
                    </a:ln>
                  </pic:spPr>
                </pic:pic>
              </a:graphicData>
            </a:graphic>
          </wp:inline>
        </w:drawing>
      </w:r>
    </w:p>
    <w:p w14:paraId="7F7551A0" w14:textId="77777777" w:rsidR="006E4B35" w:rsidRPr="00A55335" w:rsidRDefault="006E4B35" w:rsidP="006E4B35">
      <w:pPr>
        <w:pStyle w:val="TableFigNotes18"/>
      </w:pPr>
    </w:p>
    <w:p w14:paraId="161B9BD4" w14:textId="77777777" w:rsidR="00DD505D" w:rsidRPr="00A55335" w:rsidRDefault="00DD505D" w:rsidP="004D433B">
      <w:pPr>
        <w:pStyle w:val="Heading3"/>
      </w:pPr>
      <w:bookmarkStart w:id="490" w:name="_Toc183441415"/>
      <w:r w:rsidRPr="00A55335">
        <w:t>Summary of findings and evidence statements</w:t>
      </w:r>
      <w:bookmarkEnd w:id="490"/>
    </w:p>
    <w:p w14:paraId="1622F830" w14:textId="472B5BD0" w:rsidR="00E67AE3" w:rsidRPr="00A55335" w:rsidRDefault="006070ED" w:rsidP="00E67AE3">
      <w:pPr>
        <w:pStyle w:val="Heading4"/>
      </w:pPr>
      <w:bookmarkStart w:id="491" w:name="_Ref151382024"/>
      <w:r w:rsidRPr="00A55335">
        <w:t>Primary Comparison</w:t>
      </w:r>
      <w:r w:rsidR="00E67AE3" w:rsidRPr="00A55335">
        <w:t xml:space="preserve"> (vs placebo)</w:t>
      </w:r>
      <w:bookmarkEnd w:id="491"/>
      <w:r w:rsidR="00E67AE3" w:rsidRPr="00A55335">
        <w:t xml:space="preserve"> </w:t>
      </w:r>
    </w:p>
    <w:tbl>
      <w:tblPr>
        <w:tblW w:w="5001" w:type="pct"/>
        <w:tblLayout w:type="fixed"/>
        <w:tblCellMar>
          <w:top w:w="57" w:type="dxa"/>
          <w:left w:w="57" w:type="dxa"/>
          <w:bottom w:w="57" w:type="dxa"/>
          <w:right w:w="57" w:type="dxa"/>
        </w:tblCellMar>
        <w:tblLook w:val="04A0" w:firstRow="1" w:lastRow="0" w:firstColumn="1" w:lastColumn="0" w:noHBand="0" w:noVBand="1"/>
      </w:tblPr>
      <w:tblGrid>
        <w:gridCol w:w="1986"/>
        <w:gridCol w:w="1347"/>
        <w:gridCol w:w="1349"/>
        <w:gridCol w:w="852"/>
        <w:gridCol w:w="1133"/>
        <w:gridCol w:w="992"/>
        <w:gridCol w:w="2088"/>
      </w:tblGrid>
      <w:tr w:rsidR="00DD505D" w:rsidRPr="00A55335" w14:paraId="7835874B" w14:textId="77777777" w:rsidTr="006E1A2F">
        <w:trPr>
          <w:cantSplit/>
          <w:tblHeader/>
        </w:trPr>
        <w:tc>
          <w:tcPr>
            <w:tcW w:w="5000" w:type="pct"/>
            <w:gridSpan w:val="7"/>
            <w:tcBorders>
              <w:top w:val="single" w:sz="12" w:space="0" w:color="000000"/>
              <w:left w:val="nil"/>
              <w:bottom w:val="single" w:sz="12" w:space="0" w:color="000000"/>
              <w:right w:val="nil"/>
            </w:tcBorders>
            <w:vAlign w:val="center"/>
            <w:hideMark/>
          </w:tcPr>
          <w:p w14:paraId="3C35D4E7" w14:textId="76FE3B47" w:rsidR="00DD505D" w:rsidRPr="00A55335" w:rsidRDefault="00DD505D" w:rsidP="00B31E5C">
            <w:pPr>
              <w:pStyle w:val="TableH1"/>
              <w:rPr>
                <w:lang w:val="en-AU"/>
              </w:rPr>
            </w:pPr>
            <w:r w:rsidRPr="00A55335">
              <w:rPr>
                <w:lang w:val="en-AU"/>
              </w:rPr>
              <w:t xml:space="preserve">Homeopathy compared to placebo for </w:t>
            </w:r>
            <w:r w:rsidR="00B85E84" w:rsidRPr="00A55335">
              <w:rPr>
                <w:lang w:val="en-AU"/>
              </w:rPr>
              <w:t>F</w:t>
            </w:r>
            <w:r w:rsidRPr="00A55335">
              <w:rPr>
                <w:lang w:val="en-AU"/>
              </w:rPr>
              <w:t>atigue conditions</w:t>
            </w:r>
          </w:p>
        </w:tc>
      </w:tr>
      <w:tr w:rsidR="00DD505D" w:rsidRPr="00A55335" w14:paraId="5B223F32" w14:textId="77777777" w:rsidTr="006E1A2F">
        <w:trPr>
          <w:cantSplit/>
          <w:tblHeader/>
        </w:trPr>
        <w:tc>
          <w:tcPr>
            <w:tcW w:w="5000" w:type="pct"/>
            <w:gridSpan w:val="7"/>
            <w:tcBorders>
              <w:top w:val="single" w:sz="12" w:space="0" w:color="000000"/>
              <w:left w:val="nil"/>
              <w:bottom w:val="single" w:sz="12" w:space="0" w:color="000000"/>
              <w:right w:val="nil"/>
            </w:tcBorders>
            <w:vAlign w:val="center"/>
            <w:hideMark/>
          </w:tcPr>
          <w:p w14:paraId="38943F3C" w14:textId="77777777" w:rsidR="00DD505D" w:rsidRPr="00A55335" w:rsidRDefault="00DD505D" w:rsidP="00B31E5C">
            <w:pPr>
              <w:pStyle w:val="Tabletext9pt"/>
            </w:pPr>
            <w:r w:rsidRPr="00A55335">
              <w:rPr>
                <w:rStyle w:val="Strong"/>
              </w:rPr>
              <w:t>Patient or population:</w:t>
            </w:r>
            <w:r w:rsidRPr="00A55335">
              <w:t xml:space="preserve"> Fatigue conditions</w:t>
            </w:r>
          </w:p>
          <w:p w14:paraId="2A4AA55C" w14:textId="77777777" w:rsidR="00DD505D" w:rsidRPr="00A55335" w:rsidRDefault="00DD505D" w:rsidP="00B31E5C">
            <w:pPr>
              <w:pStyle w:val="Tabletext9pt"/>
            </w:pPr>
            <w:r w:rsidRPr="00A55335">
              <w:rPr>
                <w:rStyle w:val="Strong"/>
              </w:rPr>
              <w:t>Setting:</w:t>
            </w:r>
            <w:r w:rsidRPr="00A55335">
              <w:t xml:space="preserve"> Community</w:t>
            </w:r>
          </w:p>
          <w:p w14:paraId="0CB6759E" w14:textId="77777777" w:rsidR="00DD505D" w:rsidRPr="00A55335" w:rsidRDefault="00DD505D" w:rsidP="00B31E5C">
            <w:pPr>
              <w:pStyle w:val="Tabletext9pt"/>
            </w:pPr>
            <w:r w:rsidRPr="00A55335">
              <w:rPr>
                <w:rStyle w:val="Strong"/>
              </w:rPr>
              <w:t>Intervention:</w:t>
            </w:r>
            <w:r w:rsidRPr="00A55335">
              <w:t xml:space="preserve"> Homeopathy</w:t>
            </w:r>
          </w:p>
          <w:p w14:paraId="4ECAF4E8" w14:textId="77777777" w:rsidR="00DD505D" w:rsidRPr="00A55335" w:rsidRDefault="00DD505D" w:rsidP="00B31E5C">
            <w:pPr>
              <w:pStyle w:val="Tabletext9pt"/>
            </w:pPr>
            <w:r w:rsidRPr="00A55335">
              <w:rPr>
                <w:rStyle w:val="Strong"/>
              </w:rPr>
              <w:t xml:space="preserve">Comparison: </w:t>
            </w:r>
            <w:r w:rsidRPr="00A55335">
              <w:t>Placebo</w:t>
            </w:r>
          </w:p>
        </w:tc>
      </w:tr>
      <w:tr w:rsidR="00B31E5C" w:rsidRPr="00A55335" w14:paraId="7D43D2F2" w14:textId="77777777" w:rsidTr="00BA09DC">
        <w:trPr>
          <w:cantSplit/>
          <w:tblHeader/>
        </w:trPr>
        <w:tc>
          <w:tcPr>
            <w:tcW w:w="1019" w:type="pct"/>
            <w:vMerge w:val="restart"/>
            <w:tcBorders>
              <w:right w:val="single" w:sz="6" w:space="0" w:color="EFEFEF"/>
            </w:tcBorders>
            <w:shd w:val="clear" w:color="auto" w:fill="006579" w:themeFill="accent2"/>
            <w:vAlign w:val="bottom"/>
            <w:hideMark/>
          </w:tcPr>
          <w:p w14:paraId="4BDF55FA" w14:textId="77777777" w:rsidR="00DD505D" w:rsidRPr="00A55335" w:rsidRDefault="00DD505D" w:rsidP="00A44D66">
            <w:pPr>
              <w:pStyle w:val="Tabletext8pt"/>
              <w:rPr>
                <w:b/>
              </w:rPr>
            </w:pPr>
            <w:r w:rsidRPr="00A55335">
              <w:rPr>
                <w:b/>
                <w:bCs/>
                <w:color w:val="F9F9F9" w:themeColor="background1"/>
              </w:rPr>
              <w:t>Outcomes</w:t>
            </w:r>
          </w:p>
        </w:tc>
        <w:tc>
          <w:tcPr>
            <w:tcW w:w="1383" w:type="pct"/>
            <w:gridSpan w:val="2"/>
            <w:tcBorders>
              <w:top w:val="single" w:sz="6" w:space="0" w:color="EFEFEF"/>
              <w:right w:val="single" w:sz="6" w:space="0" w:color="EFEFEF"/>
            </w:tcBorders>
            <w:shd w:val="clear" w:color="auto" w:fill="E0E0E0"/>
            <w:vAlign w:val="bottom"/>
            <w:hideMark/>
          </w:tcPr>
          <w:p w14:paraId="51F2387A" w14:textId="77777777" w:rsidR="00DD505D" w:rsidRPr="00A55335" w:rsidRDefault="00DD505D" w:rsidP="00B31E5C">
            <w:pPr>
              <w:pStyle w:val="Tabletext8pt"/>
              <w:rPr>
                <w:rStyle w:val="Strong"/>
              </w:rPr>
            </w:pPr>
            <w:r w:rsidRPr="00A55335">
              <w:rPr>
                <w:rStyle w:val="Strong"/>
              </w:rPr>
              <w:t>Anticipated absolute effects* (95% CI)</w:t>
            </w:r>
          </w:p>
        </w:tc>
        <w:tc>
          <w:tcPr>
            <w:tcW w:w="437" w:type="pct"/>
            <w:vMerge w:val="restart"/>
            <w:tcBorders>
              <w:right w:val="single" w:sz="6" w:space="0" w:color="EFEFEF"/>
            </w:tcBorders>
            <w:shd w:val="clear" w:color="auto" w:fill="006579" w:themeFill="accent2"/>
            <w:vAlign w:val="bottom"/>
            <w:hideMark/>
          </w:tcPr>
          <w:p w14:paraId="546D864C" w14:textId="77777777" w:rsidR="00DD505D" w:rsidRPr="00A55335" w:rsidRDefault="00DD505D" w:rsidP="00A44D66">
            <w:pPr>
              <w:pStyle w:val="Tabletext8pt"/>
              <w:rPr>
                <w:b/>
                <w:color w:val="FFFFFF" w:themeColor="background2"/>
              </w:rPr>
            </w:pPr>
            <w:r w:rsidRPr="00A55335">
              <w:rPr>
                <w:b/>
                <w:bCs/>
                <w:color w:val="F9F9F9" w:themeColor="background1"/>
              </w:rPr>
              <w:t>Relative effect</w:t>
            </w:r>
            <w:r w:rsidRPr="00A55335">
              <w:rPr>
                <w:b/>
                <w:bCs/>
                <w:color w:val="F9F9F9" w:themeColor="background1"/>
              </w:rPr>
              <w:br/>
              <w:t>(95% CI)</w:t>
            </w:r>
          </w:p>
        </w:tc>
        <w:tc>
          <w:tcPr>
            <w:tcW w:w="581" w:type="pct"/>
            <w:vMerge w:val="restart"/>
            <w:tcBorders>
              <w:right w:val="single" w:sz="6" w:space="0" w:color="EFEFEF"/>
            </w:tcBorders>
            <w:shd w:val="clear" w:color="auto" w:fill="006579" w:themeFill="accent2"/>
            <w:vAlign w:val="bottom"/>
            <w:hideMark/>
          </w:tcPr>
          <w:p w14:paraId="08C5F39F" w14:textId="77777777" w:rsidR="00DD505D" w:rsidRPr="00A55335" w:rsidRDefault="00DD505D" w:rsidP="00A44D66">
            <w:pPr>
              <w:pStyle w:val="Tabletext8pt"/>
              <w:rPr>
                <w:b/>
                <w:color w:val="FFFFFF" w:themeColor="background2"/>
              </w:rPr>
            </w:pPr>
            <w:r w:rsidRPr="00A55335">
              <w:rPr>
                <w:b/>
                <w:bCs/>
                <w:color w:val="F9F9F9" w:themeColor="background1"/>
              </w:rPr>
              <w:t>№ of participants</w:t>
            </w:r>
            <w:r w:rsidRPr="00A55335">
              <w:rPr>
                <w:b/>
                <w:bCs/>
                <w:color w:val="F9F9F9" w:themeColor="background1"/>
              </w:rPr>
              <w:br/>
              <w:t>(studies)</w:t>
            </w:r>
          </w:p>
        </w:tc>
        <w:tc>
          <w:tcPr>
            <w:tcW w:w="509" w:type="pct"/>
            <w:vMerge w:val="restart"/>
            <w:tcBorders>
              <w:right w:val="single" w:sz="6" w:space="0" w:color="EFEFEF"/>
            </w:tcBorders>
            <w:shd w:val="clear" w:color="auto" w:fill="006579" w:themeFill="accent2"/>
            <w:vAlign w:val="bottom"/>
            <w:hideMark/>
          </w:tcPr>
          <w:p w14:paraId="2D1FBE5B" w14:textId="77777777" w:rsidR="00DD505D" w:rsidRPr="00A55335" w:rsidRDefault="00DD505D" w:rsidP="00A44D66">
            <w:pPr>
              <w:pStyle w:val="Tabletext8pt"/>
              <w:rPr>
                <w:b/>
                <w:color w:val="FFFFFF" w:themeColor="background2"/>
              </w:rPr>
            </w:pPr>
            <w:r w:rsidRPr="00A55335">
              <w:rPr>
                <w:b/>
                <w:bCs/>
                <w:color w:val="F9F9F9" w:themeColor="background1"/>
              </w:rPr>
              <w:t>Certainty of the evidence</w:t>
            </w:r>
            <w:r w:rsidRPr="00A55335">
              <w:rPr>
                <w:b/>
                <w:bCs/>
                <w:color w:val="F9F9F9" w:themeColor="background1"/>
              </w:rPr>
              <w:br/>
              <w:t>(GRADE)</w:t>
            </w:r>
          </w:p>
        </w:tc>
        <w:tc>
          <w:tcPr>
            <w:tcW w:w="1071" w:type="pct"/>
            <w:vMerge w:val="restart"/>
            <w:tcBorders>
              <w:right w:val="single" w:sz="6" w:space="0" w:color="EFEFEF"/>
            </w:tcBorders>
            <w:shd w:val="clear" w:color="auto" w:fill="006579" w:themeFill="accent2"/>
            <w:vAlign w:val="bottom"/>
            <w:hideMark/>
          </w:tcPr>
          <w:p w14:paraId="35D66740" w14:textId="73E19C4A" w:rsidR="00DD505D" w:rsidRPr="00A55335" w:rsidRDefault="00B31E5C" w:rsidP="00A44D66">
            <w:pPr>
              <w:pStyle w:val="Tabletext8pt"/>
              <w:rPr>
                <w:b/>
                <w:color w:val="FFFFFF" w:themeColor="background2"/>
              </w:rPr>
            </w:pPr>
            <w:r w:rsidRPr="00A55335">
              <w:rPr>
                <w:b/>
                <w:bCs/>
                <w:color w:val="F9F9F9" w:themeColor="background1"/>
              </w:rPr>
              <w:t>Evidence statement</w:t>
            </w:r>
          </w:p>
        </w:tc>
      </w:tr>
      <w:tr w:rsidR="00BB28BF" w:rsidRPr="00A55335" w14:paraId="2825138E" w14:textId="77777777" w:rsidTr="00BA09DC">
        <w:trPr>
          <w:cantSplit/>
          <w:tblHeader/>
        </w:trPr>
        <w:tc>
          <w:tcPr>
            <w:tcW w:w="1019" w:type="pct"/>
            <w:vMerge/>
            <w:tcBorders>
              <w:right w:val="single" w:sz="6" w:space="0" w:color="EFEFEF"/>
            </w:tcBorders>
            <w:shd w:val="clear" w:color="auto" w:fill="006579" w:themeFill="accent2"/>
            <w:vAlign w:val="center"/>
            <w:hideMark/>
          </w:tcPr>
          <w:p w14:paraId="2E007FCE" w14:textId="77777777" w:rsidR="00DD505D" w:rsidRPr="00A55335" w:rsidRDefault="00DD505D" w:rsidP="00982FA3">
            <w:pPr>
              <w:pStyle w:val="Tabletext"/>
              <w:rPr>
                <w:sz w:val="16"/>
              </w:rPr>
            </w:pPr>
          </w:p>
        </w:tc>
        <w:tc>
          <w:tcPr>
            <w:tcW w:w="691" w:type="pct"/>
            <w:tcBorders>
              <w:top w:val="single" w:sz="6" w:space="0" w:color="EFEFEF"/>
              <w:right w:val="single" w:sz="6" w:space="0" w:color="EFEFEF"/>
            </w:tcBorders>
            <w:shd w:val="clear" w:color="auto" w:fill="E0E0E0"/>
            <w:vAlign w:val="bottom"/>
            <w:hideMark/>
          </w:tcPr>
          <w:p w14:paraId="6433DF45" w14:textId="77777777" w:rsidR="00DD505D" w:rsidRPr="00A55335" w:rsidRDefault="00DD505D" w:rsidP="00B31E5C">
            <w:pPr>
              <w:pStyle w:val="Tabletext8pt"/>
              <w:rPr>
                <w:rStyle w:val="Strong"/>
              </w:rPr>
            </w:pPr>
            <w:r w:rsidRPr="00A55335">
              <w:rPr>
                <w:rStyle w:val="Strong"/>
              </w:rPr>
              <w:t>Risk with placebo</w:t>
            </w:r>
          </w:p>
        </w:tc>
        <w:tc>
          <w:tcPr>
            <w:tcW w:w="692" w:type="pct"/>
            <w:tcBorders>
              <w:top w:val="single" w:sz="6" w:space="0" w:color="EFEFEF"/>
              <w:right w:val="single" w:sz="6" w:space="0" w:color="EFEFEF"/>
            </w:tcBorders>
            <w:shd w:val="clear" w:color="auto" w:fill="E0E0E0"/>
            <w:vAlign w:val="bottom"/>
            <w:hideMark/>
          </w:tcPr>
          <w:p w14:paraId="35094750" w14:textId="15F8B976" w:rsidR="00DD505D" w:rsidRPr="00A55335" w:rsidRDefault="00387A57" w:rsidP="00B31E5C">
            <w:pPr>
              <w:pStyle w:val="Tabletext8pt"/>
              <w:rPr>
                <w:rStyle w:val="Strong"/>
              </w:rPr>
            </w:pPr>
            <w:r w:rsidRPr="00A55335">
              <w:rPr>
                <w:rFonts w:cs="Montserrat"/>
                <w:b/>
                <w:color w:val="000000"/>
              </w:rPr>
              <w:t>Risk with homeopathy</w:t>
            </w:r>
          </w:p>
        </w:tc>
        <w:tc>
          <w:tcPr>
            <w:tcW w:w="437" w:type="pct"/>
            <w:vMerge/>
            <w:tcBorders>
              <w:right w:val="single" w:sz="6" w:space="0" w:color="EFEFEF"/>
            </w:tcBorders>
            <w:shd w:val="clear" w:color="auto" w:fill="053341" w:themeFill="accent1"/>
            <w:vAlign w:val="center"/>
            <w:hideMark/>
          </w:tcPr>
          <w:p w14:paraId="40019B75" w14:textId="77777777" w:rsidR="00DD505D" w:rsidRPr="00A55335" w:rsidRDefault="00DD505D" w:rsidP="00982FA3">
            <w:pPr>
              <w:pStyle w:val="Tabletext"/>
              <w:rPr>
                <w:sz w:val="16"/>
              </w:rPr>
            </w:pPr>
          </w:p>
        </w:tc>
        <w:tc>
          <w:tcPr>
            <w:tcW w:w="581" w:type="pct"/>
            <w:vMerge/>
            <w:tcBorders>
              <w:right w:val="single" w:sz="6" w:space="0" w:color="EFEFEF"/>
            </w:tcBorders>
            <w:shd w:val="clear" w:color="auto" w:fill="053341" w:themeFill="accent1"/>
            <w:vAlign w:val="center"/>
            <w:hideMark/>
          </w:tcPr>
          <w:p w14:paraId="18B5B7B7" w14:textId="77777777" w:rsidR="00DD505D" w:rsidRPr="00A55335" w:rsidRDefault="00DD505D" w:rsidP="00982FA3">
            <w:pPr>
              <w:pStyle w:val="Tabletext"/>
              <w:rPr>
                <w:sz w:val="16"/>
              </w:rPr>
            </w:pPr>
          </w:p>
        </w:tc>
        <w:tc>
          <w:tcPr>
            <w:tcW w:w="509" w:type="pct"/>
            <w:vMerge/>
            <w:tcBorders>
              <w:right w:val="single" w:sz="6" w:space="0" w:color="EFEFEF"/>
            </w:tcBorders>
            <w:shd w:val="clear" w:color="auto" w:fill="053341" w:themeFill="accent1"/>
            <w:vAlign w:val="center"/>
            <w:hideMark/>
          </w:tcPr>
          <w:p w14:paraId="0E55A3A7" w14:textId="77777777" w:rsidR="00DD505D" w:rsidRPr="00A55335" w:rsidRDefault="00DD505D" w:rsidP="00982FA3">
            <w:pPr>
              <w:pStyle w:val="Tabletext"/>
              <w:rPr>
                <w:sz w:val="16"/>
              </w:rPr>
            </w:pPr>
          </w:p>
        </w:tc>
        <w:tc>
          <w:tcPr>
            <w:tcW w:w="1071" w:type="pct"/>
            <w:vMerge/>
            <w:tcBorders>
              <w:right w:val="single" w:sz="6" w:space="0" w:color="EFEFEF"/>
            </w:tcBorders>
            <w:shd w:val="clear" w:color="auto" w:fill="053341" w:themeFill="accent1"/>
            <w:vAlign w:val="center"/>
            <w:hideMark/>
          </w:tcPr>
          <w:p w14:paraId="0673EBAE" w14:textId="77777777" w:rsidR="00DD505D" w:rsidRPr="00A55335" w:rsidRDefault="00DD505D" w:rsidP="00982FA3">
            <w:pPr>
              <w:pStyle w:val="Tabletext"/>
              <w:rPr>
                <w:sz w:val="16"/>
              </w:rPr>
            </w:pPr>
          </w:p>
        </w:tc>
      </w:tr>
      <w:tr w:rsidR="00BA09DC" w:rsidRPr="00A55335" w14:paraId="2ECC1D74" w14:textId="77777777" w:rsidTr="00BA09DC">
        <w:trPr>
          <w:cantSplit/>
        </w:trPr>
        <w:tc>
          <w:tcPr>
            <w:tcW w:w="1019" w:type="pct"/>
            <w:tcBorders>
              <w:top w:val="single" w:sz="6" w:space="0" w:color="000000"/>
              <w:left w:val="nil"/>
              <w:bottom w:val="single" w:sz="6" w:space="0" w:color="000000"/>
              <w:right w:val="nil"/>
            </w:tcBorders>
            <w:vAlign w:val="center"/>
            <w:hideMark/>
          </w:tcPr>
          <w:p w14:paraId="316C01E8" w14:textId="411C249D" w:rsidR="00DD505D" w:rsidRPr="00A55335" w:rsidRDefault="00DD505D" w:rsidP="00B31E5C">
            <w:pPr>
              <w:pStyle w:val="Tabletext8pt"/>
            </w:pPr>
            <w:r w:rsidRPr="00A55335">
              <w:t>Fatigue</w:t>
            </w:r>
            <w:r w:rsidRPr="00A55335">
              <w:br/>
              <w:t>assessed with: Multidimensional Fatigue Inventory</w:t>
            </w:r>
            <w:r w:rsidRPr="00A55335">
              <w:br/>
              <w:t>Scale from: 4 to 20</w:t>
            </w:r>
            <w:r w:rsidR="00585B79" w:rsidRPr="00A55335">
              <w:t xml:space="preserve"> (higher is worse)</w:t>
            </w:r>
            <w:r w:rsidRPr="00A55335">
              <w:br/>
              <w:t>follow-up: 6 months</w:t>
            </w:r>
          </w:p>
        </w:tc>
        <w:tc>
          <w:tcPr>
            <w:tcW w:w="1383" w:type="pct"/>
            <w:gridSpan w:val="2"/>
            <w:tcBorders>
              <w:top w:val="single" w:sz="6" w:space="0" w:color="000000"/>
              <w:left w:val="nil"/>
              <w:bottom w:val="single" w:sz="6" w:space="0" w:color="000000"/>
              <w:right w:val="nil"/>
            </w:tcBorders>
            <w:shd w:val="clear" w:color="auto" w:fill="EBEBEB"/>
            <w:vAlign w:val="center"/>
          </w:tcPr>
          <w:p w14:paraId="1791FA86" w14:textId="1145691E" w:rsidR="00DD505D" w:rsidRPr="00A55335" w:rsidRDefault="00F426E7" w:rsidP="007252A0">
            <w:pPr>
              <w:pStyle w:val="Tabletext8pt"/>
              <w:jc w:val="center"/>
            </w:pPr>
            <w:r w:rsidRPr="00A55335">
              <w:rPr>
                <w:rFonts w:cs="Montserrat"/>
                <w:color w:val="000000"/>
              </w:rPr>
              <w:t xml:space="preserve">Little (to no) effect on any </w:t>
            </w:r>
            <w:r w:rsidR="00DD505D" w:rsidRPr="00A55335">
              <w:t xml:space="preserve">of the </w:t>
            </w:r>
            <w:r w:rsidR="00364FD6" w:rsidRPr="00A55335">
              <w:t xml:space="preserve">5 </w:t>
            </w:r>
            <w:r w:rsidR="00DD505D" w:rsidRPr="00A55335">
              <w:t>domains of the Multidimensional Fatigue Inventory</w:t>
            </w:r>
            <w:r w:rsidR="00364FD6" w:rsidRPr="00A55335">
              <w:t xml:space="preserve"> (see Figure 98)</w:t>
            </w:r>
            <w:r w:rsidR="00DD505D" w:rsidRPr="00A55335">
              <w:t>.</w:t>
            </w:r>
          </w:p>
        </w:tc>
        <w:tc>
          <w:tcPr>
            <w:tcW w:w="437" w:type="pct"/>
            <w:tcBorders>
              <w:top w:val="single" w:sz="6" w:space="0" w:color="000000"/>
              <w:left w:val="nil"/>
              <w:bottom w:val="single" w:sz="6" w:space="0" w:color="000000"/>
              <w:right w:val="nil"/>
            </w:tcBorders>
            <w:vAlign w:val="center"/>
            <w:hideMark/>
          </w:tcPr>
          <w:p w14:paraId="5644A6F8" w14:textId="77777777" w:rsidR="00DD505D" w:rsidRPr="00A55335" w:rsidRDefault="00DD505D" w:rsidP="007252A0">
            <w:pPr>
              <w:pStyle w:val="Tabletext8pt"/>
              <w:jc w:val="center"/>
            </w:pPr>
            <w:r w:rsidRPr="00A55335">
              <w:t>-</w:t>
            </w:r>
          </w:p>
        </w:tc>
        <w:tc>
          <w:tcPr>
            <w:tcW w:w="581" w:type="pct"/>
            <w:tcBorders>
              <w:top w:val="single" w:sz="6" w:space="0" w:color="000000"/>
              <w:left w:val="nil"/>
              <w:bottom w:val="single" w:sz="6" w:space="0" w:color="000000"/>
              <w:right w:val="nil"/>
            </w:tcBorders>
            <w:vAlign w:val="center"/>
            <w:hideMark/>
          </w:tcPr>
          <w:p w14:paraId="22C64C17" w14:textId="77777777" w:rsidR="00DD505D" w:rsidRPr="00A55335" w:rsidRDefault="00DD505D" w:rsidP="007252A0">
            <w:pPr>
              <w:pStyle w:val="Tabletext8pt"/>
              <w:jc w:val="center"/>
            </w:pPr>
            <w:r w:rsidRPr="00A55335">
              <w:t>86</w:t>
            </w:r>
            <w:r w:rsidRPr="00A55335">
              <w:br/>
              <w:t>(1 RCT)</w:t>
            </w:r>
          </w:p>
        </w:tc>
        <w:tc>
          <w:tcPr>
            <w:tcW w:w="509" w:type="pct"/>
            <w:tcBorders>
              <w:top w:val="single" w:sz="6" w:space="0" w:color="000000"/>
              <w:left w:val="nil"/>
              <w:bottom w:val="single" w:sz="6" w:space="0" w:color="000000"/>
              <w:right w:val="nil"/>
            </w:tcBorders>
            <w:vAlign w:val="center"/>
            <w:hideMark/>
          </w:tcPr>
          <w:p w14:paraId="2C61D996" w14:textId="626156B8" w:rsidR="00DD505D" w:rsidRPr="00A55335" w:rsidRDefault="00DD505D" w:rsidP="009C1BFF">
            <w:pPr>
              <w:pStyle w:val="Tabletext8pt"/>
              <w:jc w:val="center"/>
            </w:pPr>
            <w:r w:rsidRPr="00A55335">
              <w:rPr>
                <w:rStyle w:val="quality-sign"/>
                <w:rFonts w:ascii="Cambria Math" w:hAnsi="Cambria Math"/>
              </w:rPr>
              <w:t>⨁⨁◯◯</w:t>
            </w:r>
            <w:r w:rsidRPr="00A55335">
              <w:br/>
            </w:r>
            <w:r w:rsidRPr="00A55335">
              <w:rPr>
                <w:rStyle w:val="QualitytextChar"/>
              </w:rPr>
              <w:t>Low</w:t>
            </w:r>
            <w:r w:rsidRPr="00A55335">
              <w:t xml:space="preserve"> </w:t>
            </w:r>
            <w:proofErr w:type="spellStart"/>
            <w:r w:rsidRPr="00A55335">
              <w:rPr>
                <w:rStyle w:val="FootnoteReference"/>
              </w:rPr>
              <w:t>a,b</w:t>
            </w:r>
            <w:r w:rsidR="00464E11" w:rsidRPr="00A55335">
              <w:rPr>
                <w:rStyle w:val="FootnoteReference"/>
              </w:rPr>
              <w:t>,c,d,e</w:t>
            </w:r>
            <w:proofErr w:type="spellEnd"/>
          </w:p>
        </w:tc>
        <w:tc>
          <w:tcPr>
            <w:tcW w:w="1071" w:type="pct"/>
            <w:tcBorders>
              <w:top w:val="single" w:sz="6" w:space="0" w:color="000000"/>
              <w:left w:val="nil"/>
              <w:bottom w:val="single" w:sz="6" w:space="0" w:color="000000"/>
              <w:right w:val="nil"/>
            </w:tcBorders>
            <w:vAlign w:val="center"/>
            <w:hideMark/>
          </w:tcPr>
          <w:p w14:paraId="40E5110E" w14:textId="49BEF0B6" w:rsidR="00DD505D" w:rsidRPr="00A55335" w:rsidRDefault="00FC74F6" w:rsidP="00B31E5C">
            <w:pPr>
              <w:pStyle w:val="Tabletext8pt"/>
            </w:pPr>
            <w:r w:rsidRPr="00A55335">
              <w:t xml:space="preserve">Homeopathy </w:t>
            </w:r>
            <w:r w:rsidR="00BD443B" w:rsidRPr="00A55335">
              <w:t>may result</w:t>
            </w:r>
            <w:r w:rsidR="00DD505D" w:rsidRPr="00A55335">
              <w:t xml:space="preserve"> in little to no difference in fatigue in people with fatigue conditions.</w:t>
            </w:r>
            <w:r w:rsidR="005E0A44" w:rsidRPr="00A55335">
              <w:t xml:space="preserve"> **</w:t>
            </w:r>
          </w:p>
        </w:tc>
      </w:tr>
      <w:tr w:rsidR="006E1A2F" w:rsidRPr="00A55335" w14:paraId="6D03A462" w14:textId="77777777" w:rsidTr="00F0758E">
        <w:trPr>
          <w:cantSplit/>
        </w:trPr>
        <w:tc>
          <w:tcPr>
            <w:tcW w:w="1019" w:type="pct"/>
            <w:vMerge w:val="restart"/>
            <w:tcBorders>
              <w:top w:val="single" w:sz="6" w:space="0" w:color="000000"/>
              <w:left w:val="nil"/>
              <w:right w:val="nil"/>
            </w:tcBorders>
            <w:vAlign w:val="center"/>
            <w:hideMark/>
          </w:tcPr>
          <w:p w14:paraId="6792BD09" w14:textId="3ED87D1F" w:rsidR="006E1A2F" w:rsidRPr="00A55335" w:rsidRDefault="006E1A2F" w:rsidP="006E1A2F">
            <w:pPr>
              <w:pStyle w:val="Tabletext8pt"/>
            </w:pPr>
            <w:r w:rsidRPr="00A55335">
              <w:t>Quality of life</w:t>
            </w:r>
            <w:r w:rsidRPr="00A55335">
              <w:br/>
              <w:t>assessed with: Functional Limitations Profile</w:t>
            </w:r>
            <w:r w:rsidR="00E855B0" w:rsidRPr="00A55335">
              <w:br/>
              <w:t>Scale from: 0 to 100</w:t>
            </w:r>
            <w:r w:rsidR="00585B79" w:rsidRPr="00A55335">
              <w:t xml:space="preserve"> (higher is worse)</w:t>
            </w:r>
            <w:r w:rsidRPr="00A55335">
              <w:br/>
              <w:t>follow-up: 6 months</w:t>
            </w:r>
          </w:p>
        </w:tc>
        <w:tc>
          <w:tcPr>
            <w:tcW w:w="691" w:type="pct"/>
            <w:tcBorders>
              <w:top w:val="single" w:sz="6" w:space="0" w:color="000000"/>
              <w:left w:val="nil"/>
              <w:bottom w:val="single" w:sz="6" w:space="0" w:color="000000"/>
              <w:right w:val="nil"/>
            </w:tcBorders>
            <w:shd w:val="clear" w:color="auto" w:fill="EBEBEB"/>
            <w:vAlign w:val="center"/>
          </w:tcPr>
          <w:p w14:paraId="46A07C74" w14:textId="2BF17A8F" w:rsidR="006E1A2F" w:rsidRPr="00A55335" w:rsidRDefault="006E1A2F" w:rsidP="006E1A2F">
            <w:pPr>
              <w:pStyle w:val="Tabletext8pt"/>
              <w:jc w:val="center"/>
            </w:pPr>
            <w:r w:rsidRPr="00A55335">
              <w:t xml:space="preserve">The mean change in physical score was </w:t>
            </w:r>
            <w:r w:rsidR="003D17EA" w:rsidRPr="00A55335">
              <w:rPr>
                <w:rStyle w:val="Strong"/>
              </w:rPr>
              <w:t>2.72</w:t>
            </w:r>
          </w:p>
        </w:tc>
        <w:tc>
          <w:tcPr>
            <w:tcW w:w="692" w:type="pct"/>
            <w:tcBorders>
              <w:top w:val="single" w:sz="6" w:space="0" w:color="000000"/>
              <w:left w:val="nil"/>
              <w:bottom w:val="single" w:sz="6" w:space="0" w:color="000000"/>
              <w:right w:val="nil"/>
            </w:tcBorders>
            <w:shd w:val="clear" w:color="auto" w:fill="EBEBEB"/>
          </w:tcPr>
          <w:p w14:paraId="036AF091" w14:textId="3757DD1B" w:rsidR="006E1A2F" w:rsidRPr="00A55335" w:rsidRDefault="006E1A2F" w:rsidP="007252A0">
            <w:pPr>
              <w:pStyle w:val="Tabletext8pt"/>
              <w:jc w:val="center"/>
            </w:pPr>
            <w:r w:rsidRPr="00A55335">
              <w:t>MD</w:t>
            </w:r>
            <w:r w:rsidRPr="00A55335">
              <w:rPr>
                <w:rStyle w:val="Strong"/>
              </w:rPr>
              <w:t xml:space="preserve"> </w:t>
            </w:r>
            <w:r w:rsidR="003D17EA" w:rsidRPr="00A55335">
              <w:rPr>
                <w:rStyle w:val="Strong"/>
              </w:rPr>
              <w:t>2.39</w:t>
            </w:r>
            <w:r w:rsidRPr="00A55335">
              <w:rPr>
                <w:rStyle w:val="Strong"/>
              </w:rPr>
              <w:t xml:space="preserve"> lower</w:t>
            </w:r>
            <w:r w:rsidRPr="00A55335">
              <w:br/>
              <w:t>(</w:t>
            </w:r>
            <w:r w:rsidR="009C5E7B" w:rsidRPr="00A55335">
              <w:t>6.03</w:t>
            </w:r>
            <w:r w:rsidRPr="00A55335">
              <w:t xml:space="preserve"> lower to </w:t>
            </w:r>
            <w:r w:rsidR="009C5E7B" w:rsidRPr="00A55335">
              <w:t>1.25</w:t>
            </w:r>
            <w:r w:rsidRPr="00A55335">
              <w:t xml:space="preserve"> higher)</w:t>
            </w:r>
          </w:p>
        </w:tc>
        <w:tc>
          <w:tcPr>
            <w:tcW w:w="437" w:type="pct"/>
            <w:vMerge w:val="restart"/>
            <w:tcBorders>
              <w:top w:val="single" w:sz="6" w:space="0" w:color="000000"/>
              <w:left w:val="nil"/>
              <w:right w:val="nil"/>
            </w:tcBorders>
            <w:vAlign w:val="center"/>
            <w:hideMark/>
          </w:tcPr>
          <w:p w14:paraId="389BAC8A" w14:textId="77777777" w:rsidR="006E1A2F" w:rsidRPr="00A55335" w:rsidRDefault="006E1A2F" w:rsidP="007252A0">
            <w:pPr>
              <w:pStyle w:val="Tabletext8pt"/>
              <w:jc w:val="center"/>
            </w:pPr>
            <w:r w:rsidRPr="00A55335">
              <w:t>-</w:t>
            </w:r>
          </w:p>
        </w:tc>
        <w:tc>
          <w:tcPr>
            <w:tcW w:w="581" w:type="pct"/>
            <w:vMerge w:val="restart"/>
            <w:tcBorders>
              <w:top w:val="single" w:sz="6" w:space="0" w:color="000000"/>
              <w:left w:val="nil"/>
              <w:right w:val="nil"/>
            </w:tcBorders>
            <w:vAlign w:val="center"/>
            <w:hideMark/>
          </w:tcPr>
          <w:p w14:paraId="4736F702" w14:textId="77777777" w:rsidR="006E1A2F" w:rsidRPr="00A55335" w:rsidRDefault="006E1A2F" w:rsidP="007252A0">
            <w:pPr>
              <w:pStyle w:val="Tabletext8pt"/>
              <w:jc w:val="center"/>
            </w:pPr>
            <w:r w:rsidRPr="00A55335">
              <w:t>86</w:t>
            </w:r>
            <w:r w:rsidRPr="00A55335">
              <w:br/>
              <w:t>(1 RCT)</w:t>
            </w:r>
          </w:p>
        </w:tc>
        <w:tc>
          <w:tcPr>
            <w:tcW w:w="509" w:type="pct"/>
            <w:vMerge w:val="restart"/>
            <w:tcBorders>
              <w:top w:val="single" w:sz="6" w:space="0" w:color="000000"/>
              <w:left w:val="nil"/>
              <w:right w:val="nil"/>
            </w:tcBorders>
            <w:vAlign w:val="center"/>
            <w:hideMark/>
          </w:tcPr>
          <w:p w14:paraId="22AEEF81" w14:textId="2DA16078" w:rsidR="006E1A2F" w:rsidRPr="00A55335" w:rsidRDefault="006E1A2F" w:rsidP="006E1A2F">
            <w:pPr>
              <w:pStyle w:val="Tabletext8pt"/>
              <w:jc w:val="center"/>
            </w:pPr>
            <w:r w:rsidRPr="00A55335">
              <w:rPr>
                <w:rStyle w:val="quality-sign"/>
                <w:rFonts w:ascii="Cambria Math" w:hAnsi="Cambria Math"/>
              </w:rPr>
              <w:t>⨁⨁◯◯</w:t>
            </w:r>
            <w:r w:rsidRPr="00A55335">
              <w:br/>
              <w:t>L</w:t>
            </w:r>
            <w:r w:rsidRPr="00A55335">
              <w:rPr>
                <w:rStyle w:val="QualitytextChar"/>
              </w:rPr>
              <w:t>ow</w:t>
            </w:r>
            <w:r w:rsidRPr="00A55335">
              <w:t xml:space="preserve"> </w:t>
            </w:r>
            <w:proofErr w:type="spellStart"/>
            <w:r w:rsidRPr="00A55335">
              <w:rPr>
                <w:rStyle w:val="FootnoteReference"/>
              </w:rPr>
              <w:t>a,b</w:t>
            </w:r>
            <w:proofErr w:type="spellEnd"/>
            <w:r w:rsidR="00464E11" w:rsidRPr="00A55335">
              <w:rPr>
                <w:rStyle w:val="FootnoteReference"/>
              </w:rPr>
              <w:t xml:space="preserve"> </w:t>
            </w:r>
            <w:proofErr w:type="spellStart"/>
            <w:r w:rsidR="00464E11" w:rsidRPr="00A55335">
              <w:rPr>
                <w:rStyle w:val="FootnoteReference"/>
              </w:rPr>
              <w:t>c,d,e</w:t>
            </w:r>
            <w:proofErr w:type="spellEnd"/>
          </w:p>
        </w:tc>
        <w:tc>
          <w:tcPr>
            <w:tcW w:w="1071" w:type="pct"/>
            <w:vMerge w:val="restart"/>
            <w:tcBorders>
              <w:top w:val="single" w:sz="6" w:space="0" w:color="000000"/>
              <w:left w:val="nil"/>
              <w:right w:val="nil"/>
            </w:tcBorders>
            <w:vAlign w:val="center"/>
            <w:hideMark/>
          </w:tcPr>
          <w:p w14:paraId="2C26F14B" w14:textId="56D23CAA" w:rsidR="006E1A2F" w:rsidRPr="00A55335" w:rsidRDefault="00046EED" w:rsidP="006E1A2F">
            <w:pPr>
              <w:pStyle w:val="Tabletext8pt"/>
            </w:pPr>
            <w:r w:rsidRPr="00A55335">
              <w:t>H</w:t>
            </w:r>
            <w:r w:rsidR="006E1A2F" w:rsidRPr="00A55335">
              <w:t>omeopathy may result in little to no difference in quality of life in people with fatigue conditions.</w:t>
            </w:r>
            <w:r w:rsidR="005E0A44" w:rsidRPr="00A55335">
              <w:t xml:space="preserve"> **</w:t>
            </w:r>
          </w:p>
        </w:tc>
      </w:tr>
      <w:tr w:rsidR="009C5E7B" w:rsidRPr="00A55335" w14:paraId="6585788E" w14:textId="77777777" w:rsidTr="00F0758E">
        <w:trPr>
          <w:cantSplit/>
        </w:trPr>
        <w:tc>
          <w:tcPr>
            <w:tcW w:w="1019" w:type="pct"/>
            <w:vMerge/>
            <w:tcBorders>
              <w:left w:val="nil"/>
              <w:bottom w:val="single" w:sz="6" w:space="0" w:color="000000"/>
              <w:right w:val="nil"/>
            </w:tcBorders>
            <w:vAlign w:val="center"/>
          </w:tcPr>
          <w:p w14:paraId="141ECBE8" w14:textId="77777777" w:rsidR="009C5E7B" w:rsidRPr="00A55335" w:rsidRDefault="009C5E7B" w:rsidP="009C5E7B">
            <w:pPr>
              <w:pStyle w:val="Tabletext8pt"/>
            </w:pPr>
          </w:p>
        </w:tc>
        <w:tc>
          <w:tcPr>
            <w:tcW w:w="691" w:type="pct"/>
            <w:tcBorders>
              <w:top w:val="single" w:sz="6" w:space="0" w:color="000000"/>
              <w:left w:val="nil"/>
              <w:bottom w:val="single" w:sz="6" w:space="0" w:color="000000"/>
              <w:right w:val="nil"/>
            </w:tcBorders>
            <w:shd w:val="clear" w:color="auto" w:fill="EBEBEB"/>
            <w:vAlign w:val="center"/>
          </w:tcPr>
          <w:p w14:paraId="6E8005A5" w14:textId="40CA189E" w:rsidR="009C5E7B" w:rsidRPr="00A55335" w:rsidRDefault="009C5E7B" w:rsidP="009C5E7B">
            <w:pPr>
              <w:pStyle w:val="Tabletext8pt"/>
              <w:jc w:val="center"/>
            </w:pPr>
            <w:r w:rsidRPr="00A55335">
              <w:t xml:space="preserve">The mean change in psychosocial score was </w:t>
            </w:r>
            <w:r w:rsidRPr="00A55335">
              <w:rPr>
                <w:rStyle w:val="Strong"/>
              </w:rPr>
              <w:t>6.76</w:t>
            </w:r>
          </w:p>
        </w:tc>
        <w:tc>
          <w:tcPr>
            <w:tcW w:w="692" w:type="pct"/>
            <w:tcBorders>
              <w:top w:val="single" w:sz="6" w:space="0" w:color="000000"/>
              <w:left w:val="nil"/>
              <w:bottom w:val="single" w:sz="6" w:space="0" w:color="000000"/>
              <w:right w:val="nil"/>
            </w:tcBorders>
            <w:shd w:val="clear" w:color="auto" w:fill="EBEBEB"/>
          </w:tcPr>
          <w:p w14:paraId="7C8148BD" w14:textId="7FBFB93A" w:rsidR="009C5E7B" w:rsidRPr="00A55335" w:rsidRDefault="009C5E7B" w:rsidP="009C5E7B">
            <w:pPr>
              <w:pStyle w:val="Tabletext8pt"/>
              <w:jc w:val="center"/>
            </w:pPr>
            <w:r w:rsidRPr="00A55335">
              <w:t>MD</w:t>
            </w:r>
            <w:r w:rsidRPr="00A55335">
              <w:rPr>
                <w:rStyle w:val="Strong"/>
              </w:rPr>
              <w:t xml:space="preserve"> 3.05 lower</w:t>
            </w:r>
            <w:r w:rsidRPr="00A55335">
              <w:br/>
              <w:t>(8.36 lower to 2.26 higher)</w:t>
            </w:r>
          </w:p>
        </w:tc>
        <w:tc>
          <w:tcPr>
            <w:tcW w:w="437" w:type="pct"/>
            <w:vMerge/>
            <w:tcBorders>
              <w:left w:val="nil"/>
              <w:bottom w:val="single" w:sz="6" w:space="0" w:color="000000"/>
              <w:right w:val="nil"/>
            </w:tcBorders>
            <w:vAlign w:val="center"/>
          </w:tcPr>
          <w:p w14:paraId="06D0631D" w14:textId="77777777" w:rsidR="009C5E7B" w:rsidRPr="00A55335" w:rsidRDefault="009C5E7B" w:rsidP="009C5E7B">
            <w:pPr>
              <w:pStyle w:val="Tabletext8pt"/>
              <w:jc w:val="center"/>
            </w:pPr>
          </w:p>
        </w:tc>
        <w:tc>
          <w:tcPr>
            <w:tcW w:w="581" w:type="pct"/>
            <w:vMerge/>
            <w:tcBorders>
              <w:left w:val="nil"/>
              <w:bottom w:val="single" w:sz="6" w:space="0" w:color="000000"/>
              <w:right w:val="nil"/>
            </w:tcBorders>
            <w:vAlign w:val="center"/>
          </w:tcPr>
          <w:p w14:paraId="03770B1B" w14:textId="77777777" w:rsidR="009C5E7B" w:rsidRPr="00A55335" w:rsidRDefault="009C5E7B" w:rsidP="009C5E7B">
            <w:pPr>
              <w:pStyle w:val="Tabletext8pt"/>
              <w:jc w:val="center"/>
            </w:pPr>
          </w:p>
        </w:tc>
        <w:tc>
          <w:tcPr>
            <w:tcW w:w="509" w:type="pct"/>
            <w:vMerge/>
            <w:tcBorders>
              <w:left w:val="nil"/>
              <w:bottom w:val="single" w:sz="6" w:space="0" w:color="000000"/>
              <w:right w:val="nil"/>
            </w:tcBorders>
            <w:vAlign w:val="center"/>
          </w:tcPr>
          <w:p w14:paraId="08F1CDCC" w14:textId="77777777" w:rsidR="009C5E7B" w:rsidRPr="00A55335" w:rsidRDefault="009C5E7B" w:rsidP="009C5E7B">
            <w:pPr>
              <w:pStyle w:val="Tabletext8pt"/>
              <w:jc w:val="center"/>
              <w:rPr>
                <w:rStyle w:val="quality-sign"/>
                <w:rFonts w:ascii="Cambria Math" w:hAnsi="Cambria Math"/>
              </w:rPr>
            </w:pPr>
          </w:p>
        </w:tc>
        <w:tc>
          <w:tcPr>
            <w:tcW w:w="1071" w:type="pct"/>
            <w:vMerge/>
            <w:tcBorders>
              <w:left w:val="nil"/>
              <w:bottom w:val="single" w:sz="6" w:space="0" w:color="000000"/>
              <w:right w:val="nil"/>
            </w:tcBorders>
            <w:vAlign w:val="center"/>
          </w:tcPr>
          <w:p w14:paraId="3F70CD6C" w14:textId="77777777" w:rsidR="009C5E7B" w:rsidRPr="00A55335" w:rsidRDefault="009C5E7B" w:rsidP="009C5E7B">
            <w:pPr>
              <w:pStyle w:val="Tabletext8pt"/>
            </w:pPr>
          </w:p>
        </w:tc>
      </w:tr>
      <w:tr w:rsidR="009C5E7B" w:rsidRPr="00A55335" w14:paraId="315847DC" w14:textId="77777777" w:rsidTr="006E1A2F">
        <w:trPr>
          <w:cantSplit/>
        </w:trPr>
        <w:tc>
          <w:tcPr>
            <w:tcW w:w="5000" w:type="pct"/>
            <w:gridSpan w:val="7"/>
            <w:tcBorders>
              <w:top w:val="single" w:sz="6" w:space="0" w:color="000000"/>
              <w:left w:val="nil"/>
              <w:bottom w:val="single" w:sz="6" w:space="0" w:color="000000"/>
              <w:right w:val="nil"/>
            </w:tcBorders>
            <w:vAlign w:val="center"/>
            <w:hideMark/>
          </w:tcPr>
          <w:p w14:paraId="6A600ABE" w14:textId="5A3843E6" w:rsidR="00F55D31" w:rsidRPr="00A55335" w:rsidRDefault="00F55D31" w:rsidP="00C51BE8">
            <w:pPr>
              <w:pStyle w:val="TableFigNotes0"/>
              <w:rPr>
                <w:rStyle w:val="TableFigNotes18Char"/>
              </w:rPr>
            </w:pPr>
            <w:r w:rsidRPr="00BD1A50">
              <w:rPr>
                <w:rStyle w:val="Strong"/>
              </w:rPr>
              <w:t>*The risk in the intervention group</w:t>
            </w:r>
            <w:r w:rsidRPr="00A55335">
              <w:rPr>
                <w:rStyle w:val="TableFigNotes18Char"/>
              </w:rPr>
              <w:t xml:space="preserve"> (and its 95% confidence interval) is based on the assumed risk in the comparison group and the </w:t>
            </w:r>
            <w:r w:rsidRPr="00BD1A50">
              <w:rPr>
                <w:rStyle w:val="Strong"/>
              </w:rPr>
              <w:t>relative effect</w:t>
            </w:r>
            <w:r w:rsidRPr="00A55335">
              <w:rPr>
                <w:rStyle w:val="TableFigNotes18Char"/>
              </w:rPr>
              <w:t xml:space="preserve"> of the intervention (and its 95% CI).</w:t>
            </w:r>
          </w:p>
          <w:p w14:paraId="1D5112F1" w14:textId="2B1611AC" w:rsidR="005E0A44" w:rsidRPr="00A55335" w:rsidRDefault="005E0A44" w:rsidP="00C51BE8">
            <w:pPr>
              <w:pStyle w:val="TableFigNotes0"/>
              <w:rPr>
                <w:rStyle w:val="TableFigNotes18Char"/>
              </w:rPr>
            </w:pPr>
            <w:r w:rsidRPr="00A55335">
              <w:rPr>
                <w:rStyle w:val="TableFigNotes18Char"/>
              </w:rPr>
              <w:t>**Effect estimates were considered on 3 levels: small (MD &lt;10% of the scale), moderate (MD between 10% to 20% of the scale) or large (MD more than 20% of the scale).</w:t>
            </w:r>
          </w:p>
          <w:p w14:paraId="7BFAED0B" w14:textId="77777777" w:rsidR="005E0A44" w:rsidRPr="00A55335" w:rsidRDefault="005E0A44" w:rsidP="00C51BE8">
            <w:pPr>
              <w:pStyle w:val="TableFigNotes0"/>
              <w:rPr>
                <w:rStyle w:val="TableFigNotes18Char"/>
              </w:rPr>
            </w:pPr>
          </w:p>
          <w:p w14:paraId="3FC63126" w14:textId="7F4D34FE" w:rsidR="009C5E7B" w:rsidRPr="00A55335" w:rsidRDefault="009C5E7B" w:rsidP="009C5E7B">
            <w:pPr>
              <w:pStyle w:val="TableFigNotes0"/>
            </w:pPr>
            <w:r w:rsidRPr="00A55335">
              <w:rPr>
                <w:rStyle w:val="Strong"/>
              </w:rPr>
              <w:t xml:space="preserve">CI: </w:t>
            </w:r>
            <w:r w:rsidRPr="00A55335">
              <w:t>confidence interval</w:t>
            </w:r>
            <w:r w:rsidR="006C2A37" w:rsidRPr="00A55335">
              <w:t xml:space="preserve">; </w:t>
            </w:r>
            <w:r w:rsidR="006C2A37" w:rsidRPr="00A55335">
              <w:rPr>
                <w:rStyle w:val="Strong"/>
              </w:rPr>
              <w:t xml:space="preserve">MD: </w:t>
            </w:r>
            <w:r w:rsidR="006C2A37" w:rsidRPr="00A55335">
              <w:t>mean difference</w:t>
            </w:r>
          </w:p>
        </w:tc>
      </w:tr>
      <w:tr w:rsidR="009C5E7B" w:rsidRPr="00A55335" w14:paraId="2D0A1A1B" w14:textId="77777777" w:rsidTr="006E1A2F">
        <w:trPr>
          <w:cantSplit/>
        </w:trPr>
        <w:tc>
          <w:tcPr>
            <w:tcW w:w="5000" w:type="pct"/>
            <w:gridSpan w:val="7"/>
            <w:tcBorders>
              <w:top w:val="single" w:sz="6" w:space="0" w:color="000000"/>
              <w:left w:val="nil"/>
              <w:bottom w:val="single" w:sz="6" w:space="0" w:color="000000"/>
              <w:right w:val="nil"/>
            </w:tcBorders>
            <w:vAlign w:val="center"/>
            <w:hideMark/>
          </w:tcPr>
          <w:p w14:paraId="7E877114" w14:textId="77777777" w:rsidR="009C5E7B" w:rsidRPr="00A55335" w:rsidRDefault="009C5E7B" w:rsidP="009C5E7B">
            <w:pPr>
              <w:pStyle w:val="TableFigNotes0"/>
            </w:pPr>
            <w:r w:rsidRPr="00A55335">
              <w:rPr>
                <w:rStyle w:val="Strong"/>
              </w:rPr>
              <w:lastRenderedPageBreak/>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3B60B167" w14:textId="77777777" w:rsidR="00DD505D" w:rsidRPr="00A55335" w:rsidRDefault="00E35087" w:rsidP="00A44D66">
      <w:pPr>
        <w:pStyle w:val="Heading5a"/>
        <w:rPr>
          <w:lang w:val="en-AU"/>
        </w:rPr>
      </w:pPr>
      <w:r w:rsidRPr="00A55335">
        <w:rPr>
          <w:lang w:val="en-AU"/>
        </w:rPr>
        <w:t>Explanations</w:t>
      </w:r>
    </w:p>
    <w:p w14:paraId="69FA087C" w14:textId="5BF25C72" w:rsidR="00464E11" w:rsidRPr="00A55335" w:rsidRDefault="00DD505D" w:rsidP="00BB28BF">
      <w:pPr>
        <w:pStyle w:val="Footnote"/>
      </w:pPr>
      <w:r w:rsidRPr="00A55335">
        <w:t xml:space="preserve">a. </w:t>
      </w:r>
      <w:r w:rsidR="00464E11" w:rsidRPr="00A55335">
        <w:t>No serious risk of bias. Certainty of evidence not downgraded.</w:t>
      </w:r>
    </w:p>
    <w:p w14:paraId="20B9C643" w14:textId="128C38A2" w:rsidR="00464E11" w:rsidRPr="00A55335" w:rsidRDefault="00464E11" w:rsidP="00BB28BF">
      <w:pPr>
        <w:pStyle w:val="Footnote"/>
      </w:pPr>
      <w:r w:rsidRPr="00A55335">
        <w:t>b. Single study. Inconsistency not assessed. Certainty of evidence not downgraded.</w:t>
      </w:r>
    </w:p>
    <w:p w14:paraId="0E682529" w14:textId="683A0F5A" w:rsidR="00464E11" w:rsidRPr="00A55335" w:rsidRDefault="00464E11" w:rsidP="00BB28BF">
      <w:pPr>
        <w:pStyle w:val="Footnote"/>
      </w:pPr>
      <w:r w:rsidRPr="00A55335">
        <w:t>c. No serious indirectness. The available evidence is in people with chronic fatigue syndrome and is applicable to the Australian population with few caveats. Certainty of evidence not downgraded.</w:t>
      </w:r>
    </w:p>
    <w:p w14:paraId="07829DC1" w14:textId="67B8B124" w:rsidR="00DD505D" w:rsidRPr="00A55335" w:rsidRDefault="00464E11" w:rsidP="00BB28BF">
      <w:pPr>
        <w:pStyle w:val="Footnote"/>
      </w:pPr>
      <w:r w:rsidRPr="00A55335">
        <w:t xml:space="preserve">d. </w:t>
      </w:r>
      <w:r w:rsidR="001D2E37" w:rsidRPr="00A55335">
        <w:t>Very s</w:t>
      </w:r>
      <w:r w:rsidR="00DD505D" w:rsidRPr="00A55335">
        <w:t xml:space="preserve">erious imprecision. One </w:t>
      </w:r>
      <w:r w:rsidR="002E13E4" w:rsidRPr="00A55335">
        <w:t xml:space="preserve">small </w:t>
      </w:r>
      <w:r w:rsidR="00DD505D" w:rsidRPr="00A55335">
        <w:t xml:space="preserve">study </w:t>
      </w:r>
      <w:r w:rsidR="002E13E4" w:rsidRPr="00A55335">
        <w:t xml:space="preserve">(sample size not optimal) </w:t>
      </w:r>
      <w:r w:rsidR="00DD505D" w:rsidRPr="00A55335">
        <w:t xml:space="preserve">with wide confidence intervals </w:t>
      </w:r>
      <w:r w:rsidRPr="00A55335">
        <w:t>(upper and lower bound</w:t>
      </w:r>
      <w:r w:rsidR="007A5709" w:rsidRPr="00A55335">
        <w:t>s</w:t>
      </w:r>
      <w:r w:rsidRPr="00A55335">
        <w:t xml:space="preserve"> overlap with both important and no important benefit)</w:t>
      </w:r>
      <w:r w:rsidR="00DD505D" w:rsidRPr="00A55335">
        <w:t>. Certainty of evidence downgraded</w:t>
      </w:r>
      <w:r w:rsidRPr="00A55335">
        <w:t xml:space="preserve"> 2 levels</w:t>
      </w:r>
      <w:r w:rsidR="00DD505D" w:rsidRPr="00A55335">
        <w:t>.</w:t>
      </w:r>
    </w:p>
    <w:p w14:paraId="1D0A9DC3" w14:textId="31D1D726" w:rsidR="00DD505D" w:rsidRPr="00A55335" w:rsidRDefault="00DD505D" w:rsidP="00BB28BF">
      <w:pPr>
        <w:pStyle w:val="Footnote"/>
      </w:pPr>
      <w:r w:rsidRPr="00A55335">
        <w:t xml:space="preserve">b. Publication bias </w:t>
      </w:r>
      <w:r w:rsidR="00464E11" w:rsidRPr="00A55335">
        <w:t xml:space="preserve">not </w:t>
      </w:r>
      <w:r w:rsidRPr="00A55335">
        <w:t>suspected. Certainty of evidence not downgraded.</w:t>
      </w:r>
    </w:p>
    <w:p w14:paraId="3DEE50C3" w14:textId="56AB9901" w:rsidR="00351E18" w:rsidRPr="00A55335" w:rsidRDefault="006070ED" w:rsidP="00351E18">
      <w:pPr>
        <w:pStyle w:val="Heading4"/>
      </w:pPr>
      <w:r w:rsidRPr="00A55335">
        <w:t>Secondary Comparison</w:t>
      </w:r>
      <w:r w:rsidR="00351E18" w:rsidRPr="00A55335">
        <w:t xml:space="preserve"> (vs </w:t>
      </w:r>
      <w:r w:rsidR="00D738DA" w:rsidRPr="00A55335">
        <w:t xml:space="preserve">inactive </w:t>
      </w:r>
      <w:r w:rsidR="00351E18" w:rsidRPr="00A55335">
        <w:t>control)</w:t>
      </w:r>
    </w:p>
    <w:p w14:paraId="7A9D284C" w14:textId="77777777" w:rsidR="00351E18" w:rsidRPr="00A55335" w:rsidRDefault="00351E18" w:rsidP="00351E18">
      <w:pPr>
        <w:pStyle w:val="BodyText"/>
      </w:pPr>
      <w:r w:rsidRPr="00A55335">
        <w:t>There were no studies identified which compared homeopathy to inactive control in people with fatigue conditions. The effect of homeopathy compared to inactive control is unknown.</w:t>
      </w:r>
    </w:p>
    <w:p w14:paraId="3B530F2B" w14:textId="77777777" w:rsidR="00DD505D" w:rsidRPr="00A55335" w:rsidRDefault="00DD505D" w:rsidP="004D433B">
      <w:pPr>
        <w:pStyle w:val="Heading3"/>
      </w:pPr>
      <w:bookmarkStart w:id="492" w:name="_Toc183441416"/>
      <w:r w:rsidRPr="00A55335">
        <w:t>Forest plots</w:t>
      </w:r>
      <w:bookmarkEnd w:id="492"/>
    </w:p>
    <w:p w14:paraId="2750B9C1" w14:textId="2747359C" w:rsidR="00351E18" w:rsidRPr="00A55335" w:rsidRDefault="00351E18" w:rsidP="00351E18">
      <w:pPr>
        <w:pStyle w:val="BodyText"/>
      </w:pPr>
      <w:r w:rsidRPr="00A55335">
        <w:t xml:space="preserve">Outcome results related to </w:t>
      </w:r>
      <w:r w:rsidR="00CE44B5" w:rsidRPr="00A55335">
        <w:t>the p</w:t>
      </w:r>
      <w:r w:rsidR="006070ED" w:rsidRPr="00A55335">
        <w:t xml:space="preserve">rimary </w:t>
      </w:r>
      <w:r w:rsidR="00CE44B5" w:rsidRPr="00A55335">
        <w:t>c</w:t>
      </w:r>
      <w:r w:rsidR="006070ED" w:rsidRPr="00A55335">
        <w:t>omparison</w:t>
      </w:r>
      <w:r w:rsidR="00B85E84" w:rsidRPr="00A55335">
        <w:t>: H</w:t>
      </w:r>
      <w:r w:rsidRPr="00A55335">
        <w:t xml:space="preserve">omeopathy vs placebo in people with fatigue conditions </w:t>
      </w:r>
      <w:r w:rsidR="0010173C" w:rsidRPr="00A55335">
        <w:t xml:space="preserve">are presented in </w:t>
      </w:r>
      <w:r w:rsidR="00A32F8F" w:rsidRPr="00BD1A50">
        <w:t>Figure 9</w:t>
      </w:r>
      <w:r w:rsidR="00F51520">
        <w:t>5</w:t>
      </w:r>
      <w:r w:rsidR="00A32F8F" w:rsidRPr="00BD1A50">
        <w:t xml:space="preserve"> (fatigue) </w:t>
      </w:r>
      <w:r w:rsidR="00B85E84" w:rsidRPr="00A55335">
        <w:t xml:space="preserve">and </w:t>
      </w:r>
      <w:r w:rsidR="00B85E84" w:rsidRPr="00A55335">
        <w:fldChar w:fldCharType="begin"/>
      </w:r>
      <w:r w:rsidR="00B85E84" w:rsidRPr="00A55335">
        <w:instrText xml:space="preserve"> REF _Ref152252739 \h </w:instrText>
      </w:r>
      <w:r w:rsidR="00B85E84" w:rsidRPr="00A55335">
        <w:fldChar w:fldCharType="separate"/>
      </w:r>
      <w:r w:rsidR="00814B04" w:rsidRPr="00A55335">
        <w:t xml:space="preserve">Figure </w:t>
      </w:r>
      <w:r w:rsidR="00F51520">
        <w:rPr>
          <w:noProof/>
        </w:rPr>
        <w:t>96</w:t>
      </w:r>
      <w:r w:rsidR="00B85E84" w:rsidRPr="00A55335">
        <w:fldChar w:fldCharType="end"/>
      </w:r>
      <w:r w:rsidR="00B85E84" w:rsidRPr="00A55335">
        <w:t xml:space="preserve"> (quality of life).</w:t>
      </w:r>
    </w:p>
    <w:p w14:paraId="5D2E42AB" w14:textId="35B6F3DF" w:rsidR="005D06EE" w:rsidRPr="00A55335" w:rsidRDefault="005D06EE" w:rsidP="009876E6">
      <w:pPr>
        <w:pStyle w:val="Caption"/>
      </w:pPr>
      <w:bookmarkStart w:id="493" w:name="_Toc183520368"/>
      <w:r w:rsidRPr="00A55335">
        <w:lastRenderedPageBreak/>
        <w:t xml:space="preserve">Figure </w:t>
      </w:r>
      <w:r w:rsidR="00F51520" w:rsidRPr="00A55335">
        <w:fldChar w:fldCharType="begin"/>
      </w:r>
      <w:r w:rsidR="00F51520" w:rsidRPr="00A55335">
        <w:instrText xml:space="preserve"> SEQ Figure \* ARABIC </w:instrText>
      </w:r>
      <w:r w:rsidR="00F51520" w:rsidRPr="00A55335">
        <w:fldChar w:fldCharType="separate"/>
      </w:r>
      <w:r w:rsidR="00EB0A81">
        <w:rPr>
          <w:noProof/>
        </w:rPr>
        <w:t>95</w:t>
      </w:r>
      <w:r w:rsidR="00F51520" w:rsidRPr="00A55335">
        <w:fldChar w:fldCharType="end"/>
      </w:r>
      <w:r w:rsidRPr="00A55335">
        <w:tab/>
        <w:t xml:space="preserve">Forest plot of </w:t>
      </w:r>
      <w:r w:rsidR="00184D2E" w:rsidRPr="00A55335">
        <w:t xml:space="preserve">primary </w:t>
      </w:r>
      <w:r w:rsidRPr="00A55335">
        <w:t xml:space="preserve">comparison: Homeopathy vs </w:t>
      </w:r>
      <w:r w:rsidR="00E61691" w:rsidRPr="00A55335">
        <w:t xml:space="preserve">placebo </w:t>
      </w:r>
      <w:r w:rsidRPr="00A55335">
        <w:t xml:space="preserve">(no intervention, waitlist or usual care): Fatigue conditions </w:t>
      </w:r>
      <w:r w:rsidR="000C0E57">
        <w:t>–</w:t>
      </w:r>
      <w:r w:rsidRPr="00A55335">
        <w:t xml:space="preserve"> fatigue</w:t>
      </w:r>
      <w:bookmarkEnd w:id="493"/>
    </w:p>
    <w:p w14:paraId="6267AAC0" w14:textId="7E789951" w:rsidR="00DD505D" w:rsidRPr="00A55335" w:rsidRDefault="00030A5A" w:rsidP="00DD505D">
      <w:pPr>
        <w:pStyle w:val="Pic"/>
      </w:pPr>
      <w:r w:rsidRPr="00A55335">
        <w:rPr>
          <w:noProof/>
        </w:rPr>
        <w:drawing>
          <wp:inline distT="0" distB="0" distL="0" distR="0" wp14:anchorId="0004D6BB" wp14:editId="62957E0C">
            <wp:extent cx="6119763" cy="6530009"/>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33728" cy="6544910"/>
                    </a:xfrm>
                    <a:prstGeom prst="rect">
                      <a:avLst/>
                    </a:prstGeom>
                    <a:noFill/>
                    <a:ln>
                      <a:noFill/>
                    </a:ln>
                  </pic:spPr>
                </pic:pic>
              </a:graphicData>
            </a:graphic>
          </wp:inline>
        </w:drawing>
      </w:r>
    </w:p>
    <w:p w14:paraId="67826303" w14:textId="77777777" w:rsidR="00A62840" w:rsidRPr="00A55335" w:rsidRDefault="00A62840" w:rsidP="00A62840">
      <w:pPr>
        <w:pStyle w:val="TableFigNotes18"/>
      </w:pPr>
    </w:p>
    <w:p w14:paraId="3E0E6449" w14:textId="280FF0F0" w:rsidR="00DD505D" w:rsidRPr="00A55335" w:rsidRDefault="00DD505D" w:rsidP="00DD505D">
      <w:pPr>
        <w:pStyle w:val="Caption"/>
      </w:pPr>
      <w:bookmarkStart w:id="494" w:name="_Ref152252739"/>
      <w:bookmarkStart w:id="495" w:name="_Toc183520369"/>
      <w:r w:rsidRPr="00A55335">
        <w:lastRenderedPageBreak/>
        <w:t xml:space="preserve">Figure </w:t>
      </w:r>
      <w:r w:rsidRPr="00A55335">
        <w:fldChar w:fldCharType="begin"/>
      </w:r>
      <w:r w:rsidRPr="00A55335">
        <w:instrText xml:space="preserve"> SEQ Figure \* ARABIC </w:instrText>
      </w:r>
      <w:r w:rsidRPr="00A55335">
        <w:fldChar w:fldCharType="separate"/>
      </w:r>
      <w:r w:rsidR="00EB0A81">
        <w:rPr>
          <w:noProof/>
        </w:rPr>
        <w:t>96</w:t>
      </w:r>
      <w:r w:rsidRPr="00A55335">
        <w:fldChar w:fldCharType="end"/>
      </w:r>
      <w:bookmarkEnd w:id="494"/>
      <w:r w:rsidRPr="00A55335">
        <w:tab/>
        <w:t xml:space="preserve">Forest plot of </w:t>
      </w:r>
      <w:r w:rsidR="00184D2E" w:rsidRPr="00A55335">
        <w:t xml:space="preserve">primary </w:t>
      </w:r>
      <w:r w:rsidRPr="00A55335">
        <w:t xml:space="preserve">comparison: Homeopathy vs </w:t>
      </w:r>
      <w:r w:rsidR="00E61691" w:rsidRPr="00A55335">
        <w:t xml:space="preserve">placebo </w:t>
      </w:r>
      <w:r w:rsidRPr="00A55335">
        <w:t xml:space="preserve">(no intervention, waitlist or usual care): Fatigue conditions </w:t>
      </w:r>
      <w:r w:rsidR="000C0E57">
        <w:t>–</w:t>
      </w:r>
      <w:r w:rsidRPr="00A55335">
        <w:t xml:space="preserve"> </w:t>
      </w:r>
      <w:r w:rsidR="008B6C93" w:rsidRPr="00A55335">
        <w:t>q</w:t>
      </w:r>
      <w:r w:rsidRPr="00A55335">
        <w:t>uality of life</w:t>
      </w:r>
      <w:bookmarkEnd w:id="495"/>
    </w:p>
    <w:p w14:paraId="492A2ADF" w14:textId="77777777" w:rsidR="00DD505D" w:rsidRPr="00A55335" w:rsidRDefault="00DD505D" w:rsidP="00DD505D">
      <w:pPr>
        <w:pStyle w:val="Pic"/>
      </w:pPr>
      <w:r w:rsidRPr="00A55335">
        <w:rPr>
          <w:noProof/>
        </w:rPr>
        <w:drawing>
          <wp:inline distT="0" distB="0" distL="0" distR="0" wp14:anchorId="116992FF" wp14:editId="6D826BF7">
            <wp:extent cx="6178044" cy="3274828"/>
            <wp:effectExtent l="0" t="0" r="0" b="1905"/>
            <wp:docPr id="1803105524" name="Picture 180310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90420" cy="3281388"/>
                    </a:xfrm>
                    <a:prstGeom prst="rect">
                      <a:avLst/>
                    </a:prstGeom>
                    <a:noFill/>
                    <a:ln>
                      <a:noFill/>
                    </a:ln>
                  </pic:spPr>
                </pic:pic>
              </a:graphicData>
            </a:graphic>
          </wp:inline>
        </w:drawing>
      </w:r>
    </w:p>
    <w:p w14:paraId="4FF17A0B" w14:textId="77777777" w:rsidR="00A62840" w:rsidRPr="00A55335" w:rsidRDefault="00A62840" w:rsidP="00A62840">
      <w:pPr>
        <w:pStyle w:val="TableFigNotes18"/>
      </w:pPr>
    </w:p>
    <w:p w14:paraId="356664A4" w14:textId="43CDA7BA" w:rsidR="006E00A2" w:rsidRPr="00A55335" w:rsidRDefault="006E00A2" w:rsidP="00645730">
      <w:pPr>
        <w:pStyle w:val="BodyText"/>
      </w:pPr>
      <w:r w:rsidRPr="00A55335">
        <w:br w:type="page"/>
      </w:r>
    </w:p>
    <w:p w14:paraId="40E3458D" w14:textId="77777777" w:rsidR="00DD505D" w:rsidRPr="00A55335" w:rsidRDefault="00DD505D" w:rsidP="00C373A2">
      <w:pPr>
        <w:pStyle w:val="Heading2"/>
      </w:pPr>
      <w:bookmarkStart w:id="496" w:name="_Toc183441417"/>
      <w:r w:rsidRPr="00A55335">
        <w:lastRenderedPageBreak/>
        <w:t>Fibromyalgia</w:t>
      </w:r>
      <w:bookmarkEnd w:id="496"/>
    </w:p>
    <w:p w14:paraId="69F01906" w14:textId="77777777" w:rsidR="00DD505D" w:rsidRPr="00A55335" w:rsidRDefault="00DD505D" w:rsidP="004D433B">
      <w:pPr>
        <w:pStyle w:val="Heading3"/>
      </w:pPr>
      <w:bookmarkStart w:id="497" w:name="_Toc183441418"/>
      <w:r w:rsidRPr="00A55335">
        <w:t>Description of the condition</w:t>
      </w:r>
      <w:bookmarkEnd w:id="497"/>
    </w:p>
    <w:p w14:paraId="3AFCDD1D" w14:textId="7B87707D" w:rsidR="00DD505D" w:rsidRPr="00A55335" w:rsidRDefault="00DD505D" w:rsidP="00DD505D">
      <w:pPr>
        <w:pStyle w:val="BodyText"/>
      </w:pPr>
      <w:r w:rsidRPr="00A55335">
        <w:t xml:space="preserve">Fibromyalgia is a chronic condition defined as widespread and prolonged pain persisting for more than three months with pain on at least 11 of 18 specified tender points on the body when palpated </w:t>
      </w:r>
      <w:r w:rsidR="00A64F90" w:rsidRPr="00A55335">
        <w:fldChar w:fldCharType="begin"/>
      </w:r>
      <w:r w:rsidR="00EC2769">
        <w:instrText xml:space="preserve"> ADDIN EN.CITE &lt;EndNote&gt;&lt;Cite&gt;&lt;Author&gt;Wolfe&lt;/Author&gt;&lt;Year&gt;1990&lt;/Year&gt;&lt;RecNum&gt;503&lt;/RecNum&gt;&lt;DisplayText&gt;(350)&lt;/DisplayText&gt;&lt;record&gt;&lt;rec-number&gt;503&lt;/rec-number&gt;&lt;foreign-keys&gt;&lt;key app="EN" db-id="t5prptatr9sp0we5exbxt9zz20fwp55tdza9" timestamp="1700774036"&gt;503&lt;/key&gt;&lt;/foreign-keys&gt;&lt;ref-type name="Journal Article"&gt;17&lt;/ref-type&gt;&lt;contributors&gt;&lt;authors&gt;&lt;author&gt;Wolfe, F.&lt;/author&gt;&lt;author&gt;Smythe, H. A.&lt;/author&gt;&lt;author&gt;Yunus, M. B.&lt;/author&gt;&lt;author&gt;Bennett, R. M.&lt;/author&gt;&lt;author&gt;Bombardier, C.&lt;/author&gt;&lt;author&gt;Goldenberg, D. L.&lt;/author&gt;&lt;author&gt;Tugwell, P.&lt;/author&gt;&lt;author&gt;Campbell, S. M.&lt;/author&gt;&lt;author&gt;Abeles, M.&lt;/author&gt;&lt;author&gt;Clark, P.&lt;/author&gt;&lt;author&gt;et al.,&lt;/author&gt;&lt;/authors&gt;&lt;/contributors&gt;&lt;auth-address&gt;University of Kansas, Arthritis Center, Wichita 67214.&lt;/auth-address&gt;&lt;titles&gt;&lt;title&gt;The American College of Rheumatology 1990 Criteria for the Classification of Fibromyalgia. Report of the Multicenter Criteria Committee&lt;/title&gt;&lt;secondary-title&gt;Arthritis Rheum&lt;/secondary-title&gt;&lt;/titles&gt;&lt;periodical&gt;&lt;full-title&gt;Arthritis Rheum&lt;/full-title&gt;&lt;/periodical&gt;&lt;pages&gt;160-72&lt;/pages&gt;&lt;volume&gt;33&lt;/volume&gt;&lt;number&gt;2&lt;/number&gt;&lt;keywords&gt;&lt;keyword&gt;Adult&lt;/keyword&gt;&lt;keyword&gt;Age Factors&lt;/keyword&gt;&lt;keyword&gt;Analysis of Variance&lt;/keyword&gt;&lt;keyword&gt;Female&lt;/keyword&gt;&lt;keyword&gt;Fibromyalgia/*classification/diagnosis&lt;/keyword&gt;&lt;keyword&gt;Humans&lt;/keyword&gt;&lt;keyword&gt;Male&lt;/keyword&gt;&lt;keyword&gt;Middle Aged&lt;/keyword&gt;&lt;keyword&gt;Multivariate Analysis&lt;/keyword&gt;&lt;/keywords&gt;&lt;dates&gt;&lt;year&gt;1990&lt;/year&gt;&lt;pub-dates&gt;&lt;date&gt;Feb&lt;/date&gt;&lt;/pub-dates&gt;&lt;/dates&gt;&lt;isbn&gt;0004-3591 (Print)&amp;#xD;0004-3591 (Linking)&lt;/isbn&gt;&lt;accession-num&gt;2306288&lt;/accession-num&gt;&lt;urls&gt;&lt;related-urls&gt;&lt;url&gt;https://www.ncbi.nlm.nih.gov/pubmed/2306288&lt;/url&gt;&lt;/related-urls&gt;&lt;/urls&gt;&lt;electronic-resource-num&gt;10.1002/art.1780330203&lt;/electronic-resource-num&gt;&lt;remote-database-name&gt;Medline&lt;/remote-database-name&gt;&lt;remote-database-provider&gt;NLM&lt;/remote-database-provider&gt;&lt;language&gt;eng&lt;/language&gt;&lt;/record&gt;&lt;/Cite&gt;&lt;/EndNote&gt;</w:instrText>
      </w:r>
      <w:r w:rsidR="00A64F90" w:rsidRPr="00A55335">
        <w:fldChar w:fldCharType="separate"/>
      </w:r>
      <w:r w:rsidR="00EC2769">
        <w:rPr>
          <w:noProof/>
        </w:rPr>
        <w:t>(</w:t>
      </w:r>
      <w:hyperlink w:anchor="_ENREF_350" w:tooltip="Wolfe, 1990 #503" w:history="1">
        <w:r w:rsidR="00EC2769">
          <w:rPr>
            <w:noProof/>
          </w:rPr>
          <w:t>350</w:t>
        </w:r>
      </w:hyperlink>
      <w:r w:rsidR="00EC2769">
        <w:rPr>
          <w:noProof/>
        </w:rPr>
        <w:t>)</w:t>
      </w:r>
      <w:r w:rsidR="00A64F90" w:rsidRPr="00A55335">
        <w:fldChar w:fldCharType="end"/>
      </w:r>
      <w:r w:rsidRPr="00A55335">
        <w:t xml:space="preserve">. People diagnosed with fibromyalgia not only experience widespread pain but also experience poor sleep quality, fatigue, extreme sensitivity, irritable bowel (diarrhoea, stomach pain) and headaches </w:t>
      </w:r>
      <w:r w:rsidR="00017A33" w:rsidRPr="00A55335">
        <w:fldChar w:fldCharType="begin"/>
      </w:r>
      <w:r w:rsidR="00EC2769">
        <w:instrText xml:space="preserve"> ADDIN EN.CITE &lt;EndNote&gt;&lt;Cite&gt;&lt;Author&gt;Wolfe&lt;/Author&gt;&lt;Year&gt;1996&lt;/Year&gt;&lt;RecNum&gt;504&lt;/RecNum&gt;&lt;DisplayText&gt;(351)&lt;/DisplayText&gt;&lt;record&gt;&lt;rec-number&gt;504&lt;/rec-number&gt;&lt;foreign-keys&gt;&lt;key app="EN" db-id="t5prptatr9sp0we5exbxt9zz20fwp55tdza9" timestamp="1700774036"&gt;504&lt;/key&gt;&lt;/foreign-keys&gt;&lt;ref-type name="Journal Article"&gt;17&lt;/ref-type&gt;&lt;contributors&gt;&lt;authors&gt;&lt;author&gt;Wolfe, F.&lt;/author&gt;&lt;/authors&gt;&lt;/contributors&gt;&lt;auth-address&gt;University of Kansas School of Medicine, Wichita 67214, USA.&lt;/auth-address&gt;&lt;titles&gt;&lt;title&gt;The fibromyalgia syndrome: a consensus report on fibromyalgia and disability&lt;/title&gt;&lt;secondary-title&gt;J Rheumatol&lt;/secondary-title&gt;&lt;/titles&gt;&lt;periodical&gt;&lt;full-title&gt;J Rheumatol&lt;/full-title&gt;&lt;/periodical&gt;&lt;pages&gt;534-9&lt;/pages&gt;&lt;volume&gt;23&lt;/volume&gt;&lt;number&gt;3&lt;/number&gt;&lt;keywords&gt;&lt;keyword&gt;British Columbia&lt;/keyword&gt;&lt;keyword&gt;*Disability Evaluation&lt;/keyword&gt;&lt;keyword&gt;*Fibromyalgia/diagnosis/etiology/therapy&lt;/keyword&gt;&lt;keyword&gt;Humans&lt;/keyword&gt;&lt;/keywords&gt;&lt;dates&gt;&lt;year&gt;1996&lt;/year&gt;&lt;pub-dates&gt;&lt;date&gt;Mar&lt;/date&gt;&lt;/pub-dates&gt;&lt;/dates&gt;&lt;isbn&gt;0315-162X (Print)&amp;#xD;0315-162X (Linking)&lt;/isbn&gt;&lt;accession-num&gt;8832998&lt;/accession-num&gt;&lt;urls&gt;&lt;related-urls&gt;&lt;url&gt;https://www.ncbi.nlm.nih.gov/pubmed/8832998&lt;/url&gt;&lt;/related-urls&gt;&lt;/urls&gt;&lt;remote-database-name&gt;Medline&lt;/remote-database-name&gt;&lt;remote-database-provider&gt;NLM&lt;/remote-database-provider&gt;&lt;language&gt;eng&lt;/language&gt;&lt;/record&gt;&lt;/Cite&gt;&lt;/EndNote&gt;</w:instrText>
      </w:r>
      <w:r w:rsidR="00017A33" w:rsidRPr="00A55335">
        <w:fldChar w:fldCharType="separate"/>
      </w:r>
      <w:r w:rsidR="00EC2769">
        <w:rPr>
          <w:noProof/>
        </w:rPr>
        <w:t>(</w:t>
      </w:r>
      <w:hyperlink w:anchor="_ENREF_351" w:tooltip="Wolfe, 1996 #504" w:history="1">
        <w:r w:rsidR="00EC2769">
          <w:rPr>
            <w:noProof/>
          </w:rPr>
          <w:t>351</w:t>
        </w:r>
      </w:hyperlink>
      <w:r w:rsidR="00EC2769">
        <w:rPr>
          <w:noProof/>
        </w:rPr>
        <w:t>)</w:t>
      </w:r>
      <w:r w:rsidR="00017A33" w:rsidRPr="00A55335">
        <w:fldChar w:fldCharType="end"/>
      </w:r>
      <w:r w:rsidRPr="00A55335">
        <w:t xml:space="preserve">. Fibromyalgia can be difficult to diagnose as there is no single diagnostic test, symptoms may fluctuate from day to day, and it often co-exists with other chronic illnesses such as arthritis, depression, or sleep apnoea </w:t>
      </w:r>
      <w:r w:rsidR="00017A33" w:rsidRPr="00A55335">
        <w:fldChar w:fldCharType="begin"/>
      </w:r>
      <w:r w:rsidR="00EC2769">
        <w:instrText xml:space="preserve"> ADDIN EN.CITE &lt;EndNote&gt;&lt;Cite&gt;&lt;Author&gt;Guymer&lt;/Author&gt;&lt;Year&gt;2013&lt;/Year&gt;&lt;RecNum&gt;505&lt;/RecNum&gt;&lt;DisplayText&gt;(352)&lt;/DisplayText&gt;&lt;record&gt;&lt;rec-number&gt;505&lt;/rec-number&gt;&lt;foreign-keys&gt;&lt;key app="EN" db-id="t5prptatr9sp0we5exbxt9zz20fwp55tdza9" timestamp="1700774036"&gt;505&lt;/key&gt;&lt;/foreign-keys&gt;&lt;ref-type name="Journal Article"&gt;17&lt;/ref-type&gt;&lt;contributors&gt;&lt;authors&gt;&lt;author&gt;Guymer, E.&lt;/author&gt;&lt;author&gt;Littlejohn, G.&lt;/author&gt;&lt;/authors&gt;&lt;/contributors&gt;&lt;auth-address&gt;MBBS, FRACP, is a Rheumatologist and Head of the Fibromyalgia Clinic, Department of Rheumatology, Monash Medical Centre, Melbourne, and Adjunct Lecturer, Department of Medicine, Monash University, Melbourne, Victoria.&lt;/auth-address&gt;&lt;titles&gt;&lt;title&gt;Fibromylagia&lt;/title&gt;&lt;secondary-title&gt;Aust Fam Physician&lt;/secondary-title&gt;&lt;/titles&gt;&lt;periodical&gt;&lt;full-title&gt;Aust Fam Physician&lt;/full-title&gt;&lt;/periodical&gt;&lt;pages&gt;690-4&lt;/pages&gt;&lt;volume&gt;42&lt;/volume&gt;&lt;number&gt;10&lt;/number&gt;&lt;keywords&gt;&lt;keyword&gt;Analgesics/therapeutic use&lt;/keyword&gt;&lt;keyword&gt;Antidepressive Agents/therapeutic use&lt;/keyword&gt;&lt;keyword&gt;Cognitive Behavioral Therapy&lt;/keyword&gt;&lt;keyword&gt;Exercise&lt;/keyword&gt;&lt;keyword&gt;Fatigue/etiology&lt;/keyword&gt;&lt;keyword&gt;Fibromyalgia/complications/*diagnosis/*therapy&lt;/keyword&gt;&lt;keyword&gt;Humans&lt;/keyword&gt;&lt;keyword&gt;Musculoskeletal Pain/etiology&lt;/keyword&gt;&lt;keyword&gt;Patient Education as Topic&lt;/keyword&gt;&lt;keyword&gt;Sleep Disorders, Intrinsic/etiology&lt;/keyword&gt;&lt;/keywords&gt;&lt;dates&gt;&lt;year&gt;2013&lt;/year&gt;&lt;pub-dates&gt;&lt;date&gt;Oct&lt;/date&gt;&lt;/pub-dates&gt;&lt;/dates&gt;&lt;isbn&gt;0300-8495 (Print)&amp;#xD;0300-8495 (Linking)&lt;/isbn&gt;&lt;accession-num&gt;24130969&lt;/accession-num&gt;&lt;urls&gt;&lt;related-urls&gt;&lt;url&gt;https://www.ncbi.nlm.nih.gov/pubmed/24130969&lt;/url&gt;&lt;/related-urls&gt;&lt;/urls&gt;&lt;remote-database-name&gt;Medline&lt;/remote-database-name&gt;&lt;remote-database-provider&gt;NLM&lt;/remote-database-provider&gt;&lt;language&gt;eng&lt;/language&gt;&lt;/record&gt;&lt;/Cite&gt;&lt;/EndNote&gt;</w:instrText>
      </w:r>
      <w:r w:rsidR="00017A33" w:rsidRPr="00A55335">
        <w:fldChar w:fldCharType="separate"/>
      </w:r>
      <w:r w:rsidR="00EC2769">
        <w:rPr>
          <w:noProof/>
        </w:rPr>
        <w:t>(</w:t>
      </w:r>
      <w:hyperlink w:anchor="_ENREF_352" w:tooltip="Guymer, 2013 #505" w:history="1">
        <w:r w:rsidR="00EC2769">
          <w:rPr>
            <w:noProof/>
          </w:rPr>
          <w:t>352</w:t>
        </w:r>
      </w:hyperlink>
      <w:r w:rsidR="00EC2769">
        <w:rPr>
          <w:noProof/>
        </w:rPr>
        <w:t>)</w:t>
      </w:r>
      <w:r w:rsidR="00017A33" w:rsidRPr="00A55335">
        <w:fldChar w:fldCharType="end"/>
      </w:r>
      <w:r w:rsidRPr="00A55335">
        <w:t xml:space="preserve">. In a North American survey, approximately half of the participants surveyed had consulted three to six healthcare professionals before receiving their diagnosis </w:t>
      </w:r>
      <w:r w:rsidR="00017A33" w:rsidRPr="00A55335">
        <w:fldChar w:fldCharType="begin"/>
      </w:r>
      <w:r w:rsidR="00EC2769">
        <w:instrText xml:space="preserve"> ADDIN EN.CITE &lt;EndNote&gt;&lt;Cite&gt;&lt;Author&gt;Bennett&lt;/Author&gt;&lt;Year&gt;2007&lt;/Year&gt;&lt;RecNum&gt;506&lt;/RecNum&gt;&lt;DisplayText&gt;(353)&lt;/DisplayText&gt;&lt;record&gt;&lt;rec-number&gt;506&lt;/rec-number&gt;&lt;foreign-keys&gt;&lt;key app="EN" db-id="t5prptatr9sp0we5exbxt9zz20fwp55tdza9" timestamp="1700774036"&gt;506&lt;/key&gt;&lt;/foreign-keys&gt;&lt;ref-type name="Journal Article"&gt;17&lt;/ref-type&gt;&lt;contributors&gt;&lt;authors&gt;&lt;author&gt;Bennett, R. M.&lt;/author&gt;&lt;author&gt;Jones, J.&lt;/author&gt;&lt;author&gt;Turk, D. C.&lt;/author&gt;&lt;author&gt;Russell, I. J.&lt;/author&gt;&lt;author&gt;Matallana, L.&lt;/author&gt;&lt;/authors&gt;&lt;/contributors&gt;&lt;auth-address&gt;Oregon Health &amp;amp; Science University, Portland, OR, USA. bennetrob1@comcast.net&lt;/auth-address&gt;&lt;titles&gt;&lt;title&gt;An internet survey of 2,596 people with fibromyalgia&lt;/title&gt;&lt;secondary-title&gt;BMC Musculoskelet Disord&lt;/secondary-title&gt;&lt;/titles&gt;&lt;periodical&gt;&lt;full-title&gt;BMC Musculoskelet Disord&lt;/full-title&gt;&lt;/periodical&gt;&lt;pages&gt;27&lt;/pages&gt;&lt;volume&gt;8&lt;/volume&gt;&lt;edition&gt;20070309&lt;/edition&gt;&lt;keywords&gt;&lt;keyword&gt;Adult&lt;/keyword&gt;&lt;keyword&gt;Female&lt;/keyword&gt;&lt;keyword&gt;Fibromyalgia/*epidemiology/physiopathology/psychology&lt;/keyword&gt;&lt;keyword&gt;*Health Surveys&lt;/keyword&gt;&lt;keyword&gt;Humans&lt;/keyword&gt;&lt;keyword&gt;*Internet&lt;/keyword&gt;&lt;keyword&gt;Male&lt;/keyword&gt;&lt;keyword&gt;Middle Aged&lt;/keyword&gt;&lt;keyword&gt;Pain Measurement&lt;/keyword&gt;&lt;/keywords&gt;&lt;dates&gt;&lt;year&gt;2007&lt;/year&gt;&lt;pub-dates&gt;&lt;date&gt;Mar 9&lt;/date&gt;&lt;/pub-dates&gt;&lt;/dates&gt;&lt;isbn&gt;1471-2474 (Electronic)&amp;#xD;1471-2474 (Linking)&lt;/isbn&gt;&lt;accession-num&gt;17349056&lt;/accession-num&gt;&lt;urls&gt;&lt;related-urls&gt;&lt;url&gt;https://www.ncbi.nlm.nih.gov/pubmed/17349056&lt;/url&gt;&lt;/related-urls&gt;&lt;/urls&gt;&lt;custom2&gt;PMC1829161&lt;/custom2&gt;&lt;electronic-resource-num&gt;10.1186/1471-2474-8-27&lt;/electronic-resource-num&gt;&lt;remote-database-name&gt;Medline&lt;/remote-database-name&gt;&lt;remote-database-provider&gt;NLM&lt;/remote-database-provider&gt;&lt;language&gt;eng&lt;/language&gt;&lt;/record&gt;&lt;/Cite&gt;&lt;/EndNote&gt;</w:instrText>
      </w:r>
      <w:r w:rsidR="00017A33" w:rsidRPr="00A55335">
        <w:fldChar w:fldCharType="separate"/>
      </w:r>
      <w:r w:rsidR="00EC2769">
        <w:rPr>
          <w:noProof/>
        </w:rPr>
        <w:t>(</w:t>
      </w:r>
      <w:hyperlink w:anchor="_ENREF_353" w:tooltip="Bennett, 2007 #506" w:history="1">
        <w:r w:rsidR="00EC2769">
          <w:rPr>
            <w:noProof/>
          </w:rPr>
          <w:t>353</w:t>
        </w:r>
      </w:hyperlink>
      <w:r w:rsidR="00EC2769">
        <w:rPr>
          <w:noProof/>
        </w:rPr>
        <w:t>)</w:t>
      </w:r>
      <w:r w:rsidR="00017A33" w:rsidRPr="00A55335">
        <w:fldChar w:fldCharType="end"/>
      </w:r>
      <w:r w:rsidRPr="00A55335">
        <w:t>.</w:t>
      </w:r>
    </w:p>
    <w:p w14:paraId="66B34707" w14:textId="77633374" w:rsidR="00F56F09" w:rsidRPr="00A55335" w:rsidRDefault="00DD505D" w:rsidP="00DD505D">
      <w:pPr>
        <w:pStyle w:val="BodyText"/>
      </w:pPr>
      <w:r w:rsidRPr="00A55335">
        <w:t xml:space="preserve">Fibromyalgia is a disabling condition that can affect all aspects of life, including work, family, and leisure </w:t>
      </w:r>
      <w:r w:rsidR="00017A33" w:rsidRPr="00A55335">
        <w:fldChar w:fldCharType="begin"/>
      </w:r>
      <w:r w:rsidR="00EC2769">
        <w:instrText xml:space="preserve"> ADDIN EN.CITE &lt;EndNote&gt;&lt;Cite&gt;&lt;Author&gt;Busch&lt;/Author&gt;&lt;Year&gt;2007&lt;/Year&gt;&lt;RecNum&gt;507&lt;/RecNum&gt;&lt;DisplayText&gt;(354)&lt;/DisplayText&gt;&lt;record&gt;&lt;rec-number&gt;507&lt;/rec-number&gt;&lt;foreign-keys&gt;&lt;key app="EN" db-id="t5prptatr9sp0we5exbxt9zz20fwp55tdza9" timestamp="1700774036"&gt;507&lt;/key&gt;&lt;/foreign-keys&gt;&lt;ref-type name="Journal Article"&gt;17&lt;/ref-type&gt;&lt;contributors&gt;&lt;authors&gt;&lt;author&gt;Busch, A. J.&lt;/author&gt;&lt;author&gt;Barber, K. A.&lt;/author&gt;&lt;author&gt;Overend, T. J.&lt;/author&gt;&lt;author&gt;Peloso, P. M.&lt;/author&gt;&lt;author&gt;Schachter, C. L.&lt;/author&gt;&lt;/authors&gt;&lt;/contributors&gt;&lt;auth-address&gt;University of Saskatchewan, School of Physical Therapy, 1121 College Drive, Saskatoon, Saskatchewan, Canada, S7N 0W3. busch@usask.ca&lt;/auth-address&gt;&lt;titles&gt;&lt;title&gt;Exercise for treating fibromyalgia syndrome&lt;/title&gt;&lt;secondary-title&gt;Cochrane Database Syst Rev&lt;/secondary-title&gt;&lt;/titles&gt;&lt;periodical&gt;&lt;full-title&gt;Cochrane Database Syst Rev&lt;/full-title&gt;&lt;/periodical&gt;&lt;pages&gt;CD003786&lt;/pages&gt;&lt;number&gt;4&lt;/number&gt;&lt;edition&gt;20071017&lt;/edition&gt;&lt;keywords&gt;&lt;keyword&gt;*Exercise&lt;/keyword&gt;&lt;keyword&gt;Exercise Tolerance&lt;/keyword&gt;&lt;keyword&gt;Fibromyalgia/*rehabilitation&lt;/keyword&gt;&lt;keyword&gt;Humans&lt;/keyword&gt;&lt;keyword&gt;Randomized Controlled Trials as Topic&lt;/keyword&gt;&lt;/keywords&gt;&lt;dates&gt;&lt;year&gt;2007&lt;/year&gt;&lt;pub-dates&gt;&lt;date&gt;Oct 17&lt;/date&gt;&lt;/pub-dates&gt;&lt;/dates&gt;&lt;isbn&gt;1469-493X (Electronic)&amp;#xD;1361-6137 (Linking)&lt;/isbn&gt;&lt;accession-num&gt;17943797&lt;/accession-num&gt;&lt;urls&gt;&lt;related-urls&gt;&lt;url&gt;https://www.ncbi.nlm.nih.gov/pubmed/17943797&lt;/url&gt;&lt;/related-urls&gt;&lt;/urls&gt;&lt;electronic-resource-num&gt;10.1002/14651858.CD003786.pub2&lt;/electronic-resource-num&gt;&lt;remote-database-name&gt;Medline&lt;/remote-database-name&gt;&lt;remote-database-provider&gt;NLM&lt;/remote-database-provider&gt;&lt;language&gt;eng&lt;/language&gt;&lt;/record&gt;&lt;/Cite&gt;&lt;/EndNote&gt;</w:instrText>
      </w:r>
      <w:r w:rsidR="00017A33" w:rsidRPr="00A55335">
        <w:fldChar w:fldCharType="separate"/>
      </w:r>
      <w:r w:rsidR="00EC2769">
        <w:rPr>
          <w:noProof/>
        </w:rPr>
        <w:t>(</w:t>
      </w:r>
      <w:hyperlink w:anchor="_ENREF_354" w:tooltip="Busch, 2007 #507" w:history="1">
        <w:r w:rsidR="00EC2769">
          <w:rPr>
            <w:noProof/>
          </w:rPr>
          <w:t>354</w:t>
        </w:r>
      </w:hyperlink>
      <w:r w:rsidR="00EC2769">
        <w:rPr>
          <w:noProof/>
        </w:rPr>
        <w:t>)</w:t>
      </w:r>
      <w:r w:rsidR="00017A33" w:rsidRPr="00A55335">
        <w:fldChar w:fldCharType="end"/>
      </w:r>
      <w:r w:rsidRPr="00A55335">
        <w:t xml:space="preserve">. In Australia, fibromyalgia is estimated to affect approximately 3-5% of the population, equating to as many as 1 million Australians, and although it can affect people of all ages, it has a significantly higher prevalence in females </w:t>
      </w:r>
      <w:r w:rsidR="00EF2C07" w:rsidRPr="00A55335">
        <w:fldChar w:fldCharType="begin"/>
      </w:r>
      <w:r w:rsidR="00EC2769">
        <w:instrText xml:space="preserve"> ADDIN EN.CITE &lt;EndNote&gt;&lt;Cite&gt;&lt;RecNum&gt;508&lt;/RecNum&gt;&lt;DisplayText&gt;(355)&lt;/DisplayText&gt;&lt;record&gt;&lt;rec-number&gt;508&lt;/rec-number&gt;&lt;foreign-keys&gt;&lt;key app="EN" db-id="t5prptatr9sp0we5exbxt9zz20fwp55tdza9" timestamp="1700774036"&gt;508&lt;/key&gt;&lt;/foreign-keys&gt;&lt;ref-type name="Pamphlet"&gt;24&lt;/ref-type&gt;&lt;contributors&gt;&lt;secondary-authors&gt;&lt;author&gt;Fibromyalgia Australia&lt;/author&gt;&lt;/secondary-authors&gt;&lt;/contributors&gt;&lt;titles&gt;&lt;title&gt;What is Fibromyalgia?&lt;/title&gt;&lt;/titles&gt;&lt;edition&gt; Patient Leaflet 1 ed2020&lt;/edition&gt;&lt;dates&gt;&lt;/dates&gt;&lt;publisher&gt;Bridges &amp;amp; Pathways Institute Inc&lt;/publisher&gt;&lt;urls&gt;&lt;/urls&gt;&lt;/record&gt;&lt;/Cite&gt;&lt;/EndNote&gt;</w:instrText>
      </w:r>
      <w:r w:rsidR="00EF2C07" w:rsidRPr="00A55335">
        <w:fldChar w:fldCharType="separate"/>
      </w:r>
      <w:r w:rsidR="00EC2769">
        <w:rPr>
          <w:noProof/>
        </w:rPr>
        <w:t>(</w:t>
      </w:r>
      <w:hyperlink w:anchor="_ENREF_355" w:tooltip=",  #508" w:history="1">
        <w:r w:rsidR="00EC2769">
          <w:rPr>
            <w:noProof/>
          </w:rPr>
          <w:t>355</w:t>
        </w:r>
      </w:hyperlink>
      <w:r w:rsidR="00EC2769">
        <w:rPr>
          <w:noProof/>
        </w:rPr>
        <w:t>)</w:t>
      </w:r>
      <w:r w:rsidR="00EF2C07" w:rsidRPr="00A55335">
        <w:fldChar w:fldCharType="end"/>
      </w:r>
      <w:r w:rsidRPr="00A55335">
        <w:t>.</w:t>
      </w:r>
      <w:r w:rsidR="00C75ADF" w:rsidRPr="00A55335">
        <w:t xml:space="preserve"> </w:t>
      </w:r>
    </w:p>
    <w:p w14:paraId="11BB6486" w14:textId="1618C733" w:rsidR="00DD505D" w:rsidRPr="00A55335" w:rsidRDefault="00DD505D" w:rsidP="00DD505D">
      <w:pPr>
        <w:pStyle w:val="BodyText"/>
      </w:pPr>
      <w:r w:rsidRPr="00A55335">
        <w:t xml:space="preserve">For those who are successfully diagnosed, management of symptoms is the mainstay of treatment, with various drug and non-drug treatments playing a supportive role in managing pain, promoting sleep and reducing stress. The complex nature of fibromyalgia symptoms can lead </w:t>
      </w:r>
      <w:r w:rsidR="00E97250">
        <w:t xml:space="preserve">people </w:t>
      </w:r>
      <w:r w:rsidRPr="00A55335">
        <w:t xml:space="preserve">to seek complementary or alternative medicines such as homeopathy </w:t>
      </w:r>
      <w:r w:rsidR="00635FCD" w:rsidRPr="00A55335">
        <w:fldChar w:fldCharType="begin"/>
      </w:r>
      <w:r w:rsidR="00EC2769">
        <w:instrText xml:space="preserve"> ADDIN EN.CITE &lt;EndNote&gt;&lt;Cite&gt;&lt;Author&gt;Boehm&lt;/Author&gt;&lt;Year&gt;2014&lt;/Year&gt;&lt;RecNum&gt;608&lt;/RecNum&gt;&lt;DisplayText&gt;(356)&lt;/DisplayText&gt;&lt;record&gt;&lt;rec-number&gt;608&lt;/rec-number&gt;&lt;foreign-keys&gt;&lt;key app="EN" db-id="t5prptatr9sp0we5exbxt9zz20fwp55tdza9" timestamp="1700802232"&gt;608&lt;/key&gt;&lt;/foreign-keys&gt;&lt;ref-type name="Journal Article"&gt;17&lt;/ref-type&gt;&lt;contributors&gt;&lt;authors&gt;&lt;author&gt;Boehm, Katja&lt;/author&gt;&lt;author&gt;Raak, Christa&lt;/author&gt;&lt;author&gt;Cramer, Holger&lt;/author&gt;&lt;author&gt;Lauche, Romy&lt;/author&gt;&lt;author&gt;Ostermann, Thomas&lt;/author&gt;&lt;/authors&gt;&lt;/contributors&gt;&lt;titles&gt;&lt;title&gt;Homeopathy in the treatment of fibromyalgia—A comprehensive literature-review and meta-analysis&lt;/title&gt;&lt;secondary-title&gt;Complementary Therapies in Medicine&lt;/secondary-title&gt;&lt;/titles&gt;&lt;periodical&gt;&lt;full-title&gt;Complementary Therapies in Medicine&lt;/full-title&gt;&lt;/periodical&gt;&lt;pages&gt;731-742&lt;/pages&gt;&lt;volume&gt;22&lt;/volume&gt;&lt;number&gt;4&lt;/number&gt;&lt;keywords&gt;&lt;keyword&gt;Fibromyalgia&lt;/keyword&gt;&lt;keyword&gt;Homeopathy&lt;/keyword&gt;&lt;keyword&gt;Review&lt;/keyword&gt;&lt;keyword&gt;Meta-analysis&lt;/keyword&gt;&lt;/keywords&gt;&lt;dates&gt;&lt;year&gt;2014&lt;/year&gt;&lt;pub-dates&gt;&lt;date&gt;2014/08/01/&lt;/date&gt;&lt;/pub-dates&gt;&lt;/dates&gt;&lt;isbn&gt;0965-2299&lt;/isbn&gt;&lt;urls&gt;&lt;related-urls&gt;&lt;url&gt;https://www.sciencedirect.com/science/article/pii/S0965229914001034&lt;/url&gt;&lt;/related-urls&gt;&lt;/urls&gt;&lt;electronic-resource-num&gt;https://doi.org/10.1016/j.ctim.2014.06.005&lt;/electronic-resource-num&gt;&lt;/record&gt;&lt;/Cite&gt;&lt;/EndNote&gt;</w:instrText>
      </w:r>
      <w:r w:rsidR="00635FCD" w:rsidRPr="00A55335">
        <w:fldChar w:fldCharType="separate"/>
      </w:r>
      <w:r w:rsidR="00EC2769">
        <w:rPr>
          <w:noProof/>
        </w:rPr>
        <w:t>(</w:t>
      </w:r>
      <w:hyperlink w:anchor="_ENREF_356" w:tooltip="Boehm, 2014 #608" w:history="1">
        <w:r w:rsidR="00EC2769">
          <w:rPr>
            <w:noProof/>
          </w:rPr>
          <w:t>356</w:t>
        </w:r>
      </w:hyperlink>
      <w:r w:rsidR="00EC2769">
        <w:rPr>
          <w:noProof/>
        </w:rPr>
        <w:t>)</w:t>
      </w:r>
      <w:r w:rsidR="00635FCD" w:rsidRPr="00A55335">
        <w:fldChar w:fldCharType="end"/>
      </w:r>
      <w:r w:rsidRPr="00A55335">
        <w:t>.</w:t>
      </w:r>
    </w:p>
    <w:p w14:paraId="5D0C2AFD" w14:textId="77777777" w:rsidR="00DD505D" w:rsidRPr="00A55335" w:rsidRDefault="00DD505D" w:rsidP="004D433B">
      <w:pPr>
        <w:pStyle w:val="Heading3"/>
      </w:pPr>
      <w:bookmarkStart w:id="498" w:name="_Toc183441419"/>
      <w:r w:rsidRPr="00A55335">
        <w:t>Description of studies</w:t>
      </w:r>
      <w:bookmarkEnd w:id="498"/>
      <w:r w:rsidRPr="00A55335">
        <w:t xml:space="preserve"> </w:t>
      </w:r>
    </w:p>
    <w:p w14:paraId="36DA2299" w14:textId="6B21FC73" w:rsidR="00DD505D" w:rsidRPr="00A55335" w:rsidRDefault="00DD505D" w:rsidP="00DD505D">
      <w:pPr>
        <w:pStyle w:val="BodyText"/>
      </w:pPr>
      <w:r w:rsidRPr="00A55335">
        <w:t xml:space="preserve">Seven citations </w:t>
      </w:r>
      <w:r w:rsidR="00A273E4" w:rsidRPr="00A55335">
        <w:fldChar w:fldCharType="begin">
          <w:fldData xml:space="preserve">ZWNvbmRhcnktdGl0bGU+PC90aXRsZXM+PHBlcmlvZGljYWw+PGZ1bGwtdGl0bGU+SW50ZXJuYXRp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</w:fldData>
        </w:fldChar>
      </w:r>
      <w:r w:rsidR="00EC2769">
        <w:instrText xml:space="preserve"> ADDIN EN.CITE </w:instrText>
      </w:r>
      <w:r w:rsidR="00EC2769">
        <w:fldChar w:fldCharType="begin">
          <w:fldData xml:space="preserve">PEVuZE5vdGU+PENpdGU+PEF1dGhvcj5CZWxsPC9BdXRob3I+PFllYXI+MjAwNDwvWWVhcj48UmVj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==
</w:fldData>
        </w:fldChar>
      </w:r>
      <w:r w:rsidR="00EC2769">
        <w:instrText xml:space="preserve"> ADDIN EN.CITE.DATA </w:instrText>
      </w:r>
      <w:r w:rsidR="00EC2769">
        <w:fldChar w:fldCharType="end"/>
      </w:r>
      <w:r w:rsidR="00EC2769">
        <w:fldChar w:fldCharType="begin">
          <w:fldData xml:space="preserve">bCByZXNlYXJjaCBlZC4pPC9mdWxsLXRpdGxlPjwvcGVyaW9kaWNhbD48cGFnZXM+MzY1LTM2Njwv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==
</w:fldData>
        </w:fldChar>
      </w:r>
      <w:r w:rsidR="00EC2769">
        <w:instrText xml:space="preserve"> ADDIN EN.CITE.DATA </w:instrText>
      </w:r>
      <w:r w:rsidR="00EC2769">
        <w:fldChar w:fldCharType="end"/>
      </w:r>
      <w:r w:rsidR="00EC2769">
        <w:fldChar w:fldCharType="begin">
          <w:fldData xml:space="preserve">ZWNvbmRhcnktdGl0bGU+PC90aXRsZXM+PHBlcmlvZGljYWw+PGZ1bGwtdGl0bGU+SW50ZXJuYXRp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</w:fldData>
        </w:fldChar>
      </w:r>
      <w:r w:rsidR="00EC2769">
        <w:instrText xml:space="preserve"> ADDIN EN.CITE.DATA </w:instrText>
      </w:r>
      <w:r w:rsidR="00EC2769">
        <w:fldChar w:fldCharType="end"/>
      </w:r>
      <w:r w:rsidR="00A273E4" w:rsidRPr="00A55335">
        <w:fldChar w:fldCharType="separate"/>
      </w:r>
      <w:r w:rsidR="00EC2769">
        <w:rPr>
          <w:noProof/>
        </w:rPr>
        <w:t>(</w:t>
      </w:r>
      <w:hyperlink w:anchor="_ENREF_357" w:tooltip="Bell, 2004 #510" w:history="1">
        <w:r w:rsidR="00EC2769">
          <w:rPr>
            <w:noProof/>
          </w:rPr>
          <w:t>357-363</w:t>
        </w:r>
      </w:hyperlink>
      <w:r w:rsidR="00EC2769">
        <w:rPr>
          <w:noProof/>
        </w:rPr>
        <w:t>)</w:t>
      </w:r>
      <w:r w:rsidR="00A273E4" w:rsidRPr="00A55335">
        <w:fldChar w:fldCharType="end"/>
      </w:r>
      <w:r w:rsidR="001D14E8" w:rsidRPr="00A55335">
        <w:t xml:space="preserve"> corresponding to 2 RCTs (Bell 2004, Relton 2009) and one quasi RCT (Fisher 1988) were identified in the literature. </w:t>
      </w:r>
      <w:r w:rsidRPr="00A55335">
        <w:t xml:space="preserve">Seven citations </w:t>
      </w:r>
      <w:r w:rsidR="00A273E4" w:rsidRPr="00A55335">
        <w:fldChar w:fldCharType="begin">
          <w:fldData xml:space="preserve">PEVuZE5vdGU+PENpdGU+PEF1dGhvcj5CZWxsPC9BdXRob3I+PFllYXI+MjAwNDwvWWVhcj48UmVj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</w:fldData>
        </w:fldChar>
      </w:r>
      <w:r w:rsidR="00EC2769">
        <w:instrText xml:space="preserve"> ADDIN EN.CITE </w:instrText>
      </w:r>
      <w:r w:rsidR="00EC2769">
        <w:fldChar w:fldCharType="begin">
          <w:fldData xml:space="preserve">PEVuZE5vdGU+PENpdGU+PEF1dGhvcj5CZWxsPC9BdXRob3I+PFllYXI+MjAwNDwvWWVhcj48UmVj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</w:fldData>
        </w:fldChar>
      </w:r>
      <w:r w:rsidR="00EC2769">
        <w:instrText xml:space="preserve"> ADDIN EN.CITE.DATA </w:instrText>
      </w:r>
      <w:r w:rsidR="00EC2769">
        <w:fldChar w:fldCharType="end"/>
      </w:r>
      <w:r w:rsidR="00A273E4" w:rsidRPr="00A55335">
        <w:fldChar w:fldCharType="separate"/>
      </w:r>
      <w:r w:rsidR="00EC2769">
        <w:rPr>
          <w:noProof/>
        </w:rPr>
        <w:t>(</w:t>
      </w:r>
      <w:hyperlink w:anchor="_ENREF_357" w:tooltip="Bell, 2004 #510" w:history="1">
        <w:r w:rsidR="00EC2769">
          <w:rPr>
            <w:noProof/>
          </w:rPr>
          <w:t>357-363</w:t>
        </w:r>
      </w:hyperlink>
      <w:r w:rsidR="00EC2769">
        <w:rPr>
          <w:noProof/>
        </w:rPr>
        <w:t>)</w:t>
      </w:r>
      <w:r w:rsidR="00A273E4" w:rsidRPr="00A55335">
        <w:fldChar w:fldCharType="end"/>
      </w:r>
      <w:r w:rsidR="00703EA3" w:rsidRPr="00A55335">
        <w:t xml:space="preserve"> </w:t>
      </w:r>
      <w:r w:rsidRPr="00A55335">
        <w:t>corresponding to 2 RCTs (Bell 2004, Relton 2009) and</w:t>
      </w:r>
      <w:r w:rsidR="00980CA0" w:rsidRPr="00A55335">
        <w:t xml:space="preserve"> one </w:t>
      </w:r>
      <w:r w:rsidRPr="00A55335">
        <w:t xml:space="preserve">quasi RCT (Fisher 1988) were identified in the literature. </w:t>
      </w:r>
      <w:r w:rsidR="00C11CEA" w:rsidRPr="00A55335">
        <w:t xml:space="preserve">No additional studies were identified in the Department’s public call for evidence. </w:t>
      </w:r>
      <w:r w:rsidRPr="00A55335">
        <w:t xml:space="preserve">There were no </w:t>
      </w:r>
      <w:hyperlink w:anchor="_Ongoing_studies" w:history="1">
        <w:r w:rsidRPr="00A55335">
          <w:rPr>
            <w:rStyle w:val="Hyperlink"/>
          </w:rPr>
          <w:t>ongoing studies</w:t>
        </w:r>
      </w:hyperlink>
      <w:r w:rsidR="00C11CEA" w:rsidRPr="00A55335">
        <w:t xml:space="preserve"> and</w:t>
      </w:r>
      <w:r w:rsidRPr="00A55335">
        <w:t xml:space="preserve"> 2 </w:t>
      </w:r>
      <w:hyperlink w:anchor="_Studies_awaiting_classification" w:history="1">
        <w:r w:rsidRPr="00A55335">
          <w:rPr>
            <w:rStyle w:val="Hyperlink"/>
          </w:rPr>
          <w:t>studies awaiting classification</w:t>
        </w:r>
      </w:hyperlink>
      <w:r w:rsidR="00F72898" w:rsidRPr="00A55335">
        <w:t xml:space="preserve"> (total 92 participants).</w:t>
      </w:r>
      <w:r w:rsidRPr="00A55335">
        <w:t xml:space="preserve"> An overview of the PICO criteria of included studies is provided in Appendix D10.2.1</w:t>
      </w:r>
      <w:r w:rsidR="008F3B53" w:rsidRPr="00A55335">
        <w:t>.</w:t>
      </w:r>
    </w:p>
    <w:p w14:paraId="696E16A1" w14:textId="255DBD62" w:rsidR="00DD505D" w:rsidRPr="00A55335" w:rsidRDefault="004B6D50" w:rsidP="00DD505D">
      <w:pPr>
        <w:pStyle w:val="BodyText"/>
      </w:pPr>
      <w:r w:rsidRPr="00A55335">
        <w:t>One study was conducted in an outpatient Rheumatology clinic in the United Kingdom (Fisher 1988). The other 2</w:t>
      </w:r>
      <w:r w:rsidR="00DD505D" w:rsidRPr="00A55335">
        <w:t xml:space="preserve"> studies were conducted in community settings, one in the United Kingdom (Relton 2009) and one in the United States (Bell 2004). All studies consisted of participants who met the diagnostic criteria for fibromyalgia, with sample sizes ranging from 30 to 62 (total 139</w:t>
      </w:r>
      <w:r w:rsidR="002505CA" w:rsidRPr="00A55335">
        <w:t xml:space="preserve"> participants</w:t>
      </w:r>
      <w:r w:rsidR="00DD505D" w:rsidRPr="00A55335">
        <w:t>).</w:t>
      </w:r>
    </w:p>
    <w:p w14:paraId="3F671088" w14:textId="0E51D9DB" w:rsidR="00DD505D" w:rsidRPr="00A55335" w:rsidRDefault="00DD505D" w:rsidP="00DD505D">
      <w:pPr>
        <w:pStyle w:val="BodyText"/>
      </w:pPr>
      <w:r w:rsidRPr="00A55335">
        <w:t xml:space="preserve">Two studies (Bell 2004, Fisher 1988) compared homeopathy with a placebo. </w:t>
      </w:r>
      <w:r w:rsidR="007F1AEC" w:rsidRPr="00A55335">
        <w:t>In one study (</w:t>
      </w:r>
      <w:r w:rsidRPr="00A55335">
        <w:t>Bell 2004</w:t>
      </w:r>
      <w:r w:rsidR="007F1AEC" w:rsidRPr="00A55335">
        <w:t>) treatment was</w:t>
      </w:r>
      <w:r w:rsidRPr="00A55335">
        <w:t xml:space="preserve"> individualised</w:t>
      </w:r>
      <w:r w:rsidR="00B91BBE" w:rsidRPr="00A55335">
        <w:t xml:space="preserve"> and taken </w:t>
      </w:r>
      <w:r w:rsidRPr="00A55335">
        <w:t xml:space="preserve">orally for a period of 4 months. In this study, </w:t>
      </w:r>
      <w:r w:rsidR="00A00095" w:rsidRPr="00A55335">
        <w:t xml:space="preserve">visits to the </w:t>
      </w:r>
      <w:r w:rsidRPr="00A55335">
        <w:t xml:space="preserve">homeopath were completed by both the treatment and placebo group at 2-month intervals. </w:t>
      </w:r>
      <w:r w:rsidR="00A00095" w:rsidRPr="00A55335">
        <w:t>In the other study (</w:t>
      </w:r>
      <w:r w:rsidRPr="00A55335">
        <w:t>Fisher 1988</w:t>
      </w:r>
      <w:r w:rsidR="00A00095" w:rsidRPr="00A55335">
        <w:t>)</w:t>
      </w:r>
      <w:r w:rsidRPr="00A55335">
        <w:t xml:space="preserve"> </w:t>
      </w:r>
      <w:r w:rsidR="00A00095" w:rsidRPr="00A55335">
        <w:t xml:space="preserve">participants received </w:t>
      </w:r>
      <w:r w:rsidRPr="00A55335">
        <w:t xml:space="preserve">a non-individualised homeopathic </w:t>
      </w:r>
      <w:r w:rsidR="00F44B4A" w:rsidRPr="00A55335">
        <w:t>product consisting</w:t>
      </w:r>
      <w:r w:rsidRPr="00A55335">
        <w:t xml:space="preserve"> </w:t>
      </w:r>
      <w:r w:rsidR="00F44B4A" w:rsidRPr="00A55335">
        <w:t xml:space="preserve">of </w:t>
      </w:r>
      <w:r w:rsidR="00F44B4A" w:rsidRPr="00A55335">
        <w:rPr>
          <w:rStyle w:val="Emphasis"/>
        </w:rPr>
        <w:t xml:space="preserve">R. </w:t>
      </w:r>
      <w:proofErr w:type="spellStart"/>
      <w:r w:rsidR="00F44B4A" w:rsidRPr="00A55335">
        <w:rPr>
          <w:rStyle w:val="Emphasis"/>
        </w:rPr>
        <w:t>toxicodendron</w:t>
      </w:r>
      <w:proofErr w:type="spellEnd"/>
      <w:r w:rsidR="00F44B4A" w:rsidRPr="00A55335">
        <w:t xml:space="preserve"> 6c in the form of an oral tablet sucked three times daily</w:t>
      </w:r>
      <w:r w:rsidR="00AE6645" w:rsidRPr="00A55335">
        <w:t xml:space="preserve"> </w:t>
      </w:r>
      <w:r w:rsidRPr="00A55335">
        <w:t>over a one-month period.</w:t>
      </w:r>
    </w:p>
    <w:p w14:paraId="6FF1F66A" w14:textId="3C2F4395" w:rsidR="00DD505D" w:rsidRPr="00A55335" w:rsidRDefault="00DD505D" w:rsidP="00DD505D">
      <w:pPr>
        <w:pStyle w:val="BodyText"/>
      </w:pPr>
      <w:r w:rsidRPr="00A55335">
        <w:t>One study (Relton 2009) compared individualised homeopathy treatment with an inactive control. In this study, participants completed an initial interview with a homeopath and up to 4 follow-up interviews over a period of 4</w:t>
      </w:r>
      <w:r w:rsidR="00AE6645" w:rsidRPr="00A55335">
        <w:t xml:space="preserve"> to </w:t>
      </w:r>
      <w:r w:rsidRPr="00A55335">
        <w:t xml:space="preserve">6 weeks. </w:t>
      </w:r>
      <w:r w:rsidR="00BF1F14" w:rsidRPr="00A55335">
        <w:t>All</w:t>
      </w:r>
      <w:r w:rsidR="002215AD" w:rsidRPr="00A55335">
        <w:t xml:space="preserve"> </w:t>
      </w:r>
      <w:r w:rsidR="00BF1F14" w:rsidRPr="00A55335">
        <w:t>participants</w:t>
      </w:r>
      <w:r w:rsidR="002215AD" w:rsidRPr="00A55335">
        <w:t xml:space="preserve"> </w:t>
      </w:r>
      <w:r w:rsidR="00BF1F14" w:rsidRPr="00A55335">
        <w:t>were</w:t>
      </w:r>
      <w:r w:rsidR="002215AD" w:rsidRPr="00A55335">
        <w:t xml:space="preserve"> </w:t>
      </w:r>
      <w:r w:rsidR="00BF1F14" w:rsidRPr="00A55335">
        <w:t>allowed</w:t>
      </w:r>
      <w:r w:rsidR="002215AD" w:rsidRPr="00A55335">
        <w:t xml:space="preserve"> to continue with</w:t>
      </w:r>
      <w:r w:rsidR="00BF1F14" w:rsidRPr="00A55335">
        <w:t xml:space="preserve"> their</w:t>
      </w:r>
      <w:r w:rsidRPr="00A55335">
        <w:t xml:space="preserve"> usual care, which consisted of one or more of the following: physiotherapy, aerobic exercise, analgesics, non-steroidal anti-inflammatory drugs, or anti-depressants.</w:t>
      </w:r>
    </w:p>
    <w:p w14:paraId="03F8B2CB" w14:textId="276EDF2E" w:rsidR="00D92AC6" w:rsidRPr="00A55335" w:rsidRDefault="00DD505D" w:rsidP="004A3D65">
      <w:pPr>
        <w:pStyle w:val="BodyText"/>
      </w:pPr>
      <w:r w:rsidRPr="00A55335">
        <w:t xml:space="preserve">Results for </w:t>
      </w:r>
      <w:r w:rsidR="00A32394" w:rsidRPr="00A55335">
        <w:t xml:space="preserve">the </w:t>
      </w:r>
      <w:r w:rsidR="006070ED" w:rsidRPr="00A55335">
        <w:t>Primary Comparison</w:t>
      </w:r>
      <w:r w:rsidR="00F56F09" w:rsidRPr="00A55335">
        <w:t>: H</w:t>
      </w:r>
      <w:r w:rsidRPr="00A55335">
        <w:t>omeopathy versus placebo</w:t>
      </w:r>
      <w:r w:rsidR="00F56F09" w:rsidRPr="00A55335">
        <w:t xml:space="preserve"> and for</w:t>
      </w:r>
      <w:r w:rsidR="00A32394" w:rsidRPr="00A55335">
        <w:t xml:space="preserve"> the</w:t>
      </w:r>
      <w:r w:rsidR="00F56F09" w:rsidRPr="00A55335">
        <w:t xml:space="preserve"> </w:t>
      </w:r>
      <w:r w:rsidR="006070ED" w:rsidRPr="00A55335">
        <w:t>Secondary Comparison</w:t>
      </w:r>
      <w:r w:rsidR="00F73318" w:rsidRPr="00A55335">
        <w:t xml:space="preserve">: Homeopathy </w:t>
      </w:r>
      <w:r w:rsidR="00F56F09" w:rsidRPr="00A55335">
        <w:t>ver</w:t>
      </w:r>
      <w:r w:rsidR="00813D8C" w:rsidRPr="00A55335">
        <w:t xml:space="preserve">sus </w:t>
      </w:r>
      <w:r w:rsidR="00E61691" w:rsidRPr="00A55335">
        <w:t xml:space="preserve">inactive </w:t>
      </w:r>
      <w:r w:rsidR="00813D8C" w:rsidRPr="00A55335">
        <w:t>control (</w:t>
      </w:r>
      <w:r w:rsidRPr="00A55335">
        <w:t>no intervention, waitlist or usual care) are provided in the Summary of Findings table (see</w:t>
      </w:r>
      <w:r w:rsidR="00813D8C" w:rsidRPr="00A55335">
        <w:t xml:space="preserve"> </w:t>
      </w:r>
      <w:r w:rsidR="00813D8C" w:rsidRPr="00A55335">
        <w:fldChar w:fldCharType="begin"/>
      </w:r>
      <w:r w:rsidR="00813D8C" w:rsidRPr="00A55335">
        <w:instrText xml:space="preserve"> REF _Ref152311669 \r \h </w:instrText>
      </w:r>
      <w:r w:rsidR="004A3D65" w:rsidRPr="00A55335">
        <w:instrText xml:space="preserve"> \* MERGEFORMAT </w:instrText>
      </w:r>
      <w:r w:rsidR="00813D8C" w:rsidRPr="00A55335">
        <w:fldChar w:fldCharType="separate"/>
      </w:r>
      <w:r w:rsidR="00814B04">
        <w:t>4.21.4</w:t>
      </w:r>
      <w:r w:rsidR="00813D8C" w:rsidRPr="00A55335">
        <w:fldChar w:fldCharType="end"/>
      </w:r>
      <w:r w:rsidRPr="00A55335">
        <w:t xml:space="preserve">). </w:t>
      </w:r>
      <w:r w:rsidR="00790DBF" w:rsidRPr="00A55335">
        <w:t xml:space="preserve">There were no studies found for Tertiary Comparison: Homeopathy versus another comparator. </w:t>
      </w:r>
    </w:p>
    <w:p w14:paraId="7FE78C23" w14:textId="77777777" w:rsidR="00D92AC6" w:rsidRPr="00A55335" w:rsidRDefault="00D92AC6" w:rsidP="00D92AC6">
      <w:pPr>
        <w:pStyle w:val="BodyText"/>
      </w:pPr>
      <w:r w:rsidRPr="00A55335">
        <w:lastRenderedPageBreak/>
        <w:t xml:space="preserve">We did not stratify according to the intervention (individualised or non-individualised) as there were too few studies per comparison that also included studies with a different mode of intervention. </w:t>
      </w:r>
    </w:p>
    <w:p w14:paraId="4BB6E6BC" w14:textId="77777777" w:rsidR="00DD505D" w:rsidRPr="00A55335" w:rsidRDefault="00DD505D" w:rsidP="00D92AC6">
      <w:pPr>
        <w:pStyle w:val="Heading3"/>
      </w:pPr>
      <w:bookmarkStart w:id="499" w:name="_Toc183441420"/>
      <w:r w:rsidRPr="00A55335">
        <w:t>Risk of bias – summary assessment across studies</w:t>
      </w:r>
      <w:bookmarkEnd w:id="499"/>
    </w:p>
    <w:p w14:paraId="42BE9376" w14:textId="07E3C670" w:rsidR="00DD505D" w:rsidRPr="00A55335" w:rsidRDefault="00DD505D" w:rsidP="00DD505D">
      <w:pPr>
        <w:pStyle w:val="BodyText"/>
      </w:pPr>
      <w:r w:rsidRPr="00A55335">
        <w:t xml:space="preserve">The risk of bias for each item in the </w:t>
      </w:r>
      <w:r w:rsidR="00F56A75" w:rsidRPr="00A55335">
        <w:t xml:space="preserve">included </w:t>
      </w:r>
      <w:r w:rsidRPr="00A55335">
        <w:t>RCTs for fibromyalgia is summarised in</w:t>
      </w:r>
      <w:r w:rsidR="002C3C89" w:rsidRPr="00A55335">
        <w:t xml:space="preserve"> </w:t>
      </w:r>
      <w:r w:rsidR="002C3C89" w:rsidRPr="00A55335">
        <w:fldChar w:fldCharType="begin"/>
      </w:r>
      <w:r w:rsidR="002C3C89" w:rsidRPr="00A55335">
        <w:instrText xml:space="preserve"> REF _Ref151894999 \h </w:instrText>
      </w:r>
      <w:r w:rsidR="002C3C89" w:rsidRPr="00A55335">
        <w:fldChar w:fldCharType="separate"/>
      </w:r>
      <w:r w:rsidR="00814B04" w:rsidRPr="00A55335">
        <w:t xml:space="preserve">Figure </w:t>
      </w:r>
      <w:r w:rsidR="00EB0A81">
        <w:rPr>
          <w:noProof/>
        </w:rPr>
        <w:t>97</w:t>
      </w:r>
      <w:r w:rsidR="002C3C89" w:rsidRPr="00A55335">
        <w:fldChar w:fldCharType="end"/>
      </w:r>
      <w:r w:rsidRPr="00A55335">
        <w:t>. Details are provided in Appendix D10.2.2.</w:t>
      </w:r>
      <w:r w:rsidR="002C3C89" w:rsidRPr="00A55335">
        <w:t xml:space="preserve"> No studies were judged to be at overall low risk of bias.</w:t>
      </w:r>
    </w:p>
    <w:p w14:paraId="242BF58D" w14:textId="06FBE247" w:rsidR="00DD505D" w:rsidRPr="00A55335" w:rsidRDefault="00DD505D" w:rsidP="00DD505D">
      <w:pPr>
        <w:pStyle w:val="Caption"/>
      </w:pPr>
      <w:bookmarkStart w:id="500" w:name="_Ref138672144"/>
      <w:bookmarkStart w:id="501" w:name="_Ref151894999"/>
      <w:bookmarkStart w:id="502" w:name="_Toc183520370"/>
      <w:r w:rsidRPr="00A55335">
        <w:t xml:space="preserve">Figure </w:t>
      </w:r>
      <w:bookmarkEnd w:id="500"/>
      <w:r w:rsidRPr="00A55335">
        <w:fldChar w:fldCharType="begin"/>
      </w:r>
      <w:r w:rsidRPr="00A55335">
        <w:instrText xml:space="preserve"> SEQ Figure \* ARABIC </w:instrText>
      </w:r>
      <w:r w:rsidRPr="00A55335">
        <w:fldChar w:fldCharType="separate"/>
      </w:r>
      <w:r w:rsidR="00EB0A81">
        <w:rPr>
          <w:noProof/>
        </w:rPr>
        <w:t>97</w:t>
      </w:r>
      <w:r w:rsidRPr="00A55335">
        <w:fldChar w:fldCharType="end"/>
      </w:r>
      <w:bookmarkEnd w:id="501"/>
      <w:r w:rsidR="003146A0" w:rsidRPr="00A55335">
        <w:tab/>
      </w:r>
      <w:r w:rsidRPr="00A55335">
        <w:t xml:space="preserve">Risk of bias summary: review authors' judgement about each risk of bias item for each included study: </w:t>
      </w:r>
      <w:r w:rsidR="00B1363E" w:rsidRPr="00A55335">
        <w:t>F</w:t>
      </w:r>
      <w:r w:rsidRPr="00A55335">
        <w:t>ibromyalgia</w:t>
      </w:r>
      <w:bookmarkEnd w:id="502"/>
    </w:p>
    <w:p w14:paraId="104F18B7" w14:textId="044F22CC" w:rsidR="006E4B35" w:rsidRPr="00A55335" w:rsidRDefault="006E4B35" w:rsidP="006E4B35">
      <w:pPr>
        <w:pStyle w:val="Pic"/>
      </w:pPr>
      <w:r w:rsidRPr="00A55335">
        <w:rPr>
          <w:noProof/>
        </w:rPr>
        <w:drawing>
          <wp:inline distT="0" distB="0" distL="0" distR="0" wp14:anchorId="6AF69086" wp14:editId="7EBEAAA6">
            <wp:extent cx="3957850" cy="1932102"/>
            <wp:effectExtent l="0" t="0" r="5080" b="0"/>
            <wp:docPr id="1039276209" name="Picture 1039276209" descr="A chart with red and green circles and cro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76209" name="Picture 1039276209" descr="A chart with red and green circles and crosses&#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985767" cy="1945730"/>
                    </a:xfrm>
                    <a:prstGeom prst="rect">
                      <a:avLst/>
                    </a:prstGeom>
                    <a:noFill/>
                    <a:ln>
                      <a:noFill/>
                    </a:ln>
                  </pic:spPr>
                </pic:pic>
              </a:graphicData>
            </a:graphic>
          </wp:inline>
        </w:drawing>
      </w:r>
    </w:p>
    <w:p w14:paraId="136570A6" w14:textId="77777777" w:rsidR="006E4B35" w:rsidRPr="00A55335" w:rsidRDefault="006E4B35" w:rsidP="006E4B35">
      <w:pPr>
        <w:pStyle w:val="TableFigNotes18"/>
      </w:pPr>
    </w:p>
    <w:p w14:paraId="6DBDC1F3" w14:textId="77777777" w:rsidR="00DD505D" w:rsidRPr="00A55335" w:rsidRDefault="00DD505D" w:rsidP="004D433B">
      <w:pPr>
        <w:pStyle w:val="Heading3"/>
      </w:pPr>
      <w:bookmarkStart w:id="503" w:name="_Ref152311669"/>
      <w:bookmarkStart w:id="504" w:name="_Toc183441421"/>
      <w:r w:rsidRPr="00A55335">
        <w:t>Summary of findings and evidence statements</w:t>
      </w:r>
      <w:bookmarkEnd w:id="503"/>
      <w:bookmarkEnd w:id="504"/>
    </w:p>
    <w:p w14:paraId="6AEC4E8F" w14:textId="10128824" w:rsidR="00E67AE3" w:rsidRPr="00A55335" w:rsidRDefault="006070ED" w:rsidP="00E67AE3">
      <w:pPr>
        <w:pStyle w:val="Heading4"/>
      </w:pPr>
      <w:bookmarkStart w:id="505" w:name="_Ref151388799"/>
      <w:bookmarkStart w:id="506" w:name="_Ref151388808"/>
      <w:r w:rsidRPr="00A55335">
        <w:t>Primary Comparison</w:t>
      </w:r>
      <w:r w:rsidR="00E67AE3" w:rsidRPr="00A55335">
        <w:t xml:space="preserve"> (vs placebo)</w:t>
      </w:r>
      <w:bookmarkEnd w:id="505"/>
      <w:bookmarkEnd w:id="506"/>
      <w:r w:rsidR="00E67AE3" w:rsidRPr="00A55335">
        <w:t xml:space="preserve"> </w:t>
      </w:r>
    </w:p>
    <w:tbl>
      <w:tblPr>
        <w:tblW w:w="5001" w:type="pct"/>
        <w:tblLayout w:type="fixed"/>
        <w:tblCellMar>
          <w:top w:w="57" w:type="dxa"/>
          <w:left w:w="57" w:type="dxa"/>
          <w:bottom w:w="57" w:type="dxa"/>
          <w:right w:w="57" w:type="dxa"/>
        </w:tblCellMar>
        <w:tblLook w:val="04A0" w:firstRow="1" w:lastRow="0" w:firstColumn="1" w:lastColumn="0" w:noHBand="0" w:noVBand="1"/>
      </w:tblPr>
      <w:tblGrid>
        <w:gridCol w:w="1842"/>
        <w:gridCol w:w="1417"/>
        <w:gridCol w:w="1419"/>
        <w:gridCol w:w="852"/>
        <w:gridCol w:w="1133"/>
        <w:gridCol w:w="1133"/>
        <w:gridCol w:w="1951"/>
      </w:tblGrid>
      <w:tr w:rsidR="009C1BFF" w:rsidRPr="00A55335" w14:paraId="55ABD446" w14:textId="77777777" w:rsidTr="009C1BFF">
        <w:trPr>
          <w:cantSplit/>
          <w:tblHeader/>
        </w:trPr>
        <w:tc>
          <w:tcPr>
            <w:tcW w:w="5000" w:type="pct"/>
            <w:gridSpan w:val="7"/>
            <w:tcBorders>
              <w:top w:val="single" w:sz="12" w:space="0" w:color="000000"/>
              <w:left w:val="nil"/>
              <w:bottom w:val="single" w:sz="12" w:space="0" w:color="000000"/>
              <w:right w:val="nil"/>
            </w:tcBorders>
            <w:vAlign w:val="center"/>
            <w:hideMark/>
          </w:tcPr>
          <w:p w14:paraId="0CA5F4C5" w14:textId="4EBBA20C" w:rsidR="009C1BFF" w:rsidRPr="00A55335" w:rsidRDefault="009C1BFF">
            <w:pPr>
              <w:pStyle w:val="TableH1"/>
              <w:rPr>
                <w:lang w:val="en-AU"/>
              </w:rPr>
            </w:pPr>
            <w:r w:rsidRPr="00A55335">
              <w:rPr>
                <w:lang w:val="en-AU"/>
              </w:rPr>
              <w:t xml:space="preserve">Homeopathy compared to placebo for </w:t>
            </w:r>
            <w:r w:rsidR="00B1363E" w:rsidRPr="00A55335">
              <w:rPr>
                <w:lang w:val="en-AU"/>
              </w:rPr>
              <w:t>F</w:t>
            </w:r>
            <w:r w:rsidRPr="00A55335">
              <w:rPr>
                <w:lang w:val="en-AU"/>
              </w:rPr>
              <w:t>ibromyalgia</w:t>
            </w:r>
          </w:p>
        </w:tc>
      </w:tr>
      <w:tr w:rsidR="009C1BFF" w:rsidRPr="00A55335" w14:paraId="55891849" w14:textId="77777777" w:rsidTr="009C1BFF">
        <w:trPr>
          <w:cantSplit/>
          <w:tblHeader/>
        </w:trPr>
        <w:tc>
          <w:tcPr>
            <w:tcW w:w="5000" w:type="pct"/>
            <w:gridSpan w:val="7"/>
            <w:tcBorders>
              <w:top w:val="single" w:sz="12" w:space="0" w:color="000000"/>
              <w:left w:val="nil"/>
              <w:bottom w:val="single" w:sz="12" w:space="0" w:color="000000"/>
              <w:right w:val="nil"/>
            </w:tcBorders>
            <w:vAlign w:val="center"/>
            <w:hideMark/>
          </w:tcPr>
          <w:p w14:paraId="3BFB6FCD" w14:textId="354E19FC" w:rsidR="009C1BFF" w:rsidRPr="00A55335" w:rsidRDefault="009C1BFF">
            <w:pPr>
              <w:pStyle w:val="Tabletext9pt"/>
            </w:pPr>
            <w:r w:rsidRPr="00A55335">
              <w:rPr>
                <w:rStyle w:val="Strong"/>
              </w:rPr>
              <w:t>Patient or population:</w:t>
            </w:r>
            <w:r w:rsidRPr="00A55335">
              <w:t xml:space="preserve"> Fibromyalgia</w:t>
            </w:r>
          </w:p>
          <w:p w14:paraId="37FCD44E" w14:textId="77777777" w:rsidR="009C1BFF" w:rsidRPr="00A55335" w:rsidRDefault="009C1BFF">
            <w:pPr>
              <w:pStyle w:val="Tabletext9pt"/>
            </w:pPr>
            <w:r w:rsidRPr="00A55335">
              <w:rPr>
                <w:rStyle w:val="Strong"/>
              </w:rPr>
              <w:t>Setting:</w:t>
            </w:r>
            <w:r w:rsidRPr="00A55335">
              <w:t xml:space="preserve"> Community</w:t>
            </w:r>
          </w:p>
          <w:p w14:paraId="79697D17" w14:textId="77777777" w:rsidR="009C1BFF" w:rsidRPr="00A55335" w:rsidRDefault="009C1BFF">
            <w:pPr>
              <w:pStyle w:val="Tabletext9pt"/>
            </w:pPr>
            <w:r w:rsidRPr="00A55335">
              <w:rPr>
                <w:rStyle w:val="Strong"/>
              </w:rPr>
              <w:t>Intervention:</w:t>
            </w:r>
            <w:r w:rsidRPr="00A55335">
              <w:t xml:space="preserve"> Homeopathy</w:t>
            </w:r>
          </w:p>
          <w:p w14:paraId="5EF0C381" w14:textId="77777777" w:rsidR="009C1BFF" w:rsidRPr="00A55335" w:rsidRDefault="009C1BFF">
            <w:pPr>
              <w:pStyle w:val="Tabletext9pt"/>
            </w:pPr>
            <w:r w:rsidRPr="00A55335">
              <w:rPr>
                <w:rStyle w:val="Strong"/>
              </w:rPr>
              <w:t xml:space="preserve">Comparison: </w:t>
            </w:r>
            <w:r w:rsidRPr="00A55335">
              <w:t>Placebo</w:t>
            </w:r>
          </w:p>
        </w:tc>
      </w:tr>
      <w:tr w:rsidR="009C1BFF" w:rsidRPr="00A55335" w14:paraId="0C2575D9" w14:textId="77777777" w:rsidTr="007252A0">
        <w:trPr>
          <w:cantSplit/>
          <w:tblHeader/>
        </w:trPr>
        <w:tc>
          <w:tcPr>
            <w:tcW w:w="945" w:type="pct"/>
            <w:vMerge w:val="restart"/>
            <w:tcBorders>
              <w:right w:val="single" w:sz="6" w:space="0" w:color="EFEFEF"/>
            </w:tcBorders>
            <w:shd w:val="clear" w:color="auto" w:fill="006579" w:themeFill="accent2"/>
            <w:vAlign w:val="bottom"/>
            <w:hideMark/>
          </w:tcPr>
          <w:p w14:paraId="07757BFE" w14:textId="1504FC1A" w:rsidR="009C1BFF" w:rsidRPr="00A55335" w:rsidRDefault="00296C34">
            <w:pPr>
              <w:pStyle w:val="Tabletext8pt"/>
              <w:rPr>
                <w:b/>
              </w:rPr>
            </w:pPr>
            <w:r w:rsidRPr="00A55335">
              <w:rPr>
                <w:rFonts w:cs="Montserrat"/>
                <w:b/>
                <w:color w:val="F9F9F9"/>
              </w:rPr>
              <w:t>Outcomes</w:t>
            </w:r>
          </w:p>
        </w:tc>
        <w:tc>
          <w:tcPr>
            <w:tcW w:w="1455" w:type="pct"/>
            <w:gridSpan w:val="2"/>
            <w:tcBorders>
              <w:top w:val="single" w:sz="6" w:space="0" w:color="EFEFEF"/>
              <w:right w:val="single" w:sz="6" w:space="0" w:color="EFEFEF"/>
            </w:tcBorders>
            <w:shd w:val="clear" w:color="auto" w:fill="E0E0E0"/>
            <w:vAlign w:val="bottom"/>
            <w:hideMark/>
          </w:tcPr>
          <w:p w14:paraId="41228016" w14:textId="77777777" w:rsidR="009C1BFF" w:rsidRPr="00A55335" w:rsidRDefault="009C1BFF">
            <w:pPr>
              <w:pStyle w:val="Tabletext8pt"/>
              <w:rPr>
                <w:rStyle w:val="Strong"/>
              </w:rPr>
            </w:pPr>
            <w:r w:rsidRPr="00A55335">
              <w:rPr>
                <w:rStyle w:val="Strong"/>
              </w:rPr>
              <w:t>Anticipated absolute effects* (95% CI)</w:t>
            </w:r>
          </w:p>
        </w:tc>
        <w:tc>
          <w:tcPr>
            <w:tcW w:w="437" w:type="pct"/>
            <w:vMerge w:val="restart"/>
            <w:tcBorders>
              <w:right w:val="single" w:sz="6" w:space="0" w:color="EFEFEF"/>
            </w:tcBorders>
            <w:shd w:val="clear" w:color="auto" w:fill="006579" w:themeFill="accent2"/>
            <w:vAlign w:val="bottom"/>
            <w:hideMark/>
          </w:tcPr>
          <w:p w14:paraId="6398AA66" w14:textId="77777777" w:rsidR="009C1BFF" w:rsidRPr="00A55335" w:rsidRDefault="009C1BFF">
            <w:pPr>
              <w:pStyle w:val="Tabletext8pt"/>
              <w:rPr>
                <w:b/>
                <w:color w:val="FFFFFF" w:themeColor="background2"/>
              </w:rPr>
            </w:pPr>
            <w:r w:rsidRPr="00A55335">
              <w:rPr>
                <w:b/>
                <w:bCs/>
                <w:color w:val="F9F9F9" w:themeColor="background1"/>
              </w:rPr>
              <w:t>Relative effect</w:t>
            </w:r>
            <w:r w:rsidRPr="00A55335">
              <w:rPr>
                <w:b/>
                <w:bCs/>
                <w:color w:val="F9F9F9" w:themeColor="background1"/>
              </w:rPr>
              <w:br/>
              <w:t>(95% CI)</w:t>
            </w:r>
          </w:p>
        </w:tc>
        <w:tc>
          <w:tcPr>
            <w:tcW w:w="581" w:type="pct"/>
            <w:vMerge w:val="restart"/>
            <w:tcBorders>
              <w:right w:val="single" w:sz="6" w:space="0" w:color="EFEFEF"/>
            </w:tcBorders>
            <w:shd w:val="clear" w:color="auto" w:fill="006579" w:themeFill="accent2"/>
            <w:vAlign w:val="bottom"/>
            <w:hideMark/>
          </w:tcPr>
          <w:p w14:paraId="72CE0629" w14:textId="77777777" w:rsidR="009C1BFF" w:rsidRPr="00A55335" w:rsidRDefault="009C1BFF">
            <w:pPr>
              <w:pStyle w:val="Tabletext8pt"/>
              <w:rPr>
                <w:b/>
                <w:color w:val="FFFFFF" w:themeColor="background2"/>
              </w:rPr>
            </w:pPr>
            <w:r w:rsidRPr="00A55335">
              <w:rPr>
                <w:b/>
                <w:bCs/>
                <w:color w:val="F9F9F9" w:themeColor="background1"/>
              </w:rPr>
              <w:t>№ of participants</w:t>
            </w:r>
            <w:r w:rsidRPr="00A55335">
              <w:rPr>
                <w:b/>
                <w:bCs/>
                <w:color w:val="F9F9F9" w:themeColor="background1"/>
              </w:rPr>
              <w:br/>
              <w:t>(studies)</w:t>
            </w:r>
          </w:p>
        </w:tc>
        <w:tc>
          <w:tcPr>
            <w:tcW w:w="581" w:type="pct"/>
            <w:vMerge w:val="restart"/>
            <w:tcBorders>
              <w:right w:val="single" w:sz="6" w:space="0" w:color="EFEFEF"/>
            </w:tcBorders>
            <w:shd w:val="clear" w:color="auto" w:fill="006579" w:themeFill="accent2"/>
            <w:vAlign w:val="bottom"/>
            <w:hideMark/>
          </w:tcPr>
          <w:p w14:paraId="64CF3D71" w14:textId="77777777" w:rsidR="009C1BFF" w:rsidRPr="00A55335" w:rsidRDefault="009C1BFF">
            <w:pPr>
              <w:pStyle w:val="Tabletext8pt"/>
              <w:rPr>
                <w:b/>
                <w:color w:val="FFFFFF" w:themeColor="background2"/>
              </w:rPr>
            </w:pPr>
            <w:r w:rsidRPr="00A55335">
              <w:rPr>
                <w:b/>
                <w:bCs/>
                <w:color w:val="F9F9F9" w:themeColor="background1"/>
              </w:rPr>
              <w:t>Certainty of the evidence</w:t>
            </w:r>
            <w:r w:rsidRPr="00A55335">
              <w:rPr>
                <w:b/>
                <w:bCs/>
                <w:color w:val="F9F9F9" w:themeColor="background1"/>
              </w:rPr>
              <w:br/>
              <w:t>(GRADE)</w:t>
            </w:r>
          </w:p>
        </w:tc>
        <w:tc>
          <w:tcPr>
            <w:tcW w:w="1001" w:type="pct"/>
            <w:vMerge w:val="restart"/>
            <w:tcBorders>
              <w:right w:val="single" w:sz="6" w:space="0" w:color="EFEFEF"/>
            </w:tcBorders>
            <w:shd w:val="clear" w:color="auto" w:fill="006579" w:themeFill="accent2"/>
            <w:vAlign w:val="bottom"/>
            <w:hideMark/>
          </w:tcPr>
          <w:p w14:paraId="7D74FD47" w14:textId="77777777" w:rsidR="009C1BFF" w:rsidRPr="00A55335" w:rsidRDefault="009C1BFF">
            <w:pPr>
              <w:pStyle w:val="Tabletext8pt"/>
              <w:rPr>
                <w:b/>
                <w:color w:val="FFFFFF" w:themeColor="background2"/>
              </w:rPr>
            </w:pPr>
            <w:r w:rsidRPr="00A55335">
              <w:rPr>
                <w:b/>
                <w:bCs/>
                <w:color w:val="F9F9F9" w:themeColor="background1"/>
              </w:rPr>
              <w:t>Evidence statement</w:t>
            </w:r>
          </w:p>
        </w:tc>
      </w:tr>
      <w:tr w:rsidR="000245A8" w:rsidRPr="00A55335" w14:paraId="544A52DA" w14:textId="77777777" w:rsidTr="000245A8">
        <w:trPr>
          <w:cantSplit/>
          <w:tblHeader/>
        </w:trPr>
        <w:tc>
          <w:tcPr>
            <w:tcW w:w="945" w:type="pct"/>
            <w:vMerge/>
            <w:tcBorders>
              <w:right w:val="single" w:sz="6" w:space="0" w:color="EFEFEF"/>
            </w:tcBorders>
            <w:shd w:val="clear" w:color="auto" w:fill="006579" w:themeFill="accent2"/>
            <w:vAlign w:val="center"/>
            <w:hideMark/>
          </w:tcPr>
          <w:p w14:paraId="1426AC6C" w14:textId="77777777" w:rsidR="009C1BFF" w:rsidRPr="00A55335" w:rsidRDefault="009C1BFF">
            <w:pPr>
              <w:pStyle w:val="Tabletext"/>
              <w:rPr>
                <w:sz w:val="16"/>
              </w:rPr>
            </w:pPr>
          </w:p>
        </w:tc>
        <w:tc>
          <w:tcPr>
            <w:tcW w:w="727" w:type="pct"/>
            <w:tcBorders>
              <w:top w:val="single" w:sz="6" w:space="0" w:color="EFEFEF"/>
              <w:bottom w:val="single" w:sz="6" w:space="0" w:color="000000"/>
              <w:right w:val="single" w:sz="6" w:space="0" w:color="EFEFEF"/>
            </w:tcBorders>
            <w:shd w:val="clear" w:color="auto" w:fill="E0E0E0"/>
            <w:vAlign w:val="bottom"/>
            <w:hideMark/>
          </w:tcPr>
          <w:p w14:paraId="2AB1739E" w14:textId="77777777" w:rsidR="009C1BFF" w:rsidRPr="00A55335" w:rsidRDefault="009C1BFF">
            <w:pPr>
              <w:pStyle w:val="Tabletext8pt"/>
              <w:rPr>
                <w:rStyle w:val="Strong"/>
              </w:rPr>
            </w:pPr>
            <w:r w:rsidRPr="00A55335">
              <w:rPr>
                <w:rStyle w:val="Strong"/>
              </w:rPr>
              <w:t>Risk with placebo</w:t>
            </w:r>
          </w:p>
        </w:tc>
        <w:tc>
          <w:tcPr>
            <w:tcW w:w="727" w:type="pct"/>
            <w:tcBorders>
              <w:top w:val="single" w:sz="6" w:space="0" w:color="EFEFEF"/>
              <w:bottom w:val="single" w:sz="6" w:space="0" w:color="000000"/>
              <w:right w:val="single" w:sz="6" w:space="0" w:color="EFEFEF"/>
            </w:tcBorders>
            <w:shd w:val="clear" w:color="auto" w:fill="E0E0E0"/>
            <w:vAlign w:val="bottom"/>
            <w:hideMark/>
          </w:tcPr>
          <w:p w14:paraId="74AD39B4" w14:textId="77777777" w:rsidR="009C1BFF" w:rsidRPr="00A55335" w:rsidRDefault="009C1BFF">
            <w:pPr>
              <w:pStyle w:val="Tabletext8pt"/>
              <w:rPr>
                <w:rStyle w:val="Strong"/>
              </w:rPr>
            </w:pPr>
            <w:r w:rsidRPr="00A55335">
              <w:rPr>
                <w:rStyle w:val="Strong"/>
              </w:rPr>
              <w:t>Risk with homeopathy</w:t>
            </w:r>
          </w:p>
        </w:tc>
        <w:tc>
          <w:tcPr>
            <w:tcW w:w="437" w:type="pct"/>
            <w:vMerge/>
            <w:tcBorders>
              <w:right w:val="single" w:sz="6" w:space="0" w:color="EFEFEF"/>
            </w:tcBorders>
            <w:shd w:val="clear" w:color="auto" w:fill="053341" w:themeFill="accent1"/>
            <w:vAlign w:val="center"/>
            <w:hideMark/>
          </w:tcPr>
          <w:p w14:paraId="348BAF45" w14:textId="77777777" w:rsidR="009C1BFF" w:rsidRPr="00A55335" w:rsidRDefault="009C1BFF">
            <w:pPr>
              <w:pStyle w:val="Tabletext"/>
              <w:rPr>
                <w:sz w:val="16"/>
              </w:rPr>
            </w:pPr>
          </w:p>
        </w:tc>
        <w:tc>
          <w:tcPr>
            <w:tcW w:w="581" w:type="pct"/>
            <w:vMerge/>
            <w:tcBorders>
              <w:right w:val="single" w:sz="6" w:space="0" w:color="EFEFEF"/>
            </w:tcBorders>
            <w:shd w:val="clear" w:color="auto" w:fill="053341" w:themeFill="accent1"/>
            <w:vAlign w:val="center"/>
            <w:hideMark/>
          </w:tcPr>
          <w:p w14:paraId="6DCFADB9" w14:textId="77777777" w:rsidR="009C1BFF" w:rsidRPr="00A55335" w:rsidRDefault="009C1BFF">
            <w:pPr>
              <w:pStyle w:val="Tabletext"/>
              <w:rPr>
                <w:sz w:val="16"/>
              </w:rPr>
            </w:pPr>
          </w:p>
        </w:tc>
        <w:tc>
          <w:tcPr>
            <w:tcW w:w="581" w:type="pct"/>
            <w:vMerge/>
            <w:tcBorders>
              <w:right w:val="single" w:sz="6" w:space="0" w:color="EFEFEF"/>
            </w:tcBorders>
            <w:shd w:val="clear" w:color="auto" w:fill="053341" w:themeFill="accent1"/>
            <w:vAlign w:val="center"/>
            <w:hideMark/>
          </w:tcPr>
          <w:p w14:paraId="5348933C" w14:textId="77777777" w:rsidR="009C1BFF" w:rsidRPr="00A55335" w:rsidRDefault="009C1BFF">
            <w:pPr>
              <w:pStyle w:val="Tabletext"/>
              <w:rPr>
                <w:sz w:val="16"/>
              </w:rPr>
            </w:pPr>
          </w:p>
        </w:tc>
        <w:tc>
          <w:tcPr>
            <w:tcW w:w="1001" w:type="pct"/>
            <w:vMerge/>
            <w:tcBorders>
              <w:right w:val="single" w:sz="6" w:space="0" w:color="EFEFEF"/>
            </w:tcBorders>
            <w:shd w:val="clear" w:color="auto" w:fill="053341" w:themeFill="accent1"/>
            <w:vAlign w:val="center"/>
            <w:hideMark/>
          </w:tcPr>
          <w:p w14:paraId="2245368C" w14:textId="77777777" w:rsidR="009C1BFF" w:rsidRPr="00A55335" w:rsidRDefault="009C1BFF">
            <w:pPr>
              <w:pStyle w:val="Tabletext"/>
              <w:rPr>
                <w:sz w:val="16"/>
              </w:rPr>
            </w:pPr>
          </w:p>
        </w:tc>
      </w:tr>
      <w:tr w:rsidR="009C1BFF" w:rsidRPr="00A55335" w14:paraId="28370EFA" w14:textId="77777777" w:rsidTr="007252A0">
        <w:trPr>
          <w:cantSplit/>
        </w:trPr>
        <w:tc>
          <w:tcPr>
            <w:tcW w:w="945" w:type="pct"/>
            <w:vMerge w:val="restart"/>
            <w:tcBorders>
              <w:top w:val="single" w:sz="6" w:space="0" w:color="000000"/>
              <w:left w:val="nil"/>
              <w:right w:val="nil"/>
            </w:tcBorders>
            <w:vAlign w:val="center"/>
          </w:tcPr>
          <w:p w14:paraId="425965AA" w14:textId="3E60E80E" w:rsidR="009C1BFF" w:rsidRPr="00A55335" w:rsidRDefault="009C1BFF" w:rsidP="009C1BFF">
            <w:pPr>
              <w:pStyle w:val="Tabletext8pt"/>
            </w:pPr>
            <w:r w:rsidRPr="00A55335">
              <w:t>Pain</w:t>
            </w:r>
            <w:r w:rsidR="00FE2B75" w:rsidRPr="00A55335">
              <w:t xml:space="preserve"> </w:t>
            </w:r>
            <w:r w:rsidRPr="00A55335">
              <w:br/>
              <w:t xml:space="preserve">assessed with: McGill Pain Questionnaire </w:t>
            </w:r>
            <w:r w:rsidRPr="00A55335">
              <w:rPr>
                <w:rStyle w:val="Strong"/>
              </w:rPr>
              <w:br/>
            </w:r>
            <w:r w:rsidRPr="00A55335">
              <w:t xml:space="preserve">Scale: </w:t>
            </w:r>
            <w:r w:rsidR="00FE2B75" w:rsidRPr="00A55335">
              <w:t xml:space="preserve">0 to </w:t>
            </w:r>
            <w:r w:rsidR="00774328" w:rsidRPr="00A55335">
              <w:t>12</w:t>
            </w:r>
            <w:r w:rsidR="00FE2B75" w:rsidRPr="00A55335">
              <w:t xml:space="preserve"> (</w:t>
            </w:r>
            <w:r w:rsidR="00774328" w:rsidRPr="00A55335">
              <w:t>a</w:t>
            </w:r>
            <w:r w:rsidR="00FE2B75" w:rsidRPr="00A55335">
              <w:t>ffect</w:t>
            </w:r>
            <w:r w:rsidR="00774328" w:rsidRPr="00A55335">
              <w:t>i</w:t>
            </w:r>
            <w:r w:rsidR="00FE2B75" w:rsidRPr="00A55335">
              <w:t>ve)</w:t>
            </w:r>
            <w:r w:rsidR="007F3E09" w:rsidRPr="00A55335">
              <w:t>;</w:t>
            </w:r>
            <w:r w:rsidR="00FE2B75" w:rsidRPr="00A55335">
              <w:t xml:space="preserve"> </w:t>
            </w:r>
            <w:r w:rsidR="00774328" w:rsidRPr="00A55335">
              <w:t xml:space="preserve">0 </w:t>
            </w:r>
            <w:r w:rsidR="00FE2B75" w:rsidRPr="00A55335">
              <w:t xml:space="preserve">to </w:t>
            </w:r>
            <w:r w:rsidR="00774328" w:rsidRPr="00A55335">
              <w:t>33</w:t>
            </w:r>
            <w:r w:rsidR="00FE2B75" w:rsidRPr="00A55335">
              <w:t xml:space="preserve"> (sensory) </w:t>
            </w:r>
            <w:r w:rsidRPr="00A55335">
              <w:t>(higher is worse)</w:t>
            </w:r>
            <w:r w:rsidRPr="00A55335">
              <w:br/>
              <w:t>follow-up: 3 months</w:t>
            </w:r>
          </w:p>
        </w:tc>
        <w:tc>
          <w:tcPr>
            <w:tcW w:w="727" w:type="pct"/>
            <w:tcBorders>
              <w:top w:val="single" w:sz="6" w:space="0" w:color="000000"/>
              <w:left w:val="nil"/>
              <w:bottom w:val="single" w:sz="4" w:space="0" w:color="FFFFFF" w:themeColor="background2"/>
              <w:right w:val="nil"/>
            </w:tcBorders>
            <w:shd w:val="clear" w:color="auto" w:fill="EBEBEB"/>
            <w:vAlign w:val="center"/>
          </w:tcPr>
          <w:p w14:paraId="3725ABD2" w14:textId="548C277D" w:rsidR="009C1BFF" w:rsidRPr="00A55335" w:rsidRDefault="009C1BFF" w:rsidP="007252A0">
            <w:pPr>
              <w:pStyle w:val="Tabletext8pt"/>
              <w:jc w:val="center"/>
            </w:pPr>
            <w:r w:rsidRPr="00A55335">
              <w:t xml:space="preserve">The mean affective pain score was </w:t>
            </w:r>
            <w:r w:rsidRPr="00A55335">
              <w:rPr>
                <w:rStyle w:val="Strong"/>
              </w:rPr>
              <w:t>3.5</w:t>
            </w:r>
          </w:p>
        </w:tc>
        <w:tc>
          <w:tcPr>
            <w:tcW w:w="727" w:type="pct"/>
            <w:tcBorders>
              <w:top w:val="single" w:sz="6" w:space="0" w:color="000000"/>
              <w:left w:val="nil"/>
              <w:bottom w:val="single" w:sz="4" w:space="0" w:color="FFFFFF" w:themeColor="background2"/>
              <w:right w:val="nil"/>
            </w:tcBorders>
            <w:shd w:val="clear" w:color="auto" w:fill="EBEBEB"/>
          </w:tcPr>
          <w:p w14:paraId="7A9DF6E2" w14:textId="74F2A1AE" w:rsidR="009C1BFF" w:rsidRPr="00A55335" w:rsidRDefault="00CF1B4B" w:rsidP="007252A0">
            <w:pPr>
              <w:pStyle w:val="Tabletext8pt"/>
              <w:jc w:val="center"/>
            </w:pPr>
            <w:r w:rsidRPr="00A55335">
              <w:rPr>
                <w:rFonts w:cs="Montserrat"/>
                <w:color w:val="000000"/>
              </w:rPr>
              <w:t xml:space="preserve">MD </w:t>
            </w:r>
            <w:r w:rsidR="009C1BFF" w:rsidRPr="00A55335">
              <w:rPr>
                <w:rStyle w:val="Strong"/>
              </w:rPr>
              <w:t>0.20 lower</w:t>
            </w:r>
            <w:r w:rsidR="009C1BFF" w:rsidRPr="00A55335">
              <w:t xml:space="preserve"> (1.71 lower to 1.31 higher) </w:t>
            </w:r>
          </w:p>
        </w:tc>
        <w:tc>
          <w:tcPr>
            <w:tcW w:w="437" w:type="pct"/>
            <w:vMerge w:val="restart"/>
            <w:tcBorders>
              <w:top w:val="single" w:sz="6" w:space="0" w:color="000000"/>
              <w:left w:val="nil"/>
              <w:right w:val="nil"/>
            </w:tcBorders>
            <w:vAlign w:val="center"/>
          </w:tcPr>
          <w:p w14:paraId="19152AEC" w14:textId="1A85DD49" w:rsidR="009C1BFF" w:rsidRPr="00A55335" w:rsidRDefault="009C1BFF" w:rsidP="007252A0">
            <w:pPr>
              <w:pStyle w:val="Tabletext8pt"/>
              <w:jc w:val="center"/>
            </w:pPr>
            <w:r w:rsidRPr="00A55335">
              <w:t>-</w:t>
            </w:r>
          </w:p>
        </w:tc>
        <w:tc>
          <w:tcPr>
            <w:tcW w:w="581" w:type="pct"/>
            <w:vMerge w:val="restart"/>
            <w:tcBorders>
              <w:top w:val="single" w:sz="6" w:space="0" w:color="000000"/>
              <w:left w:val="nil"/>
              <w:right w:val="nil"/>
            </w:tcBorders>
            <w:vAlign w:val="center"/>
          </w:tcPr>
          <w:p w14:paraId="5C1C6C16" w14:textId="1C86F949" w:rsidR="009C1BFF" w:rsidRPr="00A55335" w:rsidRDefault="009C1BFF" w:rsidP="007252A0">
            <w:pPr>
              <w:pStyle w:val="Tabletext8pt"/>
              <w:jc w:val="center"/>
            </w:pPr>
            <w:r w:rsidRPr="00A55335">
              <w:t xml:space="preserve">53 </w:t>
            </w:r>
            <w:r w:rsidRPr="00A55335">
              <w:br/>
              <w:t>(1 RCT) †</w:t>
            </w:r>
          </w:p>
        </w:tc>
        <w:tc>
          <w:tcPr>
            <w:tcW w:w="581" w:type="pct"/>
            <w:vMerge w:val="restart"/>
            <w:tcBorders>
              <w:top w:val="single" w:sz="6" w:space="0" w:color="000000"/>
              <w:left w:val="nil"/>
              <w:right w:val="nil"/>
            </w:tcBorders>
            <w:vAlign w:val="center"/>
          </w:tcPr>
          <w:p w14:paraId="496B655A" w14:textId="348A38D9" w:rsidR="009C1BFF" w:rsidRPr="00A55335" w:rsidRDefault="009C1BFF" w:rsidP="009C1BFF">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w:t>
            </w:r>
            <w:r w:rsidR="000844E6" w:rsidRPr="00A55335">
              <w:rPr>
                <w:rStyle w:val="FootnoteReference"/>
              </w:rPr>
              <w:t>,c,d,e</w:t>
            </w:r>
            <w:proofErr w:type="spellEnd"/>
          </w:p>
        </w:tc>
        <w:tc>
          <w:tcPr>
            <w:tcW w:w="1001" w:type="pct"/>
            <w:vMerge w:val="restart"/>
            <w:tcBorders>
              <w:top w:val="single" w:sz="6" w:space="0" w:color="000000"/>
              <w:left w:val="nil"/>
              <w:right w:val="nil"/>
            </w:tcBorders>
            <w:vAlign w:val="center"/>
          </w:tcPr>
          <w:p w14:paraId="381C13F9" w14:textId="5BDF52B5" w:rsidR="009C1BFF" w:rsidRPr="00A55335" w:rsidRDefault="009C1BFF" w:rsidP="009C1BFF">
            <w:pPr>
              <w:pStyle w:val="Tabletext8pt"/>
            </w:pPr>
            <w:r w:rsidRPr="00A55335">
              <w:t>The evidence is very uncertain about the effect of homeopathy on pain in people with fibromyalgia</w:t>
            </w:r>
            <w:r w:rsidR="00DB4232" w:rsidRPr="00A55335">
              <w:t>**</w:t>
            </w:r>
          </w:p>
        </w:tc>
      </w:tr>
      <w:tr w:rsidR="009C1BFF" w:rsidRPr="00A55335" w14:paraId="302BF8EB" w14:textId="77777777" w:rsidTr="007252A0">
        <w:trPr>
          <w:cantSplit/>
        </w:trPr>
        <w:tc>
          <w:tcPr>
            <w:tcW w:w="945" w:type="pct"/>
            <w:vMerge/>
            <w:tcBorders>
              <w:left w:val="nil"/>
              <w:bottom w:val="single" w:sz="6" w:space="0" w:color="000000"/>
              <w:right w:val="nil"/>
            </w:tcBorders>
            <w:vAlign w:val="center"/>
          </w:tcPr>
          <w:p w14:paraId="2B6AF82C" w14:textId="74FAF49A" w:rsidR="009C1BFF" w:rsidRPr="00A55335" w:rsidRDefault="009C1BFF" w:rsidP="009C1BFF">
            <w:pPr>
              <w:pStyle w:val="Tabletext8pt"/>
            </w:pPr>
          </w:p>
        </w:tc>
        <w:tc>
          <w:tcPr>
            <w:tcW w:w="727" w:type="pct"/>
            <w:tcBorders>
              <w:top w:val="single" w:sz="4" w:space="0" w:color="FFFFFF" w:themeColor="background2"/>
              <w:left w:val="nil"/>
              <w:bottom w:val="single" w:sz="6" w:space="0" w:color="000000"/>
              <w:right w:val="nil"/>
            </w:tcBorders>
            <w:shd w:val="clear" w:color="auto" w:fill="EBEBEB"/>
            <w:vAlign w:val="center"/>
          </w:tcPr>
          <w:p w14:paraId="539BD015" w14:textId="350775D6" w:rsidR="009C1BFF" w:rsidRPr="00A55335" w:rsidRDefault="009C1BFF" w:rsidP="007252A0">
            <w:pPr>
              <w:pStyle w:val="Tabletext8pt"/>
              <w:jc w:val="center"/>
            </w:pPr>
            <w:r w:rsidRPr="00A55335">
              <w:t xml:space="preserve">The mean sensory pain score was </w:t>
            </w:r>
            <w:r w:rsidRPr="00A55335">
              <w:rPr>
                <w:rStyle w:val="Strong"/>
              </w:rPr>
              <w:t>12.4</w:t>
            </w:r>
          </w:p>
        </w:tc>
        <w:tc>
          <w:tcPr>
            <w:tcW w:w="727" w:type="pct"/>
            <w:tcBorders>
              <w:top w:val="single" w:sz="4" w:space="0" w:color="FFFFFF" w:themeColor="background2"/>
              <w:left w:val="nil"/>
              <w:bottom w:val="single" w:sz="6" w:space="0" w:color="000000"/>
              <w:right w:val="nil"/>
            </w:tcBorders>
            <w:shd w:val="clear" w:color="auto" w:fill="EBEBEB"/>
          </w:tcPr>
          <w:p w14:paraId="41BF815B" w14:textId="1E12C788" w:rsidR="009C1BFF" w:rsidRPr="00A55335" w:rsidRDefault="00CF1B4B" w:rsidP="007252A0">
            <w:pPr>
              <w:pStyle w:val="Tabletext8pt"/>
              <w:jc w:val="center"/>
            </w:pPr>
            <w:r w:rsidRPr="00A55335">
              <w:rPr>
                <w:rFonts w:cs="Montserrat"/>
                <w:color w:val="000000"/>
              </w:rPr>
              <w:t xml:space="preserve">MD </w:t>
            </w:r>
            <w:r w:rsidR="009C1BFF" w:rsidRPr="00A55335">
              <w:rPr>
                <w:rStyle w:val="Strong"/>
              </w:rPr>
              <w:t>0.50 higher</w:t>
            </w:r>
            <w:r w:rsidR="009C1BFF" w:rsidRPr="00A55335">
              <w:t xml:space="preserve"> (3.36 lower to 4.36 higher)</w:t>
            </w:r>
          </w:p>
        </w:tc>
        <w:tc>
          <w:tcPr>
            <w:tcW w:w="437" w:type="pct"/>
            <w:vMerge/>
            <w:tcBorders>
              <w:left w:val="nil"/>
              <w:bottom w:val="single" w:sz="6" w:space="0" w:color="000000"/>
              <w:right w:val="nil"/>
            </w:tcBorders>
            <w:vAlign w:val="center"/>
          </w:tcPr>
          <w:p w14:paraId="6AD263F0" w14:textId="7E40456D" w:rsidR="009C1BFF" w:rsidRPr="00A55335" w:rsidRDefault="009C1BFF" w:rsidP="007252A0">
            <w:pPr>
              <w:pStyle w:val="Tabletext8pt"/>
              <w:jc w:val="center"/>
            </w:pPr>
          </w:p>
        </w:tc>
        <w:tc>
          <w:tcPr>
            <w:tcW w:w="581" w:type="pct"/>
            <w:vMerge/>
            <w:tcBorders>
              <w:left w:val="nil"/>
              <w:bottom w:val="single" w:sz="6" w:space="0" w:color="000000"/>
              <w:right w:val="nil"/>
            </w:tcBorders>
            <w:vAlign w:val="center"/>
          </w:tcPr>
          <w:p w14:paraId="2450CCE6" w14:textId="7BC98D57" w:rsidR="009C1BFF" w:rsidRPr="00A55335" w:rsidRDefault="009C1BFF" w:rsidP="007252A0">
            <w:pPr>
              <w:pStyle w:val="Tabletext8pt"/>
              <w:jc w:val="center"/>
            </w:pPr>
          </w:p>
        </w:tc>
        <w:tc>
          <w:tcPr>
            <w:tcW w:w="581" w:type="pct"/>
            <w:vMerge/>
            <w:tcBorders>
              <w:left w:val="nil"/>
              <w:bottom w:val="single" w:sz="6" w:space="0" w:color="000000"/>
              <w:right w:val="nil"/>
            </w:tcBorders>
            <w:vAlign w:val="center"/>
          </w:tcPr>
          <w:p w14:paraId="4AD15DCF" w14:textId="5A86ADE2" w:rsidR="009C1BFF" w:rsidRPr="00A55335" w:rsidRDefault="009C1BFF" w:rsidP="009C1BFF">
            <w:pPr>
              <w:pStyle w:val="Tabletext8pt"/>
              <w:jc w:val="center"/>
            </w:pPr>
          </w:p>
        </w:tc>
        <w:tc>
          <w:tcPr>
            <w:tcW w:w="1001" w:type="pct"/>
            <w:vMerge/>
            <w:tcBorders>
              <w:left w:val="nil"/>
              <w:bottom w:val="single" w:sz="6" w:space="0" w:color="000000"/>
              <w:right w:val="nil"/>
            </w:tcBorders>
            <w:vAlign w:val="center"/>
          </w:tcPr>
          <w:p w14:paraId="5D08A843" w14:textId="02B46C80" w:rsidR="009C1BFF" w:rsidRPr="00A55335" w:rsidRDefault="009C1BFF" w:rsidP="009C1BFF">
            <w:pPr>
              <w:pStyle w:val="Tabletext8pt"/>
            </w:pPr>
          </w:p>
        </w:tc>
      </w:tr>
      <w:tr w:rsidR="009C1BFF" w:rsidRPr="00A55335" w14:paraId="5FE51C06" w14:textId="77777777" w:rsidTr="007252A0">
        <w:trPr>
          <w:cantSplit/>
        </w:trPr>
        <w:tc>
          <w:tcPr>
            <w:tcW w:w="945" w:type="pct"/>
            <w:tcBorders>
              <w:top w:val="single" w:sz="6" w:space="0" w:color="000000"/>
              <w:left w:val="nil"/>
              <w:bottom w:val="single" w:sz="6" w:space="0" w:color="000000"/>
              <w:right w:val="nil"/>
            </w:tcBorders>
            <w:vAlign w:val="center"/>
          </w:tcPr>
          <w:p w14:paraId="6346464A" w14:textId="13DD49F4" w:rsidR="009C1BFF" w:rsidRPr="00A55335" w:rsidRDefault="009C1BFF" w:rsidP="009C1BFF">
            <w:pPr>
              <w:pStyle w:val="Tabletext8pt"/>
            </w:pPr>
            <w:r w:rsidRPr="00A55335">
              <w:t>Fatigue</w:t>
            </w:r>
            <w:r w:rsidRPr="00A55335">
              <w:br/>
              <w:t>assessed with: POMS - fatigue domain</w:t>
            </w:r>
            <w:r w:rsidRPr="00A55335">
              <w:br/>
              <w:t>Scale from: 0 to 28 (higher is worse)</w:t>
            </w:r>
            <w:r w:rsidRPr="00A55335">
              <w:br/>
              <w:t>follow-up: 3 months</w:t>
            </w:r>
          </w:p>
        </w:tc>
        <w:tc>
          <w:tcPr>
            <w:tcW w:w="727" w:type="pct"/>
            <w:tcBorders>
              <w:top w:val="single" w:sz="6" w:space="0" w:color="000000"/>
              <w:left w:val="nil"/>
              <w:bottom w:val="single" w:sz="6" w:space="0" w:color="000000"/>
              <w:right w:val="nil"/>
            </w:tcBorders>
            <w:shd w:val="clear" w:color="auto" w:fill="EBEBEB"/>
            <w:vAlign w:val="center"/>
          </w:tcPr>
          <w:p w14:paraId="0D970869" w14:textId="2B6ABFD4" w:rsidR="009C1BFF" w:rsidRPr="00A55335" w:rsidRDefault="009C1BFF" w:rsidP="007252A0">
            <w:pPr>
              <w:pStyle w:val="Tabletext8pt"/>
              <w:jc w:val="center"/>
            </w:pPr>
            <w:r w:rsidRPr="00A55335">
              <w:t xml:space="preserve">The mean fatigue score was </w:t>
            </w:r>
            <w:r w:rsidRPr="00A55335">
              <w:rPr>
                <w:rStyle w:val="Strong"/>
              </w:rPr>
              <w:t>13.4</w:t>
            </w:r>
          </w:p>
        </w:tc>
        <w:tc>
          <w:tcPr>
            <w:tcW w:w="727" w:type="pct"/>
            <w:tcBorders>
              <w:top w:val="single" w:sz="6" w:space="0" w:color="000000"/>
              <w:left w:val="nil"/>
              <w:bottom w:val="single" w:sz="6" w:space="0" w:color="000000"/>
              <w:right w:val="nil"/>
            </w:tcBorders>
            <w:shd w:val="clear" w:color="auto" w:fill="EBEBEB"/>
          </w:tcPr>
          <w:p w14:paraId="1A036AF0" w14:textId="117EC116" w:rsidR="009C1BFF" w:rsidRPr="00A55335" w:rsidRDefault="00884E10" w:rsidP="007252A0">
            <w:pPr>
              <w:pStyle w:val="Tabletext8pt"/>
              <w:jc w:val="center"/>
            </w:pPr>
            <w:r w:rsidRPr="00A55335">
              <w:rPr>
                <w:rFonts w:cs="Montserrat"/>
                <w:color w:val="000000"/>
              </w:rPr>
              <w:t>MD</w:t>
            </w:r>
            <w:r w:rsidRPr="00A55335">
              <w:rPr>
                <w:rFonts w:cs="Montserrat"/>
                <w:b/>
                <w:color w:val="000000"/>
              </w:rPr>
              <w:t xml:space="preserve"> </w:t>
            </w:r>
            <w:r w:rsidR="009C1BFF" w:rsidRPr="00A55335">
              <w:rPr>
                <w:rStyle w:val="Strong"/>
              </w:rPr>
              <w:t>3.4 lower</w:t>
            </w:r>
            <w:r w:rsidR="009C1BFF" w:rsidRPr="00A55335">
              <w:br/>
              <w:t>(7.47 lower to 0.67 higher)</w:t>
            </w:r>
          </w:p>
        </w:tc>
        <w:tc>
          <w:tcPr>
            <w:tcW w:w="437" w:type="pct"/>
            <w:tcBorders>
              <w:top w:val="single" w:sz="6" w:space="0" w:color="000000"/>
              <w:left w:val="nil"/>
              <w:bottom w:val="single" w:sz="6" w:space="0" w:color="000000"/>
              <w:right w:val="nil"/>
            </w:tcBorders>
            <w:vAlign w:val="center"/>
          </w:tcPr>
          <w:p w14:paraId="102A3BCD" w14:textId="7C6E50FC" w:rsidR="009C1BFF" w:rsidRPr="00A55335" w:rsidRDefault="009C1BFF" w:rsidP="007252A0">
            <w:pPr>
              <w:pStyle w:val="Tabletext8pt"/>
              <w:jc w:val="center"/>
            </w:pPr>
            <w:r w:rsidRPr="00A55335">
              <w:t>-</w:t>
            </w:r>
          </w:p>
        </w:tc>
        <w:tc>
          <w:tcPr>
            <w:tcW w:w="581" w:type="pct"/>
            <w:tcBorders>
              <w:top w:val="single" w:sz="6" w:space="0" w:color="000000"/>
              <w:left w:val="nil"/>
              <w:bottom w:val="single" w:sz="6" w:space="0" w:color="000000"/>
              <w:right w:val="nil"/>
            </w:tcBorders>
            <w:vAlign w:val="center"/>
          </w:tcPr>
          <w:p w14:paraId="3F44ED4E" w14:textId="2F25C00B" w:rsidR="009C1BFF" w:rsidRPr="00A55335" w:rsidRDefault="009C1BFF" w:rsidP="007252A0">
            <w:pPr>
              <w:pStyle w:val="Tabletext8pt"/>
              <w:jc w:val="center"/>
            </w:pPr>
            <w:r w:rsidRPr="00A55335">
              <w:t>53</w:t>
            </w:r>
            <w:r w:rsidRPr="00A55335">
              <w:br/>
              <w:t>(1 RCT)</w:t>
            </w:r>
          </w:p>
        </w:tc>
        <w:tc>
          <w:tcPr>
            <w:tcW w:w="581" w:type="pct"/>
            <w:tcBorders>
              <w:top w:val="single" w:sz="6" w:space="0" w:color="000000"/>
              <w:left w:val="nil"/>
              <w:bottom w:val="single" w:sz="6" w:space="0" w:color="000000"/>
              <w:right w:val="nil"/>
            </w:tcBorders>
            <w:vAlign w:val="center"/>
          </w:tcPr>
          <w:p w14:paraId="5250AE43" w14:textId="76994249" w:rsidR="009C1BFF" w:rsidRPr="00A55335" w:rsidRDefault="009C1BFF" w:rsidP="009C1BFF">
            <w:pPr>
              <w:pStyle w:val="Tabletext8pt"/>
              <w:jc w:val="cente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w:t>
            </w:r>
            <w:r w:rsidR="000844E6" w:rsidRPr="00A55335">
              <w:rPr>
                <w:rStyle w:val="FootnoteReference"/>
              </w:rPr>
              <w:t>,c,e</w:t>
            </w:r>
            <w:r w:rsidR="00451588" w:rsidRPr="00A55335">
              <w:rPr>
                <w:rStyle w:val="FootnoteReference"/>
              </w:rPr>
              <w:t>,f</w:t>
            </w:r>
            <w:proofErr w:type="spellEnd"/>
          </w:p>
        </w:tc>
        <w:tc>
          <w:tcPr>
            <w:tcW w:w="1001" w:type="pct"/>
            <w:tcBorders>
              <w:top w:val="single" w:sz="6" w:space="0" w:color="000000"/>
              <w:left w:val="nil"/>
              <w:bottom w:val="single" w:sz="6" w:space="0" w:color="000000"/>
              <w:right w:val="nil"/>
            </w:tcBorders>
            <w:vAlign w:val="center"/>
          </w:tcPr>
          <w:p w14:paraId="7C3A33E0" w14:textId="5B0C306F" w:rsidR="009C1BFF" w:rsidRPr="00A55335" w:rsidRDefault="009C1BFF" w:rsidP="009C1BFF">
            <w:pPr>
              <w:pStyle w:val="Tabletext8pt"/>
            </w:pPr>
            <w:r w:rsidRPr="00A55335">
              <w:t>The evidence is very uncertain about the effect of homeopathy on fatigue in people with fibromyalgia</w:t>
            </w:r>
            <w:r w:rsidR="00DB4232" w:rsidRPr="00A55335">
              <w:t>**</w:t>
            </w:r>
          </w:p>
        </w:tc>
      </w:tr>
      <w:tr w:rsidR="009C1BFF" w:rsidRPr="00A55335" w14:paraId="1D3D4651" w14:textId="77777777" w:rsidTr="007252A0">
        <w:trPr>
          <w:cantSplit/>
        </w:trPr>
        <w:tc>
          <w:tcPr>
            <w:tcW w:w="945" w:type="pct"/>
            <w:tcBorders>
              <w:top w:val="single" w:sz="6" w:space="0" w:color="000000"/>
              <w:left w:val="nil"/>
              <w:bottom w:val="single" w:sz="6" w:space="0" w:color="000000"/>
              <w:right w:val="nil"/>
            </w:tcBorders>
            <w:vAlign w:val="center"/>
          </w:tcPr>
          <w:p w14:paraId="37AC41FA" w14:textId="179A495D" w:rsidR="009C1BFF" w:rsidRPr="00A55335" w:rsidRDefault="009C1BFF" w:rsidP="00ED6056">
            <w:pPr>
              <w:pStyle w:val="Tabletext8pt"/>
            </w:pPr>
            <w:r w:rsidRPr="00A55335">
              <w:lastRenderedPageBreak/>
              <w:t>Health-related quality of life</w:t>
            </w:r>
            <w:r w:rsidRPr="00A55335">
              <w:br/>
              <w:t>assessed with: Global health rating</w:t>
            </w:r>
            <w:r w:rsidRPr="00A55335">
              <w:br/>
              <w:t>Scale from: 3 to 15</w:t>
            </w:r>
            <w:r w:rsidR="00ED6056" w:rsidRPr="00A55335">
              <w:t xml:space="preserve"> (h</w:t>
            </w:r>
            <w:r w:rsidRPr="00A55335">
              <w:t>igher is better</w:t>
            </w:r>
            <w:r w:rsidR="00ED6056" w:rsidRPr="00A55335">
              <w:t>)</w:t>
            </w:r>
            <w:r w:rsidRPr="00A55335">
              <w:br/>
              <w:t>follow-up: 3 months</w:t>
            </w:r>
          </w:p>
        </w:tc>
        <w:tc>
          <w:tcPr>
            <w:tcW w:w="727" w:type="pct"/>
            <w:tcBorders>
              <w:top w:val="single" w:sz="6" w:space="0" w:color="000000"/>
              <w:left w:val="nil"/>
              <w:bottom w:val="single" w:sz="6" w:space="0" w:color="000000"/>
              <w:right w:val="nil"/>
            </w:tcBorders>
            <w:shd w:val="clear" w:color="auto" w:fill="EBEBEB"/>
            <w:vAlign w:val="center"/>
          </w:tcPr>
          <w:p w14:paraId="666BF4C7" w14:textId="6F07279B" w:rsidR="009C1BFF" w:rsidRPr="00A55335" w:rsidRDefault="009C1BFF" w:rsidP="007252A0">
            <w:pPr>
              <w:pStyle w:val="Tabletext8pt"/>
              <w:jc w:val="center"/>
            </w:pPr>
            <w:r w:rsidRPr="00A55335">
              <w:t xml:space="preserve">The mean score was </w:t>
            </w:r>
            <w:r w:rsidRPr="00A55335">
              <w:rPr>
                <w:rStyle w:val="Strong"/>
              </w:rPr>
              <w:t>7.7</w:t>
            </w:r>
          </w:p>
        </w:tc>
        <w:tc>
          <w:tcPr>
            <w:tcW w:w="727" w:type="pct"/>
            <w:tcBorders>
              <w:top w:val="single" w:sz="6" w:space="0" w:color="000000"/>
              <w:left w:val="nil"/>
              <w:bottom w:val="single" w:sz="6" w:space="0" w:color="000000"/>
              <w:right w:val="nil"/>
            </w:tcBorders>
            <w:shd w:val="clear" w:color="auto" w:fill="EBEBEB"/>
          </w:tcPr>
          <w:p w14:paraId="569A51C8" w14:textId="36CB9A1E" w:rsidR="009C1BFF" w:rsidRPr="00A55335" w:rsidRDefault="005942F0" w:rsidP="007252A0">
            <w:pPr>
              <w:pStyle w:val="Tabletext8pt"/>
              <w:jc w:val="center"/>
              <w:rPr>
                <w:rStyle w:val="Strong"/>
              </w:rPr>
            </w:pPr>
            <w:r w:rsidRPr="00A55335">
              <w:rPr>
                <w:rFonts w:cs="Montserrat"/>
                <w:b/>
                <w:color w:val="000000"/>
              </w:rPr>
              <w:t xml:space="preserve">MD </w:t>
            </w:r>
            <w:r w:rsidR="009C1BFF" w:rsidRPr="00A55335">
              <w:rPr>
                <w:rStyle w:val="Strong"/>
              </w:rPr>
              <w:t>0.5 higher</w:t>
            </w:r>
            <w:r w:rsidR="009C1BFF" w:rsidRPr="00A55335">
              <w:br/>
              <w:t>(1.09 lower to 2.09 higher)</w:t>
            </w:r>
          </w:p>
        </w:tc>
        <w:tc>
          <w:tcPr>
            <w:tcW w:w="437" w:type="pct"/>
            <w:tcBorders>
              <w:top w:val="single" w:sz="6" w:space="0" w:color="000000"/>
              <w:left w:val="nil"/>
              <w:bottom w:val="single" w:sz="6" w:space="0" w:color="000000"/>
              <w:right w:val="nil"/>
            </w:tcBorders>
            <w:vAlign w:val="center"/>
          </w:tcPr>
          <w:p w14:paraId="7940372D" w14:textId="636E19DB" w:rsidR="009C1BFF" w:rsidRPr="00A55335" w:rsidRDefault="009C1BFF" w:rsidP="007252A0">
            <w:pPr>
              <w:pStyle w:val="Tabletext8pt"/>
              <w:jc w:val="center"/>
            </w:pPr>
            <w:r w:rsidRPr="00A55335">
              <w:t>-</w:t>
            </w:r>
          </w:p>
        </w:tc>
        <w:tc>
          <w:tcPr>
            <w:tcW w:w="581" w:type="pct"/>
            <w:tcBorders>
              <w:top w:val="single" w:sz="6" w:space="0" w:color="000000"/>
              <w:left w:val="nil"/>
              <w:bottom w:val="single" w:sz="6" w:space="0" w:color="000000"/>
              <w:right w:val="nil"/>
            </w:tcBorders>
            <w:vAlign w:val="center"/>
          </w:tcPr>
          <w:p w14:paraId="2F91AB2A" w14:textId="11E2E3FE" w:rsidR="009C1BFF" w:rsidRPr="00A55335" w:rsidRDefault="009C1BFF" w:rsidP="007252A0">
            <w:pPr>
              <w:pStyle w:val="Tabletext8pt"/>
              <w:jc w:val="center"/>
            </w:pPr>
            <w:r w:rsidRPr="00A55335">
              <w:t>53</w:t>
            </w:r>
            <w:r w:rsidRPr="00A55335">
              <w:br/>
              <w:t xml:space="preserve">(1 RCT) </w:t>
            </w:r>
          </w:p>
        </w:tc>
        <w:tc>
          <w:tcPr>
            <w:tcW w:w="581" w:type="pct"/>
            <w:tcBorders>
              <w:top w:val="single" w:sz="6" w:space="0" w:color="000000"/>
              <w:left w:val="nil"/>
              <w:bottom w:val="single" w:sz="6" w:space="0" w:color="000000"/>
              <w:right w:val="nil"/>
            </w:tcBorders>
            <w:vAlign w:val="center"/>
          </w:tcPr>
          <w:p w14:paraId="026040CE" w14:textId="4E525E27" w:rsidR="009C1BFF" w:rsidRPr="00A55335" w:rsidRDefault="009C1BFF" w:rsidP="009C1BFF">
            <w:pPr>
              <w:pStyle w:val="Tabletext8pt"/>
              <w:jc w:val="center"/>
              <w:rPr>
                <w:rStyle w:val="quality-sign"/>
                <w:rFonts w:ascii="Cambria Math" w:hAnsi="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w:t>
            </w:r>
            <w:r w:rsidR="007A5709" w:rsidRPr="00A55335">
              <w:rPr>
                <w:rStyle w:val="FootnoteReference"/>
              </w:rPr>
              <w:t>,c,e</w:t>
            </w:r>
            <w:r w:rsidR="00826A87" w:rsidRPr="00A55335">
              <w:rPr>
                <w:rStyle w:val="FootnoteReference"/>
              </w:rPr>
              <w:t>,g</w:t>
            </w:r>
            <w:proofErr w:type="spellEnd"/>
          </w:p>
        </w:tc>
        <w:tc>
          <w:tcPr>
            <w:tcW w:w="1001" w:type="pct"/>
            <w:tcBorders>
              <w:top w:val="single" w:sz="6" w:space="0" w:color="000000"/>
              <w:left w:val="nil"/>
              <w:bottom w:val="single" w:sz="6" w:space="0" w:color="000000"/>
              <w:right w:val="nil"/>
            </w:tcBorders>
            <w:vAlign w:val="center"/>
          </w:tcPr>
          <w:p w14:paraId="41A2CA72" w14:textId="2A88FD06" w:rsidR="009C1BFF" w:rsidRPr="00A55335" w:rsidRDefault="009C1BFF" w:rsidP="009C1BFF">
            <w:pPr>
              <w:pStyle w:val="Tabletext8pt"/>
            </w:pPr>
            <w:r w:rsidRPr="00A55335">
              <w:t>The evidence is very uncertain about the effect of homeopathy on health-related quality of life in people with fibromyalgia</w:t>
            </w:r>
            <w:r w:rsidR="00DB4232" w:rsidRPr="00A55335">
              <w:t>**</w:t>
            </w:r>
          </w:p>
        </w:tc>
      </w:tr>
      <w:tr w:rsidR="009C1BFF" w:rsidRPr="00A55335" w14:paraId="6F932B04" w14:textId="77777777" w:rsidTr="007252A0">
        <w:trPr>
          <w:cantSplit/>
        </w:trPr>
        <w:tc>
          <w:tcPr>
            <w:tcW w:w="945" w:type="pct"/>
            <w:tcBorders>
              <w:top w:val="single" w:sz="6" w:space="0" w:color="000000"/>
              <w:left w:val="nil"/>
              <w:bottom w:val="single" w:sz="6" w:space="0" w:color="000000"/>
              <w:right w:val="nil"/>
            </w:tcBorders>
            <w:vAlign w:val="center"/>
          </w:tcPr>
          <w:p w14:paraId="0AEE947A" w14:textId="38AAC72E" w:rsidR="009C1BFF" w:rsidRPr="00A55335" w:rsidRDefault="009C1BFF" w:rsidP="009C1BFF">
            <w:pPr>
              <w:pStyle w:val="Tabletext8pt"/>
            </w:pPr>
            <w:r w:rsidRPr="00A55335">
              <w:t>Emotional wellbeing</w:t>
            </w:r>
            <w:r w:rsidRPr="00A55335">
              <w:br/>
              <w:t>assessed with: POMS - depression domain</w:t>
            </w:r>
            <w:r w:rsidRPr="00A55335">
              <w:br/>
              <w:t>Scale from: 0 to 60 (higher is worse)</w:t>
            </w:r>
            <w:r w:rsidRPr="00A55335">
              <w:br/>
              <w:t>follow-up: 3 months</w:t>
            </w:r>
          </w:p>
        </w:tc>
        <w:tc>
          <w:tcPr>
            <w:tcW w:w="727" w:type="pct"/>
            <w:tcBorders>
              <w:top w:val="single" w:sz="6" w:space="0" w:color="000000"/>
              <w:left w:val="nil"/>
              <w:bottom w:val="single" w:sz="6" w:space="0" w:color="000000"/>
              <w:right w:val="nil"/>
            </w:tcBorders>
            <w:shd w:val="clear" w:color="auto" w:fill="EBEBEB"/>
            <w:vAlign w:val="center"/>
          </w:tcPr>
          <w:p w14:paraId="7DC2D320" w14:textId="0AA7F745" w:rsidR="009C1BFF" w:rsidRPr="00A55335" w:rsidRDefault="009C1BFF" w:rsidP="007252A0">
            <w:pPr>
              <w:pStyle w:val="Tabletext8pt"/>
              <w:jc w:val="center"/>
            </w:pPr>
            <w:r w:rsidRPr="00A55335">
              <w:t xml:space="preserve">The mean score was </w:t>
            </w:r>
            <w:r w:rsidRPr="00A55335">
              <w:rPr>
                <w:rStyle w:val="Strong"/>
              </w:rPr>
              <w:t>8.1</w:t>
            </w:r>
          </w:p>
        </w:tc>
        <w:tc>
          <w:tcPr>
            <w:tcW w:w="727" w:type="pct"/>
            <w:tcBorders>
              <w:top w:val="single" w:sz="6" w:space="0" w:color="000000"/>
              <w:left w:val="nil"/>
              <w:bottom w:val="single" w:sz="6" w:space="0" w:color="000000"/>
              <w:right w:val="nil"/>
            </w:tcBorders>
            <w:shd w:val="clear" w:color="auto" w:fill="EBEBEB"/>
          </w:tcPr>
          <w:p w14:paraId="362A656B" w14:textId="2C256DE5" w:rsidR="009C1BFF" w:rsidRPr="00A55335" w:rsidRDefault="00F7269D" w:rsidP="007252A0">
            <w:pPr>
              <w:pStyle w:val="Tabletext8pt"/>
              <w:jc w:val="center"/>
              <w:rPr>
                <w:rStyle w:val="Strong"/>
              </w:rPr>
            </w:pPr>
            <w:r w:rsidRPr="00A55335">
              <w:rPr>
                <w:rFonts w:cs="Montserrat"/>
                <w:color w:val="000000"/>
              </w:rPr>
              <w:t>MD</w:t>
            </w:r>
            <w:r w:rsidRPr="00A55335">
              <w:rPr>
                <w:rFonts w:cs="Montserrat"/>
                <w:b/>
                <w:color w:val="000000"/>
              </w:rPr>
              <w:t xml:space="preserve"> </w:t>
            </w:r>
            <w:r w:rsidR="009C1BFF" w:rsidRPr="00A55335">
              <w:rPr>
                <w:rStyle w:val="Strong"/>
              </w:rPr>
              <w:t>0.8 lower</w:t>
            </w:r>
            <w:r w:rsidR="009C1BFF" w:rsidRPr="00A55335">
              <w:br/>
              <w:t>(6.16 lower to 4.56 higher)</w:t>
            </w:r>
          </w:p>
        </w:tc>
        <w:tc>
          <w:tcPr>
            <w:tcW w:w="437" w:type="pct"/>
            <w:tcBorders>
              <w:top w:val="single" w:sz="6" w:space="0" w:color="000000"/>
              <w:left w:val="nil"/>
              <w:bottom w:val="single" w:sz="6" w:space="0" w:color="000000"/>
              <w:right w:val="nil"/>
            </w:tcBorders>
            <w:vAlign w:val="center"/>
          </w:tcPr>
          <w:p w14:paraId="138177D7" w14:textId="08E73843" w:rsidR="009C1BFF" w:rsidRPr="00A55335" w:rsidRDefault="009C1BFF" w:rsidP="007252A0">
            <w:pPr>
              <w:pStyle w:val="Tabletext8pt"/>
              <w:jc w:val="center"/>
            </w:pPr>
            <w:r w:rsidRPr="00A55335">
              <w:t>-</w:t>
            </w:r>
          </w:p>
        </w:tc>
        <w:tc>
          <w:tcPr>
            <w:tcW w:w="581" w:type="pct"/>
            <w:tcBorders>
              <w:top w:val="single" w:sz="6" w:space="0" w:color="000000"/>
              <w:left w:val="nil"/>
              <w:bottom w:val="single" w:sz="6" w:space="0" w:color="000000"/>
              <w:right w:val="nil"/>
            </w:tcBorders>
            <w:vAlign w:val="center"/>
          </w:tcPr>
          <w:p w14:paraId="68DF2EE5" w14:textId="296621E1" w:rsidR="009C1BFF" w:rsidRPr="00A55335" w:rsidRDefault="009C1BFF" w:rsidP="007252A0">
            <w:pPr>
              <w:pStyle w:val="Tabletext8pt"/>
              <w:jc w:val="center"/>
            </w:pPr>
            <w:r w:rsidRPr="00A55335">
              <w:t>53</w:t>
            </w:r>
            <w:r w:rsidRPr="00A55335">
              <w:br/>
              <w:t>(1 RCT)</w:t>
            </w:r>
          </w:p>
        </w:tc>
        <w:tc>
          <w:tcPr>
            <w:tcW w:w="581" w:type="pct"/>
            <w:tcBorders>
              <w:top w:val="single" w:sz="6" w:space="0" w:color="000000"/>
              <w:left w:val="nil"/>
              <w:bottom w:val="single" w:sz="6" w:space="0" w:color="000000"/>
              <w:right w:val="nil"/>
            </w:tcBorders>
            <w:vAlign w:val="center"/>
          </w:tcPr>
          <w:p w14:paraId="55170572" w14:textId="4311A49E" w:rsidR="009C1BFF" w:rsidRPr="00A55335" w:rsidRDefault="009C1BFF" w:rsidP="009C1BFF">
            <w:pPr>
              <w:pStyle w:val="Tabletext8pt"/>
              <w:jc w:val="center"/>
              <w:rPr>
                <w:rStyle w:val="quality-sign"/>
                <w:rFonts w:ascii="Cambria Math" w:hAnsi="Cambria Math"/>
              </w:rPr>
            </w:pPr>
            <w:r w:rsidRPr="00A55335">
              <w:rPr>
                <w:rStyle w:val="quality-sign"/>
                <w:rFonts w:ascii="Cambria Math" w:hAnsi="Cambria Math"/>
              </w:rPr>
              <w:t>⨁◯◯◯</w:t>
            </w:r>
            <w:r w:rsidRPr="00A55335">
              <w:br/>
            </w:r>
            <w:r w:rsidRPr="00A55335">
              <w:rPr>
                <w:rStyle w:val="QualitytextChar"/>
              </w:rPr>
              <w:t xml:space="preserve">Very low </w:t>
            </w:r>
            <w:proofErr w:type="spellStart"/>
            <w:r w:rsidRPr="00A55335">
              <w:rPr>
                <w:rStyle w:val="FootnoteReference"/>
              </w:rPr>
              <w:t>a,b</w:t>
            </w:r>
            <w:r w:rsidR="007A5709" w:rsidRPr="00A55335">
              <w:rPr>
                <w:rStyle w:val="FootnoteReference"/>
              </w:rPr>
              <w:t>,c,d,e</w:t>
            </w:r>
            <w:proofErr w:type="spellEnd"/>
          </w:p>
        </w:tc>
        <w:tc>
          <w:tcPr>
            <w:tcW w:w="1001" w:type="pct"/>
            <w:tcBorders>
              <w:top w:val="single" w:sz="6" w:space="0" w:color="000000"/>
              <w:left w:val="nil"/>
              <w:bottom w:val="single" w:sz="6" w:space="0" w:color="000000"/>
              <w:right w:val="nil"/>
            </w:tcBorders>
            <w:vAlign w:val="center"/>
          </w:tcPr>
          <w:p w14:paraId="6F38C2B9" w14:textId="28CC03A6" w:rsidR="009C1BFF" w:rsidRPr="00A55335" w:rsidRDefault="009C1BFF" w:rsidP="009C1BFF">
            <w:pPr>
              <w:pStyle w:val="Tabletext8pt"/>
            </w:pPr>
            <w:r w:rsidRPr="00A55335">
              <w:t>The evidence is very uncertain about the effect of homeopathy on emotional wellbeing in people with fibromyalgia</w:t>
            </w:r>
            <w:r w:rsidR="00DB4232" w:rsidRPr="00A55335">
              <w:t>**</w:t>
            </w:r>
          </w:p>
        </w:tc>
      </w:tr>
      <w:tr w:rsidR="009C1BFF" w:rsidRPr="00A55335" w14:paraId="22A6ACBD" w14:textId="77777777" w:rsidTr="007252A0">
        <w:trPr>
          <w:cantSplit/>
        </w:trPr>
        <w:tc>
          <w:tcPr>
            <w:tcW w:w="945" w:type="pct"/>
            <w:tcBorders>
              <w:top w:val="single" w:sz="6" w:space="0" w:color="000000"/>
              <w:left w:val="nil"/>
              <w:bottom w:val="single" w:sz="6" w:space="0" w:color="000000"/>
              <w:right w:val="nil"/>
            </w:tcBorders>
            <w:vAlign w:val="center"/>
          </w:tcPr>
          <w:p w14:paraId="7DCA23A4" w14:textId="40786154" w:rsidR="009C1BFF" w:rsidRPr="00A55335" w:rsidRDefault="009C1BFF" w:rsidP="009C1BFF">
            <w:pPr>
              <w:pStyle w:val="Tabletext8pt"/>
            </w:pPr>
            <w:r w:rsidRPr="00A55335">
              <w:t>Pain disability - not reported</w:t>
            </w:r>
          </w:p>
        </w:tc>
        <w:tc>
          <w:tcPr>
            <w:tcW w:w="727" w:type="pct"/>
            <w:tcBorders>
              <w:top w:val="single" w:sz="6" w:space="0" w:color="000000"/>
              <w:left w:val="nil"/>
              <w:bottom w:val="single" w:sz="6" w:space="0" w:color="000000"/>
              <w:right w:val="nil"/>
            </w:tcBorders>
            <w:shd w:val="clear" w:color="auto" w:fill="EBEBEB"/>
            <w:vAlign w:val="center"/>
          </w:tcPr>
          <w:p w14:paraId="4EC65319" w14:textId="653AA7CF" w:rsidR="009C1BFF" w:rsidRPr="00A55335" w:rsidRDefault="009C1BFF" w:rsidP="007252A0">
            <w:pPr>
              <w:pStyle w:val="Tabletext8pt"/>
              <w:jc w:val="center"/>
            </w:pPr>
            <w:r w:rsidRPr="00A55335">
              <w:t>-</w:t>
            </w:r>
          </w:p>
        </w:tc>
        <w:tc>
          <w:tcPr>
            <w:tcW w:w="727" w:type="pct"/>
            <w:tcBorders>
              <w:top w:val="single" w:sz="6" w:space="0" w:color="000000"/>
              <w:left w:val="nil"/>
              <w:bottom w:val="single" w:sz="6" w:space="0" w:color="000000"/>
              <w:right w:val="nil"/>
            </w:tcBorders>
            <w:shd w:val="clear" w:color="auto" w:fill="EBEBEB"/>
            <w:vAlign w:val="center"/>
          </w:tcPr>
          <w:p w14:paraId="296EBE20" w14:textId="1644974E" w:rsidR="009C1BFF" w:rsidRPr="00A55335" w:rsidRDefault="009C1BFF" w:rsidP="007252A0">
            <w:pPr>
              <w:pStyle w:val="Tabletext8pt"/>
              <w:jc w:val="center"/>
            </w:pPr>
            <w:r w:rsidRPr="00A55335">
              <w:t>-</w:t>
            </w:r>
          </w:p>
        </w:tc>
        <w:tc>
          <w:tcPr>
            <w:tcW w:w="437" w:type="pct"/>
            <w:tcBorders>
              <w:top w:val="single" w:sz="6" w:space="0" w:color="000000"/>
              <w:left w:val="nil"/>
              <w:bottom w:val="single" w:sz="6" w:space="0" w:color="000000"/>
              <w:right w:val="nil"/>
            </w:tcBorders>
            <w:vAlign w:val="center"/>
          </w:tcPr>
          <w:p w14:paraId="18809583" w14:textId="606D3C6A" w:rsidR="009C1BFF" w:rsidRPr="00A55335" w:rsidRDefault="009C1BFF" w:rsidP="007252A0">
            <w:pPr>
              <w:pStyle w:val="Tabletext8pt"/>
              <w:jc w:val="center"/>
            </w:pPr>
            <w:r w:rsidRPr="00A55335">
              <w:t>-</w:t>
            </w:r>
          </w:p>
        </w:tc>
        <w:tc>
          <w:tcPr>
            <w:tcW w:w="581" w:type="pct"/>
            <w:tcBorders>
              <w:top w:val="single" w:sz="6" w:space="0" w:color="000000"/>
              <w:left w:val="nil"/>
              <w:bottom w:val="single" w:sz="6" w:space="0" w:color="000000"/>
              <w:right w:val="nil"/>
            </w:tcBorders>
            <w:vAlign w:val="center"/>
          </w:tcPr>
          <w:p w14:paraId="17F48BCC" w14:textId="59B3875F" w:rsidR="009C1BFF" w:rsidRPr="00A55335" w:rsidRDefault="009C1BFF" w:rsidP="007252A0">
            <w:pPr>
              <w:pStyle w:val="Tabletext8pt"/>
              <w:jc w:val="center"/>
            </w:pPr>
            <w:r w:rsidRPr="00A55335">
              <w:t>(0 studies)</w:t>
            </w:r>
          </w:p>
        </w:tc>
        <w:tc>
          <w:tcPr>
            <w:tcW w:w="581" w:type="pct"/>
            <w:tcBorders>
              <w:top w:val="single" w:sz="6" w:space="0" w:color="000000"/>
              <w:left w:val="nil"/>
              <w:bottom w:val="single" w:sz="6" w:space="0" w:color="000000"/>
              <w:right w:val="nil"/>
            </w:tcBorders>
            <w:vAlign w:val="center"/>
          </w:tcPr>
          <w:p w14:paraId="1BA3D658" w14:textId="575D31AF" w:rsidR="009C1BFF" w:rsidRPr="00A55335" w:rsidRDefault="009C1BFF" w:rsidP="009C1BFF">
            <w:pPr>
              <w:pStyle w:val="Tabletext8pt"/>
              <w:jc w:val="center"/>
              <w:rPr>
                <w:rStyle w:val="quality-sign"/>
                <w:rFonts w:ascii="Cambria Math" w:hAnsi="Cambria Math"/>
              </w:rPr>
            </w:pPr>
            <w:r w:rsidRPr="00A55335">
              <w:t>-</w:t>
            </w:r>
          </w:p>
        </w:tc>
        <w:tc>
          <w:tcPr>
            <w:tcW w:w="1001" w:type="pct"/>
            <w:tcBorders>
              <w:top w:val="single" w:sz="6" w:space="0" w:color="000000"/>
              <w:left w:val="nil"/>
              <w:bottom w:val="single" w:sz="6" w:space="0" w:color="000000"/>
              <w:right w:val="nil"/>
            </w:tcBorders>
            <w:vAlign w:val="center"/>
          </w:tcPr>
          <w:p w14:paraId="7762C183" w14:textId="1344FE0D" w:rsidR="009C1BFF" w:rsidRPr="00A55335" w:rsidRDefault="009C1BFF" w:rsidP="009C1BFF">
            <w:pPr>
              <w:pStyle w:val="Tabletext8pt"/>
            </w:pPr>
            <w:r w:rsidRPr="00A55335">
              <w:t>The effect of homeopathy on pain disability in people with fibromyalgia is unknown</w:t>
            </w:r>
          </w:p>
        </w:tc>
      </w:tr>
      <w:tr w:rsidR="009C1BFF" w:rsidRPr="00A55335" w14:paraId="68D329B5" w14:textId="77777777" w:rsidTr="009C1BFF">
        <w:trPr>
          <w:cantSplit/>
        </w:trPr>
        <w:tc>
          <w:tcPr>
            <w:tcW w:w="5000" w:type="pct"/>
            <w:gridSpan w:val="7"/>
            <w:tcBorders>
              <w:top w:val="single" w:sz="6" w:space="0" w:color="000000"/>
              <w:left w:val="nil"/>
              <w:bottom w:val="single" w:sz="6" w:space="0" w:color="000000"/>
              <w:right w:val="nil"/>
            </w:tcBorders>
            <w:vAlign w:val="center"/>
            <w:hideMark/>
          </w:tcPr>
          <w:p w14:paraId="0505FA39" w14:textId="099F96B9" w:rsidR="00DB4232" w:rsidRPr="00A55335" w:rsidRDefault="009423E9" w:rsidP="00C51BE8">
            <w:pPr>
              <w:pStyle w:val="TableFigNotes0"/>
            </w:pPr>
            <w:r w:rsidRPr="00BD1A50">
              <w:rPr>
                <w:rStyle w:val="Strong"/>
              </w:rPr>
              <w:t>*The risk in the intervention group</w:t>
            </w:r>
            <w:r w:rsidRPr="00A55335">
              <w:t xml:space="preserve"> (and its 95% confidence interval) is based on the assumed risk in the comparison group and the </w:t>
            </w:r>
            <w:r w:rsidRPr="00BD1A50">
              <w:rPr>
                <w:rStyle w:val="Strong"/>
              </w:rPr>
              <w:t>relative effect</w:t>
            </w:r>
            <w:r w:rsidRPr="00A55335">
              <w:t xml:space="preserve"> of the intervention (and its 95% CI).</w:t>
            </w:r>
          </w:p>
          <w:p w14:paraId="0F70BA6B" w14:textId="41CF6502" w:rsidR="009423E9" w:rsidRPr="00A55335" w:rsidRDefault="009423E9" w:rsidP="00C51BE8">
            <w:pPr>
              <w:pStyle w:val="TableFigNotes0"/>
            </w:pPr>
            <w:r w:rsidRPr="00A55335">
              <w:t>** Effect estimates were considered on 3 levels: small (MD &lt;10% of the scale), moderate (MD between 10% to 20% of the scale) or large (MD more than 20% of the scale).</w:t>
            </w:r>
          </w:p>
          <w:p w14:paraId="57C88968" w14:textId="77777777" w:rsidR="009C1BFF" w:rsidRPr="00A55335" w:rsidRDefault="009C1BFF" w:rsidP="009C1BFF">
            <w:pPr>
              <w:pStyle w:val="TableFigNotes18"/>
            </w:pPr>
          </w:p>
          <w:p w14:paraId="434C30B9" w14:textId="7D4170AC" w:rsidR="009C1BFF" w:rsidRPr="00A55335" w:rsidRDefault="009C1BFF" w:rsidP="009C1BFF">
            <w:pPr>
              <w:pStyle w:val="TableFigNotes18"/>
            </w:pPr>
            <w:r w:rsidRPr="00A55335">
              <w:t xml:space="preserve">† </w:t>
            </w:r>
            <w:r w:rsidR="00A10C99" w:rsidRPr="00A55335">
              <w:t xml:space="preserve">Missing data </w:t>
            </w:r>
            <w:r w:rsidRPr="00A55335">
              <w:t>from one RCT (30 participants)</w:t>
            </w:r>
            <w:r w:rsidR="00A10C99" w:rsidRPr="00A55335">
              <w:t xml:space="preserve">. </w:t>
            </w:r>
            <w:r w:rsidRPr="00A55335">
              <w:t>Study authors report a significant difference favouring the homeopathy group for combined pain and sleep scores.</w:t>
            </w:r>
          </w:p>
          <w:p w14:paraId="4EF003EB" w14:textId="1EB91652" w:rsidR="009C1BFF" w:rsidRPr="00A55335" w:rsidRDefault="009C1BFF" w:rsidP="009C1BFF">
            <w:pPr>
              <w:pStyle w:val="TableFigNotes0"/>
            </w:pPr>
            <w:r w:rsidRPr="00A55335">
              <w:rPr>
                <w:rStyle w:val="Strong"/>
              </w:rPr>
              <w:t xml:space="preserve">CI: </w:t>
            </w:r>
            <w:r w:rsidRPr="00A55335">
              <w:t xml:space="preserve">confidence interval; </w:t>
            </w:r>
            <w:r w:rsidRPr="00A55335">
              <w:rPr>
                <w:rStyle w:val="Strong"/>
              </w:rPr>
              <w:t>MD:</w:t>
            </w:r>
            <w:r w:rsidRPr="00A55335">
              <w:t xml:space="preserve"> mean difference; </w:t>
            </w:r>
            <w:r w:rsidRPr="00A55335">
              <w:rPr>
                <w:rStyle w:val="Strong"/>
              </w:rPr>
              <w:t>POMS:</w:t>
            </w:r>
            <w:r w:rsidRPr="00A55335">
              <w:t xml:space="preserve"> Profile of mood states</w:t>
            </w:r>
          </w:p>
        </w:tc>
      </w:tr>
      <w:tr w:rsidR="009C1BFF" w:rsidRPr="00A55335" w14:paraId="34194316" w14:textId="77777777" w:rsidTr="009C1BFF">
        <w:trPr>
          <w:cantSplit/>
        </w:trPr>
        <w:tc>
          <w:tcPr>
            <w:tcW w:w="5000" w:type="pct"/>
            <w:gridSpan w:val="7"/>
            <w:tcBorders>
              <w:top w:val="single" w:sz="6" w:space="0" w:color="000000"/>
              <w:left w:val="nil"/>
              <w:bottom w:val="single" w:sz="6" w:space="0" w:color="000000"/>
              <w:right w:val="nil"/>
            </w:tcBorders>
            <w:vAlign w:val="center"/>
            <w:hideMark/>
          </w:tcPr>
          <w:p w14:paraId="07F3EEB5" w14:textId="77777777" w:rsidR="009C1BFF" w:rsidRPr="00A55335" w:rsidRDefault="009C1BFF" w:rsidP="009C1BFF">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052A6CF7" w14:textId="77777777" w:rsidR="00DD505D" w:rsidRPr="00A55335" w:rsidRDefault="00E35087" w:rsidP="00B4013E">
      <w:pPr>
        <w:pStyle w:val="Heading5a"/>
        <w:rPr>
          <w:lang w:val="en-AU"/>
        </w:rPr>
      </w:pPr>
      <w:r w:rsidRPr="00A55335">
        <w:rPr>
          <w:lang w:val="en-AU"/>
        </w:rPr>
        <w:t>Explanations</w:t>
      </w:r>
    </w:p>
    <w:p w14:paraId="47A2F2E8" w14:textId="14A32284" w:rsidR="00DD505D" w:rsidRPr="00A55335" w:rsidRDefault="005F3CBD" w:rsidP="00150B93">
      <w:pPr>
        <w:pStyle w:val="Footnote"/>
      </w:pPr>
      <w:r w:rsidRPr="009876E6">
        <w:t xml:space="preserve">a. </w:t>
      </w:r>
      <w:proofErr w:type="gramStart"/>
      <w:r w:rsidRPr="009876E6">
        <w:t>Serious</w:t>
      </w:r>
      <w:proofErr w:type="gramEnd"/>
      <w:r w:rsidRPr="009876E6">
        <w:t xml:space="preserve"> risk of bias. One RCT contributing 100% of data was at high risk of bias. Certainty </w:t>
      </w:r>
      <w:r w:rsidR="00DD505D" w:rsidRPr="00A55335">
        <w:t>of evidence downgraded.</w:t>
      </w:r>
    </w:p>
    <w:p w14:paraId="2857B250" w14:textId="77777777" w:rsidR="007A5709" w:rsidRPr="00A55335" w:rsidRDefault="007A5709" w:rsidP="007A5709">
      <w:pPr>
        <w:pStyle w:val="Footnote"/>
      </w:pPr>
      <w:r w:rsidRPr="00A55335">
        <w:t>b. Single study. Inconsistency not assessed. Certainty of evidence not downgraded.</w:t>
      </w:r>
    </w:p>
    <w:p w14:paraId="48C3597B" w14:textId="4D5DE924" w:rsidR="007A5709" w:rsidRPr="00A55335" w:rsidRDefault="007A5709" w:rsidP="00150B93">
      <w:pPr>
        <w:pStyle w:val="Footnote"/>
      </w:pPr>
      <w:r w:rsidRPr="00A55335">
        <w:t>c. No serious indirectness. The available evidence is in people with fibromyalgia and is applicable to the Australian population with few caveats. Certainty of evidence not downgraded.</w:t>
      </w:r>
    </w:p>
    <w:p w14:paraId="26C4FAED" w14:textId="3799A845" w:rsidR="00DD505D" w:rsidRPr="00A55335" w:rsidRDefault="007E0B54" w:rsidP="00150B93">
      <w:pPr>
        <w:pStyle w:val="Footnote"/>
      </w:pPr>
      <w:r w:rsidRPr="009876E6">
        <w:t xml:space="preserve">d. Very serious imprecision. One </w:t>
      </w:r>
      <w:r w:rsidR="00DD505D" w:rsidRPr="00A55335">
        <w:t xml:space="preserve">small study </w:t>
      </w:r>
      <w:r w:rsidR="00754A45" w:rsidRPr="00A55335">
        <w:t xml:space="preserve">(sample size less than optimal) </w:t>
      </w:r>
      <w:r w:rsidR="007A5709" w:rsidRPr="00A55335">
        <w:t>with w</w:t>
      </w:r>
      <w:r w:rsidR="00DD505D" w:rsidRPr="00A55335">
        <w:t xml:space="preserve">ide confidence intervals </w:t>
      </w:r>
      <w:r w:rsidR="007A5709" w:rsidRPr="00A55335">
        <w:t xml:space="preserve">(upper and lower bound overlap with both important </w:t>
      </w:r>
      <w:r w:rsidR="007D4CA0" w:rsidRPr="00A55335">
        <w:t>benefit</w:t>
      </w:r>
      <w:r w:rsidR="007A5709" w:rsidRPr="00A55335" w:rsidDel="006957C0">
        <w:t xml:space="preserve"> </w:t>
      </w:r>
      <w:r w:rsidR="007A5709" w:rsidRPr="00A55335">
        <w:t xml:space="preserve">and </w:t>
      </w:r>
      <w:r w:rsidR="00C10FD7" w:rsidRPr="00A55335">
        <w:t>harm</w:t>
      </w:r>
      <w:r w:rsidR="007A5709" w:rsidRPr="00A55335">
        <w:t>)</w:t>
      </w:r>
      <w:r w:rsidR="00DD505D" w:rsidRPr="00A55335">
        <w:t xml:space="preserve">. Certainty of evidence downgraded </w:t>
      </w:r>
      <w:r w:rsidR="007A5709" w:rsidRPr="00A55335">
        <w:t xml:space="preserve">2 </w:t>
      </w:r>
      <w:r w:rsidR="00DD505D" w:rsidRPr="00A55335">
        <w:t>levels.</w:t>
      </w:r>
    </w:p>
    <w:p w14:paraId="05E2D43E" w14:textId="6A29C2C9" w:rsidR="007A5709" w:rsidRPr="00A55335" w:rsidRDefault="007A5709" w:rsidP="00150B93">
      <w:pPr>
        <w:pStyle w:val="Footnote"/>
      </w:pPr>
      <w:r w:rsidRPr="00A55335">
        <w:lastRenderedPageBreak/>
        <w:t xml:space="preserve">e. Publication bias suspected. </w:t>
      </w:r>
      <w:r w:rsidR="006957C0" w:rsidRPr="00A55335">
        <w:t xml:space="preserve">There is </w:t>
      </w:r>
      <w:r w:rsidR="00D43611" w:rsidRPr="00A55335">
        <w:t xml:space="preserve">strong suspicion </w:t>
      </w:r>
      <w:r w:rsidR="006957C0" w:rsidRPr="00A55335">
        <w:t>of selective reporting of results</w:t>
      </w:r>
      <w:r w:rsidR="004A744C" w:rsidRPr="00A55335">
        <w:t xml:space="preserve"> because the </w:t>
      </w:r>
      <w:r w:rsidR="004A744C" w:rsidRPr="009876E6">
        <w:rPr>
          <w:rStyle w:val="Emphasis"/>
        </w:rPr>
        <w:t>p</w:t>
      </w:r>
      <w:r w:rsidR="004A744C" w:rsidRPr="00A55335">
        <w:t>-value, magnitude or direction of the results generated were considered unfavourable by the study investigators</w:t>
      </w:r>
      <w:r w:rsidR="006957C0" w:rsidRPr="00A55335">
        <w:t xml:space="preserve">. </w:t>
      </w:r>
      <w:r w:rsidRPr="00A55335">
        <w:t>Certainty of evidence downgraded.</w:t>
      </w:r>
    </w:p>
    <w:p w14:paraId="6491EB9D" w14:textId="3EDE384A" w:rsidR="00451588" w:rsidRPr="00A55335" w:rsidRDefault="00451588" w:rsidP="00150B93">
      <w:pPr>
        <w:pStyle w:val="Footnote"/>
      </w:pPr>
      <w:r w:rsidRPr="00A55335">
        <w:t xml:space="preserve">f. </w:t>
      </w:r>
      <w:r w:rsidR="00754A45" w:rsidRPr="00A55335">
        <w:t>Very s</w:t>
      </w:r>
      <w:r w:rsidRPr="00A55335">
        <w:t xml:space="preserve">erious imprecision. </w:t>
      </w:r>
      <w:r w:rsidR="00AC3054" w:rsidRPr="00A55335">
        <w:t xml:space="preserve">One small study </w:t>
      </w:r>
      <w:r w:rsidR="00754A45" w:rsidRPr="00A55335">
        <w:t xml:space="preserve">(sample size less than optimal) </w:t>
      </w:r>
      <w:r w:rsidR="00AC3054" w:rsidRPr="00A55335">
        <w:t>with confidence intervals that include both benefit and no important difference. Certainty of evidence downgraded</w:t>
      </w:r>
      <w:r w:rsidR="00754A45" w:rsidRPr="00A55335">
        <w:t xml:space="preserve"> 2 levels</w:t>
      </w:r>
      <w:r w:rsidR="00AC3054" w:rsidRPr="00A55335">
        <w:t>.</w:t>
      </w:r>
    </w:p>
    <w:p w14:paraId="07D360F6" w14:textId="55A64828" w:rsidR="00826A87" w:rsidRPr="00A55335" w:rsidRDefault="00826A87" w:rsidP="00826A87">
      <w:pPr>
        <w:pStyle w:val="Footnote"/>
      </w:pPr>
      <w:r w:rsidRPr="00A55335">
        <w:t xml:space="preserve">g. </w:t>
      </w:r>
      <w:r w:rsidR="00754A45" w:rsidRPr="00A55335">
        <w:t>Very s</w:t>
      </w:r>
      <w:r w:rsidRPr="00A55335">
        <w:t xml:space="preserve">erious imprecision. One small study </w:t>
      </w:r>
      <w:r w:rsidR="00754A45" w:rsidRPr="00A55335">
        <w:t xml:space="preserve">(sample size less than optimal) </w:t>
      </w:r>
      <w:r w:rsidRPr="00A55335">
        <w:t>with confidence intervals that include both no important difference</w:t>
      </w:r>
      <w:r w:rsidR="00754A45" w:rsidRPr="00A55335">
        <w:t xml:space="preserve"> and harm</w:t>
      </w:r>
      <w:r w:rsidRPr="00A55335">
        <w:t>. Certainty of evidence downgraded</w:t>
      </w:r>
      <w:r w:rsidR="00754A45" w:rsidRPr="00A55335">
        <w:t xml:space="preserve"> 2 levels</w:t>
      </w:r>
      <w:r w:rsidRPr="00A55335">
        <w:t>.</w:t>
      </w:r>
    </w:p>
    <w:p w14:paraId="412200C5" w14:textId="77777777" w:rsidR="007A5709" w:rsidRPr="00A55335" w:rsidRDefault="007A5709" w:rsidP="00150B93">
      <w:pPr>
        <w:pStyle w:val="Footnote"/>
      </w:pPr>
    </w:p>
    <w:p w14:paraId="3F4EFDF8" w14:textId="02BFFEF3" w:rsidR="00E64FE9" w:rsidRPr="00A55335" w:rsidRDefault="006070ED" w:rsidP="00E64FE9">
      <w:pPr>
        <w:pStyle w:val="Heading4"/>
      </w:pPr>
      <w:r w:rsidRPr="00A55335">
        <w:t>Secondary Comparison</w:t>
      </w:r>
      <w:r w:rsidR="00E64FE9" w:rsidRPr="00A55335">
        <w:t xml:space="preserve"> (vs </w:t>
      </w:r>
      <w:r w:rsidR="00E61691" w:rsidRPr="00A55335">
        <w:t xml:space="preserve">inactive </w:t>
      </w:r>
      <w:r w:rsidR="00E64FE9" w:rsidRPr="00A55335">
        <w:t xml:space="preserve">control) </w:t>
      </w:r>
    </w:p>
    <w:tbl>
      <w:tblPr>
        <w:tblW w:w="5003" w:type="pct"/>
        <w:tblLayout w:type="fixed"/>
        <w:tblCellMar>
          <w:top w:w="57" w:type="dxa"/>
          <w:left w:w="57" w:type="dxa"/>
          <w:bottom w:w="57" w:type="dxa"/>
          <w:right w:w="57" w:type="dxa"/>
        </w:tblCellMar>
        <w:tblLook w:val="04A0" w:firstRow="1" w:lastRow="0" w:firstColumn="1" w:lastColumn="0" w:noHBand="0" w:noVBand="1"/>
      </w:tblPr>
      <w:tblGrid>
        <w:gridCol w:w="1700"/>
        <w:gridCol w:w="1490"/>
        <w:gridCol w:w="1490"/>
        <w:gridCol w:w="850"/>
        <w:gridCol w:w="1135"/>
        <w:gridCol w:w="991"/>
        <w:gridCol w:w="2089"/>
        <w:gridCol w:w="6"/>
      </w:tblGrid>
      <w:tr w:rsidR="00E64FE9" w:rsidRPr="00A55335" w14:paraId="3A79670D" w14:textId="77777777" w:rsidTr="007252A0">
        <w:trPr>
          <w:tblHeader/>
        </w:trPr>
        <w:tc>
          <w:tcPr>
            <w:tcW w:w="5000" w:type="pct"/>
            <w:gridSpan w:val="8"/>
            <w:tcBorders>
              <w:top w:val="single" w:sz="4" w:space="0" w:color="auto"/>
              <w:bottom w:val="single" w:sz="4" w:space="0" w:color="auto"/>
            </w:tcBorders>
            <w:hideMark/>
          </w:tcPr>
          <w:p w14:paraId="672967A1" w14:textId="7740BEE3" w:rsidR="00E64FE9" w:rsidRPr="00A55335" w:rsidRDefault="00E64FE9" w:rsidP="00E64FE9">
            <w:pPr>
              <w:pStyle w:val="TableH1"/>
              <w:rPr>
                <w:lang w:val="en-AU"/>
              </w:rPr>
            </w:pPr>
            <w:r w:rsidRPr="00A55335">
              <w:rPr>
                <w:lang w:val="en-AU"/>
              </w:rPr>
              <w:t xml:space="preserve">Homeopathy compared to </w:t>
            </w:r>
            <w:r w:rsidR="00832CEA" w:rsidRPr="00A55335">
              <w:rPr>
                <w:lang w:val="en-AU"/>
              </w:rPr>
              <w:t xml:space="preserve">inactive control </w:t>
            </w:r>
            <w:r w:rsidRPr="00A55335">
              <w:rPr>
                <w:lang w:val="en-AU"/>
              </w:rPr>
              <w:t>for Fibromyalgia</w:t>
            </w:r>
          </w:p>
        </w:tc>
      </w:tr>
      <w:tr w:rsidR="00E64FE9" w:rsidRPr="00A55335" w14:paraId="5A70769E" w14:textId="77777777" w:rsidTr="007252A0">
        <w:trPr>
          <w:tblHeader/>
        </w:trPr>
        <w:tc>
          <w:tcPr>
            <w:tcW w:w="5000" w:type="pct"/>
            <w:gridSpan w:val="8"/>
            <w:tcBorders>
              <w:top w:val="single" w:sz="4" w:space="0" w:color="auto"/>
              <w:bottom w:val="single" w:sz="4" w:space="0" w:color="auto"/>
            </w:tcBorders>
            <w:hideMark/>
          </w:tcPr>
          <w:p w14:paraId="5E733636" w14:textId="77777777" w:rsidR="00E64FE9" w:rsidRPr="00A55335" w:rsidRDefault="00E64FE9">
            <w:pPr>
              <w:pStyle w:val="Tabletext9pt"/>
            </w:pPr>
            <w:r w:rsidRPr="00A55335">
              <w:rPr>
                <w:rStyle w:val="Strong"/>
              </w:rPr>
              <w:t>Patient or population:</w:t>
            </w:r>
            <w:r w:rsidRPr="00A55335">
              <w:t xml:space="preserve"> Fibromyalgia</w:t>
            </w:r>
          </w:p>
          <w:p w14:paraId="04F3A351" w14:textId="77777777" w:rsidR="00E64FE9" w:rsidRPr="00A55335" w:rsidRDefault="00E64FE9">
            <w:pPr>
              <w:pStyle w:val="Tabletext9pt"/>
            </w:pPr>
            <w:r w:rsidRPr="00A55335">
              <w:rPr>
                <w:rStyle w:val="Strong"/>
              </w:rPr>
              <w:t>Setting:</w:t>
            </w:r>
            <w:r w:rsidRPr="00A55335">
              <w:t xml:space="preserve"> Community</w:t>
            </w:r>
          </w:p>
          <w:p w14:paraId="11CD0AE8" w14:textId="77777777" w:rsidR="00E64FE9" w:rsidRPr="00A55335" w:rsidRDefault="00E64FE9">
            <w:pPr>
              <w:pStyle w:val="Tabletext9pt"/>
            </w:pPr>
            <w:r w:rsidRPr="00A55335">
              <w:rPr>
                <w:rStyle w:val="Strong"/>
              </w:rPr>
              <w:t>Intervention:</w:t>
            </w:r>
            <w:r w:rsidRPr="00A55335">
              <w:t xml:space="preserve"> Homeopathy</w:t>
            </w:r>
          </w:p>
          <w:p w14:paraId="02282DC4" w14:textId="5F8FC254" w:rsidR="00E64FE9" w:rsidRPr="00A55335" w:rsidRDefault="00E64FE9">
            <w:pPr>
              <w:pStyle w:val="Tabletext9pt"/>
            </w:pPr>
            <w:r w:rsidRPr="00A55335">
              <w:rPr>
                <w:rStyle w:val="Strong"/>
              </w:rPr>
              <w:t xml:space="preserve">Comparison: </w:t>
            </w:r>
            <w:r w:rsidR="00E61691" w:rsidRPr="00A55335">
              <w:t>Inactive c</w:t>
            </w:r>
            <w:r w:rsidR="00751B81" w:rsidRPr="00A55335">
              <w:t>ontrol (no intervention)</w:t>
            </w:r>
          </w:p>
        </w:tc>
      </w:tr>
      <w:tr w:rsidR="00E64FE9" w:rsidRPr="00A55335" w14:paraId="2C67A2A4" w14:textId="77777777" w:rsidTr="002D1419">
        <w:trPr>
          <w:tblHeader/>
        </w:trPr>
        <w:tc>
          <w:tcPr>
            <w:tcW w:w="872" w:type="pct"/>
            <w:vMerge w:val="restart"/>
            <w:tcBorders>
              <w:top w:val="single" w:sz="4" w:space="0" w:color="auto"/>
            </w:tcBorders>
            <w:shd w:val="clear" w:color="auto" w:fill="006579" w:themeFill="accent2"/>
            <w:vAlign w:val="bottom"/>
            <w:hideMark/>
          </w:tcPr>
          <w:p w14:paraId="7D0021B2" w14:textId="77777777" w:rsidR="00E64FE9" w:rsidRPr="00A55335" w:rsidRDefault="00E64FE9" w:rsidP="00E64FE9">
            <w:pPr>
              <w:pStyle w:val="Tabletext8pt"/>
              <w:rPr>
                <w:color w:val="F9F9F9" w:themeColor="background1"/>
              </w:rPr>
            </w:pPr>
            <w:r w:rsidRPr="00A55335">
              <w:rPr>
                <w:b/>
                <w:bCs/>
                <w:color w:val="F9F9F9" w:themeColor="background1"/>
              </w:rPr>
              <w:t>Outcomes</w:t>
            </w:r>
          </w:p>
        </w:tc>
        <w:tc>
          <w:tcPr>
            <w:tcW w:w="1528" w:type="pct"/>
            <w:gridSpan w:val="2"/>
            <w:tcBorders>
              <w:top w:val="single" w:sz="4" w:space="0" w:color="auto"/>
            </w:tcBorders>
            <w:shd w:val="clear" w:color="auto" w:fill="ECECEC"/>
            <w:vAlign w:val="bottom"/>
            <w:hideMark/>
          </w:tcPr>
          <w:p w14:paraId="0919A6DF" w14:textId="77777777" w:rsidR="00E64FE9" w:rsidRPr="00A55335" w:rsidRDefault="00E64FE9" w:rsidP="00E64FE9">
            <w:pPr>
              <w:pStyle w:val="Tabletext8pt"/>
              <w:rPr>
                <w:rStyle w:val="Strong"/>
              </w:rPr>
            </w:pPr>
            <w:r w:rsidRPr="00A55335">
              <w:rPr>
                <w:rStyle w:val="Strong"/>
              </w:rPr>
              <w:t>Anticipated absolute effects* (95% CI)</w:t>
            </w:r>
          </w:p>
        </w:tc>
        <w:tc>
          <w:tcPr>
            <w:tcW w:w="436" w:type="pct"/>
            <w:vMerge w:val="restart"/>
            <w:tcBorders>
              <w:top w:val="single" w:sz="4" w:space="0" w:color="auto"/>
              <w:bottom w:val="single" w:sz="4" w:space="0" w:color="auto"/>
            </w:tcBorders>
            <w:shd w:val="clear" w:color="auto" w:fill="006579" w:themeFill="accent2"/>
            <w:vAlign w:val="bottom"/>
            <w:hideMark/>
          </w:tcPr>
          <w:p w14:paraId="38238092" w14:textId="77777777" w:rsidR="00E64FE9" w:rsidRPr="00A55335" w:rsidRDefault="00E64FE9" w:rsidP="00E64FE9">
            <w:pPr>
              <w:pStyle w:val="Tabletext8pt"/>
              <w:rPr>
                <w:b/>
                <w:bCs/>
                <w:color w:val="F9F9F9" w:themeColor="background1"/>
              </w:rPr>
            </w:pPr>
            <w:r w:rsidRPr="00A55335">
              <w:rPr>
                <w:b/>
                <w:bCs/>
                <w:color w:val="F9F9F9" w:themeColor="background1"/>
              </w:rPr>
              <w:t>Relative effect</w:t>
            </w:r>
            <w:r w:rsidRPr="00A55335">
              <w:rPr>
                <w:b/>
                <w:bCs/>
                <w:color w:val="F9F9F9" w:themeColor="background1"/>
              </w:rPr>
              <w:br/>
              <w:t>(95% CI)</w:t>
            </w:r>
          </w:p>
        </w:tc>
        <w:tc>
          <w:tcPr>
            <w:tcW w:w="582" w:type="pct"/>
            <w:vMerge w:val="restart"/>
            <w:tcBorders>
              <w:top w:val="single" w:sz="4" w:space="0" w:color="auto"/>
              <w:bottom w:val="single" w:sz="4" w:space="0" w:color="auto"/>
            </w:tcBorders>
            <w:shd w:val="clear" w:color="auto" w:fill="006579" w:themeFill="accent2"/>
            <w:vAlign w:val="bottom"/>
            <w:hideMark/>
          </w:tcPr>
          <w:p w14:paraId="4508266C" w14:textId="77777777" w:rsidR="00E64FE9" w:rsidRPr="00A55335" w:rsidRDefault="00E64FE9" w:rsidP="00E64FE9">
            <w:pPr>
              <w:pStyle w:val="Tabletext8pt"/>
              <w:rPr>
                <w:b/>
                <w:bCs/>
                <w:color w:val="F9F9F9" w:themeColor="background1"/>
              </w:rPr>
            </w:pPr>
            <w:r w:rsidRPr="00A55335">
              <w:rPr>
                <w:b/>
                <w:bCs/>
                <w:color w:val="F9F9F9" w:themeColor="background1"/>
              </w:rPr>
              <w:t>№ of participants</w:t>
            </w:r>
            <w:r w:rsidRPr="00A55335">
              <w:rPr>
                <w:b/>
                <w:bCs/>
                <w:color w:val="F9F9F9" w:themeColor="background1"/>
              </w:rPr>
              <w:br/>
              <w:t>(studies)</w:t>
            </w:r>
          </w:p>
        </w:tc>
        <w:tc>
          <w:tcPr>
            <w:tcW w:w="508" w:type="pct"/>
            <w:vMerge w:val="restart"/>
            <w:tcBorders>
              <w:top w:val="single" w:sz="4" w:space="0" w:color="auto"/>
              <w:bottom w:val="single" w:sz="4" w:space="0" w:color="auto"/>
            </w:tcBorders>
            <w:shd w:val="clear" w:color="auto" w:fill="006579" w:themeFill="accent2"/>
            <w:vAlign w:val="bottom"/>
            <w:hideMark/>
          </w:tcPr>
          <w:p w14:paraId="64B6DEB7" w14:textId="77777777" w:rsidR="00E64FE9" w:rsidRPr="00A55335" w:rsidRDefault="00E64FE9" w:rsidP="00E64FE9">
            <w:pPr>
              <w:pStyle w:val="Tabletext8pt"/>
              <w:rPr>
                <w:b/>
                <w:bCs/>
                <w:color w:val="F9F9F9" w:themeColor="background1"/>
              </w:rPr>
            </w:pPr>
            <w:r w:rsidRPr="00A55335">
              <w:rPr>
                <w:b/>
                <w:bCs/>
                <w:color w:val="F9F9F9" w:themeColor="background1"/>
              </w:rPr>
              <w:t>Certainty of the evidence</w:t>
            </w:r>
            <w:r w:rsidRPr="00A55335">
              <w:rPr>
                <w:b/>
                <w:bCs/>
                <w:color w:val="F9F9F9" w:themeColor="background1"/>
              </w:rPr>
              <w:br/>
              <w:t>(GRADE)</w:t>
            </w:r>
          </w:p>
        </w:tc>
        <w:tc>
          <w:tcPr>
            <w:tcW w:w="1074" w:type="pct"/>
            <w:gridSpan w:val="2"/>
            <w:vMerge w:val="restart"/>
            <w:tcBorders>
              <w:top w:val="single" w:sz="4" w:space="0" w:color="auto"/>
              <w:bottom w:val="single" w:sz="4" w:space="0" w:color="auto"/>
            </w:tcBorders>
            <w:shd w:val="clear" w:color="auto" w:fill="006579" w:themeFill="accent2"/>
            <w:vAlign w:val="bottom"/>
            <w:hideMark/>
          </w:tcPr>
          <w:p w14:paraId="568AF862" w14:textId="1B0F95EF" w:rsidR="00E64FE9" w:rsidRPr="00A55335" w:rsidRDefault="00E64FE9" w:rsidP="00E64FE9">
            <w:pPr>
              <w:pStyle w:val="Tabletext8pt"/>
              <w:rPr>
                <w:b/>
                <w:bCs/>
                <w:color w:val="F9F9F9" w:themeColor="background1"/>
              </w:rPr>
            </w:pPr>
            <w:r w:rsidRPr="00A55335">
              <w:rPr>
                <w:b/>
                <w:bCs/>
                <w:color w:val="F9F9F9" w:themeColor="background1"/>
              </w:rPr>
              <w:t>Evidence statement</w:t>
            </w:r>
          </w:p>
        </w:tc>
      </w:tr>
      <w:tr w:rsidR="00E64FE9" w:rsidRPr="00A55335" w14:paraId="7D12D509" w14:textId="77777777" w:rsidTr="002D1419">
        <w:trPr>
          <w:tblHeader/>
        </w:trPr>
        <w:tc>
          <w:tcPr>
            <w:tcW w:w="872" w:type="pct"/>
            <w:vMerge/>
            <w:tcBorders>
              <w:bottom w:val="single" w:sz="4" w:space="0" w:color="auto"/>
            </w:tcBorders>
            <w:shd w:val="clear" w:color="auto" w:fill="006579" w:themeFill="accent2"/>
            <w:vAlign w:val="bottom"/>
            <w:hideMark/>
          </w:tcPr>
          <w:p w14:paraId="1ED73BA8" w14:textId="77777777" w:rsidR="00E64FE9" w:rsidRPr="00A55335" w:rsidRDefault="00E64FE9" w:rsidP="00E64FE9">
            <w:pPr>
              <w:pStyle w:val="Tabletext8pt"/>
            </w:pPr>
          </w:p>
        </w:tc>
        <w:tc>
          <w:tcPr>
            <w:tcW w:w="764" w:type="pct"/>
            <w:tcBorders>
              <w:bottom w:val="single" w:sz="4" w:space="0" w:color="auto"/>
            </w:tcBorders>
            <w:shd w:val="clear" w:color="auto" w:fill="ECECEC"/>
            <w:vAlign w:val="bottom"/>
            <w:hideMark/>
          </w:tcPr>
          <w:p w14:paraId="421859D9" w14:textId="77777777" w:rsidR="00E64FE9" w:rsidRPr="00A55335" w:rsidRDefault="00E64FE9" w:rsidP="00E64FE9">
            <w:pPr>
              <w:pStyle w:val="Tabletext8pt"/>
              <w:rPr>
                <w:rStyle w:val="Strong"/>
              </w:rPr>
            </w:pPr>
            <w:r w:rsidRPr="00A55335">
              <w:rPr>
                <w:rStyle w:val="Strong"/>
              </w:rPr>
              <w:t>Risk with control (no intervention)</w:t>
            </w:r>
          </w:p>
        </w:tc>
        <w:tc>
          <w:tcPr>
            <w:tcW w:w="764" w:type="pct"/>
            <w:tcBorders>
              <w:bottom w:val="single" w:sz="4" w:space="0" w:color="auto"/>
            </w:tcBorders>
            <w:shd w:val="clear" w:color="auto" w:fill="ECECEC"/>
            <w:vAlign w:val="bottom"/>
            <w:hideMark/>
          </w:tcPr>
          <w:p w14:paraId="3B3BAE0D" w14:textId="77777777" w:rsidR="00E64FE9" w:rsidRPr="00A55335" w:rsidRDefault="00E64FE9" w:rsidP="00E64FE9">
            <w:pPr>
              <w:pStyle w:val="Tabletext8pt"/>
              <w:rPr>
                <w:rStyle w:val="Strong"/>
              </w:rPr>
            </w:pPr>
            <w:r w:rsidRPr="00A55335">
              <w:rPr>
                <w:rStyle w:val="Strong"/>
              </w:rPr>
              <w:t>Risk with Homeopathy</w:t>
            </w:r>
          </w:p>
        </w:tc>
        <w:tc>
          <w:tcPr>
            <w:tcW w:w="436" w:type="pct"/>
            <w:vMerge/>
            <w:tcBorders>
              <w:bottom w:val="single" w:sz="4" w:space="0" w:color="auto"/>
            </w:tcBorders>
            <w:shd w:val="clear" w:color="auto" w:fill="006579" w:themeFill="accent2"/>
            <w:vAlign w:val="bottom"/>
            <w:hideMark/>
          </w:tcPr>
          <w:p w14:paraId="7B9108DA" w14:textId="77777777" w:rsidR="00E64FE9" w:rsidRPr="00A55335" w:rsidRDefault="00E64FE9" w:rsidP="00E64FE9">
            <w:pPr>
              <w:pStyle w:val="Tabletext8pt"/>
            </w:pPr>
          </w:p>
        </w:tc>
        <w:tc>
          <w:tcPr>
            <w:tcW w:w="582" w:type="pct"/>
            <w:vMerge/>
            <w:tcBorders>
              <w:bottom w:val="single" w:sz="4" w:space="0" w:color="auto"/>
            </w:tcBorders>
            <w:shd w:val="clear" w:color="auto" w:fill="006579" w:themeFill="accent2"/>
            <w:vAlign w:val="bottom"/>
            <w:hideMark/>
          </w:tcPr>
          <w:p w14:paraId="060D9520" w14:textId="77777777" w:rsidR="00E64FE9" w:rsidRPr="00A55335" w:rsidRDefault="00E64FE9" w:rsidP="00E64FE9">
            <w:pPr>
              <w:pStyle w:val="Tabletext8pt"/>
            </w:pPr>
          </w:p>
        </w:tc>
        <w:tc>
          <w:tcPr>
            <w:tcW w:w="508" w:type="pct"/>
            <w:vMerge/>
            <w:tcBorders>
              <w:bottom w:val="single" w:sz="4" w:space="0" w:color="auto"/>
            </w:tcBorders>
            <w:shd w:val="clear" w:color="auto" w:fill="006579" w:themeFill="accent2"/>
            <w:vAlign w:val="bottom"/>
            <w:hideMark/>
          </w:tcPr>
          <w:p w14:paraId="521E9EE7" w14:textId="77777777" w:rsidR="00E64FE9" w:rsidRPr="00A55335" w:rsidRDefault="00E64FE9" w:rsidP="00E64FE9">
            <w:pPr>
              <w:pStyle w:val="Tabletext8pt"/>
            </w:pPr>
          </w:p>
        </w:tc>
        <w:tc>
          <w:tcPr>
            <w:tcW w:w="1074" w:type="pct"/>
            <w:gridSpan w:val="2"/>
            <w:vMerge/>
            <w:tcBorders>
              <w:bottom w:val="single" w:sz="4" w:space="0" w:color="auto"/>
            </w:tcBorders>
            <w:shd w:val="clear" w:color="auto" w:fill="006579" w:themeFill="accent2"/>
            <w:vAlign w:val="bottom"/>
            <w:hideMark/>
          </w:tcPr>
          <w:p w14:paraId="7BC2D92F" w14:textId="77777777" w:rsidR="00E64FE9" w:rsidRPr="00A55335" w:rsidRDefault="00E64FE9" w:rsidP="00E64FE9">
            <w:pPr>
              <w:pStyle w:val="Tabletext8pt"/>
            </w:pPr>
          </w:p>
        </w:tc>
      </w:tr>
      <w:tr w:rsidR="00461155" w:rsidRPr="00A55335" w14:paraId="7D6FD9C1" w14:textId="77777777" w:rsidTr="002D1419">
        <w:trPr>
          <w:trHeight w:val="712"/>
        </w:trPr>
        <w:tc>
          <w:tcPr>
            <w:tcW w:w="872" w:type="pct"/>
            <w:vMerge w:val="restart"/>
            <w:tcBorders>
              <w:top w:val="single" w:sz="4" w:space="0" w:color="auto"/>
              <w:bottom w:val="single" w:sz="4" w:space="0" w:color="auto"/>
            </w:tcBorders>
            <w:vAlign w:val="center"/>
            <w:hideMark/>
          </w:tcPr>
          <w:p w14:paraId="13F4E3F8" w14:textId="1ECDE644" w:rsidR="00E64FE9" w:rsidRPr="00A55335" w:rsidRDefault="00E64FE9" w:rsidP="00E64FE9">
            <w:pPr>
              <w:pStyle w:val="Tabletext8pt"/>
              <w:rPr>
                <w:b/>
                <w:bCs/>
              </w:rPr>
            </w:pPr>
            <w:r w:rsidRPr="00A55335">
              <w:t>Pain intensity</w:t>
            </w:r>
            <w:r w:rsidRPr="00A55335">
              <w:br/>
              <w:t xml:space="preserve">assessed with: McGill Pain Questionnaire </w:t>
            </w:r>
            <w:r w:rsidR="006C46B5" w:rsidRPr="00A55335">
              <w:t xml:space="preserve">Scale: 0 to 12 (affective); 0 to 33 (sensory) </w:t>
            </w:r>
            <w:r w:rsidR="00A805E2" w:rsidRPr="00A55335">
              <w:rPr>
                <w:rFonts w:cs="Montserrat"/>
                <w:color w:val="000000"/>
              </w:rPr>
              <w:t>(higher is worse)</w:t>
            </w:r>
            <w:r w:rsidRPr="00A55335">
              <w:br/>
              <w:t>follow-up: 22 weeks</w:t>
            </w:r>
          </w:p>
        </w:tc>
        <w:tc>
          <w:tcPr>
            <w:tcW w:w="764" w:type="pct"/>
            <w:tcBorders>
              <w:top w:val="single" w:sz="4" w:space="0" w:color="auto"/>
            </w:tcBorders>
            <w:shd w:val="clear" w:color="auto" w:fill="ECECEC"/>
            <w:vAlign w:val="center"/>
            <w:hideMark/>
          </w:tcPr>
          <w:p w14:paraId="34DA6056" w14:textId="77777777" w:rsidR="00E64FE9" w:rsidRPr="00A55335" w:rsidRDefault="00E64FE9" w:rsidP="00BE55A1">
            <w:pPr>
              <w:pStyle w:val="Tabletext8pt"/>
              <w:jc w:val="center"/>
            </w:pPr>
            <w:r w:rsidRPr="00A55335">
              <w:t xml:space="preserve">The mean affective pain score was </w:t>
            </w:r>
            <w:r w:rsidRPr="00A55335">
              <w:rPr>
                <w:rStyle w:val="Strong"/>
              </w:rPr>
              <w:t>6.5</w:t>
            </w:r>
          </w:p>
        </w:tc>
        <w:tc>
          <w:tcPr>
            <w:tcW w:w="764" w:type="pct"/>
            <w:tcBorders>
              <w:top w:val="single" w:sz="4" w:space="0" w:color="auto"/>
            </w:tcBorders>
            <w:shd w:val="clear" w:color="auto" w:fill="ECECEC"/>
            <w:hideMark/>
          </w:tcPr>
          <w:p w14:paraId="38AE8268" w14:textId="3244496C" w:rsidR="00E64FE9" w:rsidRPr="00A55335" w:rsidRDefault="00E64FE9" w:rsidP="00BE55A1">
            <w:pPr>
              <w:pStyle w:val="Tabletext8pt"/>
              <w:jc w:val="center"/>
            </w:pPr>
            <w:r w:rsidRPr="00A55335">
              <w:t xml:space="preserve">MD </w:t>
            </w:r>
            <w:r w:rsidRPr="00A55335">
              <w:rPr>
                <w:rStyle w:val="Strong"/>
              </w:rPr>
              <w:t>2.00 lower</w:t>
            </w:r>
            <w:r w:rsidRPr="00A55335">
              <w:t xml:space="preserve"> (4.34 lower to 0.34 higher</w:t>
            </w:r>
          </w:p>
        </w:tc>
        <w:tc>
          <w:tcPr>
            <w:tcW w:w="436" w:type="pct"/>
            <w:vMerge w:val="restart"/>
            <w:tcBorders>
              <w:top w:val="single" w:sz="4" w:space="0" w:color="auto"/>
              <w:bottom w:val="single" w:sz="4" w:space="0" w:color="auto"/>
            </w:tcBorders>
            <w:vAlign w:val="center"/>
            <w:hideMark/>
          </w:tcPr>
          <w:p w14:paraId="19CDAE58" w14:textId="77777777" w:rsidR="00E64FE9" w:rsidRPr="00A55335" w:rsidRDefault="00E64FE9" w:rsidP="007252A0">
            <w:pPr>
              <w:pStyle w:val="Tabletext8pt"/>
              <w:jc w:val="center"/>
            </w:pPr>
            <w:r w:rsidRPr="00A55335">
              <w:t>-</w:t>
            </w:r>
          </w:p>
        </w:tc>
        <w:tc>
          <w:tcPr>
            <w:tcW w:w="582" w:type="pct"/>
            <w:vMerge w:val="restart"/>
            <w:tcBorders>
              <w:top w:val="single" w:sz="4" w:space="0" w:color="auto"/>
              <w:bottom w:val="single" w:sz="4" w:space="0" w:color="auto"/>
            </w:tcBorders>
            <w:vAlign w:val="center"/>
            <w:hideMark/>
          </w:tcPr>
          <w:p w14:paraId="02A6224A" w14:textId="77777777" w:rsidR="00E64FE9" w:rsidRPr="00A55335" w:rsidRDefault="00E64FE9" w:rsidP="007252A0">
            <w:pPr>
              <w:pStyle w:val="Tabletext8pt"/>
              <w:jc w:val="center"/>
            </w:pPr>
            <w:r w:rsidRPr="00A55335">
              <w:t>36</w:t>
            </w:r>
            <w:r w:rsidRPr="00A55335">
              <w:br/>
              <w:t>(1 RCT)</w:t>
            </w:r>
          </w:p>
        </w:tc>
        <w:tc>
          <w:tcPr>
            <w:tcW w:w="508" w:type="pct"/>
            <w:vMerge w:val="restart"/>
            <w:tcBorders>
              <w:top w:val="single" w:sz="4" w:space="0" w:color="auto"/>
              <w:bottom w:val="single" w:sz="4" w:space="0" w:color="auto"/>
            </w:tcBorders>
            <w:vAlign w:val="center"/>
            <w:hideMark/>
          </w:tcPr>
          <w:p w14:paraId="3A7E2CD3" w14:textId="22461D5C" w:rsidR="00E64FE9" w:rsidRPr="00A55335" w:rsidRDefault="00E64FE9" w:rsidP="00E64FE9">
            <w:pPr>
              <w:pStyle w:val="Tabletext8pt"/>
            </w:pPr>
            <w:r w:rsidRPr="00A55335">
              <w:rPr>
                <w:rStyle w:val="quality-sign"/>
                <w:rFonts w:ascii="Cambria Math" w:hAnsi="Cambria Math"/>
              </w:rPr>
              <w:t>⨁⨁◯◯</w:t>
            </w:r>
            <w:r w:rsidRPr="00A55335">
              <w:br/>
            </w:r>
            <w:r w:rsidR="00915AEC" w:rsidRPr="00A55335">
              <w:rPr>
                <w:rFonts w:cs="Montserrat"/>
                <w:smallCaps/>
                <w:color w:val="000000"/>
              </w:rPr>
              <w:t xml:space="preserve">Low </w:t>
            </w:r>
            <w:proofErr w:type="spellStart"/>
            <w:proofErr w:type="gramStart"/>
            <w:r w:rsidR="00915AEC" w:rsidRPr="00A55335">
              <w:rPr>
                <w:rFonts w:cs="Montserrat"/>
                <w:color w:val="000000"/>
                <w:vertAlign w:val="superscript"/>
              </w:rPr>
              <w:t>a,b</w:t>
            </w:r>
            <w:proofErr w:type="gramEnd"/>
            <w:r w:rsidR="00915AEC" w:rsidRPr="00A55335">
              <w:rPr>
                <w:rFonts w:cs="Montserrat"/>
                <w:color w:val="000000"/>
                <w:vertAlign w:val="superscript"/>
              </w:rPr>
              <w:t>,c,d,e</w:t>
            </w:r>
            <w:proofErr w:type="spellEnd"/>
          </w:p>
        </w:tc>
        <w:tc>
          <w:tcPr>
            <w:tcW w:w="1074" w:type="pct"/>
            <w:gridSpan w:val="2"/>
            <w:vMerge w:val="restart"/>
            <w:tcBorders>
              <w:top w:val="single" w:sz="4" w:space="0" w:color="auto"/>
              <w:bottom w:val="single" w:sz="4" w:space="0" w:color="auto"/>
            </w:tcBorders>
            <w:vAlign w:val="center"/>
            <w:hideMark/>
          </w:tcPr>
          <w:p w14:paraId="158A807C" w14:textId="5A890906" w:rsidR="00E64FE9" w:rsidRPr="00A55335" w:rsidRDefault="000C6A00" w:rsidP="00E64FE9">
            <w:pPr>
              <w:pStyle w:val="Tabletext8pt"/>
            </w:pPr>
            <w:r w:rsidRPr="00A55335">
              <w:t>H</w:t>
            </w:r>
            <w:r w:rsidR="00BD443B" w:rsidRPr="00A55335">
              <w:t>omeopathy may result</w:t>
            </w:r>
            <w:r w:rsidR="00E64FE9" w:rsidRPr="00A55335">
              <w:t xml:space="preserve"> in little to no difference in pain in people with fibromyalgia</w:t>
            </w:r>
            <w:r w:rsidR="00D7411B" w:rsidRPr="00A55335">
              <w:t xml:space="preserve"> </w:t>
            </w:r>
            <w:r w:rsidR="00754A45" w:rsidRPr="00A55335">
              <w:t>**</w:t>
            </w:r>
          </w:p>
        </w:tc>
      </w:tr>
      <w:tr w:rsidR="00E64FE9" w:rsidRPr="00A55335" w14:paraId="76984611" w14:textId="77777777" w:rsidTr="002D1419">
        <w:trPr>
          <w:trHeight w:val="712"/>
        </w:trPr>
        <w:tc>
          <w:tcPr>
            <w:tcW w:w="872" w:type="pct"/>
            <w:vMerge/>
            <w:tcBorders>
              <w:bottom w:val="single" w:sz="4" w:space="0" w:color="auto"/>
            </w:tcBorders>
            <w:vAlign w:val="center"/>
          </w:tcPr>
          <w:p w14:paraId="4701B09B" w14:textId="77777777" w:rsidR="00E64FE9" w:rsidRPr="00A55335" w:rsidRDefault="00E64FE9" w:rsidP="00E64FE9">
            <w:pPr>
              <w:pStyle w:val="Tabletext8pt"/>
              <w:rPr>
                <w:b/>
                <w:bCs/>
              </w:rPr>
            </w:pPr>
          </w:p>
        </w:tc>
        <w:tc>
          <w:tcPr>
            <w:tcW w:w="764" w:type="pct"/>
            <w:shd w:val="clear" w:color="auto" w:fill="ECECEC"/>
            <w:vAlign w:val="center"/>
          </w:tcPr>
          <w:p w14:paraId="26E10EF0" w14:textId="77777777" w:rsidR="00E64FE9" w:rsidRPr="00A55335" w:rsidRDefault="00E64FE9" w:rsidP="007252A0">
            <w:pPr>
              <w:pStyle w:val="Tabletext8pt"/>
              <w:jc w:val="center"/>
            </w:pPr>
            <w:r w:rsidRPr="00A55335">
              <w:t xml:space="preserve">The mean sensory pain score was </w:t>
            </w:r>
            <w:r w:rsidRPr="00A55335">
              <w:rPr>
                <w:rStyle w:val="Strong"/>
              </w:rPr>
              <w:t>20.6</w:t>
            </w:r>
          </w:p>
        </w:tc>
        <w:tc>
          <w:tcPr>
            <w:tcW w:w="764" w:type="pct"/>
            <w:shd w:val="clear" w:color="auto" w:fill="ECECEC"/>
          </w:tcPr>
          <w:p w14:paraId="2306E4DB" w14:textId="77777777" w:rsidR="00E64FE9" w:rsidRPr="00A55335" w:rsidRDefault="00E64FE9" w:rsidP="007252A0">
            <w:pPr>
              <w:pStyle w:val="Tabletext8pt"/>
              <w:jc w:val="center"/>
            </w:pPr>
            <w:r w:rsidRPr="00A55335">
              <w:t xml:space="preserve">MD </w:t>
            </w:r>
            <w:r w:rsidRPr="00A55335">
              <w:rPr>
                <w:rStyle w:val="Strong"/>
              </w:rPr>
              <w:t>2.90 lower</w:t>
            </w:r>
            <w:r w:rsidRPr="00A55335">
              <w:t xml:space="preserve"> (8.94 lower to 3.14 higher)</w:t>
            </w:r>
          </w:p>
        </w:tc>
        <w:tc>
          <w:tcPr>
            <w:tcW w:w="436" w:type="pct"/>
            <w:vMerge/>
            <w:tcBorders>
              <w:bottom w:val="single" w:sz="4" w:space="0" w:color="auto"/>
            </w:tcBorders>
            <w:vAlign w:val="center"/>
          </w:tcPr>
          <w:p w14:paraId="5A866CF7" w14:textId="77777777" w:rsidR="00E64FE9" w:rsidRPr="00A55335" w:rsidRDefault="00E64FE9" w:rsidP="007252A0">
            <w:pPr>
              <w:pStyle w:val="Tabletext8pt"/>
              <w:jc w:val="center"/>
            </w:pPr>
          </w:p>
        </w:tc>
        <w:tc>
          <w:tcPr>
            <w:tcW w:w="582" w:type="pct"/>
            <w:vMerge/>
            <w:tcBorders>
              <w:bottom w:val="single" w:sz="4" w:space="0" w:color="auto"/>
            </w:tcBorders>
            <w:vAlign w:val="center"/>
          </w:tcPr>
          <w:p w14:paraId="720F1D8A" w14:textId="77777777" w:rsidR="00E64FE9" w:rsidRPr="00A55335" w:rsidRDefault="00E64FE9" w:rsidP="007252A0">
            <w:pPr>
              <w:pStyle w:val="Tabletext8pt"/>
              <w:jc w:val="center"/>
            </w:pPr>
          </w:p>
        </w:tc>
        <w:tc>
          <w:tcPr>
            <w:tcW w:w="508" w:type="pct"/>
            <w:vMerge/>
            <w:tcBorders>
              <w:bottom w:val="single" w:sz="4" w:space="0" w:color="auto"/>
            </w:tcBorders>
            <w:vAlign w:val="center"/>
          </w:tcPr>
          <w:p w14:paraId="48ED20DB" w14:textId="77777777" w:rsidR="00E64FE9" w:rsidRPr="00A55335" w:rsidRDefault="00E64FE9" w:rsidP="00E64FE9">
            <w:pPr>
              <w:pStyle w:val="Tabletext8pt"/>
              <w:rPr>
                <w:rStyle w:val="quality-sign"/>
              </w:rPr>
            </w:pPr>
          </w:p>
        </w:tc>
        <w:tc>
          <w:tcPr>
            <w:tcW w:w="1074" w:type="pct"/>
            <w:gridSpan w:val="2"/>
            <w:vMerge/>
            <w:tcBorders>
              <w:bottom w:val="single" w:sz="4" w:space="0" w:color="auto"/>
            </w:tcBorders>
            <w:vAlign w:val="center"/>
          </w:tcPr>
          <w:p w14:paraId="4C1256C9" w14:textId="77777777" w:rsidR="00E64FE9" w:rsidRPr="00A55335" w:rsidRDefault="00E64FE9" w:rsidP="00E64FE9">
            <w:pPr>
              <w:pStyle w:val="Tabletext8pt"/>
            </w:pPr>
          </w:p>
        </w:tc>
      </w:tr>
      <w:tr w:rsidR="00E64FE9" w:rsidRPr="00A55335" w14:paraId="7549F4E6" w14:textId="77777777" w:rsidTr="002D1419">
        <w:trPr>
          <w:trHeight w:val="712"/>
        </w:trPr>
        <w:tc>
          <w:tcPr>
            <w:tcW w:w="872" w:type="pct"/>
            <w:vMerge/>
            <w:tcBorders>
              <w:bottom w:val="single" w:sz="4" w:space="0" w:color="auto"/>
            </w:tcBorders>
            <w:vAlign w:val="center"/>
          </w:tcPr>
          <w:p w14:paraId="4AC4ED57" w14:textId="77777777" w:rsidR="00E64FE9" w:rsidRPr="00A55335" w:rsidRDefault="00E64FE9" w:rsidP="00E64FE9">
            <w:pPr>
              <w:pStyle w:val="Tabletext8pt"/>
              <w:rPr>
                <w:b/>
                <w:bCs/>
              </w:rPr>
            </w:pPr>
          </w:p>
        </w:tc>
        <w:tc>
          <w:tcPr>
            <w:tcW w:w="764" w:type="pct"/>
            <w:tcBorders>
              <w:bottom w:val="single" w:sz="4" w:space="0" w:color="auto"/>
            </w:tcBorders>
            <w:shd w:val="clear" w:color="auto" w:fill="ECECEC"/>
            <w:vAlign w:val="center"/>
          </w:tcPr>
          <w:p w14:paraId="7FD2037C" w14:textId="7F41F350" w:rsidR="00E64FE9" w:rsidRPr="00A55335" w:rsidRDefault="00E64FE9" w:rsidP="007252A0">
            <w:pPr>
              <w:pStyle w:val="Tabletext8pt"/>
              <w:jc w:val="center"/>
            </w:pPr>
            <w:r w:rsidRPr="00A55335">
              <w:t xml:space="preserve">The mean pain intensity score was </w:t>
            </w:r>
            <w:r w:rsidRPr="00A55335">
              <w:rPr>
                <w:rStyle w:val="Strong"/>
              </w:rPr>
              <w:t>78.1</w:t>
            </w:r>
          </w:p>
        </w:tc>
        <w:tc>
          <w:tcPr>
            <w:tcW w:w="764" w:type="pct"/>
            <w:tcBorders>
              <w:bottom w:val="single" w:sz="4" w:space="0" w:color="auto"/>
            </w:tcBorders>
            <w:shd w:val="clear" w:color="auto" w:fill="ECECEC"/>
          </w:tcPr>
          <w:p w14:paraId="36DCA6EE" w14:textId="77777777" w:rsidR="00E64FE9" w:rsidRPr="00A55335" w:rsidRDefault="00E64FE9" w:rsidP="007252A0">
            <w:pPr>
              <w:pStyle w:val="Tabletext8pt"/>
              <w:jc w:val="center"/>
            </w:pPr>
            <w:r w:rsidRPr="00A55335">
              <w:t>MD</w:t>
            </w:r>
            <w:r w:rsidRPr="00A55335">
              <w:rPr>
                <w:rStyle w:val="Strong"/>
              </w:rPr>
              <w:t xml:space="preserve"> 14.00 lower</w:t>
            </w:r>
            <w:r w:rsidRPr="00A55335">
              <w:t xml:space="preserve"> (28.37 lower to 0.37 higher)</w:t>
            </w:r>
          </w:p>
        </w:tc>
        <w:tc>
          <w:tcPr>
            <w:tcW w:w="436" w:type="pct"/>
            <w:vMerge/>
            <w:tcBorders>
              <w:bottom w:val="single" w:sz="4" w:space="0" w:color="auto"/>
            </w:tcBorders>
            <w:vAlign w:val="center"/>
          </w:tcPr>
          <w:p w14:paraId="49FCCE1B" w14:textId="77777777" w:rsidR="00E64FE9" w:rsidRPr="00A55335" w:rsidRDefault="00E64FE9" w:rsidP="007252A0">
            <w:pPr>
              <w:pStyle w:val="Tabletext8pt"/>
              <w:jc w:val="center"/>
            </w:pPr>
          </w:p>
        </w:tc>
        <w:tc>
          <w:tcPr>
            <w:tcW w:w="582" w:type="pct"/>
            <w:vMerge/>
            <w:tcBorders>
              <w:bottom w:val="single" w:sz="4" w:space="0" w:color="auto"/>
            </w:tcBorders>
            <w:vAlign w:val="center"/>
          </w:tcPr>
          <w:p w14:paraId="027BACE4" w14:textId="77777777" w:rsidR="00E64FE9" w:rsidRPr="00A55335" w:rsidRDefault="00E64FE9" w:rsidP="007252A0">
            <w:pPr>
              <w:pStyle w:val="Tabletext8pt"/>
              <w:jc w:val="center"/>
            </w:pPr>
          </w:p>
        </w:tc>
        <w:tc>
          <w:tcPr>
            <w:tcW w:w="508" w:type="pct"/>
            <w:vMerge/>
            <w:tcBorders>
              <w:bottom w:val="single" w:sz="4" w:space="0" w:color="auto"/>
            </w:tcBorders>
            <w:vAlign w:val="center"/>
          </w:tcPr>
          <w:p w14:paraId="5DA45A74" w14:textId="77777777" w:rsidR="00E64FE9" w:rsidRPr="00A55335" w:rsidRDefault="00E64FE9" w:rsidP="00E64FE9">
            <w:pPr>
              <w:pStyle w:val="Tabletext8pt"/>
              <w:rPr>
                <w:rStyle w:val="quality-sign"/>
              </w:rPr>
            </w:pPr>
          </w:p>
        </w:tc>
        <w:tc>
          <w:tcPr>
            <w:tcW w:w="1074" w:type="pct"/>
            <w:gridSpan w:val="2"/>
            <w:vMerge/>
            <w:tcBorders>
              <w:bottom w:val="single" w:sz="4" w:space="0" w:color="auto"/>
            </w:tcBorders>
            <w:vAlign w:val="center"/>
          </w:tcPr>
          <w:p w14:paraId="052EF3C1" w14:textId="77777777" w:rsidR="00E64FE9" w:rsidRPr="00A55335" w:rsidRDefault="00E64FE9" w:rsidP="00E64FE9">
            <w:pPr>
              <w:pStyle w:val="Tabletext8pt"/>
            </w:pPr>
          </w:p>
        </w:tc>
      </w:tr>
      <w:tr w:rsidR="00E64FE9" w:rsidRPr="00A55335" w14:paraId="5F88A780" w14:textId="77777777" w:rsidTr="002D1419">
        <w:tc>
          <w:tcPr>
            <w:tcW w:w="872" w:type="pct"/>
            <w:tcBorders>
              <w:top w:val="single" w:sz="4" w:space="0" w:color="auto"/>
              <w:bottom w:val="single" w:sz="4" w:space="0" w:color="auto"/>
            </w:tcBorders>
            <w:vAlign w:val="center"/>
            <w:hideMark/>
          </w:tcPr>
          <w:p w14:paraId="404A15A0" w14:textId="4416B0E2" w:rsidR="00E64FE9" w:rsidRPr="00A55335" w:rsidRDefault="00E64FE9" w:rsidP="00E64FE9">
            <w:pPr>
              <w:pStyle w:val="Tabletext8pt"/>
              <w:rPr>
                <w:b/>
                <w:bCs/>
              </w:rPr>
            </w:pPr>
            <w:r w:rsidRPr="00A55335">
              <w:t>Fatigue</w:t>
            </w:r>
            <w:r w:rsidRPr="00A55335">
              <w:br/>
              <w:t>assessed with: FIQ – fatigue</w:t>
            </w:r>
            <w:r w:rsidRPr="00A55335">
              <w:br/>
            </w:r>
            <w:r w:rsidR="007B3B09" w:rsidRPr="00A55335">
              <w:rPr>
                <w:rFonts w:cs="Montserrat"/>
                <w:color w:val="000000"/>
              </w:rPr>
              <w:t xml:space="preserve">Scale from: 0 to </w:t>
            </w:r>
            <w:proofErr w:type="gramStart"/>
            <w:r w:rsidR="007B3B09" w:rsidRPr="00A55335">
              <w:rPr>
                <w:rFonts w:cs="Montserrat"/>
                <w:color w:val="000000"/>
              </w:rPr>
              <w:t xml:space="preserve">10 </w:t>
            </w:r>
            <w:r w:rsidR="007B3B09" w:rsidRPr="00A55335">
              <w:t xml:space="preserve"> </w:t>
            </w:r>
            <w:r w:rsidRPr="00A55335">
              <w:t>(</w:t>
            </w:r>
            <w:proofErr w:type="gramEnd"/>
            <w:r w:rsidRPr="00A55335">
              <w:t>higher is worse)</w:t>
            </w:r>
            <w:r w:rsidRPr="00A55335">
              <w:br/>
              <w:t>follow-up: 22 weeks</w:t>
            </w:r>
          </w:p>
        </w:tc>
        <w:tc>
          <w:tcPr>
            <w:tcW w:w="764" w:type="pct"/>
            <w:tcBorders>
              <w:top w:val="single" w:sz="4" w:space="0" w:color="auto"/>
              <w:bottom w:val="single" w:sz="4" w:space="0" w:color="auto"/>
            </w:tcBorders>
            <w:shd w:val="clear" w:color="auto" w:fill="ECECEC"/>
            <w:vAlign w:val="center"/>
            <w:hideMark/>
          </w:tcPr>
          <w:p w14:paraId="752C6B25" w14:textId="77777777" w:rsidR="00E64FE9" w:rsidRPr="00A55335" w:rsidRDefault="00E64FE9" w:rsidP="007252A0">
            <w:pPr>
              <w:pStyle w:val="Tabletext8pt"/>
              <w:jc w:val="center"/>
            </w:pPr>
            <w:r w:rsidRPr="00A55335">
              <w:t xml:space="preserve">The mean fatigue score was </w:t>
            </w:r>
            <w:r w:rsidRPr="00A55335">
              <w:rPr>
                <w:rStyle w:val="Strong"/>
              </w:rPr>
              <w:t>8.3</w:t>
            </w:r>
          </w:p>
        </w:tc>
        <w:tc>
          <w:tcPr>
            <w:tcW w:w="764" w:type="pct"/>
            <w:tcBorders>
              <w:top w:val="single" w:sz="4" w:space="0" w:color="auto"/>
              <w:bottom w:val="single" w:sz="4" w:space="0" w:color="auto"/>
            </w:tcBorders>
            <w:shd w:val="clear" w:color="auto" w:fill="ECECEC"/>
            <w:hideMark/>
          </w:tcPr>
          <w:p w14:paraId="44176A58" w14:textId="77777777" w:rsidR="00E64FE9" w:rsidRPr="00A55335" w:rsidRDefault="00E64FE9" w:rsidP="007252A0">
            <w:pPr>
              <w:pStyle w:val="Tabletext8pt"/>
              <w:jc w:val="center"/>
            </w:pPr>
            <w:r w:rsidRPr="00A55335">
              <w:t>MD</w:t>
            </w:r>
            <w:r w:rsidRPr="00A55335">
              <w:rPr>
                <w:rStyle w:val="Strong"/>
              </w:rPr>
              <w:t xml:space="preserve"> 1.1 lower</w:t>
            </w:r>
            <w:r w:rsidRPr="00A55335">
              <w:br/>
              <w:t>(2.44 lower to 0.24 higher)</w:t>
            </w:r>
          </w:p>
        </w:tc>
        <w:tc>
          <w:tcPr>
            <w:tcW w:w="436" w:type="pct"/>
            <w:tcBorders>
              <w:top w:val="single" w:sz="4" w:space="0" w:color="auto"/>
              <w:bottom w:val="single" w:sz="4" w:space="0" w:color="auto"/>
            </w:tcBorders>
            <w:vAlign w:val="center"/>
            <w:hideMark/>
          </w:tcPr>
          <w:p w14:paraId="51578E34" w14:textId="77777777" w:rsidR="00E64FE9" w:rsidRPr="00A55335" w:rsidRDefault="00E64FE9" w:rsidP="007252A0">
            <w:pPr>
              <w:pStyle w:val="Tabletext8pt"/>
              <w:jc w:val="center"/>
            </w:pPr>
            <w:r w:rsidRPr="00A55335">
              <w:t>-</w:t>
            </w:r>
          </w:p>
        </w:tc>
        <w:tc>
          <w:tcPr>
            <w:tcW w:w="582" w:type="pct"/>
            <w:tcBorders>
              <w:top w:val="single" w:sz="4" w:space="0" w:color="auto"/>
              <w:bottom w:val="single" w:sz="4" w:space="0" w:color="auto"/>
            </w:tcBorders>
            <w:vAlign w:val="center"/>
            <w:hideMark/>
          </w:tcPr>
          <w:p w14:paraId="26F751BC" w14:textId="77777777" w:rsidR="00E64FE9" w:rsidRPr="00A55335" w:rsidRDefault="00E64FE9" w:rsidP="007252A0">
            <w:pPr>
              <w:pStyle w:val="Tabletext8pt"/>
              <w:jc w:val="center"/>
            </w:pPr>
            <w:r w:rsidRPr="00A55335">
              <w:t>36</w:t>
            </w:r>
            <w:r w:rsidRPr="00A55335">
              <w:br/>
              <w:t>(1 RCT)</w:t>
            </w:r>
          </w:p>
        </w:tc>
        <w:tc>
          <w:tcPr>
            <w:tcW w:w="508" w:type="pct"/>
            <w:tcBorders>
              <w:top w:val="single" w:sz="4" w:space="0" w:color="auto"/>
              <w:bottom w:val="single" w:sz="4" w:space="0" w:color="auto"/>
            </w:tcBorders>
            <w:vAlign w:val="center"/>
            <w:hideMark/>
          </w:tcPr>
          <w:p w14:paraId="790761E6" w14:textId="055CC447" w:rsidR="00E64FE9" w:rsidRPr="00A55335" w:rsidRDefault="00E64FE9" w:rsidP="00E64FE9">
            <w:pPr>
              <w:pStyle w:val="Tabletext8pt"/>
            </w:pPr>
            <w:r w:rsidRPr="00A55335">
              <w:rPr>
                <w:rStyle w:val="quality-sign"/>
                <w:rFonts w:ascii="Cambria Math" w:hAnsi="Cambria Math"/>
              </w:rPr>
              <w:t>⨁⨁◯◯</w:t>
            </w:r>
            <w:r w:rsidRPr="00A55335">
              <w:br/>
            </w:r>
            <w:r w:rsidRPr="00A55335">
              <w:rPr>
                <w:rStyle w:val="QualitytextChar"/>
              </w:rPr>
              <w:t xml:space="preserve">Low </w:t>
            </w:r>
            <w:proofErr w:type="spellStart"/>
            <w:r w:rsidRPr="00A55335">
              <w:rPr>
                <w:rStyle w:val="FootnoteReference"/>
              </w:rPr>
              <w:t>a,b</w:t>
            </w:r>
            <w:r w:rsidR="00E16AF1" w:rsidRPr="00A55335">
              <w:rPr>
                <w:rStyle w:val="FootnoteReference"/>
              </w:rPr>
              <w:t>,c,d,e</w:t>
            </w:r>
            <w:proofErr w:type="spellEnd"/>
          </w:p>
        </w:tc>
        <w:tc>
          <w:tcPr>
            <w:tcW w:w="1074" w:type="pct"/>
            <w:gridSpan w:val="2"/>
            <w:tcBorders>
              <w:top w:val="single" w:sz="4" w:space="0" w:color="auto"/>
              <w:bottom w:val="single" w:sz="4" w:space="0" w:color="auto"/>
            </w:tcBorders>
            <w:vAlign w:val="center"/>
            <w:hideMark/>
          </w:tcPr>
          <w:p w14:paraId="2B43B522" w14:textId="3C91C764" w:rsidR="00E64FE9" w:rsidRPr="00A55335" w:rsidRDefault="000C6A00" w:rsidP="00E64FE9">
            <w:pPr>
              <w:pStyle w:val="Tabletext8pt"/>
            </w:pPr>
            <w:r w:rsidRPr="00A55335">
              <w:t>H</w:t>
            </w:r>
            <w:r w:rsidR="00BD443B" w:rsidRPr="00A55335">
              <w:t>omeopathy result</w:t>
            </w:r>
            <w:r w:rsidR="00442986" w:rsidRPr="00A55335">
              <w:t>s</w:t>
            </w:r>
            <w:r w:rsidR="00E64FE9" w:rsidRPr="00A55335">
              <w:t xml:space="preserve"> in little to no difference in fatigue in people with fibromyalgia</w:t>
            </w:r>
            <w:r w:rsidR="00D7411B" w:rsidRPr="00A55335">
              <w:t xml:space="preserve"> </w:t>
            </w:r>
            <w:r w:rsidR="00754A45" w:rsidRPr="00A55335">
              <w:t>**</w:t>
            </w:r>
          </w:p>
        </w:tc>
      </w:tr>
      <w:tr w:rsidR="00E64FE9" w:rsidRPr="00A55335" w14:paraId="2BCE28CF" w14:textId="77777777" w:rsidTr="002D1419">
        <w:tc>
          <w:tcPr>
            <w:tcW w:w="872" w:type="pct"/>
            <w:tcBorders>
              <w:top w:val="single" w:sz="4" w:space="0" w:color="auto"/>
              <w:bottom w:val="single" w:sz="4" w:space="0" w:color="auto"/>
            </w:tcBorders>
            <w:vAlign w:val="center"/>
            <w:hideMark/>
          </w:tcPr>
          <w:p w14:paraId="381AE467" w14:textId="7609D701" w:rsidR="00E64FE9" w:rsidRPr="00A55335" w:rsidRDefault="00E64FE9" w:rsidP="00E64FE9">
            <w:pPr>
              <w:pStyle w:val="Tabletext8pt"/>
            </w:pPr>
            <w:r w:rsidRPr="00A55335">
              <w:t>Health-related quality of life</w:t>
            </w:r>
            <w:r w:rsidRPr="00A55335">
              <w:br/>
              <w:t>assessed with: FIQ - total score</w:t>
            </w:r>
            <w:r w:rsidRPr="00A55335">
              <w:br/>
              <w:t>Scale from: 0 to 100 (higher is worse)</w:t>
            </w:r>
            <w:r w:rsidRPr="00A55335">
              <w:br/>
              <w:t>follow-up: 22 weeks</w:t>
            </w:r>
          </w:p>
        </w:tc>
        <w:tc>
          <w:tcPr>
            <w:tcW w:w="764" w:type="pct"/>
            <w:tcBorders>
              <w:top w:val="single" w:sz="4" w:space="0" w:color="auto"/>
              <w:bottom w:val="single" w:sz="4" w:space="0" w:color="auto"/>
            </w:tcBorders>
            <w:shd w:val="clear" w:color="auto" w:fill="ECECEC"/>
            <w:vAlign w:val="center"/>
            <w:hideMark/>
          </w:tcPr>
          <w:p w14:paraId="7AB923EC" w14:textId="77777777" w:rsidR="00E64FE9" w:rsidRPr="00A55335" w:rsidRDefault="00E64FE9" w:rsidP="007252A0">
            <w:pPr>
              <w:pStyle w:val="Tabletext8pt"/>
              <w:jc w:val="center"/>
            </w:pPr>
            <w:r w:rsidRPr="00A55335">
              <w:t xml:space="preserve">The mean health-related quality of life score was </w:t>
            </w:r>
            <w:r w:rsidRPr="00A55335">
              <w:rPr>
                <w:rStyle w:val="Strong"/>
              </w:rPr>
              <w:t>68.5</w:t>
            </w:r>
          </w:p>
        </w:tc>
        <w:tc>
          <w:tcPr>
            <w:tcW w:w="764" w:type="pct"/>
            <w:tcBorders>
              <w:top w:val="single" w:sz="4" w:space="0" w:color="auto"/>
              <w:bottom w:val="single" w:sz="4" w:space="0" w:color="auto"/>
            </w:tcBorders>
            <w:shd w:val="clear" w:color="auto" w:fill="ECECEC"/>
            <w:hideMark/>
          </w:tcPr>
          <w:p w14:paraId="2BA41324" w14:textId="77777777" w:rsidR="00E64FE9" w:rsidRPr="00A55335" w:rsidRDefault="00E64FE9" w:rsidP="007252A0">
            <w:pPr>
              <w:pStyle w:val="Tabletext8pt"/>
              <w:jc w:val="center"/>
            </w:pPr>
            <w:r w:rsidRPr="00A55335">
              <w:t>MD</w:t>
            </w:r>
            <w:r w:rsidRPr="00A55335">
              <w:rPr>
                <w:rStyle w:val="Strong"/>
              </w:rPr>
              <w:t xml:space="preserve"> 10.3 lower</w:t>
            </w:r>
            <w:r w:rsidRPr="00A55335">
              <w:br/>
              <w:t>(23.93 lower to 3.33 higher)</w:t>
            </w:r>
          </w:p>
        </w:tc>
        <w:tc>
          <w:tcPr>
            <w:tcW w:w="436" w:type="pct"/>
            <w:tcBorders>
              <w:top w:val="single" w:sz="4" w:space="0" w:color="auto"/>
              <w:bottom w:val="single" w:sz="4" w:space="0" w:color="auto"/>
            </w:tcBorders>
            <w:vAlign w:val="center"/>
            <w:hideMark/>
          </w:tcPr>
          <w:p w14:paraId="507F100A" w14:textId="77777777" w:rsidR="00E64FE9" w:rsidRPr="00A55335" w:rsidRDefault="00E64FE9" w:rsidP="007252A0">
            <w:pPr>
              <w:pStyle w:val="Tabletext8pt"/>
              <w:jc w:val="center"/>
            </w:pPr>
            <w:r w:rsidRPr="00A55335">
              <w:t>-</w:t>
            </w:r>
          </w:p>
        </w:tc>
        <w:tc>
          <w:tcPr>
            <w:tcW w:w="582" w:type="pct"/>
            <w:tcBorders>
              <w:top w:val="single" w:sz="4" w:space="0" w:color="auto"/>
              <w:bottom w:val="single" w:sz="4" w:space="0" w:color="auto"/>
            </w:tcBorders>
            <w:vAlign w:val="center"/>
            <w:hideMark/>
          </w:tcPr>
          <w:p w14:paraId="35971FCF" w14:textId="77777777" w:rsidR="00E64FE9" w:rsidRPr="00A55335" w:rsidRDefault="00E64FE9" w:rsidP="007252A0">
            <w:pPr>
              <w:pStyle w:val="Tabletext8pt"/>
              <w:jc w:val="center"/>
            </w:pPr>
            <w:r w:rsidRPr="00A55335">
              <w:t>36</w:t>
            </w:r>
            <w:r w:rsidRPr="00A55335">
              <w:br/>
              <w:t>(1 RCT)</w:t>
            </w:r>
          </w:p>
        </w:tc>
        <w:tc>
          <w:tcPr>
            <w:tcW w:w="508" w:type="pct"/>
            <w:tcBorders>
              <w:top w:val="single" w:sz="4" w:space="0" w:color="auto"/>
              <w:bottom w:val="single" w:sz="4" w:space="0" w:color="auto"/>
            </w:tcBorders>
            <w:vAlign w:val="center"/>
            <w:hideMark/>
          </w:tcPr>
          <w:p w14:paraId="01AC0951" w14:textId="796E7735" w:rsidR="00E64FE9" w:rsidRPr="00A55335" w:rsidRDefault="00E64FE9" w:rsidP="00E64FE9">
            <w:pPr>
              <w:pStyle w:val="Tabletext8pt"/>
            </w:pPr>
            <w:r w:rsidRPr="00A55335">
              <w:rPr>
                <w:rStyle w:val="quality-sign"/>
                <w:rFonts w:ascii="Cambria Math" w:hAnsi="Cambria Math"/>
              </w:rPr>
              <w:t>⨁⨁◯◯</w:t>
            </w:r>
            <w:r w:rsidRPr="00A55335">
              <w:br/>
            </w:r>
            <w:r w:rsidRPr="00A55335">
              <w:rPr>
                <w:rStyle w:val="QualitytextChar"/>
              </w:rPr>
              <w:t xml:space="preserve">Low </w:t>
            </w:r>
            <w:proofErr w:type="spellStart"/>
            <w:r w:rsidRPr="00A55335">
              <w:rPr>
                <w:rStyle w:val="FootnoteReference"/>
              </w:rPr>
              <w:t>a,b</w:t>
            </w:r>
            <w:r w:rsidR="00E16AF1" w:rsidRPr="00A55335">
              <w:rPr>
                <w:rStyle w:val="FootnoteReference"/>
              </w:rPr>
              <w:t>,c,d,e</w:t>
            </w:r>
            <w:proofErr w:type="spellEnd"/>
          </w:p>
        </w:tc>
        <w:tc>
          <w:tcPr>
            <w:tcW w:w="1074" w:type="pct"/>
            <w:gridSpan w:val="2"/>
            <w:tcBorders>
              <w:top w:val="single" w:sz="4" w:space="0" w:color="auto"/>
              <w:bottom w:val="single" w:sz="4" w:space="0" w:color="auto"/>
            </w:tcBorders>
            <w:vAlign w:val="center"/>
            <w:hideMark/>
          </w:tcPr>
          <w:p w14:paraId="3FEE15FC" w14:textId="29A4DE43" w:rsidR="00E64FE9" w:rsidRPr="00A55335" w:rsidRDefault="000C6A00" w:rsidP="00E64FE9">
            <w:pPr>
              <w:pStyle w:val="Tabletext8pt"/>
            </w:pPr>
            <w:r w:rsidRPr="00A55335">
              <w:t>H</w:t>
            </w:r>
            <w:r w:rsidR="00BD443B" w:rsidRPr="00A55335">
              <w:t>omeopathy may result</w:t>
            </w:r>
            <w:r w:rsidR="00E64FE9" w:rsidRPr="00A55335">
              <w:t xml:space="preserve"> in little to no difference in health-related quality of life in people with fibromyalgia</w:t>
            </w:r>
            <w:r w:rsidR="008704E3" w:rsidRPr="00A55335">
              <w:t xml:space="preserve"> #</w:t>
            </w:r>
          </w:p>
        </w:tc>
      </w:tr>
      <w:tr w:rsidR="00E64FE9" w:rsidRPr="00A55335" w14:paraId="212CCAD5" w14:textId="77777777" w:rsidTr="002D1419">
        <w:tc>
          <w:tcPr>
            <w:tcW w:w="872" w:type="pct"/>
            <w:tcBorders>
              <w:top w:val="single" w:sz="4" w:space="0" w:color="auto"/>
              <w:bottom w:val="single" w:sz="4" w:space="0" w:color="auto"/>
            </w:tcBorders>
            <w:vAlign w:val="center"/>
            <w:hideMark/>
          </w:tcPr>
          <w:p w14:paraId="6DEAF763" w14:textId="1D443682" w:rsidR="00E64FE9" w:rsidRPr="00A55335" w:rsidRDefault="00E64FE9" w:rsidP="00E64FE9">
            <w:pPr>
              <w:pStyle w:val="Tabletext8pt"/>
              <w:rPr>
                <w:b/>
                <w:bCs/>
              </w:rPr>
            </w:pPr>
            <w:r w:rsidRPr="00A55335">
              <w:t>Emotional wellbeing</w:t>
            </w:r>
            <w:r w:rsidRPr="00A55335">
              <w:br/>
              <w:t>assessed with: HADS</w:t>
            </w:r>
            <w:r w:rsidRPr="00A55335">
              <w:br/>
              <w:t>Scale from: 0 to 42 (higher is worse)</w:t>
            </w:r>
            <w:r w:rsidRPr="00A55335">
              <w:br/>
              <w:t>follow-up: 22 weeks</w:t>
            </w:r>
          </w:p>
        </w:tc>
        <w:tc>
          <w:tcPr>
            <w:tcW w:w="764" w:type="pct"/>
            <w:tcBorders>
              <w:top w:val="single" w:sz="4" w:space="0" w:color="auto"/>
              <w:bottom w:val="single" w:sz="4" w:space="0" w:color="auto"/>
            </w:tcBorders>
            <w:shd w:val="clear" w:color="auto" w:fill="ECECEC"/>
            <w:vAlign w:val="center"/>
            <w:hideMark/>
          </w:tcPr>
          <w:p w14:paraId="6A218D91" w14:textId="77777777" w:rsidR="00E64FE9" w:rsidRPr="00A55335" w:rsidRDefault="00E64FE9" w:rsidP="007252A0">
            <w:pPr>
              <w:pStyle w:val="Tabletext8pt"/>
              <w:jc w:val="center"/>
            </w:pPr>
            <w:r w:rsidRPr="00A55335">
              <w:t xml:space="preserve">The mean emotional wellbeing score was </w:t>
            </w:r>
            <w:r w:rsidRPr="00A55335">
              <w:rPr>
                <w:rStyle w:val="Strong"/>
              </w:rPr>
              <w:t>22.2</w:t>
            </w:r>
          </w:p>
        </w:tc>
        <w:tc>
          <w:tcPr>
            <w:tcW w:w="764" w:type="pct"/>
            <w:tcBorders>
              <w:top w:val="single" w:sz="4" w:space="0" w:color="auto"/>
              <w:bottom w:val="single" w:sz="4" w:space="0" w:color="auto"/>
            </w:tcBorders>
            <w:shd w:val="clear" w:color="auto" w:fill="ECECEC"/>
            <w:hideMark/>
          </w:tcPr>
          <w:p w14:paraId="2440F694" w14:textId="77777777" w:rsidR="00E64FE9" w:rsidRPr="00A55335" w:rsidRDefault="00E64FE9" w:rsidP="007252A0">
            <w:pPr>
              <w:pStyle w:val="Tabletext8pt"/>
              <w:jc w:val="center"/>
            </w:pPr>
            <w:r w:rsidRPr="00A55335">
              <w:t xml:space="preserve">MD </w:t>
            </w:r>
            <w:r w:rsidRPr="00A55335">
              <w:rPr>
                <w:rStyle w:val="Strong"/>
              </w:rPr>
              <w:t>3.1 lower</w:t>
            </w:r>
            <w:r w:rsidRPr="00A55335">
              <w:br/>
              <w:t>(8.85 lower to 2.65 higher)</w:t>
            </w:r>
          </w:p>
        </w:tc>
        <w:tc>
          <w:tcPr>
            <w:tcW w:w="436" w:type="pct"/>
            <w:tcBorders>
              <w:top w:val="single" w:sz="4" w:space="0" w:color="auto"/>
              <w:bottom w:val="single" w:sz="4" w:space="0" w:color="auto"/>
            </w:tcBorders>
            <w:vAlign w:val="center"/>
            <w:hideMark/>
          </w:tcPr>
          <w:p w14:paraId="6B404BC1" w14:textId="77777777" w:rsidR="00E64FE9" w:rsidRPr="00A55335" w:rsidRDefault="00E64FE9" w:rsidP="007252A0">
            <w:pPr>
              <w:pStyle w:val="Tabletext8pt"/>
              <w:jc w:val="center"/>
            </w:pPr>
            <w:r w:rsidRPr="00A55335">
              <w:t>-</w:t>
            </w:r>
          </w:p>
        </w:tc>
        <w:tc>
          <w:tcPr>
            <w:tcW w:w="582" w:type="pct"/>
            <w:tcBorders>
              <w:top w:val="single" w:sz="4" w:space="0" w:color="auto"/>
              <w:bottom w:val="single" w:sz="4" w:space="0" w:color="auto"/>
            </w:tcBorders>
            <w:vAlign w:val="center"/>
            <w:hideMark/>
          </w:tcPr>
          <w:p w14:paraId="1CA7099A" w14:textId="77777777" w:rsidR="00E64FE9" w:rsidRPr="00A55335" w:rsidRDefault="00E64FE9" w:rsidP="007252A0">
            <w:pPr>
              <w:pStyle w:val="Tabletext8pt"/>
              <w:jc w:val="center"/>
            </w:pPr>
            <w:r w:rsidRPr="00A55335">
              <w:t>36</w:t>
            </w:r>
            <w:r w:rsidRPr="00A55335">
              <w:br/>
              <w:t>(1 RCT)</w:t>
            </w:r>
          </w:p>
        </w:tc>
        <w:tc>
          <w:tcPr>
            <w:tcW w:w="508" w:type="pct"/>
            <w:tcBorders>
              <w:top w:val="single" w:sz="4" w:space="0" w:color="auto"/>
              <w:bottom w:val="single" w:sz="4" w:space="0" w:color="auto"/>
            </w:tcBorders>
            <w:vAlign w:val="center"/>
            <w:hideMark/>
          </w:tcPr>
          <w:p w14:paraId="4F280E5E" w14:textId="67ACAC93" w:rsidR="00E64FE9" w:rsidRPr="00A55335" w:rsidRDefault="00E64FE9" w:rsidP="00E64FE9">
            <w:pPr>
              <w:pStyle w:val="Tabletext8pt"/>
            </w:pPr>
            <w:r w:rsidRPr="00A55335">
              <w:rPr>
                <w:rStyle w:val="quality-sign"/>
                <w:rFonts w:ascii="Cambria Math" w:hAnsi="Cambria Math"/>
              </w:rPr>
              <w:t>⨁⨁◯◯</w:t>
            </w:r>
            <w:r w:rsidRPr="00A55335">
              <w:br/>
            </w:r>
            <w:r w:rsidRPr="00A55335">
              <w:rPr>
                <w:rStyle w:val="QualitytextChar"/>
              </w:rPr>
              <w:t xml:space="preserve">Low </w:t>
            </w:r>
            <w:proofErr w:type="spellStart"/>
            <w:r w:rsidRPr="00A55335">
              <w:rPr>
                <w:rStyle w:val="FootnoteReference"/>
              </w:rPr>
              <w:t>a,b</w:t>
            </w:r>
            <w:r w:rsidR="00E16AF1" w:rsidRPr="00A55335">
              <w:rPr>
                <w:rStyle w:val="FootnoteReference"/>
              </w:rPr>
              <w:t>,c,e</w:t>
            </w:r>
            <w:r w:rsidR="00367349" w:rsidRPr="00A55335">
              <w:rPr>
                <w:rStyle w:val="FootnoteReference"/>
              </w:rPr>
              <w:t>,f</w:t>
            </w:r>
            <w:proofErr w:type="spellEnd"/>
          </w:p>
        </w:tc>
        <w:tc>
          <w:tcPr>
            <w:tcW w:w="1074" w:type="pct"/>
            <w:gridSpan w:val="2"/>
            <w:tcBorders>
              <w:top w:val="single" w:sz="4" w:space="0" w:color="auto"/>
              <w:bottom w:val="single" w:sz="4" w:space="0" w:color="auto"/>
            </w:tcBorders>
            <w:vAlign w:val="center"/>
            <w:hideMark/>
          </w:tcPr>
          <w:p w14:paraId="4EBC198B" w14:textId="7557BDE6" w:rsidR="00E64FE9" w:rsidRPr="00A55335" w:rsidRDefault="000C6A00" w:rsidP="00E64FE9">
            <w:pPr>
              <w:pStyle w:val="Tabletext8pt"/>
            </w:pPr>
            <w:r w:rsidRPr="00A55335">
              <w:t>H</w:t>
            </w:r>
            <w:r w:rsidR="00BD443B" w:rsidRPr="00A55335">
              <w:t>omeopathy may result</w:t>
            </w:r>
            <w:r w:rsidR="00E64FE9" w:rsidRPr="00A55335">
              <w:t xml:space="preserve"> in little to no difference in emotional wellbeing in people with fibromyalgia</w:t>
            </w:r>
            <w:r w:rsidR="00754A45" w:rsidRPr="00A55335">
              <w:t>**</w:t>
            </w:r>
          </w:p>
        </w:tc>
      </w:tr>
      <w:tr w:rsidR="00E64FE9" w:rsidRPr="00A55335" w14:paraId="43BEC513" w14:textId="77777777" w:rsidTr="002D1419">
        <w:tc>
          <w:tcPr>
            <w:tcW w:w="872" w:type="pct"/>
            <w:tcBorders>
              <w:top w:val="single" w:sz="4" w:space="0" w:color="auto"/>
              <w:bottom w:val="single" w:sz="4" w:space="0" w:color="auto"/>
            </w:tcBorders>
            <w:vAlign w:val="center"/>
            <w:hideMark/>
          </w:tcPr>
          <w:p w14:paraId="4E6DFEFB" w14:textId="037289E0" w:rsidR="00E64FE9" w:rsidRPr="00A55335" w:rsidRDefault="00E64FE9" w:rsidP="00E64FE9">
            <w:pPr>
              <w:pStyle w:val="Tabletext8pt"/>
              <w:rPr>
                <w:b/>
                <w:bCs/>
              </w:rPr>
            </w:pPr>
            <w:r w:rsidRPr="00A55335">
              <w:lastRenderedPageBreak/>
              <w:t>Pain disability - not reported</w:t>
            </w:r>
          </w:p>
        </w:tc>
        <w:tc>
          <w:tcPr>
            <w:tcW w:w="764" w:type="pct"/>
            <w:tcBorders>
              <w:top w:val="single" w:sz="4" w:space="0" w:color="auto"/>
              <w:bottom w:val="single" w:sz="4" w:space="0" w:color="auto"/>
            </w:tcBorders>
            <w:shd w:val="clear" w:color="auto" w:fill="ECECEC"/>
            <w:vAlign w:val="center"/>
            <w:hideMark/>
          </w:tcPr>
          <w:p w14:paraId="6CDBC676" w14:textId="77777777" w:rsidR="00E64FE9" w:rsidRPr="00A55335" w:rsidRDefault="00E64FE9" w:rsidP="007252A0">
            <w:pPr>
              <w:pStyle w:val="Tabletext8pt"/>
              <w:jc w:val="center"/>
            </w:pPr>
            <w:r w:rsidRPr="00A55335">
              <w:t>-</w:t>
            </w:r>
          </w:p>
        </w:tc>
        <w:tc>
          <w:tcPr>
            <w:tcW w:w="764" w:type="pct"/>
            <w:tcBorders>
              <w:top w:val="single" w:sz="4" w:space="0" w:color="auto"/>
              <w:bottom w:val="single" w:sz="4" w:space="0" w:color="auto"/>
            </w:tcBorders>
            <w:shd w:val="clear" w:color="auto" w:fill="ECECEC"/>
            <w:vAlign w:val="center"/>
            <w:hideMark/>
          </w:tcPr>
          <w:p w14:paraId="4659908E" w14:textId="77777777" w:rsidR="00E64FE9" w:rsidRPr="00A55335" w:rsidRDefault="00E64FE9" w:rsidP="007252A0">
            <w:pPr>
              <w:pStyle w:val="Tabletext8pt"/>
              <w:jc w:val="center"/>
            </w:pPr>
            <w:r w:rsidRPr="00A55335">
              <w:t>-</w:t>
            </w:r>
          </w:p>
        </w:tc>
        <w:tc>
          <w:tcPr>
            <w:tcW w:w="436" w:type="pct"/>
            <w:tcBorders>
              <w:top w:val="single" w:sz="4" w:space="0" w:color="auto"/>
              <w:bottom w:val="single" w:sz="4" w:space="0" w:color="auto"/>
            </w:tcBorders>
            <w:vAlign w:val="center"/>
            <w:hideMark/>
          </w:tcPr>
          <w:p w14:paraId="750B82CE" w14:textId="77777777" w:rsidR="00E64FE9" w:rsidRPr="00A55335" w:rsidRDefault="00E64FE9" w:rsidP="007252A0">
            <w:pPr>
              <w:pStyle w:val="Tabletext8pt"/>
              <w:jc w:val="center"/>
            </w:pPr>
            <w:r w:rsidRPr="00A55335">
              <w:t>-</w:t>
            </w:r>
          </w:p>
        </w:tc>
        <w:tc>
          <w:tcPr>
            <w:tcW w:w="582" w:type="pct"/>
            <w:tcBorders>
              <w:top w:val="single" w:sz="4" w:space="0" w:color="auto"/>
              <w:bottom w:val="single" w:sz="4" w:space="0" w:color="auto"/>
            </w:tcBorders>
            <w:vAlign w:val="center"/>
            <w:hideMark/>
          </w:tcPr>
          <w:p w14:paraId="55A61644" w14:textId="4DDF60C9" w:rsidR="00E64FE9" w:rsidRPr="00A55335" w:rsidRDefault="009E4ADC" w:rsidP="007252A0">
            <w:pPr>
              <w:pStyle w:val="Tabletext8pt"/>
              <w:jc w:val="center"/>
            </w:pPr>
            <w:r w:rsidRPr="00A55335">
              <w:t>(0 studies)</w:t>
            </w:r>
          </w:p>
        </w:tc>
        <w:tc>
          <w:tcPr>
            <w:tcW w:w="508" w:type="pct"/>
            <w:tcBorders>
              <w:top w:val="single" w:sz="4" w:space="0" w:color="auto"/>
              <w:bottom w:val="single" w:sz="4" w:space="0" w:color="auto"/>
            </w:tcBorders>
            <w:vAlign w:val="center"/>
            <w:hideMark/>
          </w:tcPr>
          <w:p w14:paraId="5FB10B3D" w14:textId="77777777" w:rsidR="00E64FE9" w:rsidRPr="00A55335" w:rsidRDefault="00E64FE9" w:rsidP="00E64FE9">
            <w:pPr>
              <w:pStyle w:val="Tabletext8pt"/>
            </w:pPr>
            <w:r w:rsidRPr="00A55335">
              <w:t>-</w:t>
            </w:r>
          </w:p>
        </w:tc>
        <w:tc>
          <w:tcPr>
            <w:tcW w:w="1074" w:type="pct"/>
            <w:gridSpan w:val="2"/>
            <w:tcBorders>
              <w:top w:val="single" w:sz="4" w:space="0" w:color="auto"/>
              <w:bottom w:val="single" w:sz="4" w:space="0" w:color="auto"/>
            </w:tcBorders>
            <w:vAlign w:val="center"/>
            <w:hideMark/>
          </w:tcPr>
          <w:p w14:paraId="26090984" w14:textId="678A8214" w:rsidR="00E64FE9" w:rsidRPr="00A55335" w:rsidRDefault="00E64FE9" w:rsidP="00E64FE9">
            <w:pPr>
              <w:pStyle w:val="Tabletext8pt"/>
            </w:pPr>
            <w:r w:rsidRPr="00A55335">
              <w:t>The effect of homeopathy on pain disability in people with fibromyalgia is unknown</w:t>
            </w:r>
          </w:p>
        </w:tc>
      </w:tr>
      <w:tr w:rsidR="009B120B" w:rsidRPr="00A55335" w14:paraId="40F88D02" w14:textId="77777777" w:rsidTr="00853221">
        <w:tblPrEx>
          <w:tblCellMar>
            <w:top w:w="60" w:type="dxa"/>
            <w:left w:w="60" w:type="dxa"/>
            <w:bottom w:w="60" w:type="dxa"/>
            <w:right w:w="60" w:type="dxa"/>
          </w:tblCellMar>
        </w:tblPrEx>
        <w:trPr>
          <w:gridAfter w:val="1"/>
          <w:wAfter w:w="3" w:type="pct"/>
          <w:cantSplit/>
        </w:trPr>
        <w:tc>
          <w:tcPr>
            <w:tcW w:w="4997" w:type="pct"/>
            <w:gridSpan w:val="7"/>
            <w:tcBorders>
              <w:top w:val="single" w:sz="6" w:space="0" w:color="000000"/>
              <w:left w:val="nil"/>
              <w:bottom w:val="single" w:sz="6" w:space="0" w:color="000000"/>
              <w:right w:val="nil"/>
            </w:tcBorders>
            <w:vAlign w:val="center"/>
            <w:hideMark/>
          </w:tcPr>
          <w:p w14:paraId="1B9B1609" w14:textId="77777777" w:rsidR="009B120B" w:rsidRPr="00A55335" w:rsidRDefault="009B120B" w:rsidP="00FC7F88">
            <w:pPr>
              <w:pStyle w:val="TableFigNotes18"/>
            </w:pPr>
            <w:r w:rsidRPr="00A55335">
              <w:t>*</w:t>
            </w:r>
            <w:r w:rsidRPr="00A55335">
              <w:rPr>
                <w:rStyle w:val="Strong"/>
              </w:rPr>
              <w:t>The risk in the intervention group</w:t>
            </w:r>
            <w:r w:rsidRPr="00A55335">
              <w:t xml:space="preserve"> (and its 95% confidence interval) is based on the assumed risk in the comparison group and the </w:t>
            </w:r>
            <w:r w:rsidRPr="00A55335">
              <w:rPr>
                <w:rStyle w:val="Strong"/>
              </w:rPr>
              <w:t>relative effect</w:t>
            </w:r>
            <w:r w:rsidRPr="00A55335">
              <w:t xml:space="preserve"> of the intervention (and its 95% CI).</w:t>
            </w:r>
          </w:p>
          <w:p w14:paraId="6B1BA640" w14:textId="5B73036D" w:rsidR="00F9005F" w:rsidRPr="00A55335" w:rsidRDefault="00F9005F" w:rsidP="00F9005F">
            <w:pPr>
              <w:pStyle w:val="TableFigNotes18"/>
            </w:pPr>
            <w:r w:rsidRPr="00A55335">
              <w:t>** Effect estimates were considered on 3 levels: small (MD &lt;10% of the scale), moderate (MD between 10% to 20% of the scale) or large (MD more than 20% of the scale).</w:t>
            </w:r>
            <w:r w:rsidR="00FC7F88">
              <w:br/>
            </w:r>
          </w:p>
          <w:p w14:paraId="1F2743DB" w14:textId="0330B6AA" w:rsidR="009B120B" w:rsidRPr="00A55335" w:rsidRDefault="00F9005F" w:rsidP="00F9005F">
            <w:pPr>
              <w:pStyle w:val="TableFigNotes18"/>
            </w:pPr>
            <w:r w:rsidRPr="00A55335">
              <w:t xml:space="preserve"># A 14-point change in the FIQ total score is considered clinically relevant </w:t>
            </w:r>
            <w:r w:rsidRPr="00A55335">
              <w:fldChar w:fldCharType="begin">
                <w:fldData xml:space="preserve">PEVuZE5vdGU+PENpdGU+PEF1dGhvcj5CZW5uZXR0PC9BdXRob3I+PFllYXI+MjAwOTwvWWVhcj48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</w:fldData>
              </w:fldChar>
            </w:r>
            <w:r w:rsidR="00EC2769">
              <w:instrText xml:space="preserve"> ADDIN EN.CITE </w:instrText>
            </w:r>
            <w:r w:rsidR="00EC2769">
              <w:fldChar w:fldCharType="begin">
                <w:fldData xml:space="preserve">PEVuZE5vdGU+PENpdGU+PEF1dGhvcj5CZW5uZXR0PC9BdXRob3I+PFllYXI+MjAwOTwvWWVhcj48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</w:fldData>
              </w:fldChar>
            </w:r>
            <w:r w:rsidR="00EC2769">
              <w:instrText xml:space="preserve"> ADDIN EN.CITE.DATA </w:instrText>
            </w:r>
            <w:r w:rsidR="00EC2769">
              <w:fldChar w:fldCharType="end"/>
            </w:r>
            <w:r w:rsidRPr="00A55335">
              <w:fldChar w:fldCharType="separate"/>
            </w:r>
            <w:r w:rsidR="00EC2769">
              <w:rPr>
                <w:noProof/>
              </w:rPr>
              <w:t>(</w:t>
            </w:r>
            <w:hyperlink w:anchor="_ENREF_364" w:tooltip="Bennett, 2009 #517" w:history="1">
              <w:r w:rsidR="00EC2769">
                <w:rPr>
                  <w:noProof/>
                </w:rPr>
                <w:t>364</w:t>
              </w:r>
            </w:hyperlink>
            <w:r w:rsidR="00EC2769">
              <w:rPr>
                <w:noProof/>
              </w:rPr>
              <w:t>)</w:t>
            </w:r>
            <w:r w:rsidRPr="00A55335">
              <w:fldChar w:fldCharType="end"/>
            </w:r>
          </w:p>
          <w:p w14:paraId="29E13D47" w14:textId="52BFA83D" w:rsidR="009B120B" w:rsidRPr="00A55335" w:rsidRDefault="009B120B">
            <w:pPr>
              <w:pStyle w:val="TableFigNotes0"/>
            </w:pPr>
            <w:r w:rsidRPr="00A55335">
              <w:rPr>
                <w:rStyle w:val="Strong"/>
              </w:rPr>
              <w:t>CI:</w:t>
            </w:r>
            <w:r w:rsidRPr="00A55335">
              <w:t xml:space="preserve"> confidence interval; </w:t>
            </w:r>
            <w:r w:rsidR="00F9005F" w:rsidRPr="00A55335">
              <w:rPr>
                <w:rStyle w:val="Strong"/>
              </w:rPr>
              <w:t>FIQ:</w:t>
            </w:r>
            <w:r w:rsidR="00F9005F" w:rsidRPr="00A55335">
              <w:t xml:space="preserve"> Fibromyalgia impact questionnaire; </w:t>
            </w:r>
            <w:r w:rsidR="00F9005F" w:rsidRPr="00A55335">
              <w:rPr>
                <w:rStyle w:val="Strong"/>
              </w:rPr>
              <w:t>HADS:</w:t>
            </w:r>
            <w:r w:rsidR="00F9005F" w:rsidRPr="00A55335">
              <w:t xml:space="preserve"> Hospital anxiety and depression scale; </w:t>
            </w:r>
            <w:r w:rsidR="00F9005F" w:rsidRPr="00A55335">
              <w:rPr>
                <w:rStyle w:val="Strong"/>
              </w:rPr>
              <w:t>MD:</w:t>
            </w:r>
            <w:r w:rsidR="00F9005F" w:rsidRPr="00A55335">
              <w:t xml:space="preserve"> mean difference; </w:t>
            </w:r>
            <w:r w:rsidR="00F9005F" w:rsidRPr="00A55335">
              <w:rPr>
                <w:rStyle w:val="Strong"/>
              </w:rPr>
              <w:t>VAS,</w:t>
            </w:r>
            <w:r w:rsidR="00F9005F" w:rsidRPr="00A55335">
              <w:t xml:space="preserve"> Visual analogue scale</w:t>
            </w:r>
          </w:p>
        </w:tc>
      </w:tr>
      <w:tr w:rsidR="009B120B" w:rsidRPr="00A55335" w14:paraId="16E18577" w14:textId="77777777" w:rsidTr="00853221">
        <w:tblPrEx>
          <w:tblCellMar>
            <w:top w:w="60" w:type="dxa"/>
            <w:left w:w="60" w:type="dxa"/>
            <w:bottom w:w="60" w:type="dxa"/>
            <w:right w:w="60" w:type="dxa"/>
          </w:tblCellMar>
        </w:tblPrEx>
        <w:trPr>
          <w:gridAfter w:val="1"/>
          <w:wAfter w:w="3" w:type="pct"/>
          <w:cantSplit/>
        </w:trPr>
        <w:tc>
          <w:tcPr>
            <w:tcW w:w="4997" w:type="pct"/>
            <w:gridSpan w:val="7"/>
            <w:tcBorders>
              <w:top w:val="single" w:sz="6" w:space="0" w:color="000000"/>
              <w:left w:val="nil"/>
              <w:bottom w:val="single" w:sz="6" w:space="0" w:color="000000"/>
              <w:right w:val="nil"/>
            </w:tcBorders>
            <w:vAlign w:val="center"/>
            <w:hideMark/>
          </w:tcPr>
          <w:p w14:paraId="1A4652C1" w14:textId="77777777" w:rsidR="009B120B" w:rsidRPr="00A55335" w:rsidRDefault="009B120B">
            <w:pPr>
              <w:pStyle w:val="TableFigNotes0"/>
            </w:pPr>
            <w:r w:rsidRPr="00A55335">
              <w:rPr>
                <w:rStyle w:val="Strong"/>
              </w:rPr>
              <w:t>GRADE Working Group grades of evidence</w:t>
            </w:r>
            <w:r w:rsidRPr="00A55335">
              <w:br/>
            </w:r>
            <w:r w:rsidRPr="00A55335">
              <w:rPr>
                <w:rStyle w:val="Strong"/>
              </w:rPr>
              <w:t>High certainty:</w:t>
            </w:r>
            <w:r w:rsidRPr="00A55335">
              <w:t xml:space="preserve"> we are very confident that the true effect lies close to that of the estimate of the effect.</w:t>
            </w:r>
            <w:r w:rsidRPr="00A55335">
              <w:br/>
            </w:r>
            <w:r w:rsidRPr="00A55335">
              <w:rPr>
                <w:rStyle w:val="Strong"/>
              </w:rPr>
              <w:t>Moderate certainty:</w:t>
            </w:r>
            <w:r w:rsidRPr="00A55335">
              <w:t xml:space="preserve"> we are moderately confident in the effect estimate: the true effect is likely to be close to the estimate of the effect, but there is a possibility that it is substantially different.</w:t>
            </w:r>
            <w:r w:rsidRPr="00A55335">
              <w:br/>
            </w:r>
            <w:r w:rsidRPr="00A55335">
              <w:rPr>
                <w:rStyle w:val="Strong"/>
              </w:rPr>
              <w:t>Low certainty:</w:t>
            </w:r>
            <w:r w:rsidRPr="00A55335">
              <w:t xml:space="preserve"> our confidence in the effect estimate is limited: the true effect may be substantially different from the estimate of the effect.</w:t>
            </w:r>
            <w:r w:rsidRPr="00A55335">
              <w:br/>
            </w:r>
            <w:r w:rsidRPr="00A55335">
              <w:rPr>
                <w:rStyle w:val="Strong"/>
              </w:rPr>
              <w:t>Very low certainty:</w:t>
            </w:r>
            <w:r w:rsidRPr="00A55335">
              <w:t xml:space="preserve"> we have very little confidence in the effect estimate: the true effect is likely to be substantially different from the estimate of effect.</w:t>
            </w:r>
          </w:p>
        </w:tc>
      </w:tr>
    </w:tbl>
    <w:p w14:paraId="1A1F20F1" w14:textId="77777777" w:rsidR="00E64FE9" w:rsidRPr="00A55335" w:rsidRDefault="00E64FE9" w:rsidP="00E64FE9">
      <w:pPr>
        <w:pStyle w:val="Heading5a"/>
        <w:rPr>
          <w:lang w:val="en-AU"/>
        </w:rPr>
      </w:pPr>
      <w:r w:rsidRPr="00A55335">
        <w:rPr>
          <w:lang w:val="en-AU"/>
        </w:rPr>
        <w:t>Explanations</w:t>
      </w:r>
    </w:p>
    <w:p w14:paraId="373F89C1" w14:textId="69A9BFB8" w:rsidR="00E64FE9" w:rsidRPr="00A55335" w:rsidRDefault="00E64FE9" w:rsidP="00A3105B">
      <w:pPr>
        <w:pStyle w:val="Footnote"/>
      </w:pPr>
      <w:r w:rsidRPr="00A55335">
        <w:t xml:space="preserve">a. </w:t>
      </w:r>
      <w:r w:rsidR="00D9744C" w:rsidRPr="00A55335">
        <w:t xml:space="preserve">No serious risk of bias. </w:t>
      </w:r>
      <w:r w:rsidRPr="00A55335">
        <w:t>Certainty of evidence not downgraded.</w:t>
      </w:r>
    </w:p>
    <w:p w14:paraId="45C735E5" w14:textId="6E347EF4" w:rsidR="00D9744C" w:rsidRPr="00A55335" w:rsidRDefault="00E64FE9" w:rsidP="00D9744C">
      <w:pPr>
        <w:pStyle w:val="Footnote"/>
      </w:pPr>
      <w:r w:rsidRPr="00A55335">
        <w:t xml:space="preserve">b. </w:t>
      </w:r>
      <w:r w:rsidR="00D9744C" w:rsidRPr="00A55335">
        <w:t>Single study. Inconsistency not assessed. Certainty of evidence not downgraded.</w:t>
      </w:r>
    </w:p>
    <w:p w14:paraId="066B6A89" w14:textId="77777777" w:rsidR="00D9744C" w:rsidRPr="00A55335" w:rsidRDefault="00D9744C" w:rsidP="00D9744C">
      <w:pPr>
        <w:pStyle w:val="Footnote"/>
      </w:pPr>
      <w:r w:rsidRPr="00A55335">
        <w:t>c. No serious indirectness. The available evidence is in people with fibromyalgia and is applicable to the Australian population with few caveats. Certainty of evidence not downgraded.</w:t>
      </w:r>
    </w:p>
    <w:p w14:paraId="1B94808A" w14:textId="2038418E" w:rsidR="00E64FE9" w:rsidRPr="00A55335" w:rsidRDefault="00D9744C" w:rsidP="00A3105B">
      <w:pPr>
        <w:pStyle w:val="Footnote"/>
      </w:pPr>
      <w:r w:rsidRPr="00A55335">
        <w:t xml:space="preserve">d. </w:t>
      </w:r>
      <w:r w:rsidR="002C0E1C" w:rsidRPr="00A55335">
        <w:t xml:space="preserve">Very serious imprecision. </w:t>
      </w:r>
      <w:r w:rsidR="00E64FE9" w:rsidRPr="00A55335">
        <w:t>One small study</w:t>
      </w:r>
      <w:r w:rsidR="000E3797" w:rsidRPr="00A55335">
        <w:t xml:space="preserve"> (</w:t>
      </w:r>
      <w:r w:rsidR="00527253" w:rsidRPr="00A55335">
        <w:t>sample size less than optimal)</w:t>
      </w:r>
      <w:r w:rsidR="00E64FE9" w:rsidRPr="00A55335">
        <w:t xml:space="preserve"> with wide confidence intervals </w:t>
      </w:r>
      <w:r w:rsidR="002C0E1C" w:rsidRPr="00A55335">
        <w:t xml:space="preserve">(upper and lower bound overlap with both </w:t>
      </w:r>
      <w:r w:rsidR="00974361" w:rsidRPr="00A55335">
        <w:t>benefit and harm</w:t>
      </w:r>
      <w:r w:rsidR="002C0E1C" w:rsidRPr="00A55335">
        <w:t>)</w:t>
      </w:r>
      <w:r w:rsidR="00E64FE9" w:rsidRPr="00A55335">
        <w:t xml:space="preserve">. Certainty of evidence downgraded </w:t>
      </w:r>
      <w:r w:rsidR="002C0E1C" w:rsidRPr="00A55335">
        <w:t xml:space="preserve">2 </w:t>
      </w:r>
      <w:r w:rsidR="00E64FE9" w:rsidRPr="00A55335">
        <w:t>levels.</w:t>
      </w:r>
    </w:p>
    <w:p w14:paraId="529725B2" w14:textId="25548286" w:rsidR="002C0E1C" w:rsidRPr="00A55335" w:rsidRDefault="002C0E1C" w:rsidP="00A3105B">
      <w:pPr>
        <w:pStyle w:val="Footnote"/>
      </w:pPr>
      <w:r w:rsidRPr="00A55335">
        <w:t>e. Publication bias not suspected. Certainty of evidence not downgraded.</w:t>
      </w:r>
    </w:p>
    <w:p w14:paraId="775C4ECE" w14:textId="5C8DF70C" w:rsidR="00974361" w:rsidRPr="00A55335" w:rsidRDefault="00974361" w:rsidP="00A3105B">
      <w:pPr>
        <w:pStyle w:val="Footnote"/>
      </w:pPr>
      <w:r w:rsidRPr="00A55335">
        <w:t xml:space="preserve">f. </w:t>
      </w:r>
      <w:r w:rsidR="00464007" w:rsidRPr="00A55335">
        <w:t>Very s</w:t>
      </w:r>
      <w:r w:rsidRPr="00A55335">
        <w:t xml:space="preserve">erious imprecision. One small study </w:t>
      </w:r>
      <w:r w:rsidR="00464007" w:rsidRPr="00A55335">
        <w:t xml:space="preserve">(sample size less than optimal) </w:t>
      </w:r>
      <w:r w:rsidRPr="00A55335">
        <w:t>with wide confidence intervals (upper and lower bound overlap with both important and no important benefit). Certainty of evidence downgraded</w:t>
      </w:r>
      <w:r w:rsidR="00464007" w:rsidRPr="00A55335">
        <w:t xml:space="preserve"> 2 levels</w:t>
      </w:r>
      <w:r w:rsidRPr="00A55335">
        <w:t>.</w:t>
      </w:r>
    </w:p>
    <w:p w14:paraId="6DDB22D2" w14:textId="77777777" w:rsidR="00DD505D" w:rsidRPr="00A55335" w:rsidRDefault="00DD505D" w:rsidP="004D433B">
      <w:pPr>
        <w:pStyle w:val="Heading3"/>
      </w:pPr>
      <w:bookmarkStart w:id="507" w:name="_Toc183441422"/>
      <w:r w:rsidRPr="00A55335">
        <w:t>Forest plots</w:t>
      </w:r>
      <w:bookmarkEnd w:id="507"/>
    </w:p>
    <w:p w14:paraId="6E780F89" w14:textId="0A520C1D" w:rsidR="00DD505D" w:rsidRPr="00A55335" w:rsidRDefault="00DD505D" w:rsidP="00DD505D">
      <w:pPr>
        <w:pStyle w:val="BodyText"/>
      </w:pPr>
      <w:r w:rsidRPr="00A55335">
        <w:t xml:space="preserve">Outcome results related </w:t>
      </w:r>
      <w:r w:rsidR="009D62B4" w:rsidRPr="00A55335">
        <w:t>to</w:t>
      </w:r>
      <w:r w:rsidRPr="00A55335">
        <w:t xml:space="preserve"> </w:t>
      </w:r>
      <w:r w:rsidR="00A32394" w:rsidRPr="00A55335">
        <w:t>the p</w:t>
      </w:r>
      <w:r w:rsidR="006070ED" w:rsidRPr="00A55335">
        <w:t xml:space="preserve">rimary </w:t>
      </w:r>
      <w:r w:rsidR="00A32394" w:rsidRPr="00A55335">
        <w:t>c</w:t>
      </w:r>
      <w:r w:rsidR="006070ED" w:rsidRPr="00A55335">
        <w:t>omparison</w:t>
      </w:r>
      <w:r w:rsidR="00150B93" w:rsidRPr="00A55335">
        <w:t xml:space="preserve"> (homeopathy vs placebo) </w:t>
      </w:r>
      <w:r w:rsidRPr="00A55335">
        <w:t xml:space="preserve">in people with fibromyalgia are presented in </w:t>
      </w:r>
      <w:r w:rsidR="00492397" w:rsidRPr="00A55335">
        <w:fldChar w:fldCharType="begin"/>
      </w:r>
      <w:r w:rsidR="00492397" w:rsidRPr="00A55335">
        <w:instrText xml:space="preserve"> REF _Ref151388909 \h </w:instrText>
      </w:r>
      <w:r w:rsidR="00492397" w:rsidRPr="00A55335">
        <w:fldChar w:fldCharType="separate"/>
      </w:r>
      <w:r w:rsidR="00814B04" w:rsidRPr="00A55335">
        <w:t xml:space="preserve">Figure </w:t>
      </w:r>
      <w:r w:rsidR="00EB0A81">
        <w:rPr>
          <w:noProof/>
        </w:rPr>
        <w:t>98</w:t>
      </w:r>
      <w:r w:rsidR="00492397" w:rsidRPr="00A55335">
        <w:fldChar w:fldCharType="end"/>
      </w:r>
      <w:r w:rsidR="00150B93" w:rsidRPr="00A55335">
        <w:t xml:space="preserve"> (pain</w:t>
      </w:r>
      <w:r w:rsidR="00D618A6" w:rsidRPr="00A55335">
        <w:t xml:space="preserve"> intensity</w:t>
      </w:r>
      <w:r w:rsidR="00150B93" w:rsidRPr="00A55335">
        <w:t>),</w:t>
      </w:r>
      <w:r w:rsidRPr="00A55335">
        <w:t xml:space="preserve"> </w:t>
      </w:r>
      <w:r w:rsidR="00492397" w:rsidRPr="00A55335">
        <w:fldChar w:fldCharType="begin"/>
      </w:r>
      <w:r w:rsidR="00492397" w:rsidRPr="00A55335">
        <w:instrText xml:space="preserve"> REF _Ref151388917 \h </w:instrText>
      </w:r>
      <w:r w:rsidR="00492397" w:rsidRPr="00A55335">
        <w:fldChar w:fldCharType="separate"/>
      </w:r>
      <w:r w:rsidR="00814B04" w:rsidRPr="00A55335">
        <w:t xml:space="preserve">Figure </w:t>
      </w:r>
      <w:r w:rsidR="00EB0A81">
        <w:rPr>
          <w:noProof/>
        </w:rPr>
        <w:t>99</w:t>
      </w:r>
      <w:r w:rsidR="00492397" w:rsidRPr="00A55335">
        <w:fldChar w:fldCharType="end"/>
      </w:r>
      <w:r w:rsidR="00150B93" w:rsidRPr="00A55335">
        <w:t xml:space="preserve"> (fatigue), </w:t>
      </w:r>
      <w:r w:rsidR="00492397" w:rsidRPr="00A55335">
        <w:fldChar w:fldCharType="begin"/>
      </w:r>
      <w:r w:rsidR="00492397" w:rsidRPr="00A55335">
        <w:instrText xml:space="preserve"> REF _Ref151388927 \h </w:instrText>
      </w:r>
      <w:r w:rsidR="00492397" w:rsidRPr="00A55335">
        <w:fldChar w:fldCharType="separate"/>
      </w:r>
      <w:r w:rsidR="00814B04" w:rsidRPr="00A55335">
        <w:t xml:space="preserve">Figure </w:t>
      </w:r>
      <w:r w:rsidR="00EB0A81">
        <w:rPr>
          <w:noProof/>
        </w:rPr>
        <w:t>100</w:t>
      </w:r>
      <w:r w:rsidR="00492397" w:rsidRPr="00A55335">
        <w:fldChar w:fldCharType="end"/>
      </w:r>
      <w:r w:rsidR="00150B93" w:rsidRPr="00A55335">
        <w:t xml:space="preserve"> (health-related quality of life) and </w:t>
      </w:r>
      <w:r w:rsidR="00492397" w:rsidRPr="00A55335">
        <w:fldChar w:fldCharType="begin"/>
      </w:r>
      <w:r w:rsidR="00492397" w:rsidRPr="00A55335">
        <w:instrText xml:space="preserve"> REF _Ref151388939 \h </w:instrText>
      </w:r>
      <w:r w:rsidR="00492397" w:rsidRPr="00A55335">
        <w:fldChar w:fldCharType="separate"/>
      </w:r>
      <w:r w:rsidR="00814B04" w:rsidRPr="00A55335">
        <w:t xml:space="preserve">Figure </w:t>
      </w:r>
      <w:r w:rsidR="00EB0A81">
        <w:rPr>
          <w:noProof/>
        </w:rPr>
        <w:t>101</w:t>
      </w:r>
      <w:r w:rsidR="00492397" w:rsidRPr="00A55335">
        <w:fldChar w:fldCharType="end"/>
      </w:r>
      <w:r w:rsidR="00150B93" w:rsidRPr="00A55335">
        <w:t xml:space="preserve"> (emotional wellbeing)</w:t>
      </w:r>
      <w:r w:rsidR="00492397" w:rsidRPr="00A55335">
        <w:t>.</w:t>
      </w:r>
    </w:p>
    <w:p w14:paraId="7777364D" w14:textId="7795684F" w:rsidR="00A3105B" w:rsidRPr="00A55335" w:rsidRDefault="00A3105B" w:rsidP="00DD505D">
      <w:pPr>
        <w:pStyle w:val="BodyText"/>
      </w:pPr>
      <w:r w:rsidRPr="00A55335">
        <w:t xml:space="preserve">Outcome results related </w:t>
      </w:r>
      <w:r w:rsidR="009D62B4" w:rsidRPr="00A55335">
        <w:t>to</w:t>
      </w:r>
      <w:r w:rsidR="00A32394" w:rsidRPr="00A55335">
        <w:t xml:space="preserve"> the s</w:t>
      </w:r>
      <w:r w:rsidR="006070ED" w:rsidRPr="00A55335">
        <w:t xml:space="preserve">econdary </w:t>
      </w:r>
      <w:r w:rsidR="00A32394" w:rsidRPr="00A55335">
        <w:t>c</w:t>
      </w:r>
      <w:r w:rsidR="006070ED" w:rsidRPr="00A55335">
        <w:t>omparison</w:t>
      </w:r>
      <w:r w:rsidRPr="00A55335">
        <w:t xml:space="preserve"> (homeopathy vs </w:t>
      </w:r>
      <w:r w:rsidR="00E61691" w:rsidRPr="00A55335">
        <w:t xml:space="preserve">inactive </w:t>
      </w:r>
      <w:r w:rsidRPr="00A55335">
        <w:t xml:space="preserve">control) in people with fibromyalgia are presented in </w:t>
      </w:r>
      <w:r w:rsidRPr="00A55335">
        <w:fldChar w:fldCharType="begin"/>
      </w:r>
      <w:r w:rsidRPr="00A55335">
        <w:instrText xml:space="preserve"> REF _Ref151389143 \h </w:instrText>
      </w:r>
      <w:r w:rsidRPr="00A55335">
        <w:fldChar w:fldCharType="separate"/>
      </w:r>
      <w:r w:rsidR="00814B04" w:rsidRPr="00A55335">
        <w:t xml:space="preserve">Figure </w:t>
      </w:r>
      <w:r w:rsidR="00EB0A81">
        <w:rPr>
          <w:noProof/>
        </w:rPr>
        <w:t>102</w:t>
      </w:r>
      <w:r w:rsidRPr="00A55335">
        <w:fldChar w:fldCharType="end"/>
      </w:r>
      <w:r w:rsidRPr="00A55335">
        <w:t xml:space="preserve"> (pain</w:t>
      </w:r>
      <w:r w:rsidR="00D618A6" w:rsidRPr="00A55335">
        <w:t xml:space="preserve"> intensity</w:t>
      </w:r>
      <w:r w:rsidRPr="00A55335">
        <w:t xml:space="preserve">), </w:t>
      </w:r>
      <w:r w:rsidRPr="00A55335">
        <w:fldChar w:fldCharType="begin"/>
      </w:r>
      <w:r w:rsidRPr="00A55335">
        <w:instrText xml:space="preserve"> REF _Ref151389149 \h </w:instrText>
      </w:r>
      <w:r w:rsidRPr="00A55335">
        <w:fldChar w:fldCharType="separate"/>
      </w:r>
      <w:r w:rsidR="00814B04" w:rsidRPr="00A55335">
        <w:t xml:space="preserve">Figure </w:t>
      </w:r>
      <w:r w:rsidR="00EB0A81">
        <w:rPr>
          <w:noProof/>
        </w:rPr>
        <w:t>103</w:t>
      </w:r>
      <w:r w:rsidRPr="00A55335">
        <w:fldChar w:fldCharType="end"/>
      </w:r>
      <w:r w:rsidRPr="00A55335">
        <w:t xml:space="preserve"> (fatigue), </w:t>
      </w:r>
      <w:r w:rsidRPr="00A55335">
        <w:fldChar w:fldCharType="begin"/>
      </w:r>
      <w:r w:rsidRPr="00A55335">
        <w:instrText xml:space="preserve"> REF _Ref151389157 \h </w:instrText>
      </w:r>
      <w:r w:rsidRPr="00A55335">
        <w:fldChar w:fldCharType="separate"/>
      </w:r>
      <w:r w:rsidR="00814B04" w:rsidRPr="00A55335">
        <w:t xml:space="preserve">Figure </w:t>
      </w:r>
      <w:r w:rsidR="00EB0A81">
        <w:rPr>
          <w:noProof/>
        </w:rPr>
        <w:t>104</w:t>
      </w:r>
      <w:r w:rsidRPr="00A55335">
        <w:fldChar w:fldCharType="end"/>
      </w:r>
      <w:r w:rsidRPr="00A55335">
        <w:t xml:space="preserve"> (health-related quality of life) and </w:t>
      </w:r>
      <w:r w:rsidRPr="00A55335">
        <w:fldChar w:fldCharType="begin"/>
      </w:r>
      <w:r w:rsidRPr="00A55335">
        <w:instrText xml:space="preserve"> REF _Ref151389165 \h </w:instrText>
      </w:r>
      <w:r w:rsidRPr="00A55335">
        <w:fldChar w:fldCharType="separate"/>
      </w:r>
      <w:r w:rsidR="00814B04" w:rsidRPr="00A55335">
        <w:t xml:space="preserve">Figure </w:t>
      </w:r>
      <w:r w:rsidR="00EB0A81">
        <w:rPr>
          <w:noProof/>
        </w:rPr>
        <w:t>105</w:t>
      </w:r>
      <w:r w:rsidRPr="00A55335">
        <w:fldChar w:fldCharType="end"/>
      </w:r>
      <w:r w:rsidRPr="00A55335">
        <w:t xml:space="preserve"> (emotional wellbeing).</w:t>
      </w:r>
    </w:p>
    <w:p w14:paraId="0EF8EDA3" w14:textId="59977236" w:rsidR="00DD505D" w:rsidRPr="00A55335" w:rsidRDefault="00DD505D" w:rsidP="00DD505D">
      <w:pPr>
        <w:pStyle w:val="Caption"/>
      </w:pPr>
      <w:bookmarkStart w:id="508" w:name="_Ref140051657"/>
      <w:bookmarkStart w:id="509" w:name="_Ref151388909"/>
      <w:bookmarkStart w:id="510" w:name="_Toc183520371"/>
      <w:r w:rsidRPr="00A55335">
        <w:lastRenderedPageBreak/>
        <w:t xml:space="preserve">Figure </w:t>
      </w:r>
      <w:bookmarkEnd w:id="508"/>
      <w:r w:rsidRPr="00A55335">
        <w:fldChar w:fldCharType="begin"/>
      </w:r>
      <w:r w:rsidRPr="00A55335">
        <w:instrText xml:space="preserve"> SEQ Figure \* ARABIC </w:instrText>
      </w:r>
      <w:r w:rsidRPr="00A55335">
        <w:fldChar w:fldCharType="separate"/>
      </w:r>
      <w:r w:rsidR="00EB0A81">
        <w:rPr>
          <w:noProof/>
        </w:rPr>
        <w:t>98</w:t>
      </w:r>
      <w:r w:rsidRPr="00A55335">
        <w:fldChar w:fldCharType="end"/>
      </w:r>
      <w:bookmarkEnd w:id="509"/>
      <w:r w:rsidR="00492397" w:rsidRPr="00A55335">
        <w:tab/>
      </w:r>
      <w:r w:rsidRPr="00A55335">
        <w:t xml:space="preserve">Forest plot of </w:t>
      </w:r>
      <w:r w:rsidR="009B44CF" w:rsidRPr="00A55335">
        <w:t xml:space="preserve">primary </w:t>
      </w:r>
      <w:r w:rsidRPr="00A55335">
        <w:t xml:space="preserve">comparison: Homeopathy vs placebo: Fibromyalgia – </w:t>
      </w:r>
      <w:r w:rsidR="00406664" w:rsidRPr="00A55335">
        <w:t xml:space="preserve">pain </w:t>
      </w:r>
      <w:r w:rsidRPr="00A55335">
        <w:t>intensity</w:t>
      </w:r>
      <w:bookmarkEnd w:id="510"/>
    </w:p>
    <w:p w14:paraId="7EC14B38" w14:textId="77777777" w:rsidR="00DD505D" w:rsidRPr="00A55335" w:rsidRDefault="00DD505D" w:rsidP="00AC0A80">
      <w:pPr>
        <w:pStyle w:val="Pic"/>
      </w:pPr>
      <w:r w:rsidRPr="00A55335">
        <w:rPr>
          <w:noProof/>
        </w:rPr>
        <w:drawing>
          <wp:inline distT="0" distB="0" distL="0" distR="0" wp14:anchorId="7A1AA83D" wp14:editId="6BB51DF9">
            <wp:extent cx="6181725" cy="3609975"/>
            <wp:effectExtent l="0" t="0" r="9525" b="9525"/>
            <wp:docPr id="316744394" name="Picture 31674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81725" cy="3609975"/>
                    </a:xfrm>
                    <a:prstGeom prst="rect">
                      <a:avLst/>
                    </a:prstGeom>
                    <a:noFill/>
                    <a:ln>
                      <a:noFill/>
                    </a:ln>
                  </pic:spPr>
                </pic:pic>
              </a:graphicData>
            </a:graphic>
          </wp:inline>
        </w:drawing>
      </w:r>
    </w:p>
    <w:p w14:paraId="20DC32C7" w14:textId="77777777" w:rsidR="00150B93" w:rsidRPr="00A55335" w:rsidRDefault="00150B93" w:rsidP="00150B93">
      <w:pPr>
        <w:pStyle w:val="TableFigNotes18"/>
      </w:pPr>
    </w:p>
    <w:p w14:paraId="4F8E5043" w14:textId="0C352545" w:rsidR="00DD505D" w:rsidRPr="00A55335" w:rsidRDefault="00DD505D" w:rsidP="00DD505D">
      <w:pPr>
        <w:pStyle w:val="Caption"/>
      </w:pPr>
      <w:bookmarkStart w:id="511" w:name="_Ref139529065"/>
      <w:bookmarkStart w:id="512" w:name="_Ref151388917"/>
      <w:bookmarkStart w:id="513" w:name="_Toc183520372"/>
      <w:r w:rsidRPr="00A55335">
        <w:t xml:space="preserve">Figure </w:t>
      </w:r>
      <w:bookmarkEnd w:id="511"/>
      <w:r w:rsidRPr="00A55335">
        <w:fldChar w:fldCharType="begin"/>
      </w:r>
      <w:r w:rsidRPr="00A55335">
        <w:instrText xml:space="preserve"> SEQ Figure \* ARABIC </w:instrText>
      </w:r>
      <w:r w:rsidRPr="00A55335">
        <w:fldChar w:fldCharType="separate"/>
      </w:r>
      <w:r w:rsidR="00EB0A81">
        <w:rPr>
          <w:noProof/>
        </w:rPr>
        <w:t>99</w:t>
      </w:r>
      <w:r w:rsidRPr="00A55335">
        <w:fldChar w:fldCharType="end"/>
      </w:r>
      <w:bookmarkEnd w:id="512"/>
      <w:r w:rsidR="00492397" w:rsidRPr="00A55335">
        <w:tab/>
      </w:r>
      <w:r w:rsidRPr="00A55335">
        <w:t xml:space="preserve">Forest plot of </w:t>
      </w:r>
      <w:r w:rsidR="009B44CF" w:rsidRPr="00A55335">
        <w:t xml:space="preserve">primary </w:t>
      </w:r>
      <w:r w:rsidRPr="00A55335">
        <w:t xml:space="preserve">comparison: Homeopathy vs placebo: Fibromyalgia – </w:t>
      </w:r>
      <w:r w:rsidR="00406664" w:rsidRPr="00A55335">
        <w:t>fatigue</w:t>
      </w:r>
      <w:bookmarkEnd w:id="513"/>
    </w:p>
    <w:p w14:paraId="21A9F382" w14:textId="77777777" w:rsidR="00DD505D" w:rsidRPr="00A55335" w:rsidRDefault="00DD505D" w:rsidP="00AC0A80">
      <w:pPr>
        <w:pStyle w:val="Pic"/>
      </w:pPr>
      <w:r w:rsidRPr="00A55335">
        <w:rPr>
          <w:noProof/>
        </w:rPr>
        <w:drawing>
          <wp:inline distT="0" distB="0" distL="0" distR="0" wp14:anchorId="1E4BD65D" wp14:editId="5E6B7FD5">
            <wp:extent cx="6191250" cy="2876550"/>
            <wp:effectExtent l="0" t="0" r="0" b="0"/>
            <wp:docPr id="414916705" name="Picture 414916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91250" cy="2876550"/>
                    </a:xfrm>
                    <a:prstGeom prst="rect">
                      <a:avLst/>
                    </a:prstGeom>
                    <a:noFill/>
                    <a:ln>
                      <a:noFill/>
                    </a:ln>
                  </pic:spPr>
                </pic:pic>
              </a:graphicData>
            </a:graphic>
          </wp:inline>
        </w:drawing>
      </w:r>
    </w:p>
    <w:p w14:paraId="7CB251EE" w14:textId="77777777" w:rsidR="00150B93" w:rsidRPr="00A55335" w:rsidRDefault="00150B93" w:rsidP="00150B93">
      <w:pPr>
        <w:pStyle w:val="TableFigNotes18"/>
      </w:pPr>
    </w:p>
    <w:p w14:paraId="0FEF7B8D" w14:textId="3E2D1D7E" w:rsidR="00DD505D" w:rsidRPr="00A55335" w:rsidRDefault="00DD505D" w:rsidP="00DD505D">
      <w:pPr>
        <w:pStyle w:val="Caption"/>
      </w:pPr>
      <w:bookmarkStart w:id="514" w:name="_Ref139529071"/>
      <w:bookmarkStart w:id="515" w:name="_Ref151388927"/>
      <w:bookmarkStart w:id="516" w:name="_Toc183520373"/>
      <w:r w:rsidRPr="00A55335">
        <w:lastRenderedPageBreak/>
        <w:t xml:space="preserve">Figure </w:t>
      </w:r>
      <w:bookmarkEnd w:id="514"/>
      <w:r w:rsidRPr="00A55335">
        <w:fldChar w:fldCharType="begin"/>
      </w:r>
      <w:r w:rsidRPr="00A55335">
        <w:instrText xml:space="preserve"> SEQ Figure \* ARABIC </w:instrText>
      </w:r>
      <w:r w:rsidRPr="00A55335">
        <w:fldChar w:fldCharType="separate"/>
      </w:r>
      <w:r w:rsidR="00EB0A81">
        <w:rPr>
          <w:noProof/>
        </w:rPr>
        <w:t>100</w:t>
      </w:r>
      <w:r w:rsidRPr="00A55335">
        <w:fldChar w:fldCharType="end"/>
      </w:r>
      <w:bookmarkEnd w:id="515"/>
      <w:r w:rsidR="00492397" w:rsidRPr="00A55335">
        <w:tab/>
      </w:r>
      <w:r w:rsidRPr="00A55335">
        <w:t xml:space="preserve">Forest plot of </w:t>
      </w:r>
      <w:r w:rsidR="009B44CF" w:rsidRPr="00A55335">
        <w:t xml:space="preserve">primary </w:t>
      </w:r>
      <w:r w:rsidRPr="00A55335">
        <w:t xml:space="preserve">comparison: Homeopathy vs placebo: Fibromyalgia </w:t>
      </w:r>
      <w:r w:rsidR="00516F0A">
        <w:t>–</w:t>
      </w:r>
      <w:r w:rsidRPr="00A55335">
        <w:t xml:space="preserve"> </w:t>
      </w:r>
      <w:r w:rsidR="00406664" w:rsidRPr="00A55335">
        <w:t>health</w:t>
      </w:r>
      <w:r w:rsidRPr="00A55335">
        <w:t>-related quality of life</w:t>
      </w:r>
      <w:bookmarkEnd w:id="516"/>
    </w:p>
    <w:p w14:paraId="716381F9" w14:textId="77777777" w:rsidR="00DD505D" w:rsidRPr="00A55335" w:rsidRDefault="00DD505D" w:rsidP="00AC0A80">
      <w:pPr>
        <w:pStyle w:val="Pic"/>
      </w:pPr>
      <w:r w:rsidRPr="00A55335">
        <w:rPr>
          <w:noProof/>
        </w:rPr>
        <w:drawing>
          <wp:inline distT="0" distB="0" distL="0" distR="0" wp14:anchorId="5D13E43F" wp14:editId="5F2824DE">
            <wp:extent cx="6181725" cy="2876550"/>
            <wp:effectExtent l="0" t="0" r="9525" b="0"/>
            <wp:docPr id="1269016923" name="Picture 126901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81725" cy="2876550"/>
                    </a:xfrm>
                    <a:prstGeom prst="rect">
                      <a:avLst/>
                    </a:prstGeom>
                    <a:noFill/>
                    <a:ln>
                      <a:noFill/>
                    </a:ln>
                  </pic:spPr>
                </pic:pic>
              </a:graphicData>
            </a:graphic>
          </wp:inline>
        </w:drawing>
      </w:r>
    </w:p>
    <w:p w14:paraId="4FCC9A83" w14:textId="77777777" w:rsidR="00150B93" w:rsidRPr="00A55335" w:rsidRDefault="00150B93" w:rsidP="00150B93">
      <w:pPr>
        <w:pStyle w:val="TableFigNotes18"/>
      </w:pPr>
    </w:p>
    <w:p w14:paraId="2E6B9802" w14:textId="67AAD20A" w:rsidR="00DD505D" w:rsidRPr="00A55335" w:rsidRDefault="00DD505D" w:rsidP="00DD505D">
      <w:pPr>
        <w:pStyle w:val="Caption"/>
      </w:pPr>
      <w:bookmarkStart w:id="517" w:name="_Ref139529082"/>
      <w:bookmarkStart w:id="518" w:name="_Ref151388939"/>
      <w:bookmarkStart w:id="519" w:name="_Toc183520374"/>
      <w:r w:rsidRPr="00A55335">
        <w:t xml:space="preserve">Figure </w:t>
      </w:r>
      <w:bookmarkEnd w:id="517"/>
      <w:r w:rsidRPr="00A55335">
        <w:fldChar w:fldCharType="begin"/>
      </w:r>
      <w:r w:rsidRPr="00A55335">
        <w:instrText xml:space="preserve"> SEQ Figure \* ARABIC </w:instrText>
      </w:r>
      <w:r w:rsidRPr="00A55335">
        <w:fldChar w:fldCharType="separate"/>
      </w:r>
      <w:r w:rsidR="00EB0A81">
        <w:rPr>
          <w:noProof/>
        </w:rPr>
        <w:t>101</w:t>
      </w:r>
      <w:r w:rsidRPr="00A55335">
        <w:fldChar w:fldCharType="end"/>
      </w:r>
      <w:bookmarkEnd w:id="518"/>
      <w:r w:rsidR="00492397" w:rsidRPr="00A55335">
        <w:tab/>
      </w:r>
      <w:r w:rsidRPr="00A55335">
        <w:t xml:space="preserve">Forest plot of </w:t>
      </w:r>
      <w:r w:rsidR="009B44CF" w:rsidRPr="00A55335">
        <w:t xml:space="preserve">primary </w:t>
      </w:r>
      <w:r w:rsidRPr="00A55335">
        <w:t xml:space="preserve">comparison: Homeopathy vs placebo: Fibromyalgia </w:t>
      </w:r>
      <w:r w:rsidR="00516F0A">
        <w:t>–</w:t>
      </w:r>
      <w:r w:rsidRPr="00A55335">
        <w:t xml:space="preserve"> </w:t>
      </w:r>
      <w:r w:rsidR="00406664" w:rsidRPr="00A55335">
        <w:t xml:space="preserve">emotional </w:t>
      </w:r>
      <w:r w:rsidRPr="00A55335">
        <w:t>wellbeing</w:t>
      </w:r>
      <w:bookmarkEnd w:id="519"/>
    </w:p>
    <w:p w14:paraId="70B3514D" w14:textId="77777777" w:rsidR="00DD505D" w:rsidRPr="00A55335" w:rsidRDefault="00DD505D" w:rsidP="00AC0A80">
      <w:pPr>
        <w:pStyle w:val="Pic"/>
      </w:pPr>
      <w:r w:rsidRPr="00A55335">
        <w:rPr>
          <w:noProof/>
        </w:rPr>
        <w:drawing>
          <wp:inline distT="0" distB="0" distL="0" distR="0" wp14:anchorId="221B4CA4" wp14:editId="0C57E9F3">
            <wp:extent cx="6181725" cy="2857500"/>
            <wp:effectExtent l="0" t="0" r="9525" b="0"/>
            <wp:docPr id="233438578" name="Picture 23343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81725" cy="2857500"/>
                    </a:xfrm>
                    <a:prstGeom prst="rect">
                      <a:avLst/>
                    </a:prstGeom>
                    <a:noFill/>
                    <a:ln>
                      <a:noFill/>
                    </a:ln>
                  </pic:spPr>
                </pic:pic>
              </a:graphicData>
            </a:graphic>
          </wp:inline>
        </w:drawing>
      </w:r>
    </w:p>
    <w:p w14:paraId="5C224943" w14:textId="77777777" w:rsidR="00150B93" w:rsidRPr="00A55335" w:rsidRDefault="00150B93" w:rsidP="00150B93">
      <w:pPr>
        <w:pStyle w:val="TableFigNotes18"/>
      </w:pPr>
    </w:p>
    <w:p w14:paraId="4FB935A8" w14:textId="2FF39283" w:rsidR="00DD505D" w:rsidRPr="00A55335" w:rsidRDefault="00DD505D" w:rsidP="00DD505D">
      <w:pPr>
        <w:pStyle w:val="Caption"/>
      </w:pPr>
      <w:bookmarkStart w:id="520" w:name="_Ref139529235"/>
      <w:bookmarkStart w:id="521" w:name="_Ref151389143"/>
      <w:bookmarkStart w:id="522" w:name="_Toc183520375"/>
      <w:r w:rsidRPr="00A55335">
        <w:lastRenderedPageBreak/>
        <w:t xml:space="preserve">Figure </w:t>
      </w:r>
      <w:bookmarkEnd w:id="520"/>
      <w:r w:rsidRPr="00A55335">
        <w:fldChar w:fldCharType="begin"/>
      </w:r>
      <w:r w:rsidRPr="00A55335">
        <w:instrText xml:space="preserve"> SEQ Figure \* ARABIC </w:instrText>
      </w:r>
      <w:r w:rsidRPr="00A55335">
        <w:fldChar w:fldCharType="separate"/>
      </w:r>
      <w:r w:rsidR="00EB0A81">
        <w:rPr>
          <w:noProof/>
        </w:rPr>
        <w:t>102</w:t>
      </w:r>
      <w:r w:rsidRPr="00A55335">
        <w:fldChar w:fldCharType="end"/>
      </w:r>
      <w:bookmarkEnd w:id="521"/>
      <w:r w:rsidR="00F329AD" w:rsidRPr="00A55335">
        <w:tab/>
      </w:r>
      <w:r w:rsidRPr="00A55335">
        <w:t xml:space="preserve">Forest plot of </w:t>
      </w:r>
      <w:r w:rsidR="009B44CF" w:rsidRPr="00A55335">
        <w:t xml:space="preserve">secondary </w:t>
      </w:r>
      <w:r w:rsidRPr="00A55335">
        <w:t xml:space="preserve">comparison: Homeopathy vs </w:t>
      </w:r>
      <w:r w:rsidR="00E61691" w:rsidRPr="00A55335">
        <w:t xml:space="preserve">inactive </w:t>
      </w:r>
      <w:r w:rsidRPr="00A55335">
        <w:t>control (no intervention)</w:t>
      </w:r>
      <w:r w:rsidR="001227CC">
        <w:t xml:space="preserve">: </w:t>
      </w:r>
      <w:r w:rsidR="001227CC" w:rsidRPr="00A55335">
        <w:t>Fibromyalgia</w:t>
      </w:r>
      <w:r w:rsidRPr="00A55335">
        <w:t xml:space="preserve"> </w:t>
      </w:r>
      <w:r w:rsidR="00516F0A">
        <w:t>–</w:t>
      </w:r>
      <w:r w:rsidRPr="00A55335">
        <w:t xml:space="preserve"> </w:t>
      </w:r>
      <w:r w:rsidR="00406664" w:rsidRPr="00A55335">
        <w:t xml:space="preserve">pain </w:t>
      </w:r>
      <w:r w:rsidRPr="00A55335">
        <w:t>intensity</w:t>
      </w:r>
      <w:bookmarkEnd w:id="522"/>
    </w:p>
    <w:p w14:paraId="0F4C44CD" w14:textId="43DEFA0F" w:rsidR="00DD505D" w:rsidRPr="00A55335" w:rsidRDefault="00927C99" w:rsidP="00AC0A80">
      <w:pPr>
        <w:pStyle w:val="Pic"/>
      </w:pPr>
      <w:r>
        <w:rPr>
          <w:noProof/>
        </w:rPr>
        <w:drawing>
          <wp:inline distT="0" distB="0" distL="0" distR="0" wp14:anchorId="5C2BF122" wp14:editId="0F1BCAE6">
            <wp:extent cx="6188075" cy="2585720"/>
            <wp:effectExtent l="0" t="0" r="3175" b="5080"/>
            <wp:docPr id="5174187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18762" name="Picture 517418762"/>
                    <pic:cNvPicPr/>
                  </pic:nvPicPr>
                  <pic:blipFill>
                    <a:blip r:embed="rId121"/>
                    <a:stretch>
                      <a:fillRect/>
                    </a:stretch>
                  </pic:blipFill>
                  <pic:spPr>
                    <a:xfrm>
                      <a:off x="0" y="0"/>
                      <a:ext cx="6188075" cy="2585720"/>
                    </a:xfrm>
                    <a:prstGeom prst="rect">
                      <a:avLst/>
                    </a:prstGeom>
                  </pic:spPr>
                </pic:pic>
              </a:graphicData>
            </a:graphic>
          </wp:inline>
        </w:drawing>
      </w:r>
    </w:p>
    <w:p w14:paraId="633B6F1C" w14:textId="77777777" w:rsidR="00F329AD" w:rsidRPr="00A55335" w:rsidRDefault="00F329AD" w:rsidP="00F329AD">
      <w:pPr>
        <w:pStyle w:val="TableFigNotes18"/>
      </w:pPr>
    </w:p>
    <w:p w14:paraId="7BF83872" w14:textId="1E4EB116" w:rsidR="00DD505D" w:rsidRPr="00A55335" w:rsidRDefault="00DD505D" w:rsidP="00DD505D">
      <w:pPr>
        <w:pStyle w:val="Caption"/>
      </w:pPr>
      <w:bookmarkStart w:id="523" w:name="_Ref139529271"/>
      <w:bookmarkStart w:id="524" w:name="_Ref151389149"/>
      <w:bookmarkStart w:id="525" w:name="_Toc183520376"/>
      <w:r w:rsidRPr="00A55335">
        <w:t xml:space="preserve">Figure </w:t>
      </w:r>
      <w:bookmarkEnd w:id="523"/>
      <w:r w:rsidRPr="00A55335">
        <w:fldChar w:fldCharType="begin"/>
      </w:r>
      <w:r w:rsidRPr="00A55335">
        <w:instrText xml:space="preserve"> SEQ Figure \* ARABIC </w:instrText>
      </w:r>
      <w:r w:rsidRPr="00A55335">
        <w:fldChar w:fldCharType="separate"/>
      </w:r>
      <w:r w:rsidR="00EB0A81">
        <w:rPr>
          <w:noProof/>
        </w:rPr>
        <w:t>103</w:t>
      </w:r>
      <w:r w:rsidRPr="00A55335">
        <w:fldChar w:fldCharType="end"/>
      </w:r>
      <w:bookmarkEnd w:id="524"/>
      <w:r w:rsidR="00F329AD" w:rsidRPr="00A55335">
        <w:tab/>
      </w:r>
      <w:r w:rsidRPr="00A55335">
        <w:t xml:space="preserve">Forest plot of </w:t>
      </w:r>
      <w:r w:rsidR="005F0E34" w:rsidRPr="00A55335">
        <w:t xml:space="preserve">secondary </w:t>
      </w:r>
      <w:r w:rsidRPr="00A55335">
        <w:t xml:space="preserve">comparison: Homeopathy vs </w:t>
      </w:r>
      <w:r w:rsidR="00E61691" w:rsidRPr="00A55335">
        <w:t xml:space="preserve">inactive </w:t>
      </w:r>
      <w:r w:rsidRPr="00A55335">
        <w:t>control (no intervention)</w:t>
      </w:r>
      <w:r w:rsidR="001227CC">
        <w:t xml:space="preserve">: </w:t>
      </w:r>
      <w:r w:rsidR="001227CC" w:rsidRPr="00A55335">
        <w:t>Fibromyalgia</w:t>
      </w:r>
      <w:r w:rsidRPr="00A55335">
        <w:t xml:space="preserve"> – </w:t>
      </w:r>
      <w:r w:rsidR="00406664" w:rsidRPr="00A55335">
        <w:t>fatigue</w:t>
      </w:r>
      <w:bookmarkEnd w:id="525"/>
    </w:p>
    <w:p w14:paraId="7C9A74A8" w14:textId="77777777" w:rsidR="00DD505D" w:rsidRPr="00A55335" w:rsidRDefault="00DD505D" w:rsidP="00AC0A80">
      <w:pPr>
        <w:pStyle w:val="Pic"/>
      </w:pPr>
      <w:r w:rsidRPr="00A55335">
        <w:rPr>
          <w:noProof/>
        </w:rPr>
        <w:drawing>
          <wp:inline distT="0" distB="0" distL="0" distR="0" wp14:anchorId="393E6D87" wp14:editId="2AFCB514">
            <wp:extent cx="6181725" cy="1800225"/>
            <wp:effectExtent l="0" t="0" r="9525" b="9525"/>
            <wp:docPr id="399482088" name="Picture 39948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81725" cy="1800225"/>
                    </a:xfrm>
                    <a:prstGeom prst="rect">
                      <a:avLst/>
                    </a:prstGeom>
                    <a:noFill/>
                    <a:ln>
                      <a:noFill/>
                    </a:ln>
                  </pic:spPr>
                </pic:pic>
              </a:graphicData>
            </a:graphic>
          </wp:inline>
        </w:drawing>
      </w:r>
    </w:p>
    <w:p w14:paraId="663CDE06" w14:textId="77777777" w:rsidR="00F329AD" w:rsidRPr="00A55335" w:rsidRDefault="00F329AD" w:rsidP="00F329AD">
      <w:pPr>
        <w:pStyle w:val="TableFigNotes18"/>
      </w:pPr>
    </w:p>
    <w:p w14:paraId="4C7A4BFD" w14:textId="7441D7FC" w:rsidR="00DD505D" w:rsidRPr="00A55335" w:rsidRDefault="00DD505D" w:rsidP="00DD505D">
      <w:pPr>
        <w:pStyle w:val="Caption"/>
      </w:pPr>
      <w:bookmarkStart w:id="526" w:name="_Ref139529370"/>
      <w:bookmarkStart w:id="527" w:name="_Ref151389157"/>
      <w:bookmarkStart w:id="528" w:name="_Toc183520377"/>
      <w:r w:rsidRPr="00A55335">
        <w:t xml:space="preserve">Figure </w:t>
      </w:r>
      <w:bookmarkEnd w:id="526"/>
      <w:r w:rsidRPr="00A55335">
        <w:fldChar w:fldCharType="begin"/>
      </w:r>
      <w:r w:rsidRPr="00A55335">
        <w:instrText xml:space="preserve"> SEQ Figure \* ARABIC </w:instrText>
      </w:r>
      <w:r w:rsidRPr="00A55335">
        <w:fldChar w:fldCharType="separate"/>
      </w:r>
      <w:r w:rsidR="00EB0A81">
        <w:rPr>
          <w:noProof/>
        </w:rPr>
        <w:t>104</w:t>
      </w:r>
      <w:r w:rsidRPr="00A55335">
        <w:fldChar w:fldCharType="end"/>
      </w:r>
      <w:bookmarkEnd w:id="527"/>
      <w:r w:rsidR="00F329AD" w:rsidRPr="00A55335">
        <w:tab/>
      </w:r>
      <w:r w:rsidRPr="00A55335">
        <w:t xml:space="preserve">Forest plot of </w:t>
      </w:r>
      <w:r w:rsidR="005F0E34" w:rsidRPr="00A55335">
        <w:t xml:space="preserve">secondary </w:t>
      </w:r>
      <w:r w:rsidRPr="00A55335">
        <w:t xml:space="preserve">comparison: Homeopathy vs </w:t>
      </w:r>
      <w:r w:rsidR="00E61691" w:rsidRPr="00A55335">
        <w:t xml:space="preserve">inactive </w:t>
      </w:r>
      <w:r w:rsidRPr="00A55335">
        <w:t>control (no intervention)</w:t>
      </w:r>
      <w:r w:rsidR="001227CC">
        <w:t xml:space="preserve">: </w:t>
      </w:r>
      <w:r w:rsidR="001227CC" w:rsidRPr="00A55335">
        <w:t>Fibromyalgia</w:t>
      </w:r>
      <w:r w:rsidRPr="00A55335">
        <w:t xml:space="preserve"> </w:t>
      </w:r>
      <w:r w:rsidR="001227CC">
        <w:t>–</w:t>
      </w:r>
      <w:r w:rsidRPr="00A55335">
        <w:t xml:space="preserve"> </w:t>
      </w:r>
      <w:r w:rsidR="00406664" w:rsidRPr="00A55335">
        <w:t>health</w:t>
      </w:r>
      <w:r w:rsidRPr="00A55335">
        <w:t>-related quality of life</w:t>
      </w:r>
      <w:bookmarkEnd w:id="528"/>
    </w:p>
    <w:p w14:paraId="0AC2059A" w14:textId="77777777" w:rsidR="00DD505D" w:rsidRPr="00A55335" w:rsidRDefault="00DD505D" w:rsidP="00AC0A80">
      <w:pPr>
        <w:pStyle w:val="Pic"/>
      </w:pPr>
      <w:r w:rsidRPr="00A55335">
        <w:rPr>
          <w:noProof/>
        </w:rPr>
        <w:drawing>
          <wp:inline distT="0" distB="0" distL="0" distR="0" wp14:anchorId="3BBB7C5C" wp14:editId="229EA2D3">
            <wp:extent cx="6181725" cy="1790700"/>
            <wp:effectExtent l="0" t="0" r="9525" b="0"/>
            <wp:docPr id="1999990619" name="Picture 199999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81725" cy="1790700"/>
                    </a:xfrm>
                    <a:prstGeom prst="rect">
                      <a:avLst/>
                    </a:prstGeom>
                    <a:noFill/>
                    <a:ln>
                      <a:noFill/>
                    </a:ln>
                  </pic:spPr>
                </pic:pic>
              </a:graphicData>
            </a:graphic>
          </wp:inline>
        </w:drawing>
      </w:r>
    </w:p>
    <w:p w14:paraId="16D9E2C7" w14:textId="77777777" w:rsidR="00F329AD" w:rsidRPr="00A55335" w:rsidRDefault="00F329AD" w:rsidP="00F329AD">
      <w:pPr>
        <w:pStyle w:val="TableFigNotes18"/>
      </w:pPr>
    </w:p>
    <w:p w14:paraId="505D8C82" w14:textId="46F56B27" w:rsidR="00DD505D" w:rsidRPr="00A55335" w:rsidRDefault="00DD505D" w:rsidP="00DD505D">
      <w:pPr>
        <w:pStyle w:val="Caption"/>
      </w:pPr>
      <w:bookmarkStart w:id="529" w:name="_Ref139529409"/>
      <w:bookmarkStart w:id="530" w:name="_Ref151389165"/>
      <w:bookmarkStart w:id="531" w:name="_Toc183520378"/>
      <w:r w:rsidRPr="00A55335">
        <w:lastRenderedPageBreak/>
        <w:t xml:space="preserve">Figure </w:t>
      </w:r>
      <w:bookmarkEnd w:id="529"/>
      <w:r w:rsidRPr="00A55335">
        <w:fldChar w:fldCharType="begin"/>
      </w:r>
      <w:r w:rsidRPr="00A55335">
        <w:instrText xml:space="preserve"> SEQ Figure \* ARABIC </w:instrText>
      </w:r>
      <w:r w:rsidRPr="00A55335">
        <w:fldChar w:fldCharType="separate"/>
      </w:r>
      <w:r w:rsidR="00EB0A81">
        <w:rPr>
          <w:noProof/>
        </w:rPr>
        <w:t>105</w:t>
      </w:r>
      <w:r w:rsidRPr="00A55335">
        <w:fldChar w:fldCharType="end"/>
      </w:r>
      <w:bookmarkEnd w:id="530"/>
      <w:r w:rsidR="00F329AD" w:rsidRPr="00A55335">
        <w:tab/>
      </w:r>
      <w:r w:rsidRPr="00A55335">
        <w:t xml:space="preserve">Forest plot of </w:t>
      </w:r>
      <w:r w:rsidR="005F0E34" w:rsidRPr="00A55335">
        <w:t xml:space="preserve">secondary </w:t>
      </w:r>
      <w:r w:rsidRPr="00A55335">
        <w:t xml:space="preserve">comparison: Homeopathy vs </w:t>
      </w:r>
      <w:r w:rsidR="00E61691" w:rsidRPr="00A55335">
        <w:t xml:space="preserve">inactive </w:t>
      </w:r>
      <w:r w:rsidRPr="00A55335">
        <w:t>control (no intervention)</w:t>
      </w:r>
      <w:r w:rsidR="001227CC">
        <w:t xml:space="preserve">: </w:t>
      </w:r>
      <w:r w:rsidR="001227CC" w:rsidRPr="00A55335">
        <w:t>Fibromyalgia</w:t>
      </w:r>
      <w:r w:rsidRPr="00A55335">
        <w:t xml:space="preserve"> </w:t>
      </w:r>
      <w:r w:rsidR="001227CC">
        <w:t>–</w:t>
      </w:r>
      <w:r w:rsidRPr="00A55335">
        <w:t xml:space="preserve"> </w:t>
      </w:r>
      <w:r w:rsidR="00406664" w:rsidRPr="00A55335">
        <w:t xml:space="preserve">emotional </w:t>
      </w:r>
      <w:r w:rsidRPr="00A55335">
        <w:t>wellbeing</w:t>
      </w:r>
      <w:bookmarkEnd w:id="531"/>
    </w:p>
    <w:p w14:paraId="2FE42D78" w14:textId="77777777" w:rsidR="00DD505D" w:rsidRPr="00A55335" w:rsidRDefault="00DD505D" w:rsidP="00AC0A80">
      <w:pPr>
        <w:pStyle w:val="Pic"/>
      </w:pPr>
      <w:r w:rsidRPr="00A55335">
        <w:rPr>
          <w:noProof/>
        </w:rPr>
        <w:drawing>
          <wp:inline distT="0" distB="0" distL="0" distR="0" wp14:anchorId="3AD9447B" wp14:editId="3C24F5A1">
            <wp:extent cx="6181725" cy="1800225"/>
            <wp:effectExtent l="0" t="0" r="9525" b="9525"/>
            <wp:docPr id="1049072523" name="Picture 104907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81725" cy="1800225"/>
                    </a:xfrm>
                    <a:prstGeom prst="rect">
                      <a:avLst/>
                    </a:prstGeom>
                    <a:noFill/>
                    <a:ln>
                      <a:noFill/>
                    </a:ln>
                  </pic:spPr>
                </pic:pic>
              </a:graphicData>
            </a:graphic>
          </wp:inline>
        </w:drawing>
      </w:r>
    </w:p>
    <w:p w14:paraId="35CE08A7" w14:textId="77777777" w:rsidR="00F329AD" w:rsidRPr="00A55335" w:rsidRDefault="00F329AD" w:rsidP="00F329AD">
      <w:pPr>
        <w:pStyle w:val="TableFigNotes18"/>
      </w:pPr>
    </w:p>
    <w:p w14:paraId="36EA9B7E" w14:textId="77777777" w:rsidR="00DD505D" w:rsidRPr="00A55335" w:rsidRDefault="00DD505D" w:rsidP="00DD505D">
      <w:pPr>
        <w:pStyle w:val="Heading1"/>
        <w:ind w:left="431" w:hanging="431"/>
      </w:pPr>
      <w:bookmarkStart w:id="532" w:name="_Toc183441423"/>
      <w:r w:rsidRPr="00A55335">
        <w:lastRenderedPageBreak/>
        <w:t>Discussion</w:t>
      </w:r>
      <w:bookmarkEnd w:id="532"/>
    </w:p>
    <w:p w14:paraId="0FC80A5E" w14:textId="32FB0B11" w:rsidR="00345BCD" w:rsidRPr="00A55335" w:rsidRDefault="00345BCD" w:rsidP="008E017D">
      <w:pPr>
        <w:pStyle w:val="Heading2"/>
      </w:pPr>
      <w:bookmarkStart w:id="533" w:name="_Toc183441424"/>
      <w:r w:rsidRPr="00A55335">
        <w:t>Summary of main results</w:t>
      </w:r>
      <w:bookmarkEnd w:id="533"/>
    </w:p>
    <w:p w14:paraId="6531DC26" w14:textId="2EDF0B84" w:rsidR="00CA4A55" w:rsidRPr="00A55335" w:rsidRDefault="00CA4A55" w:rsidP="00CA4A55">
      <w:pPr>
        <w:pStyle w:val="BodyText"/>
      </w:pPr>
      <w:r w:rsidRPr="00A55335">
        <w:t xml:space="preserve">We conducted a systematic review of RCTs to evaluate the effectiveness of </w:t>
      </w:r>
      <w:r w:rsidR="000A3E42" w:rsidRPr="00A55335">
        <w:t xml:space="preserve">homeopathy </w:t>
      </w:r>
      <w:r w:rsidRPr="00A55335">
        <w:t xml:space="preserve">for </w:t>
      </w:r>
      <w:r w:rsidR="00962CA3" w:rsidRPr="00A55335">
        <w:t>2</w:t>
      </w:r>
      <w:r w:rsidR="006A691A" w:rsidRPr="00A55335">
        <w:t>0</w:t>
      </w:r>
      <w:r w:rsidRPr="00A55335">
        <w:t xml:space="preserve"> clinical or preclinical conditions prioritised (by NTWC) as most relevant to the </w:t>
      </w:r>
      <w:r w:rsidR="006E77C1" w:rsidRPr="00A55335">
        <w:t xml:space="preserve">use </w:t>
      </w:r>
      <w:r w:rsidRPr="00A55335">
        <w:t xml:space="preserve">of </w:t>
      </w:r>
      <w:r w:rsidR="007B4BB0" w:rsidRPr="00A55335">
        <w:t xml:space="preserve">homeopathy </w:t>
      </w:r>
      <w:r w:rsidRPr="00A55335">
        <w:t xml:space="preserve">in Australia. We identified </w:t>
      </w:r>
      <w:r w:rsidR="00CC2478" w:rsidRPr="00A55335">
        <w:t>9</w:t>
      </w:r>
      <w:r w:rsidR="006718B4" w:rsidRPr="00A55335">
        <w:t>3</w:t>
      </w:r>
      <w:r w:rsidR="00CC2478" w:rsidRPr="00A55335">
        <w:t xml:space="preserve"> </w:t>
      </w:r>
      <w:r w:rsidRPr="00A55335">
        <w:t xml:space="preserve">RCTs that were included in the results. </w:t>
      </w:r>
      <w:r w:rsidR="006718B4" w:rsidRPr="00A55335">
        <w:t>Of these</w:t>
      </w:r>
      <w:r w:rsidR="00A727FC" w:rsidRPr="00A55335">
        <w:t xml:space="preserve"> studies, 66 RCTs compared homeopathy with ‘placebo’ and</w:t>
      </w:r>
      <w:r w:rsidR="003806CF" w:rsidRPr="00A55335">
        <w:t xml:space="preserve"> 12 RCTs compared homeopathy with ‘inactive control’ – the main two comparators of interest. </w:t>
      </w:r>
      <w:r w:rsidRPr="00A55335">
        <w:t xml:space="preserve">All </w:t>
      </w:r>
      <w:r w:rsidR="00515D96" w:rsidRPr="00A55335">
        <w:t>20</w:t>
      </w:r>
      <w:r w:rsidRPr="00A55335">
        <w:t xml:space="preserve"> conditions prioritised by NTWC that included either critical or important outcomes were included in the final analysis and are presented in the summary of findings tables.</w:t>
      </w:r>
    </w:p>
    <w:p w14:paraId="44D79A7C" w14:textId="347B49A7" w:rsidR="00CA4A55" w:rsidRPr="00A55335" w:rsidRDefault="00CA4A55" w:rsidP="00CA4A55">
      <w:pPr>
        <w:pStyle w:val="BodyText"/>
      </w:pPr>
      <w:r w:rsidRPr="00A55335">
        <w:t xml:space="preserve">Results for studies of prioritised conditions with active comparators </w:t>
      </w:r>
      <w:r w:rsidR="007E5AC4" w:rsidRPr="00A55335">
        <w:t>(including usual care</w:t>
      </w:r>
      <w:r w:rsidR="003079D9" w:rsidRPr="00A55335">
        <w:t>,</w:t>
      </w:r>
      <w:r w:rsidR="007E5AC4" w:rsidRPr="00A55335">
        <w:t xml:space="preserve"> where considered active) </w:t>
      </w:r>
      <w:r w:rsidRPr="00A55335">
        <w:t>are presented in Appendix F2 and described in the results section. These are not included in the synthesis or summary of findings tables, as the wide range of comparators and outcomes did not allow for synthesis as planned in the protocol.</w:t>
      </w:r>
    </w:p>
    <w:p w14:paraId="1E4E6A7B" w14:textId="012B0BED" w:rsidR="00CA4A55" w:rsidRPr="00A55335" w:rsidRDefault="00CA4A55" w:rsidP="00CA4A55">
      <w:pPr>
        <w:pStyle w:val="BodyText"/>
      </w:pPr>
      <w:r w:rsidRPr="00A55335">
        <w:t>Our confidence in the result from the body of evidence for each outcome was assessed using the Grading of Recommendations, Assessment, Development, and Evaluations (GRADE) framework. GRADE combines information to assess overall how certain systematic review authors can be that the estimates of the effect (reported across a study/s for each critical or important outcome) are correct</w:t>
      </w:r>
      <w:r w:rsidR="00CB5553">
        <w:rPr>
          <w:rStyle w:val="FootnoteReference"/>
        </w:rPr>
        <w:footnoteReference w:id="13"/>
      </w:r>
      <w:r w:rsidRPr="00A55335">
        <w:t>.</w:t>
      </w:r>
    </w:p>
    <w:p w14:paraId="4157A595" w14:textId="77777777" w:rsidR="00CA4A55" w:rsidRPr="00A55335" w:rsidRDefault="00CA4A55" w:rsidP="00041F03">
      <w:pPr>
        <w:pStyle w:val="Bulletintro"/>
        <w:rPr>
          <w:lang w:val="en-AU"/>
        </w:rPr>
      </w:pPr>
      <w:r w:rsidRPr="00A55335">
        <w:rPr>
          <w:lang w:val="en-AU"/>
        </w:rPr>
        <w:t>Certainty of evidence is interpreted as follows:</w:t>
      </w:r>
    </w:p>
    <w:tbl>
      <w:tblPr>
        <w:tblStyle w:val="TableGridLight"/>
        <w:tblW w:w="9758" w:type="dxa"/>
        <w:tblLayout w:type="fixed"/>
        <w:tblLook w:val="0020" w:firstRow="1" w:lastRow="0" w:firstColumn="0" w:lastColumn="0" w:noHBand="0" w:noVBand="0"/>
      </w:tblPr>
      <w:tblGrid>
        <w:gridCol w:w="2265"/>
        <w:gridCol w:w="7493"/>
      </w:tblGrid>
      <w:tr w:rsidR="0007748C" w:rsidRPr="00A55335" w14:paraId="05427AC9" w14:textId="77777777" w:rsidTr="00F0758E">
        <w:trPr>
          <w:cnfStyle w:val="100000000000" w:firstRow="1" w:lastRow="0" w:firstColumn="0" w:lastColumn="0" w:oddVBand="0" w:evenVBand="0" w:oddHBand="0" w:evenHBand="0" w:firstRowFirstColumn="0" w:firstRowLastColumn="0" w:lastRowFirstColumn="0" w:lastRowLastColumn="0"/>
          <w:trHeight w:val="147"/>
        </w:trPr>
        <w:tc>
          <w:tcPr>
            <w:tcW w:w="2265" w:type="dxa"/>
          </w:tcPr>
          <w:p w14:paraId="61C94CB6" w14:textId="77777777" w:rsidR="0007748C" w:rsidRPr="00A55335" w:rsidRDefault="0007748C" w:rsidP="008D0C2A">
            <w:pPr>
              <w:pStyle w:val="Tabletext8pt"/>
            </w:pPr>
            <w:r w:rsidRPr="00A55335">
              <w:t xml:space="preserve">Certainty </w:t>
            </w:r>
          </w:p>
        </w:tc>
        <w:tc>
          <w:tcPr>
            <w:tcW w:w="7493" w:type="dxa"/>
          </w:tcPr>
          <w:p w14:paraId="0290BA29" w14:textId="77777777" w:rsidR="0007748C" w:rsidRPr="00A55335" w:rsidRDefault="0007748C" w:rsidP="008D0C2A">
            <w:pPr>
              <w:pStyle w:val="Tabletext8pt"/>
            </w:pPr>
            <w:r w:rsidRPr="00A55335">
              <w:t xml:space="preserve">Definition </w:t>
            </w:r>
          </w:p>
        </w:tc>
      </w:tr>
      <w:tr w:rsidR="0007748C" w:rsidRPr="00A55335" w14:paraId="499B4025" w14:textId="77777777" w:rsidTr="00F0758E">
        <w:trPr>
          <w:trHeight w:val="282"/>
        </w:trPr>
        <w:tc>
          <w:tcPr>
            <w:tcW w:w="2265" w:type="dxa"/>
          </w:tcPr>
          <w:p w14:paraId="626D13DD" w14:textId="77777777" w:rsidR="0007748C" w:rsidRPr="00A55335" w:rsidRDefault="0007748C" w:rsidP="00F0758E">
            <w:pPr>
              <w:pStyle w:val="Tabletext8pt"/>
            </w:pPr>
            <w:r w:rsidRPr="00A55335">
              <w:t xml:space="preserve">High certainty </w:t>
            </w:r>
          </w:p>
        </w:tc>
        <w:tc>
          <w:tcPr>
            <w:tcW w:w="7493" w:type="dxa"/>
          </w:tcPr>
          <w:p w14:paraId="0D9FE184" w14:textId="77777777" w:rsidR="0007748C" w:rsidRPr="00A55335" w:rsidRDefault="0007748C" w:rsidP="00F0758E">
            <w:pPr>
              <w:pStyle w:val="Tabletext8pt"/>
            </w:pPr>
            <w:r w:rsidRPr="00A55335">
              <w:t xml:space="preserve">The authors have a lot of confidence that the true effect is </w:t>
            </w:r>
            <w:proofErr w:type="gramStart"/>
            <w:r w:rsidRPr="00A55335">
              <w:t>similar to</w:t>
            </w:r>
            <w:proofErr w:type="gramEnd"/>
            <w:r w:rsidRPr="00A55335">
              <w:t xml:space="preserve"> the estimated effect. </w:t>
            </w:r>
          </w:p>
        </w:tc>
      </w:tr>
      <w:tr w:rsidR="0007748C" w:rsidRPr="00A55335" w14:paraId="08A98AA3" w14:textId="77777777" w:rsidTr="00F0758E">
        <w:trPr>
          <w:trHeight w:val="147"/>
        </w:trPr>
        <w:tc>
          <w:tcPr>
            <w:tcW w:w="2265" w:type="dxa"/>
          </w:tcPr>
          <w:p w14:paraId="63F8B84F" w14:textId="77777777" w:rsidR="0007748C" w:rsidRPr="00A55335" w:rsidRDefault="0007748C" w:rsidP="00F0758E">
            <w:pPr>
              <w:pStyle w:val="Tabletext8pt"/>
            </w:pPr>
            <w:r w:rsidRPr="00A55335">
              <w:t xml:space="preserve">Moderate certainty </w:t>
            </w:r>
          </w:p>
        </w:tc>
        <w:tc>
          <w:tcPr>
            <w:tcW w:w="7493" w:type="dxa"/>
          </w:tcPr>
          <w:p w14:paraId="57C3ABFA" w14:textId="77777777" w:rsidR="0007748C" w:rsidRPr="00A55335" w:rsidRDefault="0007748C" w:rsidP="00F0758E">
            <w:pPr>
              <w:pStyle w:val="Tabletext8pt"/>
            </w:pPr>
            <w:r w:rsidRPr="00A55335">
              <w:t xml:space="preserve">The true effect is probably close to the estimated effect. </w:t>
            </w:r>
          </w:p>
        </w:tc>
      </w:tr>
      <w:tr w:rsidR="0007748C" w:rsidRPr="00A55335" w14:paraId="78543AF8" w14:textId="77777777" w:rsidTr="00F0758E">
        <w:trPr>
          <w:trHeight w:val="147"/>
        </w:trPr>
        <w:tc>
          <w:tcPr>
            <w:tcW w:w="2265" w:type="dxa"/>
          </w:tcPr>
          <w:p w14:paraId="6B384982" w14:textId="77777777" w:rsidR="0007748C" w:rsidRPr="00A55335" w:rsidRDefault="0007748C" w:rsidP="00F0758E">
            <w:pPr>
              <w:pStyle w:val="Tabletext8pt"/>
            </w:pPr>
            <w:r w:rsidRPr="00A55335">
              <w:t xml:space="preserve">Low certainty </w:t>
            </w:r>
          </w:p>
        </w:tc>
        <w:tc>
          <w:tcPr>
            <w:tcW w:w="7493" w:type="dxa"/>
          </w:tcPr>
          <w:p w14:paraId="6968E634" w14:textId="77777777" w:rsidR="0007748C" w:rsidRPr="00A55335" w:rsidRDefault="0007748C" w:rsidP="00F0758E">
            <w:pPr>
              <w:pStyle w:val="Tabletext8pt"/>
            </w:pPr>
            <w:r w:rsidRPr="00A55335">
              <w:t xml:space="preserve">The true effect might be markedly different from the estimated effect. </w:t>
            </w:r>
          </w:p>
        </w:tc>
      </w:tr>
      <w:tr w:rsidR="0007748C" w:rsidRPr="00A55335" w14:paraId="765FC78E" w14:textId="77777777" w:rsidTr="00F0758E">
        <w:trPr>
          <w:trHeight w:val="147"/>
        </w:trPr>
        <w:tc>
          <w:tcPr>
            <w:tcW w:w="2265" w:type="dxa"/>
          </w:tcPr>
          <w:p w14:paraId="52673361" w14:textId="77777777" w:rsidR="0007748C" w:rsidRPr="00A55335" w:rsidRDefault="0007748C" w:rsidP="00F0758E">
            <w:pPr>
              <w:pStyle w:val="Tabletext8pt"/>
            </w:pPr>
            <w:r w:rsidRPr="00A55335">
              <w:t xml:space="preserve">Very low certainty </w:t>
            </w:r>
          </w:p>
        </w:tc>
        <w:tc>
          <w:tcPr>
            <w:tcW w:w="7493" w:type="dxa"/>
          </w:tcPr>
          <w:p w14:paraId="5C2AF0AB" w14:textId="77777777" w:rsidR="0007748C" w:rsidRPr="00A55335" w:rsidRDefault="0007748C" w:rsidP="00F0758E">
            <w:pPr>
              <w:pStyle w:val="Tabletext8pt"/>
            </w:pPr>
            <w:r w:rsidRPr="00A55335">
              <w:t xml:space="preserve">The true effect is probably markedly different from the estimated effect </w:t>
            </w:r>
          </w:p>
        </w:tc>
      </w:tr>
    </w:tbl>
    <w:p w14:paraId="4B1F9D19" w14:textId="77777777" w:rsidR="00DD505D" w:rsidRPr="00A55335" w:rsidRDefault="00DD505D" w:rsidP="00DD505D">
      <w:pPr>
        <w:pStyle w:val="BodyText"/>
      </w:pPr>
    </w:p>
    <w:p w14:paraId="1BC1451F" w14:textId="59D68037" w:rsidR="002E37FA" w:rsidRPr="00A55335" w:rsidRDefault="002E37FA" w:rsidP="002E37FA">
      <w:pPr>
        <w:pStyle w:val="BodyText"/>
      </w:pPr>
      <w:r w:rsidRPr="00A55335">
        <w:t xml:space="preserve">For </w:t>
      </w:r>
      <w:r w:rsidR="0022102E" w:rsidRPr="00A55335">
        <w:t>20</w:t>
      </w:r>
      <w:r w:rsidRPr="00A55335">
        <w:t xml:space="preserve"> prioritised conditions there was moderate </w:t>
      </w:r>
      <w:r w:rsidR="00541988" w:rsidRPr="00A55335">
        <w:t xml:space="preserve">or low certainty of evidence about the effect </w:t>
      </w:r>
      <w:r w:rsidRPr="00A55335">
        <w:t>of homeopathy</w:t>
      </w:r>
      <w:r w:rsidR="002D3144" w:rsidRPr="00A55335">
        <w:t xml:space="preserve"> compared with placebo</w:t>
      </w:r>
      <w:r w:rsidRPr="00A55335">
        <w:t xml:space="preserve"> </w:t>
      </w:r>
      <w:r w:rsidR="00452168">
        <w:t>or inactive control</w:t>
      </w:r>
      <w:r w:rsidR="0069570D">
        <w:t xml:space="preserve"> </w:t>
      </w:r>
      <w:r w:rsidRPr="00A55335">
        <w:t>on a</w:t>
      </w:r>
      <w:r w:rsidR="00541988" w:rsidRPr="00A55335">
        <w:t xml:space="preserve">t least one </w:t>
      </w:r>
      <w:r w:rsidRPr="00A55335">
        <w:t xml:space="preserve">outcome considered critical or important by NTWC. </w:t>
      </w:r>
    </w:p>
    <w:p w14:paraId="60858862" w14:textId="0A7D1C3F" w:rsidR="002E37FA" w:rsidRPr="00A55335" w:rsidRDefault="00211E50" w:rsidP="00041F03">
      <w:pPr>
        <w:pStyle w:val="Bulletintro"/>
        <w:rPr>
          <w:lang w:val="en-AU"/>
        </w:rPr>
      </w:pPr>
      <w:r w:rsidRPr="00A55335">
        <w:rPr>
          <w:lang w:val="en-AU"/>
        </w:rPr>
        <w:t xml:space="preserve">For the primary comparison (homeopathy vs placebo) the </w:t>
      </w:r>
      <w:r w:rsidR="00217984" w:rsidRPr="00A55335">
        <w:rPr>
          <w:lang w:val="en-AU"/>
        </w:rPr>
        <w:t>review found:</w:t>
      </w:r>
    </w:p>
    <w:p w14:paraId="7DCDF46F" w14:textId="55D6248C" w:rsidR="002E37FA" w:rsidRPr="00A55335" w:rsidRDefault="002E37FA" w:rsidP="002E37FA">
      <w:pPr>
        <w:pStyle w:val="Bullet6"/>
        <w:rPr>
          <w:lang w:val="en-AU"/>
        </w:rPr>
      </w:pPr>
      <w:r w:rsidRPr="00A55335">
        <w:rPr>
          <w:lang w:val="en-AU"/>
        </w:rPr>
        <w:t xml:space="preserve">low certainty that homeopathy </w:t>
      </w:r>
      <w:r w:rsidR="00E70DF2" w:rsidRPr="00A55335">
        <w:rPr>
          <w:lang w:val="en-AU"/>
        </w:rPr>
        <w:t>may result in</w:t>
      </w:r>
      <w:r w:rsidRPr="00A55335">
        <w:rPr>
          <w:lang w:val="en-AU"/>
        </w:rPr>
        <w:t>:</w:t>
      </w:r>
    </w:p>
    <w:p w14:paraId="6127488C" w14:textId="77777777" w:rsidR="002E37FA" w:rsidRPr="00A55335" w:rsidRDefault="002E37FA" w:rsidP="0068139A">
      <w:pPr>
        <w:pStyle w:val="Bullet12"/>
        <w:numPr>
          <w:ilvl w:val="1"/>
          <w:numId w:val="11"/>
        </w:numPr>
        <w:rPr>
          <w:lang w:val="en-AU"/>
        </w:rPr>
      </w:pPr>
      <w:r w:rsidRPr="00A55335">
        <w:rPr>
          <w:lang w:val="en-AU"/>
        </w:rPr>
        <w:t>a moderate reduction in medication use (1 RCT, 108 participants) in people with allergic rhinitis</w:t>
      </w:r>
    </w:p>
    <w:p w14:paraId="3B171760" w14:textId="77777777" w:rsidR="002E37FA" w:rsidRPr="00A55335" w:rsidRDefault="002E37FA" w:rsidP="0068139A">
      <w:pPr>
        <w:pStyle w:val="Bullet12"/>
        <w:numPr>
          <w:ilvl w:val="1"/>
          <w:numId w:val="11"/>
        </w:numPr>
        <w:rPr>
          <w:lang w:val="en-AU"/>
        </w:rPr>
      </w:pPr>
      <w:r w:rsidRPr="00A55335">
        <w:rPr>
          <w:lang w:val="en-AU"/>
        </w:rPr>
        <w:t>a small reduction in disease severity (3 RCTs, 172 participants) in people with atopic dermatitis</w:t>
      </w:r>
    </w:p>
    <w:p w14:paraId="3789ACEB" w14:textId="6202B90C" w:rsidR="002E37FA" w:rsidRPr="00A55335" w:rsidRDefault="002E37FA" w:rsidP="002E37FA">
      <w:pPr>
        <w:pStyle w:val="Bullet6"/>
        <w:rPr>
          <w:lang w:val="en-AU"/>
        </w:rPr>
      </w:pPr>
      <w:r w:rsidRPr="00A55335">
        <w:rPr>
          <w:lang w:val="en-AU"/>
        </w:rPr>
        <w:t xml:space="preserve">low certainty that homeopathy </w:t>
      </w:r>
      <w:r w:rsidR="00F5021B" w:rsidRPr="00A55335">
        <w:rPr>
          <w:lang w:val="en-AU"/>
        </w:rPr>
        <w:t xml:space="preserve">may result in </w:t>
      </w:r>
      <w:r w:rsidRPr="00A55335">
        <w:rPr>
          <w:lang w:val="en-AU"/>
        </w:rPr>
        <w:t>little (to no) benefit in:</w:t>
      </w:r>
    </w:p>
    <w:p w14:paraId="37BB7516" w14:textId="77777777" w:rsidR="002E37FA" w:rsidRPr="00A55335" w:rsidRDefault="002E37FA" w:rsidP="0068139A">
      <w:pPr>
        <w:pStyle w:val="Bullet12"/>
        <w:numPr>
          <w:ilvl w:val="1"/>
          <w:numId w:val="11"/>
        </w:numPr>
        <w:rPr>
          <w:lang w:val="en-AU"/>
        </w:rPr>
      </w:pPr>
      <w:r w:rsidRPr="00A55335">
        <w:rPr>
          <w:lang w:val="en-AU"/>
        </w:rPr>
        <w:t>improving quality of life (2 RCTs, 106 participants) in people with atopic dermatitis,</w:t>
      </w:r>
    </w:p>
    <w:p w14:paraId="2D878BEF" w14:textId="77777777" w:rsidR="002E37FA" w:rsidRPr="00A55335" w:rsidRDefault="002E37FA" w:rsidP="0068139A">
      <w:pPr>
        <w:pStyle w:val="Bullet12"/>
        <w:numPr>
          <w:ilvl w:val="1"/>
          <w:numId w:val="11"/>
        </w:numPr>
        <w:rPr>
          <w:lang w:val="en-AU"/>
        </w:rPr>
      </w:pPr>
      <w:r w:rsidRPr="00A55335">
        <w:rPr>
          <w:lang w:val="en-AU"/>
        </w:rPr>
        <w:t>reducing infection frequency (1 RCT, 96 participants) in people with recurrent otitis media</w:t>
      </w:r>
    </w:p>
    <w:p w14:paraId="4410197B" w14:textId="2086520F" w:rsidR="002E37FA" w:rsidRPr="00A55335" w:rsidRDefault="002A5E66" w:rsidP="0068139A">
      <w:pPr>
        <w:pStyle w:val="Bullet12"/>
        <w:numPr>
          <w:ilvl w:val="1"/>
          <w:numId w:val="11"/>
        </w:numPr>
        <w:rPr>
          <w:lang w:val="en-AU"/>
        </w:rPr>
      </w:pPr>
      <w:r w:rsidRPr="00A55335">
        <w:rPr>
          <w:lang w:val="en-AU"/>
        </w:rPr>
        <w:lastRenderedPageBreak/>
        <w:t xml:space="preserve">improving quality of life (1 RCT, 170 participants) or </w:t>
      </w:r>
      <w:r w:rsidR="002E37FA" w:rsidRPr="00A55335">
        <w:rPr>
          <w:lang w:val="en-AU"/>
        </w:rPr>
        <w:t>reducing medication use (2 RCTs, 377 participants) or in people with recurrent upper respiratory tract infections</w:t>
      </w:r>
    </w:p>
    <w:p w14:paraId="38AE4C5D" w14:textId="77777777" w:rsidR="002E37FA" w:rsidRPr="00A55335" w:rsidRDefault="002E37FA" w:rsidP="0068139A">
      <w:pPr>
        <w:pStyle w:val="Bullet12"/>
        <w:numPr>
          <w:ilvl w:val="1"/>
          <w:numId w:val="11"/>
        </w:numPr>
        <w:rPr>
          <w:lang w:val="en-AU"/>
        </w:rPr>
      </w:pPr>
      <w:r w:rsidRPr="00A55335">
        <w:rPr>
          <w:lang w:val="en-AU"/>
        </w:rPr>
        <w:t>reducing anxiety (3 RCTs, 150 participants), depression (1 RCT, 44 participants), or emotional functioning (1 RCT, 44 participants) in people with anxiety</w:t>
      </w:r>
    </w:p>
    <w:p w14:paraId="11B46CF8" w14:textId="77777777" w:rsidR="002E37FA" w:rsidRPr="00A55335" w:rsidRDefault="002E37FA" w:rsidP="0068139A">
      <w:pPr>
        <w:pStyle w:val="Bullet12"/>
        <w:numPr>
          <w:ilvl w:val="1"/>
          <w:numId w:val="11"/>
        </w:numPr>
        <w:rPr>
          <w:lang w:val="en-AU"/>
        </w:rPr>
      </w:pPr>
      <w:r w:rsidRPr="00A55335">
        <w:rPr>
          <w:lang w:val="en-AU"/>
        </w:rPr>
        <w:t xml:space="preserve">reducing insomnia severity, sleep quality or sleep onset latency (1 RCT, 60 participants) in people with insomnia </w:t>
      </w:r>
    </w:p>
    <w:p w14:paraId="14D400C9" w14:textId="604ABEAF" w:rsidR="002E37FA" w:rsidRPr="00A55335" w:rsidRDefault="00464440" w:rsidP="0068139A">
      <w:pPr>
        <w:pStyle w:val="Bullet12"/>
        <w:numPr>
          <w:ilvl w:val="1"/>
          <w:numId w:val="11"/>
        </w:numPr>
        <w:rPr>
          <w:lang w:val="en-AU"/>
        </w:rPr>
      </w:pPr>
      <w:r w:rsidRPr="00A55335">
        <w:rPr>
          <w:lang w:val="en-AU"/>
        </w:rPr>
        <w:t xml:space="preserve">improving quality of life (2 RCTs, 291 participants) or </w:t>
      </w:r>
      <w:r w:rsidR="002E37FA" w:rsidRPr="00A55335">
        <w:rPr>
          <w:lang w:val="en-AU"/>
        </w:rPr>
        <w:t>reducing medication use (1 RCT, 89 participants) in people with asthma</w:t>
      </w:r>
    </w:p>
    <w:p w14:paraId="242EEB99" w14:textId="2D004079" w:rsidR="002E37FA" w:rsidRPr="00A55335" w:rsidRDefault="002E37FA" w:rsidP="0068139A">
      <w:pPr>
        <w:pStyle w:val="Bullet12"/>
        <w:numPr>
          <w:ilvl w:val="1"/>
          <w:numId w:val="11"/>
        </w:numPr>
        <w:rPr>
          <w:lang w:val="en-AU"/>
        </w:rPr>
      </w:pPr>
      <w:r w:rsidRPr="00A55335">
        <w:rPr>
          <w:lang w:val="en-AU"/>
        </w:rPr>
        <w:t>reducing symptom severity (1 RCT, 292 participants) or symptom duration (</w:t>
      </w:r>
      <w:r w:rsidR="003C08F4" w:rsidRPr="00A55335">
        <w:rPr>
          <w:lang w:val="en-AU"/>
        </w:rPr>
        <w:t>3</w:t>
      </w:r>
      <w:r w:rsidRPr="00A55335">
        <w:rPr>
          <w:lang w:val="en-AU"/>
        </w:rPr>
        <w:t xml:space="preserve"> RCT</w:t>
      </w:r>
      <w:r w:rsidR="003C08F4" w:rsidRPr="00A55335">
        <w:rPr>
          <w:lang w:val="en-AU"/>
        </w:rPr>
        <w:t>s</w:t>
      </w:r>
      <w:r w:rsidRPr="00A55335">
        <w:rPr>
          <w:lang w:val="en-AU"/>
        </w:rPr>
        <w:t xml:space="preserve">, </w:t>
      </w:r>
      <w:r w:rsidR="003C08F4" w:rsidRPr="00A55335">
        <w:rPr>
          <w:lang w:val="en-AU"/>
        </w:rPr>
        <w:t xml:space="preserve">448 </w:t>
      </w:r>
      <w:r w:rsidRPr="00A55335">
        <w:rPr>
          <w:lang w:val="en-AU"/>
        </w:rPr>
        <w:t>participants) in people with diarrhoea</w:t>
      </w:r>
    </w:p>
    <w:p w14:paraId="3711187C" w14:textId="77777777" w:rsidR="002E37FA" w:rsidRPr="00A55335" w:rsidRDefault="002E37FA" w:rsidP="0068139A">
      <w:pPr>
        <w:pStyle w:val="Bullet12"/>
        <w:numPr>
          <w:ilvl w:val="1"/>
          <w:numId w:val="11"/>
        </w:numPr>
        <w:rPr>
          <w:lang w:val="en-AU"/>
        </w:rPr>
      </w:pPr>
      <w:r w:rsidRPr="00A55335">
        <w:rPr>
          <w:lang w:val="en-AU"/>
        </w:rPr>
        <w:t>reducing disease severity (1 RCT, 200 participants) in people with psoriasis</w:t>
      </w:r>
    </w:p>
    <w:p w14:paraId="25E526F6" w14:textId="77777777" w:rsidR="002E37FA" w:rsidRPr="00A55335" w:rsidRDefault="002E37FA" w:rsidP="0068139A">
      <w:pPr>
        <w:pStyle w:val="Bullet12"/>
        <w:numPr>
          <w:ilvl w:val="1"/>
          <w:numId w:val="11"/>
        </w:numPr>
        <w:rPr>
          <w:lang w:val="en-AU"/>
        </w:rPr>
      </w:pPr>
      <w:r w:rsidRPr="00A55335">
        <w:rPr>
          <w:lang w:val="en-AU"/>
        </w:rPr>
        <w:t>reducing pain intensity (1 RCT, 134 participants), stiffness (1 RCT, 134 participants) or improving quality of life (1 RCT, 134 participants) in people with back or neck pain</w:t>
      </w:r>
    </w:p>
    <w:p w14:paraId="0A14A8C1" w14:textId="77777777" w:rsidR="005132B7" w:rsidRPr="00A55335" w:rsidRDefault="005132B7" w:rsidP="0068139A">
      <w:pPr>
        <w:pStyle w:val="Bullet12"/>
        <w:numPr>
          <w:ilvl w:val="1"/>
          <w:numId w:val="11"/>
        </w:numPr>
        <w:rPr>
          <w:lang w:val="en-AU"/>
        </w:rPr>
      </w:pPr>
      <w:r w:rsidRPr="00A55335">
        <w:rPr>
          <w:lang w:val="en-AU"/>
        </w:rPr>
        <w:t xml:space="preserve">improving quality of life (1 RCT, 108 participants) in people with menopausal symptoms or complaints </w:t>
      </w:r>
    </w:p>
    <w:p w14:paraId="63148401" w14:textId="24E1EB82" w:rsidR="002E37FA" w:rsidRPr="00A55335" w:rsidRDefault="002E37FA" w:rsidP="0068139A">
      <w:pPr>
        <w:pStyle w:val="Bullet12"/>
        <w:numPr>
          <w:ilvl w:val="1"/>
          <w:numId w:val="11"/>
        </w:numPr>
        <w:rPr>
          <w:lang w:val="en-AU"/>
        </w:rPr>
      </w:pPr>
      <w:r w:rsidRPr="00A55335">
        <w:rPr>
          <w:lang w:val="en-AU"/>
        </w:rPr>
        <w:t xml:space="preserve">reducing fatigue (1 RCT, 86 participants) or improving quality of life (1 RCT, 86 participants) in people with chronic fatigue conditions. </w:t>
      </w:r>
    </w:p>
    <w:p w14:paraId="273A9ECE" w14:textId="3C6897FA" w:rsidR="009B72E0" w:rsidRPr="00A55335" w:rsidRDefault="009B72E0" w:rsidP="009B72E0">
      <w:pPr>
        <w:pStyle w:val="BodyText"/>
      </w:pPr>
      <w:r w:rsidRPr="00A55335">
        <w:t xml:space="preserve">The evidence </w:t>
      </w:r>
      <w:r w:rsidR="007F06BC">
        <w:t>is</w:t>
      </w:r>
      <w:r w:rsidR="007F06BC" w:rsidRPr="00A55335">
        <w:t xml:space="preserve"> </w:t>
      </w:r>
      <w:r w:rsidRPr="00A55335">
        <w:t xml:space="preserve">very </w:t>
      </w:r>
      <w:r w:rsidR="007F06BC">
        <w:t>un</w:t>
      </w:r>
      <w:r w:rsidRPr="00A55335">
        <w:t>certain of the effect of homeopathy compared with placebo for 3</w:t>
      </w:r>
      <w:r w:rsidR="00194F28" w:rsidRPr="00A55335">
        <w:t>9</w:t>
      </w:r>
      <w:r w:rsidRPr="00A55335">
        <w:t xml:space="preserve"> out of the 94 critical or important outcomes prioritised for analysis in this review. For these </w:t>
      </w:r>
      <w:r w:rsidR="00DD2989" w:rsidRPr="00A55335">
        <w:t>3</w:t>
      </w:r>
      <w:r w:rsidR="00194F28" w:rsidRPr="00A55335">
        <w:t>9</w:t>
      </w:r>
      <w:r w:rsidR="00DD2989" w:rsidRPr="00A55335">
        <w:t xml:space="preserve"> </w:t>
      </w:r>
      <w:r w:rsidRPr="00A55335">
        <w:t>outcomes, confidence in the size of the effect estimate is very uncertain and a clinically important difference was not observed (this may relate to study design, size, or duration of the study).</w:t>
      </w:r>
      <w:r w:rsidR="007E533C" w:rsidRPr="00A55335">
        <w:t xml:space="preserve"> </w:t>
      </w:r>
      <w:r w:rsidR="00C65F41">
        <w:t xml:space="preserve">Of the 94 outcomes </w:t>
      </w:r>
      <w:r w:rsidRPr="00A55335">
        <w:t>prioritised as critical or important</w:t>
      </w:r>
      <w:r w:rsidR="0075041B">
        <w:t>, there were no studies found</w:t>
      </w:r>
      <w:r w:rsidR="000B42D9" w:rsidRPr="00A55335">
        <w:t xml:space="preserve"> comparing homeopathy with placebo</w:t>
      </w:r>
      <w:r w:rsidR="00C16306">
        <w:t xml:space="preserve"> for 32 of those ou</w:t>
      </w:r>
      <w:r w:rsidR="00C948C9">
        <w:t>t</w:t>
      </w:r>
      <w:r w:rsidR="00C16306">
        <w:t>comes</w:t>
      </w:r>
      <w:r w:rsidRPr="00A55335">
        <w:t>, and therefore the effect of homeopathy on th</w:t>
      </w:r>
      <w:r w:rsidR="00514AC0">
        <w:t>o</w:t>
      </w:r>
      <w:r w:rsidRPr="00A55335">
        <w:t>se outcomes</w:t>
      </w:r>
      <w:r w:rsidR="000B42D9" w:rsidRPr="00A55335">
        <w:t xml:space="preserve"> </w:t>
      </w:r>
      <w:r w:rsidRPr="00A55335">
        <w:t>is unknown.</w:t>
      </w:r>
    </w:p>
    <w:p w14:paraId="0EEAFD8F" w14:textId="79FD2F4E" w:rsidR="009B72E0" w:rsidRPr="00BD1A50" w:rsidRDefault="000A4FD6" w:rsidP="009B72E0">
      <w:pPr>
        <w:pStyle w:val="BodyText"/>
      </w:pPr>
      <w:r w:rsidRPr="00A55335">
        <w:t>Overall,</w:t>
      </w:r>
      <w:r w:rsidR="007E533C" w:rsidRPr="00A55335">
        <w:t xml:space="preserve"> </w:t>
      </w:r>
      <w:r w:rsidR="002253E8" w:rsidRPr="00A55335">
        <w:t xml:space="preserve">it is not possible to say anything about the effects </w:t>
      </w:r>
      <w:r w:rsidRPr="00A55335">
        <w:t xml:space="preserve">of </w:t>
      </w:r>
      <w:r w:rsidR="002253E8" w:rsidRPr="00A55335">
        <w:t xml:space="preserve">homeopathy </w:t>
      </w:r>
      <w:r w:rsidR="0008659E" w:rsidRPr="00BD1A50">
        <w:t>compared with placebo</w:t>
      </w:r>
      <w:r w:rsidR="0008659E" w:rsidRPr="00A55335">
        <w:t xml:space="preserve"> </w:t>
      </w:r>
      <w:r w:rsidR="006723CB" w:rsidRPr="00A55335">
        <w:t>for</w:t>
      </w:r>
      <w:r w:rsidR="009B72E0" w:rsidRPr="00BD1A50">
        <w:t xml:space="preserve"> </w:t>
      </w:r>
      <w:r w:rsidR="004053A5" w:rsidRPr="00BD1A50">
        <w:t>8</w:t>
      </w:r>
      <w:r w:rsidR="009B72E0" w:rsidRPr="00BD1A50">
        <w:t xml:space="preserve"> populations</w:t>
      </w:r>
      <w:r w:rsidR="006723CB" w:rsidRPr="00BD1A50">
        <w:t>,</w:t>
      </w:r>
      <w:r w:rsidR="009B72E0" w:rsidRPr="00BD1A50">
        <w:t xml:space="preserve"> including: depression, neurodevelopmental disorders, digestive complaints, irritable bowel syndrome, </w:t>
      </w:r>
      <w:r w:rsidR="000D4A15" w:rsidRPr="00BD1A50">
        <w:t xml:space="preserve">headache disorders, </w:t>
      </w:r>
      <w:r w:rsidR="009B72E0" w:rsidRPr="00BD1A50">
        <w:t xml:space="preserve">arthropathies, menstrual disorders and fibromyalgia </w:t>
      </w:r>
      <w:r w:rsidR="006723CB" w:rsidRPr="00BD1A50">
        <w:t xml:space="preserve">as </w:t>
      </w:r>
      <w:r w:rsidR="009B72E0" w:rsidRPr="00BD1A50">
        <w:t>there was not enough evidence.</w:t>
      </w:r>
      <w:r w:rsidR="00DD2989" w:rsidRPr="00BD1A50">
        <w:t xml:space="preserve"> </w:t>
      </w:r>
    </w:p>
    <w:p w14:paraId="61A5A3BA" w14:textId="53B588F6" w:rsidR="00966686" w:rsidRPr="00A55335" w:rsidRDefault="00966686" w:rsidP="000D7279">
      <w:pPr>
        <w:pStyle w:val="Bulletintro"/>
        <w:rPr>
          <w:lang w:val="en-AU"/>
        </w:rPr>
      </w:pPr>
      <w:r w:rsidRPr="00A55335">
        <w:rPr>
          <w:lang w:val="en-AU"/>
        </w:rPr>
        <w:t>For the secondary comparison (</w:t>
      </w:r>
      <w:r w:rsidR="000C232D" w:rsidRPr="00A55335">
        <w:rPr>
          <w:lang w:val="en-AU"/>
        </w:rPr>
        <w:t xml:space="preserve">homeopathy </w:t>
      </w:r>
      <w:r w:rsidRPr="00A55335">
        <w:rPr>
          <w:lang w:val="en-AU"/>
        </w:rPr>
        <w:t xml:space="preserve">vs inactive control), the </w:t>
      </w:r>
      <w:r w:rsidR="000C232D" w:rsidRPr="00A55335">
        <w:rPr>
          <w:lang w:val="en-AU"/>
        </w:rPr>
        <w:t>review found</w:t>
      </w:r>
      <w:r w:rsidRPr="00A55335">
        <w:rPr>
          <w:lang w:val="en-AU"/>
        </w:rPr>
        <w:t>:</w:t>
      </w:r>
    </w:p>
    <w:p w14:paraId="2A86F548" w14:textId="50C17175" w:rsidR="00966686" w:rsidRPr="00A55335" w:rsidRDefault="008F6677" w:rsidP="00A32394">
      <w:pPr>
        <w:pStyle w:val="Bullet6"/>
        <w:rPr>
          <w:lang w:val="en-AU"/>
        </w:rPr>
      </w:pPr>
      <w:r w:rsidRPr="00A55335">
        <w:rPr>
          <w:lang w:val="en-AU"/>
        </w:rPr>
        <w:t xml:space="preserve">moderate </w:t>
      </w:r>
      <w:r w:rsidR="00966686" w:rsidRPr="00A55335">
        <w:rPr>
          <w:lang w:val="en-AU"/>
        </w:rPr>
        <w:t>certainty that compared with inactive control, homeopathy probably results in:</w:t>
      </w:r>
    </w:p>
    <w:p w14:paraId="10BD7525" w14:textId="3CFB8D17" w:rsidR="008F6677" w:rsidRPr="00A55335" w:rsidRDefault="00966686" w:rsidP="008F6677">
      <w:pPr>
        <w:pStyle w:val="Bullet12"/>
        <w:numPr>
          <w:ilvl w:val="1"/>
          <w:numId w:val="11"/>
        </w:numPr>
        <w:rPr>
          <w:lang w:val="en-AU"/>
        </w:rPr>
      </w:pPr>
      <w:r w:rsidRPr="00A55335">
        <w:rPr>
          <w:lang w:val="en-AU"/>
        </w:rPr>
        <w:t>a moderate reduction in infection frequency (1 RCT, 256 participants) in people with recurrent upper respiratory tract infections.</w:t>
      </w:r>
      <w:r w:rsidR="008F6677" w:rsidRPr="00A55335">
        <w:rPr>
          <w:rStyle w:val="FootnoteReference"/>
          <w:lang w:val="en-AU"/>
        </w:rPr>
        <w:footnoteReference w:id="14"/>
      </w:r>
      <w:r w:rsidRPr="00A55335">
        <w:rPr>
          <w:lang w:val="en-AU"/>
        </w:rPr>
        <w:t xml:space="preserve"> </w:t>
      </w:r>
    </w:p>
    <w:p w14:paraId="447CB735" w14:textId="213CBCFF" w:rsidR="00966686" w:rsidRPr="00A55335" w:rsidRDefault="008F6677" w:rsidP="00A32394">
      <w:pPr>
        <w:pStyle w:val="Bullet6"/>
        <w:rPr>
          <w:lang w:val="en-AU"/>
        </w:rPr>
      </w:pPr>
      <w:r w:rsidRPr="00A55335">
        <w:rPr>
          <w:lang w:val="en-AU"/>
        </w:rPr>
        <w:t>l</w:t>
      </w:r>
      <w:r w:rsidR="00966686" w:rsidRPr="00A55335">
        <w:rPr>
          <w:lang w:val="en-AU"/>
        </w:rPr>
        <w:t>ow certainty that compared with inactive control homeopathy may result in:</w:t>
      </w:r>
    </w:p>
    <w:p w14:paraId="7F8D52D4" w14:textId="7B955A98" w:rsidR="00966686" w:rsidRPr="00A55335" w:rsidRDefault="00966686" w:rsidP="00A32394">
      <w:pPr>
        <w:pStyle w:val="Bullet12"/>
        <w:numPr>
          <w:ilvl w:val="1"/>
          <w:numId w:val="11"/>
        </w:numPr>
        <w:rPr>
          <w:lang w:val="en-AU"/>
        </w:rPr>
      </w:pPr>
      <w:r w:rsidRPr="00A55335">
        <w:rPr>
          <w:lang w:val="en-AU"/>
        </w:rPr>
        <w:t>a slight reduction in antibiotic use (2 RCTs, 306 participants) in people with recurrent upper respiratory tract infections.</w:t>
      </w:r>
      <w:r w:rsidR="008F6677" w:rsidRPr="00A55335">
        <w:rPr>
          <w:rStyle w:val="FootnoteReference"/>
          <w:lang w:val="en-AU"/>
        </w:rPr>
        <w:footnoteReference w:id="15"/>
      </w:r>
      <w:r w:rsidRPr="00A55335">
        <w:rPr>
          <w:lang w:val="en-AU"/>
        </w:rPr>
        <w:t xml:space="preserve"> </w:t>
      </w:r>
    </w:p>
    <w:p w14:paraId="6BAF8267" w14:textId="227E57E5" w:rsidR="00966686" w:rsidRPr="00A55335" w:rsidRDefault="00966686" w:rsidP="00A32394">
      <w:pPr>
        <w:pStyle w:val="Bullet12"/>
        <w:numPr>
          <w:ilvl w:val="1"/>
          <w:numId w:val="11"/>
        </w:numPr>
        <w:rPr>
          <w:lang w:val="en-AU"/>
        </w:rPr>
      </w:pPr>
      <w:r w:rsidRPr="00A55335">
        <w:rPr>
          <w:rFonts w:eastAsia="Times New Roman"/>
          <w:lang w:val="en-AU"/>
        </w:rPr>
        <w:t xml:space="preserve">a </w:t>
      </w:r>
      <w:r w:rsidR="00D9506C" w:rsidRPr="00A55335">
        <w:rPr>
          <w:rFonts w:eastAsia="Times New Roman"/>
          <w:lang w:val="en-AU"/>
        </w:rPr>
        <w:t xml:space="preserve">moderate </w:t>
      </w:r>
      <w:r w:rsidRPr="00A55335">
        <w:rPr>
          <w:rFonts w:eastAsia="Times New Roman"/>
          <w:lang w:val="en-AU"/>
        </w:rPr>
        <w:t>reduction in symptom severity (1 RCT, 60 participants)</w:t>
      </w:r>
      <w:r w:rsidR="008F6677" w:rsidRPr="00A55335">
        <w:rPr>
          <w:rFonts w:eastAsia="Times New Roman"/>
          <w:lang w:val="en-AU"/>
        </w:rPr>
        <w:t xml:space="preserve"> in people with </w:t>
      </w:r>
      <w:r w:rsidR="008F6677" w:rsidRPr="00A55335">
        <w:rPr>
          <w:lang w:val="en-AU"/>
        </w:rPr>
        <w:t>menstrual disorders</w:t>
      </w:r>
      <w:r w:rsidRPr="00A55335">
        <w:rPr>
          <w:rFonts w:eastAsia="Times New Roman"/>
          <w:lang w:val="en-AU"/>
        </w:rPr>
        <w:t>.</w:t>
      </w:r>
      <w:r w:rsidR="008F6677" w:rsidRPr="00A55335">
        <w:rPr>
          <w:rStyle w:val="FootnoteReference"/>
          <w:rFonts w:eastAsia="Times New Roman"/>
          <w:lang w:val="en-AU"/>
        </w:rPr>
        <w:footnoteReference w:id="16"/>
      </w:r>
      <w:r w:rsidRPr="00A55335">
        <w:rPr>
          <w:rFonts w:eastAsia="Times New Roman"/>
          <w:lang w:val="en-AU"/>
        </w:rPr>
        <w:t xml:space="preserve"> </w:t>
      </w:r>
      <w:r w:rsidRPr="00A55335">
        <w:rPr>
          <w:lang w:val="en-AU"/>
        </w:rPr>
        <w:t xml:space="preserve"> </w:t>
      </w:r>
    </w:p>
    <w:p w14:paraId="0AC1F6C5" w14:textId="77777777" w:rsidR="00A25B6D" w:rsidRPr="00A55335" w:rsidRDefault="00A25B6D" w:rsidP="00A25B6D">
      <w:pPr>
        <w:pStyle w:val="Bullet6"/>
        <w:rPr>
          <w:lang w:val="en-AU"/>
        </w:rPr>
      </w:pPr>
      <w:r w:rsidRPr="00A55335">
        <w:rPr>
          <w:lang w:val="en-AU"/>
        </w:rPr>
        <w:t>moderate certainty that compared with inactive control, homeopathy probably has little (to no) effect in:</w:t>
      </w:r>
    </w:p>
    <w:p w14:paraId="4E2494CB" w14:textId="170F7CEA" w:rsidR="00A25B6D" w:rsidRPr="00A55335" w:rsidRDefault="00A25B6D" w:rsidP="00A25B6D">
      <w:pPr>
        <w:pStyle w:val="Bullet12"/>
        <w:numPr>
          <w:ilvl w:val="1"/>
          <w:numId w:val="11"/>
        </w:numPr>
        <w:rPr>
          <w:lang w:val="en-AU"/>
        </w:rPr>
      </w:pPr>
      <w:r w:rsidRPr="00A55335">
        <w:rPr>
          <w:lang w:val="en-AU"/>
        </w:rPr>
        <w:lastRenderedPageBreak/>
        <w:t>reducing depression severity (1 RCT, 566 participants) in people with depression</w:t>
      </w:r>
      <w:r w:rsidR="007C2B31">
        <w:rPr>
          <w:lang w:val="en-AU"/>
        </w:rPr>
        <w:t>.</w:t>
      </w:r>
    </w:p>
    <w:p w14:paraId="472A9F21" w14:textId="15B272A4" w:rsidR="00966686" w:rsidRPr="00A55335" w:rsidRDefault="008F6677" w:rsidP="00A32394">
      <w:pPr>
        <w:pStyle w:val="Bullet6"/>
        <w:rPr>
          <w:lang w:val="en-AU"/>
        </w:rPr>
      </w:pPr>
      <w:r w:rsidRPr="00A55335">
        <w:rPr>
          <w:lang w:val="en-AU"/>
        </w:rPr>
        <w:t>l</w:t>
      </w:r>
      <w:r w:rsidR="00966686" w:rsidRPr="00A55335">
        <w:rPr>
          <w:lang w:val="en-AU"/>
        </w:rPr>
        <w:t>ow certainty that compared with inactive control homeopathy may have little (to no) effect in:</w:t>
      </w:r>
    </w:p>
    <w:p w14:paraId="49279C9D" w14:textId="41687DF1" w:rsidR="00966686" w:rsidRPr="00A55335" w:rsidRDefault="00966686" w:rsidP="00A32394">
      <w:pPr>
        <w:pStyle w:val="Bullet12"/>
        <w:numPr>
          <w:ilvl w:val="1"/>
          <w:numId w:val="11"/>
        </w:numPr>
        <w:rPr>
          <w:rFonts w:eastAsia="Times New Roman"/>
          <w:lang w:val="en-AU"/>
        </w:rPr>
      </w:pPr>
      <w:r w:rsidRPr="00A55335">
        <w:rPr>
          <w:rFonts w:eastAsia="Times New Roman"/>
          <w:lang w:val="en-AU"/>
        </w:rPr>
        <w:t>reducing symptom severity</w:t>
      </w:r>
      <w:r w:rsidR="008F6677" w:rsidRPr="00A55335">
        <w:rPr>
          <w:rFonts w:eastAsia="Times New Roman"/>
          <w:lang w:val="en-AU"/>
        </w:rPr>
        <w:t xml:space="preserve"> (1 RCT, 2</w:t>
      </w:r>
      <w:r w:rsidR="00182ADA" w:rsidRPr="00A55335">
        <w:rPr>
          <w:rFonts w:eastAsia="Times New Roman"/>
          <w:lang w:val="en-AU"/>
        </w:rPr>
        <w:t>1</w:t>
      </w:r>
      <w:r w:rsidR="008F6677" w:rsidRPr="00A55335">
        <w:rPr>
          <w:rFonts w:eastAsia="Times New Roman"/>
          <w:lang w:val="en-AU"/>
        </w:rPr>
        <w:t>0 participants)</w:t>
      </w:r>
      <w:r w:rsidRPr="00A55335">
        <w:rPr>
          <w:rFonts w:eastAsia="Times New Roman"/>
          <w:lang w:val="en-AU"/>
        </w:rPr>
        <w:t xml:space="preserve"> in children with </w:t>
      </w:r>
      <w:r w:rsidRPr="00A55335">
        <w:rPr>
          <w:szCs w:val="18"/>
          <w:lang w:val="en-AU"/>
        </w:rPr>
        <w:t>recurrent</w:t>
      </w:r>
      <w:r w:rsidRPr="00A55335">
        <w:rPr>
          <w:rFonts w:eastAsia="Times New Roman"/>
          <w:lang w:val="en-AU"/>
        </w:rPr>
        <w:t xml:space="preserve"> otitis media</w:t>
      </w:r>
    </w:p>
    <w:p w14:paraId="711E5135" w14:textId="72D81BC6" w:rsidR="00966686" w:rsidRPr="00A55335" w:rsidRDefault="00966686" w:rsidP="00A32394">
      <w:pPr>
        <w:pStyle w:val="Bullet12"/>
        <w:numPr>
          <w:ilvl w:val="1"/>
          <w:numId w:val="11"/>
        </w:numPr>
        <w:rPr>
          <w:rFonts w:eastAsia="Times New Roman"/>
          <w:lang w:val="en-AU"/>
        </w:rPr>
      </w:pPr>
      <w:r w:rsidRPr="00A55335">
        <w:rPr>
          <w:rFonts w:eastAsia="Times New Roman"/>
          <w:lang w:val="en-AU"/>
        </w:rPr>
        <w:t>reducing symptom severity</w:t>
      </w:r>
      <w:r w:rsidR="008F6677" w:rsidRPr="00A55335">
        <w:rPr>
          <w:rFonts w:eastAsia="Times New Roman"/>
          <w:lang w:val="en-AU"/>
        </w:rPr>
        <w:t xml:space="preserve"> (2 RCTs, 86 participants), </w:t>
      </w:r>
      <w:r w:rsidRPr="00A55335">
        <w:rPr>
          <w:rFonts w:eastAsia="Times New Roman"/>
          <w:lang w:val="en-AU"/>
        </w:rPr>
        <w:t xml:space="preserve">health-related quality of life </w:t>
      </w:r>
      <w:r w:rsidR="008F6677" w:rsidRPr="00A55335">
        <w:rPr>
          <w:rFonts w:eastAsia="Times New Roman"/>
          <w:lang w:val="en-AU"/>
        </w:rPr>
        <w:t xml:space="preserve">(2 RCTs, 86 participants), </w:t>
      </w:r>
      <w:r w:rsidRPr="00A55335">
        <w:rPr>
          <w:rFonts w:eastAsia="Times New Roman"/>
          <w:lang w:val="en-AU"/>
        </w:rPr>
        <w:t>hospitali</w:t>
      </w:r>
      <w:r w:rsidR="00182ADA" w:rsidRPr="00A55335">
        <w:rPr>
          <w:rFonts w:eastAsia="Times New Roman"/>
          <w:lang w:val="en-AU"/>
        </w:rPr>
        <w:t>s</w:t>
      </w:r>
      <w:r w:rsidRPr="00A55335">
        <w:rPr>
          <w:rFonts w:eastAsia="Times New Roman"/>
          <w:lang w:val="en-AU"/>
        </w:rPr>
        <w:t xml:space="preserve">ation </w:t>
      </w:r>
      <w:r w:rsidR="008F6677" w:rsidRPr="00A55335">
        <w:rPr>
          <w:rFonts w:eastAsia="Times New Roman"/>
          <w:lang w:val="en-AU"/>
        </w:rPr>
        <w:t xml:space="preserve">(1 RCT, 35 participants) </w:t>
      </w:r>
      <w:r w:rsidRPr="00A55335">
        <w:rPr>
          <w:rFonts w:eastAsia="Times New Roman"/>
          <w:lang w:val="en-AU"/>
        </w:rPr>
        <w:t xml:space="preserve">or medication use </w:t>
      </w:r>
      <w:r w:rsidR="008F6677" w:rsidRPr="00A55335">
        <w:rPr>
          <w:rFonts w:eastAsia="Times New Roman"/>
          <w:lang w:val="en-AU"/>
        </w:rPr>
        <w:t xml:space="preserve">(1 RCT, 35 participants) </w:t>
      </w:r>
      <w:r w:rsidRPr="00A55335">
        <w:rPr>
          <w:rFonts w:eastAsia="Times New Roman"/>
          <w:lang w:val="en-AU"/>
        </w:rPr>
        <w:t>in people with asthma</w:t>
      </w:r>
    </w:p>
    <w:p w14:paraId="331E4B0D" w14:textId="08140521" w:rsidR="00966686" w:rsidRPr="00A55335" w:rsidRDefault="00966686" w:rsidP="005540DC">
      <w:pPr>
        <w:pStyle w:val="Bullet12"/>
        <w:numPr>
          <w:ilvl w:val="1"/>
          <w:numId w:val="11"/>
        </w:numPr>
        <w:rPr>
          <w:rFonts w:eastAsia="Times New Roman"/>
          <w:lang w:val="en-AU"/>
        </w:rPr>
      </w:pPr>
      <w:r w:rsidRPr="00A55335">
        <w:rPr>
          <w:rFonts w:eastAsia="Times New Roman"/>
          <w:lang w:val="en-AU"/>
        </w:rPr>
        <w:t xml:space="preserve">reducing symptom severity </w:t>
      </w:r>
      <w:r w:rsidR="00411FC4" w:rsidRPr="00A55335">
        <w:rPr>
          <w:rFonts w:eastAsia="Times New Roman"/>
          <w:lang w:val="en-AU"/>
        </w:rPr>
        <w:t xml:space="preserve">(1 RCT, 76 participants) </w:t>
      </w:r>
      <w:r w:rsidRPr="00A55335">
        <w:rPr>
          <w:rFonts w:eastAsia="Times New Roman"/>
          <w:lang w:val="en-AU"/>
        </w:rPr>
        <w:t>or health-related quality of life</w:t>
      </w:r>
      <w:r w:rsidR="008F6677" w:rsidRPr="00A55335">
        <w:rPr>
          <w:rFonts w:eastAsia="Times New Roman"/>
          <w:lang w:val="en-AU"/>
        </w:rPr>
        <w:t xml:space="preserve"> (1 RCT, 76 participants)</w:t>
      </w:r>
      <w:r w:rsidRPr="00A55335">
        <w:rPr>
          <w:rFonts w:eastAsia="Times New Roman"/>
          <w:lang w:val="en-AU"/>
        </w:rPr>
        <w:t xml:space="preserve"> in people with </w:t>
      </w:r>
      <w:r w:rsidRPr="00A55335">
        <w:rPr>
          <w:szCs w:val="18"/>
          <w:lang w:val="en-AU"/>
        </w:rPr>
        <w:t>irritable bowel syndrome</w:t>
      </w:r>
      <w:r w:rsidRPr="00A55335">
        <w:rPr>
          <w:rFonts w:eastAsia="Times New Roman"/>
          <w:lang w:val="en-AU"/>
        </w:rPr>
        <w:t xml:space="preserve"> </w:t>
      </w:r>
    </w:p>
    <w:p w14:paraId="2C3201AC" w14:textId="008EABB1" w:rsidR="00966686" w:rsidRPr="00A55335" w:rsidRDefault="00966686" w:rsidP="005540DC">
      <w:pPr>
        <w:pStyle w:val="Bullet12"/>
        <w:numPr>
          <w:ilvl w:val="1"/>
          <w:numId w:val="11"/>
        </w:numPr>
        <w:rPr>
          <w:rFonts w:eastAsia="Times New Roman"/>
          <w:lang w:val="en-AU"/>
        </w:rPr>
      </w:pPr>
      <w:r w:rsidRPr="00A55335">
        <w:rPr>
          <w:rFonts w:eastAsia="Times New Roman"/>
          <w:lang w:val="en-AU"/>
        </w:rPr>
        <w:t>reducing pain</w:t>
      </w:r>
      <w:r w:rsidR="00411FC4" w:rsidRPr="00A55335">
        <w:rPr>
          <w:rFonts w:eastAsia="Times New Roman"/>
          <w:lang w:val="en-AU"/>
        </w:rPr>
        <w:t xml:space="preserve"> (1 RCT, 36 participants)</w:t>
      </w:r>
      <w:r w:rsidRPr="00A55335">
        <w:rPr>
          <w:rFonts w:eastAsia="Times New Roman"/>
          <w:lang w:val="en-AU"/>
        </w:rPr>
        <w:t>, fatigue</w:t>
      </w:r>
      <w:r w:rsidR="00411FC4" w:rsidRPr="00A55335">
        <w:rPr>
          <w:rFonts w:eastAsia="Times New Roman"/>
          <w:lang w:val="en-AU"/>
        </w:rPr>
        <w:t xml:space="preserve"> (1 RCT, 36 participants)</w:t>
      </w:r>
      <w:r w:rsidRPr="00A55335">
        <w:rPr>
          <w:rFonts w:eastAsia="Times New Roman"/>
          <w:lang w:val="en-AU"/>
        </w:rPr>
        <w:t>, health-related quality of life</w:t>
      </w:r>
      <w:r w:rsidR="00411FC4" w:rsidRPr="00A55335">
        <w:rPr>
          <w:rFonts w:eastAsia="Times New Roman"/>
          <w:lang w:val="en-AU"/>
        </w:rPr>
        <w:t xml:space="preserve"> (1 RCT, 36 participants),</w:t>
      </w:r>
      <w:r w:rsidRPr="00A55335">
        <w:rPr>
          <w:rFonts w:eastAsia="Times New Roman"/>
          <w:lang w:val="en-AU"/>
        </w:rPr>
        <w:t xml:space="preserve"> or emotional wellbeing</w:t>
      </w:r>
      <w:r w:rsidR="008F6677" w:rsidRPr="00A55335">
        <w:rPr>
          <w:rFonts w:eastAsia="Times New Roman"/>
          <w:lang w:val="en-AU"/>
        </w:rPr>
        <w:t xml:space="preserve"> (1 RCT, 36 participants)</w:t>
      </w:r>
      <w:r w:rsidRPr="00A55335">
        <w:rPr>
          <w:rFonts w:eastAsia="Times New Roman"/>
          <w:lang w:val="en-AU"/>
        </w:rPr>
        <w:t xml:space="preserve"> in people with </w:t>
      </w:r>
      <w:r w:rsidRPr="00A55335">
        <w:rPr>
          <w:szCs w:val="18"/>
          <w:lang w:val="en-AU"/>
        </w:rPr>
        <w:t>fibromyalgia</w:t>
      </w:r>
      <w:r w:rsidR="008F6677" w:rsidRPr="00A55335">
        <w:rPr>
          <w:szCs w:val="18"/>
          <w:lang w:val="en-AU"/>
        </w:rPr>
        <w:t>.</w:t>
      </w:r>
      <w:r w:rsidRPr="00A55335">
        <w:rPr>
          <w:rFonts w:eastAsia="Times New Roman"/>
          <w:lang w:val="en-AU"/>
        </w:rPr>
        <w:t xml:space="preserve"> </w:t>
      </w:r>
    </w:p>
    <w:p w14:paraId="1576F60F" w14:textId="7E706BC8" w:rsidR="00966686" w:rsidRPr="00A55335" w:rsidRDefault="00671229" w:rsidP="00583D07">
      <w:pPr>
        <w:pStyle w:val="BodyText"/>
      </w:pPr>
      <w:r>
        <w:t>(</w:t>
      </w:r>
      <w:r w:rsidR="00966686" w:rsidRPr="00A55335">
        <w:t>These results suggesting</w:t>
      </w:r>
      <w:r w:rsidR="00585328">
        <w:t xml:space="preserve"> low certainty of</w:t>
      </w:r>
      <w:r w:rsidR="00966686" w:rsidRPr="00A55335">
        <w:t xml:space="preserve"> little or no difference are generally consistent with those from the primary comparison with placebo, although sometimes the level of certainty differs.</w:t>
      </w:r>
      <w:r>
        <w:t>)</w:t>
      </w:r>
    </w:p>
    <w:p w14:paraId="15CE6D8B" w14:textId="1CBD04B6" w:rsidR="00415724" w:rsidRPr="00BD1A50" w:rsidRDefault="002E37FA" w:rsidP="008F6677">
      <w:pPr>
        <w:pStyle w:val="BodyText"/>
      </w:pPr>
      <w:r w:rsidRPr="00A55335">
        <w:t xml:space="preserve">The evidence </w:t>
      </w:r>
      <w:r w:rsidR="007F31CB">
        <w:t>is</w:t>
      </w:r>
      <w:r w:rsidR="007F31CB" w:rsidRPr="00A55335">
        <w:t xml:space="preserve"> </w:t>
      </w:r>
      <w:r w:rsidRPr="00A55335">
        <w:t xml:space="preserve">very </w:t>
      </w:r>
      <w:r w:rsidR="007F31CB">
        <w:t>un</w:t>
      </w:r>
      <w:r w:rsidRPr="00A55335">
        <w:t>certain of the effect of homeopathy compare</w:t>
      </w:r>
      <w:r w:rsidR="00541988" w:rsidRPr="00A55335">
        <w:t>d</w:t>
      </w:r>
      <w:r w:rsidRPr="00A55335">
        <w:t xml:space="preserve"> with </w:t>
      </w:r>
      <w:r w:rsidR="00E1149F">
        <w:t>inactive control</w:t>
      </w:r>
      <w:r w:rsidR="000D1794" w:rsidRPr="00A55335">
        <w:t xml:space="preserve"> </w:t>
      </w:r>
      <w:r w:rsidR="00785002" w:rsidRPr="00785002">
        <w:t>(inclusive of no intervention, waitlist or usual care if considered inactive)</w:t>
      </w:r>
      <w:r w:rsidR="00785002">
        <w:t xml:space="preserve"> </w:t>
      </w:r>
      <w:r w:rsidRPr="00A55335">
        <w:t xml:space="preserve">for </w:t>
      </w:r>
      <w:r w:rsidR="00567286" w:rsidRPr="00A55335">
        <w:t>1</w:t>
      </w:r>
      <w:r w:rsidR="00C9764A" w:rsidRPr="00A55335">
        <w:t>2</w:t>
      </w:r>
      <w:r w:rsidR="00567286" w:rsidRPr="00A55335">
        <w:t xml:space="preserve"> </w:t>
      </w:r>
      <w:r w:rsidRPr="00A55335">
        <w:t xml:space="preserve">out of the 94 critical or important outcomes prioritised for analysis in this review. </w:t>
      </w:r>
      <w:r w:rsidR="00241EDA" w:rsidRPr="00A55335">
        <w:t>For these outcomes, confidence in the effect estimate is very uncertain</w:t>
      </w:r>
      <w:r w:rsidR="008D5CBC">
        <w:t>.</w:t>
      </w:r>
      <w:r w:rsidR="00241EDA" w:rsidRPr="00A55335">
        <w:t xml:space="preserve"> </w:t>
      </w:r>
      <w:r w:rsidR="00913B64">
        <w:t xml:space="preserve">Of the </w:t>
      </w:r>
      <w:bookmarkStart w:id="534" w:name="_Toc131610229"/>
      <w:r w:rsidR="000C5EE9">
        <w:t>94</w:t>
      </w:r>
      <w:r w:rsidR="000C5EE9" w:rsidRPr="00A55335">
        <w:t xml:space="preserve"> </w:t>
      </w:r>
      <w:r w:rsidR="000C5EE9" w:rsidRPr="00BD1A50">
        <w:t>outcomes</w:t>
      </w:r>
      <w:r w:rsidR="00415724" w:rsidRPr="00BD1A50">
        <w:t xml:space="preserve"> prioritised </w:t>
      </w:r>
      <w:r w:rsidR="0009682E" w:rsidRPr="00BD1A50">
        <w:t>as critical or important</w:t>
      </w:r>
      <w:r w:rsidR="00432FE7">
        <w:t>, there were no studie</w:t>
      </w:r>
      <w:r w:rsidR="00C21D61">
        <w:t>s</w:t>
      </w:r>
      <w:r w:rsidR="00424DD2" w:rsidRPr="00BD1A50">
        <w:t xml:space="preserve"> </w:t>
      </w:r>
      <w:r w:rsidR="00C32F18">
        <w:t xml:space="preserve">found for 67 of those outcomes, and therefore </w:t>
      </w:r>
      <w:r w:rsidR="00415724" w:rsidRPr="00BD1A50">
        <w:t xml:space="preserve">the effect of homeopathy </w:t>
      </w:r>
      <w:r w:rsidR="00C32F18">
        <w:t xml:space="preserve">compared to inactive control </w:t>
      </w:r>
      <w:r w:rsidR="00415724" w:rsidRPr="00BD1A50">
        <w:t>on th</w:t>
      </w:r>
      <w:r w:rsidR="00C32F18">
        <w:t>o</w:t>
      </w:r>
      <w:r w:rsidR="00415724" w:rsidRPr="00BD1A50">
        <w:t xml:space="preserve">se outcomes </w:t>
      </w:r>
      <w:r w:rsidR="000B42D9" w:rsidRPr="00BD1A50">
        <w:t xml:space="preserve">(out of 94) </w:t>
      </w:r>
      <w:r w:rsidR="00415724" w:rsidRPr="00BD1A50">
        <w:t>is unknown.</w:t>
      </w:r>
    </w:p>
    <w:p w14:paraId="6C6B28EE" w14:textId="16E477B5" w:rsidR="000013B0" w:rsidRPr="00B16DC4" w:rsidRDefault="00415724" w:rsidP="00BD1A50">
      <w:pPr>
        <w:pStyle w:val="BodyText"/>
      </w:pPr>
      <w:r w:rsidRPr="00BD1A50">
        <w:t>An assessment of benefits and harms of homeopathy was not conducted for this review, as it was out of scope of this review to assess adverse effects of homeopathy.</w:t>
      </w:r>
      <w:r w:rsidR="008F6677" w:rsidRPr="00BD1A50">
        <w:t xml:space="preserve"> </w:t>
      </w:r>
    </w:p>
    <w:p w14:paraId="33C5EF7F" w14:textId="4B4423EF" w:rsidR="00140A00" w:rsidRPr="00BD1A50" w:rsidRDefault="00140A00" w:rsidP="00B16DC4">
      <w:pPr>
        <w:pStyle w:val="Heading2"/>
      </w:pPr>
      <w:bookmarkStart w:id="535" w:name="_Toc167806785"/>
      <w:bookmarkStart w:id="536" w:name="_Toc183441425"/>
      <w:bookmarkEnd w:id="535"/>
      <w:r w:rsidRPr="00BD1A50">
        <w:t>Overall completeness and applicability of evidence</w:t>
      </w:r>
      <w:bookmarkEnd w:id="534"/>
      <w:bookmarkEnd w:id="536"/>
    </w:p>
    <w:p w14:paraId="722F5A2B" w14:textId="06606CC1" w:rsidR="003315AC" w:rsidRPr="00A55335" w:rsidRDefault="00140A00" w:rsidP="00140A00">
      <w:pPr>
        <w:pStyle w:val="BodyText"/>
      </w:pPr>
      <w:r w:rsidRPr="00A55335">
        <w:t>This review aimed to identify the available RCT evidence on the effectiveness of homeopathy. Only studies that assessed homeopathy versus placebo or homeopathy versus inactive control (no intervention, waitlist, usual care</w:t>
      </w:r>
      <w:r w:rsidR="00B01A7C" w:rsidRPr="00A55335">
        <w:t xml:space="preserve"> [inactive]</w:t>
      </w:r>
      <w:r w:rsidRPr="00A55335">
        <w:t xml:space="preserve">) were included in the synthesis. Studies of prioritised conditions with active comparators </w:t>
      </w:r>
      <w:r w:rsidR="00B01A7C" w:rsidRPr="00A55335">
        <w:t xml:space="preserve">(including usual care </w:t>
      </w:r>
      <w:proofErr w:type="gramStart"/>
      <w:r w:rsidR="00B01A7C" w:rsidRPr="00A55335">
        <w:t>where</w:t>
      </w:r>
      <w:proofErr w:type="gramEnd"/>
      <w:r w:rsidR="00B01A7C" w:rsidRPr="00A55335">
        <w:t xml:space="preserve"> considered active) </w:t>
      </w:r>
      <w:r w:rsidRPr="00A55335">
        <w:t>were not able to be included in the synthesis or summary of findings tables, as the wide range of comparators and outcomes did not allow for synthesis as planned in the protocol.</w:t>
      </w:r>
    </w:p>
    <w:p w14:paraId="4A170BD8" w14:textId="658E57F3" w:rsidR="00140A00" w:rsidRPr="00A55335" w:rsidRDefault="00140A00" w:rsidP="00140A00">
      <w:pPr>
        <w:pStyle w:val="BodyText"/>
      </w:pPr>
      <w:r w:rsidRPr="00A55335">
        <w:t xml:space="preserve">There were </w:t>
      </w:r>
      <w:r w:rsidR="00C2689B" w:rsidRPr="00A55335">
        <w:t>161</w:t>
      </w:r>
      <w:r w:rsidRPr="00A55335">
        <w:t xml:space="preserve"> studies that met the eligibility criteria for the review but were not included in the evidence evaluation. This is because they examined the effects of </w:t>
      </w:r>
      <w:r w:rsidR="00C2689B" w:rsidRPr="00A55335">
        <w:t>homeopathy</w:t>
      </w:r>
      <w:r w:rsidRPr="00A55335">
        <w:t xml:space="preserve"> in populations (or conditions) not prioritised by NTWC for analysis or synthesis. These studies are listed in an inventory titled </w:t>
      </w:r>
      <w:r w:rsidRPr="00A55335">
        <w:rPr>
          <w:rStyle w:val="Emphasis"/>
        </w:rPr>
        <w:t>Citation details of studies from non-priority populations</w:t>
      </w:r>
      <w:r w:rsidRPr="00A55335">
        <w:t xml:space="preserve"> (Appendix C3, Table C.3). </w:t>
      </w:r>
    </w:p>
    <w:p w14:paraId="712E489D" w14:textId="0CE05B7D" w:rsidR="00140A00" w:rsidRPr="00A55335" w:rsidRDefault="00140A00" w:rsidP="00140A00">
      <w:pPr>
        <w:pStyle w:val="BodyText"/>
      </w:pPr>
      <w:r w:rsidRPr="00A55335">
        <w:t xml:space="preserve">Databases in languages other than English were not searched. Studies published in a language other than English (identified through English databases) were not translated and were not included in the synthesis but listed in an inventory for completeness (Appendix C4.2). There were </w:t>
      </w:r>
      <w:r w:rsidR="003C3DEE" w:rsidRPr="00A55335">
        <w:t>89</w:t>
      </w:r>
      <w:r w:rsidRPr="00A55335">
        <w:t xml:space="preserve"> </w:t>
      </w:r>
      <w:r w:rsidR="003C3DEE" w:rsidRPr="00A55335">
        <w:t xml:space="preserve">studies </w:t>
      </w:r>
      <w:r w:rsidRPr="00A55335">
        <w:t>identified in a language other than English.</w:t>
      </w:r>
    </w:p>
    <w:p w14:paraId="13C202FA" w14:textId="566BA7C3" w:rsidR="00360063" w:rsidRPr="00A55335" w:rsidRDefault="00140A00" w:rsidP="00BA0ECE">
      <w:pPr>
        <w:pStyle w:val="BodyText"/>
      </w:pPr>
      <w:r w:rsidRPr="00A55335">
        <w:lastRenderedPageBreak/>
        <w:t xml:space="preserve">The available evidence was from a range of countries including Brazil, </w:t>
      </w:r>
      <w:r w:rsidR="00C75429" w:rsidRPr="00A55335">
        <w:t xml:space="preserve">Egypt, </w:t>
      </w:r>
      <w:r w:rsidRPr="00A55335">
        <w:t xml:space="preserve">Germany, </w:t>
      </w:r>
      <w:r w:rsidR="00C75429" w:rsidRPr="00A55335">
        <w:t xml:space="preserve">France, </w:t>
      </w:r>
      <w:r w:rsidRPr="00A55335">
        <w:t xml:space="preserve">India, </w:t>
      </w:r>
      <w:r w:rsidR="00C75429" w:rsidRPr="00A55335">
        <w:t xml:space="preserve">Russia, </w:t>
      </w:r>
      <w:r w:rsidRPr="00A55335">
        <w:t xml:space="preserve">Spain, </w:t>
      </w:r>
      <w:r w:rsidR="004730AA" w:rsidRPr="00A55335">
        <w:t xml:space="preserve">Ukraine, </w:t>
      </w:r>
      <w:r w:rsidRPr="00A55335">
        <w:t xml:space="preserve">the United Kingdom and the United States. Most studies examined </w:t>
      </w:r>
      <w:r w:rsidR="00D9590A" w:rsidRPr="00A55335">
        <w:t xml:space="preserve">homeopathy </w:t>
      </w:r>
      <w:r w:rsidRPr="00A55335">
        <w:t>delivered in a manner that would be considered applicable to the Australian context</w:t>
      </w:r>
      <w:r w:rsidR="00BA0ECE" w:rsidRPr="00A55335">
        <w:t xml:space="preserve">; inclusive of individualised and non-individualised prescriptions, accompanied by consultations with a homeopath. Most studies evaluated homeopathic products that were administered orally (either as tablet or pellet), but some were topically applied or administered via a nasal spray. </w:t>
      </w:r>
      <w:r w:rsidR="00030720" w:rsidRPr="00A55335">
        <w:t xml:space="preserve">A variety of potencies or dilutions were </w:t>
      </w:r>
      <w:r w:rsidR="00A76F03" w:rsidRPr="00A55335">
        <w:t>examined.</w:t>
      </w:r>
      <w:r w:rsidR="00341C30" w:rsidRPr="00A55335">
        <w:t xml:space="preserve"> </w:t>
      </w:r>
      <w:r w:rsidR="00360063" w:rsidRPr="00A55335">
        <w:t>Studies examining the effect of individualised homeopathy tended to shortlist a group of interventions from which the homeopath chose.</w:t>
      </w:r>
      <w:r w:rsidR="00874401" w:rsidRPr="00A55335">
        <w:t xml:space="preserve"> </w:t>
      </w:r>
      <w:r w:rsidR="00432CD0" w:rsidRPr="00A55335">
        <w:t xml:space="preserve">The planned comparison between individualised and non-individualised homeopathy could not be completed because of the small number of studies </w:t>
      </w:r>
      <w:r w:rsidR="00765B85" w:rsidRPr="00A55335">
        <w:t xml:space="preserve">per comparison. </w:t>
      </w:r>
    </w:p>
    <w:p w14:paraId="226DD9B9" w14:textId="2F79FC80" w:rsidR="00140A00" w:rsidRPr="00A55335" w:rsidRDefault="00140A00" w:rsidP="00140A00">
      <w:pPr>
        <w:pStyle w:val="BodyText"/>
      </w:pPr>
      <w:r w:rsidRPr="00A55335">
        <w:t xml:space="preserve">Among the </w:t>
      </w:r>
      <w:r w:rsidR="006558CF" w:rsidRPr="00A55335">
        <w:t>20</w:t>
      </w:r>
      <w:r w:rsidRPr="00A55335">
        <w:t xml:space="preserve"> prioritised conditions, </w:t>
      </w:r>
      <w:r w:rsidR="00F22893">
        <w:t>24</w:t>
      </w:r>
      <w:r w:rsidRPr="00A55335">
        <w:t xml:space="preserve"> (~</w:t>
      </w:r>
      <w:r w:rsidR="002F1B1B">
        <w:t>26</w:t>
      </w:r>
      <w:r w:rsidRPr="00A55335">
        <w:t xml:space="preserve">%) out of the </w:t>
      </w:r>
      <w:r w:rsidR="006E2BC6">
        <w:t>9</w:t>
      </w:r>
      <w:r w:rsidR="006E2BC6" w:rsidRPr="00A55335">
        <w:t xml:space="preserve">4 </w:t>
      </w:r>
      <w:r w:rsidRPr="00A55335">
        <w:t>outcomes prioritised as critical or important were not measured or reported in studies</w:t>
      </w:r>
      <w:r w:rsidR="003F7143">
        <w:t xml:space="preserve"> comparing homeopathy with </w:t>
      </w:r>
      <w:r w:rsidR="00AB59B5">
        <w:t xml:space="preserve">either </w:t>
      </w:r>
      <w:r w:rsidR="003F7143">
        <w:t xml:space="preserve">placebo </w:t>
      </w:r>
      <w:r w:rsidR="00AB59B5">
        <w:t>or inactive control (no intervention, waitlist or usual care [inactive])</w:t>
      </w:r>
      <w:r w:rsidRPr="00A55335">
        <w:t xml:space="preserve">. There </w:t>
      </w:r>
      <w:r w:rsidR="00AE1AEF" w:rsidRPr="00A55335">
        <w:t>were few</w:t>
      </w:r>
      <w:r w:rsidRPr="00A55335">
        <w:t xml:space="preserve"> studies with missing outcome information or information that was not translatable (such as that included in graphs). As per the protocol, we made no requests to authors for this information and did not attempt to translate information contained in graphs. It is considered unlikely this information would have impacted the overall conclusions of this review.</w:t>
      </w:r>
    </w:p>
    <w:p w14:paraId="6B4646DA" w14:textId="6C8D37E1" w:rsidR="00140A00" w:rsidRPr="00A55335" w:rsidRDefault="00140A00" w:rsidP="00140A00">
      <w:pPr>
        <w:pStyle w:val="BodyText"/>
      </w:pPr>
      <w:r w:rsidRPr="00A55335">
        <w:t xml:space="preserve">Studies included in this review are those published up until </w:t>
      </w:r>
      <w:r w:rsidR="00BC7B9D" w:rsidRPr="00A55335">
        <w:t>July 2022</w:t>
      </w:r>
      <w:r w:rsidRPr="00A55335">
        <w:t xml:space="preserve">. There was a large amount of evidence for </w:t>
      </w:r>
      <w:r w:rsidR="00BC7B9D" w:rsidRPr="00A55335">
        <w:t>homeopathy</w:t>
      </w:r>
      <w:r w:rsidRPr="00A55335">
        <w:t xml:space="preserve"> not published at the time of the search (</w:t>
      </w:r>
      <w:r w:rsidR="00457147" w:rsidRPr="00A55335">
        <w:t>192</w:t>
      </w:r>
      <w:r w:rsidRPr="00A55335">
        <w:t xml:space="preserve"> studies listed as ongoing) or not yet evaluated (</w:t>
      </w:r>
      <w:r w:rsidR="00BA607C" w:rsidRPr="00A55335">
        <w:t xml:space="preserve">150 </w:t>
      </w:r>
      <w:r w:rsidRPr="00A55335">
        <w:t xml:space="preserve">studies awaiting classification). Among the priority populations included in this review, an estimated </w:t>
      </w:r>
      <w:r w:rsidR="000177A1" w:rsidRPr="00A55335">
        <w:t xml:space="preserve">48 </w:t>
      </w:r>
      <w:r w:rsidRPr="00A55335">
        <w:t>RCTs (</w:t>
      </w:r>
      <w:r w:rsidR="00A827EB" w:rsidRPr="00A55335">
        <w:t>3748</w:t>
      </w:r>
      <w:r w:rsidR="00D47776" w:rsidRPr="00A55335">
        <w:t>+</w:t>
      </w:r>
      <w:r w:rsidRPr="00A55335">
        <w:t xml:space="preserve"> participants) comparing </w:t>
      </w:r>
      <w:r w:rsidR="00D47776" w:rsidRPr="00A55335">
        <w:t xml:space="preserve">homeopathy </w:t>
      </w:r>
      <w:r w:rsidRPr="00A55335">
        <w:t xml:space="preserve">with </w:t>
      </w:r>
      <w:r w:rsidR="0007099E" w:rsidRPr="00A55335">
        <w:t>placebo</w:t>
      </w:r>
      <w:r w:rsidR="00D47776" w:rsidRPr="00A55335">
        <w:t xml:space="preserve"> or </w:t>
      </w:r>
      <w:r w:rsidRPr="00A55335">
        <w:t xml:space="preserve">an inactive control are awaiting classification and a further </w:t>
      </w:r>
      <w:r w:rsidR="00FF5B3C" w:rsidRPr="00A55335">
        <w:t>69</w:t>
      </w:r>
      <w:r w:rsidR="00D47776" w:rsidRPr="00A55335">
        <w:t xml:space="preserve"> RCTs (</w:t>
      </w:r>
      <w:r w:rsidR="00FF5B3C" w:rsidRPr="00A55335">
        <w:t xml:space="preserve">5858 </w:t>
      </w:r>
      <w:r w:rsidR="00D47776" w:rsidRPr="00A55335">
        <w:t>target participants</w:t>
      </w:r>
      <w:r w:rsidRPr="00A55335">
        <w:t>) were listed as ongoing. It is likely that many of these studies would meet the eligibility criteria for this review, the results of which may (or may not) have an impact on the overall results.</w:t>
      </w:r>
    </w:p>
    <w:p w14:paraId="0939B656" w14:textId="77777777" w:rsidR="00005C44" w:rsidRPr="00A55335" w:rsidRDefault="00005C44" w:rsidP="00005C44">
      <w:pPr>
        <w:pStyle w:val="Heading2"/>
      </w:pPr>
      <w:bookmarkStart w:id="537" w:name="_Toc131610230"/>
      <w:bookmarkStart w:id="538" w:name="_Toc183441426"/>
      <w:r w:rsidRPr="00A55335">
        <w:t>Certainty of the evidence</w:t>
      </w:r>
      <w:bookmarkEnd w:id="537"/>
      <w:bookmarkEnd w:id="538"/>
    </w:p>
    <w:p w14:paraId="3C164270" w14:textId="1AE91787" w:rsidR="00374C85" w:rsidRPr="00A55335" w:rsidRDefault="00374C85" w:rsidP="00583D07">
      <w:pPr>
        <w:pStyle w:val="BodyText"/>
      </w:pPr>
      <w:bookmarkStart w:id="539" w:name="_Toc131610231"/>
      <w:r w:rsidRPr="00A55335">
        <w:t xml:space="preserve">The certainty of evidence across outcomes was generally downgraded for issues with imprecision (related to sample size and wide confidence intervals) </w:t>
      </w:r>
      <w:r w:rsidR="00E1084E" w:rsidRPr="00A55335">
        <w:t xml:space="preserve">or </w:t>
      </w:r>
      <w:r w:rsidRPr="00A55335">
        <w:t xml:space="preserve">concerns that the effect estimate was </w:t>
      </w:r>
      <w:r w:rsidR="006E7A7A" w:rsidRPr="00A55335">
        <w:t>over</w:t>
      </w:r>
      <w:r w:rsidR="00FB369D" w:rsidRPr="00A55335">
        <w:t xml:space="preserve"> (or under) </w:t>
      </w:r>
      <w:r w:rsidR="006E7A7A" w:rsidRPr="00A55335">
        <w:t>estimated</w:t>
      </w:r>
      <w:r w:rsidR="00090598" w:rsidRPr="00A55335">
        <w:t xml:space="preserve">. The suspicion of </w:t>
      </w:r>
      <w:r w:rsidRPr="00A55335">
        <w:t>publication bias (relating to the likelihood that studies with outcome results</w:t>
      </w:r>
      <w:r w:rsidR="00090598" w:rsidRPr="00A55335">
        <w:t xml:space="preserve"> not favourable to the intervention</w:t>
      </w:r>
      <w:r w:rsidR="00FB369D" w:rsidRPr="00A55335">
        <w:t xml:space="preserve"> were not reported</w:t>
      </w:r>
      <w:r w:rsidRPr="00A55335">
        <w:t>)</w:t>
      </w:r>
      <w:r w:rsidR="00090598" w:rsidRPr="00A55335">
        <w:t xml:space="preserve"> was applied less often</w:t>
      </w:r>
      <w:r w:rsidRPr="00A55335">
        <w:t xml:space="preserve">. With regards to risk of bias, the certainty of evidence was downgraded </w:t>
      </w:r>
      <w:r w:rsidR="00FB369D" w:rsidRPr="00A55335">
        <w:t xml:space="preserve">only </w:t>
      </w:r>
      <w:r w:rsidRPr="00A55335">
        <w:t xml:space="preserve">when a sensitivity analysis showed clear interaction between the effect estimates and the studies judged to be at high risk of bias (or when all studies contributing data were at high risk of bias). </w:t>
      </w:r>
      <w:r w:rsidR="00FB369D" w:rsidRPr="00A55335">
        <w:t xml:space="preserve">Downgrades for studies with some concerns of bias was generally not applied. </w:t>
      </w:r>
    </w:p>
    <w:p w14:paraId="3CFFA67E" w14:textId="3721B70B" w:rsidR="00374C85" w:rsidRPr="00A55335" w:rsidRDefault="00374C85" w:rsidP="00583D07">
      <w:pPr>
        <w:pStyle w:val="BodyText"/>
      </w:pPr>
      <w:r w:rsidRPr="00A55335">
        <w:t>In rare instances, the certainty of evidence was downgraded for inconsistency, when the effect estimates differed importantly across studies, as indicated by minimal or no overlap in the confidence intervals, and no clear explanation for statistical heterogeneity. Downgrades for indirectness were also rare, although in some cases noted that the studies may not be directly applicable to the Australian healthcare context, meaning the delivery of the intervention or the participants included within the trial may have unknown factors that do not directly match homeopathy as delivered in Australia or a broader population group.</w:t>
      </w:r>
    </w:p>
    <w:p w14:paraId="37D70B8F" w14:textId="77777777" w:rsidR="004A22C6" w:rsidRPr="00A55335" w:rsidRDefault="004A22C6" w:rsidP="004A22C6">
      <w:pPr>
        <w:pStyle w:val="Heading2"/>
      </w:pPr>
      <w:bookmarkStart w:id="540" w:name="_Toc183441427"/>
      <w:r w:rsidRPr="00A55335">
        <w:lastRenderedPageBreak/>
        <w:t>Potential biases in the review process</w:t>
      </w:r>
      <w:bookmarkEnd w:id="539"/>
      <w:bookmarkEnd w:id="540"/>
    </w:p>
    <w:p w14:paraId="2A8428AA" w14:textId="14C1E2DF" w:rsidR="00501A5C" w:rsidRPr="00A55335" w:rsidRDefault="00501A5C" w:rsidP="00583D07">
      <w:pPr>
        <w:pStyle w:val="BodyText"/>
      </w:pPr>
      <w:bookmarkStart w:id="541" w:name="_Toc131610232"/>
      <w:r w:rsidRPr="00A55335">
        <w:t>To ensure transparency in the review process, we published the final NTWC endorsed research protocol on PROSPERO</w:t>
      </w:r>
      <w:r w:rsidR="00023EBE" w:rsidRPr="00A55335">
        <w:t xml:space="preserve"> prior to </w:t>
      </w:r>
      <w:r w:rsidR="001D563D" w:rsidRPr="00A55335">
        <w:t xml:space="preserve">commencing the </w:t>
      </w:r>
      <w:r w:rsidR="0049097E" w:rsidRPr="00A55335">
        <w:t>literature search</w:t>
      </w:r>
      <w:r w:rsidRPr="00A55335">
        <w:t xml:space="preserve">. </w:t>
      </w:r>
      <w:r w:rsidR="00487691" w:rsidRPr="00A55335">
        <w:t>The protocol is consistent with others in the Natural Therapies Review.</w:t>
      </w:r>
      <w:r w:rsidRPr="00A55335">
        <w:t xml:space="preserve"> </w:t>
      </w:r>
      <w:proofErr w:type="gramStart"/>
      <w:r w:rsidRPr="00A55335">
        <w:t>In order to</w:t>
      </w:r>
      <w:proofErr w:type="gramEnd"/>
      <w:r w:rsidRPr="00A55335">
        <w:t xml:space="preserve"> capture the majority of studies assessing the effectiveness of homeopathy, we comprehensively searched multiple databases and did not apply date, language, population or outcome restrictions in our search. In addition, we provided detailed documentation of the inclusion criteria to avoid inconsistent application of study selection criteria and used standardised procedures for data collection and critical appraisal. Where possible, we have applied a methodological approach consistent with the </w:t>
      </w:r>
      <w:r w:rsidRPr="00A55335">
        <w:rPr>
          <w:rStyle w:val="Emphasis"/>
        </w:rPr>
        <w:t>Cochrane Handbook for Systematic Reviews of Interventions</w:t>
      </w:r>
      <w:r w:rsidRPr="00A55335">
        <w:t xml:space="preserve"> and other best practice methods.</w:t>
      </w:r>
    </w:p>
    <w:p w14:paraId="2B18DD0A" w14:textId="3690A27F" w:rsidR="00501A5C" w:rsidRPr="00A55335" w:rsidRDefault="00501A5C" w:rsidP="00583D07">
      <w:pPr>
        <w:pStyle w:val="BodyText"/>
      </w:pPr>
      <w:r w:rsidRPr="00A55335">
        <w:t xml:space="preserve">While we have attempted to control for potential biases, some deviations from the protocol were necessary for pragmatic reasons. To ensure these deviations from protocol are clear, deviations and post-hoc decisions have been documented and explained in </w:t>
      </w:r>
      <w:r w:rsidRPr="00A55335">
        <w:rPr>
          <w:rStyle w:val="Strong"/>
        </w:rPr>
        <w:t>Appendix G</w:t>
      </w:r>
      <w:r w:rsidRPr="00A55335">
        <w:t xml:space="preserve">. </w:t>
      </w:r>
    </w:p>
    <w:p w14:paraId="73E4A3BE" w14:textId="77777777" w:rsidR="00501A5C" w:rsidRPr="00A55335" w:rsidRDefault="00501A5C" w:rsidP="00583D07">
      <w:pPr>
        <w:pStyle w:val="BodyText"/>
      </w:pPr>
      <w:r w:rsidRPr="00A55335">
        <w:t>Data collection was performed by two researchers, the first collected data using data extraction forms and the second checked for completeness and accuracy in data extraction. Decisions regarding prioritisation of conditions and critical or important outcomes were made by the NTWC, with input from NTREAP, who were blinded to the number and details of the studies found.</w:t>
      </w:r>
    </w:p>
    <w:p w14:paraId="256AAB6F" w14:textId="1BFDEF83" w:rsidR="00501A5C" w:rsidRPr="00A55335" w:rsidRDefault="00501A5C" w:rsidP="00583D07">
      <w:pPr>
        <w:pStyle w:val="BodyText"/>
      </w:pPr>
      <w:r w:rsidRPr="00A55335">
        <w:t>We did not specifically search for or include studies published in languages other than English in the analysis, so it is possible that we may have missed studies that may (or may not) impact the overall conclusions of this review</w:t>
      </w:r>
      <w:r w:rsidR="008F7087" w:rsidRPr="00A55335">
        <w:t>, although this is considered unlikely given agreements observed with other reviews (see below)</w:t>
      </w:r>
      <w:r w:rsidRPr="00A55335">
        <w:t>.</w:t>
      </w:r>
    </w:p>
    <w:p w14:paraId="0D607C87" w14:textId="009BE1F5" w:rsidR="004A22C6" w:rsidRPr="00A55335" w:rsidRDefault="004A22C6" w:rsidP="004A22C6">
      <w:pPr>
        <w:pStyle w:val="Heading2"/>
      </w:pPr>
      <w:bookmarkStart w:id="542" w:name="_Toc183441428"/>
      <w:r w:rsidRPr="00A55335">
        <w:t>Agreements and disagreements with other studies or reviews</w:t>
      </w:r>
      <w:bookmarkEnd w:id="541"/>
      <w:bookmarkEnd w:id="542"/>
    </w:p>
    <w:p w14:paraId="468001EF" w14:textId="29FC0AD0" w:rsidR="004A22C6" w:rsidRPr="00A55335" w:rsidRDefault="00AA60DB" w:rsidP="00583D07">
      <w:pPr>
        <w:pStyle w:val="BodyText"/>
      </w:pPr>
      <w:r w:rsidRPr="00A55335">
        <w:t>A</w:t>
      </w:r>
      <w:r w:rsidR="00605B77" w:rsidRPr="00A55335">
        <w:t xml:space="preserve"> search for published systematic reviews</w:t>
      </w:r>
      <w:r w:rsidRPr="00A55335">
        <w:t xml:space="preserve"> (via PubMed and </w:t>
      </w:r>
      <w:r w:rsidR="00132D83" w:rsidRPr="00A55335">
        <w:t xml:space="preserve">the </w:t>
      </w:r>
      <w:r w:rsidRPr="00A55335">
        <w:t>Cochrane</w:t>
      </w:r>
      <w:r w:rsidR="00132D83" w:rsidRPr="00A55335">
        <w:t xml:space="preserve"> Library</w:t>
      </w:r>
      <w:r w:rsidRPr="00A55335">
        <w:t xml:space="preserve">) relating to each priority population was conducted at the time of the evidence synthesis. </w:t>
      </w:r>
    </w:p>
    <w:p w14:paraId="4BCDDC5E" w14:textId="6A857C97" w:rsidR="004042AE" w:rsidRPr="00A55335" w:rsidRDefault="00FB286D" w:rsidP="0049097E">
      <w:pPr>
        <w:pStyle w:val="Heading3"/>
      </w:pPr>
      <w:bookmarkStart w:id="543" w:name="_Toc183441429"/>
      <w:r w:rsidRPr="00A55335">
        <w:t>A</w:t>
      </w:r>
      <w:r w:rsidR="007156B8" w:rsidRPr="00A55335">
        <w:t>topic conditions</w:t>
      </w:r>
      <w:bookmarkEnd w:id="543"/>
    </w:p>
    <w:p w14:paraId="4383706A" w14:textId="1693D4FD" w:rsidR="00CD0F48" w:rsidRPr="00A55335" w:rsidRDefault="00CD0F48" w:rsidP="00CD0F48">
      <w:pPr>
        <w:pStyle w:val="BodyText"/>
      </w:pPr>
      <w:r w:rsidRPr="00A55335">
        <w:t xml:space="preserve">Two systematic reviews assessing the effect of homeopathy for allergic rhinitis </w:t>
      </w:r>
      <w:r w:rsidR="0020278B" w:rsidRPr="00A55335">
        <w:fldChar w:fldCharType="begin">
          <w:fldData xml:space="preserve">PEVuZE5vdGU+PENpdGU+PEF1dGhvcj5CYW5lcmplZTwvQXV0aG9yPjxZZWFyPjIwMTc8L1llYXI+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</w:fldData>
        </w:fldChar>
      </w:r>
      <w:r w:rsidR="006952AD">
        <w:instrText xml:space="preserve"> ADDIN EN.CITE </w:instrText>
      </w:r>
      <w:r w:rsidR="006952AD">
        <w:fldChar w:fldCharType="begin">
          <w:fldData xml:space="preserve">PEVuZE5vdGU+PENpdGU+PEF1dGhvcj5CYW5lcmplZTwvQXV0aG9yPjxZZWFyPjIwMTc8L1llYXI+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</w:fldData>
        </w:fldChar>
      </w:r>
      <w:r w:rsidR="006952AD">
        <w:instrText xml:space="preserve"> ADDIN EN.CITE.DATA </w:instrText>
      </w:r>
      <w:r w:rsidR="006952AD">
        <w:fldChar w:fldCharType="end"/>
      </w:r>
      <w:r w:rsidR="0020278B" w:rsidRPr="00A55335">
        <w:fldChar w:fldCharType="separate"/>
      </w:r>
      <w:r w:rsidR="0020278B" w:rsidRPr="00A55335">
        <w:rPr>
          <w:noProof/>
        </w:rPr>
        <w:t>(</w:t>
      </w:r>
      <w:hyperlink w:anchor="_ENREF_12" w:tooltip="Banerjee, 2017 #21" w:history="1">
        <w:r w:rsidR="00EC2769" w:rsidRPr="00A55335">
          <w:rPr>
            <w:noProof/>
          </w:rPr>
          <w:t>12</w:t>
        </w:r>
      </w:hyperlink>
      <w:r w:rsidR="0020278B" w:rsidRPr="00A55335">
        <w:rPr>
          <w:noProof/>
        </w:rPr>
        <w:t>)</w:t>
      </w:r>
      <w:r w:rsidR="0020278B" w:rsidRPr="00A55335">
        <w:fldChar w:fldCharType="end"/>
      </w:r>
      <w:r w:rsidRPr="00A55335">
        <w:t xml:space="preserve"> and eczema </w:t>
      </w:r>
      <w:r w:rsidRPr="00A55335">
        <w:fldChar w:fldCharType="begin"/>
      </w:r>
      <w:r w:rsidR="00EC2769">
        <w:instrText xml:space="preserve"> ADDIN EN.CITE &lt;EndNote&gt;&lt;Cite&gt;&lt;Author&gt;Ernst&lt;/Author&gt;&lt;Year&gt;2012&lt;/Year&gt;&lt;RecNum&gt;713&lt;/RecNum&gt;&lt;DisplayText&gt;(365)&lt;/DisplayText&gt;&lt;record&gt;&lt;rec-number&gt;713&lt;/rec-number&gt;&lt;foreign-keys&gt;&lt;key app="EN" db-id="t5prptatr9sp0we5exbxt9zz20fwp55tdza9" timestamp="1702513281"&gt;713&lt;/key&gt;&lt;/foreign-keys&gt;&lt;ref-type name="Journal Article"&gt;17&lt;/ref-type&gt;&lt;contributors&gt;&lt;authors&gt;&lt;author&gt;Ernst, E.&lt;/author&gt;&lt;/authors&gt;&lt;/contributors&gt;&lt;auth-address&gt;Complementary Medicine, Peninsula Medical School, Exeter EX2 4SG, UK. edzard.ernst@pms.ac.uk&lt;/auth-address&gt;&lt;titles&gt;&lt;title&gt;Homeopathy for eczema: a systematic review of controlled clinical trials&lt;/title&gt;&lt;secondary-title&gt;Br J Dermatol&lt;/secondary-title&gt;&lt;/titles&gt;&lt;periodical&gt;&lt;full-title&gt;Br J Dermatol&lt;/full-title&gt;&lt;/periodical&gt;&lt;pages&gt;1170-2&lt;/pages&gt;&lt;volume&gt;166&lt;/volume&gt;&lt;number&gt;6&lt;/number&gt;&lt;edition&gt;20120508&lt;/edition&gt;&lt;keywords&gt;&lt;keyword&gt;Clinical Trials as Topic&lt;/keyword&gt;&lt;keyword&gt;Eczema/*therapy&lt;/keyword&gt;&lt;keyword&gt;*Homeopathy&lt;/keyword&gt;&lt;keyword&gt;Humans&lt;/keyword&gt;&lt;keyword&gt;Treatment Outcome&lt;/keyword&gt;&lt;/keywords&gt;&lt;dates&gt;&lt;year&gt;2012&lt;/year&gt;&lt;pub-dates&gt;&lt;date&gt;Jun&lt;/date&gt;&lt;/pub-dates&gt;&lt;/dates&gt;&lt;isbn&gt;0007-0963&lt;/isbn&gt;&lt;accession-num&gt;22568455&lt;/accession-num&gt;&lt;urls&gt;&lt;/urls&gt;&lt;electronic-resource-num&gt;10.1111/j.1365-2133.2012.10994.x&lt;/electronic-resource-num&gt;&lt;remote-database-provider&gt;NLM&lt;/remote-database-provider&gt;&lt;language&gt;eng&lt;/language&gt;&lt;/record&gt;&lt;/Cite&gt;&lt;/EndNote&gt;</w:instrText>
      </w:r>
      <w:r w:rsidRPr="00A55335">
        <w:fldChar w:fldCharType="separate"/>
      </w:r>
      <w:r w:rsidR="00EC2769">
        <w:rPr>
          <w:noProof/>
        </w:rPr>
        <w:t>(</w:t>
      </w:r>
      <w:hyperlink w:anchor="_ENREF_365" w:tooltip="Ernst, 2012 #713" w:history="1">
        <w:r w:rsidR="00EC2769">
          <w:rPr>
            <w:noProof/>
          </w:rPr>
          <w:t>365</w:t>
        </w:r>
      </w:hyperlink>
      <w:r w:rsidR="00EC2769">
        <w:rPr>
          <w:noProof/>
        </w:rPr>
        <w:t>)</w:t>
      </w:r>
      <w:r w:rsidRPr="00A55335">
        <w:fldChar w:fldCharType="end"/>
      </w:r>
      <w:r w:rsidRPr="00A55335">
        <w:t xml:space="preserve"> were identified. </w:t>
      </w:r>
      <w:proofErr w:type="gramStart"/>
      <w:r w:rsidRPr="00A55335">
        <w:t>Similar to</w:t>
      </w:r>
      <w:proofErr w:type="gramEnd"/>
      <w:r w:rsidRPr="00A55335">
        <w:t xml:space="preserve"> our findings, these systematic reviews were not able to conclude that homeopathy is effective for atopic conditions. The review authors for both systematic reviews noted the poor methodological quality of the identified studies which limited interpretation of the results.</w:t>
      </w:r>
    </w:p>
    <w:p w14:paraId="1FF854A6" w14:textId="4732B472" w:rsidR="00FB286D" w:rsidRPr="00A55335" w:rsidRDefault="00FB286D" w:rsidP="00AD4DE8">
      <w:pPr>
        <w:pStyle w:val="Heading3"/>
      </w:pPr>
      <w:bookmarkStart w:id="544" w:name="_Toc183441430"/>
      <w:r w:rsidRPr="00A55335">
        <w:t>Recurrent infections (otitis media)</w:t>
      </w:r>
      <w:bookmarkEnd w:id="544"/>
      <w:r w:rsidRPr="00A55335">
        <w:t xml:space="preserve"> </w:t>
      </w:r>
    </w:p>
    <w:p w14:paraId="14F9D028" w14:textId="08362F42" w:rsidR="00CD0F48" w:rsidRPr="00A55335" w:rsidRDefault="00CD0F48" w:rsidP="00CD0F48">
      <w:pPr>
        <w:pStyle w:val="BodyText"/>
      </w:pPr>
      <w:r w:rsidRPr="00A55335">
        <w:t>No systematic reviews assessing the effectiveness of homeopathy in the treatment of children with recurrent otitis media were found in the literature.</w:t>
      </w:r>
      <w:r w:rsidR="002230BE" w:rsidRPr="00A55335">
        <w:t xml:space="preserve"> </w:t>
      </w:r>
      <w:r w:rsidR="00AD4DE8" w:rsidRPr="00A55335">
        <w:t>T</w:t>
      </w:r>
      <w:r w:rsidRPr="00A55335">
        <w:t xml:space="preserve">here was one systematic review that assessed the effectiveness of homeopathy specifically for the treatment of otitis media </w:t>
      </w:r>
      <w:r w:rsidRPr="00BD1A50">
        <w:rPr>
          <w:rStyle w:val="Emphasis"/>
        </w:rPr>
        <w:t>with effusion</w:t>
      </w:r>
      <w:r w:rsidRPr="00A55335">
        <w:t xml:space="preserve"> </w:t>
      </w:r>
      <w:r w:rsidRPr="00A55335">
        <w:fldChar w:fldCharType="begin"/>
      </w:r>
      <w:r w:rsidR="00EC2769">
        <w:instrText xml:space="preserve"> ADDIN EN.CITE &lt;EndNote&gt;&lt;Cite&gt;&lt;Author&gt;Fixsen&lt;/Author&gt;&lt;Year&gt;2013&lt;/Year&gt;&lt;RecNum&gt;361&lt;/RecNum&gt;&lt;DisplayText&gt;(366)&lt;/DisplayText&gt;&lt;record&gt;&lt;rec-number&gt;361&lt;/rec-number&gt;&lt;foreign-keys&gt;&lt;key app="EN" db-id="t5prptatr9sp0we5exbxt9zz20fwp55tdza9" timestamp="1700774032"&gt;361&lt;/key&gt;&lt;/foreign-keys&gt;&lt;ref-type name="Journal Article"&gt;17&lt;/ref-type&gt;&lt;contributors&gt;&lt;authors&gt;&lt;author&gt;Fixsen, A.&lt;/author&gt;&lt;/authors&gt;&lt;/contributors&gt;&lt;auth-address&gt;The Aurum Project, 1110-1120 Dale Street, Brookvale, NSW 22100, Australia. A.Fixsen@wmin.ac.uk&lt;/auth-address&gt;&lt;titles&gt;&lt;title&gt;Should homeopathy be considered as part of a treatment strategy for otitis media with effusion in children?&lt;/title&gt;&lt;secondary-title&gt;Homeopathy&lt;/secondary-title&gt;&lt;/titles&gt;&lt;periodical&gt;&lt;full-title&gt;Homeopathy&lt;/full-title&gt;&lt;/periodical&gt;&lt;pages&gt;145-50&lt;/pages&gt;&lt;volume&gt;102&lt;/volume&gt;&lt;number&gt;2&lt;/number&gt;&lt;keywords&gt;&lt;keyword&gt;Anti-Bacterial Agents/*therapeutic use&lt;/keyword&gt;&lt;keyword&gt;Child&lt;/keyword&gt;&lt;keyword&gt;*Homeopathy&lt;/keyword&gt;&lt;keyword&gt;Humans&lt;/keyword&gt;&lt;keyword&gt;Otitis Media with Effusion/*drug therapy&lt;/keyword&gt;&lt;keyword&gt;Treatment Outcome&lt;/keyword&gt;&lt;/keywords&gt;&lt;dates&gt;&lt;year&gt;2013&lt;/year&gt;&lt;pub-dates&gt;&lt;date&gt;Apr&lt;/date&gt;&lt;/pub-dates&gt;&lt;/dates&gt;&lt;isbn&gt;1476-4245 (Electronic)&amp;#xD;1475-4916 (Linking)&lt;/isbn&gt;&lt;accession-num&gt;23622265&lt;/accession-num&gt;&lt;urls&gt;&lt;related-urls&gt;&lt;url&gt;https://www.ncbi.nlm.nih.gov/pubmed/23622265&lt;/url&gt;&lt;/related-urls&gt;&lt;/urls&gt;&lt;electronic-resource-num&gt;10.1016/j.homp.2013.01.004&lt;/electronic-resource-num&gt;&lt;remote-database-name&gt;Medline&lt;/remote-database-name&gt;&lt;remote-database-provider&gt;NLM&lt;/remote-database-provider&gt;&lt;/record&gt;&lt;/Cite&gt;&lt;/EndNote&gt;</w:instrText>
      </w:r>
      <w:r w:rsidRPr="00A55335">
        <w:fldChar w:fldCharType="separate"/>
      </w:r>
      <w:r w:rsidR="00EC2769">
        <w:rPr>
          <w:noProof/>
        </w:rPr>
        <w:t>(</w:t>
      </w:r>
      <w:hyperlink w:anchor="_ENREF_366" w:tooltip="Fixsen, 2013 #361" w:history="1">
        <w:r w:rsidR="00EC2769">
          <w:rPr>
            <w:noProof/>
          </w:rPr>
          <w:t>366</w:t>
        </w:r>
      </w:hyperlink>
      <w:r w:rsidR="00EC2769">
        <w:rPr>
          <w:noProof/>
        </w:rPr>
        <w:t>)</w:t>
      </w:r>
      <w:r w:rsidRPr="00A55335">
        <w:fldChar w:fldCharType="end"/>
      </w:r>
      <w:r w:rsidRPr="00A55335">
        <w:t xml:space="preserve">. The review identified 3 RCTs that were also identified and assessed in this review (Harrison 1999, Jacobs 2001, Sinha 2012). One RCT compared homeopathy with a placebo (total 75 participants), one compared homeopathy with an inactive control (no intervention) (33 participants), and one compared homeopathy with an active control (33 participants). The identified review </w:t>
      </w:r>
      <w:r w:rsidRPr="00A55335">
        <w:fldChar w:fldCharType="begin"/>
      </w:r>
      <w:r w:rsidR="00EC2769">
        <w:instrText xml:space="preserve"> ADDIN EN.CITE &lt;EndNote&gt;&lt;Cite&gt;&lt;Author&gt;Fixsen&lt;/Author&gt;&lt;Year&gt;2013&lt;/Year&gt;&lt;RecNum&gt;361&lt;/RecNum&gt;&lt;DisplayText&gt;(366)&lt;/DisplayText&gt;&lt;record&gt;&lt;rec-number&gt;361&lt;/rec-number&gt;&lt;foreign-keys&gt;&lt;key app="EN" db-id="t5prptatr9sp0we5exbxt9zz20fwp55tdza9" timestamp="1700774032"&gt;361&lt;/key&gt;&lt;/foreign-keys&gt;&lt;ref-type name="Journal Article"&gt;17&lt;/ref-type&gt;&lt;contributors&gt;&lt;authors&gt;&lt;author&gt;Fixsen, A.&lt;/author&gt;&lt;/authors&gt;&lt;/contributors&gt;&lt;auth-address&gt;The Aurum Project, 1110-1120 Dale Street, Brookvale, NSW 22100, Australia. A.Fixsen@wmin.ac.uk&lt;/auth-address&gt;&lt;titles&gt;&lt;title&gt;Should homeopathy be considered as part of a treatment strategy for otitis media with effusion in children?&lt;/title&gt;&lt;secondary-title&gt;Homeopathy&lt;/secondary-title&gt;&lt;/titles&gt;&lt;periodical&gt;&lt;full-title&gt;Homeopathy&lt;/full-title&gt;&lt;/periodical&gt;&lt;pages&gt;145-50&lt;/pages&gt;&lt;volume&gt;102&lt;/volume&gt;&lt;number&gt;2&lt;/number&gt;&lt;keywords&gt;&lt;keyword&gt;Anti-Bacterial Agents/*therapeutic use&lt;/keyword&gt;&lt;keyword&gt;Child&lt;/keyword&gt;&lt;keyword&gt;*Homeopathy&lt;/keyword&gt;&lt;keyword&gt;Humans&lt;/keyword&gt;&lt;keyword&gt;Otitis Media with Effusion/*drug therapy&lt;/keyword&gt;&lt;keyword&gt;Treatment Outcome&lt;/keyword&gt;&lt;/keywords&gt;&lt;dates&gt;&lt;year&gt;2013&lt;/year&gt;&lt;pub-dates&gt;&lt;date&gt;Apr&lt;/date&gt;&lt;/pub-dates&gt;&lt;/dates&gt;&lt;isbn&gt;1476-4245 (Electronic)&amp;#xD;1475-4916 (Linking)&lt;/isbn&gt;&lt;accession-num&gt;23622265&lt;/accession-num&gt;&lt;urls&gt;&lt;related-urls&gt;&lt;url&gt;https://www.ncbi.nlm.nih.gov/pubmed/23622265&lt;/url&gt;&lt;/related-urls&gt;&lt;/urls&gt;&lt;electronic-resource-num&gt;10.1016/j.homp.2013.01.004&lt;/electronic-resource-num&gt;&lt;remote-database-name&gt;Medline&lt;/remote-database-name&gt;&lt;remote-database-provider&gt;NLM&lt;/remote-database-provider&gt;&lt;/record&gt;&lt;/Cite&gt;&lt;/EndNote&gt;</w:instrText>
      </w:r>
      <w:r w:rsidRPr="00A55335">
        <w:fldChar w:fldCharType="separate"/>
      </w:r>
      <w:r w:rsidR="00EC2769">
        <w:rPr>
          <w:noProof/>
        </w:rPr>
        <w:t>(</w:t>
      </w:r>
      <w:hyperlink w:anchor="_ENREF_366" w:tooltip="Fixsen, 2013 #361" w:history="1">
        <w:r w:rsidR="00EC2769">
          <w:rPr>
            <w:noProof/>
          </w:rPr>
          <w:t>366</w:t>
        </w:r>
      </w:hyperlink>
      <w:r w:rsidR="00EC2769">
        <w:rPr>
          <w:noProof/>
        </w:rPr>
        <w:t>)</w:t>
      </w:r>
      <w:r w:rsidRPr="00A55335">
        <w:fldChar w:fldCharType="end"/>
      </w:r>
      <w:r w:rsidRPr="00A55335">
        <w:t xml:space="preserve"> concluded that further research was required to draw conclusions on the effectiveness of homeopathy for the treatment of otitis media with effusion in children. No conclusions were drawn as to the certainty of the evidence presented in the 3 RCTs identified. </w:t>
      </w:r>
    </w:p>
    <w:p w14:paraId="629387F4" w14:textId="6B470CA6" w:rsidR="007156B8" w:rsidRPr="00A55335" w:rsidRDefault="00E96B91" w:rsidP="002230BE">
      <w:pPr>
        <w:pStyle w:val="Heading3"/>
      </w:pPr>
      <w:bookmarkStart w:id="545" w:name="_Toc183441431"/>
      <w:r w:rsidRPr="00A55335">
        <w:lastRenderedPageBreak/>
        <w:t>Recurrent infections (upper respiratory tract)</w:t>
      </w:r>
      <w:bookmarkEnd w:id="545"/>
    </w:p>
    <w:p w14:paraId="476EE542" w14:textId="1DEC9789" w:rsidR="00191F93" w:rsidRPr="00BD1A50" w:rsidRDefault="00191F93" w:rsidP="009B3685">
      <w:pPr>
        <w:pStyle w:val="BodyText"/>
      </w:pPr>
      <w:r w:rsidRPr="00A55335">
        <w:t>No systematic reviews assessing the effectiveness of homeopathy for recurrent URTIs were found in the literature. A Cochrane review that assessed the effectiveness of homeopathy for preventing and treating acute respiratory tract infections (</w:t>
      </w:r>
      <w:proofErr w:type="spellStart"/>
      <w:r w:rsidRPr="00A55335">
        <w:t>aRTI</w:t>
      </w:r>
      <w:proofErr w:type="spellEnd"/>
      <w:r w:rsidRPr="00A55335">
        <w:t xml:space="preserve">) in children was found </w:t>
      </w:r>
      <w:r w:rsidRPr="00A55335">
        <w:fldChar w:fldCharType="begin">
          <w:fldData xml:space="preserve">PEVuZE5vdGU+PENpdGU+PEF1dGhvcj5IYXdrZTwvQXV0aG9yPjxZZWFyPjIwMjI8L1llYXI+PFJl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</w:fldData>
        </w:fldChar>
      </w:r>
      <w:r w:rsidR="006952AD">
        <w:instrText xml:space="preserve"> ADDIN EN.CITE </w:instrText>
      </w:r>
      <w:r w:rsidR="006952AD">
        <w:fldChar w:fldCharType="begin">
          <w:fldData xml:space="preserve">PEVuZE5vdGU+PENpdGU+PEF1dGhvcj5IYXdrZTwvQXV0aG9yPjxZZWFyPjIwMjI8L1llYXI+PFJl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</w:fldData>
        </w:fldChar>
      </w:r>
      <w:r w:rsidR="006952AD">
        <w:instrText xml:space="preserve"> ADDIN EN.CITE.DATA </w:instrText>
      </w:r>
      <w:r w:rsidR="006952AD">
        <w:fldChar w:fldCharType="end"/>
      </w:r>
      <w:r w:rsidRPr="00A55335">
        <w:fldChar w:fldCharType="separate"/>
      </w:r>
      <w:r w:rsidR="00067842">
        <w:rPr>
          <w:noProof/>
        </w:rPr>
        <w:t>(</w:t>
      </w:r>
      <w:hyperlink w:anchor="_ENREF_109" w:tooltip="Hawke, 2022 #369" w:history="1">
        <w:r w:rsidR="00EC2769">
          <w:rPr>
            <w:noProof/>
          </w:rPr>
          <w:t>109</w:t>
        </w:r>
      </w:hyperlink>
      <w:r w:rsidR="00067842">
        <w:rPr>
          <w:noProof/>
        </w:rPr>
        <w:t>)</w:t>
      </w:r>
      <w:r w:rsidRPr="00A55335">
        <w:fldChar w:fldCharType="end"/>
      </w:r>
      <w:r w:rsidRPr="00A55335">
        <w:t xml:space="preserve">. The review identified 11 RCTs (total 1813 participants) that compared homeopathy with a control treatment (either placebo or conventional treatment) for </w:t>
      </w:r>
      <w:proofErr w:type="spellStart"/>
      <w:r w:rsidRPr="00A55335">
        <w:t>aRTIs</w:t>
      </w:r>
      <w:proofErr w:type="spellEnd"/>
      <w:r w:rsidRPr="00A55335">
        <w:t xml:space="preserve">. Outcomes reported in these RCTs included disease severity, antibiotic use, recurrence of </w:t>
      </w:r>
      <w:proofErr w:type="spellStart"/>
      <w:r w:rsidRPr="00A55335">
        <w:t>aRTI</w:t>
      </w:r>
      <w:proofErr w:type="spellEnd"/>
      <w:r w:rsidRPr="00A55335">
        <w:t xml:space="preserve"> and adverse events. Of the RCTs identified in the Cochrane review</w:t>
      </w:r>
      <w:r w:rsidRPr="00BD1A50">
        <w:t xml:space="preserve">, 4 were not included in this review, as they did not fit the criteria or definition </w:t>
      </w:r>
      <w:r w:rsidR="00482025" w:rsidRPr="00BD1A50">
        <w:t xml:space="preserve">for prevention </w:t>
      </w:r>
      <w:r w:rsidRPr="00BD1A50">
        <w:t>of recurrent URTIs</w:t>
      </w:r>
      <w:r w:rsidR="00D46596" w:rsidRPr="00A55335">
        <w:t>.</w:t>
      </w:r>
      <w:r w:rsidR="002D0ECD" w:rsidRPr="00A55335">
        <w:t xml:space="preserve"> </w:t>
      </w:r>
      <w:r w:rsidRPr="00A55335">
        <w:t xml:space="preserve">Although the population assessed in the Cochrane review was specific to prevention and treatment of acute infection in children, the conclusions were found to align with this current review; with the certainty of evidence judged to be low or very low for most outcomes. Similar to this review, the Cochrane review found the studies </w:t>
      </w:r>
      <w:r w:rsidR="0059772D" w:rsidRPr="00A55335">
        <w:t>“</w:t>
      </w:r>
      <w:r w:rsidRPr="00BD1A50">
        <w:t xml:space="preserve">did not show </w:t>
      </w:r>
      <w:r w:rsidRPr="00A55335">
        <w:t>any</w:t>
      </w:r>
      <w:r w:rsidRPr="00BD1A50">
        <w:t xml:space="preserve"> consistent benefit of homeopathic medicinal products compared to placebo on </w:t>
      </w:r>
      <w:proofErr w:type="spellStart"/>
      <w:r w:rsidRPr="00BD1A50">
        <w:t>aRTI</w:t>
      </w:r>
      <w:proofErr w:type="spellEnd"/>
      <w:r w:rsidRPr="00BD1A50">
        <w:t xml:space="preserve"> recurrence or cure rates in children</w:t>
      </w:r>
      <w:r w:rsidR="0059772D" w:rsidRPr="00BD1A50">
        <w:t>”</w:t>
      </w:r>
      <w:r w:rsidR="007E5512">
        <w:t xml:space="preserve"> </w:t>
      </w:r>
      <w:r w:rsidR="007E5512" w:rsidRPr="00A55335">
        <w:fldChar w:fldCharType="begin">
          <w:fldData xml:space="preserve">PEVuZE5vdGU+PENpdGU+PEF1dGhvcj5IYXdrZTwvQXV0aG9yPjxZZWFyPjIwMjI8L1llYXI+PFJl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</w:fldData>
        </w:fldChar>
      </w:r>
      <w:r w:rsidR="006952AD">
        <w:instrText xml:space="preserve"> ADDIN EN.CITE </w:instrText>
      </w:r>
      <w:r w:rsidR="006952AD">
        <w:fldChar w:fldCharType="begin">
          <w:fldData xml:space="preserve">PEVuZE5vdGU+PENpdGU+PEF1dGhvcj5IYXdrZTwvQXV0aG9yPjxZZWFyPjIwMjI8L1llYXI+PFJl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</w:fldData>
        </w:fldChar>
      </w:r>
      <w:r w:rsidR="006952AD">
        <w:instrText xml:space="preserve"> ADDIN EN.CITE.DATA </w:instrText>
      </w:r>
      <w:r w:rsidR="006952AD">
        <w:fldChar w:fldCharType="end"/>
      </w:r>
      <w:r w:rsidR="007E5512" w:rsidRPr="00A55335">
        <w:fldChar w:fldCharType="separate"/>
      </w:r>
      <w:r w:rsidR="00A31C60">
        <w:rPr>
          <w:noProof/>
        </w:rPr>
        <w:t>(</w:t>
      </w:r>
      <w:hyperlink w:anchor="_ENREF_109" w:tooltip="Hawke, 2022 #369" w:history="1">
        <w:r w:rsidR="00EC2769">
          <w:rPr>
            <w:noProof/>
          </w:rPr>
          <w:t>109</w:t>
        </w:r>
      </w:hyperlink>
      <w:r w:rsidR="00A31C60">
        <w:rPr>
          <w:noProof/>
        </w:rPr>
        <w:t>)</w:t>
      </w:r>
      <w:r w:rsidR="007E5512" w:rsidRPr="00A55335">
        <w:fldChar w:fldCharType="end"/>
      </w:r>
      <w:r w:rsidRPr="00BD1A50">
        <w:t>.</w:t>
      </w:r>
    </w:p>
    <w:p w14:paraId="4ABBEEBE" w14:textId="32DA687A" w:rsidR="00E96B91" w:rsidRPr="00A55335" w:rsidRDefault="00E96B91" w:rsidP="00E96B91">
      <w:pPr>
        <w:pStyle w:val="Heading3"/>
      </w:pPr>
      <w:bookmarkStart w:id="546" w:name="_Toc183441432"/>
      <w:r w:rsidRPr="00A55335">
        <w:t>Recurrent infections (genitourinary)</w:t>
      </w:r>
      <w:bookmarkEnd w:id="546"/>
    </w:p>
    <w:p w14:paraId="60B09E63" w14:textId="3E103A3A" w:rsidR="002F3A8B" w:rsidRPr="00A55335" w:rsidRDefault="002F3A8B" w:rsidP="00191F93">
      <w:pPr>
        <w:pStyle w:val="BodyText"/>
      </w:pPr>
      <w:r w:rsidRPr="00A55335">
        <w:t xml:space="preserve">No systematic reviews assessing the effectiveness of homeopathy in the treatment of recurrent genitourinary tract infections were found in the literature. </w:t>
      </w:r>
    </w:p>
    <w:p w14:paraId="6AE8E329" w14:textId="27805B1E" w:rsidR="00732329" w:rsidRPr="00A55335" w:rsidRDefault="00732329" w:rsidP="00D7268B">
      <w:pPr>
        <w:pStyle w:val="Heading3"/>
      </w:pPr>
      <w:bookmarkStart w:id="547" w:name="_Toc183441433"/>
      <w:r w:rsidRPr="00A55335">
        <w:t>Anxiety</w:t>
      </w:r>
      <w:bookmarkEnd w:id="547"/>
    </w:p>
    <w:p w14:paraId="51F01097" w14:textId="3BE2959F" w:rsidR="00366F20" w:rsidRPr="00A55335" w:rsidRDefault="000E5513" w:rsidP="000E5513">
      <w:pPr>
        <w:pStyle w:val="BodyText"/>
      </w:pPr>
      <w:r w:rsidRPr="00A55335">
        <w:t xml:space="preserve">One systematic review assessing the effectiveness of homeopathy for anxiety was found in the literature </w:t>
      </w:r>
      <w:r w:rsidRPr="00A55335">
        <w:fldChar w:fldCharType="begin"/>
      </w:r>
      <w:r w:rsidR="00EC2769">
        <w:instrText xml:space="preserve"> ADDIN EN.CITE &lt;EndNote&gt;&lt;Cite&gt;&lt;Author&gt;Pilkington&lt;/Author&gt;&lt;Year&gt;2006&lt;/Year&gt;&lt;RecNum&gt;322&lt;/RecNum&gt;&lt;DisplayText&gt;(367)&lt;/DisplayText&gt;&lt;record&gt;&lt;rec-number&gt;322&lt;/rec-number&gt;&lt;foreign-keys&gt;&lt;key app="EN" db-id="t5prptatr9sp0we5exbxt9zz20fwp55tdza9" timestamp="1700526462"&gt;322&lt;/key&gt;&lt;/foreign-keys&gt;&lt;ref-type name="Journal Article"&gt;17&lt;/ref-type&gt;&lt;contributors&gt;&lt;authors&gt;&lt;author&gt;Pilkington, K.&lt;/author&gt;&lt;author&gt;Kirkwood, G.&lt;/author&gt;&lt;author&gt;Rampes, H.&lt;/author&gt;&lt;author&gt;Fisher, P.&lt;/author&gt;&lt;author&gt;Richardson, J.&lt;/author&gt;&lt;/authors&gt;&lt;/contributors&gt;&lt;auth-address&gt;School of Integrated Health, University of Westminster, London, UK. k.pilkington@westminster.ac.uk&lt;/auth-address&gt;&lt;titles&gt;&lt;title&gt;Homeopathy for anxiety and anxiety disorders: a systematic review of the research&lt;/title&gt;&lt;secondary-title&gt;Homeopathy&lt;/secondary-title&gt;&lt;/titles&gt;&lt;periodical&gt;&lt;full-title&gt;Homeopathy&lt;/full-title&gt;&lt;/periodical&gt;&lt;pages&gt;151-62&lt;/pages&gt;&lt;volume&gt;95&lt;/volume&gt;&lt;number&gt;3&lt;/number&gt;&lt;keywords&gt;&lt;keyword&gt;Antidepressive Agents/therapeutic use&lt;/keyword&gt;&lt;keyword&gt;Anxiety/*therapy&lt;/keyword&gt;&lt;keyword&gt;Anxiety Disorders/*therapy&lt;/keyword&gt;&lt;keyword&gt;*Evidence-Based Medicine&lt;/keyword&gt;&lt;keyword&gt;Homeopathy/*methods/standards&lt;/keyword&gt;&lt;keyword&gt;Humans&lt;/keyword&gt;&lt;keyword&gt;Materia Medica/*therapeutic use&lt;/keyword&gt;&lt;keyword&gt;Patient Selection&lt;/keyword&gt;&lt;keyword&gt;Randomized Controlled Trials as Topic&lt;/keyword&gt;&lt;keyword&gt;Research Design/standards&lt;/keyword&gt;&lt;/keywords&gt;&lt;dates&gt;&lt;year&gt;2006&lt;/year&gt;&lt;pub-dates&gt;&lt;date&gt;Jul&lt;/date&gt;&lt;/pub-dates&gt;&lt;/dates&gt;&lt;isbn&gt;1475-4916 (Print)&amp;#xD;1475-4916 (Linking)&lt;/isbn&gt;&lt;accession-num&gt;16815519&lt;/accession-num&gt;&lt;urls&gt;&lt;related-urls&gt;&lt;url&gt;https://www.ncbi.nlm.nih.gov/pubmed/16815519&lt;/url&gt;&lt;/related-urls&gt;&lt;/urls&gt;&lt;electronic-resource-num&gt;10.1016/j.homp.2006.05.005&lt;/electronic-resource-num&gt;&lt;remote-database-name&gt;Medline&lt;/remote-database-name&gt;&lt;remote-database-provider&gt;NLM&lt;/remote-database-provider&gt;&lt;language&gt;eng&lt;/language&gt;&lt;/record&gt;&lt;/Cite&gt;&lt;/EndNote&gt;</w:instrText>
      </w:r>
      <w:r w:rsidRPr="00A55335">
        <w:fldChar w:fldCharType="separate"/>
      </w:r>
      <w:r w:rsidR="00EC2769">
        <w:rPr>
          <w:noProof/>
        </w:rPr>
        <w:t>(</w:t>
      </w:r>
      <w:hyperlink w:anchor="_ENREF_367" w:tooltip="Pilkington, 2006 #322" w:history="1">
        <w:r w:rsidR="00EC2769">
          <w:rPr>
            <w:noProof/>
          </w:rPr>
          <w:t>367</w:t>
        </w:r>
      </w:hyperlink>
      <w:r w:rsidR="00EC2769">
        <w:rPr>
          <w:noProof/>
        </w:rPr>
        <w:t>)</w:t>
      </w:r>
      <w:r w:rsidRPr="00A55335">
        <w:fldChar w:fldCharType="end"/>
      </w:r>
      <w:r w:rsidRPr="00A55335">
        <w:t xml:space="preserve">. The review included 8 RCTs, 4 uncontrolled trials/case series, one pragmatic outcome study, several surveys and audit/patient outcome studies, and single-case reports/studies. The authors found that evidence on the benefit of homeopathy in anxiety and anxiety disorders is limited; noting that the RCTs were of poor methodological quality and report contradictory results. The other studies (e.g. uncontrolled trials) report positive results, however without a control group, interpretation of results was limited. </w:t>
      </w:r>
    </w:p>
    <w:p w14:paraId="547F6EFD" w14:textId="77777777" w:rsidR="00366F20" w:rsidRPr="00A55335" w:rsidRDefault="000E5513" w:rsidP="000E5513">
      <w:pPr>
        <w:pStyle w:val="BodyText"/>
      </w:pPr>
      <w:r w:rsidRPr="00A55335">
        <w:t xml:space="preserve">Compared with this review, 3 RCTs are listed as awaiting classification (one RCT was not able to be retrieved and 2 RCTs were published in languages other than English), and 3 other RCTs were published in journals not indexed in any of the databases searched as part of this systematic review. As the identified systematic review was published in 2006, 3 of the studies identified as part of this review were not included in that analysis.  </w:t>
      </w:r>
    </w:p>
    <w:p w14:paraId="47012B9B" w14:textId="62E9E626" w:rsidR="000E5513" w:rsidRPr="00A55335" w:rsidRDefault="000E5513" w:rsidP="000E5513">
      <w:pPr>
        <w:pStyle w:val="BodyText"/>
      </w:pPr>
      <w:r w:rsidRPr="00A55335">
        <w:t xml:space="preserve">A second systematic review assessing the effectiveness of homeopathy in psychiatry also found that there is no support for the efficacy of homeopathy in anxiety or stress-related conditions </w:t>
      </w:r>
      <w:r w:rsidRPr="00A55335">
        <w:fldChar w:fldCharType="begin"/>
      </w:r>
      <w:r w:rsidR="00EC2769">
        <w:instrText xml:space="preserve"> ADDIN EN.CITE &lt;EndNote&gt;&lt;Cite&gt;&lt;Author&gt;Davidson&lt;/Author&gt;&lt;Year&gt;2011&lt;/Year&gt;&lt;RecNum&gt;324&lt;/RecNum&gt;&lt;DisplayText&gt;(368)&lt;/DisplayText&gt;&lt;record&gt;&lt;rec-number&gt;324&lt;/rec-number&gt;&lt;foreign-keys&gt;&lt;key app="EN" db-id="t5prptatr9sp0we5exbxt9zz20fwp55tdza9" timestamp="1700719247"&gt;324&lt;/key&gt;&lt;/foreign-keys&gt;&lt;ref-type name="Journal Article"&gt;17&lt;/ref-type&gt;&lt;contributors&gt;&lt;authors&gt;&lt;author&gt;Davidson, J. R.&lt;/author&gt;&lt;author&gt;Crawford, C.&lt;/author&gt;&lt;author&gt;Ives, J. A.&lt;/author&gt;&lt;author&gt;Jonas, W. B.&lt;/author&gt;&lt;/authors&gt;&lt;/contributors&gt;&lt;auth-address&gt;Department of Psychiatry and Behavioral Science, Duke University Medical Center, Durham, North Carolina, USA. jonathan.davidson@duke.edu&lt;/auth-address&gt;&lt;titles&gt;&lt;title&gt;Homeopathic treatments in psychiatry: a systematic review of randomized placebo-controlled studies&lt;/title&gt;&lt;secondary-title&gt;J Clin Psychiatry&lt;/secondary-title&gt;&lt;/titles&gt;&lt;periodical&gt;&lt;full-title&gt;J Clin Psychiatry&lt;/full-title&gt;&lt;/periodical&gt;&lt;pages&gt;795-805&lt;/pages&gt;&lt;volume&gt;72&lt;/volume&gt;&lt;number&gt;6&lt;/number&gt;&lt;keywords&gt;&lt;keyword&gt;Anxiety/drug therapy&lt;/keyword&gt;&lt;keyword&gt;*Homeopathy&lt;/keyword&gt;&lt;keyword&gt;Humans&lt;/keyword&gt;&lt;keyword&gt;Mental Disorders/*drug therapy&lt;/keyword&gt;&lt;keyword&gt;Randomized Controlled Trials as Topic/standards&lt;/keyword&gt;&lt;keyword&gt;Sample Size&lt;/keyword&gt;&lt;keyword&gt;Stress, Psychological/drug therapy&lt;/keyword&gt;&lt;keyword&gt;Treatment Outcome&lt;/keyword&gt;&lt;/keywords&gt;&lt;dates&gt;&lt;year&gt;2011&lt;/year&gt;&lt;pub-dates&gt;&lt;date&gt;Jun&lt;/date&gt;&lt;/pub-dates&gt;&lt;/dates&gt;&lt;isbn&gt;1555-2101 (Electronic)&amp;#xD;0160-6689 (Linking)&lt;/isbn&gt;&lt;accession-num&gt;21733480&lt;/accession-num&gt;&lt;urls&gt;&lt;related-urls&gt;&lt;url&gt;https://www.ncbi.nlm.nih.gov/pubmed/21733480&lt;/url&gt;&lt;/related-urls&gt;&lt;/urls&gt;&lt;electronic-resource-num&gt;10.4088/JCP.10r06580&lt;/electronic-resource-num&gt;&lt;remote-database-name&gt;Medline&lt;/remote-database-name&gt;&lt;remote-database-provider&gt;NLM&lt;/remote-database-provider&gt;&lt;language&gt;eng&lt;/language&gt;&lt;/record&gt;&lt;/Cite&gt;&lt;/EndNote&gt;</w:instrText>
      </w:r>
      <w:r w:rsidRPr="00A55335">
        <w:fldChar w:fldCharType="separate"/>
      </w:r>
      <w:r w:rsidR="00EC2769">
        <w:rPr>
          <w:noProof/>
        </w:rPr>
        <w:t>(</w:t>
      </w:r>
      <w:hyperlink w:anchor="_ENREF_368" w:tooltip="Davidson, 2011 #324" w:history="1">
        <w:r w:rsidR="00EC2769">
          <w:rPr>
            <w:noProof/>
          </w:rPr>
          <w:t>368</w:t>
        </w:r>
      </w:hyperlink>
      <w:r w:rsidR="00EC2769">
        <w:rPr>
          <w:noProof/>
        </w:rPr>
        <w:t>)</w:t>
      </w:r>
      <w:r w:rsidRPr="00A55335">
        <w:fldChar w:fldCharType="end"/>
      </w:r>
      <w:r w:rsidRPr="00A55335">
        <w:t xml:space="preserve">. </w:t>
      </w:r>
    </w:p>
    <w:p w14:paraId="26DBD9AF" w14:textId="5D6F5BC7" w:rsidR="00732329" w:rsidRPr="00A55335" w:rsidRDefault="00732329" w:rsidP="00D7268B">
      <w:pPr>
        <w:pStyle w:val="Heading3"/>
      </w:pPr>
      <w:bookmarkStart w:id="548" w:name="_Toc183441434"/>
      <w:r w:rsidRPr="00A55335">
        <w:t>Depression</w:t>
      </w:r>
      <w:bookmarkEnd w:id="548"/>
    </w:p>
    <w:p w14:paraId="1ACE7D99" w14:textId="24DD9645" w:rsidR="00783A0F" w:rsidRPr="00A55335" w:rsidRDefault="000E5513" w:rsidP="000E5513">
      <w:pPr>
        <w:pStyle w:val="BodyText"/>
      </w:pPr>
      <w:r w:rsidRPr="00A55335">
        <w:t xml:space="preserve">One systematic review assessing the effectiveness of homeopathy for the treatment of depression and depressive disorders was identified </w:t>
      </w:r>
      <w:r w:rsidRPr="00A55335">
        <w:fldChar w:fldCharType="begin"/>
      </w:r>
      <w:r w:rsidR="00EC2769">
        <w:instrText xml:space="preserve"> ADDIN EN.CITE &lt;EndNote&gt;&lt;Cite&gt;&lt;Author&gt;Pilkington&lt;/Author&gt;&lt;Year&gt;2005&lt;/Year&gt;&lt;RecNum&gt;385&lt;/RecNum&gt;&lt;DisplayText&gt;(369)&lt;/DisplayText&gt;&lt;record&gt;&lt;rec-number&gt;385&lt;/rec-number&gt;&lt;foreign-keys&gt;&lt;key app="EN" db-id="t5prptatr9sp0we5exbxt9zz20fwp55tdza9" timestamp="1700774033"&gt;385&lt;/key&gt;&lt;/foreign-keys&gt;&lt;ref-type name="Journal Article"&gt;17&lt;/ref-type&gt;&lt;contributors&gt;&lt;authors&gt;&lt;author&gt;Pilkington, K.&lt;/author&gt;&lt;author&gt;Kirkwood, G.&lt;/author&gt;&lt;author&gt;Rampes, H.&lt;/author&gt;&lt;author&gt;Fisher, P.&lt;/author&gt;&lt;author&gt;Richardson, J.&lt;/author&gt;&lt;/authors&gt;&lt;/contributors&gt;&lt;auth-address&gt;Research Council for Complementary Medicine, London, UK. k.pilkington@westminster.ac.uk&lt;/auth-address&gt;&lt;titles&gt;&lt;title&gt;Homeopathy for depression: a systematic review of the research evidence&lt;/title&gt;&lt;secondary-title&gt;Homeopathy&lt;/secondary-title&gt;&lt;/titles&gt;&lt;periodical&gt;&lt;full-title&gt;Homeopathy&lt;/full-title&gt;&lt;/periodical&gt;&lt;pages&gt;153-63&lt;/pages&gt;&lt;volume&gt;94&lt;/volume&gt;&lt;number&gt;3&lt;/number&gt;&lt;keywords&gt;&lt;keyword&gt;Control Groups&lt;/keyword&gt;&lt;keyword&gt;Depression/*therapy&lt;/keyword&gt;&lt;keyword&gt;Depressive Disorder/*therapy&lt;/keyword&gt;&lt;keyword&gt;*Evidence-Based Medicine&lt;/keyword&gt;&lt;keyword&gt;Feasibility Studies&lt;/keyword&gt;&lt;keyword&gt;*Homeopathy/methods/standards&lt;/keyword&gt;&lt;keyword&gt;Humans&lt;/keyword&gt;&lt;keyword&gt;Patient Selection&lt;/keyword&gt;&lt;keyword&gt;Randomized Controlled Trials as Topic&lt;/keyword&gt;&lt;keyword&gt;Research Design/*standards&lt;/keyword&gt;&lt;/keywords&gt;&lt;dates&gt;&lt;year&gt;2005&lt;/year&gt;&lt;pub-dates&gt;&lt;date&gt;Jul&lt;/date&gt;&lt;/pub-dates&gt;&lt;/dates&gt;&lt;isbn&gt;1475-4916 (Print)&amp;#xD;1475-4916 (Linking)&lt;/isbn&gt;&lt;accession-num&gt;16060201&lt;/accession-num&gt;&lt;urls&gt;&lt;related-urls&gt;&lt;url&gt;https://www.ncbi.nlm.nih.gov/pubmed/16060201&lt;/url&gt;&lt;/related-urls&gt;&lt;/urls&gt;&lt;electronic-resource-num&gt;10.1016/j.homp.2005.04.003&lt;/electronic-resource-num&gt;&lt;remote-database-name&gt;Medline&lt;/remote-database-name&gt;&lt;remote-database-provider&gt;NLM&lt;/remote-database-provider&gt;&lt;language&gt;eng&lt;/language&gt;&lt;/record&gt;&lt;/Cite&gt;&lt;/EndNote&gt;</w:instrText>
      </w:r>
      <w:r w:rsidRPr="00A55335">
        <w:fldChar w:fldCharType="separate"/>
      </w:r>
      <w:r w:rsidR="00EC2769">
        <w:rPr>
          <w:noProof/>
        </w:rPr>
        <w:t>(</w:t>
      </w:r>
      <w:hyperlink w:anchor="_ENREF_369" w:tooltip="Pilkington, 2005 #385" w:history="1">
        <w:r w:rsidR="00EC2769">
          <w:rPr>
            <w:noProof/>
          </w:rPr>
          <w:t>369</w:t>
        </w:r>
      </w:hyperlink>
      <w:r w:rsidR="00EC2769">
        <w:rPr>
          <w:noProof/>
        </w:rPr>
        <w:t>)</w:t>
      </w:r>
      <w:r w:rsidRPr="00A55335">
        <w:fldChar w:fldCharType="end"/>
      </w:r>
      <w:r w:rsidRPr="00A55335">
        <w:t xml:space="preserve">. The systematic review included 2 RCTs comparing homeopathy to active control (anti-depressant). One of the studies also included placebo matched controls and this study has been included in this analysis (Katz 2005). As so few controlled studies were found, other studies such as uncontrolled and observational studies were also included. </w:t>
      </w:r>
    </w:p>
    <w:p w14:paraId="35EF7175" w14:textId="152DD845" w:rsidR="000E5513" w:rsidRPr="00A55335" w:rsidRDefault="000E5513" w:rsidP="000E5513">
      <w:pPr>
        <w:pStyle w:val="BodyText"/>
      </w:pPr>
      <w:r w:rsidRPr="00A55335">
        <w:t xml:space="preserve">The conclusion of the identified review aligns with this review. There is no evidence to support a benefit for homeopathy in the treatment of depression due to lack of clinical trials of high quality. The existing evidence is of poor methodological quality, which limits the interpretation of evidence. </w:t>
      </w:r>
    </w:p>
    <w:p w14:paraId="1E9D915D" w14:textId="58BAFFDD" w:rsidR="00732329" w:rsidRPr="00A55335" w:rsidRDefault="00732329" w:rsidP="00D7268B">
      <w:pPr>
        <w:pStyle w:val="Heading3"/>
      </w:pPr>
      <w:bookmarkStart w:id="549" w:name="_Toc183441435"/>
      <w:r w:rsidRPr="00A55335">
        <w:lastRenderedPageBreak/>
        <w:t>Neurodevelopmental disorders (ADHD)</w:t>
      </w:r>
      <w:bookmarkEnd w:id="549"/>
    </w:p>
    <w:p w14:paraId="44D6173F" w14:textId="53F9B40B" w:rsidR="008B3F27" w:rsidRPr="00A55335" w:rsidRDefault="000A4BC5" w:rsidP="000A4BC5">
      <w:pPr>
        <w:pStyle w:val="BodyText"/>
      </w:pPr>
      <w:r w:rsidRPr="00A55335">
        <w:t xml:space="preserve">One systematic review </w:t>
      </w:r>
      <w:r w:rsidRPr="00A55335">
        <w:fldChar w:fldCharType="begin"/>
      </w:r>
      <w:r w:rsidR="00EC2769">
        <w:instrText xml:space="preserve"> ADDIN EN.CITE &lt;EndNote&gt;&lt;Cite&gt;&lt;Author&gt;Heirs&lt;/Author&gt;&lt;Year&gt;2007&lt;/Year&gt;&lt;RecNum&gt;569&lt;/RecNum&gt;&lt;DisplayText&gt;(370)&lt;/DisplayText&gt;&lt;record&gt;&lt;rec-number&gt;569&lt;/rec-number&gt;&lt;foreign-keys&gt;&lt;key app="EN" db-id="t5prptatr9sp0we5exbxt9zz20fwp55tdza9" timestamp="1700802230"&gt;569&lt;/key&gt;&lt;/foreign-keys&gt;&lt;ref-type name="Journal Article"&gt;17&lt;/ref-type&gt;&lt;contributors&gt;&lt;authors&gt;&lt;author&gt;Heirs, M.&lt;/author&gt;&lt;author&gt;Dean, M. E.&lt;/author&gt;&lt;/authors&gt;&lt;/contributors&gt;&lt;titles&gt;&lt;title&gt;Homeopathy for attention deficit/hyperactivity disorder or hyperkinetic disorder&lt;/title&gt;&lt;secondary-title&gt;Cochrane Database of Systematic Reviews&lt;/secondary-title&gt;&lt;/titles&gt;&lt;periodical&gt;&lt;full-title&gt;Cochrane Database of Systematic Reviews&lt;/full-title&gt;&lt;/periodical&gt;&lt;number&gt;4&lt;/number&gt;&lt;keywords&gt;&lt;keyword&gt;Attention Deficit Disorder with Hyperactivity [*drug therapy]&lt;/keyword&gt;&lt;keyword&gt;Child&lt;/keyword&gt;&lt;keyword&gt;Homeopathy [*methods]&lt;/keyword&gt;&lt;keyword&gt;Humans&lt;/keyword&gt;&lt;keyword&gt;Hyperkinesis [*drug therapy]&lt;/keyword&gt;&lt;keyword&gt;Randomized Controlled Trials as Topic&lt;/keyword&gt;&lt;/keywords&gt;&lt;dates&gt;&lt;year&gt;2007&lt;/year&gt;&lt;/dates&gt;&lt;publisher&gt;John Wiley &amp;amp; Sons, Ltd&lt;/publisher&gt;&lt;isbn&gt;1465-1858&lt;/isbn&gt;&lt;accession-num&gt;CD005648&lt;/accession-num&gt;&lt;urls&gt;&lt;related-urls&gt;&lt;url&gt;https://doi.org//10.1002/14651858.CD005648.pub2&lt;/url&gt;&lt;/related-urls&gt;&lt;/urls&gt;&lt;electronic-resource-num&gt;10.1002/14651858.CD005648.pub2&lt;/electronic-resource-num&gt;&lt;/record&gt;&lt;/Cite&gt;&lt;/EndNote&gt;</w:instrText>
      </w:r>
      <w:r w:rsidRPr="00A55335">
        <w:fldChar w:fldCharType="separate"/>
      </w:r>
      <w:r w:rsidR="00EC2769">
        <w:rPr>
          <w:noProof/>
        </w:rPr>
        <w:t>(</w:t>
      </w:r>
      <w:hyperlink w:anchor="_ENREF_370" w:tooltip="Heirs, 2007 #569" w:history="1">
        <w:r w:rsidR="00EC2769">
          <w:rPr>
            <w:noProof/>
          </w:rPr>
          <w:t>370</w:t>
        </w:r>
      </w:hyperlink>
      <w:r w:rsidR="00EC2769">
        <w:rPr>
          <w:noProof/>
        </w:rPr>
        <w:t>)</w:t>
      </w:r>
      <w:r w:rsidRPr="00A55335">
        <w:fldChar w:fldCharType="end"/>
      </w:r>
      <w:r w:rsidRPr="00A55335">
        <w:t xml:space="preserve"> evaluating the effectiveness of homeopathy for the treatment of ADHD was identified in the literature. The review included 4 RCTs (total 168 participants) that compared homeopathy with a placebo </w:t>
      </w:r>
      <w:r w:rsidR="002D0ECD" w:rsidRPr="00A55335">
        <w:t xml:space="preserve">or control </w:t>
      </w:r>
      <w:r w:rsidRPr="00A55335">
        <w:t>group</w:t>
      </w:r>
      <w:r w:rsidR="002D0ECD" w:rsidRPr="00A55335">
        <w:t xml:space="preserve"> (inclusive of </w:t>
      </w:r>
      <w:r w:rsidR="00561A88" w:rsidRPr="00A55335">
        <w:t>waitlist</w:t>
      </w:r>
      <w:r w:rsidR="002D0ECD" w:rsidRPr="00A55335">
        <w:t>, no treatment, medication, educational or behavioural interventions)</w:t>
      </w:r>
      <w:r w:rsidRPr="00A55335">
        <w:t xml:space="preserve">. These 4 RCTs were identified and considered relevant for inclusion in this review, along with 3 additional RCTs that were published after the identified systematic review.  </w:t>
      </w:r>
    </w:p>
    <w:p w14:paraId="4D0FC1C4" w14:textId="2CE6C746" w:rsidR="000A4BC5" w:rsidRPr="00A55335" w:rsidRDefault="000A4BC5" w:rsidP="000A4BC5">
      <w:pPr>
        <w:pStyle w:val="BodyText"/>
      </w:pPr>
      <w:r w:rsidRPr="00A55335">
        <w:t xml:space="preserve">The results of the </w:t>
      </w:r>
      <w:r w:rsidR="004053A5" w:rsidRPr="00A55335">
        <w:t xml:space="preserve">published </w:t>
      </w:r>
      <w:r w:rsidRPr="00A55335">
        <w:t xml:space="preserve">review are in agreeance with this review, suggesting there is little evidence of benefit for homeopathy on global symptoms, core symptoms of inattention, hyperactivity or impulsivity, or related outcomes such as anxiety in people with ADHD </w:t>
      </w:r>
      <w:r w:rsidRPr="00A55335">
        <w:fldChar w:fldCharType="begin"/>
      </w:r>
      <w:r w:rsidR="00EC2769">
        <w:instrText xml:space="preserve"> ADDIN EN.CITE &lt;EndNote&gt;&lt;Cite&gt;&lt;Author&gt;Heirs&lt;/Author&gt;&lt;Year&gt;2007&lt;/Year&gt;&lt;RecNum&gt;569&lt;/RecNum&gt;&lt;DisplayText&gt;(370)&lt;/DisplayText&gt;&lt;record&gt;&lt;rec-number&gt;569&lt;/rec-number&gt;&lt;foreign-keys&gt;&lt;key app="EN" db-id="t5prptatr9sp0we5exbxt9zz20fwp55tdza9" timestamp="1700802230"&gt;569&lt;/key&gt;&lt;/foreign-keys&gt;&lt;ref-type name="Journal Article"&gt;17&lt;/ref-type&gt;&lt;contributors&gt;&lt;authors&gt;&lt;author&gt;Heirs, M.&lt;/author&gt;&lt;author&gt;Dean, M. E.&lt;/author&gt;&lt;/authors&gt;&lt;/contributors&gt;&lt;titles&gt;&lt;title&gt;Homeopathy for attention deficit/hyperactivity disorder or hyperkinetic disorder&lt;/title&gt;&lt;secondary-title&gt;Cochrane Database of Systematic Reviews&lt;/secondary-title&gt;&lt;/titles&gt;&lt;periodical&gt;&lt;full-title&gt;Cochrane Database of Systematic Reviews&lt;/full-title&gt;&lt;/periodical&gt;&lt;number&gt;4&lt;/number&gt;&lt;keywords&gt;&lt;keyword&gt;Attention Deficit Disorder with Hyperactivity [*drug therapy]&lt;/keyword&gt;&lt;keyword&gt;Child&lt;/keyword&gt;&lt;keyword&gt;Homeopathy [*methods]&lt;/keyword&gt;&lt;keyword&gt;Humans&lt;/keyword&gt;&lt;keyword&gt;Hyperkinesis [*drug therapy]&lt;/keyword&gt;&lt;keyword&gt;Randomized Controlled Trials as Topic&lt;/keyword&gt;&lt;/keywords&gt;&lt;dates&gt;&lt;year&gt;2007&lt;/year&gt;&lt;/dates&gt;&lt;publisher&gt;John Wiley &amp;amp; Sons, Ltd&lt;/publisher&gt;&lt;isbn&gt;1465-1858&lt;/isbn&gt;&lt;accession-num&gt;CD005648&lt;/accession-num&gt;&lt;urls&gt;&lt;related-urls&gt;&lt;url&gt;https://doi.org//10.1002/14651858.CD005648.pub2&lt;/url&gt;&lt;/related-urls&gt;&lt;/urls&gt;&lt;electronic-resource-num&gt;10.1002/14651858.CD005648.pub2&lt;/electronic-resource-num&gt;&lt;/record&gt;&lt;/Cite&gt;&lt;/EndNote&gt;</w:instrText>
      </w:r>
      <w:r w:rsidRPr="00A55335">
        <w:fldChar w:fldCharType="separate"/>
      </w:r>
      <w:r w:rsidR="00EC2769">
        <w:rPr>
          <w:noProof/>
        </w:rPr>
        <w:t>(</w:t>
      </w:r>
      <w:hyperlink w:anchor="_ENREF_370" w:tooltip="Heirs, 2007 #569" w:history="1">
        <w:r w:rsidR="00EC2769">
          <w:rPr>
            <w:noProof/>
          </w:rPr>
          <w:t>370</w:t>
        </w:r>
      </w:hyperlink>
      <w:r w:rsidR="00EC2769">
        <w:rPr>
          <w:noProof/>
        </w:rPr>
        <w:t>)</w:t>
      </w:r>
      <w:r w:rsidRPr="00A55335">
        <w:fldChar w:fldCharType="end"/>
      </w:r>
      <w:r w:rsidRPr="00A55335">
        <w:t xml:space="preserve">. </w:t>
      </w:r>
    </w:p>
    <w:p w14:paraId="5B4CFACD" w14:textId="6E1076B0" w:rsidR="00732329" w:rsidRPr="00A55335" w:rsidRDefault="00732329" w:rsidP="00D7268B">
      <w:pPr>
        <w:pStyle w:val="Heading3"/>
      </w:pPr>
      <w:bookmarkStart w:id="550" w:name="_Toc183441436"/>
      <w:r w:rsidRPr="00A55335">
        <w:t>Insomnia</w:t>
      </w:r>
      <w:r w:rsidR="006D4011" w:rsidRPr="00A55335">
        <w:t xml:space="preserve"> and sleep problems</w:t>
      </w:r>
      <w:bookmarkEnd w:id="550"/>
    </w:p>
    <w:p w14:paraId="2385B0B3" w14:textId="051D3CCB" w:rsidR="00FB5CF5" w:rsidRPr="00A55335" w:rsidRDefault="000A4BC5" w:rsidP="000A4BC5">
      <w:pPr>
        <w:pStyle w:val="BodyText"/>
      </w:pPr>
      <w:r w:rsidRPr="00A55335">
        <w:t xml:space="preserve">One systematic review </w:t>
      </w:r>
      <w:r w:rsidRPr="00A55335">
        <w:fldChar w:fldCharType="begin"/>
      </w:r>
      <w:r w:rsidR="00EC2769">
        <w:instrText xml:space="preserve"> ADDIN EN.CITE &lt;EndNote&gt;&lt;Cite&gt;&lt;Author&gt;Cooper&lt;/Author&gt;&lt;Year&gt;2010&lt;/Year&gt;&lt;RecNum&gt;408&lt;/RecNum&gt;&lt;DisplayText&gt;(371)&lt;/DisplayText&gt;&lt;record&gt;&lt;rec-number&gt;408&lt;/rec-number&gt;&lt;foreign-keys&gt;&lt;key app="EN" db-id="t5prptatr9sp0we5exbxt9zz20fwp55tdza9" timestamp="1700774033"&gt;408&lt;/key&gt;&lt;/foreign-keys&gt;&lt;ref-type name="Journal Article"&gt;17&lt;/ref-type&gt;&lt;contributors&gt;&lt;authors&gt;&lt;author&gt;Cooper, K. L.&lt;/author&gt;&lt;author&gt;Relton, C.&lt;/author&gt;&lt;/authors&gt;&lt;/contributors&gt;&lt;auth-address&gt;School of Health and Related Research (ScHARR), University of Sheffield, Regent Court, Sheffield, UK. k.l.cooper@sheffield.ac.uk&lt;/auth-address&gt;&lt;titles&gt;&lt;title&gt;Homeopathy for insomnia: a systematic review of research evidence&lt;/title&gt;&lt;secondary-title&gt;Sleep Med Rev&lt;/secondary-title&gt;&lt;/titles&gt;&lt;pages&gt;329-37&lt;/pages&gt;&lt;volume&gt;14&lt;/volume&gt;&lt;number&gt;5&lt;/number&gt;&lt;edition&gt;20100311&lt;/edition&gt;&lt;keywords&gt;&lt;keyword&gt;*Homeopathy/adverse effects/methods&lt;/keyword&gt;&lt;keyword&gt;Humans&lt;/keyword&gt;&lt;keyword&gt;Materia Medica/therapeutic use&lt;/keyword&gt;&lt;keyword&gt;Sleep Initiation and Maintenance Disorders/*therapy&lt;/keyword&gt;&lt;/keywords&gt;&lt;dates&gt;&lt;year&gt;2010&lt;/year&gt;&lt;pub-dates&gt;&lt;date&gt;Oct&lt;/date&gt;&lt;/pub-dates&gt;&lt;/dates&gt;&lt;pub-location&gt;England&lt;/pub-location&gt;&lt;publisher&gt;Elsevier Ltd&lt;/publisher&gt;&lt;isbn&gt;1532-2955 (Electronic)&amp;#xD;1087-0792 (Linking)&lt;/isbn&gt;&lt;accession-num&gt;20223686&lt;/accession-num&gt;&lt;urls&gt;&lt;related-urls&gt;&lt;url&gt;https://www.ncbi.nlm.nih.gov/pubmed/20223686&lt;/url&gt;&lt;/related-urls&gt;&lt;/urls&gt;&lt;electronic-resource-num&gt;10.1016/j.smrv.2009.11.005&lt;/electronic-resource-num&gt;&lt;remote-database-name&gt;Medline&lt;/remote-database-name&gt;&lt;remote-database-provider&gt;NLM&lt;/remote-database-provider&gt;&lt;/record&gt;&lt;/Cite&gt;&lt;/EndNote&gt;</w:instrText>
      </w:r>
      <w:r w:rsidRPr="00A55335">
        <w:fldChar w:fldCharType="separate"/>
      </w:r>
      <w:r w:rsidR="00EC2769">
        <w:rPr>
          <w:noProof/>
        </w:rPr>
        <w:t>(</w:t>
      </w:r>
      <w:hyperlink w:anchor="_ENREF_371" w:tooltip="Cooper, 2010 #408" w:history="1">
        <w:r w:rsidR="00EC2769">
          <w:rPr>
            <w:noProof/>
          </w:rPr>
          <w:t>371</w:t>
        </w:r>
      </w:hyperlink>
      <w:r w:rsidR="00EC2769">
        <w:rPr>
          <w:noProof/>
        </w:rPr>
        <w:t>)</w:t>
      </w:r>
      <w:r w:rsidRPr="00A55335">
        <w:fldChar w:fldCharType="end"/>
      </w:r>
      <w:r w:rsidRPr="00A55335">
        <w:t xml:space="preserve"> assessing the effectiveness of homeopathy for insomnia was found in the literature. The systematic review included 4 RCTs comparing homeopathy with placebo (total 145 participants analysed). Of these, 3 RCTs were identified in this review, but were published in a language other than English and were not included in the data synthesis. The other RCT was published in a journal not indexed in any of the databases searched as part of this systematic review. As the identified systematic review was published in 2010, none of the studies identified as part of this review were included in that analysis. </w:t>
      </w:r>
    </w:p>
    <w:p w14:paraId="12D47423" w14:textId="6FFEF83A" w:rsidR="000A4BC5" w:rsidRPr="00A55335" w:rsidRDefault="000A4BC5" w:rsidP="000A4BC5">
      <w:pPr>
        <w:pStyle w:val="BodyText"/>
      </w:pPr>
      <w:r w:rsidRPr="00A55335">
        <w:t>The conclusions of the identified review align with this review, suggesting there is no evidence to support a benefit for homeopathy in the treatment of insomnia. The existing evidence is in small studies of overall poor methodological quality, which limits interpretation of the evidence.</w:t>
      </w:r>
    </w:p>
    <w:p w14:paraId="74F8BC2D" w14:textId="13D4531A" w:rsidR="00732329" w:rsidRPr="00A55335" w:rsidRDefault="006D4011" w:rsidP="00D7268B">
      <w:pPr>
        <w:pStyle w:val="Heading3"/>
      </w:pPr>
      <w:bookmarkStart w:id="551" w:name="_Toc183441437"/>
      <w:r w:rsidRPr="00A55335">
        <w:t>Headache disorders</w:t>
      </w:r>
      <w:bookmarkEnd w:id="551"/>
    </w:p>
    <w:p w14:paraId="1B4A5F95" w14:textId="3DDEB847" w:rsidR="00CE65FB" w:rsidRPr="00A55335" w:rsidRDefault="00443539" w:rsidP="00443539">
      <w:pPr>
        <w:pStyle w:val="BodyText"/>
      </w:pPr>
      <w:r w:rsidRPr="00A55335">
        <w:t xml:space="preserve">One systematic review assessing the effectiveness of homeopathy for headache disorders was found in the literature </w:t>
      </w:r>
      <w:r w:rsidR="00067842">
        <w:fldChar w:fldCharType="begin"/>
      </w:r>
      <w:r w:rsidR="00EC2769">
        <w:instrText xml:space="preserve"> ADDIN EN.CITE &lt;EndNote&gt;&lt;Cite&gt;&lt;Author&gt;Owen&lt;/Author&gt;&lt;Year&gt;2004&lt;/Year&gt;&lt;RecNum&gt;684&lt;/RecNum&gt;&lt;DisplayText&gt;(372)&lt;/DisplayText&gt;&lt;record&gt;&lt;rec-number&gt;684&lt;/rec-number&gt;&lt;foreign-keys&gt;&lt;key app="EN" db-id="t5prptatr9sp0we5exbxt9zz20fwp55tdza9" timestamp="1702349893"&gt;684&lt;/key&gt;&lt;/foreign-keys&gt;&lt;ref-type name="Journal Article"&gt;17&lt;/ref-type&gt;&lt;contributors&gt;&lt;authors&gt;&lt;author&gt;Owen, Jonice M.&lt;/author&gt;&lt;author&gt;Green, Bart N.&lt;/author&gt;&lt;/authors&gt;&lt;/contributors&gt;&lt;titles&gt;&lt;title&gt;Homeopathic Treatment of Headaches: A Systematic Review of the Literature&lt;/title&gt;&lt;secondary-title&gt;Journal of Chiropractic Medicine&lt;/secondary-title&gt;&lt;/titles&gt;&lt;periodical&gt;&lt;full-title&gt;Journal of Chiropractic Medicine&lt;/full-title&gt;&lt;/periodical&gt;&lt;pages&gt;45-52&lt;/pages&gt;&lt;volume&gt;3&lt;/volume&gt;&lt;number&gt;2&lt;/number&gt;&lt;keywords&gt;&lt;keyword&gt;Homeopathy&lt;/keyword&gt;&lt;keyword&gt;Headache&lt;/keyword&gt;&lt;keyword&gt;Review of the Literature&lt;/keyword&gt;&lt;/keywords&gt;&lt;dates&gt;&lt;year&gt;2004&lt;/year&gt;&lt;pub-dates&gt;&lt;date&gt;2004/03/01/&lt;/date&gt;&lt;/pub-dates&gt;&lt;/dates&gt;&lt;isbn&gt;1556-3707&lt;/isbn&gt;&lt;urls&gt;&lt;related-urls&gt;&lt;url&gt;https://www.sciencedirect.com/science/article/pii/S0899346707600858&lt;/url&gt;&lt;/related-urls&gt;&lt;/urls&gt;&lt;electronic-resource-num&gt;https://doi.org/10.1016/S0899-3467(07)60085-8&lt;/electronic-resource-num&gt;&lt;/record&gt;&lt;/Cite&gt;&lt;/EndNote&gt;</w:instrText>
      </w:r>
      <w:r w:rsidR="00067842">
        <w:fldChar w:fldCharType="separate"/>
      </w:r>
      <w:r w:rsidR="00EC2769">
        <w:rPr>
          <w:noProof/>
        </w:rPr>
        <w:t>(</w:t>
      </w:r>
      <w:hyperlink w:anchor="_ENREF_372" w:tooltip="Owen, 2004 #684" w:history="1">
        <w:r w:rsidR="00EC2769">
          <w:rPr>
            <w:noProof/>
          </w:rPr>
          <w:t>372</w:t>
        </w:r>
      </w:hyperlink>
      <w:r w:rsidR="00EC2769">
        <w:rPr>
          <w:noProof/>
        </w:rPr>
        <w:t>)</w:t>
      </w:r>
      <w:r w:rsidR="00067842">
        <w:fldChar w:fldCharType="end"/>
      </w:r>
      <w:r w:rsidR="00C01CCB">
        <w:t>.</w:t>
      </w:r>
      <w:r w:rsidRPr="00A55335">
        <w:t xml:space="preserve"> The review was published in 2004 and included 4 RCTs comparing homeopathy with placebo (total 291 participants). All 4 RCTs were identified in this review, with one RCT (Brigo 1991) awaiting classification as it was published in a language other than English. </w:t>
      </w:r>
    </w:p>
    <w:p w14:paraId="33772447" w14:textId="2D6BCAA8" w:rsidR="00443539" w:rsidRPr="00A55335" w:rsidRDefault="00443539" w:rsidP="00443539">
      <w:pPr>
        <w:pStyle w:val="BodyText"/>
      </w:pPr>
      <w:r w:rsidRPr="00A55335">
        <w:t>The conclusions of the identified review align with this review, suggesting there is no clear evidence to support for the use of homeopathy in the management of headache or migraine. The existing evidence is in small studies of overall poor methodological quality, which limits interpretation of the evidence.</w:t>
      </w:r>
    </w:p>
    <w:p w14:paraId="4D043D64" w14:textId="6A9708A6" w:rsidR="006D4011" w:rsidRPr="00A55335" w:rsidRDefault="006D4011" w:rsidP="00D7268B">
      <w:pPr>
        <w:pStyle w:val="Heading3"/>
      </w:pPr>
      <w:bookmarkStart w:id="552" w:name="_Toc183441438"/>
      <w:r w:rsidRPr="00A55335">
        <w:t>A</w:t>
      </w:r>
      <w:r w:rsidR="00B57383" w:rsidRPr="00A55335">
        <w:t>s</w:t>
      </w:r>
      <w:r w:rsidRPr="00A55335">
        <w:t>t</w:t>
      </w:r>
      <w:r w:rsidR="00B57383" w:rsidRPr="00A55335">
        <w:t>hma</w:t>
      </w:r>
      <w:bookmarkEnd w:id="552"/>
    </w:p>
    <w:p w14:paraId="2F1CB061" w14:textId="1724DA88" w:rsidR="00A64A98" w:rsidRPr="00A55335" w:rsidRDefault="00125407" w:rsidP="00125407">
      <w:pPr>
        <w:pStyle w:val="BodyText"/>
      </w:pPr>
      <w:r w:rsidRPr="00A55335">
        <w:t xml:space="preserve">Two systematic reviews </w:t>
      </w:r>
      <w:r w:rsidRPr="00A55335">
        <w:fldChar w:fldCharType="begin">
          <w:fldData xml:space="preserve">PEVuZE5vdGU+PENpdGU+PEF1dGhvcj5NY0Nhcm5leTwvQXV0aG9yPjxZZWFyPjIwMDQ8L1llYXI+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</w:fldData>
        </w:fldChar>
      </w:r>
      <w:r w:rsidR="00EC2769">
        <w:instrText xml:space="preserve"> ADDIN EN.CITE </w:instrText>
      </w:r>
      <w:r w:rsidR="00EC2769">
        <w:fldChar w:fldCharType="begin">
          <w:fldData xml:space="preserve">PEVuZE5vdGU+PENpdGU+PEF1dGhvcj5NY0Nhcm5leTwvQXV0aG9yPjxZZWFyPjIwMDQ8L1llYXI+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</w:fldData>
        </w:fldChar>
      </w:r>
      <w:r w:rsidR="00EC2769">
        <w:instrText xml:space="preserve"> ADDIN EN.CITE.DATA </w:instrText>
      </w:r>
      <w:r w:rsidR="00EC2769">
        <w:fldChar w:fldCharType="end"/>
      </w:r>
      <w:r w:rsidRPr="00A55335">
        <w:fldChar w:fldCharType="separate"/>
      </w:r>
      <w:r w:rsidR="00EC2769">
        <w:rPr>
          <w:noProof/>
        </w:rPr>
        <w:t>(</w:t>
      </w:r>
      <w:hyperlink w:anchor="_ENREF_9" w:tooltip="Qutubuddin, 2019 #18" w:history="1">
        <w:r w:rsidR="00EC2769">
          <w:rPr>
            <w:noProof/>
          </w:rPr>
          <w:t>9</w:t>
        </w:r>
      </w:hyperlink>
      <w:r w:rsidR="00EC2769">
        <w:rPr>
          <w:noProof/>
        </w:rPr>
        <w:t xml:space="preserve">, </w:t>
      </w:r>
      <w:hyperlink w:anchor="_ENREF_373" w:tooltip="McCarney, 2004 #423" w:history="1">
        <w:r w:rsidR="00EC2769">
          <w:rPr>
            <w:noProof/>
          </w:rPr>
          <w:t>373</w:t>
        </w:r>
      </w:hyperlink>
      <w:r w:rsidR="00EC2769">
        <w:rPr>
          <w:noProof/>
        </w:rPr>
        <w:t>)</w:t>
      </w:r>
      <w:r w:rsidRPr="00A55335">
        <w:fldChar w:fldCharType="end"/>
      </w:r>
      <w:r w:rsidRPr="00A55335">
        <w:t xml:space="preserve"> assessing the effectiveness of homeopathy in people with chronic asthma was identified in the literature. </w:t>
      </w:r>
    </w:p>
    <w:p w14:paraId="318A2495" w14:textId="557632EB" w:rsidR="00A64A98" w:rsidRPr="00A55335" w:rsidRDefault="00125407" w:rsidP="00125407">
      <w:pPr>
        <w:pStyle w:val="BodyText"/>
      </w:pPr>
      <w:r w:rsidRPr="00A55335">
        <w:t xml:space="preserve">One Cochrane review was published in 2004 </w:t>
      </w:r>
      <w:r w:rsidRPr="00A55335">
        <w:fldChar w:fldCharType="begin"/>
      </w:r>
      <w:r w:rsidR="00EC2769">
        <w:instrText xml:space="preserve"> ADDIN EN.CITE &lt;EndNote&gt;&lt;Cite&gt;&lt;Author&gt;McCarney&lt;/Author&gt;&lt;Year&gt;2004&lt;/Year&gt;&lt;RecNum&gt;423&lt;/RecNum&gt;&lt;DisplayText&gt;(373)&lt;/DisplayText&gt;&lt;record&gt;&lt;rec-number&gt;423&lt;/rec-number&gt;&lt;foreign-keys&gt;&lt;key app="EN" db-id="t5prptatr9sp0we5exbxt9zz20fwp55tdza9" timestamp="1700774034"&gt;423&lt;/key&gt;&lt;/foreign-keys&gt;&lt;ref-type name="Journal Article"&gt;17&lt;/ref-type&gt;&lt;contributors&gt;&lt;authors&gt;&lt;author&gt;McCarney, R. W.&lt;/author&gt;&lt;author&gt;Linde, K.&lt;/author&gt;&lt;author&gt;Lasserson, T. J.&lt;/author&gt;&lt;/authors&gt;&lt;/contributors&gt;&lt;auth-address&gt;Department of Psychological Medicine, Imperial College London, Room 4.06, Paterson Centre, 20 South Wharf Road, London, UK, W2 1PD.&lt;/auth-address&gt;&lt;titles&gt;&lt;title&gt;Homeopathy for chronic asthma&lt;/title&gt;&lt;secondary-title&gt;Cochrane Database Syst Rev&lt;/secondary-title&gt;&lt;/titles&gt;&lt;periodical&gt;&lt;full-title&gt;Cochrane Database Syst Rev&lt;/full-title&gt;&lt;/periodical&gt;&lt;pages&gt;CD000353&lt;/pages&gt;&lt;volume&gt;2004&lt;/volume&gt;&lt;number&gt;1&lt;/number&gt;&lt;keywords&gt;&lt;keyword&gt;Asthma/drug therapy/*therapy&lt;/keyword&gt;&lt;keyword&gt;Chronic Disease&lt;/keyword&gt;&lt;keyword&gt;*Homeopathy&lt;/keyword&gt;&lt;keyword&gt;Humans&lt;/keyword&gt;&lt;keyword&gt;Randomized Controlled Trials as Topic&lt;/keyword&gt;&lt;/keywords&gt;&lt;dates&gt;&lt;year&gt;2004&lt;/year&gt;&lt;/dates&gt;&lt;publisher&gt;John Wiley &amp;amp; Sons, Ltd&lt;/publisher&gt;&lt;isbn&gt;1469-493X (Electronic)&amp;#xD;1361-6137 (Linking)&lt;/isbn&gt;&lt;accession-num&gt;14973954&lt;/accession-num&gt;&lt;urls&gt;&lt;related-urls&gt;&lt;url&gt;https://www.ncbi.nlm.nih.gov/pubmed/14973954&lt;/url&gt;&lt;/related-urls&gt;&lt;/urls&gt;&lt;custom1&gt;None known.&lt;/custom1&gt;&lt;custom2&gt;PMC7032670&lt;/custom2&gt;&lt;electronic-resource-num&gt;10.1002/14651858.CD000353.pub2&lt;/electronic-resource-num&gt;&lt;remote-database-name&gt;Medline&lt;/remote-database-name&gt;&lt;remote-database-provider&gt;NLM&lt;/remote-database-provider&gt;&lt;/record&gt;&lt;/Cite&gt;&lt;/EndNote&gt;</w:instrText>
      </w:r>
      <w:r w:rsidRPr="00A55335">
        <w:fldChar w:fldCharType="separate"/>
      </w:r>
      <w:r w:rsidR="00EC2769">
        <w:rPr>
          <w:noProof/>
        </w:rPr>
        <w:t>(</w:t>
      </w:r>
      <w:hyperlink w:anchor="_ENREF_373" w:tooltip="McCarney, 2004 #423" w:history="1">
        <w:r w:rsidR="00EC2769">
          <w:rPr>
            <w:noProof/>
          </w:rPr>
          <w:t>373</w:t>
        </w:r>
      </w:hyperlink>
      <w:r w:rsidR="00EC2769">
        <w:rPr>
          <w:noProof/>
        </w:rPr>
        <w:t>)</w:t>
      </w:r>
      <w:r w:rsidRPr="00A55335">
        <w:fldChar w:fldCharType="end"/>
      </w:r>
      <w:r w:rsidRPr="00A55335">
        <w:t xml:space="preserve"> and included 6 RCTs (556 participants) that compared homeopathy with placebo. Three out of 6 RCTs were not included in the data synthesis for this review as they were published in a language other than English. The Cochrane review </w:t>
      </w:r>
      <w:r w:rsidRPr="00A55335">
        <w:fldChar w:fldCharType="begin"/>
      </w:r>
      <w:r w:rsidR="00EC2769">
        <w:instrText xml:space="preserve"> ADDIN EN.CITE &lt;EndNote&gt;&lt;Cite&gt;&lt;Author&gt;McCarney&lt;/Author&gt;&lt;Year&gt;2004&lt;/Year&gt;&lt;RecNum&gt;423&lt;/RecNum&gt;&lt;DisplayText&gt;(373)&lt;/DisplayText&gt;&lt;record&gt;&lt;rec-number&gt;423&lt;/rec-number&gt;&lt;foreign-keys&gt;&lt;key app="EN" db-id="t5prptatr9sp0we5exbxt9zz20fwp55tdza9" timestamp="1700774034"&gt;423&lt;/key&gt;&lt;/foreign-keys&gt;&lt;ref-type name="Journal Article"&gt;17&lt;/ref-type&gt;&lt;contributors&gt;&lt;authors&gt;&lt;author&gt;McCarney, R. W.&lt;/author&gt;&lt;author&gt;Linde, K.&lt;/author&gt;&lt;author&gt;Lasserson, T. J.&lt;/author&gt;&lt;/authors&gt;&lt;/contributors&gt;&lt;auth-address&gt;Department of Psychological Medicine, Imperial College London, Room 4.06, Paterson Centre, 20 South Wharf Road, London, UK, W2 1PD.&lt;/auth-address&gt;&lt;titles&gt;&lt;title&gt;Homeopathy for chronic asthma&lt;/title&gt;&lt;secondary-title&gt;Cochrane Database Syst Rev&lt;/secondary-title&gt;&lt;/titles&gt;&lt;periodical&gt;&lt;full-title&gt;Cochrane Database Syst Rev&lt;/full-title&gt;&lt;/periodical&gt;&lt;pages&gt;CD000353&lt;/pages&gt;&lt;volume&gt;2004&lt;/volume&gt;&lt;number&gt;1&lt;/number&gt;&lt;keywords&gt;&lt;keyword&gt;Asthma/drug therapy/*therapy&lt;/keyword&gt;&lt;keyword&gt;Chronic Disease&lt;/keyword&gt;&lt;keyword&gt;*Homeopathy&lt;/keyword&gt;&lt;keyword&gt;Humans&lt;/keyword&gt;&lt;keyword&gt;Randomized Controlled Trials as Topic&lt;/keyword&gt;&lt;/keywords&gt;&lt;dates&gt;&lt;year&gt;2004&lt;/year&gt;&lt;/dates&gt;&lt;publisher&gt;John Wiley &amp;amp; Sons, Ltd&lt;/publisher&gt;&lt;isbn&gt;1469-493X (Electronic)&amp;#xD;1361-6137 (Linking)&lt;/isbn&gt;&lt;accession-num&gt;14973954&lt;/accession-num&gt;&lt;urls&gt;&lt;related-urls&gt;&lt;url&gt;https://www.ncbi.nlm.nih.gov/pubmed/14973954&lt;/url&gt;&lt;/related-urls&gt;&lt;/urls&gt;&lt;custom1&gt;None known.&lt;/custom1&gt;&lt;custom2&gt;PMC7032670&lt;/custom2&gt;&lt;electronic-resource-num&gt;10.1002/14651858.CD000353.pub2&lt;/electronic-resource-num&gt;&lt;remote-database-name&gt;Medline&lt;/remote-database-name&gt;&lt;remote-database-provider&gt;NLM&lt;/remote-database-provider&gt;&lt;/record&gt;&lt;/Cite&gt;&lt;/EndNote&gt;</w:instrText>
      </w:r>
      <w:r w:rsidRPr="00A55335">
        <w:fldChar w:fldCharType="separate"/>
      </w:r>
      <w:r w:rsidR="00EC2769">
        <w:rPr>
          <w:noProof/>
        </w:rPr>
        <w:t>(</w:t>
      </w:r>
      <w:hyperlink w:anchor="_ENREF_373" w:tooltip="McCarney, 2004 #423" w:history="1">
        <w:r w:rsidR="00EC2769">
          <w:rPr>
            <w:noProof/>
          </w:rPr>
          <w:t>373</w:t>
        </w:r>
      </w:hyperlink>
      <w:r w:rsidR="00EC2769">
        <w:rPr>
          <w:noProof/>
        </w:rPr>
        <w:t>)</w:t>
      </w:r>
      <w:r w:rsidRPr="00A55335">
        <w:fldChar w:fldCharType="end"/>
      </w:r>
      <w:r w:rsidRPr="00A55335">
        <w:t xml:space="preserve"> assessed the outcome measures of lung function, symptoms, medication use, exacerbations, quality of life, global assessment of change and adverse events. Results from these outcomes showed no significant difference in asthma symptoms, and conflicting results for lung function between the studies. The authors concluded there was not enough evidence to reliably assess the role of homeopathy in people with asthma. </w:t>
      </w:r>
    </w:p>
    <w:p w14:paraId="4ED44551" w14:textId="485B1D34" w:rsidR="00A64A98" w:rsidRPr="00A55335" w:rsidRDefault="00125407" w:rsidP="00125407">
      <w:pPr>
        <w:pStyle w:val="BodyText"/>
      </w:pPr>
      <w:r w:rsidRPr="00A55335">
        <w:lastRenderedPageBreak/>
        <w:t xml:space="preserve">The more recent review </w:t>
      </w:r>
      <w:r w:rsidRPr="00A55335">
        <w:fldChar w:fldCharType="begin">
          <w:fldData xml:space="preserve">PEVuZE5vdGU+PENpdGU+PEF1dGhvcj5RdXR1YnVkZGluPC9BdXRob3I+PFllYXI+MjAxOTwvWWVh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</w:fldData>
        </w:fldChar>
      </w:r>
      <w:r w:rsidR="006952AD">
        <w:instrText xml:space="preserve"> ADDIN EN.CITE </w:instrText>
      </w:r>
      <w:r w:rsidR="006952AD">
        <w:fldChar w:fldCharType="begin">
          <w:fldData xml:space="preserve">PEVuZE5vdGU+PENpdGU+PEF1dGhvcj5RdXR1YnVkZGluPC9BdXRob3I+PFllYXI+MjAxOTwvWWVh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</w:fldData>
        </w:fldChar>
      </w:r>
      <w:r w:rsidR="006952AD">
        <w:instrText xml:space="preserve"> ADDIN EN.CITE.DATA </w:instrText>
      </w:r>
      <w:r w:rsidR="006952AD">
        <w:fldChar w:fldCharType="end"/>
      </w:r>
      <w:r w:rsidRPr="00A55335">
        <w:fldChar w:fldCharType="separate"/>
      </w:r>
      <w:r w:rsidRPr="00A55335">
        <w:rPr>
          <w:noProof/>
        </w:rPr>
        <w:t>(</w:t>
      </w:r>
      <w:hyperlink w:anchor="_ENREF_9" w:tooltip="Qutubuddin, 2019 #18" w:history="1">
        <w:r w:rsidR="00EC2769" w:rsidRPr="00A55335">
          <w:rPr>
            <w:noProof/>
          </w:rPr>
          <w:t>9</w:t>
        </w:r>
      </w:hyperlink>
      <w:r w:rsidRPr="00A55335">
        <w:rPr>
          <w:noProof/>
        </w:rPr>
        <w:t>)</w:t>
      </w:r>
      <w:r w:rsidRPr="00A55335">
        <w:fldChar w:fldCharType="end"/>
      </w:r>
      <w:r w:rsidRPr="00A55335">
        <w:t xml:space="preserve"> included evidence from 16 controlled trials, the majority of which were also published in a language other than English. The authors concluded the trials were positive, but inconsistent, due to methodological flaws relating to incomplete study reporting, inadequacy of independent replications, and small sample size. </w:t>
      </w:r>
    </w:p>
    <w:p w14:paraId="1DBCCA79" w14:textId="625AC213" w:rsidR="00125407" w:rsidRPr="00A55335" w:rsidRDefault="00125407" w:rsidP="00125407">
      <w:pPr>
        <w:pStyle w:val="BodyText"/>
      </w:pPr>
      <w:r w:rsidRPr="00A55335">
        <w:t xml:space="preserve">Results from this review </w:t>
      </w:r>
      <w:proofErr w:type="gramStart"/>
      <w:r w:rsidRPr="00A55335">
        <w:t>are in agreement</w:t>
      </w:r>
      <w:proofErr w:type="gramEnd"/>
      <w:r w:rsidRPr="00A55335">
        <w:t xml:space="preserve"> with the results reported in the published reviews.</w:t>
      </w:r>
    </w:p>
    <w:p w14:paraId="0B95F524" w14:textId="4383905F" w:rsidR="00B57383" w:rsidRPr="00A55335" w:rsidRDefault="00B57383" w:rsidP="00B57383">
      <w:pPr>
        <w:pStyle w:val="Heading3"/>
      </w:pPr>
      <w:bookmarkStart w:id="553" w:name="_Toc183441439"/>
      <w:r w:rsidRPr="00A55335">
        <w:t>Diarrh</w:t>
      </w:r>
      <w:r w:rsidR="001D3AA0" w:rsidRPr="00A55335">
        <w:t>o</w:t>
      </w:r>
      <w:r w:rsidRPr="00A55335">
        <w:t>ea</w:t>
      </w:r>
      <w:bookmarkEnd w:id="553"/>
    </w:p>
    <w:p w14:paraId="0FC51E57" w14:textId="77777777" w:rsidR="00B57383" w:rsidRPr="00A55335" w:rsidRDefault="00B57383" w:rsidP="00B57383">
      <w:pPr>
        <w:pStyle w:val="BodyText"/>
      </w:pPr>
      <w:r w:rsidRPr="00A55335">
        <w:t>No systematic reviews assessing the effectiveness of homeopathy in people with diarrhoea were identified in the literature.</w:t>
      </w:r>
    </w:p>
    <w:p w14:paraId="46D8D4EE" w14:textId="6CAC446B" w:rsidR="001D3AA0" w:rsidRPr="00A55335" w:rsidRDefault="00D43068" w:rsidP="001D3AA0">
      <w:pPr>
        <w:pStyle w:val="Heading3"/>
      </w:pPr>
      <w:bookmarkStart w:id="554" w:name="_Toc183441440"/>
      <w:r w:rsidRPr="00A55335">
        <w:t>Infant colic or other digestive disorders.</w:t>
      </w:r>
      <w:bookmarkEnd w:id="554"/>
      <w:r w:rsidRPr="00A55335">
        <w:t xml:space="preserve"> </w:t>
      </w:r>
    </w:p>
    <w:p w14:paraId="0F32CA8E" w14:textId="49461D72" w:rsidR="000E5513" w:rsidRPr="00A55335" w:rsidRDefault="00D43068" w:rsidP="000E5513">
      <w:pPr>
        <w:pStyle w:val="BodyText"/>
      </w:pPr>
      <w:r w:rsidRPr="00A55335">
        <w:t>No systematic reviews assessing the effectiveness of homeopathy in infantile colic or other digestive disorders were found in the literature.</w:t>
      </w:r>
    </w:p>
    <w:p w14:paraId="2E9BEAA4" w14:textId="6F4F9628" w:rsidR="002F3A8B" w:rsidRPr="00A55335" w:rsidRDefault="00D43068" w:rsidP="00D7268B">
      <w:pPr>
        <w:pStyle w:val="Heading3"/>
      </w:pPr>
      <w:bookmarkStart w:id="555" w:name="_Toc183441441"/>
      <w:r w:rsidRPr="00A55335">
        <w:t>Irritable Bowel Syndrome</w:t>
      </w:r>
      <w:bookmarkEnd w:id="555"/>
    </w:p>
    <w:p w14:paraId="619B6AC8" w14:textId="395AABF3" w:rsidR="00D43068" w:rsidRPr="00A55335" w:rsidRDefault="00D43068" w:rsidP="00D43068">
      <w:pPr>
        <w:pStyle w:val="BodyText"/>
      </w:pPr>
      <w:r w:rsidRPr="00A55335">
        <w:t xml:space="preserve">One Cochrane systematic review </w:t>
      </w:r>
      <w:r w:rsidRPr="00A55335">
        <w:fldChar w:fldCharType="begin">
          <w:fldData xml:space="preserve">PEVuZE5vdGU+PENpdGU+PEF1dGhvcj5QZWNraGFtPC9BdXRob3I+PFllYXI+MjAxOTwvWWVhcj48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</w:fldData>
        </w:fldChar>
      </w:r>
      <w:r w:rsidR="00EC2769">
        <w:instrText xml:space="preserve"> ADDIN EN.CITE </w:instrText>
      </w:r>
      <w:r w:rsidR="00EC2769">
        <w:fldChar w:fldCharType="begin">
          <w:fldData xml:space="preserve">PEVuZE5vdGU+PENpdGU+PEF1dGhvcj5QZWNraGFtPC9BdXRob3I+PFllYXI+MjAxOTwvWWVhcj48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</w:fldData>
        </w:fldChar>
      </w:r>
      <w:r w:rsidR="00EC2769">
        <w:instrText xml:space="preserve"> ADDIN EN.CITE.DATA </w:instrText>
      </w:r>
      <w:r w:rsidR="00EC2769">
        <w:fldChar w:fldCharType="end"/>
      </w:r>
      <w:r w:rsidRPr="00A55335">
        <w:fldChar w:fldCharType="separate"/>
      </w:r>
      <w:r w:rsidR="00EC2769">
        <w:rPr>
          <w:noProof/>
        </w:rPr>
        <w:t>(</w:t>
      </w:r>
      <w:hyperlink w:anchor="_ENREF_374" w:tooltip="Peckham, 2019 #430" w:history="1">
        <w:r w:rsidR="00EC2769">
          <w:rPr>
            <w:noProof/>
          </w:rPr>
          <w:t>374</w:t>
        </w:r>
      </w:hyperlink>
      <w:r w:rsidR="00EC2769">
        <w:rPr>
          <w:noProof/>
        </w:rPr>
        <w:t>)</w:t>
      </w:r>
      <w:r w:rsidRPr="00A55335">
        <w:fldChar w:fldCharType="end"/>
      </w:r>
      <w:r w:rsidRPr="00A55335">
        <w:t xml:space="preserve"> assessing the effect of homeopathic treatment for IBS was found in the literature that suggested there were no conclusions to be made about the usefulness of individualised homeopathic treatment for the treatment of IBS. </w:t>
      </w:r>
    </w:p>
    <w:p w14:paraId="225C6BBA" w14:textId="59197219" w:rsidR="00D43068" w:rsidRPr="00A55335" w:rsidRDefault="00D43068" w:rsidP="00D43068">
      <w:pPr>
        <w:pStyle w:val="BodyText"/>
      </w:pPr>
      <w:r w:rsidRPr="00A55335">
        <w:t xml:space="preserve">The review included 2 RCTs comparing homeopathy with placebo and 2 RCTs that compared homeopathy to inactive control (no intervention or usual care). The 2 RCTs comparing homeopathy to placebo were identified through the Department’s public call for evidence </w:t>
      </w:r>
      <w:r w:rsidRPr="00A55335">
        <w:fldChar w:fldCharType="begin">
          <w:fldData xml:space="preserve">PEVuZE5vdGU+PENpdGU+PEF1dGhvcj5SYWhsZnM8L0F1dGhvcj48WWVhcj4xOTc2PC9ZZWFyPjxS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=
</w:fldData>
        </w:fldChar>
      </w:r>
      <w:r w:rsidR="00EC2769">
        <w:instrText xml:space="preserve"> ADDIN EN.CITE </w:instrText>
      </w:r>
      <w:r w:rsidR="00EC2769">
        <w:fldChar w:fldCharType="begin">
          <w:fldData xml:space="preserve">PEVuZE5vdGU+PENpdGU+PEF1dGhvcj5SYWhsZnM8L0F1dGhvcj48WWVhcj4xOTc2PC9ZZWFyPjxS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=
</w:fldData>
        </w:fldChar>
      </w:r>
      <w:r w:rsidR="00EC2769">
        <w:instrText xml:space="preserve"> ADDIN EN.CITE.DATA </w:instrText>
      </w:r>
      <w:r w:rsidR="00EC2769">
        <w:fldChar w:fldCharType="end"/>
      </w:r>
      <w:r w:rsidRPr="00A55335">
        <w:fldChar w:fldCharType="separate"/>
      </w:r>
      <w:r w:rsidR="00EC2769">
        <w:rPr>
          <w:noProof/>
        </w:rPr>
        <w:t>(</w:t>
      </w:r>
      <w:hyperlink w:anchor="_ENREF_375" w:tooltip="Rahlfs, 1976 #587" w:history="1">
        <w:r w:rsidR="00EC2769">
          <w:rPr>
            <w:noProof/>
          </w:rPr>
          <w:t>375</w:t>
        </w:r>
      </w:hyperlink>
      <w:r w:rsidR="00EC2769">
        <w:rPr>
          <w:noProof/>
        </w:rPr>
        <w:t xml:space="preserve">, </w:t>
      </w:r>
      <w:hyperlink w:anchor="_ENREF_376" w:tooltip="Rahlfs, 1979 #588" w:history="1">
        <w:r w:rsidR="00EC2769">
          <w:rPr>
            <w:noProof/>
          </w:rPr>
          <w:t>376</w:t>
        </w:r>
      </w:hyperlink>
      <w:r w:rsidR="00EC2769">
        <w:rPr>
          <w:noProof/>
        </w:rPr>
        <w:t>)</w:t>
      </w:r>
      <w:r w:rsidRPr="00A55335">
        <w:fldChar w:fldCharType="end"/>
      </w:r>
      <w:r w:rsidRPr="00A55335">
        <w:t xml:space="preserve">. The studies were conducted in Germany and published in 1976 and 1979 and, in the absence of English translations, are listed as awaiting classification. One other study with 2 citations </w:t>
      </w:r>
      <w:r w:rsidRPr="00A55335">
        <w:fldChar w:fldCharType="begin"/>
      </w:r>
      <w:r w:rsidR="00EC2769">
        <w:instrText xml:space="preserve"> ADDIN EN.CITE &lt;EndNote&gt;&lt;Cite&gt;&lt;Author&gt;Lecoyte&lt;/Author&gt;&lt;Year&gt;1993&lt;/Year&gt;&lt;RecNum&gt;976&lt;/RecNum&gt;&lt;DisplayText&gt;(377, 378)&lt;/DisplayText&gt;&lt;record&gt;&lt;rec-number&gt;976&lt;/rec-number&gt;&lt;foreign-keys&gt;&lt;key app="EN" db-id="t5prptatr9sp0we5exbxt9zz20fwp55tdza9" timestamp="1724905803"&gt;976&lt;/key&gt;&lt;/foreign-keys&gt;&lt;ref-type name="Journal Article"&gt;17&lt;/ref-type&gt;&lt;contributors&gt;&lt;authors&gt;&lt;author&gt;Lecoyte, T.&lt;/author&gt;&lt;author&gt;Owen, D.&lt;/author&gt;&lt;author&gt;Shepherd, H.&lt;/author&gt;&lt;author&gt;Letchworth, A.&lt;/author&gt;&lt;author&gt;Mullee, M.&lt;/author&gt;&lt;/authors&gt;&lt;/contributors&gt;&lt;titles&gt;&lt;title&gt;An investigation into the homeopathic treatment of patients with irritable bowel syndrome&lt;/title&gt;&lt;secondary-title&gt;Proceedings of the 48th LMHI congress; vienna austria&lt;/secondary-title&gt;&lt;/titles&gt;&lt;periodical&gt;&lt;full-title&gt;Proceedings of the 48th LMHI congress; vienna austria&lt;/full-title&gt;&lt;/periodical&gt;&lt;pages&gt;251‐258&lt;/pages&gt;&lt;dates&gt;&lt;year&gt;1993&lt;/year&gt;&lt;/dates&gt;&lt;accession-num&gt;CN-00652307&lt;/accession-num&gt;&lt;urls&gt;&lt;related-urls&gt;&lt;url&gt;https://www.cochranelibrary.com/central/doi/10.1002/central/CN-00652307/full&lt;/url&gt;&lt;/related-urls&gt;&lt;/urls&gt;&lt;remote-database-name&gt; CENTRAL&lt;/remote-database-name&gt;&lt;/record&gt;&lt;/Cite&gt;&lt;Cite&gt;&lt;Author&gt;Owen&lt;/Author&gt;&lt;Year&gt;1990&lt;/Year&gt;&lt;RecNum&gt;977&lt;/RecNum&gt;&lt;record&gt;&lt;rec-number&gt;977&lt;/rec-number&gt;&lt;foreign-keys&gt;&lt;key app="EN" db-id="t5prptatr9sp0we5exbxt9zz20fwp55tdza9" timestamp="1724905803"&gt;977&lt;/key&gt;&lt;/foreign-keys&gt;&lt;ref-type name="Journal Article"&gt;17&lt;/ref-type&gt;&lt;contributors&gt;&lt;authors&gt;&lt;author&gt;Owen, D.&lt;/author&gt;&lt;/authors&gt;&lt;/contributors&gt;&lt;titles&gt;&lt;title&gt;An investigation into the homoeopathic treatment of patients with irritable bowel syndrome&lt;/title&gt;&lt;secondary-title&gt;Windermere: Congress of the Faculty of Homoeopathy&lt;/secondary-title&gt;&lt;/titles&gt;&lt;periodical&gt;&lt;full-title&gt;Windermere: Congress of the Faculty of Homoeopathy&lt;/full-title&gt;&lt;/periodical&gt;&lt;dates&gt;&lt;year&gt;1990&lt;/year&gt;&lt;/dates&gt;&lt;accession-num&gt;CN-00652143&lt;/accession-num&gt;&lt;urls&gt;&lt;related-urls&gt;&lt;url&gt;https://www.cochranelibrary.com/central/doi/10.1002/central/CN-00652143/full&lt;/url&gt;&lt;/related-urls&gt;&lt;/urls&gt;&lt;remote-database-name&gt; CENTRAL&lt;/remote-database-name&gt;&lt;/record&gt;&lt;/Cite&gt;&lt;/EndNote&gt;</w:instrText>
      </w:r>
      <w:r w:rsidRPr="00A55335">
        <w:fldChar w:fldCharType="separate"/>
      </w:r>
      <w:r w:rsidR="00EC2769">
        <w:rPr>
          <w:noProof/>
        </w:rPr>
        <w:t>(</w:t>
      </w:r>
      <w:hyperlink w:anchor="_ENREF_377" w:tooltip="Lecoyte, 1993 #976" w:history="1">
        <w:r w:rsidR="00EC2769">
          <w:rPr>
            <w:noProof/>
          </w:rPr>
          <w:t>377</w:t>
        </w:r>
      </w:hyperlink>
      <w:r w:rsidR="00EC2769">
        <w:rPr>
          <w:noProof/>
        </w:rPr>
        <w:t xml:space="preserve">, </w:t>
      </w:r>
      <w:hyperlink w:anchor="_ENREF_378" w:tooltip="Owen, 1990 #977" w:history="1">
        <w:r w:rsidR="00EC2769">
          <w:rPr>
            <w:noProof/>
          </w:rPr>
          <w:t>378</w:t>
        </w:r>
      </w:hyperlink>
      <w:r w:rsidR="00EC2769">
        <w:rPr>
          <w:noProof/>
        </w:rPr>
        <w:t>)</w:t>
      </w:r>
      <w:r w:rsidRPr="00A55335">
        <w:fldChar w:fldCharType="end"/>
      </w:r>
      <w:r w:rsidRPr="00A55335">
        <w:t xml:space="preserve"> was reported in Congress proceedings (Congress of the Faculty of Homoeopathy), but study details were not able to be retrieved for this review. The Cochrane review considered the results from the study to be uncertain. As such, the non-inclusion of this study is not likely to seriously influence the results reported in this review.</w:t>
      </w:r>
    </w:p>
    <w:p w14:paraId="4E9D75B8" w14:textId="77777777" w:rsidR="00D43068" w:rsidRPr="00A55335" w:rsidRDefault="00D43068" w:rsidP="00D43068">
      <w:pPr>
        <w:pStyle w:val="BodyText"/>
      </w:pPr>
      <w:r w:rsidRPr="00A55335">
        <w:t>For the comparison of homeopathy vs control (delivered as adjunct to usual care), the Cochrane review included one study (Peckham 2012) that provided data for two outcomes (quality of life and symptom severity) (</w:t>
      </w:r>
      <w:proofErr w:type="gramStart"/>
      <w:r w:rsidRPr="00A55335">
        <w:t>similar to</w:t>
      </w:r>
      <w:proofErr w:type="gramEnd"/>
      <w:r w:rsidRPr="00A55335">
        <w:t xml:space="preserve"> this review). The available data was judged to be of low certainty, which is in agreeance with the results reported in this review.</w:t>
      </w:r>
    </w:p>
    <w:p w14:paraId="343ECD6E" w14:textId="088E7832" w:rsidR="00D43068" w:rsidRPr="00A55335" w:rsidRDefault="00D43068" w:rsidP="00D43068">
      <w:pPr>
        <w:pStyle w:val="Heading3"/>
      </w:pPr>
      <w:bookmarkStart w:id="556" w:name="_Toc183441442"/>
      <w:r w:rsidRPr="00A55335">
        <w:t>Psoriasis</w:t>
      </w:r>
      <w:bookmarkEnd w:id="556"/>
    </w:p>
    <w:p w14:paraId="562D6218" w14:textId="77777777" w:rsidR="00D43068" w:rsidRPr="00A55335" w:rsidRDefault="00D43068" w:rsidP="00D43068">
      <w:pPr>
        <w:pStyle w:val="BodyText"/>
      </w:pPr>
      <w:r w:rsidRPr="00A55335">
        <w:t>No systematic reviews assessing the effectiveness of homeopathy in the treatment of psoriasis were found in the literature.</w:t>
      </w:r>
    </w:p>
    <w:p w14:paraId="428F8FB1" w14:textId="257C35BA" w:rsidR="00D43068" w:rsidRPr="00A55335" w:rsidRDefault="00D43068" w:rsidP="00D43068">
      <w:pPr>
        <w:pStyle w:val="Heading3"/>
      </w:pPr>
      <w:bookmarkStart w:id="557" w:name="_Toc183441443"/>
      <w:r w:rsidRPr="00A55335">
        <w:t>Arthropathies</w:t>
      </w:r>
      <w:bookmarkEnd w:id="557"/>
    </w:p>
    <w:p w14:paraId="677043E1" w14:textId="77777777" w:rsidR="00D43068" w:rsidRPr="00A55335" w:rsidRDefault="00D43068" w:rsidP="00D43068">
      <w:pPr>
        <w:pStyle w:val="BodyText"/>
      </w:pPr>
      <w:r w:rsidRPr="00A55335">
        <w:t>No systematic reviews assessing the effectiveness of homeopathy in people with arthritis were found in the literature.</w:t>
      </w:r>
    </w:p>
    <w:p w14:paraId="1E6488F1" w14:textId="6796C961" w:rsidR="00D43068" w:rsidRPr="00A55335" w:rsidRDefault="0093533A" w:rsidP="00D43068">
      <w:pPr>
        <w:pStyle w:val="Heading3"/>
      </w:pPr>
      <w:bookmarkStart w:id="558" w:name="_Toc183441444"/>
      <w:r w:rsidRPr="00A55335">
        <w:t>Back and neck pain</w:t>
      </w:r>
      <w:bookmarkEnd w:id="558"/>
    </w:p>
    <w:p w14:paraId="0C1AA289" w14:textId="77777777" w:rsidR="0093533A" w:rsidRPr="00A55335" w:rsidRDefault="0093533A" w:rsidP="0093533A">
      <w:pPr>
        <w:pStyle w:val="BodyText"/>
      </w:pPr>
      <w:r w:rsidRPr="00A55335">
        <w:t>No systematic reviews assessing the effectiveness of homeopathy in people with back and/or neck pain were identified in the literature.</w:t>
      </w:r>
    </w:p>
    <w:p w14:paraId="7F85042D" w14:textId="2667C5A3" w:rsidR="0093533A" w:rsidRPr="00A55335" w:rsidRDefault="00BB5BE4" w:rsidP="0093533A">
      <w:pPr>
        <w:pStyle w:val="Heading3"/>
      </w:pPr>
      <w:bookmarkStart w:id="559" w:name="_Toc183441445"/>
      <w:r w:rsidRPr="00A55335">
        <w:t>Menopausal symptoms or complaints</w:t>
      </w:r>
      <w:bookmarkEnd w:id="559"/>
    </w:p>
    <w:p w14:paraId="479168BB" w14:textId="77777777" w:rsidR="00BB5BE4" w:rsidRPr="00A55335" w:rsidRDefault="00BB5BE4" w:rsidP="00BB5BE4">
      <w:pPr>
        <w:pStyle w:val="BodyText"/>
      </w:pPr>
      <w:r w:rsidRPr="00A55335">
        <w:t xml:space="preserve">No systematic reviews assessing the effectiveness of homeopathy for the treatment of menopausal symptoms were identified in the literature. </w:t>
      </w:r>
    </w:p>
    <w:p w14:paraId="4DBAD712" w14:textId="085EEDBA" w:rsidR="00BB5BE4" w:rsidRPr="00A55335" w:rsidRDefault="00B8094A" w:rsidP="00BB5BE4">
      <w:pPr>
        <w:pStyle w:val="Heading3"/>
      </w:pPr>
      <w:bookmarkStart w:id="560" w:name="_Toc183441446"/>
      <w:r w:rsidRPr="00A55335">
        <w:lastRenderedPageBreak/>
        <w:t>Menstrual disorders</w:t>
      </w:r>
      <w:bookmarkEnd w:id="560"/>
    </w:p>
    <w:p w14:paraId="1D04ECD2" w14:textId="77777777" w:rsidR="00B8094A" w:rsidRPr="00A55335" w:rsidRDefault="00B8094A" w:rsidP="00B8094A">
      <w:pPr>
        <w:pStyle w:val="BodyText"/>
      </w:pPr>
      <w:r w:rsidRPr="00A55335">
        <w:t xml:space="preserve">No systematic reviews assessing the effectiveness of homeopathy in menstrual disorders were found in the literature. </w:t>
      </w:r>
    </w:p>
    <w:p w14:paraId="2EA4648E" w14:textId="42C400C5" w:rsidR="00B8094A" w:rsidRPr="00A55335" w:rsidRDefault="00A64A98" w:rsidP="00B8094A">
      <w:pPr>
        <w:pStyle w:val="Heading3"/>
      </w:pPr>
      <w:bookmarkStart w:id="561" w:name="_Toc183441447"/>
      <w:r w:rsidRPr="00A55335">
        <w:t>Fatigue conditions</w:t>
      </w:r>
      <w:bookmarkEnd w:id="561"/>
    </w:p>
    <w:p w14:paraId="02D774CE" w14:textId="77777777" w:rsidR="00B8094A" w:rsidRPr="00A55335" w:rsidRDefault="00B8094A" w:rsidP="00B8094A">
      <w:pPr>
        <w:pStyle w:val="BodyText"/>
      </w:pPr>
      <w:r w:rsidRPr="00A55335">
        <w:t xml:space="preserve">No systematic reviews assessing the effectiveness of homeopathy in the treatment of chronic </w:t>
      </w:r>
      <w:proofErr w:type="spellStart"/>
      <w:r w:rsidRPr="00A55335">
        <w:t>postviral</w:t>
      </w:r>
      <w:proofErr w:type="spellEnd"/>
      <w:r w:rsidRPr="00A55335">
        <w:t xml:space="preserve"> fatigue conditions were found in the literature. </w:t>
      </w:r>
    </w:p>
    <w:p w14:paraId="18A8E5CA" w14:textId="39B78A7A" w:rsidR="00143F75" w:rsidRPr="00A55335" w:rsidRDefault="00143F75" w:rsidP="00143F75">
      <w:pPr>
        <w:pStyle w:val="Heading3"/>
      </w:pPr>
      <w:bookmarkStart w:id="562" w:name="_Toc183441448"/>
      <w:r w:rsidRPr="00A55335">
        <w:t>Fibromyalgia</w:t>
      </w:r>
      <w:bookmarkEnd w:id="562"/>
    </w:p>
    <w:p w14:paraId="385C7370" w14:textId="3726B25C" w:rsidR="00CD0F48" w:rsidRPr="00A55335" w:rsidRDefault="00143F75" w:rsidP="0007099E">
      <w:pPr>
        <w:pStyle w:val="BodyText"/>
      </w:pPr>
      <w:r w:rsidRPr="00A55335">
        <w:t xml:space="preserve">Two reviews </w:t>
      </w:r>
      <w:r w:rsidRPr="00A55335">
        <w:fldChar w:fldCharType="begin">
          <w:fldData xml:space="preserve">PEVuZE5vdGU+PENpdGU+PEF1dGhvcj5Cb2VobTwvQXV0aG9yPjxZZWFyPjIwMTQ8L1llYXI+PFJl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</w:fldData>
        </w:fldChar>
      </w:r>
      <w:r w:rsidR="00EC2769">
        <w:instrText xml:space="preserve"> ADDIN EN.CITE </w:instrText>
      </w:r>
      <w:r w:rsidR="00EC2769">
        <w:fldChar w:fldCharType="begin">
          <w:fldData xml:space="preserve">PEVuZE5vdGU+PENpdGU+PEF1dGhvcj5Cb2VobTwvQXV0aG9yPjxZZWFyPjIwMTQ8L1llYXI+PFJl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</w:fldData>
        </w:fldChar>
      </w:r>
      <w:r w:rsidR="00EC2769">
        <w:instrText xml:space="preserve"> ADDIN EN.CITE.DATA </w:instrText>
      </w:r>
      <w:r w:rsidR="00EC2769">
        <w:fldChar w:fldCharType="end"/>
      </w:r>
      <w:r w:rsidRPr="00A55335">
        <w:fldChar w:fldCharType="separate"/>
      </w:r>
      <w:r w:rsidR="00EC2769">
        <w:rPr>
          <w:noProof/>
        </w:rPr>
        <w:t>(</w:t>
      </w:r>
      <w:hyperlink w:anchor="_ENREF_379" w:tooltip="Boehm, 2014 #509" w:history="1">
        <w:r w:rsidR="00EC2769">
          <w:rPr>
            <w:noProof/>
          </w:rPr>
          <w:t>379</w:t>
        </w:r>
      </w:hyperlink>
      <w:r w:rsidR="00EC2769">
        <w:rPr>
          <w:noProof/>
        </w:rPr>
        <w:t xml:space="preserve">, </w:t>
      </w:r>
      <w:hyperlink w:anchor="_ENREF_380" w:tooltip="Perry, 2010 #518" w:history="1">
        <w:r w:rsidR="00EC2769">
          <w:rPr>
            <w:noProof/>
          </w:rPr>
          <w:t>380</w:t>
        </w:r>
      </w:hyperlink>
      <w:r w:rsidR="00EC2769">
        <w:rPr>
          <w:noProof/>
        </w:rPr>
        <w:t>)</w:t>
      </w:r>
      <w:r w:rsidRPr="00A55335">
        <w:fldChar w:fldCharType="end"/>
      </w:r>
      <w:r w:rsidRPr="00A55335">
        <w:t xml:space="preserve"> assessing the effect of homeopathy as a treatment for fibromyalgia were found in the literature. These reviews assessed the same 3 RCTs that were also included in this review, both of which found that the results from these studies were subject to bias. The conclusions of these identified reviews align with this review whereby the evidence is of low or very low certainty about the effectiveness of homeopathy in people with fibromyalgia. </w:t>
      </w:r>
    </w:p>
    <w:p w14:paraId="14BFEC11" w14:textId="77777777" w:rsidR="002E37FA" w:rsidRPr="00A55335" w:rsidRDefault="002E37FA" w:rsidP="005D6232">
      <w:pPr>
        <w:pStyle w:val="Heading2"/>
      </w:pPr>
      <w:bookmarkStart w:id="563" w:name="_Toc183441449"/>
      <w:r w:rsidRPr="00A55335">
        <w:t>Limitations</w:t>
      </w:r>
      <w:bookmarkEnd w:id="563"/>
    </w:p>
    <w:p w14:paraId="473AFDD4" w14:textId="77777777" w:rsidR="005D6232" w:rsidRPr="00A55335" w:rsidRDefault="005D6232" w:rsidP="005D6232">
      <w:pPr>
        <w:pStyle w:val="Heading3"/>
      </w:pPr>
      <w:bookmarkStart w:id="564" w:name="_Toc131610234"/>
      <w:bookmarkStart w:id="565" w:name="_Toc183441450"/>
      <w:r w:rsidRPr="00A55335">
        <w:t>At study and outcome level</w:t>
      </w:r>
      <w:bookmarkEnd w:id="564"/>
      <w:bookmarkEnd w:id="565"/>
      <w:r w:rsidRPr="00A55335">
        <w:t xml:space="preserve"> </w:t>
      </w:r>
    </w:p>
    <w:p w14:paraId="38D79F6C" w14:textId="21B6A08A" w:rsidR="003A64EB" w:rsidRPr="00BD1A50" w:rsidRDefault="003A64EB" w:rsidP="008F6677">
      <w:pPr>
        <w:pStyle w:val="BodyText"/>
      </w:pPr>
      <w:bookmarkStart w:id="566" w:name="_Toc131610235"/>
      <w:r w:rsidRPr="00A55335">
        <w:t>The main limitation at the study and outcome level, is the low number of RCTs</w:t>
      </w:r>
      <w:r w:rsidR="00D77DB1">
        <w:t xml:space="preserve"> and small sample size</w:t>
      </w:r>
      <w:r w:rsidRPr="00A55335">
        <w:t xml:space="preserve"> per comparison, which reduces the statistical precision of the effect estimate </w:t>
      </w:r>
      <w:r w:rsidRPr="00BD1A50">
        <w:t>and</w:t>
      </w:r>
      <w:r w:rsidR="00A25A62" w:rsidRPr="00BD1A50">
        <w:t xml:space="preserve"> can </w:t>
      </w:r>
      <w:r w:rsidR="00E730C1" w:rsidRPr="00BD1A50">
        <w:t>also reduce our overall confidence in the certainty of evidence</w:t>
      </w:r>
      <w:r w:rsidRPr="00BD1A50">
        <w:t xml:space="preserve">. </w:t>
      </w:r>
      <w:r w:rsidR="00A25A62" w:rsidRPr="00BD1A50">
        <w:t xml:space="preserve">There </w:t>
      </w:r>
      <w:r w:rsidR="00E730C1" w:rsidRPr="00BD1A50">
        <w:t>were</w:t>
      </w:r>
      <w:r w:rsidR="00A25A62" w:rsidRPr="00BD1A50">
        <w:t xml:space="preserve"> also many evidence gaps, with no data for many outcomes </w:t>
      </w:r>
      <w:r w:rsidR="00E730C1" w:rsidRPr="00BD1A50">
        <w:t>listed as critical or important for this review</w:t>
      </w:r>
      <w:r w:rsidR="00A25A62" w:rsidRPr="00BD1A50">
        <w:t xml:space="preserve">. </w:t>
      </w:r>
      <w:r w:rsidR="006E02BE">
        <w:t>O</w:t>
      </w:r>
      <w:r w:rsidR="006E02BE" w:rsidRPr="00BD1A50">
        <w:t xml:space="preserve">f a total </w:t>
      </w:r>
      <w:r w:rsidR="00CD11FC">
        <w:t xml:space="preserve">of </w:t>
      </w:r>
      <w:r w:rsidR="006E02BE" w:rsidRPr="00BD1A50">
        <w:t>94</w:t>
      </w:r>
      <w:r w:rsidR="00CD11FC">
        <w:t xml:space="preserve"> prioritised outcomes, </w:t>
      </w:r>
      <w:r w:rsidRPr="00BD1A50">
        <w:t>62 outcomes</w:t>
      </w:r>
      <w:r w:rsidR="00E730C1" w:rsidRPr="00BD1A50">
        <w:t xml:space="preserve"> </w:t>
      </w:r>
      <w:r w:rsidR="00CD11FC">
        <w:t>had</w:t>
      </w:r>
      <w:r w:rsidR="00CD11FC" w:rsidRPr="00BD1A50">
        <w:t xml:space="preserve"> </w:t>
      </w:r>
      <w:r w:rsidRPr="00BD1A50">
        <w:t>available evidence</w:t>
      </w:r>
      <w:r w:rsidR="00DC0BB9" w:rsidRPr="00BD1A50">
        <w:t xml:space="preserve"> </w:t>
      </w:r>
      <w:r w:rsidR="00D14E82" w:rsidRPr="00BD1A50">
        <w:t>compared with placebo</w:t>
      </w:r>
      <w:r w:rsidR="00CD11FC">
        <w:t>; of these</w:t>
      </w:r>
      <w:r w:rsidRPr="00BD1A50">
        <w:t xml:space="preserve"> </w:t>
      </w:r>
      <w:r w:rsidR="009D21A6" w:rsidRPr="00BD1A50">
        <w:t xml:space="preserve">54 </w:t>
      </w:r>
      <w:r w:rsidRPr="00BD1A50">
        <w:t xml:space="preserve">included evidence from 1 or 2 RCTs (sample size range 24 to 377 participants) </w:t>
      </w:r>
      <w:r w:rsidR="000B4041">
        <w:t xml:space="preserve">and </w:t>
      </w:r>
      <w:r w:rsidR="00744B62" w:rsidRPr="00BD1A50">
        <w:t>8</w:t>
      </w:r>
      <w:r w:rsidRPr="00BD1A50">
        <w:t xml:space="preserve"> included evidence from 3 RCTs (sample size range </w:t>
      </w:r>
      <w:r w:rsidR="000B09CB" w:rsidRPr="00BD1A50">
        <w:t xml:space="preserve">124 </w:t>
      </w:r>
      <w:r w:rsidRPr="00BD1A50">
        <w:t xml:space="preserve">to </w:t>
      </w:r>
      <w:r w:rsidR="000B09CB" w:rsidRPr="00BD1A50">
        <w:t>448</w:t>
      </w:r>
      <w:r w:rsidR="003E76DB" w:rsidRPr="00BD1A50">
        <w:t xml:space="preserve"> </w:t>
      </w:r>
      <w:r w:rsidRPr="00BD1A50">
        <w:t>participants).</w:t>
      </w:r>
      <w:r w:rsidR="004C0972">
        <w:t xml:space="preserve"> </w:t>
      </w:r>
      <w:r w:rsidR="004C0972" w:rsidRPr="004C0972">
        <w:t xml:space="preserve">Compared with inactive control, 27 outcomes had available </w:t>
      </w:r>
      <w:proofErr w:type="gramStart"/>
      <w:r w:rsidR="004C0972" w:rsidRPr="004C0972">
        <w:t>evidence;</w:t>
      </w:r>
      <w:proofErr w:type="gramEnd"/>
      <w:r w:rsidR="004C0972" w:rsidRPr="004C0972">
        <w:t xml:space="preserve"> of these all 27 included evidence from 1 or 2 RCTs (sample size range 36 to 566 participants).</w:t>
      </w:r>
    </w:p>
    <w:p w14:paraId="563016E5" w14:textId="77777777" w:rsidR="005D6232" w:rsidRPr="00A55335" w:rsidRDefault="005D6232" w:rsidP="005D6232">
      <w:pPr>
        <w:pStyle w:val="Heading3"/>
      </w:pPr>
      <w:bookmarkStart w:id="567" w:name="_Toc183441451"/>
      <w:r w:rsidRPr="00A55335">
        <w:t>At review level</w:t>
      </w:r>
      <w:bookmarkEnd w:id="566"/>
      <w:bookmarkEnd w:id="567"/>
      <w:r w:rsidRPr="00A55335">
        <w:t xml:space="preserve"> </w:t>
      </w:r>
    </w:p>
    <w:p w14:paraId="0DEB3027" w14:textId="192A7145" w:rsidR="005D6232" w:rsidRPr="00A55335" w:rsidRDefault="005D6232" w:rsidP="005D6232">
      <w:pPr>
        <w:pStyle w:val="BodyText"/>
      </w:pPr>
      <w:r w:rsidRPr="00A55335">
        <w:t xml:space="preserve">This review </w:t>
      </w:r>
      <w:r w:rsidR="002E0146" w:rsidRPr="00A55335">
        <w:t xml:space="preserve">was </w:t>
      </w:r>
      <w:r w:rsidRPr="00A55335">
        <w:t xml:space="preserve">limited to the assessment of the evidence for certain conditions and groups of people to inform the Australian Government about health policy decisions for private health insurance rebates. This review </w:t>
      </w:r>
      <w:r w:rsidR="002E0146" w:rsidRPr="00A55335">
        <w:t xml:space="preserve">was </w:t>
      </w:r>
      <w:r w:rsidRPr="00A55335">
        <w:t xml:space="preserve">not designed to assess all the reasons that people </w:t>
      </w:r>
      <w:r w:rsidR="00382DC3" w:rsidRPr="00A55335">
        <w:t>use</w:t>
      </w:r>
      <w:r w:rsidRPr="00A55335">
        <w:t xml:space="preserve"> </w:t>
      </w:r>
      <w:r w:rsidR="00382DC3" w:rsidRPr="00A55335">
        <w:t>homeopathy</w:t>
      </w:r>
      <w:r w:rsidRPr="00A55335">
        <w:t xml:space="preserve">, or the reasons practitioners prescribe </w:t>
      </w:r>
      <w:r w:rsidR="00382DC3" w:rsidRPr="00A55335">
        <w:t>homeopathy</w:t>
      </w:r>
      <w:r w:rsidRPr="00A55335">
        <w:t xml:space="preserve"> and </w:t>
      </w:r>
      <w:r w:rsidR="002C5F28" w:rsidRPr="00A55335">
        <w:t xml:space="preserve">was </w:t>
      </w:r>
      <w:r w:rsidRPr="00A55335">
        <w:t xml:space="preserve">not intended to inform individual choices about </w:t>
      </w:r>
      <w:r w:rsidR="00382DC3" w:rsidRPr="00A55335">
        <w:t>homeopathic medicines</w:t>
      </w:r>
      <w:r w:rsidRPr="00A55335">
        <w:t xml:space="preserve">. Conditions were prioritised by NTWC, who were guided by relevant patient and/or practitioner reported Australian survey data (where available) and expert advice from NTREAP during the prioritisation process. </w:t>
      </w:r>
    </w:p>
    <w:p w14:paraId="600F6E81" w14:textId="347FDC1A" w:rsidR="00F03402" w:rsidRPr="00BD1A50" w:rsidRDefault="00146829" w:rsidP="008F6677">
      <w:pPr>
        <w:pStyle w:val="BodyText"/>
      </w:pPr>
      <w:bookmarkStart w:id="568" w:name="_Toc131610236"/>
      <w:r w:rsidRPr="00A55335">
        <w:t xml:space="preserve">The </w:t>
      </w:r>
      <w:r w:rsidR="00604037" w:rsidRPr="00BD1A50">
        <w:t xml:space="preserve">primary </w:t>
      </w:r>
      <w:r w:rsidRPr="00BD1A50">
        <w:t xml:space="preserve">comparator of interest </w:t>
      </w:r>
      <w:r w:rsidR="00705EC5" w:rsidRPr="00BD1A50">
        <w:t xml:space="preserve">was </w:t>
      </w:r>
      <w:r w:rsidRPr="00BD1A50">
        <w:t>homeopathy compared to placebo</w:t>
      </w:r>
      <w:r w:rsidR="00604037" w:rsidRPr="00BD1A50">
        <w:t>, with the secondary comparator</w:t>
      </w:r>
      <w:r w:rsidRPr="00BD1A50">
        <w:t xml:space="preserve"> </w:t>
      </w:r>
      <w:r w:rsidR="00D7268B" w:rsidRPr="00BD1A50">
        <w:t xml:space="preserve">being </w:t>
      </w:r>
      <w:r w:rsidRPr="00BD1A50">
        <w:t>homeopathy versus inactive control (no intervention, wait list or usual care)</w:t>
      </w:r>
      <w:r w:rsidR="00705EC5" w:rsidRPr="00BD1A50">
        <w:t>. T</w:t>
      </w:r>
      <w:r w:rsidRPr="00BD1A50">
        <w:t xml:space="preserve">he outcomes assessed </w:t>
      </w:r>
      <w:r w:rsidR="00604037" w:rsidRPr="00BD1A50">
        <w:t>were</w:t>
      </w:r>
      <w:r w:rsidRPr="00BD1A50">
        <w:t xml:space="preserve"> limited to those deemed critical or important by NTWC for each priority condition. Most conditions had evidence available for 3 or 4 critical or important outcomes. However, it is challenging to conclude the effectiveness of homeopathy compared with placebo for the prioritised conditions as the evidence was of very low certainty in </w:t>
      </w:r>
      <w:r w:rsidR="00705EC5" w:rsidRPr="00BD1A50">
        <w:t xml:space="preserve">32 </w:t>
      </w:r>
      <w:r w:rsidRPr="00BD1A50">
        <w:t>out of 94 (</w:t>
      </w:r>
      <w:r w:rsidR="00705EC5" w:rsidRPr="00BD1A50">
        <w:t>35</w:t>
      </w:r>
      <w:r w:rsidRPr="00BD1A50">
        <w:t xml:space="preserve">%) outcomes and the effectiveness of 32 of 94 outcomes (35%) remain unknown. In addition, over 100 RCTs were found in the priority conditions that were awaiting classification or remain ongoing at the time of the search. Results of these studies may (or may not) support the use of homeopathy. </w:t>
      </w:r>
    </w:p>
    <w:p w14:paraId="0E1E90B4" w14:textId="053AB2D2" w:rsidR="00146829" w:rsidRPr="00BD1A50" w:rsidRDefault="00146829" w:rsidP="008F6677">
      <w:pPr>
        <w:pStyle w:val="BodyText"/>
      </w:pPr>
      <w:r w:rsidRPr="00A55335">
        <w:t>The effectiveness of homeopathy compared with other interventions was not assessed</w:t>
      </w:r>
      <w:r w:rsidR="005821A8" w:rsidRPr="00BD1A50">
        <w:t xml:space="preserve"> in this review</w:t>
      </w:r>
      <w:r w:rsidRPr="00BD1A50">
        <w:t>. Data from these studies are listed in Appendix F2. It is unlikely the results of these studies would impact the overall conclusions of this review.</w:t>
      </w:r>
    </w:p>
    <w:p w14:paraId="45A208DB" w14:textId="11A2B8F8" w:rsidR="00146829" w:rsidRPr="00BD1A50" w:rsidRDefault="00146829" w:rsidP="008F6677">
      <w:pPr>
        <w:pStyle w:val="BodyText"/>
      </w:pPr>
      <w:r w:rsidRPr="00A55335">
        <w:lastRenderedPageBreak/>
        <w:t>It was out of scope of the review to assess safety. Consistent with the previous review</w:t>
      </w:r>
      <w:r w:rsidR="00705EC5" w:rsidRPr="00A55335">
        <w:t xml:space="preserve"> </w:t>
      </w:r>
      <w:r w:rsidR="00572856" w:rsidRPr="00A55335">
        <w:fldChar w:fldCharType="begin"/>
      </w:r>
      <w:r w:rsidR="006952AD">
        <w:instrText xml:space="preserve"> ADDIN EN.CITE &lt;EndNote&gt;&lt;Cite&gt;&lt;Author&gt;Australian Government Department of Health&lt;/Author&gt;&lt;Year&gt;2019&lt;/Year&gt;&lt;RecNum&gt;1&lt;/RecNum&gt;&lt;DisplayText&gt;(1)&lt;/DisplayText&gt;&lt;record&gt;&lt;rec-number&gt;1&lt;/rec-number&gt;&lt;foreign-keys&gt;&lt;key app="EN" db-id="t5prptatr9sp0we5exbxt9zz20fwp55tdza9" timestamp="1643145583"&gt;1&lt;/key&gt;&lt;/foreign-keys&gt;&lt;ref-type name="Web Page"&gt;12&lt;/ref-type&gt;&lt;contributors&gt;&lt;authors&gt;&lt;author&gt;Australian Government Department of Health,&lt;/author&gt;&lt;/authors&gt;&lt;/contributors&gt;&lt;titles&gt;&lt;title&gt;The 2015 Review of the Australian Government Rebate on Private Health Insurance for Natural Therapies &lt;/title&gt;&lt;/titles&gt;&lt;dates&gt;&lt;year&gt;2019&lt;/year&gt;&lt;/dates&gt;&lt;urls&gt;&lt;related-urls&gt;&lt;url&gt;https://www.health.gov.au/internet/main/publishing.nsf/Content/phi-natural-therapies&lt;/url&gt;&lt;/related-urls&gt;&lt;/urls&gt;&lt;research-notes&gt;ALL&lt;/research-notes&gt;&lt;access-date&gt;December 2019&lt;/access-date&gt;&lt;/record&gt;&lt;/Cite&gt;&lt;/EndNote&gt;</w:instrText>
      </w:r>
      <w:r w:rsidR="00572856" w:rsidRPr="00A55335">
        <w:fldChar w:fldCharType="separate"/>
      </w:r>
      <w:r w:rsidR="00572856" w:rsidRPr="00A55335">
        <w:rPr>
          <w:noProof/>
        </w:rPr>
        <w:t>(</w:t>
      </w:r>
      <w:hyperlink w:anchor="_ENREF_1" w:tooltip="Australian Government Department of Health, 2019 #1" w:history="1">
        <w:r w:rsidR="00EC2769" w:rsidRPr="00A55335">
          <w:rPr>
            <w:noProof/>
          </w:rPr>
          <w:t>1</w:t>
        </w:r>
      </w:hyperlink>
      <w:r w:rsidR="00572856" w:rsidRPr="00A55335">
        <w:rPr>
          <w:noProof/>
        </w:rPr>
        <w:t>)</w:t>
      </w:r>
      <w:r w:rsidR="00572856" w:rsidRPr="00A55335">
        <w:fldChar w:fldCharType="end"/>
      </w:r>
      <w:r w:rsidRPr="00A55335">
        <w:t xml:space="preserve"> , it was noted that evidence regarding safety was rarely </w:t>
      </w:r>
      <w:r w:rsidR="00311600" w:rsidRPr="00A55335">
        <w:t xml:space="preserve">reported </w:t>
      </w:r>
      <w:r w:rsidRPr="00A55335">
        <w:t xml:space="preserve">in </w:t>
      </w:r>
      <w:r w:rsidRPr="00BD1A50">
        <w:t xml:space="preserve">the primary studies. The sustainability of the effect is also unknown, as the review did not assess any </w:t>
      </w:r>
      <w:r w:rsidR="007A7ADD" w:rsidRPr="00BD1A50">
        <w:t>longer-term</w:t>
      </w:r>
      <w:r w:rsidRPr="00BD1A50">
        <w:t xml:space="preserve"> data.</w:t>
      </w:r>
    </w:p>
    <w:p w14:paraId="743A8DA0" w14:textId="77777777" w:rsidR="00146829" w:rsidRPr="00BD1A50" w:rsidRDefault="00146829" w:rsidP="008F6677">
      <w:pPr>
        <w:pStyle w:val="BodyText"/>
      </w:pPr>
      <w:r w:rsidRPr="00A55335">
        <w:t>The breadth and diversity of conditions identified for inclusion in this review means that it is possible that some conditions, outcome domains and outcome</w:t>
      </w:r>
      <w:r w:rsidRPr="00BD1A50">
        <w:t xml:space="preserve"> measures have been misclassified or missed during the outcome prioritisation process. </w:t>
      </w:r>
    </w:p>
    <w:p w14:paraId="05582BB0" w14:textId="63A17857" w:rsidR="00146829" w:rsidRPr="00BD1A50" w:rsidRDefault="00146829" w:rsidP="008F6677">
      <w:pPr>
        <w:pStyle w:val="BodyText"/>
      </w:pPr>
      <w:r w:rsidRPr="00A55335">
        <w:t xml:space="preserve">A final limitation is that the literature search for primary studies was last conducted in July 2022, it is possible that given the identification of </w:t>
      </w:r>
      <w:proofErr w:type="gramStart"/>
      <w:r w:rsidRPr="00A55335">
        <w:t>a number of</w:t>
      </w:r>
      <w:proofErr w:type="gramEnd"/>
      <w:r w:rsidRPr="00A55335">
        <w:t xml:space="preserve"> studies awaiting classification and ongoing, there may be additional evidence available for inclusion in the review. However, it is considered unlikely that new evidence would substantially impact the overall conclusions of this review</w:t>
      </w:r>
      <w:r w:rsidR="00493692" w:rsidRPr="00A55335">
        <w:t>.</w:t>
      </w:r>
      <w:r w:rsidRPr="00BD1A50">
        <w:t xml:space="preserve"> </w:t>
      </w:r>
    </w:p>
    <w:p w14:paraId="0BE831A3" w14:textId="77777777" w:rsidR="00797358" w:rsidRPr="00A55335" w:rsidRDefault="00797358" w:rsidP="00797358">
      <w:pPr>
        <w:pStyle w:val="Heading1"/>
      </w:pPr>
      <w:bookmarkStart w:id="569" w:name="_Toc183441452"/>
      <w:r w:rsidRPr="00A55335">
        <w:lastRenderedPageBreak/>
        <w:t>Authors' conclusions</w:t>
      </w:r>
      <w:bookmarkEnd w:id="568"/>
      <w:bookmarkEnd w:id="569"/>
    </w:p>
    <w:p w14:paraId="65C5031E" w14:textId="65719BDB" w:rsidR="00797358" w:rsidRPr="00A55335" w:rsidRDefault="00797358" w:rsidP="00797358">
      <w:pPr>
        <w:pStyle w:val="Heading2"/>
      </w:pPr>
      <w:bookmarkStart w:id="570" w:name="_Toc131610237"/>
      <w:bookmarkStart w:id="571" w:name="_Toc183441453"/>
      <w:r w:rsidRPr="00A55335">
        <w:t xml:space="preserve">Implications for </w:t>
      </w:r>
      <w:bookmarkEnd w:id="570"/>
      <w:r w:rsidR="00455CD8" w:rsidRPr="00A55335">
        <w:t>health policy</w:t>
      </w:r>
      <w:bookmarkEnd w:id="571"/>
      <w:r w:rsidR="00455CD8" w:rsidRPr="00A55335">
        <w:t xml:space="preserve"> </w:t>
      </w:r>
    </w:p>
    <w:p w14:paraId="7E223486" w14:textId="5425DED2" w:rsidR="00D4740F" w:rsidRPr="00BD1A50" w:rsidRDefault="00D4740F" w:rsidP="008F6677">
      <w:pPr>
        <w:pStyle w:val="BodyText"/>
      </w:pPr>
      <w:bookmarkStart w:id="572" w:name="_Toc131610238"/>
      <w:r w:rsidRPr="00A55335">
        <w:t xml:space="preserve">This report was commissioned by the </w:t>
      </w:r>
      <w:r w:rsidRPr="00BD1A50">
        <w:t>Australian Government as part of the Natural Therapies Review, with findings intended to inform decisions relating to whether private health insurance cover should be reinstated to homeopathy. As such, specific recommendations are not provided.</w:t>
      </w:r>
      <w:r w:rsidR="00914E7B" w:rsidRPr="00BD1A50">
        <w:t xml:space="preserve"> </w:t>
      </w:r>
      <w:r w:rsidR="00A9748C" w:rsidRPr="00A55335">
        <w:t>For the populations (or conditions) assessed,</w:t>
      </w:r>
      <w:r w:rsidR="00A9748C" w:rsidRPr="00BD1A50">
        <w:t xml:space="preserve"> homeopathy appears to provide little to no benefit for most of the included outcomes </w:t>
      </w:r>
      <w:r w:rsidR="001E0199">
        <w:t xml:space="preserve">where evidence was available, </w:t>
      </w:r>
      <w:r w:rsidR="00A9748C" w:rsidRPr="00BD1A50">
        <w:t>when compared with placebo</w:t>
      </w:r>
      <w:r w:rsidR="001E0199">
        <w:t xml:space="preserve"> (the gold-standard</w:t>
      </w:r>
      <w:r w:rsidR="002A51B5">
        <w:t xml:space="preserve"> </w:t>
      </w:r>
      <w:r w:rsidR="002A51B5" w:rsidRPr="00F30517">
        <w:t>methodology to establish the efficacy of a treatment</w:t>
      </w:r>
      <w:r w:rsidR="001E0199">
        <w:t>)</w:t>
      </w:r>
      <w:r w:rsidR="00A9748C" w:rsidRPr="00BD1A50">
        <w:t>. Similar results were seen in the few studies that compared homeopathy to inactive control</w:t>
      </w:r>
      <w:r w:rsidR="00F3560B">
        <w:t xml:space="preserve"> </w:t>
      </w:r>
      <w:r w:rsidR="00F3560B" w:rsidRPr="00F30517">
        <w:t>(no intervention, waitlist, or usual care, if considered inactive)</w:t>
      </w:r>
      <w:r w:rsidR="00A9748C" w:rsidRPr="00BD1A50">
        <w:t xml:space="preserve">. The evidence assessed in this review was rated as </w:t>
      </w:r>
      <w:sdt>
        <w:sdtPr>
          <w:tag w:val="goog_rdk_4"/>
          <w:id w:val="1101151786"/>
        </w:sdtPr>
        <w:sdtContent>
          <w:r w:rsidR="00A9748C" w:rsidRPr="00BD1A50">
            <w:t>moderate to very low certainty</w:t>
          </w:r>
        </w:sdtContent>
      </w:sdt>
      <w:r w:rsidR="00A9748C" w:rsidRPr="00BD1A50">
        <w:t xml:space="preserve">. </w:t>
      </w:r>
      <w:r w:rsidR="000862C6" w:rsidRPr="00BD1A50">
        <w:t>T</w:t>
      </w:r>
      <w:r w:rsidRPr="00BD1A50">
        <w:t xml:space="preserve">he prioritised conditions and outcomes </w:t>
      </w:r>
      <w:r w:rsidR="000F3E46" w:rsidRPr="00BD1A50">
        <w:t xml:space="preserve">were prioritised to </w:t>
      </w:r>
      <w:r w:rsidRPr="00BD1A50">
        <w:t xml:space="preserve">align with the reasons why consumers commonly use homeopathy in </w:t>
      </w:r>
      <w:sdt>
        <w:sdtPr>
          <w:tag w:val="goog_rdk_43"/>
          <w:id w:val="200367855"/>
        </w:sdtPr>
        <w:sdtContent/>
      </w:sdt>
      <w:sdt>
        <w:sdtPr>
          <w:tag w:val="goog_rdk_44"/>
          <w:id w:val="1218625484"/>
        </w:sdtPr>
        <w:sdtContent/>
      </w:sdt>
      <w:sdt>
        <w:sdtPr>
          <w:tag w:val="goog_rdk_45"/>
          <w:id w:val="1389847662"/>
        </w:sdtPr>
        <w:sdtContent/>
      </w:sdt>
      <w:r w:rsidRPr="00BD1A50">
        <w:t>Australia.</w:t>
      </w:r>
    </w:p>
    <w:p w14:paraId="61163418" w14:textId="0A8BA8F8" w:rsidR="00A451DB" w:rsidRPr="00BD1A50" w:rsidRDefault="00792AB0" w:rsidP="008F6677">
      <w:pPr>
        <w:pStyle w:val="BodyText"/>
      </w:pPr>
      <w:r w:rsidRPr="00A55335">
        <w:t xml:space="preserve">For the primary comparison of </w:t>
      </w:r>
      <w:r w:rsidRPr="00BD1A50">
        <w:t>homeopathy versus placebo, t</w:t>
      </w:r>
      <w:r w:rsidR="00D4740F" w:rsidRPr="00BD1A50">
        <w:t xml:space="preserve">here are </w:t>
      </w:r>
      <w:r w:rsidR="00D137F4">
        <w:t>2</w:t>
      </w:r>
      <w:r w:rsidR="00D4740F" w:rsidRPr="00BD1A50">
        <w:t xml:space="preserve"> conditions for which the evidence provides low certainty of benefit compared to placebo for one outcome (allergic rhinitis and atopic dermatitis). In contrast there were 11 conditions where the evidence provides low certainty that homeopathy provides little </w:t>
      </w:r>
      <w:r w:rsidR="005B26C1">
        <w:t>(</w:t>
      </w:r>
      <w:r w:rsidR="00D4740F" w:rsidRPr="00BD1A50">
        <w:t>to no</w:t>
      </w:r>
      <w:r w:rsidR="005B26C1">
        <w:t>)</w:t>
      </w:r>
      <w:r w:rsidR="00D4740F" w:rsidRPr="00BD1A50">
        <w:t xml:space="preserve"> benefit compared to placebo for one (atopic dermatitis, otitis media, psoriasis</w:t>
      </w:r>
      <w:r w:rsidR="00A451DB" w:rsidRPr="00BD1A50">
        <w:t>,</w:t>
      </w:r>
      <w:r w:rsidR="00A451DB" w:rsidRPr="00A55335">
        <w:t xml:space="preserve"> </w:t>
      </w:r>
      <w:r w:rsidR="00A451DB" w:rsidRPr="00BD1A50">
        <w:t>menopausal symptoms</w:t>
      </w:r>
      <w:r w:rsidR="00D4740F" w:rsidRPr="00BD1A50">
        <w:t xml:space="preserve">), </w:t>
      </w:r>
      <w:r w:rsidR="007F62D0">
        <w:t>2</w:t>
      </w:r>
      <w:r w:rsidR="007F62D0" w:rsidRPr="00BD1A50">
        <w:t xml:space="preserve"> </w:t>
      </w:r>
      <w:r w:rsidR="00D4740F" w:rsidRPr="00BD1A50">
        <w:t>(</w:t>
      </w:r>
      <w:r w:rsidR="00A451DB" w:rsidRPr="00BD1A50">
        <w:t xml:space="preserve">recurrent upper respiratory tract infections, asthma, </w:t>
      </w:r>
      <w:r w:rsidR="00D4740F" w:rsidRPr="00BD1A50">
        <w:t xml:space="preserve">diarrhoea, chronic fatigue conditions) or </w:t>
      </w:r>
      <w:r w:rsidR="007F62D0">
        <w:t>3</w:t>
      </w:r>
      <w:r w:rsidR="007F62D0" w:rsidRPr="00BD1A50">
        <w:t xml:space="preserve"> </w:t>
      </w:r>
      <w:r w:rsidR="00D4740F" w:rsidRPr="00BD1A50">
        <w:t xml:space="preserve">(anxiety, insomnia, back or neck pain) outcomes. </w:t>
      </w:r>
    </w:p>
    <w:p w14:paraId="74F81A5F" w14:textId="77777777" w:rsidR="00055991" w:rsidRPr="00A55335" w:rsidRDefault="00055991" w:rsidP="00055991">
      <w:pPr>
        <w:pStyle w:val="BodyText"/>
      </w:pPr>
      <w:r w:rsidRPr="00A55335">
        <w:t>The effect of homeopathy versus placebo was uncertain for 39 outcomes across 16 conditions (allergic rhinitis, atopic dermatitis, otitis media, recurrent upper respiratory tract infections, depression, neurodevelopmental disorders, headache disorders, asthma, diarrhoea, digestive complaints, psoriasis, arthropathies, back or neck pain, menopausal symptoms or complaints, menstrual disorders, and fibromyalgia). In addition, there are 8 conditions for which the effect of homeopathy versus placebo is unknown or the evidence is of very low certainty across all prioritised outcomes (depression, neurodevelopmental disorders, headache disorders, digestive complaints, irritable bowel syndrome, arthropathies, menstrual disorders and fibromyalgia).</w:t>
      </w:r>
    </w:p>
    <w:p w14:paraId="1F961597" w14:textId="19B98ADB" w:rsidR="004B6EB0" w:rsidRPr="00A55335" w:rsidRDefault="00E963DE" w:rsidP="009B3685">
      <w:pPr>
        <w:pStyle w:val="BodyText"/>
      </w:pPr>
      <w:r w:rsidRPr="00A55335">
        <w:t>For the secondary comparison of homeopathy versus inactive control there is one condition for which the evidence provides moderate certainty of benefit for one outcome (</w:t>
      </w:r>
      <w:r w:rsidR="00243C42" w:rsidRPr="00A55335">
        <w:t xml:space="preserve">recurrent </w:t>
      </w:r>
      <w:r w:rsidR="006B43D3" w:rsidRPr="00A55335">
        <w:t xml:space="preserve">upper </w:t>
      </w:r>
      <w:r w:rsidR="003C02B4" w:rsidRPr="00A55335">
        <w:t>respiratory</w:t>
      </w:r>
      <w:r w:rsidR="00243C42" w:rsidRPr="00A55335">
        <w:t xml:space="preserve"> tract</w:t>
      </w:r>
      <w:r w:rsidR="006B43D3" w:rsidRPr="00A55335">
        <w:t xml:space="preserve"> infections)</w:t>
      </w:r>
      <w:r w:rsidRPr="00A55335">
        <w:t xml:space="preserve">, however the </w:t>
      </w:r>
      <w:r w:rsidR="003C02B4" w:rsidRPr="00A55335">
        <w:t>certainty</w:t>
      </w:r>
      <w:r w:rsidRPr="00A55335">
        <w:t xml:space="preserve"> versus placebo </w:t>
      </w:r>
      <w:r w:rsidR="002602B7" w:rsidRPr="00A55335">
        <w:t xml:space="preserve">for this outcome </w:t>
      </w:r>
      <w:r w:rsidR="003C02B4" w:rsidRPr="00A55335">
        <w:t xml:space="preserve">was very low. </w:t>
      </w:r>
      <w:r w:rsidR="00DE6752" w:rsidRPr="00A55335">
        <w:t xml:space="preserve">There </w:t>
      </w:r>
      <w:r w:rsidR="002602B7" w:rsidRPr="00A55335">
        <w:t>were</w:t>
      </w:r>
      <w:r w:rsidR="00DE6752" w:rsidRPr="00A55335">
        <w:t xml:space="preserve"> also </w:t>
      </w:r>
      <w:r w:rsidR="00665F50">
        <w:t>2</w:t>
      </w:r>
      <w:r w:rsidR="00665F50" w:rsidRPr="00A55335">
        <w:t xml:space="preserve"> </w:t>
      </w:r>
      <w:r w:rsidR="00DE6752" w:rsidRPr="00A55335">
        <w:t xml:space="preserve">conditions </w:t>
      </w:r>
      <w:r w:rsidRPr="00A55335">
        <w:t xml:space="preserve">for </w:t>
      </w:r>
      <w:r w:rsidR="00DE6752" w:rsidRPr="00A55335">
        <w:t>which the evidence suggests homeopathy may provide benefit versus inactive control</w:t>
      </w:r>
      <w:r w:rsidR="00860DFA" w:rsidRPr="00A55335">
        <w:t xml:space="preserve"> for one outcome</w:t>
      </w:r>
      <w:r w:rsidR="00DE6752" w:rsidRPr="00A55335">
        <w:t xml:space="preserve"> (</w:t>
      </w:r>
      <w:r w:rsidR="00243C42" w:rsidRPr="00A55335">
        <w:t xml:space="preserve">recurrent </w:t>
      </w:r>
      <w:r w:rsidR="00D564AA" w:rsidRPr="00A55335">
        <w:t xml:space="preserve">upper respiratory </w:t>
      </w:r>
      <w:r w:rsidR="00243C42" w:rsidRPr="00A55335">
        <w:t xml:space="preserve">tract </w:t>
      </w:r>
      <w:r w:rsidR="00D564AA" w:rsidRPr="00A55335">
        <w:t>infections</w:t>
      </w:r>
      <w:r w:rsidR="00D564AA" w:rsidRPr="00A55335" w:rsidDel="00D564AA">
        <w:t xml:space="preserve"> </w:t>
      </w:r>
      <w:r w:rsidR="00D564AA" w:rsidRPr="00A55335">
        <w:t xml:space="preserve">and menstrual disorders), however the evidence versus placebo </w:t>
      </w:r>
      <w:r w:rsidR="002602B7" w:rsidRPr="00A55335">
        <w:t xml:space="preserve">was that there may be no effect or was uncertain. </w:t>
      </w:r>
      <w:r w:rsidR="0036240C">
        <w:t xml:space="preserve">For one condition, there was evidence that homeopathy probably </w:t>
      </w:r>
      <w:r w:rsidR="00CC5807">
        <w:t xml:space="preserve">provides little </w:t>
      </w:r>
      <w:r w:rsidR="005B26C1">
        <w:t>(</w:t>
      </w:r>
      <w:r w:rsidR="00CC5807">
        <w:t>to no</w:t>
      </w:r>
      <w:r w:rsidR="005B26C1">
        <w:t>)</w:t>
      </w:r>
      <w:r w:rsidR="00CC5807">
        <w:t xml:space="preserve"> benefit for one outcome (depression) when compared with inactive control</w:t>
      </w:r>
      <w:r w:rsidR="00FE38DE">
        <w:t>, however the</w:t>
      </w:r>
      <w:r w:rsidR="00FE38DE" w:rsidRPr="00A55335">
        <w:t xml:space="preserve"> certainty versus placebo for this outcome was very low</w:t>
      </w:r>
      <w:r w:rsidR="00CC5807">
        <w:t xml:space="preserve">. </w:t>
      </w:r>
      <w:r w:rsidR="002602B7" w:rsidRPr="00A55335">
        <w:t xml:space="preserve">There was also evidence for </w:t>
      </w:r>
      <w:r w:rsidR="005B26C1">
        <w:t>5</w:t>
      </w:r>
      <w:r w:rsidR="005B26C1" w:rsidRPr="00A55335">
        <w:t xml:space="preserve"> </w:t>
      </w:r>
      <w:r w:rsidR="002602B7" w:rsidRPr="00A55335">
        <w:t xml:space="preserve">conditions that homeopathy versus inactive control may have little </w:t>
      </w:r>
      <w:r w:rsidR="005B26C1">
        <w:t>(to</w:t>
      </w:r>
      <w:r w:rsidR="005B26C1" w:rsidRPr="00A55335">
        <w:t xml:space="preserve"> </w:t>
      </w:r>
      <w:r w:rsidR="002602B7" w:rsidRPr="00A55335">
        <w:t>no</w:t>
      </w:r>
      <w:r w:rsidR="005B26C1">
        <w:t>)</w:t>
      </w:r>
      <w:r w:rsidR="002602B7" w:rsidRPr="00A55335">
        <w:t xml:space="preserve"> effect, generally consistent with the results for placebo (</w:t>
      </w:r>
      <w:r w:rsidR="00F776F5" w:rsidRPr="00A55335">
        <w:t xml:space="preserve">otitis media, depression, asthma, </w:t>
      </w:r>
      <w:r w:rsidR="00C86051" w:rsidRPr="00A55335">
        <w:t>irritable bowel syndrome</w:t>
      </w:r>
      <w:r w:rsidR="002162B6" w:rsidRPr="00A55335">
        <w:t xml:space="preserve">, fibromyalgia). </w:t>
      </w:r>
    </w:p>
    <w:p w14:paraId="16E0E16A" w14:textId="6505E9FE" w:rsidR="004B6EB0" w:rsidRDefault="004B6EB0" w:rsidP="009B3685">
      <w:pPr>
        <w:pStyle w:val="BodyText"/>
      </w:pPr>
      <w:r w:rsidRPr="00A55335">
        <w:t xml:space="preserve">Compared with an inactive control, the effect of homeopathy was uncertain for </w:t>
      </w:r>
      <w:r w:rsidR="002E55B2" w:rsidRPr="00A55335">
        <w:t>1</w:t>
      </w:r>
      <w:r w:rsidR="00997352" w:rsidRPr="00A55335">
        <w:t>2</w:t>
      </w:r>
      <w:r w:rsidRPr="00A55335">
        <w:t xml:space="preserve"> outcomes across 6 conditions (recurrent upper respiratory tract infections, </w:t>
      </w:r>
      <w:r w:rsidR="002E55B2" w:rsidRPr="00A55335">
        <w:t xml:space="preserve">recurrent lower urinary tract infections, </w:t>
      </w:r>
      <w:r w:rsidRPr="00A55335">
        <w:t xml:space="preserve">neurodevelopmental disorders, asthma, digestive complaints, </w:t>
      </w:r>
      <w:r w:rsidR="00BD6E00" w:rsidRPr="00A55335">
        <w:t xml:space="preserve">and </w:t>
      </w:r>
      <w:r w:rsidRPr="00A55335">
        <w:t xml:space="preserve">menopausal symptoms or complaints). There are </w:t>
      </w:r>
      <w:r w:rsidR="0015737F" w:rsidRPr="00A55335">
        <w:t>10</w:t>
      </w:r>
      <w:r w:rsidRPr="00A55335">
        <w:t xml:space="preserve"> conditions for which the effect of homeopathy </w:t>
      </w:r>
      <w:r w:rsidR="00D25426" w:rsidRPr="00A55335">
        <w:t>compared with</w:t>
      </w:r>
      <w:r w:rsidRPr="00A55335">
        <w:t xml:space="preserve"> </w:t>
      </w:r>
      <w:r w:rsidR="00D25426" w:rsidRPr="00A55335">
        <w:t xml:space="preserve">inactive control </w:t>
      </w:r>
      <w:r w:rsidRPr="00A55335">
        <w:t>is unknown (</w:t>
      </w:r>
      <w:r w:rsidR="00B3079D" w:rsidRPr="00A55335">
        <w:t>allergic rhini</w:t>
      </w:r>
      <w:r w:rsidR="003226B2" w:rsidRPr="00A55335">
        <w:t xml:space="preserve">tis, </w:t>
      </w:r>
      <w:r w:rsidR="003E306D" w:rsidRPr="00BD1A50">
        <w:t>atopic dermatitis</w:t>
      </w:r>
      <w:r w:rsidR="003E306D" w:rsidRPr="00A55335">
        <w:t xml:space="preserve">, </w:t>
      </w:r>
      <w:r w:rsidR="00E745C4" w:rsidRPr="00A55335">
        <w:t>anxiety</w:t>
      </w:r>
      <w:r w:rsidRPr="00A55335">
        <w:t xml:space="preserve">, </w:t>
      </w:r>
      <w:r w:rsidR="0020526C" w:rsidRPr="00A55335">
        <w:t>insomnia</w:t>
      </w:r>
      <w:r w:rsidR="00DE6B56" w:rsidRPr="00A55335">
        <w:t xml:space="preserve">, headache disorders, </w:t>
      </w:r>
      <w:r w:rsidR="006B1732" w:rsidRPr="00A55335">
        <w:t>diarrh</w:t>
      </w:r>
      <w:r w:rsidR="0005021E" w:rsidRPr="00A55335">
        <w:t>oea,</w:t>
      </w:r>
      <w:r w:rsidR="00E3690C" w:rsidRPr="00A55335">
        <w:t xml:space="preserve"> psoriasis, arthritis, back and neck pain</w:t>
      </w:r>
      <w:r w:rsidR="0015737F" w:rsidRPr="00A55335">
        <w:t xml:space="preserve"> and fatigue conditions</w:t>
      </w:r>
      <w:r w:rsidRPr="00A55335">
        <w:t>).</w:t>
      </w:r>
    </w:p>
    <w:p w14:paraId="3D210DC5" w14:textId="4969C948" w:rsidR="00055991" w:rsidRPr="00A55335" w:rsidRDefault="00055991" w:rsidP="009B3685">
      <w:pPr>
        <w:pStyle w:val="BodyText"/>
      </w:pPr>
      <w:r>
        <w:lastRenderedPageBreak/>
        <w:t>Many of</w:t>
      </w:r>
      <w:r w:rsidRPr="00F30517">
        <w:t xml:space="preserve"> the studies where evidence was available were compared to placebo. For completeness, homeopathy versus inactive control was included as a secondary comparator. In some of the studies compared to inactive control, the inactive control was “usual care”. This means participants were encouraged to continue any usual medication or </w:t>
      </w:r>
      <w:r w:rsidR="001A5591" w:rsidRPr="00F30517">
        <w:t>practices,</w:t>
      </w:r>
      <w:r w:rsidRPr="00F30517">
        <w:t xml:space="preserve"> but it is not always known or reported what those are and they can vary from person to person. Therefore, where usual care is included, it is often not possible to tell the effects of homeopathy alone, and instead the results show the effect of homeopathy as an adjunct to usual care.</w:t>
      </w:r>
    </w:p>
    <w:p w14:paraId="14C6BD1D" w14:textId="57E38263" w:rsidR="00797358" w:rsidRPr="00A55335" w:rsidRDefault="00A27C0C" w:rsidP="00797358">
      <w:pPr>
        <w:pStyle w:val="Heading2"/>
      </w:pPr>
      <w:bookmarkStart w:id="573" w:name="_Toc183441454"/>
      <w:bookmarkEnd w:id="572"/>
      <w:r w:rsidRPr="00A55335">
        <w:t>Implications for research</w:t>
      </w:r>
      <w:bookmarkEnd w:id="573"/>
    </w:p>
    <w:p w14:paraId="05748998" w14:textId="75C37291" w:rsidR="00797358" w:rsidRPr="00A55335" w:rsidRDefault="002B5351" w:rsidP="00797358">
      <w:pPr>
        <w:pStyle w:val="BodyText"/>
      </w:pPr>
      <w:r w:rsidRPr="00A55335">
        <w:t xml:space="preserve">There was a large amount of evidence for homeopathy not published at the time of the search. Among the priority populations included in this review, an estimated 51 RCTs (3788+ participants) comparing homeopathy with placebo or an inactive control are awaiting classification and a further 71 RCTs (6182 target participants) were listed as ongoing. </w:t>
      </w:r>
      <w:r w:rsidR="00797358" w:rsidRPr="00A55335">
        <w:t>Evidence reported in these studies are expected to contribute to future updates where studies are completed, and results published.</w:t>
      </w:r>
    </w:p>
    <w:p w14:paraId="076FDA52" w14:textId="77777777" w:rsidR="00AA35C8" w:rsidRPr="003E4A71" w:rsidRDefault="00AA35C8" w:rsidP="00AA35C8">
      <w:pPr>
        <w:rPr>
          <w:sz w:val="19"/>
          <w:szCs w:val="19"/>
        </w:rPr>
      </w:pPr>
      <w:r>
        <w:rPr>
          <w:sz w:val="19"/>
          <w:szCs w:val="19"/>
        </w:rPr>
        <w:t>There are many trials on</w:t>
      </w:r>
      <w:r w:rsidRPr="00F30517">
        <w:rPr>
          <w:sz w:val="19"/>
          <w:szCs w:val="19"/>
        </w:rPr>
        <w:t xml:space="preserve"> the effectiveness of homeopathy compared with placebo or an inactive control. To ensure that future research is able to answer questions about the effectiveness of homeopathy it is important that trials are well conducted (e.g. including outcomes and measures defined in core outcome sets, focus on greater retention or follow-up of participants in trials) and that reporting is comprehensive (e.g. including standard deviations or confidence intervals, providing end of treatment score, reporting both total scores and sub scores of outcome measures). A focus on priority populations relevant to Australia for which there is an absence of evidence would also be of benefit.</w:t>
      </w:r>
    </w:p>
    <w:p w14:paraId="19CCB4D8" w14:textId="77777777" w:rsidR="00DD505D" w:rsidRPr="00A55335" w:rsidRDefault="00DD505D" w:rsidP="00DD505D">
      <w:pPr>
        <w:pStyle w:val="BodyText"/>
      </w:pPr>
    </w:p>
    <w:p w14:paraId="7BBFAF4E" w14:textId="77777777" w:rsidR="00DD505D" w:rsidRPr="00A55335" w:rsidRDefault="00DD505D" w:rsidP="008E0FA7">
      <w:pPr>
        <w:pStyle w:val="H1-NoNumColour"/>
      </w:pPr>
      <w:bookmarkStart w:id="574" w:name="_Toc183441455"/>
      <w:r w:rsidRPr="00A55335">
        <w:lastRenderedPageBreak/>
        <w:t>References</w:t>
      </w:r>
      <w:bookmarkEnd w:id="574"/>
    </w:p>
    <w:p w14:paraId="18613D04" w14:textId="24CDFD8B" w:rsidR="00EC2769" w:rsidRPr="00EC2769" w:rsidRDefault="00DD505D" w:rsidP="001B3DA2">
      <w:pPr>
        <w:pStyle w:val="EndNoteBibliography"/>
      </w:pPr>
      <w:r w:rsidRPr="00A55335">
        <w:rPr>
          <w:noProof w:val="0"/>
        </w:rPr>
        <w:fldChar w:fldCharType="begin"/>
      </w:r>
      <w:r w:rsidRPr="00A55335">
        <w:rPr>
          <w:noProof w:val="0"/>
        </w:rPr>
        <w:instrText xml:space="preserve"> ADDIN EN.REFLIST </w:instrText>
      </w:r>
      <w:r w:rsidRPr="00A55335">
        <w:rPr>
          <w:noProof w:val="0"/>
        </w:rPr>
        <w:fldChar w:fldCharType="separate"/>
      </w:r>
      <w:bookmarkStart w:id="575" w:name="_ENREF_1"/>
      <w:r w:rsidR="00EC2769" w:rsidRPr="00EC2769">
        <w:t>1.</w:t>
      </w:r>
      <w:r w:rsidR="00EC2769" w:rsidRPr="00EC2769">
        <w:tab/>
        <w:t xml:space="preserve">Australian Government Department of Health. The 2015 Review of the Australian Government Rebate on Private Health Insurance for Natural Therapies 2019 [Available from: </w:t>
      </w:r>
      <w:hyperlink r:id="rId125" w:history="1">
        <w:r w:rsidR="00EC2769" w:rsidRPr="00EC2769">
          <w:rPr>
            <w:rStyle w:val="Hyperlink"/>
            <w:rFonts w:cs="Calibri"/>
          </w:rPr>
          <w:t>https://www.health.gov.au/internet/main/publishing.nsf/Content/phi-natural-therapies</w:t>
        </w:r>
      </w:hyperlink>
      <w:r w:rsidR="00EC2769" w:rsidRPr="00EC2769">
        <w:t>.</w:t>
      </w:r>
      <w:bookmarkEnd w:id="575"/>
    </w:p>
    <w:p w14:paraId="59CE9BB5" w14:textId="2DCF080B" w:rsidR="00EC2769" w:rsidRPr="00EC2769" w:rsidRDefault="00EC2769" w:rsidP="001B3DA2">
      <w:pPr>
        <w:pStyle w:val="EndNoteBibliography"/>
      </w:pPr>
      <w:bookmarkStart w:id="576" w:name="_ENREF_2"/>
      <w:r w:rsidRPr="00EC2769">
        <w:t>2.</w:t>
      </w:r>
      <w:r w:rsidRPr="00EC2769">
        <w:tab/>
        <w:t xml:space="preserve">Methodological Expectations of Cochrane Intervention Reviews. London: Cochrane; 2019 [cited 2019]. Available from: </w:t>
      </w:r>
      <w:hyperlink r:id="rId126" w:history="1">
        <w:r w:rsidRPr="00EC2769">
          <w:rPr>
            <w:rStyle w:val="Hyperlink"/>
            <w:rFonts w:cs="Calibri"/>
          </w:rPr>
          <w:t>https://community.cochrane.org/mecir-manual</w:t>
        </w:r>
      </w:hyperlink>
      <w:r w:rsidRPr="00EC2769">
        <w:t>.</w:t>
      </w:r>
      <w:bookmarkEnd w:id="576"/>
    </w:p>
    <w:p w14:paraId="2E9E9910" w14:textId="77777777" w:rsidR="00EC2769" w:rsidRPr="00EC2769" w:rsidRDefault="00EC2769" w:rsidP="001B3DA2">
      <w:pPr>
        <w:pStyle w:val="EndNoteBibliography"/>
      </w:pPr>
      <w:bookmarkStart w:id="577" w:name="_ENREF_3"/>
      <w:r w:rsidRPr="00EC2769">
        <w:t>3.</w:t>
      </w:r>
      <w:r w:rsidRPr="00EC2769">
        <w:tab/>
        <w:t>Moher D, Liberati A, Tetzlaff J, Altman DG, Group P. Preferred reporting items for systematic reviews and meta-analyses: the PRISMA statement.</w:t>
      </w:r>
      <w:r w:rsidRPr="00EC2769">
        <w:rPr>
          <w:i/>
        </w:rPr>
        <w:t xml:space="preserve"> PLoS Med</w:t>
      </w:r>
      <w:r w:rsidRPr="00EC2769">
        <w:t>. 2009;6(7):e1000097. 10.1371/journal.pmed.1000097</w:t>
      </w:r>
      <w:bookmarkEnd w:id="577"/>
    </w:p>
    <w:p w14:paraId="49BF9EE1" w14:textId="5C816847" w:rsidR="00EC2769" w:rsidRPr="00EC2769" w:rsidRDefault="00EC2769" w:rsidP="001B3DA2">
      <w:pPr>
        <w:pStyle w:val="EndNoteBibliography"/>
      </w:pPr>
      <w:bookmarkStart w:id="578" w:name="_ENREF_4"/>
      <w:r w:rsidRPr="00EC2769">
        <w:t>4.</w:t>
      </w:r>
      <w:r w:rsidRPr="00EC2769">
        <w:tab/>
        <w:t xml:space="preserve">Churchill R, Lasserson T, Chandler J, Tovey D, Thomas J, Flemyng E, et al. Standards for the reporting of new Cochrane Intervention Reviews. 2019  [cited 4 June 2020]. In: Methodological Expectations of Cochrane Intervention Reviews [Internet]. London: Cochrane, [cited 4 June 2020]. Available from: </w:t>
      </w:r>
      <w:hyperlink r:id="rId127" w:history="1">
        <w:r w:rsidRPr="00EC2769">
          <w:rPr>
            <w:rStyle w:val="Hyperlink"/>
            <w:rFonts w:cs="Calibri"/>
          </w:rPr>
          <w:t>https://community.cochrane.org/mecir-manual/standards-reporting-new-cochrane-intervention-reviews-r1-r109</w:t>
        </w:r>
      </w:hyperlink>
      <w:r w:rsidRPr="00EC2769">
        <w:t>.</w:t>
      </w:r>
      <w:bookmarkEnd w:id="578"/>
    </w:p>
    <w:p w14:paraId="44D4E73D" w14:textId="355B89F8" w:rsidR="00EC2769" w:rsidRPr="00EC2769" w:rsidRDefault="00EC2769" w:rsidP="001B3DA2">
      <w:pPr>
        <w:pStyle w:val="EndNoteBibliography"/>
      </w:pPr>
      <w:bookmarkStart w:id="579" w:name="_ENREF_5"/>
      <w:r w:rsidRPr="00EC2769">
        <w:t>5.</w:t>
      </w:r>
      <w:r w:rsidRPr="00EC2769">
        <w:tab/>
        <w:t xml:space="preserve">Schünemann H, Brożek J, Guyatt G, Oxman A. GRADE Handbook. Handbook for grading the quality of evidence and the strength of recommendations using the GRADE approach [Internet]. 2013. [Accessed; (Updated October 2013). Available from: </w:t>
      </w:r>
      <w:hyperlink r:id="rId128" w:history="1">
        <w:r w:rsidRPr="00EC2769">
          <w:rPr>
            <w:rStyle w:val="Hyperlink"/>
            <w:rFonts w:cs="Calibri"/>
          </w:rPr>
          <w:t>https://gdt.gradepro.org/app/handbook/handbook.html</w:t>
        </w:r>
      </w:hyperlink>
      <w:r w:rsidRPr="00EC2769">
        <w:t>.</w:t>
      </w:r>
      <w:bookmarkEnd w:id="579"/>
    </w:p>
    <w:p w14:paraId="4894189D" w14:textId="77777777" w:rsidR="00EC2769" w:rsidRPr="00EC2769" w:rsidRDefault="00EC2769" w:rsidP="001B3DA2">
      <w:pPr>
        <w:pStyle w:val="EndNoteBibliography"/>
      </w:pPr>
      <w:bookmarkStart w:id="580" w:name="_ENREF_6"/>
      <w:r w:rsidRPr="00EC2769">
        <w:t>6.</w:t>
      </w:r>
      <w:r w:rsidRPr="00EC2769">
        <w:tab/>
        <w:t>Reid R, Steel A, Wardle J, Trubody A, Adams J. Complementary medicine use by the Australian population: a critical mixed studies systematic review of utilisation, perceptions and factors associated with use.</w:t>
      </w:r>
      <w:r w:rsidRPr="00EC2769">
        <w:rPr>
          <w:i/>
        </w:rPr>
        <w:t xml:space="preserve"> BMC Complement Altern Med</w:t>
      </w:r>
      <w:r w:rsidRPr="00EC2769">
        <w:t>. 2016;16(1):176. 10.1186/s12906-016-1143-8</w:t>
      </w:r>
      <w:bookmarkEnd w:id="580"/>
    </w:p>
    <w:p w14:paraId="13DF9585" w14:textId="77777777" w:rsidR="00EC2769" w:rsidRPr="00EC2769" w:rsidRDefault="00EC2769" w:rsidP="001B3DA2">
      <w:pPr>
        <w:pStyle w:val="EndNoteBibliography"/>
      </w:pPr>
      <w:bookmarkStart w:id="581" w:name="_ENREF_7"/>
      <w:r w:rsidRPr="00EC2769">
        <w:t>7.</w:t>
      </w:r>
      <w:r w:rsidRPr="00EC2769">
        <w:tab/>
        <w:t>Xue CC, Zhang AL, Lin V, Da Costa C, Story DF. Complementary and alternative medicine use in Australia: a national population-based survey.</w:t>
      </w:r>
      <w:r w:rsidRPr="00EC2769">
        <w:rPr>
          <w:i/>
        </w:rPr>
        <w:t xml:space="preserve"> J Altern Complement Med</w:t>
      </w:r>
      <w:r w:rsidRPr="00EC2769">
        <w:t>. 2007;13(6):643-50. 10.1089/acm.2006.6355</w:t>
      </w:r>
      <w:bookmarkEnd w:id="581"/>
    </w:p>
    <w:p w14:paraId="59456301" w14:textId="77777777" w:rsidR="00EC2769" w:rsidRPr="00EC2769" w:rsidRDefault="00EC2769" w:rsidP="001B3DA2">
      <w:pPr>
        <w:pStyle w:val="EndNoteBibliography"/>
      </w:pPr>
      <w:bookmarkStart w:id="582" w:name="_ENREF_8"/>
      <w:r w:rsidRPr="00EC2769">
        <w:t>8.</w:t>
      </w:r>
      <w:r w:rsidRPr="00EC2769">
        <w:tab/>
        <w:t>Harnett JE, McIntyre E, Steel A, Foley H, Sibbritt D, Adams J. Use of complementary medicine products: a nationally representative cross-sectional survey of 2019 Australian adults.</w:t>
      </w:r>
      <w:r w:rsidRPr="00EC2769">
        <w:rPr>
          <w:i/>
        </w:rPr>
        <w:t xml:space="preserve"> BMJ Open</w:t>
      </w:r>
      <w:r w:rsidRPr="00EC2769">
        <w:t>. 2019;9(7):e024198. 10.1136/bmjopen-2018-024198</w:t>
      </w:r>
      <w:bookmarkEnd w:id="582"/>
    </w:p>
    <w:p w14:paraId="0EB23149" w14:textId="77777777" w:rsidR="00EC2769" w:rsidRPr="00EC2769" w:rsidRDefault="00EC2769" w:rsidP="001B3DA2">
      <w:pPr>
        <w:pStyle w:val="EndNoteBibliography"/>
      </w:pPr>
      <w:bookmarkStart w:id="583" w:name="_ENREF_9"/>
      <w:r w:rsidRPr="00EC2769">
        <w:t>9.</w:t>
      </w:r>
      <w:r w:rsidRPr="00EC2769">
        <w:tab/>
        <w:t>Qutubuddin M, Singh SM, Nayak C, Koley M, Saha S. A Systematic Review of Controlled Trials of Homeopathy in Bronchial Asthma.</w:t>
      </w:r>
      <w:r w:rsidRPr="00EC2769">
        <w:rPr>
          <w:i/>
        </w:rPr>
        <w:t xml:space="preserve"> Complement Med Res</w:t>
      </w:r>
      <w:r w:rsidRPr="00EC2769">
        <w:t>. 2019;26(2):111-7. 10.1159/000494621</w:t>
      </w:r>
      <w:bookmarkEnd w:id="583"/>
    </w:p>
    <w:p w14:paraId="7F70115F" w14:textId="178F58FC" w:rsidR="00EC2769" w:rsidRPr="00EC2769" w:rsidRDefault="00EC2769" w:rsidP="001B3DA2">
      <w:pPr>
        <w:pStyle w:val="EndNoteBibliography"/>
      </w:pPr>
      <w:bookmarkStart w:id="584" w:name="_ENREF_10"/>
      <w:r w:rsidRPr="00EC2769">
        <w:t>10.</w:t>
      </w:r>
      <w:r w:rsidRPr="00EC2769">
        <w:tab/>
        <w:t>Peckham EJ, Brabyn S, Cooper K, Roberts ER, Agrawal A, Tew G. Homeopathy for treatment of irritable bowel syndrome.</w:t>
      </w:r>
      <w:r w:rsidRPr="00EC2769">
        <w:rPr>
          <w:i/>
        </w:rPr>
        <w:t xml:space="preserve"> Cochrane Database of Systematic Reviews</w:t>
      </w:r>
      <w:r w:rsidRPr="00EC2769">
        <w:t xml:space="preserve">. 2019;2019(9):CD009710. </w:t>
      </w:r>
      <w:hyperlink r:id="rId129" w:history="1">
        <w:r w:rsidRPr="00EC2769">
          <w:rPr>
            <w:rStyle w:val="Hyperlink"/>
            <w:rFonts w:cs="Calibri"/>
          </w:rPr>
          <w:t>http://dx.doi.org/10.1002/14651858.CD009710.pub3</w:t>
        </w:r>
        <w:bookmarkEnd w:id="584"/>
      </w:hyperlink>
    </w:p>
    <w:p w14:paraId="686231A6" w14:textId="77777777" w:rsidR="00EC2769" w:rsidRPr="00EC2769" w:rsidRDefault="00EC2769" w:rsidP="001B3DA2">
      <w:pPr>
        <w:pStyle w:val="EndNoteBibliography"/>
      </w:pPr>
      <w:bookmarkStart w:id="585" w:name="_ENREF_11"/>
      <w:r w:rsidRPr="00EC2769">
        <w:t>11.</w:t>
      </w:r>
      <w:r w:rsidRPr="00EC2769">
        <w:tab/>
        <w:t>Viksveen P, Fibert P, Relton C. Homeopathy in the treatment of depression: a systematic review.</w:t>
      </w:r>
      <w:r w:rsidRPr="00EC2769">
        <w:rPr>
          <w:i/>
        </w:rPr>
        <w:t xml:space="preserve"> European Journal of Integrative Medicine</w:t>
      </w:r>
      <w:r w:rsidRPr="00EC2769">
        <w:t>. 2018;22:22-36. 10.1016/j.eujim.2018.07.004</w:t>
      </w:r>
      <w:bookmarkEnd w:id="585"/>
    </w:p>
    <w:p w14:paraId="61677780" w14:textId="77777777" w:rsidR="00EC2769" w:rsidRPr="00EC2769" w:rsidRDefault="00EC2769" w:rsidP="001B3DA2">
      <w:pPr>
        <w:pStyle w:val="EndNoteBibliography"/>
      </w:pPr>
      <w:bookmarkStart w:id="586" w:name="_ENREF_12"/>
      <w:r w:rsidRPr="00EC2769">
        <w:t>12.</w:t>
      </w:r>
      <w:r w:rsidRPr="00EC2769">
        <w:tab/>
        <w:t>Banerjee K, Mathie RT, Costelloe C, Howick J. Homeopathy for Allergic Rhinitis: A Systematic Review.</w:t>
      </w:r>
      <w:r w:rsidRPr="00EC2769">
        <w:rPr>
          <w:i/>
        </w:rPr>
        <w:t xml:space="preserve"> J Altern Complement Med</w:t>
      </w:r>
      <w:r w:rsidRPr="00EC2769">
        <w:t>. 2017;23(6):426-44. 10.1089/acm.2016.0310</w:t>
      </w:r>
      <w:bookmarkEnd w:id="586"/>
    </w:p>
    <w:p w14:paraId="5FCFF213" w14:textId="77777777" w:rsidR="00EC2769" w:rsidRPr="00EC2769" w:rsidRDefault="00EC2769" w:rsidP="001B3DA2">
      <w:pPr>
        <w:pStyle w:val="EndNoteBibliography"/>
      </w:pPr>
      <w:bookmarkStart w:id="587" w:name="_ENREF_13"/>
      <w:r w:rsidRPr="00EC2769">
        <w:t>13.</w:t>
      </w:r>
      <w:r w:rsidRPr="00EC2769">
        <w:tab/>
        <w:t>Tuteja S. A Randomised, Placebo-Controlled, Parallel Group Study to Evaluate Efficacy of Homoeopathic Medicine in Patients with Rheumatoid Arthritis.</w:t>
      </w:r>
      <w:r w:rsidRPr="00EC2769">
        <w:rPr>
          <w:i/>
        </w:rPr>
        <w:t xml:space="preserve"> Homeopathy</w:t>
      </w:r>
      <w:r w:rsidRPr="00EC2769">
        <w:t>. 2018;107(S 01):55-78. 10.1055/s-0038-1633342</w:t>
      </w:r>
      <w:bookmarkEnd w:id="587"/>
    </w:p>
    <w:p w14:paraId="14874441" w14:textId="77777777" w:rsidR="00EC2769" w:rsidRPr="00EC2769" w:rsidRDefault="00EC2769" w:rsidP="001B3DA2">
      <w:pPr>
        <w:pStyle w:val="EndNoteBibliography"/>
      </w:pPr>
      <w:bookmarkStart w:id="588" w:name="_ENREF_14"/>
      <w:r w:rsidRPr="00EC2769">
        <w:t>14.</w:t>
      </w:r>
      <w:r w:rsidRPr="00EC2769">
        <w:tab/>
        <w:t>Topcu A, Lokke A, Eriksen L, Nielsen LP, Dahl R. Evaluating the effect on asthma quality of life of added reflexology or homeopathy to conventional asthma management - an investigator-blinded, randomised, controlled parallel group study.</w:t>
      </w:r>
      <w:r w:rsidRPr="00EC2769">
        <w:rPr>
          <w:i/>
        </w:rPr>
        <w:t xml:space="preserve"> Eur Clin Respir J</w:t>
      </w:r>
      <w:r w:rsidRPr="00EC2769">
        <w:t>. 2020;7(1):1793526. 10.1080/20018525.2020.1793526</w:t>
      </w:r>
      <w:bookmarkEnd w:id="588"/>
    </w:p>
    <w:p w14:paraId="010109CD" w14:textId="77777777" w:rsidR="00EC2769" w:rsidRPr="00EC2769" w:rsidRDefault="00EC2769" w:rsidP="001B3DA2">
      <w:pPr>
        <w:pStyle w:val="EndNoteBibliography"/>
      </w:pPr>
      <w:bookmarkStart w:id="589" w:name="_ENREF_15"/>
      <w:r w:rsidRPr="00EC2769">
        <w:t>15.</w:t>
      </w:r>
      <w:r w:rsidRPr="00EC2769">
        <w:tab/>
        <w:t>Brien SB, Leydon GM, Lewith G. Homeopathy enables rheumatoid arthritis patients to cope with their chronic ill health: a qualitative study of patient's perceptions of the homeopathic consultation.</w:t>
      </w:r>
      <w:r w:rsidRPr="00EC2769">
        <w:rPr>
          <w:i/>
        </w:rPr>
        <w:t xml:space="preserve"> Patient Educ Couns</w:t>
      </w:r>
      <w:r w:rsidRPr="00EC2769">
        <w:t>. 2012;89(3):507-16. 10.1016/j.pec.2011.11.008</w:t>
      </w:r>
      <w:bookmarkEnd w:id="589"/>
    </w:p>
    <w:p w14:paraId="5D56549D" w14:textId="77777777" w:rsidR="00EC2769" w:rsidRPr="00EC2769" w:rsidRDefault="00EC2769" w:rsidP="001B3DA2">
      <w:pPr>
        <w:pStyle w:val="EndNoteBibliography"/>
      </w:pPr>
      <w:bookmarkStart w:id="590" w:name="_ENREF_16"/>
      <w:r w:rsidRPr="00EC2769">
        <w:t>16.</w:t>
      </w:r>
      <w:r w:rsidRPr="00EC2769">
        <w:tab/>
        <w:t>Bagot JL, Legrand A, Theunissen I. Use of Homeopathy in Integrative Oncology in Strasbourg, France: Multi-center Cross-Sectional Descriptive Study of Patients Undergoing Cancer Treatment.</w:t>
      </w:r>
      <w:r w:rsidRPr="00EC2769">
        <w:rPr>
          <w:i/>
        </w:rPr>
        <w:t xml:space="preserve"> Homeopathy</w:t>
      </w:r>
      <w:r w:rsidRPr="00EC2769">
        <w:t>. 2021;110(3):168-73. 10.1055/s-0040-1721065</w:t>
      </w:r>
      <w:bookmarkEnd w:id="590"/>
    </w:p>
    <w:p w14:paraId="11487655" w14:textId="77777777" w:rsidR="00EC2769" w:rsidRPr="00EC2769" w:rsidRDefault="00EC2769" w:rsidP="001B3DA2">
      <w:pPr>
        <w:pStyle w:val="EndNoteBibliography"/>
      </w:pPr>
      <w:bookmarkStart w:id="591" w:name="_ENREF_17"/>
      <w:r w:rsidRPr="00EC2769">
        <w:t>17.</w:t>
      </w:r>
      <w:r w:rsidRPr="00EC2769">
        <w:tab/>
        <w:t>de Nonneville A, Goncalves A. [Homeopathy in cancer patients: What does the "best" evidence tell us?].</w:t>
      </w:r>
      <w:r w:rsidRPr="00EC2769">
        <w:rPr>
          <w:i/>
        </w:rPr>
        <w:t xml:space="preserve"> Bull Cancer</w:t>
      </w:r>
      <w:r w:rsidRPr="00EC2769">
        <w:t>. 2018;105(4):426-30. 10.1016/j.bulcan.2017.12.005</w:t>
      </w:r>
      <w:bookmarkEnd w:id="591"/>
    </w:p>
    <w:p w14:paraId="6B9221ED" w14:textId="75ADC98E" w:rsidR="00EC2769" w:rsidRPr="00EC2769" w:rsidRDefault="00EC2769" w:rsidP="001B3DA2">
      <w:pPr>
        <w:pStyle w:val="EndNoteBibliography"/>
      </w:pPr>
      <w:bookmarkStart w:id="592" w:name="_ENREF_18"/>
      <w:r w:rsidRPr="00EC2769">
        <w:lastRenderedPageBreak/>
        <w:t>18.</w:t>
      </w:r>
      <w:r w:rsidRPr="00EC2769">
        <w:tab/>
        <w:t>Pullano CM, Talarico F, Di Salvo S, Falabella V. Single-blind study assessing the individualized homeopathic treatment of cancer patients versus placebo.</w:t>
      </w:r>
      <w:r w:rsidRPr="00EC2769">
        <w:rPr>
          <w:i/>
        </w:rPr>
        <w:t xml:space="preserve"> Homeopathy</w:t>
      </w:r>
      <w:r w:rsidRPr="00EC2769">
        <w:t xml:space="preserve">. 2016;105(1):23. </w:t>
      </w:r>
      <w:hyperlink r:id="rId130" w:history="1">
        <w:r w:rsidRPr="00EC2769">
          <w:rPr>
            <w:rStyle w:val="Hyperlink"/>
            <w:rFonts w:cs="Calibri"/>
          </w:rPr>
          <w:t>http://dx.doi.org/10.1016/j.homp.2015.12.006</w:t>
        </w:r>
        <w:bookmarkEnd w:id="592"/>
      </w:hyperlink>
    </w:p>
    <w:p w14:paraId="0A7CD933" w14:textId="77777777" w:rsidR="00EC2769" w:rsidRPr="00EC2769" w:rsidRDefault="00EC2769" w:rsidP="001B3DA2">
      <w:pPr>
        <w:pStyle w:val="EndNoteBibliography"/>
      </w:pPr>
      <w:bookmarkStart w:id="593" w:name="_ENREF_19"/>
      <w:r w:rsidRPr="00EC2769">
        <w:t>19.</w:t>
      </w:r>
      <w:r w:rsidRPr="00EC2769">
        <w:tab/>
        <w:t>Sharafi F, Ebrahimi SM, Amirloo Z, Haghi R. Homeopathy as a treatment for infertility.</w:t>
      </w:r>
      <w:r w:rsidRPr="00EC2769">
        <w:rPr>
          <w:i/>
        </w:rPr>
        <w:t xml:space="preserve"> Journal of Reproduction and Infertility</w:t>
      </w:r>
      <w:r w:rsidRPr="00EC2769">
        <w:t xml:space="preserve">. 2018;19(2 Supplement 2):116-7. </w:t>
      </w:r>
      <w:bookmarkEnd w:id="593"/>
    </w:p>
    <w:p w14:paraId="585998A2" w14:textId="77777777" w:rsidR="00EC2769" w:rsidRPr="00EC2769" w:rsidRDefault="00EC2769" w:rsidP="001B3DA2">
      <w:pPr>
        <w:pStyle w:val="EndNoteBibliography"/>
      </w:pPr>
      <w:bookmarkStart w:id="594" w:name="_ENREF_20"/>
      <w:r w:rsidRPr="00EC2769">
        <w:t>20.</w:t>
      </w:r>
      <w:r w:rsidRPr="00EC2769">
        <w:tab/>
        <w:t>Rutten LALB. Homeopathy instead of antibiotics in Respiratory Tract Infections: Certainly less harmful, possibly more effective.</w:t>
      </w:r>
      <w:r w:rsidRPr="00EC2769">
        <w:rPr>
          <w:i/>
        </w:rPr>
        <w:t xml:space="preserve"> La Revue d'Homéopathie</w:t>
      </w:r>
      <w:r w:rsidRPr="00EC2769">
        <w:t>. 2019;10(4):e47-e52. 10.1016/j.revhom.2019.10.011</w:t>
      </w:r>
      <w:bookmarkEnd w:id="594"/>
    </w:p>
    <w:p w14:paraId="683BD5B8" w14:textId="77777777" w:rsidR="00EC2769" w:rsidRPr="00EC2769" w:rsidRDefault="00EC2769" w:rsidP="001B3DA2">
      <w:pPr>
        <w:pStyle w:val="EndNoteBibliography"/>
      </w:pPr>
      <w:bookmarkStart w:id="595" w:name="_ENREF_21"/>
      <w:r w:rsidRPr="00EC2769">
        <w:t>21.</w:t>
      </w:r>
      <w:r w:rsidRPr="00EC2769">
        <w:tab/>
        <w:t>Walach H, Jonas WB, Ives J, van Wijk R, Weingartner O. Research on homeopathy: state of the art.</w:t>
      </w:r>
      <w:r w:rsidRPr="00EC2769">
        <w:rPr>
          <w:i/>
        </w:rPr>
        <w:t xml:space="preserve"> J Altern Complement Med</w:t>
      </w:r>
      <w:r w:rsidRPr="00EC2769">
        <w:t>. 2005;11(5):813-29. 10.1089/acm.2005.11.813</w:t>
      </w:r>
      <w:bookmarkEnd w:id="595"/>
    </w:p>
    <w:p w14:paraId="6AAF9D46" w14:textId="77777777" w:rsidR="00EC2769" w:rsidRPr="00EC2769" w:rsidRDefault="00EC2769" w:rsidP="001B3DA2">
      <w:pPr>
        <w:pStyle w:val="EndNoteBibliography"/>
      </w:pPr>
      <w:bookmarkStart w:id="596" w:name="_ENREF_22"/>
      <w:r w:rsidRPr="00EC2769">
        <w:t>22.</w:t>
      </w:r>
      <w:r w:rsidRPr="00EC2769">
        <w:tab/>
        <w:t>O'Meara S, Wilson P, Bridle C, Wright K, Kleijnen J. Homoeopathy.</w:t>
      </w:r>
      <w:r w:rsidRPr="00EC2769">
        <w:rPr>
          <w:i/>
        </w:rPr>
        <w:t xml:space="preserve"> Qual Saf Health Care</w:t>
      </w:r>
      <w:r w:rsidRPr="00EC2769">
        <w:t>. 2002;11(2):189-94. 10.1136/qhc.11.2.189</w:t>
      </w:r>
      <w:bookmarkEnd w:id="596"/>
    </w:p>
    <w:p w14:paraId="393AB92A" w14:textId="77777777" w:rsidR="00EC2769" w:rsidRPr="00EC2769" w:rsidRDefault="00EC2769" w:rsidP="001B3DA2">
      <w:pPr>
        <w:pStyle w:val="EndNoteBibliography"/>
      </w:pPr>
      <w:bookmarkStart w:id="597" w:name="_ENREF_23"/>
      <w:r w:rsidRPr="00EC2769">
        <w:t>23.</w:t>
      </w:r>
      <w:r w:rsidRPr="00EC2769">
        <w:tab/>
        <w:t>Linde K, Clausius N, Ramirez G, Melchart D, Eitel F, Hedges LV, et al. Are the clinical effects of homeopathy placebo effects? A meta-analysis of placebo-controlled trials.</w:t>
      </w:r>
      <w:r w:rsidRPr="00EC2769">
        <w:rPr>
          <w:i/>
        </w:rPr>
        <w:t xml:space="preserve"> Lancet</w:t>
      </w:r>
      <w:r w:rsidRPr="00EC2769">
        <w:t>. 1997;350(9081):834-43. 10.1016/s0140-6736(97)02293-9</w:t>
      </w:r>
      <w:bookmarkEnd w:id="597"/>
    </w:p>
    <w:p w14:paraId="16E8DD24" w14:textId="368238D2" w:rsidR="00EC2769" w:rsidRPr="00EC2769" w:rsidRDefault="00EC2769" w:rsidP="001B3DA2">
      <w:pPr>
        <w:pStyle w:val="EndNoteBibliography"/>
      </w:pPr>
      <w:bookmarkStart w:id="598" w:name="_ENREF_24"/>
      <w:r w:rsidRPr="00EC2769">
        <w:t>24.</w:t>
      </w:r>
      <w:r w:rsidRPr="00EC2769">
        <w:tab/>
        <w:t xml:space="preserve">Australian Homoeopathic Association. 2021 [Available from: </w:t>
      </w:r>
      <w:hyperlink r:id="rId131" w:history="1">
        <w:r w:rsidRPr="00EC2769">
          <w:rPr>
            <w:rStyle w:val="Hyperlink"/>
            <w:rFonts w:cs="Calibri"/>
          </w:rPr>
          <w:t>https://www.homeopathyoz.org/homoeopathy/frequentlyaquestions</w:t>
        </w:r>
      </w:hyperlink>
      <w:r w:rsidRPr="00EC2769">
        <w:t>.</w:t>
      </w:r>
      <w:bookmarkEnd w:id="598"/>
    </w:p>
    <w:p w14:paraId="07904CD6" w14:textId="77777777" w:rsidR="00EC2769" w:rsidRPr="00EC2769" w:rsidRDefault="00EC2769" w:rsidP="001B3DA2">
      <w:pPr>
        <w:pStyle w:val="EndNoteBibliography"/>
      </w:pPr>
      <w:bookmarkStart w:id="599" w:name="_ENREF_25"/>
      <w:r w:rsidRPr="00EC2769">
        <w:t>25.</w:t>
      </w:r>
      <w:r w:rsidRPr="00EC2769">
        <w:tab/>
        <w:t>Herr G, Natz A, van Haselen R. The Coherency of Regulatory Requirements for Homeopathic Medicinal Products in the EU and the EAEU.</w:t>
      </w:r>
      <w:r w:rsidRPr="00EC2769">
        <w:rPr>
          <w:i/>
        </w:rPr>
        <w:t xml:space="preserve"> European Pharmaceutical Law Review</w:t>
      </w:r>
      <w:r w:rsidRPr="00EC2769">
        <w:t>. 2019;3(2):58-72. 10.21552/eplr/2019/2/4</w:t>
      </w:r>
      <w:bookmarkEnd w:id="599"/>
    </w:p>
    <w:p w14:paraId="12FD7C26" w14:textId="77777777" w:rsidR="00EC2769" w:rsidRPr="00EC2769" w:rsidRDefault="00EC2769" w:rsidP="001B3DA2">
      <w:pPr>
        <w:pStyle w:val="EndNoteBibliography"/>
      </w:pPr>
      <w:bookmarkStart w:id="600" w:name="_ENREF_26"/>
      <w:r w:rsidRPr="00EC2769">
        <w:t>26.</w:t>
      </w:r>
      <w:r w:rsidRPr="00EC2769">
        <w:tab/>
        <w:t>National Health and Medical Research Council. Statement of Requirement: a Supplier to examine the evidence on the clinical effectiveness of homeopathy in preventing and/or treating injury, disease, medical conditions or pre-clinical conditions.: Australian Government Department of Health; 2020.</w:t>
      </w:r>
      <w:bookmarkEnd w:id="600"/>
    </w:p>
    <w:p w14:paraId="64490CD6" w14:textId="77777777" w:rsidR="00EC2769" w:rsidRPr="00EC2769" w:rsidRDefault="00EC2769" w:rsidP="001B3DA2">
      <w:pPr>
        <w:pStyle w:val="EndNoteBibliography"/>
      </w:pPr>
      <w:bookmarkStart w:id="601" w:name="_ENREF_27"/>
      <w:r w:rsidRPr="00EC2769">
        <w:t>27.</w:t>
      </w:r>
      <w:r w:rsidRPr="00EC2769">
        <w:tab/>
        <w:t>National Health and Medical Research Council. NHMRC Information Paper: Evidence on the effectiveness of homeopathy for treating health conditions. Canberra: National Health and Medical Research Council; 2015.</w:t>
      </w:r>
      <w:bookmarkEnd w:id="601"/>
    </w:p>
    <w:p w14:paraId="757B3502" w14:textId="45552C84" w:rsidR="00EC2769" w:rsidRPr="00EC2769" w:rsidRDefault="00EC2769" w:rsidP="001B3DA2">
      <w:pPr>
        <w:pStyle w:val="EndNoteBibliography"/>
      </w:pPr>
      <w:bookmarkStart w:id="602" w:name="_ENREF_28"/>
      <w:r w:rsidRPr="00EC2769">
        <w:t>28.</w:t>
      </w:r>
      <w:r w:rsidRPr="00EC2769">
        <w:tab/>
        <w:t xml:space="preserve">National Health and Medical Research Council. Effectiveness of Homeopathy for Clinical Conditions: Evaluations of the Evidence - Overall Report. October 2013. prepared by Optum for the NHMRC homeopathy working committee. Available from: </w:t>
      </w:r>
      <w:hyperlink r:id="rId132" w:history="1">
        <w:r w:rsidRPr="00EC2769">
          <w:rPr>
            <w:rStyle w:val="Hyperlink"/>
            <w:rFonts w:cs="Calibri"/>
          </w:rPr>
          <w:t>https://www.nhmrc.gov.au/about-us/resources/homeopathy</w:t>
        </w:r>
      </w:hyperlink>
      <w:r w:rsidRPr="00EC2769">
        <w:t>.</w:t>
      </w:r>
      <w:bookmarkEnd w:id="602"/>
    </w:p>
    <w:p w14:paraId="739B2543" w14:textId="7172BB7F" w:rsidR="00EC2769" w:rsidRPr="00EC2769" w:rsidRDefault="00EC2769" w:rsidP="001B3DA2">
      <w:pPr>
        <w:pStyle w:val="EndNoteBibliography"/>
      </w:pPr>
      <w:bookmarkStart w:id="603" w:name="_ENREF_29"/>
      <w:r w:rsidRPr="00EC2769">
        <w:t>29.</w:t>
      </w:r>
      <w:r w:rsidRPr="00EC2769">
        <w:tab/>
        <w:t xml:space="preserve">National Health and Medical Research Council. Effectiveness of Homeopathy for Clinical Conditions: Evaluation of the Evidence - Review of Submitted Literature. September 2013. prepared by Optum for the Homeopahty Working Committee. Available from: </w:t>
      </w:r>
      <w:hyperlink r:id="rId133" w:history="1">
        <w:r w:rsidRPr="00EC2769">
          <w:rPr>
            <w:rStyle w:val="Hyperlink"/>
            <w:rFonts w:cs="Calibri"/>
          </w:rPr>
          <w:t>https://www.nhmrc.gov.au/about-us/resources/homeopathy</w:t>
        </w:r>
      </w:hyperlink>
      <w:r w:rsidRPr="00EC2769">
        <w:t>.</w:t>
      </w:r>
      <w:bookmarkEnd w:id="603"/>
    </w:p>
    <w:p w14:paraId="2323D41F" w14:textId="0030B777" w:rsidR="00EC2769" w:rsidRPr="00EC2769" w:rsidRDefault="00EC2769" w:rsidP="001B3DA2">
      <w:pPr>
        <w:pStyle w:val="EndNoteBibliography"/>
      </w:pPr>
      <w:bookmarkStart w:id="604" w:name="_ENREF_30"/>
      <w:r w:rsidRPr="00EC2769">
        <w:t>30.</w:t>
      </w:r>
      <w:r w:rsidRPr="00EC2769">
        <w:tab/>
        <w:t xml:space="preserve">Armstrong B. History of Hoeomopathy in Australia - A Brief Summary 2010 [Available from: </w:t>
      </w:r>
      <w:hyperlink r:id="rId134" w:history="1">
        <w:r w:rsidRPr="00EC2769">
          <w:rPr>
            <w:rStyle w:val="Hyperlink"/>
            <w:rFonts w:cs="Calibri"/>
          </w:rPr>
          <w:t>http://www.historyofhomeopathy.com.au/articles/item/190-history-homoeopathy-australia-brief-summary.html</w:t>
        </w:r>
      </w:hyperlink>
      <w:r w:rsidRPr="00EC2769">
        <w:t>.</w:t>
      </w:r>
      <w:bookmarkEnd w:id="604"/>
    </w:p>
    <w:p w14:paraId="57C0127C" w14:textId="77777777" w:rsidR="00EC2769" w:rsidRPr="00EC2769" w:rsidRDefault="00EC2769" w:rsidP="001B3DA2">
      <w:pPr>
        <w:pStyle w:val="EndNoteBibliography"/>
      </w:pPr>
      <w:bookmarkStart w:id="605" w:name="_ENREF_31"/>
      <w:r w:rsidRPr="00EC2769">
        <w:t>31.</w:t>
      </w:r>
      <w:r w:rsidRPr="00EC2769">
        <w:tab/>
        <w:t>Relton C, Cooper K, Viksveen P, Fibert P, Thomas K. Prevalence of homeopathy use by the general population worldwide: a systematic review.</w:t>
      </w:r>
      <w:r w:rsidRPr="00EC2769">
        <w:rPr>
          <w:i/>
        </w:rPr>
        <w:t xml:space="preserve"> Homeopathy</w:t>
      </w:r>
      <w:r w:rsidRPr="00EC2769">
        <w:t>. 2017;106(2):69-78. 10.1016/j.homp.2017.03.002</w:t>
      </w:r>
      <w:bookmarkEnd w:id="605"/>
    </w:p>
    <w:p w14:paraId="14FF163E" w14:textId="21E43E49" w:rsidR="00EC2769" w:rsidRPr="00EC2769" w:rsidRDefault="00EC2769" w:rsidP="001B3DA2">
      <w:pPr>
        <w:pStyle w:val="EndNoteBibliography"/>
      </w:pPr>
      <w:bookmarkStart w:id="606" w:name="_ENREF_32"/>
      <w:r w:rsidRPr="00EC2769">
        <w:t>32.</w:t>
      </w:r>
      <w:r w:rsidRPr="00EC2769">
        <w:tab/>
        <w:t xml:space="preserve">Healthdirect Australia. Homeopathy: Australian Government Department of Health; 2020 [Available from: </w:t>
      </w:r>
      <w:hyperlink r:id="rId135" w:history="1">
        <w:r w:rsidRPr="00EC2769">
          <w:rPr>
            <w:rStyle w:val="Hyperlink"/>
            <w:rFonts w:cs="Calibri"/>
          </w:rPr>
          <w:t>https://www.healthdirect.gov.au/homeopathy</w:t>
        </w:r>
      </w:hyperlink>
      <w:r w:rsidRPr="00EC2769">
        <w:t>.</w:t>
      </w:r>
      <w:bookmarkEnd w:id="606"/>
    </w:p>
    <w:p w14:paraId="307913E5" w14:textId="77777777" w:rsidR="00EC2769" w:rsidRPr="00EC2769" w:rsidRDefault="00EC2769" w:rsidP="001B3DA2">
      <w:pPr>
        <w:pStyle w:val="EndNoteBibliography"/>
      </w:pPr>
      <w:bookmarkStart w:id="607" w:name="_ENREF_33"/>
      <w:r w:rsidRPr="00EC2769">
        <w:t>33.</w:t>
      </w:r>
      <w:r w:rsidRPr="00EC2769">
        <w:tab/>
        <w:t>Steel A, Leach M, Wardle J, Sibbritt D, Schloss J, Diezel H, et al. The Australian Complementary Medicine Workforce: A Profile of 1,306 Practitioners from the PRACI Study.</w:t>
      </w:r>
      <w:r w:rsidRPr="00EC2769">
        <w:rPr>
          <w:i/>
        </w:rPr>
        <w:t xml:space="preserve"> J Altern Complement Med</w:t>
      </w:r>
      <w:r w:rsidRPr="00EC2769">
        <w:t>. 2018;24(4):385-94. 10.1089/acm.2017.0206</w:t>
      </w:r>
      <w:bookmarkEnd w:id="607"/>
    </w:p>
    <w:p w14:paraId="134FE2F9" w14:textId="57EFAB09" w:rsidR="00EC2769" w:rsidRPr="00EC2769" w:rsidRDefault="00EC2769" w:rsidP="001B3DA2">
      <w:pPr>
        <w:pStyle w:val="EndNoteBibliography"/>
      </w:pPr>
      <w:bookmarkStart w:id="608" w:name="_ENREF_34"/>
      <w:r w:rsidRPr="00EC2769">
        <w:t>34.</w:t>
      </w:r>
      <w:r w:rsidRPr="00EC2769">
        <w:tab/>
        <w:t>Steel A, Foley HM, Adams J. Disclosure patterns of concomitant use of conventional and complementary medicine to healthcare providers within the general population and among individuals with chronic health conditions.</w:t>
      </w:r>
      <w:r w:rsidRPr="00EC2769">
        <w:rPr>
          <w:i/>
        </w:rPr>
        <w:t xml:space="preserve"> Global Advances in Health and Medicine</w:t>
      </w:r>
      <w:r w:rsidRPr="00EC2769">
        <w:t xml:space="preserve">. 2018;7:186-7. </w:t>
      </w:r>
      <w:hyperlink r:id="rId136" w:history="1">
        <w:r w:rsidRPr="00EC2769">
          <w:rPr>
            <w:rStyle w:val="Hyperlink"/>
            <w:rFonts w:cs="Calibri"/>
          </w:rPr>
          <w:t>http://dx.doi.org/10.1177/2164956118773837</w:t>
        </w:r>
        <w:bookmarkEnd w:id="608"/>
      </w:hyperlink>
    </w:p>
    <w:p w14:paraId="29C2129C" w14:textId="77777777" w:rsidR="00EC2769" w:rsidRPr="00EC2769" w:rsidRDefault="00EC2769" w:rsidP="001B3DA2">
      <w:pPr>
        <w:pStyle w:val="EndNoteBibliography"/>
      </w:pPr>
      <w:bookmarkStart w:id="609" w:name="_ENREF_35"/>
      <w:r w:rsidRPr="00EC2769">
        <w:t>35.</w:t>
      </w:r>
      <w:r w:rsidRPr="00EC2769">
        <w:tab/>
        <w:t>MacLennan AH, Wilson DH, Taylor AW. The escalating cost and prevalence of alternative medicine.</w:t>
      </w:r>
      <w:r w:rsidRPr="00EC2769">
        <w:rPr>
          <w:i/>
        </w:rPr>
        <w:t xml:space="preserve"> Prev Med</w:t>
      </w:r>
      <w:r w:rsidRPr="00EC2769">
        <w:t>. 2002;35(2):166-73. 10.1006/pmed.2002.1057</w:t>
      </w:r>
      <w:bookmarkEnd w:id="609"/>
    </w:p>
    <w:p w14:paraId="79C30C69" w14:textId="77777777" w:rsidR="00EC2769" w:rsidRPr="00EC2769" w:rsidRDefault="00EC2769" w:rsidP="001B3DA2">
      <w:pPr>
        <w:pStyle w:val="EndNoteBibliography"/>
      </w:pPr>
      <w:bookmarkStart w:id="610" w:name="_ENREF_36"/>
      <w:r w:rsidRPr="00EC2769">
        <w:lastRenderedPageBreak/>
        <w:t>36.</w:t>
      </w:r>
      <w:r w:rsidRPr="00EC2769">
        <w:tab/>
        <w:t>MacLennan AH, Wilson DH, Taylor AW. Prevalence and cost of alternative medicine in Australia.</w:t>
      </w:r>
      <w:r w:rsidRPr="00EC2769">
        <w:rPr>
          <w:i/>
        </w:rPr>
        <w:t xml:space="preserve"> Lancet</w:t>
      </w:r>
      <w:r w:rsidRPr="00EC2769">
        <w:t>. 1996;347(9001):569-73. 10.1016/s0140-6736(96)91271-4</w:t>
      </w:r>
      <w:bookmarkEnd w:id="610"/>
    </w:p>
    <w:p w14:paraId="5C38A101" w14:textId="77777777" w:rsidR="00EC2769" w:rsidRPr="00EC2769" w:rsidRDefault="00EC2769" w:rsidP="001B3DA2">
      <w:pPr>
        <w:pStyle w:val="EndNoteBibliography"/>
      </w:pPr>
      <w:bookmarkStart w:id="611" w:name="_ENREF_37"/>
      <w:r w:rsidRPr="00EC2769">
        <w:t>37.</w:t>
      </w:r>
      <w:r w:rsidRPr="00EC2769">
        <w:tab/>
        <w:t>Hahnemann S. Versuch über einen neues Prinzip zurAuffindung der Heilkräfte der Arzneisubstanzen, nebsteinigen Blicken auf die bisherigen (“Essay on a new prin-ciple for ascertaining the curative powers of drugs, to-gether with perspectives on the existing principles”).</w:t>
      </w:r>
      <w:r w:rsidRPr="00EC2769">
        <w:rPr>
          <w:i/>
        </w:rPr>
        <w:t xml:space="preserve"> CWHufelands Journal der practischen Arzneykunde und derWundarzneykunst </w:t>
      </w:r>
      <w:r w:rsidRPr="00EC2769">
        <w:t xml:space="preserve">1796;2:391–439&amp;65–561. </w:t>
      </w:r>
      <w:bookmarkEnd w:id="611"/>
    </w:p>
    <w:p w14:paraId="37513553" w14:textId="1F374B51" w:rsidR="00EC2769" w:rsidRPr="00EC2769" w:rsidRDefault="00EC2769" w:rsidP="001B3DA2">
      <w:pPr>
        <w:pStyle w:val="EndNoteBibliography"/>
      </w:pPr>
      <w:bookmarkStart w:id="612" w:name="_ENREF_38"/>
      <w:r w:rsidRPr="00EC2769">
        <w:t>38.</w:t>
      </w:r>
      <w:r w:rsidRPr="00EC2769">
        <w:tab/>
        <w:t xml:space="preserve">National Center for Complementary and Integrative Health. Homeopathy: What you need to know. </w:t>
      </w:r>
      <w:hyperlink r:id="rId137" w:anchor="hedl" w:history="1">
        <w:r w:rsidRPr="00EC2769">
          <w:rPr>
            <w:rStyle w:val="Hyperlink"/>
            <w:rFonts w:cs="Calibri"/>
          </w:rPr>
          <w:t>https://www.nccih.nih.gov/health/homeopathy#hedl</w:t>
        </w:r>
      </w:hyperlink>
      <w:r w:rsidRPr="00EC2769">
        <w:t>: U.S. Department of Health and Human Services; 2021.</w:t>
      </w:r>
      <w:bookmarkEnd w:id="612"/>
    </w:p>
    <w:p w14:paraId="7E893EC8" w14:textId="77777777" w:rsidR="00EC2769" w:rsidRPr="00EC2769" w:rsidRDefault="00EC2769" w:rsidP="001B3DA2">
      <w:pPr>
        <w:pStyle w:val="EndNoteBibliography"/>
      </w:pPr>
      <w:bookmarkStart w:id="613" w:name="_ENREF_39"/>
      <w:r w:rsidRPr="00EC2769">
        <w:t>39.</w:t>
      </w:r>
      <w:r w:rsidRPr="00EC2769">
        <w:tab/>
        <w:t>Jonas WB, Kaptchuk TJ, Linde K. A critical overview of homeopathy.</w:t>
      </w:r>
      <w:r w:rsidRPr="00EC2769">
        <w:rPr>
          <w:i/>
        </w:rPr>
        <w:t xml:space="preserve"> Ann Intern Med</w:t>
      </w:r>
      <w:r w:rsidRPr="00EC2769">
        <w:t>. 2003;138(5):393-9. 10.7326/0003-4819-138-5-200303040-00009</w:t>
      </w:r>
      <w:bookmarkEnd w:id="613"/>
    </w:p>
    <w:p w14:paraId="4AD67C03" w14:textId="6E855C48" w:rsidR="00EC2769" w:rsidRPr="00EC2769" w:rsidRDefault="00EC2769" w:rsidP="001B3DA2">
      <w:pPr>
        <w:pStyle w:val="EndNoteBibliography"/>
      </w:pPr>
      <w:bookmarkStart w:id="614" w:name="_ENREF_40"/>
      <w:r w:rsidRPr="00EC2769">
        <w:t>40.</w:t>
      </w:r>
      <w:r w:rsidRPr="00EC2769">
        <w:tab/>
        <w:t xml:space="preserve">Australian Homoeopathic Association. Homoeopathy 2021 [Available from: </w:t>
      </w:r>
      <w:hyperlink r:id="rId138" w:history="1">
        <w:r w:rsidRPr="00EC2769">
          <w:rPr>
            <w:rStyle w:val="Hyperlink"/>
            <w:rFonts w:cs="Calibri"/>
          </w:rPr>
          <w:t>https://www.homeopathyoz.org/homoeopathy/homoeopathy</w:t>
        </w:r>
      </w:hyperlink>
      <w:r w:rsidRPr="00EC2769">
        <w:t>.</w:t>
      </w:r>
      <w:bookmarkEnd w:id="614"/>
    </w:p>
    <w:p w14:paraId="2ED9D807" w14:textId="5B115118" w:rsidR="00EC2769" w:rsidRPr="00EC2769" w:rsidRDefault="00EC2769" w:rsidP="001B3DA2">
      <w:pPr>
        <w:pStyle w:val="EndNoteBibliography"/>
      </w:pPr>
      <w:bookmarkStart w:id="615" w:name="_ENREF_41"/>
      <w:r w:rsidRPr="00EC2769">
        <w:t>41.</w:t>
      </w:r>
      <w:r w:rsidRPr="00EC2769">
        <w:tab/>
        <w:t xml:space="preserve">Therapeutic Goods Administration. Overview of the regulation of listed medicines and registered complementary medicines. Canberra: Commonwealth of Australia; 2021 Jul. [Available from: </w:t>
      </w:r>
      <w:hyperlink r:id="rId139" w:history="1">
        <w:r w:rsidRPr="00EC2769">
          <w:rPr>
            <w:rStyle w:val="Hyperlink"/>
            <w:rFonts w:cs="Calibri"/>
          </w:rPr>
          <w:t>https://www.tga.gov.au/resource/overview-regulation-listed-medicines-and-registered-complementary-medicines</w:t>
        </w:r>
      </w:hyperlink>
      <w:r w:rsidRPr="00EC2769">
        <w:t>.</w:t>
      </w:r>
      <w:bookmarkEnd w:id="615"/>
    </w:p>
    <w:p w14:paraId="44AC28D3" w14:textId="1CC8BBF5" w:rsidR="00EC2769" w:rsidRPr="00EC2769" w:rsidRDefault="00EC2769" w:rsidP="001B3DA2">
      <w:pPr>
        <w:pStyle w:val="EndNoteBibliography"/>
      </w:pPr>
      <w:bookmarkStart w:id="616" w:name="_ENREF_42"/>
      <w:r w:rsidRPr="00EC2769">
        <w:t>42.</w:t>
      </w:r>
      <w:r w:rsidRPr="00EC2769">
        <w:tab/>
        <w:t xml:space="preserve">Interim Committee for Australian Homoeopathic Standards. National Competency Standards for Homoeopathy. 1999. [Accessed. Available from: </w:t>
      </w:r>
      <w:hyperlink r:id="rId140" w:history="1">
        <w:r w:rsidRPr="00EC2769">
          <w:rPr>
            <w:rStyle w:val="Hyperlink"/>
            <w:rFonts w:cs="Calibri"/>
          </w:rPr>
          <w:t>https://www.aroh.com.au/Resources/Documents/National%20Competency%20Standards%20for%20Homoeopathy.pdf</w:t>
        </w:r>
      </w:hyperlink>
      <w:r w:rsidRPr="00EC2769">
        <w:t>.</w:t>
      </w:r>
      <w:bookmarkEnd w:id="616"/>
    </w:p>
    <w:p w14:paraId="32EE860F" w14:textId="21B7FE06" w:rsidR="00EC2769" w:rsidRPr="00EC2769" w:rsidRDefault="00EC2769" w:rsidP="001B3DA2">
      <w:pPr>
        <w:pStyle w:val="EndNoteBibliography"/>
      </w:pPr>
      <w:bookmarkStart w:id="617" w:name="_ENREF_43"/>
      <w:r w:rsidRPr="00EC2769">
        <w:t>43.</w:t>
      </w:r>
      <w:r w:rsidRPr="00EC2769">
        <w:tab/>
        <w:t xml:space="preserve">Australian Register of Homoeopaths Ltd. [Accessed; 2021. Available from: </w:t>
      </w:r>
      <w:hyperlink r:id="rId141" w:history="1">
        <w:r w:rsidRPr="00EC2769">
          <w:rPr>
            <w:rStyle w:val="Hyperlink"/>
            <w:rFonts w:cs="Calibri"/>
          </w:rPr>
          <w:t>https://www.aroh.com.au/</w:t>
        </w:r>
      </w:hyperlink>
      <w:r w:rsidRPr="00EC2769">
        <w:t>.</w:t>
      </w:r>
      <w:bookmarkEnd w:id="617"/>
    </w:p>
    <w:p w14:paraId="16C3FE13" w14:textId="46DA156B" w:rsidR="00EC2769" w:rsidRPr="00EC2769" w:rsidRDefault="00EC2769" w:rsidP="001B3DA2">
      <w:pPr>
        <w:pStyle w:val="EndNoteBibliography"/>
      </w:pPr>
      <w:bookmarkStart w:id="618" w:name="_ENREF_44"/>
      <w:r w:rsidRPr="00EC2769">
        <w:t>44.</w:t>
      </w:r>
      <w:r w:rsidRPr="00EC2769">
        <w:tab/>
        <w:t xml:space="preserve">Australian Register of Homoeopaths Ltd. Upgraded credentialing process for homoeopathy practitioners in Australia 2018 Jul. [Accessed; (Version 1.1). Available from: </w:t>
      </w:r>
      <w:hyperlink r:id="rId142" w:history="1">
        <w:r w:rsidRPr="00EC2769">
          <w:rPr>
            <w:rStyle w:val="Hyperlink"/>
            <w:rFonts w:cs="Calibri"/>
          </w:rPr>
          <w:t>https://www.aroh.com.au/resources/Documents/CREDENTIALING%20FOR%20HOMEOPATHIC%20PRACTIONERS_V1.1%20Jul%2018.pdf</w:t>
        </w:r>
      </w:hyperlink>
      <w:r w:rsidRPr="00EC2769">
        <w:t>.</w:t>
      </w:r>
      <w:bookmarkEnd w:id="618"/>
    </w:p>
    <w:p w14:paraId="24F1E98A" w14:textId="0AAE9D26" w:rsidR="00EC2769" w:rsidRPr="00EC2769" w:rsidRDefault="00EC2769" w:rsidP="001B3DA2">
      <w:pPr>
        <w:pStyle w:val="EndNoteBibliography"/>
      </w:pPr>
      <w:bookmarkStart w:id="619" w:name="_ENREF_45"/>
      <w:r w:rsidRPr="00EC2769">
        <w:t>45.</w:t>
      </w:r>
      <w:r w:rsidRPr="00EC2769">
        <w:tab/>
        <w:t xml:space="preserve">Australian Health Ministers’ Advisory Council. A National Code of Conduct for health care workers 2014 [Available from: </w:t>
      </w:r>
      <w:hyperlink r:id="rId143" w:history="1">
        <w:r w:rsidRPr="00EC2769">
          <w:rPr>
            <w:rStyle w:val="Hyperlink"/>
            <w:rFonts w:cs="Calibri"/>
          </w:rPr>
          <w:t>http://www.coaghealthcouncil.gov.au/NationalCodeOfConductForHealthCareWorkers</w:t>
        </w:r>
      </w:hyperlink>
      <w:r w:rsidRPr="00EC2769">
        <w:t>.</w:t>
      </w:r>
      <w:bookmarkEnd w:id="619"/>
    </w:p>
    <w:p w14:paraId="57865353" w14:textId="77777777" w:rsidR="00EC2769" w:rsidRPr="00EC2769" w:rsidRDefault="00EC2769" w:rsidP="001B3DA2">
      <w:pPr>
        <w:pStyle w:val="EndNoteBibliography"/>
      </w:pPr>
      <w:bookmarkStart w:id="620" w:name="_ENREF_46"/>
      <w:r w:rsidRPr="00EC2769">
        <w:t>46.</w:t>
      </w:r>
      <w:r w:rsidRPr="00EC2769">
        <w:tab/>
        <w:t>Doolan A, Carne G. Evolution and Complementarity? Traditional and Complementary Medicine as Part of the International Human Rights Law Right to Health.</w:t>
      </w:r>
      <w:r w:rsidRPr="00EC2769">
        <w:rPr>
          <w:i/>
        </w:rPr>
        <w:t xml:space="preserve"> Bond Law Review</w:t>
      </w:r>
      <w:r w:rsidRPr="00EC2769">
        <w:t xml:space="preserve">. 2020 Feb(6):32. </w:t>
      </w:r>
      <w:bookmarkEnd w:id="620"/>
    </w:p>
    <w:p w14:paraId="0452B952" w14:textId="77777777" w:rsidR="00EC2769" w:rsidRPr="00EC2769" w:rsidRDefault="00EC2769" w:rsidP="001B3DA2">
      <w:pPr>
        <w:pStyle w:val="EndNoteBibliography"/>
      </w:pPr>
      <w:bookmarkStart w:id="621" w:name="_ENREF_47"/>
      <w:r w:rsidRPr="00EC2769">
        <w:t>47.</w:t>
      </w:r>
      <w:r w:rsidRPr="00EC2769">
        <w:tab/>
        <w:t>Loudon I. A brief history of homeopathy.</w:t>
      </w:r>
      <w:r w:rsidRPr="00EC2769">
        <w:rPr>
          <w:i/>
        </w:rPr>
        <w:t xml:space="preserve"> J R Soc Med</w:t>
      </w:r>
      <w:r w:rsidRPr="00EC2769">
        <w:t>. 2006;99(12):607-10. 10.1177/014107680609901206</w:t>
      </w:r>
      <w:bookmarkEnd w:id="621"/>
    </w:p>
    <w:p w14:paraId="17FDCC1C" w14:textId="77777777" w:rsidR="00EC2769" w:rsidRPr="00EC2769" w:rsidRDefault="00EC2769" w:rsidP="001B3DA2">
      <w:pPr>
        <w:pStyle w:val="EndNoteBibliography"/>
      </w:pPr>
      <w:bookmarkStart w:id="622" w:name="_ENREF_48"/>
      <w:r w:rsidRPr="00EC2769">
        <w:t>48.</w:t>
      </w:r>
      <w:r w:rsidRPr="00EC2769">
        <w:tab/>
        <w:t>Steel A, Schloss J, Leach M, Adams J. The naturopathic profession in Australia: A secondary analysis of the Practitioner Research and Collaboration Initiative (PRACI).</w:t>
      </w:r>
      <w:r w:rsidRPr="00EC2769">
        <w:rPr>
          <w:i/>
        </w:rPr>
        <w:t xml:space="preserve"> Complement Ther Clin Pract</w:t>
      </w:r>
      <w:r w:rsidRPr="00EC2769">
        <w:t>. 2020;40:101220. 10.1016/j.ctcp.2020.101220</w:t>
      </w:r>
      <w:bookmarkEnd w:id="622"/>
    </w:p>
    <w:p w14:paraId="5EA91223" w14:textId="1B4537A6" w:rsidR="00EC2769" w:rsidRPr="00EC2769" w:rsidRDefault="00EC2769" w:rsidP="001B3DA2">
      <w:pPr>
        <w:pStyle w:val="EndNoteBibliography"/>
      </w:pPr>
      <w:bookmarkStart w:id="623" w:name="_ENREF_49"/>
      <w:r w:rsidRPr="00EC2769">
        <w:t>49.</w:t>
      </w:r>
      <w:r w:rsidRPr="00EC2769">
        <w:tab/>
        <w:t xml:space="preserve">Hahnemann S. Organon of Medicine. 6th ed. </w:t>
      </w:r>
      <w:hyperlink r:id="rId144" w:history="1">
        <w:r w:rsidRPr="00EC2769">
          <w:rPr>
            <w:rStyle w:val="Hyperlink"/>
            <w:rFonts w:cs="Calibri"/>
          </w:rPr>
          <w:t>https://organonofmedicine.com/1920</w:t>
        </w:r>
      </w:hyperlink>
      <w:r w:rsidRPr="00EC2769">
        <w:t>.</w:t>
      </w:r>
      <w:bookmarkEnd w:id="623"/>
    </w:p>
    <w:p w14:paraId="116D7667" w14:textId="77777777" w:rsidR="00EC2769" w:rsidRPr="00EC2769" w:rsidRDefault="00EC2769" w:rsidP="001B3DA2">
      <w:pPr>
        <w:pStyle w:val="EndNoteBibliography"/>
      </w:pPr>
      <w:bookmarkStart w:id="624" w:name="_ENREF_50"/>
      <w:r w:rsidRPr="00EC2769">
        <w:t>50.</w:t>
      </w:r>
      <w:r w:rsidRPr="00EC2769">
        <w:tab/>
        <w:t>Gariboldi S, Palazzo M, Zanobbio L, Dusio GF, Mauro V, Solimene U, et al. Low dose oral administration of cytokines for treatment of allergic asthma.</w:t>
      </w:r>
      <w:r w:rsidRPr="00EC2769">
        <w:rPr>
          <w:i/>
        </w:rPr>
        <w:t xml:space="preserve"> Pulm Pharmacol Ther</w:t>
      </w:r>
      <w:r w:rsidRPr="00EC2769">
        <w:t>. 2009;22(6):497-510. 10.1016/j.pupt.2009.05.002</w:t>
      </w:r>
      <w:bookmarkEnd w:id="624"/>
    </w:p>
    <w:p w14:paraId="03FC6EC9" w14:textId="77777777" w:rsidR="00EC2769" w:rsidRPr="00EC2769" w:rsidRDefault="00EC2769" w:rsidP="001B3DA2">
      <w:pPr>
        <w:pStyle w:val="EndNoteBibliography"/>
      </w:pPr>
      <w:bookmarkStart w:id="625" w:name="_ENREF_51"/>
      <w:r w:rsidRPr="00EC2769">
        <w:t>51.</w:t>
      </w:r>
      <w:r w:rsidRPr="00EC2769">
        <w:tab/>
        <w:t>Jütte R, Riley D. A review of the use and role of low potencies in homeopathy.</w:t>
      </w:r>
      <w:r w:rsidRPr="00EC2769">
        <w:rPr>
          <w:i/>
        </w:rPr>
        <w:t xml:space="preserve"> Complement Ther Med</w:t>
      </w:r>
      <w:r w:rsidRPr="00EC2769">
        <w:t>. 2005;13(4):291-6. 10.1016/j.ctim.2005.10.003</w:t>
      </w:r>
      <w:bookmarkEnd w:id="625"/>
    </w:p>
    <w:p w14:paraId="0C47F818" w14:textId="77777777" w:rsidR="00EC2769" w:rsidRPr="00EC2769" w:rsidRDefault="00EC2769" w:rsidP="001B3DA2">
      <w:pPr>
        <w:pStyle w:val="EndNoteBibliography"/>
      </w:pPr>
      <w:bookmarkStart w:id="626" w:name="_ENREF_52"/>
      <w:r w:rsidRPr="00EC2769">
        <w:t>52.</w:t>
      </w:r>
      <w:r w:rsidRPr="00EC2769">
        <w:tab/>
        <w:t>Klein SD, Würtenberger S, Wolf U, Baumgartner S, Tournier A. Physicochemical Investigations of Homeopathic Preparations: A Systematic Review and Bibliometric Analysis-Part 1.</w:t>
      </w:r>
      <w:r w:rsidRPr="00EC2769">
        <w:rPr>
          <w:i/>
        </w:rPr>
        <w:t xml:space="preserve"> J Altern Complement Med</w:t>
      </w:r>
      <w:r w:rsidRPr="00EC2769">
        <w:t>. 2018;24(5):409-21. 10.1089/acm.2017.0249</w:t>
      </w:r>
      <w:bookmarkEnd w:id="626"/>
    </w:p>
    <w:p w14:paraId="77B73395" w14:textId="77777777" w:rsidR="00EC2769" w:rsidRPr="00EC2769" w:rsidRDefault="00EC2769" w:rsidP="001B3DA2">
      <w:pPr>
        <w:pStyle w:val="EndNoteBibliography"/>
      </w:pPr>
      <w:bookmarkStart w:id="627" w:name="_ENREF_53"/>
      <w:r w:rsidRPr="00EC2769">
        <w:t>53.</w:t>
      </w:r>
      <w:r w:rsidRPr="00EC2769">
        <w:tab/>
        <w:t>Tournier A, Klein SD, Würtenberger S, Wolf U, Baumgartner S. Physicochemical Investigations of Homeopathic Preparations: A Systematic Review and Bibliometric Analysis-Part 2.</w:t>
      </w:r>
      <w:r w:rsidRPr="00EC2769">
        <w:rPr>
          <w:i/>
        </w:rPr>
        <w:t xml:space="preserve"> J Altern Complement Med</w:t>
      </w:r>
      <w:r w:rsidRPr="00EC2769">
        <w:t>. 2019;25(9):890-901. 10.1089/acm.2019.0064</w:t>
      </w:r>
      <w:bookmarkEnd w:id="627"/>
    </w:p>
    <w:p w14:paraId="4DEC9DB2" w14:textId="77777777" w:rsidR="00EC2769" w:rsidRPr="00EC2769" w:rsidRDefault="00EC2769" w:rsidP="001B3DA2">
      <w:pPr>
        <w:pStyle w:val="EndNoteBibliography"/>
      </w:pPr>
      <w:bookmarkStart w:id="628" w:name="_ENREF_54"/>
      <w:r w:rsidRPr="00EC2769">
        <w:t>54.</w:t>
      </w:r>
      <w:r w:rsidRPr="00EC2769">
        <w:tab/>
        <w:t>Tournier A, Würtenberger S, Klein SD, Baumgartner S. Physicochemical Investigations of Homeopathic Preparations: A Systematic Review and Bibliometric Analysis—Part 3.</w:t>
      </w:r>
      <w:r w:rsidRPr="00EC2769">
        <w:rPr>
          <w:i/>
        </w:rPr>
        <w:t xml:space="preserve"> The Journal of Alternative and Complementary Medicine</w:t>
      </w:r>
      <w:r w:rsidRPr="00EC2769">
        <w:t>. 2020;27(1):45-57. 10.1089/acm.2020.0243</w:t>
      </w:r>
      <w:bookmarkEnd w:id="628"/>
    </w:p>
    <w:p w14:paraId="59E78FCA" w14:textId="77777777" w:rsidR="00EC2769" w:rsidRPr="00EC2769" w:rsidRDefault="00EC2769" w:rsidP="001B3DA2">
      <w:pPr>
        <w:pStyle w:val="EndNoteBibliography"/>
      </w:pPr>
      <w:bookmarkStart w:id="629" w:name="_ENREF_55"/>
      <w:r w:rsidRPr="00EC2769">
        <w:lastRenderedPageBreak/>
        <w:t>55.</w:t>
      </w:r>
      <w:r w:rsidRPr="00EC2769">
        <w:tab/>
        <w:t>Bellavite P, Marzotto M, Olioso D, Moratti E, Conforti A. High-dilution effects revisited. 1. Physicochemical aspects.</w:t>
      </w:r>
      <w:r w:rsidRPr="00EC2769">
        <w:rPr>
          <w:i/>
        </w:rPr>
        <w:t xml:space="preserve"> Homeopathy</w:t>
      </w:r>
      <w:r w:rsidRPr="00EC2769">
        <w:t>. 2014;103(1):4-21. 10.1016/j.homp.2013.08.003</w:t>
      </w:r>
      <w:bookmarkEnd w:id="629"/>
    </w:p>
    <w:p w14:paraId="3056458E" w14:textId="77777777" w:rsidR="00EC2769" w:rsidRPr="00EC2769" w:rsidRDefault="00EC2769" w:rsidP="001B3DA2">
      <w:pPr>
        <w:pStyle w:val="EndNoteBibliography"/>
      </w:pPr>
      <w:bookmarkStart w:id="630" w:name="_ENREF_56"/>
      <w:r w:rsidRPr="00EC2769">
        <w:t>56.</w:t>
      </w:r>
      <w:r w:rsidRPr="00EC2769">
        <w:tab/>
        <w:t>Bellavite P, Marzotto M, Olioso D, Moratti E, Conforti A. High-dilution effects revisited. 2. Pharmacodynamic mechanisms.</w:t>
      </w:r>
      <w:r w:rsidRPr="00EC2769">
        <w:rPr>
          <w:i/>
        </w:rPr>
        <w:t xml:space="preserve"> Homeopathy</w:t>
      </w:r>
      <w:r w:rsidRPr="00EC2769">
        <w:t>. 2014;103(1):22-43. 10.1016/j.homp.2013.08.002</w:t>
      </w:r>
      <w:bookmarkEnd w:id="630"/>
    </w:p>
    <w:p w14:paraId="10E86129" w14:textId="1C5089E2" w:rsidR="00EC2769" w:rsidRPr="00EC2769" w:rsidRDefault="00EC2769" w:rsidP="001B3DA2">
      <w:pPr>
        <w:pStyle w:val="EndNoteBibliography"/>
      </w:pPr>
      <w:bookmarkStart w:id="631" w:name="_ENREF_57"/>
      <w:r w:rsidRPr="00EC2769">
        <w:t>57.</w:t>
      </w:r>
      <w:r w:rsidRPr="00EC2769">
        <w:tab/>
        <w:t xml:space="preserve">Cochrane Handbook for Systematic Reviews of Interventions version 6.3 (updated 2022): Cochrane;  [Available from: </w:t>
      </w:r>
      <w:hyperlink r:id="rId145" w:history="1">
        <w:r w:rsidRPr="00EC2769">
          <w:rPr>
            <w:rStyle w:val="Hyperlink"/>
            <w:rFonts w:cs="Calibri"/>
          </w:rPr>
          <w:t>www.training.cochrane.org/handbook</w:t>
        </w:r>
      </w:hyperlink>
      <w:r w:rsidRPr="00EC2769">
        <w:t>.</w:t>
      </w:r>
      <w:bookmarkEnd w:id="631"/>
    </w:p>
    <w:p w14:paraId="7587277A" w14:textId="77777777" w:rsidR="00EC2769" w:rsidRPr="00EC2769" w:rsidRDefault="00EC2769" w:rsidP="001B3DA2">
      <w:pPr>
        <w:pStyle w:val="EndNoteBibliography"/>
      </w:pPr>
      <w:bookmarkStart w:id="632" w:name="_ENREF_58"/>
      <w:r w:rsidRPr="00EC2769">
        <w:t>58.</w:t>
      </w:r>
      <w:r w:rsidRPr="00EC2769">
        <w:tab/>
        <w:t>Review Manager (RevMan) [Computer program]. Version 5.3. Copenhagen: The Nordic Cochrane Centre: The Cochrane Collaboration; 2014.</w:t>
      </w:r>
      <w:bookmarkEnd w:id="632"/>
    </w:p>
    <w:p w14:paraId="2265408A" w14:textId="50582ADF" w:rsidR="00EC2769" w:rsidRPr="00EC2769" w:rsidRDefault="00EC2769" w:rsidP="001B3DA2">
      <w:pPr>
        <w:pStyle w:val="EndNoteBibliography"/>
      </w:pPr>
      <w:bookmarkStart w:id="633" w:name="_ENREF_59"/>
      <w:r w:rsidRPr="00EC2769">
        <w:t>59.</w:t>
      </w:r>
      <w:r w:rsidRPr="00EC2769">
        <w:tab/>
        <w:t xml:space="preserve">Justiz Vaillant AA, Modi P, Jan A. Atopy: StatPearls Publishing; 2023 [updated 22/8/2023. Available from: </w:t>
      </w:r>
      <w:hyperlink r:id="rId146" w:history="1">
        <w:r w:rsidRPr="00EC2769">
          <w:rPr>
            <w:rStyle w:val="Hyperlink"/>
            <w:rFonts w:cs="Calibri"/>
          </w:rPr>
          <w:t>https://www.ncbi.nlm.nih.gov/books/NBK542187/</w:t>
        </w:r>
      </w:hyperlink>
      <w:r w:rsidRPr="00EC2769">
        <w:t>.</w:t>
      </w:r>
      <w:bookmarkEnd w:id="633"/>
    </w:p>
    <w:p w14:paraId="3A8A9E98" w14:textId="77777777" w:rsidR="00EC2769" w:rsidRPr="00EC2769" w:rsidRDefault="00EC2769" w:rsidP="001B3DA2">
      <w:pPr>
        <w:pStyle w:val="EndNoteBibliography"/>
      </w:pPr>
      <w:bookmarkStart w:id="634" w:name="_ENREF_60"/>
      <w:r w:rsidRPr="00EC2769">
        <w:t>60.</w:t>
      </w:r>
      <w:r w:rsidRPr="00EC2769">
        <w:tab/>
        <w:t>Bousquet J, Van Cauwenberge P, Khaltaev N. Allergic Rhinitis and Its Impact on Asthma.</w:t>
      </w:r>
      <w:r w:rsidRPr="00EC2769">
        <w:rPr>
          <w:i/>
        </w:rPr>
        <w:t xml:space="preserve"> Journal of Allergy and Clinical Immunology</w:t>
      </w:r>
      <w:r w:rsidRPr="00EC2769">
        <w:t>. 2001;108(5):S147-S334. 10.1067/mai.2001.118891</w:t>
      </w:r>
      <w:bookmarkEnd w:id="634"/>
    </w:p>
    <w:p w14:paraId="49BB62BA" w14:textId="77777777" w:rsidR="00EC2769" w:rsidRPr="00EC2769" w:rsidRDefault="00EC2769" w:rsidP="001B3DA2">
      <w:pPr>
        <w:pStyle w:val="EndNoteBibliography"/>
      </w:pPr>
      <w:bookmarkStart w:id="635" w:name="_ENREF_61"/>
      <w:r w:rsidRPr="00EC2769">
        <w:t>61.</w:t>
      </w:r>
      <w:r w:rsidRPr="00EC2769">
        <w:tab/>
        <w:t>Scadding GK, Kariyawasam HH, Scadding G, Mirakian R, Buckley RJ, Dixon T, et al. BSACI guideline for the diagnosis and management of allergic and non-allergic rhinitis (Revised Edition 2017; First edition 2007).</w:t>
      </w:r>
      <w:r w:rsidRPr="00EC2769">
        <w:rPr>
          <w:i/>
        </w:rPr>
        <w:t xml:space="preserve"> Clin Exp Allergy</w:t>
      </w:r>
      <w:r w:rsidRPr="00EC2769">
        <w:t>. 2017;47(7):856-89. 10.1111/cea.12953</w:t>
      </w:r>
      <w:bookmarkEnd w:id="635"/>
    </w:p>
    <w:p w14:paraId="5F0E26D9" w14:textId="77777777" w:rsidR="00EC2769" w:rsidRPr="00EC2769" w:rsidRDefault="00EC2769" w:rsidP="001B3DA2">
      <w:pPr>
        <w:pStyle w:val="EndNoteBibliography"/>
      </w:pPr>
      <w:bookmarkStart w:id="636" w:name="_ENREF_62"/>
      <w:r w:rsidRPr="00EC2769">
        <w:t>62.</w:t>
      </w:r>
      <w:r w:rsidRPr="00EC2769">
        <w:tab/>
        <w:t>Bousquet J, Van Cauwenberge P, Khaltaev N, Aria Workshop G, World Health O. Allergic rhinitis and its impact on asthma.</w:t>
      </w:r>
      <w:r w:rsidRPr="00EC2769">
        <w:rPr>
          <w:i/>
        </w:rPr>
        <w:t xml:space="preserve"> J Allergy Clin Immunol</w:t>
      </w:r>
      <w:r w:rsidRPr="00EC2769">
        <w:t>. 2001;108(5 Suppl):S147-334. 10.1067/mai.2001.118891</w:t>
      </w:r>
      <w:bookmarkEnd w:id="636"/>
    </w:p>
    <w:p w14:paraId="2F198246" w14:textId="77777777" w:rsidR="00EC2769" w:rsidRPr="00EC2769" w:rsidRDefault="00EC2769" w:rsidP="001B3DA2">
      <w:pPr>
        <w:pStyle w:val="EndNoteBibliography"/>
      </w:pPr>
      <w:bookmarkStart w:id="637" w:name="_ENREF_63"/>
      <w:r w:rsidRPr="00EC2769">
        <w:t>63.</w:t>
      </w:r>
      <w:r w:rsidRPr="00EC2769">
        <w:tab/>
        <w:t>Dykewicz MS, Hamilos DL. Rhinitis and sinusitis.</w:t>
      </w:r>
      <w:r w:rsidRPr="00EC2769">
        <w:rPr>
          <w:i/>
        </w:rPr>
        <w:t xml:space="preserve"> J Allergy Clin Immunol</w:t>
      </w:r>
      <w:r w:rsidRPr="00EC2769">
        <w:t>. 2010;125(2 Suppl 2):S103-15. 10.1016/j.jaci.2009.12.989</w:t>
      </w:r>
      <w:bookmarkEnd w:id="637"/>
    </w:p>
    <w:p w14:paraId="61245FB7" w14:textId="5B3B0BC5" w:rsidR="00EC2769" w:rsidRPr="00EC2769" w:rsidRDefault="00EC2769" w:rsidP="001B3DA2">
      <w:pPr>
        <w:pStyle w:val="EndNoteBibliography"/>
      </w:pPr>
      <w:bookmarkStart w:id="638" w:name="_ENREF_64"/>
      <w:r w:rsidRPr="00EC2769">
        <w:t>64.</w:t>
      </w:r>
      <w:r w:rsidRPr="00EC2769">
        <w:tab/>
        <w:t xml:space="preserve">Australian Institute of Health and Welfare. Allergic rhinitis ('hay fever'). 25 Aug 2020. [Accessed: November 2023]. Available from: </w:t>
      </w:r>
      <w:hyperlink r:id="rId147" w:history="1">
        <w:r w:rsidRPr="00EC2769">
          <w:rPr>
            <w:rStyle w:val="Hyperlink"/>
            <w:rFonts w:cs="Calibri"/>
          </w:rPr>
          <w:t>https://www.aihw.gov.au/reports/chronic-respiratory-conditions/allergic-rhinitis-hay-fever/contents</w:t>
        </w:r>
      </w:hyperlink>
      <w:r w:rsidRPr="00EC2769">
        <w:t>.</w:t>
      </w:r>
      <w:bookmarkEnd w:id="638"/>
    </w:p>
    <w:p w14:paraId="74CCA6B7" w14:textId="3556FC71" w:rsidR="00EC2769" w:rsidRPr="00EC2769" w:rsidRDefault="00EC2769" w:rsidP="001B3DA2">
      <w:pPr>
        <w:pStyle w:val="EndNoteBibliography"/>
      </w:pPr>
      <w:bookmarkStart w:id="639" w:name="_ENREF_65"/>
      <w:r w:rsidRPr="00EC2769">
        <w:t>65.</w:t>
      </w:r>
      <w:r w:rsidRPr="00EC2769">
        <w:tab/>
        <w:t xml:space="preserve">Allergy &amp; Anaphylaxis Australia. Eczema (atopic dermatitis) 2023 [Available from: </w:t>
      </w:r>
      <w:hyperlink r:id="rId148" w:history="1">
        <w:r w:rsidRPr="00EC2769">
          <w:rPr>
            <w:rStyle w:val="Hyperlink"/>
            <w:rFonts w:cs="Calibri"/>
          </w:rPr>
          <w:t>https://allergyfacts.org.au/allergy-anaphylaxis/eczema-atopic-dermatitis?gclid=EAIaIQobChMIxIWD9pz5ggMVvA2DAx3VzQ3OEAAYASAAEgLsl_D_BwE</w:t>
        </w:r>
      </w:hyperlink>
      <w:r w:rsidRPr="00EC2769">
        <w:t>.</w:t>
      </w:r>
      <w:bookmarkEnd w:id="639"/>
    </w:p>
    <w:p w14:paraId="7451849C" w14:textId="79DE277B" w:rsidR="00EC2769" w:rsidRPr="00EC2769" w:rsidRDefault="00EC2769" w:rsidP="001B3DA2">
      <w:pPr>
        <w:pStyle w:val="EndNoteBibliography"/>
      </w:pPr>
      <w:bookmarkStart w:id="640" w:name="_ENREF_66"/>
      <w:r w:rsidRPr="00EC2769">
        <w:t>66.</w:t>
      </w:r>
      <w:r w:rsidRPr="00EC2769">
        <w:tab/>
        <w:t xml:space="preserve">Australasian Society of Clinical Immunology and Allergy. Eczema (Atopic Dermatitis) Frequently Asked Questions (FAQ) March 2023 [November 2023]. Available from: </w:t>
      </w:r>
      <w:hyperlink r:id="rId149" w:history="1">
        <w:r w:rsidRPr="00EC2769">
          <w:rPr>
            <w:rStyle w:val="Hyperlink"/>
            <w:rFonts w:cs="Calibri"/>
          </w:rPr>
          <w:t>https://www.allergy.org.au/patients/skin-allergy/eczema?highlight=WyJlY3plbWEiXQ</w:t>
        </w:r>
      </w:hyperlink>
      <w:r w:rsidRPr="00EC2769">
        <w:t>==.</w:t>
      </w:r>
      <w:bookmarkEnd w:id="640"/>
    </w:p>
    <w:p w14:paraId="4F11F302" w14:textId="68E0C555" w:rsidR="00EC2769" w:rsidRPr="00EC2769" w:rsidRDefault="00EC2769" w:rsidP="001B3DA2">
      <w:pPr>
        <w:pStyle w:val="EndNoteBibliography"/>
      </w:pPr>
      <w:bookmarkStart w:id="641" w:name="_ENREF_67"/>
      <w:r w:rsidRPr="00EC2769">
        <w:t>67.</w:t>
      </w:r>
      <w:r w:rsidRPr="00EC2769">
        <w:tab/>
        <w:t>Aabel S. No beneficial effect of isopathic prophylactic treatment for birch pollen allergy during a low-pollen season: A double-blind, placebo-controlled clinical trial of homeopathic Betula 30c.</w:t>
      </w:r>
      <w:r w:rsidRPr="00EC2769">
        <w:rPr>
          <w:i/>
        </w:rPr>
        <w:t xml:space="preserve"> British Homeopathic Journal</w:t>
      </w:r>
      <w:r w:rsidRPr="00EC2769">
        <w:t xml:space="preserve">. 2000;89(4):169-73. </w:t>
      </w:r>
      <w:hyperlink r:id="rId150" w:history="1">
        <w:r w:rsidRPr="00EC2769">
          <w:rPr>
            <w:rStyle w:val="Hyperlink"/>
            <w:rFonts w:cs="Calibri"/>
          </w:rPr>
          <w:t>http://dx.doi.org/10.1054/homp.1999.0440</w:t>
        </w:r>
        <w:bookmarkEnd w:id="641"/>
      </w:hyperlink>
    </w:p>
    <w:p w14:paraId="5756C729" w14:textId="09A2B5F8" w:rsidR="00EC2769" w:rsidRPr="00EC2769" w:rsidRDefault="00EC2769" w:rsidP="001B3DA2">
      <w:pPr>
        <w:pStyle w:val="EndNoteBibliography"/>
      </w:pPr>
      <w:bookmarkStart w:id="642" w:name="_ENREF_68"/>
      <w:r w:rsidRPr="00EC2769">
        <w:t>68.</w:t>
      </w:r>
      <w:r w:rsidRPr="00EC2769">
        <w:tab/>
        <w:t>Aabel S, Laerum E, Dolvik S, Djupesland P. Is homeopathic 'immunotherapy' effective? A double-blind, placebo-controlled trial with the isopathic remedy Betula 30c for patients with birch pollen allergy.</w:t>
      </w:r>
      <w:r w:rsidRPr="00EC2769">
        <w:rPr>
          <w:i/>
        </w:rPr>
        <w:t xml:space="preserve"> British Homeopathic Journal</w:t>
      </w:r>
      <w:r w:rsidRPr="00EC2769">
        <w:t xml:space="preserve">. 2000;89(4):161-8. </w:t>
      </w:r>
      <w:hyperlink r:id="rId151" w:history="1">
        <w:r w:rsidRPr="00EC2769">
          <w:rPr>
            <w:rStyle w:val="Hyperlink"/>
            <w:rFonts w:cs="Calibri"/>
          </w:rPr>
          <w:t>http://dx.doi.org/10.1054/homp.1999.0430</w:t>
        </w:r>
        <w:bookmarkEnd w:id="642"/>
      </w:hyperlink>
    </w:p>
    <w:p w14:paraId="1A059012" w14:textId="1F802C6D" w:rsidR="00EC2769" w:rsidRPr="00EC2769" w:rsidRDefault="00EC2769" w:rsidP="001B3DA2">
      <w:pPr>
        <w:pStyle w:val="EndNoteBibliography"/>
      </w:pPr>
      <w:bookmarkStart w:id="643" w:name="_ENREF_69"/>
      <w:r w:rsidRPr="00EC2769">
        <w:t>69.</w:t>
      </w:r>
      <w:r w:rsidRPr="00EC2769">
        <w:tab/>
        <w:t>Aabel S. Prophylactic and acute treatment with the homeopathic medicine Betula 30c for birch pollen allergy: A double-blind, randomized, placebo-controlled study of consistency of VAS responses.</w:t>
      </w:r>
      <w:r w:rsidRPr="00EC2769">
        <w:rPr>
          <w:i/>
        </w:rPr>
        <w:t xml:space="preserve"> British Homeopathic Journal</w:t>
      </w:r>
      <w:r w:rsidRPr="00EC2769">
        <w:t xml:space="preserve">. 2001;90(2):73-8. </w:t>
      </w:r>
      <w:hyperlink r:id="rId152" w:history="1">
        <w:r w:rsidRPr="00EC2769">
          <w:rPr>
            <w:rStyle w:val="Hyperlink"/>
            <w:rFonts w:cs="Calibri"/>
          </w:rPr>
          <w:t>http://dx.doi.org/10.1054/homp.1999.0471</w:t>
        </w:r>
        <w:bookmarkEnd w:id="643"/>
      </w:hyperlink>
    </w:p>
    <w:p w14:paraId="0D4821DD" w14:textId="789127B6" w:rsidR="00EC2769" w:rsidRPr="00EC2769" w:rsidRDefault="00EC2769" w:rsidP="001B3DA2">
      <w:pPr>
        <w:pStyle w:val="EndNoteBibliography"/>
      </w:pPr>
      <w:bookmarkStart w:id="644" w:name="_ENREF_70"/>
      <w:r w:rsidRPr="00EC2769">
        <w:t>70.</w:t>
      </w:r>
      <w:r w:rsidRPr="00EC2769">
        <w:tab/>
        <w:t>Kim LS, Riedlinger JE, Baldwin CM, Hilli L, Khalsa SV, Messer SA, et al. Treatment of seasonal allergic rhinitis using homeopathic preparation of common allergens in the southwestern region of the US: A randomized, controlled clinical trial.</w:t>
      </w:r>
      <w:r w:rsidRPr="00EC2769">
        <w:rPr>
          <w:i/>
        </w:rPr>
        <w:t xml:space="preserve"> Annals of Pharmacotherapy</w:t>
      </w:r>
      <w:r w:rsidRPr="00EC2769">
        <w:t xml:space="preserve">. 2005;39(4):617-24. </w:t>
      </w:r>
      <w:hyperlink r:id="rId153" w:history="1">
        <w:r w:rsidRPr="00EC2769">
          <w:rPr>
            <w:rStyle w:val="Hyperlink"/>
            <w:rFonts w:cs="Calibri"/>
          </w:rPr>
          <w:t>https://dx.doi.org/10.1345/aph.1E387</w:t>
        </w:r>
        <w:bookmarkEnd w:id="644"/>
      </w:hyperlink>
    </w:p>
    <w:p w14:paraId="22449482" w14:textId="77777777" w:rsidR="00EC2769" w:rsidRPr="00EC2769" w:rsidRDefault="00EC2769" w:rsidP="001B3DA2">
      <w:pPr>
        <w:pStyle w:val="EndNoteBibliography"/>
      </w:pPr>
      <w:bookmarkStart w:id="645" w:name="_ENREF_71"/>
      <w:r w:rsidRPr="00EC2769">
        <w:t>71.</w:t>
      </w:r>
      <w:r w:rsidRPr="00EC2769">
        <w:tab/>
        <w:t>Liu L-L, Wan K-S, Cheng C-F, Tsai M-H, Wu Y-L, Wu W-F. Effectiveness of MORA electronic homeopathic copies of remedies for allergic rhinitis: A short-term, randomized, placebo-controlled PILOT study.</w:t>
      </w:r>
      <w:r w:rsidRPr="00EC2769">
        <w:rPr>
          <w:i/>
        </w:rPr>
        <w:t xml:space="preserve"> European Journal of Integrative Medicine</w:t>
      </w:r>
      <w:r w:rsidRPr="00EC2769">
        <w:t>. 2013;5(2):119-25. 10.1016/j.eujim.2012.10.003</w:t>
      </w:r>
      <w:bookmarkEnd w:id="645"/>
    </w:p>
    <w:p w14:paraId="3432B942" w14:textId="77777777" w:rsidR="00EC2769" w:rsidRPr="00EC2769" w:rsidRDefault="00EC2769" w:rsidP="001B3DA2">
      <w:pPr>
        <w:pStyle w:val="EndNoteBibliography"/>
      </w:pPr>
      <w:bookmarkStart w:id="646" w:name="_ENREF_72"/>
      <w:r w:rsidRPr="00EC2769">
        <w:t>72.</w:t>
      </w:r>
      <w:r w:rsidRPr="00EC2769">
        <w:tab/>
        <w:t>Naidoo P, Pellow J. A randomized placebo-controlled pilot study of Cat saliva 9cH and Histaminum 9cH in cat allergic adults.</w:t>
      </w:r>
      <w:r w:rsidRPr="00EC2769">
        <w:rPr>
          <w:i/>
        </w:rPr>
        <w:t xml:space="preserve"> Homeopathy</w:t>
      </w:r>
      <w:r w:rsidRPr="00EC2769">
        <w:t>. 2013;102(2):123-9. 10.1016/j.homp.2013.02.007</w:t>
      </w:r>
      <w:bookmarkEnd w:id="646"/>
    </w:p>
    <w:p w14:paraId="0826BFFD" w14:textId="77777777" w:rsidR="00EC2769" w:rsidRPr="00EC2769" w:rsidRDefault="00EC2769" w:rsidP="001B3DA2">
      <w:pPr>
        <w:pStyle w:val="EndNoteBibliography"/>
      </w:pPr>
      <w:bookmarkStart w:id="647" w:name="_ENREF_73"/>
      <w:r w:rsidRPr="00EC2769">
        <w:t>73.</w:t>
      </w:r>
      <w:r w:rsidRPr="00EC2769">
        <w:tab/>
        <w:t>Reilly D, Taylor M. A double blind placebo controlled study model for assessing homoeopathy using homoeopathic mixed grass pollens 30C in hay fever.</w:t>
      </w:r>
      <w:r w:rsidRPr="00EC2769">
        <w:rPr>
          <w:i/>
        </w:rPr>
        <w:t xml:space="preserve"> Comm Br Homoeopath Res Grp</w:t>
      </w:r>
      <w:r w:rsidRPr="00EC2769">
        <w:t xml:space="preserve">. 1984;11:67-70. </w:t>
      </w:r>
      <w:bookmarkEnd w:id="647"/>
    </w:p>
    <w:p w14:paraId="1828DCA4" w14:textId="77777777" w:rsidR="00EC2769" w:rsidRPr="00EC2769" w:rsidRDefault="00EC2769" w:rsidP="001B3DA2">
      <w:pPr>
        <w:pStyle w:val="EndNoteBibliography"/>
      </w:pPr>
      <w:bookmarkStart w:id="648" w:name="_ENREF_74"/>
      <w:r w:rsidRPr="00EC2769">
        <w:t>74.</w:t>
      </w:r>
      <w:r w:rsidRPr="00EC2769">
        <w:tab/>
        <w:t>Reilly DT, Taylor MA, McSharry C, Aitchison T. Is homoeopathy a placebo response? Controlled trial of homoeopathic potency, with pollen in hayfever as model.</w:t>
      </w:r>
      <w:r w:rsidRPr="00EC2769">
        <w:rPr>
          <w:i/>
        </w:rPr>
        <w:t xml:space="preserve"> Lancet</w:t>
      </w:r>
      <w:r w:rsidRPr="00EC2769">
        <w:t xml:space="preserve">. 1986;2(8512):881-6. </w:t>
      </w:r>
      <w:bookmarkEnd w:id="648"/>
    </w:p>
    <w:p w14:paraId="0942EB49" w14:textId="77777777" w:rsidR="00EC2769" w:rsidRPr="00EC2769" w:rsidRDefault="00EC2769" w:rsidP="001B3DA2">
      <w:pPr>
        <w:pStyle w:val="EndNoteBibliography"/>
      </w:pPr>
      <w:bookmarkStart w:id="649" w:name="_ENREF_75"/>
      <w:r w:rsidRPr="00EC2769">
        <w:t>75.</w:t>
      </w:r>
      <w:r w:rsidRPr="00EC2769">
        <w:tab/>
        <w:t xml:space="preserve">Taylor MA, Reilly D, Llewellyn-Jones RH, McSharry C, Aitchison TC. Randomised controlled trial of homeopathy versus placebo in perennial allergic rhinitis with overview of four trial series...including </w:t>
      </w:r>
      <w:r w:rsidRPr="00EC2769">
        <w:lastRenderedPageBreak/>
        <w:t>commentary by Lancaster T and Vickers A [corrected] [published erratum appears in BMJ 2001 Feb 3; 322(7281): 282].</w:t>
      </w:r>
      <w:r w:rsidRPr="00EC2769">
        <w:rPr>
          <w:i/>
        </w:rPr>
        <w:t xml:space="preserve"> BMJ: British Medical Journal (International Edition)</w:t>
      </w:r>
      <w:r w:rsidRPr="00EC2769">
        <w:t>. 2000;321(7259):471-6. 10.1136/bmj.321.7259.471</w:t>
      </w:r>
      <w:bookmarkEnd w:id="649"/>
    </w:p>
    <w:p w14:paraId="240D6C64" w14:textId="77777777" w:rsidR="00EC2769" w:rsidRPr="00EC2769" w:rsidRDefault="00EC2769" w:rsidP="001B3DA2">
      <w:pPr>
        <w:pStyle w:val="EndNoteBibliography"/>
      </w:pPr>
      <w:bookmarkStart w:id="650" w:name="_ENREF_76"/>
      <w:r w:rsidRPr="00EC2769">
        <w:t>76.</w:t>
      </w:r>
      <w:r w:rsidRPr="00EC2769">
        <w:tab/>
        <w:t>Taylor MA. Erratum: Randomised controlled trial of homoeopathy versus placebo in perennial allergic rhinitis with overview of four trial series (British Medical Journal (Aug. 19-26) (471-476)).</w:t>
      </w:r>
      <w:r w:rsidRPr="00EC2769">
        <w:rPr>
          <w:i/>
        </w:rPr>
        <w:t xml:space="preserve"> British Medical Journal</w:t>
      </w:r>
      <w:r w:rsidRPr="00EC2769">
        <w:t xml:space="preserve">. 2000;321(7263):733. </w:t>
      </w:r>
      <w:bookmarkEnd w:id="650"/>
    </w:p>
    <w:p w14:paraId="2536F612" w14:textId="77777777" w:rsidR="00EC2769" w:rsidRPr="00EC2769" w:rsidRDefault="00EC2769" w:rsidP="001B3DA2">
      <w:pPr>
        <w:pStyle w:val="EndNoteBibliography"/>
      </w:pPr>
      <w:bookmarkStart w:id="651" w:name="_ENREF_77"/>
      <w:r w:rsidRPr="00EC2769">
        <w:t>77.</w:t>
      </w:r>
      <w:r w:rsidRPr="00EC2769">
        <w:tab/>
        <w:t>Taylor MA. Randomized, controlled trial of homeopathy versus placebo in perennial allergic rhinitis with overview of four trial series.</w:t>
      </w:r>
      <w:r w:rsidRPr="00EC2769">
        <w:rPr>
          <w:i/>
        </w:rPr>
        <w:t xml:space="preserve"> Indian journal of pediatrics</w:t>
      </w:r>
      <w:r w:rsidRPr="00EC2769">
        <w:t xml:space="preserve">. 2002;69(8):674. </w:t>
      </w:r>
      <w:bookmarkEnd w:id="651"/>
    </w:p>
    <w:p w14:paraId="17F7DB2A" w14:textId="5F5FCE6E" w:rsidR="00EC2769" w:rsidRPr="00EC2769" w:rsidRDefault="00EC2769" w:rsidP="001B3DA2">
      <w:pPr>
        <w:pStyle w:val="EndNoteBibliography"/>
      </w:pPr>
      <w:bookmarkStart w:id="652" w:name="_ENREF_78"/>
      <w:r w:rsidRPr="00EC2769">
        <w:t>78.</w:t>
      </w:r>
      <w:r w:rsidRPr="00EC2769">
        <w:tab/>
        <w:t>Dey S, Shaikh AR, Agrawal E, Gautam AK, Karuppusamy A, Sadhukhan S, et al. Efficacy of Individualized Homeopathic Medicines in the Treatment of Atopic Dermatitis in Adults: A Double-Blind, Randomized, Placebo-Controlled, Preliminary Trial.</w:t>
      </w:r>
      <w:r w:rsidRPr="00EC2769">
        <w:rPr>
          <w:i/>
        </w:rPr>
        <w:t xml:space="preserve"> Complementary Medicine Research</w:t>
      </w:r>
      <w:r w:rsidRPr="00EC2769">
        <w:t xml:space="preserve">. 2022;29(1):17-26. </w:t>
      </w:r>
      <w:hyperlink r:id="rId154" w:history="1">
        <w:r w:rsidRPr="00EC2769">
          <w:rPr>
            <w:rStyle w:val="Hyperlink"/>
            <w:rFonts w:cs="Calibri"/>
          </w:rPr>
          <w:t>https://dx.doi.org/10.1159/000516026</w:t>
        </w:r>
        <w:bookmarkEnd w:id="652"/>
      </w:hyperlink>
    </w:p>
    <w:p w14:paraId="02A84CFF" w14:textId="1FD41CBB" w:rsidR="00EC2769" w:rsidRPr="00EC2769" w:rsidRDefault="00EC2769" w:rsidP="001B3DA2">
      <w:pPr>
        <w:pStyle w:val="EndNoteBibliography"/>
      </w:pPr>
      <w:bookmarkStart w:id="653" w:name="_ENREF_79"/>
      <w:r w:rsidRPr="00EC2769">
        <w:t>79.</w:t>
      </w:r>
      <w:r w:rsidRPr="00EC2769">
        <w:tab/>
        <w:t>Fisher P, McCarney R, Hasford C, Vickers A. Evaluation of specific and non-specific effects in homeopathy: Feasibility study for a randomised trial.</w:t>
      </w:r>
      <w:r w:rsidRPr="00EC2769">
        <w:rPr>
          <w:i/>
        </w:rPr>
        <w:t xml:space="preserve"> Homeopathy: the Journal of the Faculty of Homeopathy</w:t>
      </w:r>
      <w:r w:rsidRPr="00EC2769">
        <w:t xml:space="preserve">. 2006;95(4):215-22. </w:t>
      </w:r>
      <w:hyperlink r:id="rId155" w:history="1">
        <w:r w:rsidRPr="00EC2769">
          <w:rPr>
            <w:rStyle w:val="Hyperlink"/>
            <w:rFonts w:cs="Calibri"/>
          </w:rPr>
          <w:t>https://dx.doi.org/10.1016/j.homp.2006.07.006</w:t>
        </w:r>
        <w:bookmarkEnd w:id="653"/>
      </w:hyperlink>
    </w:p>
    <w:p w14:paraId="16357095" w14:textId="027C11D1" w:rsidR="00EC2769" w:rsidRPr="00EC2769" w:rsidRDefault="00EC2769" w:rsidP="001B3DA2">
      <w:pPr>
        <w:pStyle w:val="EndNoteBibliography"/>
      </w:pPr>
      <w:bookmarkStart w:id="654" w:name="_ENREF_80"/>
      <w:r w:rsidRPr="00EC2769">
        <w:t>80.</w:t>
      </w:r>
      <w:r w:rsidRPr="00EC2769">
        <w:tab/>
        <w:t>Vickers A. Evaluation of specific and non-specific effects in homeopathy: Feasibility study for a randomised trial.</w:t>
      </w:r>
      <w:r w:rsidRPr="00EC2769">
        <w:rPr>
          <w:i/>
        </w:rPr>
        <w:t xml:space="preserve"> British Homeopathic Journal</w:t>
      </w:r>
      <w:r w:rsidRPr="00EC2769">
        <w:t xml:space="preserve">. 2000;89(SUPPL. 1):S48-S9. </w:t>
      </w:r>
      <w:hyperlink r:id="rId156" w:history="1">
        <w:r w:rsidRPr="00EC2769">
          <w:rPr>
            <w:rStyle w:val="Hyperlink"/>
            <w:rFonts w:cs="Calibri"/>
          </w:rPr>
          <w:t>https://dx.doi.org/10.1054/homp.1999.0388</w:t>
        </w:r>
        <w:bookmarkEnd w:id="654"/>
      </w:hyperlink>
    </w:p>
    <w:p w14:paraId="56581694" w14:textId="77777777" w:rsidR="00EC2769" w:rsidRPr="00EC2769" w:rsidRDefault="00EC2769" w:rsidP="001B3DA2">
      <w:pPr>
        <w:pStyle w:val="EndNoteBibliography"/>
      </w:pPr>
      <w:bookmarkStart w:id="655" w:name="_ENREF_81"/>
      <w:r w:rsidRPr="00EC2769">
        <w:t>81.</w:t>
      </w:r>
      <w:r w:rsidRPr="00EC2769">
        <w:tab/>
        <w:t>Carello R, Ricottini L, Miranda V, Panei P, Rocchi L, Arcieri R, et al. Long-term treatment with low-dose medicine in chronic childhood eczema: a double-blind two-stage randomized control trial.</w:t>
      </w:r>
      <w:r w:rsidRPr="00EC2769">
        <w:rPr>
          <w:i/>
        </w:rPr>
        <w:t xml:space="preserve"> Ital J Pediatr</w:t>
      </w:r>
      <w:r w:rsidRPr="00EC2769">
        <w:t>. 2017;43(1):78. 10.1186/s13052-017-0393-5</w:t>
      </w:r>
      <w:bookmarkEnd w:id="655"/>
    </w:p>
    <w:p w14:paraId="36133787" w14:textId="77777777" w:rsidR="00EC2769" w:rsidRPr="00EC2769" w:rsidRDefault="00EC2769" w:rsidP="001B3DA2">
      <w:pPr>
        <w:pStyle w:val="EndNoteBibliography"/>
      </w:pPr>
      <w:bookmarkStart w:id="656" w:name="_ENREF_82"/>
      <w:r w:rsidRPr="00EC2769">
        <w:t>82.</w:t>
      </w:r>
      <w:r w:rsidRPr="00EC2769">
        <w:tab/>
        <w:t>Wiesenauer M, Lüdtke R. The treatment of pollinosis with Galphimia glauca D4 - a randomized placebo-controlled double-blind clinical trial.</w:t>
      </w:r>
      <w:r w:rsidRPr="00EC2769">
        <w:rPr>
          <w:i/>
        </w:rPr>
        <w:t xml:space="preserve"> Phytomedicine</w:t>
      </w:r>
      <w:r w:rsidRPr="00EC2769">
        <w:t>. 1995;2(1):3-6. 10.1016/s0944-7113(11)80041-3</w:t>
      </w:r>
      <w:bookmarkEnd w:id="656"/>
    </w:p>
    <w:p w14:paraId="086AEB08" w14:textId="77777777" w:rsidR="00EC2769" w:rsidRPr="00EC2769" w:rsidRDefault="00EC2769" w:rsidP="001B3DA2">
      <w:pPr>
        <w:pStyle w:val="EndNoteBibliography"/>
      </w:pPr>
      <w:bookmarkStart w:id="657" w:name="_ENREF_83"/>
      <w:r w:rsidRPr="00EC2769">
        <w:t>83.</w:t>
      </w:r>
      <w:r w:rsidRPr="00EC2769">
        <w:tab/>
        <w:t>Faraone SV. Interpreting estimates of treatment effects: implications for managed care.</w:t>
      </w:r>
      <w:r w:rsidRPr="00EC2769">
        <w:rPr>
          <w:i/>
        </w:rPr>
        <w:t xml:space="preserve"> P T</w:t>
      </w:r>
      <w:r w:rsidRPr="00EC2769">
        <w:t xml:space="preserve">. 2008;33(12):700-11. </w:t>
      </w:r>
      <w:bookmarkEnd w:id="657"/>
    </w:p>
    <w:p w14:paraId="4DA6D65D" w14:textId="77777777" w:rsidR="00EC2769" w:rsidRPr="00EC2769" w:rsidRDefault="00EC2769" w:rsidP="001B3DA2">
      <w:pPr>
        <w:pStyle w:val="EndNoteBibliography"/>
      </w:pPr>
      <w:bookmarkStart w:id="658" w:name="_ENREF_84"/>
      <w:r w:rsidRPr="00EC2769">
        <w:t>84.</w:t>
      </w:r>
      <w:r w:rsidRPr="00EC2769">
        <w:tab/>
        <w:t>Basra MK, Salek MS, Camilleri L, Sturkey R, Finlay AY. Determining the minimal clinically important difference and responsiveness of the Dermatology Life Quality Index (DLQI): further data.</w:t>
      </w:r>
      <w:r w:rsidRPr="00EC2769">
        <w:rPr>
          <w:i/>
        </w:rPr>
        <w:t xml:space="preserve"> Dermatology</w:t>
      </w:r>
      <w:r w:rsidRPr="00EC2769">
        <w:t>. 2015;230(1):27-33. 10.1159/000365390</w:t>
      </w:r>
      <w:bookmarkEnd w:id="658"/>
    </w:p>
    <w:p w14:paraId="3BD4553F" w14:textId="77777777" w:rsidR="00EC2769" w:rsidRPr="00EC2769" w:rsidRDefault="00EC2769" w:rsidP="001B3DA2">
      <w:pPr>
        <w:pStyle w:val="EndNoteBibliography"/>
      </w:pPr>
      <w:bookmarkStart w:id="659" w:name="_ENREF_85"/>
      <w:r w:rsidRPr="00EC2769">
        <w:t>85.</w:t>
      </w:r>
      <w:r w:rsidRPr="00EC2769">
        <w:tab/>
        <w:t>Leach A, Morris P, Coates H. Otitis media guidelines for Australian Aboriginal and Torres Strait Islander children: summary of recommendations. Menzies School of Health Research 2021.</w:t>
      </w:r>
      <w:bookmarkEnd w:id="659"/>
    </w:p>
    <w:p w14:paraId="387880C0" w14:textId="3B89C537" w:rsidR="00EC2769" w:rsidRPr="00EC2769" w:rsidRDefault="00EC2769" w:rsidP="001B3DA2">
      <w:pPr>
        <w:pStyle w:val="EndNoteBibliography"/>
      </w:pPr>
      <w:bookmarkStart w:id="660" w:name="_ENREF_86"/>
      <w:r w:rsidRPr="00EC2769">
        <w:t>86.</w:t>
      </w:r>
      <w:r w:rsidRPr="00EC2769">
        <w:tab/>
        <w:t xml:space="preserve">Danishyar A, Ashurst J. StatPearls [Internet] Treasure Island (FL): StatPearls Publishing; 2023 [cited 2023 18 September]. Available from: </w:t>
      </w:r>
      <w:hyperlink r:id="rId157" w:history="1">
        <w:r w:rsidRPr="00EC2769">
          <w:rPr>
            <w:rStyle w:val="Hyperlink"/>
            <w:rFonts w:cs="Calibri"/>
          </w:rPr>
          <w:t>https://www.ncbi.nlm.nih.gov/books/NBK470332/</w:t>
        </w:r>
      </w:hyperlink>
      <w:r w:rsidRPr="00EC2769">
        <w:t>.</w:t>
      </w:r>
      <w:bookmarkEnd w:id="660"/>
    </w:p>
    <w:p w14:paraId="4C93C89C" w14:textId="77777777" w:rsidR="00EC2769" w:rsidRPr="00EC2769" w:rsidRDefault="00EC2769" w:rsidP="001B3DA2">
      <w:pPr>
        <w:pStyle w:val="EndNoteBibliography"/>
      </w:pPr>
      <w:bookmarkStart w:id="661" w:name="_ENREF_87"/>
      <w:r w:rsidRPr="00EC2769">
        <w:t>87.</w:t>
      </w:r>
      <w:r w:rsidRPr="00EC2769">
        <w:tab/>
        <w:t>Brennan-Jones CG, Hakeem HH, Costa CD, Weng W, Whitehouse AJO, Jamieson SE, et al. Cross-sectional prevalence and risk factors for otitis media and hearing loss in Australian children aged 5 to 7 years: a prospective cohort study.</w:t>
      </w:r>
      <w:r w:rsidRPr="00EC2769">
        <w:rPr>
          <w:i/>
        </w:rPr>
        <w:t xml:space="preserve"> Australian Journal of Otolaryngology</w:t>
      </w:r>
      <w:r w:rsidRPr="00EC2769">
        <w:t xml:space="preserve">. 2020;3. </w:t>
      </w:r>
      <w:bookmarkEnd w:id="661"/>
    </w:p>
    <w:p w14:paraId="7BC15DDB" w14:textId="0585BED3" w:rsidR="00EC2769" w:rsidRPr="00EC2769" w:rsidRDefault="00EC2769" w:rsidP="001B3DA2">
      <w:pPr>
        <w:pStyle w:val="EndNoteBibliography"/>
      </w:pPr>
      <w:bookmarkStart w:id="662" w:name="_ENREF_88"/>
      <w:r w:rsidRPr="00EC2769">
        <w:t>88.</w:t>
      </w:r>
      <w:r w:rsidRPr="00EC2769">
        <w:tab/>
        <w:t xml:space="preserve">Ear infections and glue ear: The Royal Children's Hospital Melbourne; 2018 [cited 2023 18 September]. Available from: </w:t>
      </w:r>
      <w:hyperlink r:id="rId158" w:history="1">
        <w:r w:rsidRPr="00EC2769">
          <w:rPr>
            <w:rStyle w:val="Hyperlink"/>
            <w:rFonts w:cs="Calibri"/>
          </w:rPr>
          <w:t>https://www.rch.org.au/kidsinfo/fact_sheets/ear_infections_and_otitis_media/</w:t>
        </w:r>
      </w:hyperlink>
      <w:r w:rsidRPr="00EC2769">
        <w:t>.</w:t>
      </w:r>
      <w:bookmarkEnd w:id="662"/>
    </w:p>
    <w:p w14:paraId="0C2A6790" w14:textId="6423F5B6" w:rsidR="00EC2769" w:rsidRPr="00EC2769" w:rsidRDefault="00EC2769" w:rsidP="001B3DA2">
      <w:pPr>
        <w:pStyle w:val="EndNoteBibliography"/>
      </w:pPr>
      <w:bookmarkStart w:id="663" w:name="_ENREF_89"/>
      <w:r w:rsidRPr="00EC2769">
        <w:t>89.</w:t>
      </w:r>
      <w:r w:rsidRPr="00EC2769">
        <w:tab/>
        <w:t xml:space="preserve">Searight F, Singh R, Peterson D. Otitis Media With Effusion Treasure Island (FL): StatPearls Publishing; 2023 [cited 2023 18 September]. Available from: </w:t>
      </w:r>
      <w:hyperlink r:id="rId159" w:history="1">
        <w:r w:rsidRPr="00EC2769">
          <w:rPr>
            <w:rStyle w:val="Hyperlink"/>
            <w:rFonts w:cs="Calibri"/>
          </w:rPr>
          <w:t>https://www.ncbi.nlm.nih.gov/books/NBK538293/</w:t>
        </w:r>
      </w:hyperlink>
      <w:r w:rsidRPr="00EC2769">
        <w:t>.</w:t>
      </w:r>
      <w:bookmarkEnd w:id="663"/>
    </w:p>
    <w:p w14:paraId="71FFD550" w14:textId="64C02592" w:rsidR="00EC2769" w:rsidRPr="00EC2769" w:rsidRDefault="00EC2769" w:rsidP="001B3DA2">
      <w:pPr>
        <w:pStyle w:val="EndNoteBibliography"/>
      </w:pPr>
      <w:bookmarkStart w:id="664" w:name="_ENREF_90"/>
      <w:r w:rsidRPr="00EC2769">
        <w:t>90.</w:t>
      </w:r>
      <w:r w:rsidRPr="00EC2769">
        <w:tab/>
        <w:t xml:space="preserve">Clinical pratice guidlines: acute otitis media: The Royal Children's Hospital Melbourne; 2021 [cited 2023 18 September]. Available from: </w:t>
      </w:r>
      <w:hyperlink r:id="rId160" w:history="1">
        <w:r w:rsidRPr="00EC2769">
          <w:rPr>
            <w:rStyle w:val="Hyperlink"/>
            <w:rFonts w:cs="Calibri"/>
          </w:rPr>
          <w:t>https://www.rch.org.au/clinicalguide/guideline_index/acute_otitis_media/</w:t>
        </w:r>
      </w:hyperlink>
      <w:r w:rsidRPr="00EC2769">
        <w:t>.</w:t>
      </w:r>
      <w:bookmarkEnd w:id="664"/>
    </w:p>
    <w:p w14:paraId="74CCD48D" w14:textId="31F1CD41" w:rsidR="00EC2769" w:rsidRPr="00EC2769" w:rsidRDefault="00EC2769" w:rsidP="001B3DA2">
      <w:pPr>
        <w:pStyle w:val="EndNoteBibliography"/>
      </w:pPr>
      <w:bookmarkStart w:id="665" w:name="_ENREF_91"/>
      <w:r w:rsidRPr="00EC2769">
        <w:t>91.</w:t>
      </w:r>
      <w:r w:rsidRPr="00EC2769">
        <w:tab/>
        <w:t xml:space="preserve">Rosario. D, Mendez. M. StatPearls [Internet]. Chronic Suppurative Otitis Treasure Island (FL): StatPearls Publishing; 2023 [cited 2023 18 September]. Available from: </w:t>
      </w:r>
      <w:hyperlink r:id="rId161" w:history="1">
        <w:r w:rsidRPr="00EC2769">
          <w:rPr>
            <w:rStyle w:val="Hyperlink"/>
            <w:rFonts w:cs="Calibri"/>
          </w:rPr>
          <w:t>https://www.ncbi.nlm.nih.gov/books/NBK554592/</w:t>
        </w:r>
      </w:hyperlink>
      <w:r w:rsidRPr="00EC2769">
        <w:t>.</w:t>
      </w:r>
      <w:bookmarkEnd w:id="665"/>
    </w:p>
    <w:p w14:paraId="34D94D24" w14:textId="77777777" w:rsidR="00EC2769" w:rsidRPr="00EC2769" w:rsidRDefault="00EC2769" w:rsidP="001B3DA2">
      <w:pPr>
        <w:pStyle w:val="EndNoteBibliography"/>
      </w:pPr>
      <w:bookmarkStart w:id="666" w:name="_ENREF_92"/>
      <w:r w:rsidRPr="00EC2769">
        <w:t>92.</w:t>
      </w:r>
      <w:r w:rsidRPr="00EC2769">
        <w:tab/>
        <w:t>Randall DA, Fornadley JA, Kennedy KS. Management of recurrent otitis media.</w:t>
      </w:r>
      <w:r w:rsidRPr="00EC2769">
        <w:rPr>
          <w:i/>
        </w:rPr>
        <w:t xml:space="preserve"> Am Fam Physician</w:t>
      </w:r>
      <w:r w:rsidRPr="00EC2769">
        <w:t xml:space="preserve">. 1992;45(5):2117-23. </w:t>
      </w:r>
      <w:bookmarkEnd w:id="666"/>
    </w:p>
    <w:p w14:paraId="028CC5CD" w14:textId="77777777" w:rsidR="00EC2769" w:rsidRPr="00EC2769" w:rsidRDefault="00EC2769" w:rsidP="001B3DA2">
      <w:pPr>
        <w:pStyle w:val="EndNoteBibliography"/>
      </w:pPr>
      <w:bookmarkStart w:id="667" w:name="_ENREF_93"/>
      <w:r w:rsidRPr="00EC2769">
        <w:t>93.</w:t>
      </w:r>
      <w:r w:rsidRPr="00EC2769">
        <w:tab/>
        <w:t>Wald ER. Management of Recurrent Acute Otitis Media.</w:t>
      </w:r>
      <w:r w:rsidRPr="00EC2769">
        <w:rPr>
          <w:i/>
        </w:rPr>
        <w:t xml:space="preserve"> N Engl J Med</w:t>
      </w:r>
      <w:r w:rsidRPr="00EC2769">
        <w:t>. 2021;384(19):1859-60. 10.1056/NEJMe2104952</w:t>
      </w:r>
      <w:bookmarkEnd w:id="667"/>
    </w:p>
    <w:p w14:paraId="02270641" w14:textId="77A8A993" w:rsidR="00EC2769" w:rsidRPr="00EC2769" w:rsidRDefault="00EC2769" w:rsidP="001B3DA2">
      <w:pPr>
        <w:pStyle w:val="EndNoteBibliography"/>
      </w:pPr>
      <w:bookmarkStart w:id="668" w:name="_ENREF_94"/>
      <w:r w:rsidRPr="00EC2769">
        <w:lastRenderedPageBreak/>
        <w:t>94.</w:t>
      </w:r>
      <w:r w:rsidRPr="00EC2769">
        <w:tab/>
        <w:t>Harrison H, Fixsen A, Vickers A. A randomized comparison of homoeopathic and standard care for the treatment of glue ear in children.</w:t>
      </w:r>
      <w:r w:rsidRPr="00EC2769">
        <w:rPr>
          <w:i/>
        </w:rPr>
        <w:t xml:space="preserve"> Complementary Therapies in Medicine</w:t>
      </w:r>
      <w:r w:rsidRPr="00EC2769">
        <w:t xml:space="preserve">. 1999;7(3):132-5. </w:t>
      </w:r>
      <w:hyperlink r:id="rId162" w:history="1">
        <w:r w:rsidRPr="00EC2769">
          <w:rPr>
            <w:rStyle w:val="Hyperlink"/>
            <w:rFonts w:cs="Calibri"/>
          </w:rPr>
          <w:t>https://dx.doi.org/10.1016/S0965-2299%2899%2980120-4</w:t>
        </w:r>
        <w:bookmarkEnd w:id="668"/>
      </w:hyperlink>
    </w:p>
    <w:p w14:paraId="14844102" w14:textId="3564B2BC" w:rsidR="00EC2769" w:rsidRPr="00EC2769" w:rsidRDefault="00EC2769" w:rsidP="001B3DA2">
      <w:pPr>
        <w:pStyle w:val="EndNoteBibliography"/>
      </w:pPr>
      <w:bookmarkStart w:id="669" w:name="_ENREF_95"/>
      <w:r w:rsidRPr="00EC2769">
        <w:t>95.</w:t>
      </w:r>
      <w:r w:rsidRPr="00EC2769">
        <w:tab/>
        <w:t>Jacobs J, Springer DA, Crothers D. Homeopathic treatment of acute otitis media in children: A preliminary randomized placebo-controlled trial.</w:t>
      </w:r>
      <w:r w:rsidRPr="00EC2769">
        <w:rPr>
          <w:i/>
        </w:rPr>
        <w:t xml:space="preserve"> Pediatric Infectious Disease Journal</w:t>
      </w:r>
      <w:r w:rsidRPr="00EC2769">
        <w:t xml:space="preserve">. 2001;20(2):177-83. </w:t>
      </w:r>
      <w:hyperlink r:id="rId163" w:history="1">
        <w:r w:rsidRPr="00EC2769">
          <w:rPr>
            <w:rStyle w:val="Hyperlink"/>
            <w:rFonts w:cs="Calibri"/>
          </w:rPr>
          <w:t>https://dx.doi.org/10.1097/00006454-200102000-00012</w:t>
        </w:r>
        <w:bookmarkEnd w:id="669"/>
      </w:hyperlink>
    </w:p>
    <w:p w14:paraId="71BC2A49" w14:textId="77777777" w:rsidR="00EC2769" w:rsidRPr="00EC2769" w:rsidRDefault="00EC2769" w:rsidP="001B3DA2">
      <w:pPr>
        <w:pStyle w:val="EndNoteBibliography"/>
      </w:pPr>
      <w:bookmarkStart w:id="670" w:name="_ENREF_96"/>
      <w:r w:rsidRPr="00EC2769">
        <w:t>96.</w:t>
      </w:r>
      <w:r w:rsidRPr="00EC2769">
        <w:tab/>
        <w:t>Jacobs J, Springer DA, Crothers D. Homeopathic treatment of otitis media in children: a preliminary randomized controlled trial with placebo.</w:t>
      </w:r>
      <w:r w:rsidRPr="00EC2769">
        <w:rPr>
          <w:i/>
        </w:rPr>
        <w:t xml:space="preserve"> Homeopatia mex</w:t>
      </w:r>
      <w:r w:rsidRPr="00EC2769">
        <w:t xml:space="preserve">. 2002;71(618):109‐21. </w:t>
      </w:r>
      <w:bookmarkEnd w:id="670"/>
    </w:p>
    <w:p w14:paraId="008421D7" w14:textId="77777777" w:rsidR="00EC2769" w:rsidRPr="00EC2769" w:rsidRDefault="00EC2769" w:rsidP="001B3DA2">
      <w:pPr>
        <w:pStyle w:val="EndNoteBibliography"/>
      </w:pPr>
      <w:bookmarkStart w:id="671" w:name="_ENREF_97"/>
      <w:r w:rsidRPr="00EC2769">
        <w:t>97.</w:t>
      </w:r>
      <w:r w:rsidRPr="00EC2769">
        <w:tab/>
        <w:t>Pedrero-Escalas MF, Jimenez-Antolin J, Lassaletta L, Diaz-Saez G, Gavilan J. Hospital clinical trial: Homeopathy (Agraphis nutans 5CH, Thuya occidentalis 5CH, Kalium muriaticum 9CH and Arsenicum iodatum 9CH) as adjuvant, in children with otitis media with effusion.</w:t>
      </w:r>
      <w:r w:rsidRPr="00EC2769">
        <w:rPr>
          <w:i/>
        </w:rPr>
        <w:t xml:space="preserve"> Int J Pediatr Otorhinolaryngol</w:t>
      </w:r>
      <w:r w:rsidRPr="00EC2769">
        <w:t>. 2016;88:217-23. 10.1016/j.ijporl.2016.06.039</w:t>
      </w:r>
      <w:bookmarkEnd w:id="671"/>
    </w:p>
    <w:p w14:paraId="66A86983" w14:textId="77777777" w:rsidR="00EC2769" w:rsidRPr="00EC2769" w:rsidRDefault="00EC2769" w:rsidP="001B3DA2">
      <w:pPr>
        <w:pStyle w:val="EndNoteBibliography"/>
      </w:pPr>
      <w:bookmarkStart w:id="672" w:name="_ENREF_98"/>
      <w:r w:rsidRPr="00EC2769">
        <w:t>98.</w:t>
      </w:r>
      <w:r w:rsidRPr="00EC2769">
        <w:tab/>
        <w:t>Sinha MN, Siddiqui VA, Nayak C, Singh V, Dixit R, Dewan D, et al. Randomized controlled pilot study to compare Homeopathy and Conventional therapy in Acute Otitis Media.</w:t>
      </w:r>
      <w:r w:rsidRPr="00EC2769">
        <w:rPr>
          <w:i/>
        </w:rPr>
        <w:t xml:space="preserve"> Homeopathy</w:t>
      </w:r>
      <w:r w:rsidRPr="00EC2769">
        <w:t>. 2012;101(1):5-12. 10.1016/j.homp.2011.08.003</w:t>
      </w:r>
      <w:bookmarkEnd w:id="672"/>
    </w:p>
    <w:p w14:paraId="6E2021DA" w14:textId="77777777" w:rsidR="00EC2769" w:rsidRPr="00EC2769" w:rsidRDefault="00EC2769" w:rsidP="001B3DA2">
      <w:pPr>
        <w:pStyle w:val="EndNoteBibliography"/>
      </w:pPr>
      <w:bookmarkStart w:id="673" w:name="_ENREF_99"/>
      <w:r w:rsidRPr="00EC2769">
        <w:t>99.</w:t>
      </w:r>
      <w:r w:rsidRPr="00EC2769">
        <w:tab/>
        <w:t>Taylor JA, Jacobs J. Homeopathic ear drops as an adjunct to standard therapy in children with acute otitis media.</w:t>
      </w:r>
      <w:r w:rsidRPr="00EC2769">
        <w:rPr>
          <w:i/>
        </w:rPr>
        <w:t xml:space="preserve"> Homeopathy</w:t>
      </w:r>
      <w:r w:rsidRPr="00EC2769">
        <w:t>. 2011;100(3):109-15. 10.1016/j.homp.2011.03.002</w:t>
      </w:r>
      <w:bookmarkEnd w:id="673"/>
    </w:p>
    <w:p w14:paraId="7C5DD89B" w14:textId="77777777" w:rsidR="00EC2769" w:rsidRPr="00EC2769" w:rsidRDefault="00EC2769" w:rsidP="001B3DA2">
      <w:pPr>
        <w:pStyle w:val="EndNoteBibliography"/>
      </w:pPr>
      <w:bookmarkStart w:id="674" w:name="_ENREF_100"/>
      <w:r w:rsidRPr="00EC2769">
        <w:t>100.</w:t>
      </w:r>
      <w:r w:rsidRPr="00EC2769">
        <w:tab/>
        <w:t>Taylor JA, Jacobs J. Homeopathic Ear Drops as an Adjunct in Reducing Antibiotic Usage in Children With Acute Otitis Media.</w:t>
      </w:r>
      <w:r w:rsidRPr="00EC2769">
        <w:rPr>
          <w:i/>
        </w:rPr>
        <w:t xml:space="preserve"> Glob Pediatr Health</w:t>
      </w:r>
      <w:r w:rsidRPr="00EC2769">
        <w:t>. 2014;1:2333794X14559395. 10.1177/2333794X14559395</w:t>
      </w:r>
      <w:bookmarkEnd w:id="674"/>
    </w:p>
    <w:p w14:paraId="4A40ED31" w14:textId="1F26799C" w:rsidR="00EC2769" w:rsidRPr="00EC2769" w:rsidRDefault="00EC2769" w:rsidP="001B3DA2">
      <w:pPr>
        <w:pStyle w:val="EndNoteBibliography"/>
      </w:pPr>
      <w:bookmarkStart w:id="675" w:name="_ENREF_101"/>
      <w:r w:rsidRPr="00EC2769">
        <w:t>101.</w:t>
      </w:r>
      <w:r w:rsidRPr="00EC2769">
        <w:tab/>
        <w:t>Taylor JA, Jacobs J. Homeopathic treatment of respiratory illnesses in children: Results from two randomized trials.</w:t>
      </w:r>
      <w:r w:rsidRPr="00EC2769">
        <w:rPr>
          <w:i/>
        </w:rPr>
        <w:t xml:space="preserve"> Homeopathy: the Journal of the Faculty of Homeopathy</w:t>
      </w:r>
      <w:r w:rsidRPr="00EC2769">
        <w:t xml:space="preserve">. 2016;105(1):15. </w:t>
      </w:r>
      <w:hyperlink r:id="rId164" w:history="1">
        <w:r w:rsidRPr="00EC2769">
          <w:rPr>
            <w:rStyle w:val="Hyperlink"/>
            <w:rFonts w:cs="Calibri"/>
          </w:rPr>
          <w:t>https://dx.doi.org/10.1016/j.homp.2015.12.006</w:t>
        </w:r>
        <w:bookmarkEnd w:id="675"/>
      </w:hyperlink>
    </w:p>
    <w:p w14:paraId="00BCBB5B" w14:textId="7553CC9D" w:rsidR="00EC2769" w:rsidRPr="00EC2769" w:rsidRDefault="00EC2769" w:rsidP="001B3DA2">
      <w:pPr>
        <w:pStyle w:val="EndNoteBibliography"/>
      </w:pPr>
      <w:bookmarkStart w:id="676" w:name="_ENREF_102"/>
      <w:r w:rsidRPr="00EC2769">
        <w:t>102.</w:t>
      </w:r>
      <w:r w:rsidRPr="00EC2769">
        <w:tab/>
        <w:t xml:space="preserve">Thomas M, Bomar PA. Upper Respiratory Tract Infection StatPearls [Internet]. 2023 [cited 2023 10 September]. Available from: </w:t>
      </w:r>
      <w:hyperlink r:id="rId165" w:history="1">
        <w:r w:rsidRPr="00EC2769">
          <w:rPr>
            <w:rStyle w:val="Hyperlink"/>
            <w:rFonts w:cs="Calibri"/>
          </w:rPr>
          <w:t>https://www.ncbi.nlm.nih.gov/books/NBK532961/</w:t>
        </w:r>
      </w:hyperlink>
      <w:r w:rsidRPr="00EC2769">
        <w:t>.</w:t>
      </w:r>
      <w:bookmarkEnd w:id="676"/>
    </w:p>
    <w:p w14:paraId="263EAC01" w14:textId="77777777" w:rsidR="00EC2769" w:rsidRPr="00EC2769" w:rsidRDefault="00EC2769" w:rsidP="001B3DA2">
      <w:pPr>
        <w:pStyle w:val="EndNoteBibliography"/>
      </w:pPr>
      <w:bookmarkStart w:id="677" w:name="_ENREF_103"/>
      <w:r w:rsidRPr="00EC2769">
        <w:t>103.</w:t>
      </w:r>
      <w:r w:rsidRPr="00EC2769">
        <w:tab/>
        <w:t>Heikkinen T, Järvinen A. The common cold.</w:t>
      </w:r>
      <w:r w:rsidRPr="00EC2769">
        <w:rPr>
          <w:i/>
        </w:rPr>
        <w:t xml:space="preserve"> The Lancet</w:t>
      </w:r>
      <w:r w:rsidRPr="00EC2769">
        <w:t>. 2003;361(9351):51-9. 10.1016/S0140-6736(03)12162-9</w:t>
      </w:r>
      <w:bookmarkEnd w:id="677"/>
    </w:p>
    <w:p w14:paraId="35F4FCCF" w14:textId="77777777" w:rsidR="00EC2769" w:rsidRPr="00EC2769" w:rsidRDefault="00EC2769" w:rsidP="001B3DA2">
      <w:pPr>
        <w:pStyle w:val="EndNoteBibliography"/>
      </w:pPr>
      <w:bookmarkStart w:id="678" w:name="_ENREF_104"/>
      <w:r w:rsidRPr="00EC2769">
        <w:t>104.</w:t>
      </w:r>
      <w:r w:rsidRPr="00EC2769">
        <w:tab/>
        <w:t>Long JC, Williams HM, Jani S, Arnolda G, Ting HP, Molloy CJ, et al. Assessing the appropriateness of the management of upper respiratory tract infection in Australian children: a population-based sample survey.</w:t>
      </w:r>
      <w:r w:rsidRPr="00EC2769">
        <w:rPr>
          <w:i/>
        </w:rPr>
        <w:t xml:space="preserve"> BMJ Open</w:t>
      </w:r>
      <w:r w:rsidRPr="00EC2769">
        <w:t>. 2019;9(5):e026915. 10.1136/bmjopen-2018-026915</w:t>
      </w:r>
      <w:bookmarkEnd w:id="678"/>
    </w:p>
    <w:p w14:paraId="34B4D231" w14:textId="77777777" w:rsidR="00EC2769" w:rsidRPr="00EC2769" w:rsidRDefault="00EC2769" w:rsidP="001B3DA2">
      <w:pPr>
        <w:pStyle w:val="EndNoteBibliography"/>
      </w:pPr>
      <w:bookmarkStart w:id="679" w:name="_ENREF_105"/>
      <w:r w:rsidRPr="00EC2769">
        <w:t>105.</w:t>
      </w:r>
      <w:r w:rsidRPr="00EC2769">
        <w:tab/>
        <w:t xml:space="preserve">Heikkinen T, Ruuskanen O. Upper Respiratory Tract Infection. In: Laurent GJ, Shapiro SD, editors. </w:t>
      </w:r>
      <w:r w:rsidRPr="00EC2769">
        <w:rPr>
          <w:i/>
        </w:rPr>
        <w:t>Encyclopedia of Respiratory Medicine</w:t>
      </w:r>
      <w:r w:rsidRPr="00EC2769">
        <w:t>. Oxford: Academic Press; 2006. p. 385-8.</w:t>
      </w:r>
      <w:bookmarkEnd w:id="679"/>
    </w:p>
    <w:p w14:paraId="5FB399ED" w14:textId="77777777" w:rsidR="00EC2769" w:rsidRPr="00EC2769" w:rsidRDefault="00EC2769" w:rsidP="001B3DA2">
      <w:pPr>
        <w:pStyle w:val="EndNoteBibliography"/>
      </w:pPr>
      <w:bookmarkStart w:id="680" w:name="_ENREF_106"/>
      <w:r w:rsidRPr="00EC2769">
        <w:t>106.</w:t>
      </w:r>
      <w:r w:rsidRPr="00EC2769">
        <w:tab/>
        <w:t xml:space="preserve">Firth PG, Haver KE. CHAPTER 11 - Essentials of Pulmonology. In: Coté CJ, Lerman J, Todres ID, editors. </w:t>
      </w:r>
      <w:r w:rsidRPr="00EC2769">
        <w:rPr>
          <w:i/>
        </w:rPr>
        <w:t>A Practice of Anesthesia for Infants and Children (Fourth Edition)</w:t>
      </w:r>
      <w:r w:rsidRPr="00EC2769">
        <w:t>. Philadelphia: W.B. Saunders; 2009. p. 221-36.</w:t>
      </w:r>
      <w:bookmarkEnd w:id="680"/>
    </w:p>
    <w:p w14:paraId="101509FF" w14:textId="77777777" w:rsidR="00EC2769" w:rsidRPr="00EC2769" w:rsidRDefault="00EC2769" w:rsidP="001B3DA2">
      <w:pPr>
        <w:pStyle w:val="EndNoteBibliography"/>
      </w:pPr>
      <w:bookmarkStart w:id="681" w:name="_ENREF_107"/>
      <w:r w:rsidRPr="00EC2769">
        <w:t>107.</w:t>
      </w:r>
      <w:r w:rsidRPr="00EC2769">
        <w:tab/>
        <w:t xml:space="preserve">Trivedi PM, Glass N. 45 - Respiratory Disorders. In: Davis PJ, Cladis FP, editors. </w:t>
      </w:r>
      <w:r w:rsidRPr="00EC2769">
        <w:rPr>
          <w:i/>
        </w:rPr>
        <w:t>Smith's Anesthesia for Infants and Children (Ninth Edition)</w:t>
      </w:r>
      <w:r w:rsidRPr="00EC2769">
        <w:t>. Philadelphia: Elsevier; 2017. p. 1115-30.e5.</w:t>
      </w:r>
      <w:bookmarkEnd w:id="681"/>
    </w:p>
    <w:p w14:paraId="28C70D3D" w14:textId="77777777" w:rsidR="00EC2769" w:rsidRPr="00EC2769" w:rsidRDefault="00EC2769" w:rsidP="001B3DA2">
      <w:pPr>
        <w:pStyle w:val="EndNoteBibliography"/>
      </w:pPr>
      <w:bookmarkStart w:id="682" w:name="_ENREF_108"/>
      <w:r w:rsidRPr="00EC2769">
        <w:t>108.</w:t>
      </w:r>
      <w:r w:rsidRPr="00EC2769">
        <w:tab/>
        <w:t>King D. Viral infections and persistent cough: Evidence for treatment options.</w:t>
      </w:r>
      <w:r w:rsidRPr="00EC2769">
        <w:rPr>
          <w:i/>
        </w:rPr>
        <w:t xml:space="preserve"> Aust J Gen Pract</w:t>
      </w:r>
      <w:r w:rsidRPr="00EC2769">
        <w:t>. 2022;51(12):924-7. 10.31128/AJGP-05-22-6446</w:t>
      </w:r>
      <w:bookmarkEnd w:id="682"/>
    </w:p>
    <w:p w14:paraId="7B499EDE" w14:textId="77777777" w:rsidR="00EC2769" w:rsidRPr="00EC2769" w:rsidRDefault="00EC2769" w:rsidP="001B3DA2">
      <w:pPr>
        <w:pStyle w:val="EndNoteBibliography"/>
      </w:pPr>
      <w:bookmarkStart w:id="683" w:name="_ENREF_109"/>
      <w:r w:rsidRPr="00EC2769">
        <w:t>109.</w:t>
      </w:r>
      <w:r w:rsidRPr="00EC2769">
        <w:tab/>
        <w:t>Hawke K, King D, van Driel ML, McGuire TM. Homeopathic medicinal products for preventing and treating acute respiratory tract infections in children.</w:t>
      </w:r>
      <w:r w:rsidRPr="00EC2769">
        <w:rPr>
          <w:i/>
        </w:rPr>
        <w:t xml:space="preserve"> Cochrane Database Syst Rev</w:t>
      </w:r>
      <w:r w:rsidRPr="00EC2769">
        <w:t>. 2022;12(12):CD005974. 10.1002/14651858.CD005974.pub6</w:t>
      </w:r>
      <w:bookmarkEnd w:id="683"/>
    </w:p>
    <w:p w14:paraId="7B92ED6A" w14:textId="77777777" w:rsidR="00EC2769" w:rsidRPr="00EC2769" w:rsidRDefault="00EC2769" w:rsidP="001B3DA2">
      <w:pPr>
        <w:pStyle w:val="EndNoteBibliography"/>
      </w:pPr>
      <w:bookmarkStart w:id="684" w:name="_ENREF_110"/>
      <w:r w:rsidRPr="00EC2769">
        <w:t>110.</w:t>
      </w:r>
      <w:r w:rsidRPr="00EC2769">
        <w:tab/>
        <w:t>De Lange De Klerk ES, Blommers J, Kuik DJ, Feenstra L, Bezemer PD. Effects of individually chosen homeopathic medicines on recurrent URTI in children. A clinical trial - I study methodology.</w:t>
      </w:r>
      <w:r w:rsidRPr="00EC2769">
        <w:rPr>
          <w:i/>
        </w:rPr>
        <w:t xml:space="preserve"> British homoeopathic journal</w:t>
      </w:r>
      <w:r w:rsidRPr="00EC2769">
        <w:t xml:space="preserve">. 1996(85):4‐14. </w:t>
      </w:r>
      <w:bookmarkEnd w:id="684"/>
    </w:p>
    <w:p w14:paraId="0FEC0DDA" w14:textId="77777777" w:rsidR="00EC2769" w:rsidRPr="00EC2769" w:rsidRDefault="00EC2769" w:rsidP="001B3DA2">
      <w:pPr>
        <w:pStyle w:val="EndNoteBibliography"/>
      </w:pPr>
      <w:bookmarkStart w:id="685" w:name="_ENREF_111"/>
      <w:r w:rsidRPr="00EC2769">
        <w:t>111.</w:t>
      </w:r>
      <w:r w:rsidRPr="00EC2769">
        <w:tab/>
        <w:t>de Lange de Klerk ESM. Effects of homeopathic medicines on children with recurrent upper respiratory tract infections.</w:t>
      </w:r>
      <w:r w:rsidRPr="00EC2769">
        <w:rPr>
          <w:i/>
        </w:rPr>
        <w:t xml:space="preserve"> HomInt R&amp;D Newsletter</w:t>
      </w:r>
      <w:r w:rsidRPr="00EC2769">
        <w:t xml:space="preserve">. 1993. </w:t>
      </w:r>
      <w:bookmarkEnd w:id="685"/>
    </w:p>
    <w:p w14:paraId="2450EAA3" w14:textId="77777777" w:rsidR="00EC2769" w:rsidRPr="00EC2769" w:rsidRDefault="00EC2769" w:rsidP="001B3DA2">
      <w:pPr>
        <w:pStyle w:val="EndNoteBibliography"/>
      </w:pPr>
      <w:bookmarkStart w:id="686" w:name="_ENREF_112"/>
      <w:r w:rsidRPr="00EC2769">
        <w:t>112.</w:t>
      </w:r>
      <w:r w:rsidRPr="00EC2769">
        <w:tab/>
        <w:t>De Lange de Klerk ESM, Blommers J, Kruik DJ, Bezemer PD, Feenstra L. Effect of homoeopathic: Medicines on daily burden of symptoms in children with recurrent upper respiratory tract infections.</w:t>
      </w:r>
      <w:r w:rsidRPr="00EC2769">
        <w:rPr>
          <w:i/>
        </w:rPr>
        <w:t xml:space="preserve"> British Medical Journal</w:t>
      </w:r>
      <w:r w:rsidRPr="00EC2769">
        <w:t xml:space="preserve">. 1994;309(6965):1329-32. </w:t>
      </w:r>
      <w:bookmarkEnd w:id="686"/>
    </w:p>
    <w:p w14:paraId="3BB693D9" w14:textId="77777777" w:rsidR="00EC2769" w:rsidRPr="00EC2769" w:rsidRDefault="00EC2769" w:rsidP="001B3DA2">
      <w:pPr>
        <w:pStyle w:val="EndNoteBibliography"/>
      </w:pPr>
      <w:bookmarkStart w:id="687" w:name="_ENREF_113"/>
      <w:r w:rsidRPr="00EC2769">
        <w:t>113.</w:t>
      </w:r>
      <w:r w:rsidRPr="00EC2769">
        <w:tab/>
        <w:t>Furuta SE, Weckx LLM, Figueiredo CR. Randomized, double-blind trial on the efficacy of homeopathic treatment in children with recurrent tonsillitis.</w:t>
      </w:r>
      <w:r w:rsidRPr="00EC2769">
        <w:rPr>
          <w:i/>
        </w:rPr>
        <w:t xml:space="preserve"> Rev homeopatia (Sao Paulo)</w:t>
      </w:r>
      <w:r w:rsidRPr="00EC2769">
        <w:t xml:space="preserve">. 2017;80(3/4):136-41. </w:t>
      </w:r>
      <w:bookmarkEnd w:id="687"/>
    </w:p>
    <w:p w14:paraId="4336B574" w14:textId="107F12EF" w:rsidR="00EC2769" w:rsidRPr="00EC2769" w:rsidRDefault="00EC2769" w:rsidP="001B3DA2">
      <w:pPr>
        <w:pStyle w:val="EndNoteBibliography"/>
      </w:pPr>
      <w:bookmarkStart w:id="688" w:name="_ENREF_114"/>
      <w:r w:rsidRPr="00EC2769">
        <w:lastRenderedPageBreak/>
        <w:t>114.</w:t>
      </w:r>
      <w:r w:rsidRPr="00EC2769">
        <w:tab/>
        <w:t>Palm J, Kishchuk VV, Ulied A, Fernandez JP, De Jaegere S, Jong MC, et al. Effectiveness of an add-on treatment with the homeopathic medication SilAtro-5-90 in recurrent tonsillitis: An international, pragmatic, randomized, controlled clinical trial.</w:t>
      </w:r>
      <w:r w:rsidRPr="00EC2769">
        <w:rPr>
          <w:i/>
        </w:rPr>
        <w:t xml:space="preserve"> Complementary Therapies in Clinical Practice</w:t>
      </w:r>
      <w:r w:rsidRPr="00EC2769">
        <w:t xml:space="preserve">. 2017;28:181-91. </w:t>
      </w:r>
      <w:hyperlink r:id="rId166" w:history="1">
        <w:r w:rsidRPr="00EC2769">
          <w:rPr>
            <w:rStyle w:val="Hyperlink"/>
            <w:rFonts w:cs="Calibri"/>
          </w:rPr>
          <w:t>https://dx.doi.org/10.1016/j.ctcp.2017.05.005</w:t>
        </w:r>
        <w:bookmarkEnd w:id="688"/>
      </w:hyperlink>
    </w:p>
    <w:p w14:paraId="7A49E361" w14:textId="77777777" w:rsidR="00EC2769" w:rsidRPr="00EC2769" w:rsidRDefault="00EC2769" w:rsidP="001B3DA2">
      <w:pPr>
        <w:pStyle w:val="EndNoteBibliography"/>
      </w:pPr>
      <w:bookmarkStart w:id="689" w:name="_ENREF_115"/>
      <w:r w:rsidRPr="00EC2769">
        <w:t>115.</w:t>
      </w:r>
      <w:r w:rsidRPr="00EC2769">
        <w:tab/>
        <w:t>Steinsbekk A, Bentzen N, Fonnebo V, Lewith G. Self treatment with one of three self selected, ultramolecular homeopathic medicines for the prevention of upper respiratory tract infections in children. A double-blind randomized placebo controlled trial.</w:t>
      </w:r>
      <w:r w:rsidRPr="00EC2769">
        <w:rPr>
          <w:i/>
        </w:rPr>
        <w:t xml:space="preserve"> Br J Clin Pharmacol</w:t>
      </w:r>
      <w:r w:rsidRPr="00EC2769">
        <w:t>. 2005;59(4):447-55. 10.1111/j.1365-2125.2005.02336.x</w:t>
      </w:r>
      <w:bookmarkEnd w:id="689"/>
    </w:p>
    <w:p w14:paraId="63ACFDCC" w14:textId="77777777" w:rsidR="00EC2769" w:rsidRPr="00EC2769" w:rsidRDefault="00EC2769" w:rsidP="001B3DA2">
      <w:pPr>
        <w:pStyle w:val="EndNoteBibliography"/>
      </w:pPr>
      <w:bookmarkStart w:id="690" w:name="_ENREF_116"/>
      <w:r w:rsidRPr="00EC2769">
        <w:t>116.</w:t>
      </w:r>
      <w:r w:rsidRPr="00EC2769">
        <w:tab/>
        <w:t>Steinsbekk A, Bentzen N, Fonnebo V, Lewith GT. Randomized controlled trials on treatment by homeopaths and self-treatment with homeopathic medicines: design and protocol.</w:t>
      </w:r>
      <w:r w:rsidRPr="00EC2769">
        <w:rPr>
          <w:i/>
        </w:rPr>
        <w:t xml:space="preserve"> J Altern Complement Med</w:t>
      </w:r>
      <w:r w:rsidRPr="00EC2769">
        <w:t>. 2004;10(6):1027-32. 10.1089/acm.2004.10.1027</w:t>
      </w:r>
      <w:bookmarkEnd w:id="690"/>
    </w:p>
    <w:p w14:paraId="73C7E335" w14:textId="77777777" w:rsidR="00EC2769" w:rsidRPr="00EC2769" w:rsidRDefault="00EC2769" w:rsidP="001B3DA2">
      <w:pPr>
        <w:pStyle w:val="EndNoteBibliography"/>
      </w:pPr>
      <w:bookmarkStart w:id="691" w:name="_ENREF_117"/>
      <w:r w:rsidRPr="00EC2769">
        <w:t>117.</w:t>
      </w:r>
      <w:r w:rsidRPr="00EC2769">
        <w:tab/>
        <w:t>Steinsbekk A, Fonnebo V, Lewith G, Bentzen N. Homeopathic care for the prevention of upper respiratory tract infections in children: a pragmatic, randomised, controlled trial comparing individualised homeopathic care and waiting-list controls.</w:t>
      </w:r>
      <w:r w:rsidRPr="00EC2769">
        <w:rPr>
          <w:i/>
        </w:rPr>
        <w:t xml:space="preserve"> Complement Ther Med</w:t>
      </w:r>
      <w:r w:rsidRPr="00EC2769">
        <w:t>. 2005;13(4):231-8. 10.1016/j.ctim.2005.06.007</w:t>
      </w:r>
      <w:bookmarkEnd w:id="691"/>
    </w:p>
    <w:p w14:paraId="379DC9F5" w14:textId="77777777" w:rsidR="00EC2769" w:rsidRPr="00EC2769" w:rsidRDefault="00EC2769" w:rsidP="001B3DA2">
      <w:pPr>
        <w:pStyle w:val="EndNoteBibliography"/>
      </w:pPr>
      <w:bookmarkStart w:id="692" w:name="_ENREF_118"/>
      <w:r w:rsidRPr="00EC2769">
        <w:t>118.</w:t>
      </w:r>
      <w:r w:rsidRPr="00EC2769">
        <w:tab/>
        <w:t>Steinsbekk A, Lewith G, Fonnebo V, Bentzen N. An exploratory study of the contextual effect of homeopathic care. A randomised controlled trial of homeopathic care vs. self-prescribed homeopathic medicine in the prevention of upper respiratory tract infections in children.</w:t>
      </w:r>
      <w:r w:rsidRPr="00EC2769">
        <w:rPr>
          <w:i/>
        </w:rPr>
        <w:t xml:space="preserve"> Prev Med</w:t>
      </w:r>
      <w:r w:rsidRPr="00EC2769">
        <w:t>. 2007;45(4):274-9; discussion 80-1. 10.1016/j.ypmed.2007.02.004</w:t>
      </w:r>
      <w:bookmarkEnd w:id="692"/>
    </w:p>
    <w:p w14:paraId="0B4C18E0" w14:textId="77777777" w:rsidR="00EC2769" w:rsidRPr="00EC2769" w:rsidRDefault="00EC2769" w:rsidP="001B3DA2">
      <w:pPr>
        <w:pStyle w:val="EndNoteBibliography"/>
      </w:pPr>
      <w:bookmarkStart w:id="693" w:name="_ENREF_119"/>
      <w:r w:rsidRPr="00EC2769">
        <w:t>119.</w:t>
      </w:r>
      <w:r w:rsidRPr="00EC2769">
        <w:tab/>
        <w:t>Al-Badr A, Al-Shaikh G. Recurrent Urinary Tract Infections Management in Women: A review.</w:t>
      </w:r>
      <w:r w:rsidRPr="00EC2769">
        <w:rPr>
          <w:i/>
        </w:rPr>
        <w:t xml:space="preserve"> Sultan Qaboos Univ Med J</w:t>
      </w:r>
      <w:r w:rsidRPr="00EC2769">
        <w:t>. 2013;13(3):359-67. 10.12816/0003256</w:t>
      </w:r>
      <w:bookmarkEnd w:id="693"/>
    </w:p>
    <w:p w14:paraId="66123DE9" w14:textId="5FF26211" w:rsidR="00EC2769" w:rsidRPr="00EC2769" w:rsidRDefault="00EC2769" w:rsidP="001B3DA2">
      <w:pPr>
        <w:pStyle w:val="EndNoteBibliography"/>
      </w:pPr>
      <w:bookmarkStart w:id="694" w:name="_ENREF_120"/>
      <w:r w:rsidRPr="00EC2769">
        <w:t>120.</w:t>
      </w:r>
      <w:r w:rsidRPr="00EC2769">
        <w:tab/>
        <w:t xml:space="preserve">Jeanmonod R, Jeanmonod D. StatPearls. Vaginal candidiasis 2023 [cited 2023 18 September]. Available from: </w:t>
      </w:r>
      <w:hyperlink r:id="rId167" w:history="1">
        <w:r w:rsidRPr="00EC2769">
          <w:rPr>
            <w:rStyle w:val="Hyperlink"/>
            <w:rFonts w:cs="Calibri"/>
          </w:rPr>
          <w:t>https://www.ncbi.nlm.nih.gov/books/NBK459317/</w:t>
        </w:r>
      </w:hyperlink>
      <w:r w:rsidRPr="00EC2769">
        <w:t>.</w:t>
      </w:r>
      <w:bookmarkEnd w:id="694"/>
    </w:p>
    <w:p w14:paraId="192E9AD6" w14:textId="77777777" w:rsidR="00EC2769" w:rsidRPr="00EC2769" w:rsidRDefault="00EC2769" w:rsidP="001B3DA2">
      <w:pPr>
        <w:pStyle w:val="EndNoteBibliography"/>
      </w:pPr>
      <w:bookmarkStart w:id="695" w:name="_ENREF_121"/>
      <w:r w:rsidRPr="00EC2769">
        <w:t>121.</w:t>
      </w:r>
      <w:r w:rsidRPr="00EC2769">
        <w:tab/>
        <w:t>Witt A, Kaufmann U, Bitschnau M, Tempfer C, Ozbal A, Haytouglu E, et al. Monthly itraconazole versus classic homeopathy for the treatment of recurrent vulvovaginal candidiasis: a randomised trial.</w:t>
      </w:r>
      <w:r w:rsidRPr="00EC2769">
        <w:rPr>
          <w:i/>
        </w:rPr>
        <w:t xml:space="preserve"> BJOG</w:t>
      </w:r>
      <w:r w:rsidRPr="00EC2769">
        <w:t>. 2009;116(11):1499-505. 10.1111/j.1471-0528.2009.02262.x</w:t>
      </w:r>
      <w:bookmarkEnd w:id="695"/>
    </w:p>
    <w:p w14:paraId="0B6B14C5" w14:textId="77777777" w:rsidR="00EC2769" w:rsidRPr="00EC2769" w:rsidRDefault="00EC2769" w:rsidP="001B3DA2">
      <w:pPr>
        <w:pStyle w:val="EndNoteBibliography"/>
      </w:pPr>
      <w:bookmarkStart w:id="696" w:name="_ENREF_122"/>
      <w:r w:rsidRPr="00EC2769">
        <w:t>122.</w:t>
      </w:r>
      <w:r w:rsidRPr="00EC2769">
        <w:tab/>
        <w:t>Pannek J, Pannek-Rademacher S, Jus MS, Wollner J, Krebs J. Usefulness of classical homeopathy for the prophylaxis of recurrent urinary tract infections in individuals with chronic neurogenic lower urinary tract dysfunction.</w:t>
      </w:r>
      <w:r w:rsidRPr="00EC2769">
        <w:rPr>
          <w:i/>
        </w:rPr>
        <w:t xml:space="preserve"> J Spinal Cord Med</w:t>
      </w:r>
      <w:r w:rsidRPr="00EC2769">
        <w:t>. 2019;42(4):453-9. 10.1080/10790268.2018.1440692</w:t>
      </w:r>
      <w:bookmarkEnd w:id="696"/>
    </w:p>
    <w:p w14:paraId="319D3F0B" w14:textId="2215C13A" w:rsidR="00EC2769" w:rsidRPr="00EC2769" w:rsidRDefault="00EC2769" w:rsidP="001B3DA2">
      <w:pPr>
        <w:pStyle w:val="EndNoteBibliography"/>
      </w:pPr>
      <w:bookmarkStart w:id="697" w:name="_ENREF_123"/>
      <w:r w:rsidRPr="00EC2769">
        <w:t>123.</w:t>
      </w:r>
      <w:r w:rsidRPr="00EC2769">
        <w:tab/>
        <w:t xml:space="preserve">Beyond Blue. Anxiety n.d. [30 July 2021]. Available from: </w:t>
      </w:r>
      <w:hyperlink r:id="rId168" w:history="1">
        <w:r w:rsidRPr="00EC2769">
          <w:rPr>
            <w:rStyle w:val="Hyperlink"/>
            <w:rFonts w:cs="Calibri"/>
          </w:rPr>
          <w:t>https://www.beyondblue.org.au/the-facts/anxiety</w:t>
        </w:r>
      </w:hyperlink>
      <w:r w:rsidRPr="00EC2769">
        <w:t>.</w:t>
      </w:r>
      <w:bookmarkEnd w:id="697"/>
    </w:p>
    <w:p w14:paraId="01CC8D9F" w14:textId="71649D1D" w:rsidR="00EC2769" w:rsidRPr="00EC2769" w:rsidRDefault="00EC2769" w:rsidP="001B3DA2">
      <w:pPr>
        <w:pStyle w:val="EndNoteBibliography"/>
      </w:pPr>
      <w:bookmarkStart w:id="698" w:name="_ENREF_124"/>
      <w:r w:rsidRPr="00EC2769">
        <w:t>124.</w:t>
      </w:r>
      <w:r w:rsidRPr="00EC2769">
        <w:tab/>
        <w:t xml:space="preserve">Australian Institute of Health and Welfare. Australian Burden of Disease Study: impact and causes of illness and death in Australia 2015. 2019. [Accessed; (19: BOD 22). Available from: </w:t>
      </w:r>
      <w:hyperlink r:id="rId169" w:history="1">
        <w:r w:rsidRPr="00EC2769">
          <w:rPr>
            <w:rStyle w:val="Hyperlink"/>
            <w:rFonts w:cs="Calibri"/>
          </w:rPr>
          <w:t>https://www.aihw.gov.au/reports/burden-of-disease/burden-disease-study-illness-death-2015</w:t>
        </w:r>
      </w:hyperlink>
      <w:r w:rsidRPr="00EC2769">
        <w:t>.</w:t>
      </w:r>
      <w:bookmarkEnd w:id="698"/>
    </w:p>
    <w:p w14:paraId="1BA48B52" w14:textId="77777777" w:rsidR="00EC2769" w:rsidRPr="00EC2769" w:rsidRDefault="00EC2769" w:rsidP="001B3DA2">
      <w:pPr>
        <w:pStyle w:val="EndNoteBibliography"/>
      </w:pPr>
      <w:bookmarkStart w:id="699" w:name="_ENREF_125"/>
      <w:r w:rsidRPr="00EC2769">
        <w:t>125.</w:t>
      </w:r>
      <w:r w:rsidRPr="00EC2769">
        <w:tab/>
        <w:t>Konnopka A, König H. Economic Burden of Anxiety Disorders: A Systematic Review and Meta-Analysis.</w:t>
      </w:r>
      <w:r w:rsidRPr="00EC2769">
        <w:rPr>
          <w:i/>
        </w:rPr>
        <w:t xml:space="preserve"> PharmacoEconomics</w:t>
      </w:r>
      <w:r w:rsidRPr="00EC2769">
        <w:t>. 2020;38(1):25-37. 10.1007/s40273-019-00849-7</w:t>
      </w:r>
      <w:bookmarkEnd w:id="699"/>
    </w:p>
    <w:p w14:paraId="65029931" w14:textId="77777777" w:rsidR="00EC2769" w:rsidRPr="00EC2769" w:rsidRDefault="00EC2769" w:rsidP="001B3DA2">
      <w:pPr>
        <w:pStyle w:val="EndNoteBibliography"/>
      </w:pPr>
      <w:bookmarkStart w:id="700" w:name="_ENREF_126"/>
      <w:r w:rsidRPr="00EC2769">
        <w:t>126.</w:t>
      </w:r>
      <w:r w:rsidRPr="00EC2769">
        <w:tab/>
        <w:t>Kessler RC, McGonagle KA, Zhao S, Nelson CB, Hughes M, Eshleman S, et al. Lifetime and 12-Month Prevalence of DSM-III-R Psychiatric Disorders in the United States: Results From the National Comorbidity Survey.</w:t>
      </w:r>
      <w:r w:rsidRPr="00EC2769">
        <w:rPr>
          <w:i/>
        </w:rPr>
        <w:t xml:space="preserve"> Archives of General Psychiatry</w:t>
      </w:r>
      <w:r w:rsidRPr="00EC2769">
        <w:t>. 1994;51(1):8-19. 10.1001/archpsyc.1994.03950010008002</w:t>
      </w:r>
      <w:bookmarkEnd w:id="700"/>
    </w:p>
    <w:p w14:paraId="7CFF1537" w14:textId="749136DF" w:rsidR="00EC2769" w:rsidRPr="00EC2769" w:rsidRDefault="00EC2769" w:rsidP="001B3DA2">
      <w:pPr>
        <w:pStyle w:val="EndNoteBibliography"/>
      </w:pPr>
      <w:bookmarkStart w:id="701" w:name="_ENREF_127"/>
      <w:r w:rsidRPr="00EC2769">
        <w:t>127.</w:t>
      </w:r>
      <w:r w:rsidRPr="00EC2769">
        <w:tab/>
        <w:t xml:space="preserve">A guide to what works for anxiety: 3rd Edition: Beyond Blue, Melbourne; 2019 [cited 2019]. Available from: </w:t>
      </w:r>
      <w:hyperlink r:id="rId170" w:history="1">
        <w:r w:rsidRPr="00EC2769">
          <w:rPr>
            <w:rStyle w:val="Hyperlink"/>
            <w:rFonts w:cs="Calibri"/>
          </w:rPr>
          <w:t>https://www.beyondblue.org.au/docs/default-source/resources/484150_0220_bl0762_acc.pdf</w:t>
        </w:r>
      </w:hyperlink>
      <w:r w:rsidRPr="00EC2769">
        <w:t>.</w:t>
      </w:r>
      <w:bookmarkEnd w:id="701"/>
    </w:p>
    <w:p w14:paraId="5688B288" w14:textId="63B83485" w:rsidR="00EC2769" w:rsidRPr="00EC2769" w:rsidRDefault="00EC2769" w:rsidP="001B3DA2">
      <w:pPr>
        <w:pStyle w:val="EndNoteBibliography"/>
      </w:pPr>
      <w:bookmarkStart w:id="702" w:name="_ENREF_128"/>
      <w:r w:rsidRPr="00EC2769">
        <w:t>128.</w:t>
      </w:r>
      <w:r w:rsidRPr="00EC2769">
        <w:tab/>
        <w:t>Bonne O, Shemer Y, Gorali Y, Katz M, Shalev AY. A randomized, double-blind, placebo-controlled study of classical homeopathy in generalized anxiety disorder.</w:t>
      </w:r>
      <w:r w:rsidRPr="00EC2769">
        <w:rPr>
          <w:i/>
        </w:rPr>
        <w:t xml:space="preserve"> Journal of Clinical Psychiatry</w:t>
      </w:r>
      <w:r w:rsidRPr="00EC2769">
        <w:t xml:space="preserve">. 2003;64(3):282-7. </w:t>
      </w:r>
      <w:hyperlink r:id="rId171" w:history="1">
        <w:r w:rsidRPr="00EC2769">
          <w:rPr>
            <w:rStyle w:val="Hyperlink"/>
            <w:rFonts w:cs="Calibri"/>
          </w:rPr>
          <w:t>http://dx.doi.org/10.4088/JCP.v64n0309</w:t>
        </w:r>
        <w:bookmarkEnd w:id="702"/>
      </w:hyperlink>
    </w:p>
    <w:p w14:paraId="3A8D5B20" w14:textId="6EC0C8E1" w:rsidR="00EC2769" w:rsidRPr="00EC2769" w:rsidRDefault="00EC2769" w:rsidP="001B3DA2">
      <w:pPr>
        <w:pStyle w:val="EndNoteBibliography"/>
      </w:pPr>
      <w:bookmarkStart w:id="703" w:name="_ENREF_129"/>
      <w:r w:rsidRPr="00EC2769">
        <w:t>129.</w:t>
      </w:r>
      <w:r w:rsidRPr="00EC2769">
        <w:tab/>
        <w:t>Baker DG, Myers SP, Howden I, Brooks L. The effects of homeopathic Argentum nitricum on test anxiety.</w:t>
      </w:r>
      <w:r w:rsidRPr="00EC2769">
        <w:rPr>
          <w:i/>
        </w:rPr>
        <w:t xml:space="preserve"> Complementary Therapies in Medicine</w:t>
      </w:r>
      <w:r w:rsidRPr="00EC2769">
        <w:t xml:space="preserve">. 2003;11(2):65-71. </w:t>
      </w:r>
      <w:hyperlink r:id="rId172" w:history="1">
        <w:r w:rsidRPr="00EC2769">
          <w:rPr>
            <w:rStyle w:val="Hyperlink"/>
            <w:rFonts w:cs="Calibri"/>
          </w:rPr>
          <w:t>https://dx.doi.org/10.1016/S0965-2299%2803%2900059-1</w:t>
        </w:r>
        <w:bookmarkEnd w:id="703"/>
      </w:hyperlink>
    </w:p>
    <w:p w14:paraId="4ECAB427" w14:textId="77777777" w:rsidR="00EC2769" w:rsidRPr="00EC2769" w:rsidRDefault="00EC2769" w:rsidP="001B3DA2">
      <w:pPr>
        <w:pStyle w:val="EndNoteBibliography"/>
      </w:pPr>
      <w:bookmarkStart w:id="704" w:name="_ENREF_130"/>
      <w:r w:rsidRPr="00EC2769">
        <w:t>130.</w:t>
      </w:r>
      <w:r w:rsidRPr="00EC2769">
        <w:tab/>
        <w:t>Parewa M, Burman AS, Brahma A, Rutten L, Sadhukhan S, Misra P, et al. Individualized Homeopathic Medicines in the Treatment of Generalized Anxiety Disorder: A Double-Blind, Randomized, Placebo-Controlled, Pilot Trial.</w:t>
      </w:r>
      <w:r w:rsidRPr="00EC2769">
        <w:rPr>
          <w:i/>
        </w:rPr>
        <w:t xml:space="preserve"> Complement Med Res</w:t>
      </w:r>
      <w:r w:rsidRPr="00EC2769">
        <w:t>. 2021;28(5):407-18. 10.1159/000514524</w:t>
      </w:r>
      <w:bookmarkEnd w:id="704"/>
    </w:p>
    <w:p w14:paraId="09A50181" w14:textId="67592056" w:rsidR="00EC2769" w:rsidRPr="00EC2769" w:rsidRDefault="00EC2769" w:rsidP="001B3DA2">
      <w:pPr>
        <w:pStyle w:val="EndNoteBibliography"/>
      </w:pPr>
      <w:bookmarkStart w:id="705" w:name="_ENREF_131"/>
      <w:r w:rsidRPr="00EC2769">
        <w:t>131.</w:t>
      </w:r>
      <w:r w:rsidRPr="00EC2769">
        <w:tab/>
        <w:t>Nct. Reducing Children's Anxiety Using Homeopathic Remedy Before Dental Treatment.</w:t>
      </w:r>
      <w:r w:rsidRPr="00EC2769">
        <w:rPr>
          <w:i/>
        </w:rPr>
        <w:t xml:space="preserve"> </w:t>
      </w:r>
      <w:hyperlink r:id="rId173" w:history="1">
        <w:r w:rsidRPr="00EC2769">
          <w:rPr>
            <w:rStyle w:val="Hyperlink"/>
            <w:rFonts w:cs="Calibri"/>
            <w:i/>
          </w:rPr>
          <w:t>https://clinicaltrialsgov/show/NCT01658059</w:t>
        </w:r>
      </w:hyperlink>
      <w:r w:rsidRPr="00EC2769">
        <w:t xml:space="preserve">. 2012. </w:t>
      </w:r>
      <w:bookmarkEnd w:id="705"/>
    </w:p>
    <w:p w14:paraId="62E22965" w14:textId="77777777" w:rsidR="00EC2769" w:rsidRPr="00EC2769" w:rsidRDefault="00EC2769" w:rsidP="001B3DA2">
      <w:pPr>
        <w:pStyle w:val="EndNoteBibliography"/>
      </w:pPr>
      <w:bookmarkStart w:id="706" w:name="_ENREF_132"/>
      <w:r w:rsidRPr="00EC2769">
        <w:lastRenderedPageBreak/>
        <w:t>132.</w:t>
      </w:r>
      <w:r w:rsidRPr="00EC2769">
        <w:tab/>
        <w:t xml:space="preserve">Dimpfel. Psychophysiological Effectiveness of Calmvalera Hevert Tablets as Measured by EnkephaloVision in Anxious Subjects during Audio-Visual Cognitive and Emotional Challenges: A Double-Blind, Randomized, Placebo-Controlled, 2-Armed, Phase IV Study in Parallel Design. 2016. </w:t>
      </w:r>
      <w:bookmarkEnd w:id="706"/>
    </w:p>
    <w:p w14:paraId="507F1993" w14:textId="197324E3" w:rsidR="00EC2769" w:rsidRPr="00EC2769" w:rsidRDefault="00EC2769" w:rsidP="001B3DA2">
      <w:pPr>
        <w:pStyle w:val="EndNoteBibliography"/>
      </w:pPr>
      <w:bookmarkStart w:id="707" w:name="_ENREF_133"/>
      <w:r w:rsidRPr="00EC2769">
        <w:t>133.</w:t>
      </w:r>
      <w:r w:rsidRPr="00EC2769">
        <w:tab/>
        <w:t xml:space="preserve">Australian Institute of Health and Welfare. Australia's Health 2014. 2014. [Accessed. Available from: </w:t>
      </w:r>
      <w:hyperlink r:id="rId174" w:history="1">
        <w:r w:rsidRPr="00EC2769">
          <w:rPr>
            <w:rStyle w:val="Hyperlink"/>
            <w:rFonts w:cs="Calibri"/>
          </w:rPr>
          <w:t>https://www.aihw.gov.au/reports/australias-health/australias-health-2014/overview</w:t>
        </w:r>
      </w:hyperlink>
      <w:r w:rsidRPr="00EC2769">
        <w:t>.</w:t>
      </w:r>
      <w:bookmarkEnd w:id="707"/>
    </w:p>
    <w:p w14:paraId="1A9688F0" w14:textId="448ADFFF" w:rsidR="00EC2769" w:rsidRPr="00EC2769" w:rsidRDefault="00EC2769" w:rsidP="001B3DA2">
      <w:pPr>
        <w:pStyle w:val="EndNoteBibliography"/>
      </w:pPr>
      <w:bookmarkStart w:id="708" w:name="_ENREF_134"/>
      <w:r w:rsidRPr="00EC2769">
        <w:t>134.</w:t>
      </w:r>
      <w:r w:rsidRPr="00EC2769">
        <w:tab/>
        <w:t xml:space="preserve">Australian Bureau of Statistics. National Survey of Mental Health and Wellbeing: Summary of Results. 2008. [Accessed: 11/08/2023]; 2023. Available from: </w:t>
      </w:r>
      <w:hyperlink r:id="rId175" w:history="1">
        <w:r w:rsidRPr="00EC2769">
          <w:rPr>
            <w:rStyle w:val="Hyperlink"/>
            <w:rFonts w:cs="Calibri"/>
          </w:rPr>
          <w:t>https://www.abs.gov.au/statistics/health/mental-health/national-study-mental-health-and-wellbeing/2007</w:t>
        </w:r>
      </w:hyperlink>
      <w:r w:rsidRPr="00EC2769">
        <w:t>.</w:t>
      </w:r>
      <w:bookmarkEnd w:id="708"/>
    </w:p>
    <w:p w14:paraId="0AA52E30" w14:textId="4AB4F59C" w:rsidR="00EC2769" w:rsidRPr="00EC2769" w:rsidRDefault="00EC2769" w:rsidP="001B3DA2">
      <w:pPr>
        <w:pStyle w:val="EndNoteBibliography"/>
      </w:pPr>
      <w:bookmarkStart w:id="709" w:name="_ENREF_135"/>
      <w:r w:rsidRPr="00EC2769">
        <w:t>135.</w:t>
      </w:r>
      <w:r w:rsidRPr="00EC2769">
        <w:tab/>
        <w:t xml:space="preserve">World Health Organisation. Depressive disorder (depression) who.int: WHO; 2023 [Available from: </w:t>
      </w:r>
      <w:hyperlink r:id="rId176" w:history="1">
        <w:r w:rsidRPr="00EC2769">
          <w:rPr>
            <w:rStyle w:val="Hyperlink"/>
            <w:rFonts w:cs="Calibri"/>
          </w:rPr>
          <w:t>https://www.who.int/news-room/fact-sheets/detail/depression</w:t>
        </w:r>
      </w:hyperlink>
      <w:r w:rsidRPr="00EC2769">
        <w:t>.</w:t>
      </w:r>
      <w:bookmarkEnd w:id="709"/>
    </w:p>
    <w:p w14:paraId="4CA462B0" w14:textId="77777777" w:rsidR="00EC2769" w:rsidRPr="00EC2769" w:rsidRDefault="00EC2769" w:rsidP="001B3DA2">
      <w:pPr>
        <w:pStyle w:val="EndNoteBibliography"/>
      </w:pPr>
      <w:bookmarkStart w:id="710" w:name="_ENREF_136"/>
      <w:r w:rsidRPr="00EC2769">
        <w:t>136.</w:t>
      </w:r>
      <w:r w:rsidRPr="00EC2769">
        <w:tab/>
        <w:t>American Psychiatric Association. DMSIV-TR: Diagnostic and Statistical Manual of Mental Disorders. Arlingotn, Virginia American Psychiatric Association; 2000.</w:t>
      </w:r>
      <w:bookmarkEnd w:id="710"/>
    </w:p>
    <w:p w14:paraId="70B5FD32" w14:textId="77777777" w:rsidR="00EC2769" w:rsidRPr="00EC2769" w:rsidRDefault="00EC2769" w:rsidP="001B3DA2">
      <w:pPr>
        <w:pStyle w:val="EndNoteBibliography"/>
      </w:pPr>
      <w:bookmarkStart w:id="711" w:name="_ENREF_137"/>
      <w:r w:rsidRPr="00EC2769">
        <w:t>137.</w:t>
      </w:r>
      <w:r w:rsidRPr="00EC2769">
        <w:tab/>
        <w:t>Marcus M, Yasamy MT, Ommeren M, Chisholm D, Saxena S. Depression: A global public health concern.</w:t>
      </w:r>
      <w:r w:rsidRPr="00EC2769">
        <w:rPr>
          <w:i/>
        </w:rPr>
        <w:t xml:space="preserve"> World Health Organization Paper on Depression</w:t>
      </w:r>
      <w:r w:rsidRPr="00EC2769">
        <w:t xml:space="preserve">. 2012:6-8. </w:t>
      </w:r>
      <w:bookmarkEnd w:id="711"/>
    </w:p>
    <w:p w14:paraId="7989A622" w14:textId="66EE7ED3" w:rsidR="00EC2769" w:rsidRPr="00EC2769" w:rsidRDefault="00EC2769" w:rsidP="001B3DA2">
      <w:pPr>
        <w:pStyle w:val="EndNoteBibliography"/>
      </w:pPr>
      <w:bookmarkStart w:id="712" w:name="_ENREF_138"/>
      <w:r w:rsidRPr="00EC2769">
        <w:t>138.</w:t>
      </w:r>
      <w:r w:rsidRPr="00EC2769">
        <w:tab/>
        <w:t xml:space="preserve">Department of Health. What are the main types of depressive disorder? . 2007. [Accessed: 11/08/23]. Available from: </w:t>
      </w:r>
      <w:hyperlink r:id="rId177" w:history="1">
        <w:r w:rsidRPr="00EC2769">
          <w:rPr>
            <w:rStyle w:val="Hyperlink"/>
            <w:rFonts w:cs="Calibri"/>
          </w:rPr>
          <w:t>https://www1.health.gov.au/internet/main/publishing.nsf/content/404ref.htm</w:t>
        </w:r>
      </w:hyperlink>
      <w:r w:rsidRPr="00EC2769">
        <w:t>.</w:t>
      </w:r>
      <w:bookmarkEnd w:id="712"/>
    </w:p>
    <w:p w14:paraId="11EE9772" w14:textId="77777777" w:rsidR="00EC2769" w:rsidRPr="00EC2769" w:rsidRDefault="00EC2769" w:rsidP="001B3DA2">
      <w:pPr>
        <w:pStyle w:val="EndNoteBibliography"/>
      </w:pPr>
      <w:bookmarkStart w:id="713" w:name="_ENREF_139"/>
      <w:r w:rsidRPr="00EC2769">
        <w:t>139.</w:t>
      </w:r>
      <w:r w:rsidRPr="00EC2769">
        <w:tab/>
        <w:t>Bressington D, Mui J, Yu C, Leung SF, Cheung K, Wu CST, et al. Feasibility of a group-based laughter yoga intervention as an adjunctive treatment for residual symptoms of depression, anxiety and stress in people with depression.</w:t>
      </w:r>
      <w:r w:rsidRPr="00EC2769">
        <w:rPr>
          <w:i/>
        </w:rPr>
        <w:t xml:space="preserve"> J Affect Disord</w:t>
      </w:r>
      <w:r w:rsidRPr="00EC2769">
        <w:t>. 2019;248:42-51. 10.1016/j.jad.2019.01.030</w:t>
      </w:r>
      <w:bookmarkEnd w:id="713"/>
    </w:p>
    <w:p w14:paraId="626D5641" w14:textId="77777777" w:rsidR="00EC2769" w:rsidRPr="00EC2769" w:rsidRDefault="00EC2769" w:rsidP="001B3DA2">
      <w:pPr>
        <w:pStyle w:val="EndNoteBibliography"/>
      </w:pPr>
      <w:bookmarkStart w:id="714" w:name="_ENREF_140"/>
      <w:r w:rsidRPr="00EC2769">
        <w:t>140.</w:t>
      </w:r>
      <w:r w:rsidRPr="00EC2769">
        <w:tab/>
        <w:t>Adler UC, Kruger S, Teut M, Ludtke R, Bartsch I, Schutzler L, et al. Homeopathy for depression--DEP-HOM: study protocol for a randomized, partially double-blind, placebo controlled, four armed study.</w:t>
      </w:r>
      <w:r w:rsidRPr="00EC2769">
        <w:rPr>
          <w:i/>
        </w:rPr>
        <w:t xml:space="preserve"> Trials</w:t>
      </w:r>
      <w:r w:rsidRPr="00EC2769">
        <w:t>. 2011;12:43. 10.1186/1745-6215-12-43</w:t>
      </w:r>
      <w:bookmarkEnd w:id="714"/>
    </w:p>
    <w:p w14:paraId="4260FC08" w14:textId="77777777" w:rsidR="00EC2769" w:rsidRPr="00EC2769" w:rsidRDefault="00EC2769" w:rsidP="001B3DA2">
      <w:pPr>
        <w:pStyle w:val="EndNoteBibliography"/>
      </w:pPr>
      <w:bookmarkStart w:id="715" w:name="_ENREF_141"/>
      <w:r w:rsidRPr="00EC2769">
        <w:t>141.</w:t>
      </w:r>
      <w:r w:rsidRPr="00EC2769">
        <w:tab/>
        <w:t>Adler UC, Kruger S, Teut M, Ludtke R, Schutzler L, Martins F, et al. Homeopathy for depression: a randomized, partially double-blind, placebo-controlled, four-armed study (DEP-HOM).</w:t>
      </w:r>
      <w:r w:rsidRPr="00EC2769">
        <w:rPr>
          <w:i/>
        </w:rPr>
        <w:t xml:space="preserve"> PLoS One</w:t>
      </w:r>
      <w:r w:rsidRPr="00EC2769">
        <w:t>. 2013;8(9):e74537. 10.1371/journal.pone.0074537</w:t>
      </w:r>
      <w:bookmarkEnd w:id="715"/>
    </w:p>
    <w:p w14:paraId="5D81AA00" w14:textId="77777777" w:rsidR="00EC2769" w:rsidRPr="00EC2769" w:rsidRDefault="00EC2769" w:rsidP="001B3DA2">
      <w:pPr>
        <w:pStyle w:val="EndNoteBibliography"/>
      </w:pPr>
      <w:bookmarkStart w:id="716" w:name="_ENREF_142"/>
      <w:r w:rsidRPr="00EC2769">
        <w:t>142.</w:t>
      </w:r>
      <w:r w:rsidRPr="00EC2769">
        <w:tab/>
        <w:t>Adler UC, Paiva NM, Cesar AT, Adler MS, Molina A, Padula AE, et al. Homeopathic Individualized Q-potencies versus Fluoxetine for Moderate to Severe Depression: Double-blind, Randomized Non-inferiority Trial.</w:t>
      </w:r>
      <w:r w:rsidRPr="00EC2769">
        <w:rPr>
          <w:i/>
        </w:rPr>
        <w:t xml:space="preserve"> Evidence-based complementary and alternative medicine : eCAM</w:t>
      </w:r>
      <w:r w:rsidRPr="00EC2769">
        <w:t xml:space="preserve">. 2009(nep114):[8]-[]. </w:t>
      </w:r>
      <w:bookmarkEnd w:id="716"/>
    </w:p>
    <w:p w14:paraId="3ED99B6F" w14:textId="77777777" w:rsidR="00EC2769" w:rsidRPr="00EC2769" w:rsidRDefault="00EC2769" w:rsidP="001B3DA2">
      <w:pPr>
        <w:pStyle w:val="EndNoteBibliography"/>
      </w:pPr>
      <w:bookmarkStart w:id="717" w:name="_ENREF_143"/>
      <w:r w:rsidRPr="00EC2769">
        <w:t>143.</w:t>
      </w:r>
      <w:r w:rsidRPr="00EC2769">
        <w:tab/>
        <w:t>Adler UC, Paiva NM, Cesar AT, Adler MS, Molina A, Padula AE, et al. Homeopathic Individualized Q-Potencies versus Fluoxetine for Moderate to Severe Depression: Double-Blind, Randomized Non-Inferiority Trial.</w:t>
      </w:r>
      <w:r w:rsidRPr="00EC2769">
        <w:rPr>
          <w:i/>
        </w:rPr>
        <w:t xml:space="preserve"> Evid Based Complement Alternat Med</w:t>
      </w:r>
      <w:r w:rsidRPr="00EC2769">
        <w:t>. 2011;2011:520182. 10.1093/ecam/nep114</w:t>
      </w:r>
      <w:bookmarkEnd w:id="717"/>
    </w:p>
    <w:p w14:paraId="502871A7" w14:textId="7D8E94B7" w:rsidR="00EC2769" w:rsidRPr="00EC2769" w:rsidRDefault="00EC2769" w:rsidP="001B3DA2">
      <w:pPr>
        <w:pStyle w:val="EndNoteBibliography"/>
      </w:pPr>
      <w:bookmarkStart w:id="718" w:name="_ENREF_144"/>
      <w:r w:rsidRPr="00EC2769">
        <w:t>144.</w:t>
      </w:r>
      <w:r w:rsidRPr="00EC2769">
        <w:tab/>
        <w:t>Calil HM, Adler UC, Paiva NMP, Cesar AT, Adler MS, Molina A, et al. Homeopathic individualized Q-potencies versus fluoxetine for moderate to severe depression: Double-blind, randomized non-inferiority trial.</w:t>
      </w:r>
      <w:r w:rsidRPr="00EC2769">
        <w:rPr>
          <w:i/>
        </w:rPr>
        <w:t xml:space="preserve"> Evidence-based Complementary and Alternative Medicine</w:t>
      </w:r>
      <w:r w:rsidRPr="00EC2769">
        <w:t xml:space="preserve">. 2011;2011 (no pagination). </w:t>
      </w:r>
      <w:hyperlink r:id="rId178" w:history="1">
        <w:r w:rsidRPr="00EC2769">
          <w:rPr>
            <w:rStyle w:val="Hyperlink"/>
            <w:rFonts w:cs="Calibri"/>
          </w:rPr>
          <w:t>https://dx.doi.org/10.1093/ecam/nep114</w:t>
        </w:r>
        <w:bookmarkEnd w:id="718"/>
      </w:hyperlink>
    </w:p>
    <w:p w14:paraId="3187ABD9" w14:textId="77777777" w:rsidR="00EC2769" w:rsidRPr="00EC2769" w:rsidRDefault="00EC2769" w:rsidP="001B3DA2">
      <w:pPr>
        <w:pStyle w:val="EndNoteBibliography"/>
      </w:pPr>
      <w:bookmarkStart w:id="719" w:name="_ENREF_145"/>
      <w:r w:rsidRPr="00EC2769">
        <w:t>145.</w:t>
      </w:r>
      <w:r w:rsidRPr="00EC2769">
        <w:tab/>
        <w:t>Katz T, Fisher P, Katz A, Davidson J, Feder G. The feasibility of a randomised, placebo-controlled clinical trial of homeopathic treatment of depression in general practice.</w:t>
      </w:r>
      <w:r w:rsidRPr="00EC2769">
        <w:rPr>
          <w:i/>
        </w:rPr>
        <w:t xml:space="preserve"> Homeopathy</w:t>
      </w:r>
      <w:r w:rsidRPr="00EC2769">
        <w:t>. 2005;94(3):145-52. 10.1016/j.homp.2005.04.002</w:t>
      </w:r>
      <w:bookmarkEnd w:id="719"/>
    </w:p>
    <w:p w14:paraId="595415E7" w14:textId="3A17DDB9" w:rsidR="00EC2769" w:rsidRPr="00EC2769" w:rsidRDefault="00EC2769" w:rsidP="001B3DA2">
      <w:pPr>
        <w:pStyle w:val="EndNoteBibliography"/>
      </w:pPr>
      <w:bookmarkStart w:id="720" w:name="_ENREF_146"/>
      <w:r w:rsidRPr="00EC2769">
        <w:t>146.</w:t>
      </w:r>
      <w:r w:rsidRPr="00EC2769">
        <w:tab/>
        <w:t>Viksveen P. Homeopathy in self-reported depression: A pragmatic randomised controlled trial.</w:t>
      </w:r>
      <w:r w:rsidRPr="00EC2769">
        <w:rPr>
          <w:i/>
        </w:rPr>
        <w:t xml:space="preserve"> Homeopathy: the Journal of the Faculty of Homeopathy</w:t>
      </w:r>
      <w:r w:rsidRPr="00EC2769">
        <w:t xml:space="preserve">. 2016;105(1):24. </w:t>
      </w:r>
      <w:hyperlink r:id="rId179" w:history="1">
        <w:r w:rsidRPr="00EC2769">
          <w:rPr>
            <w:rStyle w:val="Hyperlink"/>
            <w:rFonts w:cs="Calibri"/>
          </w:rPr>
          <w:t>https://dx.doi.org/10.1016/j.homp.2015.12.006</w:t>
        </w:r>
        <w:bookmarkEnd w:id="720"/>
      </w:hyperlink>
    </w:p>
    <w:p w14:paraId="53CC4D39" w14:textId="77777777" w:rsidR="00EC2769" w:rsidRPr="00EC2769" w:rsidRDefault="00EC2769" w:rsidP="001B3DA2">
      <w:pPr>
        <w:pStyle w:val="EndNoteBibliography"/>
      </w:pPr>
      <w:bookmarkStart w:id="721" w:name="_ENREF_147"/>
      <w:r w:rsidRPr="00EC2769">
        <w:t>147.</w:t>
      </w:r>
      <w:r w:rsidRPr="00EC2769">
        <w:tab/>
        <w:t>Viksveen P, Relton C. Depression treated by homeopaths: a study protocol for a pragmatic cohort multiple randomised controlled trial.</w:t>
      </w:r>
      <w:r w:rsidRPr="00EC2769">
        <w:rPr>
          <w:i/>
        </w:rPr>
        <w:t xml:space="preserve"> Homeopathy</w:t>
      </w:r>
      <w:r w:rsidRPr="00EC2769">
        <w:t>. 2014;103(2):147-52. 10.1016/j.homp.2014.01.004</w:t>
      </w:r>
      <w:bookmarkEnd w:id="721"/>
    </w:p>
    <w:p w14:paraId="675B289B" w14:textId="77777777" w:rsidR="00EC2769" w:rsidRPr="00EC2769" w:rsidRDefault="00EC2769" w:rsidP="001B3DA2">
      <w:pPr>
        <w:pStyle w:val="EndNoteBibliography"/>
      </w:pPr>
      <w:bookmarkStart w:id="722" w:name="_ENREF_148"/>
      <w:r w:rsidRPr="00EC2769">
        <w:t>148.</w:t>
      </w:r>
      <w:r w:rsidRPr="00EC2769">
        <w:tab/>
        <w:t>Viksveen P, Relton C, Nicholl J. Depressed patients treated by homeopaths: a randomised controlled trial using the "cohort multiple randomised controlled trial" (cmRCT) design.</w:t>
      </w:r>
      <w:r w:rsidRPr="00EC2769">
        <w:rPr>
          <w:i/>
        </w:rPr>
        <w:t xml:space="preserve"> Trials</w:t>
      </w:r>
      <w:r w:rsidRPr="00EC2769">
        <w:t>. 2017;18(1):299. 10.1186/s13063-017-2040-2</w:t>
      </w:r>
      <w:bookmarkEnd w:id="722"/>
    </w:p>
    <w:p w14:paraId="4618DFBB" w14:textId="77777777" w:rsidR="00EC2769" w:rsidRPr="00EC2769" w:rsidRDefault="00EC2769" w:rsidP="001B3DA2">
      <w:pPr>
        <w:pStyle w:val="EndNoteBibliography"/>
      </w:pPr>
      <w:bookmarkStart w:id="723" w:name="_ENREF_149"/>
      <w:r w:rsidRPr="00EC2769">
        <w:t>149.</w:t>
      </w:r>
      <w:r w:rsidRPr="00EC2769">
        <w:tab/>
        <w:t>Michael PH, Martin P. Estimates of the minimal important difference to evaluate the clinical significance of antidepressants in the acute treatment of moderate-to-severe depression.</w:t>
      </w:r>
      <w:r w:rsidRPr="00EC2769">
        <w:rPr>
          <w:i/>
        </w:rPr>
        <w:t xml:space="preserve"> BMJ Evidence-Based Medicine</w:t>
      </w:r>
      <w:r w:rsidRPr="00EC2769">
        <w:t>. 2022;27(2):69. 10.1136/bmjebm-2020-111600</w:t>
      </w:r>
      <w:bookmarkEnd w:id="723"/>
    </w:p>
    <w:p w14:paraId="03833A5F" w14:textId="1B0AFAFA" w:rsidR="00EC2769" w:rsidRPr="00EC2769" w:rsidRDefault="00EC2769" w:rsidP="001B3DA2">
      <w:pPr>
        <w:pStyle w:val="EndNoteBibliography"/>
      </w:pPr>
      <w:bookmarkStart w:id="724" w:name="_ENREF_150"/>
      <w:r w:rsidRPr="00EC2769">
        <w:t>150.</w:t>
      </w:r>
      <w:r w:rsidRPr="00EC2769">
        <w:tab/>
        <w:t xml:space="preserve">Aripiprazole (Abilify): Depression, Major Depressive Disorder (MDD). Ottawa2016 [cited 2016]. Available from: </w:t>
      </w:r>
      <w:hyperlink r:id="rId180" w:history="1">
        <w:r w:rsidRPr="00EC2769">
          <w:rPr>
            <w:rStyle w:val="Hyperlink"/>
            <w:rFonts w:cs="Calibri"/>
          </w:rPr>
          <w:t>https://www.ncbi.nlm.nih.gov/books/NBK409740/table/T25/</w:t>
        </w:r>
      </w:hyperlink>
      <w:r w:rsidRPr="00EC2769">
        <w:t>.</w:t>
      </w:r>
      <w:bookmarkEnd w:id="724"/>
    </w:p>
    <w:p w14:paraId="5C9540FD" w14:textId="77777777" w:rsidR="00EC2769" w:rsidRPr="00EC2769" w:rsidRDefault="00EC2769" w:rsidP="001B3DA2">
      <w:pPr>
        <w:pStyle w:val="EndNoteBibliography"/>
      </w:pPr>
      <w:bookmarkStart w:id="725" w:name="_ENREF_151"/>
      <w:r w:rsidRPr="00EC2769">
        <w:lastRenderedPageBreak/>
        <w:t>151.</w:t>
      </w:r>
      <w:r w:rsidRPr="00EC2769">
        <w:tab/>
        <w:t>User’s manual for the SF-36v2 survey. 3rd ed. Lincoln RD, editor: Quality Metric Incorporated;  2011.</w:t>
      </w:r>
      <w:bookmarkEnd w:id="725"/>
    </w:p>
    <w:p w14:paraId="2A3F0A44" w14:textId="77777777" w:rsidR="00EC2769" w:rsidRPr="00EC2769" w:rsidRDefault="00EC2769" w:rsidP="001B3DA2">
      <w:pPr>
        <w:pStyle w:val="EndNoteBibliography"/>
      </w:pPr>
      <w:bookmarkStart w:id="726" w:name="_ENREF_152"/>
      <w:r w:rsidRPr="00EC2769">
        <w:t>152.</w:t>
      </w:r>
      <w:r w:rsidRPr="00EC2769">
        <w:tab/>
        <w:t>Löwe B, Unützer J, Callahan CM, Perkins AJ, Kroenke K. Monitoring depression treatment outcomes with the patient health questionnaire-9.</w:t>
      </w:r>
      <w:r w:rsidRPr="00EC2769">
        <w:rPr>
          <w:i/>
        </w:rPr>
        <w:t xml:space="preserve"> Med Care</w:t>
      </w:r>
      <w:r w:rsidRPr="00EC2769">
        <w:t>. 2004;42(12):1194-201. 10.1097/00005650-200412000-00006</w:t>
      </w:r>
      <w:bookmarkEnd w:id="726"/>
    </w:p>
    <w:p w14:paraId="0747FFEB" w14:textId="77777777" w:rsidR="00EC2769" w:rsidRPr="00EC2769" w:rsidRDefault="00EC2769" w:rsidP="001B3DA2">
      <w:pPr>
        <w:pStyle w:val="EndNoteBibliography"/>
      </w:pPr>
      <w:bookmarkStart w:id="727" w:name="_ENREF_153"/>
      <w:r w:rsidRPr="00EC2769">
        <w:t>153.</w:t>
      </w:r>
      <w:r w:rsidRPr="00EC2769">
        <w:tab/>
        <w:t>Health of children Canberra: Australian Institute of Health Welfare</w:t>
      </w:r>
    </w:p>
    <w:p w14:paraId="61749A75" w14:textId="4B16DD46" w:rsidR="00EC2769" w:rsidRPr="00EC2769" w:rsidRDefault="00EC2769" w:rsidP="001B3DA2">
      <w:pPr>
        <w:pStyle w:val="EndNoteBibliography"/>
      </w:pPr>
      <w:r w:rsidRPr="00EC2769">
        <w:t xml:space="preserve">2023 [cited 2023 10 September]. Available from: </w:t>
      </w:r>
      <w:hyperlink r:id="rId181" w:history="1">
        <w:r w:rsidRPr="00EC2769">
          <w:rPr>
            <w:rStyle w:val="Hyperlink"/>
            <w:rFonts w:cs="Calibri"/>
          </w:rPr>
          <w:t>https://www.aihw.gov.au/reports/children-youth/health-of-children</w:t>
        </w:r>
      </w:hyperlink>
      <w:r w:rsidRPr="00EC2769">
        <w:t>.</w:t>
      </w:r>
      <w:bookmarkEnd w:id="727"/>
    </w:p>
    <w:p w14:paraId="7B050213" w14:textId="20A13F5F" w:rsidR="00EC2769" w:rsidRPr="00EC2769" w:rsidRDefault="00EC2769" w:rsidP="001B3DA2">
      <w:pPr>
        <w:pStyle w:val="EndNoteBibliography"/>
      </w:pPr>
      <w:bookmarkStart w:id="728" w:name="_ENREF_154"/>
      <w:r w:rsidRPr="00EC2769">
        <w:t>154.</w:t>
      </w:r>
      <w:r w:rsidRPr="00EC2769">
        <w:tab/>
        <w:t xml:space="preserve">About ADHD: Australian ADHD Clinical Practice Guidelines; 2023 [cited 2023 18 September]. Available from: </w:t>
      </w:r>
      <w:hyperlink r:id="rId182" w:history="1">
        <w:r w:rsidRPr="00EC2769">
          <w:rPr>
            <w:rStyle w:val="Hyperlink"/>
            <w:rFonts w:cs="Calibri"/>
          </w:rPr>
          <w:t>https://adhdguideline.aadpa.com.au/about/about-adhd/</w:t>
        </w:r>
      </w:hyperlink>
      <w:r w:rsidRPr="00EC2769">
        <w:t>.</w:t>
      </w:r>
      <w:bookmarkEnd w:id="728"/>
    </w:p>
    <w:p w14:paraId="5985ED04" w14:textId="77777777" w:rsidR="00EC2769" w:rsidRPr="00EC2769" w:rsidRDefault="00EC2769" w:rsidP="001B3DA2">
      <w:pPr>
        <w:pStyle w:val="EndNoteBibliography"/>
      </w:pPr>
      <w:bookmarkStart w:id="729" w:name="_ENREF_155"/>
      <w:r w:rsidRPr="00EC2769">
        <w:t>155.</w:t>
      </w:r>
      <w:r w:rsidRPr="00EC2769">
        <w:tab/>
        <w:t>Mowlem FD, Rosenqvist MA, Martin J, Lichtenstein P, Asherson P, Larsson H. Sex differences in predicting ADHD clinical diagnosis and pharmacological treatment.</w:t>
      </w:r>
      <w:r w:rsidRPr="00EC2769">
        <w:rPr>
          <w:i/>
        </w:rPr>
        <w:t xml:space="preserve"> European Child &amp; Adolescent Psychiatry</w:t>
      </w:r>
      <w:r w:rsidRPr="00EC2769">
        <w:t>. 2019;28(4):481-9. 10.1007/s00787-018-1211-3</w:t>
      </w:r>
      <w:bookmarkEnd w:id="729"/>
    </w:p>
    <w:p w14:paraId="0FE3027C" w14:textId="23197177" w:rsidR="00EC2769" w:rsidRPr="00EC2769" w:rsidRDefault="00EC2769" w:rsidP="001B3DA2">
      <w:pPr>
        <w:pStyle w:val="EndNoteBibliography"/>
      </w:pPr>
      <w:bookmarkStart w:id="730" w:name="_ENREF_156"/>
      <w:r w:rsidRPr="00EC2769">
        <w:t>156.</w:t>
      </w:r>
      <w:r w:rsidRPr="00EC2769">
        <w:tab/>
        <w:t xml:space="preserve">Magnus W, Nazir S, Anilkumar AC, Shaban K. Attention Deficit Hyperactivity Disorder: StatPearls [Internet]; 2023 [cited 2023 18 September]. Available from: </w:t>
      </w:r>
      <w:hyperlink r:id="rId183" w:history="1">
        <w:r w:rsidRPr="00EC2769">
          <w:rPr>
            <w:rStyle w:val="Hyperlink"/>
            <w:rFonts w:cs="Calibri"/>
          </w:rPr>
          <w:t>https://www.ncbi.nlm.nih.gov/books/NBK441838/</w:t>
        </w:r>
      </w:hyperlink>
      <w:r w:rsidRPr="00EC2769">
        <w:t>.</w:t>
      </w:r>
      <w:bookmarkEnd w:id="730"/>
    </w:p>
    <w:p w14:paraId="01F5040F" w14:textId="77777777" w:rsidR="00EC2769" w:rsidRPr="00EC2769" w:rsidRDefault="00EC2769" w:rsidP="001B3DA2">
      <w:pPr>
        <w:pStyle w:val="EndNoteBibliography"/>
      </w:pPr>
      <w:bookmarkStart w:id="731" w:name="_ENREF_157"/>
      <w:r w:rsidRPr="00EC2769">
        <w:t>157.</w:t>
      </w:r>
      <w:r w:rsidRPr="00EC2769">
        <w:tab/>
        <w:t>Faraone SV, Larsson H. Genetics of attention deficit hyperactivity disorder.</w:t>
      </w:r>
      <w:r w:rsidRPr="00EC2769">
        <w:rPr>
          <w:i/>
        </w:rPr>
        <w:t xml:space="preserve"> Mol Psychiatry</w:t>
      </w:r>
      <w:r w:rsidRPr="00EC2769">
        <w:t>. 2019;24(4):562-75. 10.1038/s41380-018-0070-0</w:t>
      </w:r>
      <w:bookmarkEnd w:id="731"/>
    </w:p>
    <w:p w14:paraId="354315BF" w14:textId="77777777" w:rsidR="00EC2769" w:rsidRPr="00EC2769" w:rsidRDefault="00EC2769" w:rsidP="001B3DA2">
      <w:pPr>
        <w:pStyle w:val="EndNoteBibliography"/>
      </w:pPr>
      <w:bookmarkStart w:id="732" w:name="_ENREF_158"/>
      <w:r w:rsidRPr="00EC2769">
        <w:t>158.</w:t>
      </w:r>
      <w:r w:rsidRPr="00EC2769">
        <w:tab/>
        <w:t>Banaschewski T, Becker K, Dopfner M, Holtmann M, Rosler M, Romanos M. Attention-Deficit/Hyperactivity Disorder.</w:t>
      </w:r>
      <w:r w:rsidRPr="00EC2769">
        <w:rPr>
          <w:i/>
        </w:rPr>
        <w:t xml:space="preserve"> Dtsch Arztebl Int</w:t>
      </w:r>
      <w:r w:rsidRPr="00EC2769">
        <w:t>. 2017;114(9):149-59. 10.3238/arztebl.2017.0149</w:t>
      </w:r>
      <w:bookmarkEnd w:id="732"/>
    </w:p>
    <w:p w14:paraId="24AD9038" w14:textId="27D84442" w:rsidR="00EC2769" w:rsidRPr="00EC2769" w:rsidRDefault="00EC2769" w:rsidP="001B3DA2">
      <w:pPr>
        <w:pStyle w:val="EndNoteBibliography"/>
      </w:pPr>
      <w:bookmarkStart w:id="733" w:name="_ENREF_159"/>
      <w:r w:rsidRPr="00EC2769">
        <w:t>159.</w:t>
      </w:r>
      <w:r w:rsidRPr="00EC2769">
        <w:tab/>
        <w:t xml:space="preserve">ADHD patients and consumers: NSW Government Department of Health; 2018 [cited 2023 18 September]. Available from: </w:t>
      </w:r>
      <w:hyperlink r:id="rId184" w:history="1">
        <w:r w:rsidRPr="00EC2769">
          <w:rPr>
            <w:rStyle w:val="Hyperlink"/>
            <w:rFonts w:cs="Calibri"/>
          </w:rPr>
          <w:t>https://www.health.nsw.gov.au/pharmaceutical/patients/Pages/faq-adhd-consumers.aspx</w:t>
        </w:r>
      </w:hyperlink>
      <w:r w:rsidRPr="00EC2769">
        <w:t>.</w:t>
      </w:r>
      <w:bookmarkEnd w:id="733"/>
    </w:p>
    <w:p w14:paraId="71BA7FF6" w14:textId="7F6A6885" w:rsidR="00EC2769" w:rsidRPr="00EC2769" w:rsidRDefault="00EC2769" w:rsidP="001B3DA2">
      <w:pPr>
        <w:pStyle w:val="EndNoteBibliography"/>
      </w:pPr>
      <w:bookmarkStart w:id="734" w:name="_ENREF_160"/>
      <w:r w:rsidRPr="00EC2769">
        <w:t>160.</w:t>
      </w:r>
      <w:r w:rsidRPr="00EC2769">
        <w:tab/>
        <w:t>Ctri. A pilot study to see the effectiveness of homoeopathic therapy in attention Deficit Hyperactive Disorder of children.</w:t>
      </w:r>
      <w:r w:rsidRPr="00EC2769">
        <w:rPr>
          <w:i/>
        </w:rPr>
        <w:t xml:space="preserve"> </w:t>
      </w:r>
      <w:hyperlink r:id="rId185" w:history="1">
        <w:r w:rsidRPr="00EC2769">
          <w:rPr>
            <w:rStyle w:val="Hyperlink"/>
            <w:rFonts w:cs="Calibri"/>
            <w:i/>
          </w:rPr>
          <w:t>https://trialsearchwhoint/Trial2aspx?TrialID=CTRI/2011/12/002305</w:t>
        </w:r>
      </w:hyperlink>
      <w:r w:rsidRPr="00EC2769">
        <w:t xml:space="preserve">. 2011. </w:t>
      </w:r>
      <w:bookmarkEnd w:id="734"/>
    </w:p>
    <w:p w14:paraId="4D5C9220" w14:textId="09F2C72D" w:rsidR="00EC2769" w:rsidRPr="00EC2769" w:rsidRDefault="00EC2769" w:rsidP="001B3DA2">
      <w:pPr>
        <w:pStyle w:val="EndNoteBibliography"/>
      </w:pPr>
      <w:bookmarkStart w:id="735" w:name="_ENREF_161"/>
      <w:r w:rsidRPr="00EC2769">
        <w:t>161.</w:t>
      </w:r>
      <w:r w:rsidRPr="00EC2769">
        <w:tab/>
        <w:t>Fibert P, Relton C. Protocol for the Sheffield treatments for ADHD research (STAR) project: Testing the feasibility of the trial design.</w:t>
      </w:r>
      <w:r w:rsidRPr="00EC2769">
        <w:rPr>
          <w:i/>
        </w:rPr>
        <w:t xml:space="preserve"> ADHD Attention Deficit and Hyperactivity Disorders</w:t>
      </w:r>
      <w:r w:rsidRPr="00EC2769">
        <w:t xml:space="preserve">. 2015;1):S39. </w:t>
      </w:r>
      <w:hyperlink r:id="rId186" w:history="1">
        <w:r w:rsidRPr="00EC2769">
          <w:rPr>
            <w:rStyle w:val="Hyperlink"/>
            <w:rFonts w:cs="Calibri"/>
          </w:rPr>
          <w:t>https://dx.doi.org/10.1007/s12402-015-0169-y</w:t>
        </w:r>
        <w:bookmarkEnd w:id="735"/>
      </w:hyperlink>
    </w:p>
    <w:p w14:paraId="588BA305" w14:textId="575575CD" w:rsidR="00EC2769" w:rsidRPr="00EC2769" w:rsidRDefault="00EC2769" w:rsidP="001B3DA2">
      <w:pPr>
        <w:pStyle w:val="EndNoteBibliography"/>
      </w:pPr>
      <w:bookmarkStart w:id="736" w:name="_ENREF_162"/>
      <w:r w:rsidRPr="00EC2769">
        <w:t>162.</w:t>
      </w:r>
      <w:r w:rsidRPr="00EC2769">
        <w:tab/>
        <w:t>Fibert P. Rationale for a pragmatic randomised controlled trial of the effectiveness of treatment by homeopaths for ADHD.</w:t>
      </w:r>
      <w:r w:rsidRPr="00EC2769">
        <w:rPr>
          <w:i/>
        </w:rPr>
        <w:t xml:space="preserve"> Homeopathy: the Journal of the Faculty of Homeopathy</w:t>
      </w:r>
      <w:r w:rsidRPr="00EC2769">
        <w:t xml:space="preserve">. 2016;105(1):28-9. </w:t>
      </w:r>
      <w:hyperlink r:id="rId187" w:history="1">
        <w:r w:rsidRPr="00EC2769">
          <w:rPr>
            <w:rStyle w:val="Hyperlink"/>
            <w:rFonts w:cs="Calibri"/>
          </w:rPr>
          <w:t>https://dx.doi.org/10.1016/j.homp.2015.12.042</w:t>
        </w:r>
        <w:bookmarkEnd w:id="736"/>
      </w:hyperlink>
    </w:p>
    <w:p w14:paraId="779C2D6A" w14:textId="66F00BC6" w:rsidR="00EC2769" w:rsidRPr="00EC2769" w:rsidRDefault="00EC2769" w:rsidP="001B3DA2">
      <w:pPr>
        <w:pStyle w:val="EndNoteBibliography"/>
      </w:pPr>
      <w:bookmarkStart w:id="737" w:name="_ENREF_163"/>
      <w:r w:rsidRPr="00EC2769">
        <w:t>163.</w:t>
      </w:r>
      <w:r w:rsidRPr="00EC2769">
        <w:tab/>
        <w:t>Fibert P, Relton C. Preliminary feasibility and clinical results of a pilot study of treatment by homeopaths for children with adhd using the trials within cohorts (TwiCs) design.</w:t>
      </w:r>
      <w:r w:rsidRPr="00EC2769">
        <w:rPr>
          <w:i/>
        </w:rPr>
        <w:t xml:space="preserve"> Homeopathy Conference: 3rd International Research Conference on "Cutting Edge Research in Homeopathy", HRI</w:t>
      </w:r>
      <w:r w:rsidRPr="00EC2769">
        <w:t xml:space="preserve">. 2017;107(Supplement 1). </w:t>
      </w:r>
      <w:hyperlink r:id="rId188" w:history="1">
        <w:r w:rsidRPr="00EC2769">
          <w:rPr>
            <w:rStyle w:val="Hyperlink"/>
            <w:rFonts w:cs="Calibri"/>
          </w:rPr>
          <w:t>https://dx.doi.org/10.1055/s-0038-1632419</w:t>
        </w:r>
        <w:bookmarkEnd w:id="737"/>
      </w:hyperlink>
    </w:p>
    <w:p w14:paraId="2A623A90" w14:textId="77777777" w:rsidR="00EC2769" w:rsidRPr="00EC2769" w:rsidRDefault="00EC2769" w:rsidP="001B3DA2">
      <w:pPr>
        <w:pStyle w:val="EndNoteBibliography"/>
      </w:pPr>
      <w:bookmarkStart w:id="738" w:name="_ENREF_164"/>
      <w:r w:rsidRPr="00EC2769">
        <w:t>164.</w:t>
      </w:r>
      <w:r w:rsidRPr="00EC2769">
        <w:tab/>
        <w:t>Fibert P, Relton C. Preliminary Feasibility and Clinical Results of a Pilot Study of Treatment by Homeopaths for Children with ADHD using the Trials within Cohorts (TwiCs) Design...HRI Malta 2017¿Cutting Edge Research in Homeopathy: Presentation Abstracts.</w:t>
      </w:r>
      <w:r w:rsidRPr="00EC2769">
        <w:rPr>
          <w:i/>
        </w:rPr>
        <w:t xml:space="preserve"> Homeopathy: the Journal of the Faculty of Homeopathy</w:t>
      </w:r>
      <w:r w:rsidRPr="00EC2769">
        <w:t>. 2018;107:55-78. 10.1055/s-0038-1632419</w:t>
      </w:r>
      <w:bookmarkEnd w:id="738"/>
    </w:p>
    <w:p w14:paraId="2BF2C5B4" w14:textId="77777777" w:rsidR="00EC2769" w:rsidRPr="00EC2769" w:rsidRDefault="00EC2769" w:rsidP="001B3DA2">
      <w:pPr>
        <w:pStyle w:val="EndNoteBibliography"/>
      </w:pPr>
      <w:bookmarkStart w:id="739" w:name="_ENREF_165"/>
      <w:r w:rsidRPr="00EC2769">
        <w:t>165.</w:t>
      </w:r>
      <w:r w:rsidRPr="00EC2769">
        <w:tab/>
        <w:t>Fibert P, Relton C, Peasgood T, Daley D. Protocol for the STAR (Sheffield Treatments for ADHD) project: an internal pilot study assessing the feasibility of the Trials within Cohorts (TwiCs) design to test the effectiveness of interventions for children with ADHD.</w:t>
      </w:r>
      <w:r w:rsidRPr="00EC2769">
        <w:rPr>
          <w:i/>
        </w:rPr>
        <w:t xml:space="preserve"> Pilot Feasibility Stud</w:t>
      </w:r>
      <w:r w:rsidRPr="00EC2769">
        <w:t>. 2018;4:61. 10.1186/s40814-018-0250-3</w:t>
      </w:r>
      <w:bookmarkEnd w:id="739"/>
    </w:p>
    <w:p w14:paraId="0EBA153D" w14:textId="77777777" w:rsidR="00EC2769" w:rsidRPr="00EC2769" w:rsidRDefault="00EC2769" w:rsidP="001B3DA2">
      <w:pPr>
        <w:pStyle w:val="EndNoteBibliography"/>
      </w:pPr>
      <w:bookmarkStart w:id="740" w:name="_ENREF_166"/>
      <w:r w:rsidRPr="00EC2769">
        <w:t>166.</w:t>
      </w:r>
      <w:r w:rsidRPr="00EC2769">
        <w:tab/>
        <w:t>Fibert P, Peasgood T, Relton C. Rethinking ADHD intervention trials: feasibility testing of two treatments and a methodology.</w:t>
      </w:r>
      <w:r w:rsidRPr="00EC2769">
        <w:rPr>
          <w:i/>
        </w:rPr>
        <w:t xml:space="preserve"> Eur J Pediatr</w:t>
      </w:r>
      <w:r w:rsidRPr="00EC2769">
        <w:t>. 2019;178(7):983-93. 10.1007/s00431-019-03374-z</w:t>
      </w:r>
      <w:bookmarkEnd w:id="740"/>
    </w:p>
    <w:p w14:paraId="6DBF3A0C" w14:textId="77777777" w:rsidR="00EC2769" w:rsidRPr="00EC2769" w:rsidRDefault="00EC2769" w:rsidP="001B3DA2">
      <w:pPr>
        <w:pStyle w:val="EndNoteBibliography"/>
      </w:pPr>
      <w:bookmarkStart w:id="741" w:name="_ENREF_167"/>
      <w:r w:rsidRPr="00EC2769">
        <w:t>167.</w:t>
      </w:r>
      <w:r w:rsidRPr="00EC2769">
        <w:tab/>
        <w:t>Frei H, Everts R, von Ammon K, Kaufmann F, Walther D, Hsu-Schmitz SF, et al. Homeopathic treatment of children with attention deficit hyperactivity disorder: a randomised, double blind, placebo controlled crossover trial.</w:t>
      </w:r>
      <w:r w:rsidRPr="00EC2769">
        <w:rPr>
          <w:i/>
        </w:rPr>
        <w:t xml:space="preserve"> Eur J Pediatr</w:t>
      </w:r>
      <w:r w:rsidRPr="00EC2769">
        <w:t>. 2005;164(12):758-67. 10.1007/s00431-005-1735-7</w:t>
      </w:r>
      <w:bookmarkEnd w:id="741"/>
    </w:p>
    <w:p w14:paraId="373C05D4" w14:textId="77777777" w:rsidR="00EC2769" w:rsidRPr="00EC2769" w:rsidRDefault="00EC2769" w:rsidP="001B3DA2">
      <w:pPr>
        <w:pStyle w:val="EndNoteBibliography"/>
      </w:pPr>
      <w:bookmarkStart w:id="742" w:name="_ENREF_168"/>
      <w:r w:rsidRPr="00EC2769">
        <w:t>168.</w:t>
      </w:r>
      <w:r w:rsidRPr="00EC2769">
        <w:tab/>
        <w:t>Frei H, von Ammon K, Thurneysen A. Treatment of hyperactive children: increased efficiency through modifications of homeopathic diagnostic procedure.</w:t>
      </w:r>
      <w:r w:rsidRPr="00EC2769">
        <w:rPr>
          <w:i/>
        </w:rPr>
        <w:t xml:space="preserve"> Homeopathy</w:t>
      </w:r>
      <w:r w:rsidRPr="00EC2769">
        <w:t>. 2006;95(3):163-70. 10.1016/j.homp.2006.05.007</w:t>
      </w:r>
      <w:bookmarkEnd w:id="742"/>
    </w:p>
    <w:p w14:paraId="5BF48476" w14:textId="0D113BC7" w:rsidR="00EC2769" w:rsidRPr="00EC2769" w:rsidRDefault="00EC2769" w:rsidP="001B3DA2">
      <w:pPr>
        <w:pStyle w:val="EndNoteBibliography"/>
      </w:pPr>
      <w:bookmarkStart w:id="743" w:name="_ENREF_169"/>
      <w:r w:rsidRPr="00EC2769">
        <w:t>169.</w:t>
      </w:r>
      <w:r w:rsidRPr="00EC2769">
        <w:tab/>
        <w:t xml:space="preserve">Frei H, Everts R, von Ammon K, Kaufmann F, Walther D, Schmitz SFH, et al. Randomised controlled trials of homeopathy in hyperactive children: treatment procedure leads to an unconventional study design. Experience with open-label homeopathic treatment preceding the Swiss ADHD placebo </w:t>
      </w:r>
      <w:r w:rsidRPr="00EC2769">
        <w:lastRenderedPageBreak/>
        <w:t>controlled, randomised, double-blind, cross-over trial.</w:t>
      </w:r>
      <w:r w:rsidRPr="00EC2769">
        <w:rPr>
          <w:i/>
        </w:rPr>
        <w:t xml:space="preserve"> Homeopathy: the Journal of the Faculty of Homeopathy</w:t>
      </w:r>
      <w:r w:rsidRPr="00EC2769">
        <w:t xml:space="preserve">. 2007;96(1):35-41. </w:t>
      </w:r>
      <w:hyperlink r:id="rId189" w:history="1">
        <w:r w:rsidRPr="00EC2769">
          <w:rPr>
            <w:rStyle w:val="Hyperlink"/>
            <w:rFonts w:cs="Calibri"/>
          </w:rPr>
          <w:t>https://dx.doi.org/10.1016/j.homp.2006.11.004</w:t>
        </w:r>
        <w:bookmarkEnd w:id="743"/>
      </w:hyperlink>
    </w:p>
    <w:p w14:paraId="776B96BB" w14:textId="77777777" w:rsidR="00EC2769" w:rsidRPr="00EC2769" w:rsidRDefault="00EC2769" w:rsidP="001B3DA2">
      <w:pPr>
        <w:pStyle w:val="EndNoteBibliography"/>
      </w:pPr>
      <w:bookmarkStart w:id="744" w:name="_ENREF_170"/>
      <w:r w:rsidRPr="00EC2769">
        <w:t>170.</w:t>
      </w:r>
      <w:r w:rsidRPr="00EC2769">
        <w:tab/>
        <w:t>Jacobs J, Williams AL, Girard C, Njike VY, Katz D. Homeopathy for attention-deficit/hyperactivity disorder: a pilot randomized-controlled trial.</w:t>
      </w:r>
      <w:r w:rsidRPr="00EC2769">
        <w:rPr>
          <w:i/>
        </w:rPr>
        <w:t xml:space="preserve"> J Altern Complement Med</w:t>
      </w:r>
      <w:r w:rsidRPr="00EC2769">
        <w:t>. 2005;11(5):799-806. 10.1089/acm.2005.11.799</w:t>
      </w:r>
      <w:bookmarkEnd w:id="744"/>
    </w:p>
    <w:p w14:paraId="069707EF" w14:textId="4CAFB5DD" w:rsidR="00EC2769" w:rsidRPr="00EC2769" w:rsidRDefault="00EC2769" w:rsidP="001B3DA2">
      <w:pPr>
        <w:pStyle w:val="EndNoteBibliography"/>
      </w:pPr>
      <w:bookmarkStart w:id="745" w:name="_ENREF_171"/>
      <w:r w:rsidRPr="00EC2769">
        <w:t>171.</w:t>
      </w:r>
      <w:r w:rsidRPr="00EC2769">
        <w:tab/>
        <w:t>Klaus VA, Ursula S, Heiner F, Sabine K, Andre T, Martin FE. Classical homeopathy helps hyperactive children-a 10-year follow-up of homeopathic and integrated medical treatment in children suffering from attention deficit disorder with and without hyperactivity.</w:t>
      </w:r>
      <w:r w:rsidRPr="00EC2769">
        <w:rPr>
          <w:i/>
        </w:rPr>
        <w:t xml:space="preserve"> European Journal of Integrative Medicine</w:t>
      </w:r>
      <w:r w:rsidRPr="00EC2769">
        <w:t xml:space="preserve">. 2012;1):73-4. </w:t>
      </w:r>
      <w:hyperlink r:id="rId190" w:history="1">
        <w:r w:rsidRPr="00EC2769">
          <w:rPr>
            <w:rStyle w:val="Hyperlink"/>
            <w:rFonts w:cs="Calibri"/>
          </w:rPr>
          <w:t>https://dx.doi.org/10.1016/j.eujim.2012.07.645</w:t>
        </w:r>
        <w:bookmarkEnd w:id="745"/>
      </w:hyperlink>
    </w:p>
    <w:p w14:paraId="267C5353" w14:textId="77777777" w:rsidR="00EC2769" w:rsidRPr="00EC2769" w:rsidRDefault="00EC2769" w:rsidP="001B3DA2">
      <w:pPr>
        <w:pStyle w:val="EndNoteBibliography"/>
      </w:pPr>
      <w:bookmarkStart w:id="746" w:name="_ENREF_172"/>
      <w:r w:rsidRPr="00EC2769">
        <w:t>172.</w:t>
      </w:r>
      <w:r w:rsidRPr="00EC2769">
        <w:tab/>
        <w:t>Lamont J. Homoeopathic treatment of attention deficit hyperactivity disorder: a controlled study.</w:t>
      </w:r>
      <w:r w:rsidRPr="00EC2769">
        <w:rPr>
          <w:i/>
        </w:rPr>
        <w:t xml:space="preserve"> Br Homoeopath J</w:t>
      </w:r>
      <w:r w:rsidRPr="00EC2769">
        <w:t xml:space="preserve">. 1997;86(10):196-200. </w:t>
      </w:r>
      <w:bookmarkEnd w:id="746"/>
    </w:p>
    <w:p w14:paraId="210B7E3C" w14:textId="77777777" w:rsidR="00EC2769" w:rsidRPr="00EC2769" w:rsidRDefault="00EC2769" w:rsidP="001B3DA2">
      <w:pPr>
        <w:pStyle w:val="EndNoteBibliography"/>
      </w:pPr>
      <w:bookmarkStart w:id="747" w:name="_ENREF_173"/>
      <w:r w:rsidRPr="00EC2769">
        <w:t>173.</w:t>
      </w:r>
      <w:r w:rsidRPr="00EC2769">
        <w:tab/>
        <w:t>Strauss L. The efficacy of a homeopathic preparation in the management of attention deficit hyperactivity disorder.</w:t>
      </w:r>
      <w:r w:rsidRPr="00EC2769">
        <w:rPr>
          <w:i/>
        </w:rPr>
        <w:t xml:space="preserve"> Biomed Ther</w:t>
      </w:r>
      <w:r w:rsidRPr="00EC2769">
        <w:t xml:space="preserve">. 2000;18(2):197-201. </w:t>
      </w:r>
      <w:bookmarkEnd w:id="747"/>
    </w:p>
    <w:p w14:paraId="5561440A" w14:textId="77777777" w:rsidR="00EC2769" w:rsidRPr="00EC2769" w:rsidRDefault="00EC2769" w:rsidP="001B3DA2">
      <w:pPr>
        <w:pStyle w:val="EndNoteBibliography"/>
      </w:pPr>
      <w:bookmarkStart w:id="748" w:name="_ENREF_174"/>
      <w:r w:rsidRPr="00EC2769">
        <w:t>174.</w:t>
      </w:r>
      <w:r w:rsidRPr="00EC2769">
        <w:tab/>
        <w:t>von Ammon K, Frei H, Kaufmann F, Schmitz SH, Steinlin M, Thurneysen A. Homoeopathic RCT embedded in an observational study of children with attention deficit hyperactivity disorder -- a successful model of whole-systems CAM research...14th Annual Symposium on Complementary Health Care, 11th to 13th December 2007, University of Exeter, UK.</w:t>
      </w:r>
      <w:r w:rsidRPr="00EC2769">
        <w:rPr>
          <w:i/>
        </w:rPr>
        <w:t xml:space="preserve"> Focus on Alternative &amp; Complementary Therapies</w:t>
      </w:r>
      <w:r w:rsidRPr="00EC2769">
        <w:t xml:space="preserve">. 2007;12:5-. </w:t>
      </w:r>
      <w:bookmarkEnd w:id="748"/>
    </w:p>
    <w:p w14:paraId="2D31DD60" w14:textId="77777777" w:rsidR="00EC2769" w:rsidRPr="00EC2769" w:rsidRDefault="00EC2769" w:rsidP="001B3DA2">
      <w:pPr>
        <w:pStyle w:val="EndNoteBibliography"/>
      </w:pPr>
      <w:bookmarkStart w:id="749" w:name="_ENREF_175"/>
      <w:r w:rsidRPr="00EC2769">
        <w:t>175.</w:t>
      </w:r>
      <w:r w:rsidRPr="00EC2769">
        <w:tab/>
        <w:t>Dhawale K, Katawala M, Tambitkar N, Tamboli M, Tamboli P. Use of homoeopathic remedies in the management of learning disabilities.</w:t>
      </w:r>
      <w:r w:rsidRPr="00EC2769">
        <w:rPr>
          <w:i/>
        </w:rPr>
        <w:t xml:space="preserve"> Indian Journal of Research in Homoeopathy</w:t>
      </w:r>
      <w:r w:rsidRPr="00EC2769">
        <w:t>. 2014;8:87. 10.4103/0974-7168.135641</w:t>
      </w:r>
      <w:bookmarkEnd w:id="749"/>
    </w:p>
    <w:p w14:paraId="15CA3513" w14:textId="46D7760C" w:rsidR="00EC2769" w:rsidRPr="00EC2769" w:rsidRDefault="00EC2769" w:rsidP="001B3DA2">
      <w:pPr>
        <w:pStyle w:val="EndNoteBibliography"/>
      </w:pPr>
      <w:bookmarkStart w:id="750" w:name="_ENREF_176"/>
      <w:r w:rsidRPr="00EC2769">
        <w:t>176.</w:t>
      </w:r>
      <w:r w:rsidRPr="00EC2769">
        <w:tab/>
        <w:t xml:space="preserve">Reynolds A, Appleton, S., Gill, T. and Adams, R. . Chronic Insomnia Disorder in Australia.  A Report to the Sleep Health Foundation. 2019. [Accessed: July 2019]. Available from: </w:t>
      </w:r>
      <w:hyperlink r:id="rId191" w:history="1">
        <w:r w:rsidRPr="00EC2769">
          <w:rPr>
            <w:rStyle w:val="Hyperlink"/>
            <w:rFonts w:cs="Calibri"/>
          </w:rPr>
          <w:t>https://www.sleephealthfoundation.org.au/pdfs/Special_Reports/SHF_Insomnia_Report_2019_Final_SHFlogo.pdf</w:t>
        </w:r>
      </w:hyperlink>
      <w:r w:rsidRPr="00EC2769">
        <w:t xml:space="preserve"> </w:t>
      </w:r>
      <w:bookmarkEnd w:id="750"/>
    </w:p>
    <w:p w14:paraId="2F67E8A9" w14:textId="77777777" w:rsidR="00EC2769" w:rsidRPr="00EC2769" w:rsidRDefault="00EC2769" w:rsidP="001B3DA2">
      <w:pPr>
        <w:pStyle w:val="EndNoteBibliography"/>
      </w:pPr>
      <w:bookmarkStart w:id="751" w:name="_ENREF_177"/>
      <w:r w:rsidRPr="00EC2769">
        <w:t>177.</w:t>
      </w:r>
      <w:r w:rsidRPr="00EC2769">
        <w:tab/>
        <w:t>Cunnington D, Junge MF, Fernando AT. Insomnia: prevalence, consequences and effective treatment.</w:t>
      </w:r>
      <w:r w:rsidRPr="00EC2769">
        <w:rPr>
          <w:i/>
        </w:rPr>
        <w:t xml:space="preserve"> Med J Aust</w:t>
      </w:r>
      <w:r w:rsidRPr="00EC2769">
        <w:t>. 2013;199(8):S36-40. 10.5694/mja13.10718</w:t>
      </w:r>
      <w:bookmarkEnd w:id="751"/>
    </w:p>
    <w:p w14:paraId="3FE932FE" w14:textId="77777777" w:rsidR="00EC2769" w:rsidRPr="00EC2769" w:rsidRDefault="00EC2769" w:rsidP="001B3DA2">
      <w:pPr>
        <w:pStyle w:val="EndNoteBibliography"/>
      </w:pPr>
      <w:bookmarkStart w:id="752" w:name="_ENREF_178"/>
      <w:r w:rsidRPr="00EC2769">
        <w:t>178.</w:t>
      </w:r>
      <w:r w:rsidRPr="00EC2769">
        <w:tab/>
        <w:t>Ng L, Cunnington D. Management of insomnia in primary care.</w:t>
      </w:r>
      <w:r w:rsidRPr="00EC2769">
        <w:rPr>
          <w:i/>
        </w:rPr>
        <w:t xml:space="preserve"> Aust Prescr</w:t>
      </w:r>
      <w:r w:rsidRPr="00EC2769">
        <w:t>. 2021;44(4):124-8. 10.18773/austprescr.2021.027</w:t>
      </w:r>
      <w:bookmarkEnd w:id="752"/>
    </w:p>
    <w:p w14:paraId="30CA3428" w14:textId="77777777" w:rsidR="00EC2769" w:rsidRPr="00EC2769" w:rsidRDefault="00EC2769" w:rsidP="001B3DA2">
      <w:pPr>
        <w:pStyle w:val="EndNoteBibliography"/>
      </w:pPr>
      <w:bookmarkStart w:id="753" w:name="_ENREF_179"/>
      <w:r w:rsidRPr="00EC2769">
        <w:t>179.</w:t>
      </w:r>
      <w:r w:rsidRPr="00EC2769">
        <w:tab/>
        <w:t>Roth T. Insomnia: definition, prevalence, etiology, and consequences.</w:t>
      </w:r>
      <w:r w:rsidRPr="00EC2769">
        <w:rPr>
          <w:i/>
        </w:rPr>
        <w:t xml:space="preserve"> J Clin Sleep Med</w:t>
      </w:r>
      <w:r w:rsidRPr="00EC2769">
        <w:t xml:space="preserve">. 2007;3(5 Suppl):S7-10. </w:t>
      </w:r>
      <w:bookmarkEnd w:id="753"/>
    </w:p>
    <w:p w14:paraId="11EBB267" w14:textId="77777777" w:rsidR="00EC2769" w:rsidRPr="00EC2769" w:rsidRDefault="00EC2769" w:rsidP="001B3DA2">
      <w:pPr>
        <w:pStyle w:val="EndNoteBibliography"/>
      </w:pPr>
      <w:bookmarkStart w:id="754" w:name="_ENREF_180"/>
      <w:r w:rsidRPr="00EC2769">
        <w:t>180.</w:t>
      </w:r>
      <w:r w:rsidRPr="00EC2769">
        <w:tab/>
        <w:t>Datta K, Tripathi M, Mallick HN. Yoga Nidra: An innovative approach for management of chronic insomnia- A case report.</w:t>
      </w:r>
      <w:r w:rsidRPr="00EC2769">
        <w:rPr>
          <w:i/>
        </w:rPr>
        <w:t xml:space="preserve"> Sleep Science and Practice</w:t>
      </w:r>
      <w:r w:rsidRPr="00EC2769">
        <w:t>. 2017;1(1):7. 10.1186/s41606-017-0009-4</w:t>
      </w:r>
      <w:bookmarkEnd w:id="754"/>
    </w:p>
    <w:p w14:paraId="57E3B452" w14:textId="77777777" w:rsidR="00EC2769" w:rsidRPr="00EC2769" w:rsidRDefault="00EC2769" w:rsidP="001B3DA2">
      <w:pPr>
        <w:pStyle w:val="EndNoteBibliography"/>
      </w:pPr>
      <w:bookmarkStart w:id="755" w:name="_ENREF_181"/>
      <w:r w:rsidRPr="00EC2769">
        <w:t>181.</w:t>
      </w:r>
      <w:r w:rsidRPr="00EC2769">
        <w:tab/>
        <w:t>Harrison CC, Solomon EM, Pellow J. The effect of a homeopathic complex on psychophysiological onset insomnia in males: a randomized pilot study.</w:t>
      </w:r>
      <w:r w:rsidRPr="00EC2769">
        <w:rPr>
          <w:i/>
        </w:rPr>
        <w:t xml:space="preserve"> Altern Ther Health Med</w:t>
      </w:r>
      <w:r w:rsidRPr="00EC2769">
        <w:t xml:space="preserve">. 2013;19(5):38-43. </w:t>
      </w:r>
      <w:bookmarkEnd w:id="755"/>
    </w:p>
    <w:p w14:paraId="46071373" w14:textId="57ECC358" w:rsidR="00EC2769" w:rsidRPr="00EC2769" w:rsidRDefault="00EC2769" w:rsidP="001B3DA2">
      <w:pPr>
        <w:pStyle w:val="EndNoteBibliography"/>
      </w:pPr>
      <w:bookmarkStart w:id="756" w:name="_ENREF_182"/>
      <w:r w:rsidRPr="00EC2769">
        <w:t>182.</w:t>
      </w:r>
      <w:r w:rsidRPr="00EC2769">
        <w:tab/>
        <w:t>James M. Efficacy of individualized homeopathic treatment of insomnia: Double-blind, randomized, placebo-controlled clinical trial.</w:t>
      </w:r>
      <w:r w:rsidRPr="00EC2769">
        <w:rPr>
          <w:i/>
        </w:rPr>
        <w:t xml:space="preserve"> Complementary Therapies in Medicine</w:t>
      </w:r>
      <w:r w:rsidRPr="00EC2769">
        <w:t xml:space="preserve">. 2019;43:53-9. </w:t>
      </w:r>
      <w:hyperlink r:id="rId192" w:history="1">
        <w:r w:rsidRPr="00EC2769">
          <w:rPr>
            <w:rStyle w:val="Hyperlink"/>
            <w:rFonts w:cs="Calibri"/>
          </w:rPr>
          <w:t>https://dx.doi.org/10.1016/j.ctim.2019.01.007</w:t>
        </w:r>
        <w:bookmarkEnd w:id="756"/>
      </w:hyperlink>
    </w:p>
    <w:p w14:paraId="44CBBAA9" w14:textId="24854358" w:rsidR="00EC2769" w:rsidRPr="00EC2769" w:rsidRDefault="00EC2769" w:rsidP="001B3DA2">
      <w:pPr>
        <w:pStyle w:val="EndNoteBibliography"/>
      </w:pPr>
      <w:bookmarkStart w:id="757" w:name="_ENREF_183"/>
      <w:r w:rsidRPr="00EC2769">
        <w:t>183.</w:t>
      </w:r>
      <w:r w:rsidRPr="00EC2769">
        <w:tab/>
        <w:t>Jong C, Ilyenko L, Kholodova I, Verwer C, Burkart J, Weber S, et al. A comparative randomized controlled clinical trial on the effectiveness, safety, and tolerability of a homeopathic medicinal product in children with sleep disorders and restlessness. [Bulgarian].</w:t>
      </w:r>
      <w:r w:rsidRPr="00EC2769">
        <w:rPr>
          <w:i/>
        </w:rPr>
        <w:t xml:space="preserve"> Pediatriya</w:t>
      </w:r>
      <w:r w:rsidRPr="00EC2769">
        <w:t xml:space="preserve">. 2016;56(4):55-60. </w:t>
      </w:r>
      <w:hyperlink r:id="rId193" w:history="1">
        <w:r w:rsidRPr="00EC2769">
          <w:rPr>
            <w:rStyle w:val="Hyperlink"/>
            <w:rFonts w:cs="Calibri"/>
          </w:rPr>
          <w:t>https://dx.doi.org/10.1155/2016/9539030</w:t>
        </w:r>
        <w:bookmarkEnd w:id="757"/>
      </w:hyperlink>
    </w:p>
    <w:p w14:paraId="290D989B" w14:textId="77777777" w:rsidR="00EC2769" w:rsidRPr="00EC2769" w:rsidRDefault="00EC2769" w:rsidP="001B3DA2">
      <w:pPr>
        <w:pStyle w:val="EndNoteBibliography"/>
      </w:pPr>
      <w:bookmarkStart w:id="758" w:name="_ENREF_184"/>
      <w:r w:rsidRPr="00EC2769">
        <w:t>184.</w:t>
      </w:r>
      <w:r w:rsidRPr="00EC2769">
        <w:tab/>
        <w:t>Jong MC, Ilyenko L, Kholodova I, Verwer C, Burkart J, Weber S, et al. A Comparative Randomized Controlled Clinical Trial on the Effectiveness, Safety, and Tolerability of a Homeopathic Medicinal Product in Children with Sleep Disorders and Restlessness.</w:t>
      </w:r>
      <w:r w:rsidRPr="00EC2769">
        <w:rPr>
          <w:i/>
        </w:rPr>
        <w:t xml:space="preserve"> Evid Based Complement Alternat Med</w:t>
      </w:r>
      <w:r w:rsidRPr="00EC2769">
        <w:t>. 2016;2016(4):9539030. 10.1155/2016/9539030</w:t>
      </w:r>
      <w:bookmarkEnd w:id="758"/>
    </w:p>
    <w:p w14:paraId="5B7467A9" w14:textId="5BB9A642" w:rsidR="00EC2769" w:rsidRPr="00EC2769" w:rsidRDefault="00EC2769" w:rsidP="001B3DA2">
      <w:pPr>
        <w:pStyle w:val="EndNoteBibliography"/>
      </w:pPr>
      <w:bookmarkStart w:id="759" w:name="_ENREF_185"/>
      <w:r w:rsidRPr="00EC2769">
        <w:t>185.</w:t>
      </w:r>
      <w:r w:rsidRPr="00EC2769">
        <w:tab/>
        <w:t>Burkart J, Jong MC, Ilenkyo L, Kholodova I, Verwer C, Weber S, et al. Results of a randomised controlled trial with a homeopathic complex medicinal product in children with sleep disorders and restlessness.</w:t>
      </w:r>
      <w:r w:rsidRPr="00EC2769">
        <w:rPr>
          <w:i/>
        </w:rPr>
        <w:t xml:space="preserve"> Archives of Disease in Childhood</w:t>
      </w:r>
      <w:r w:rsidRPr="00EC2769">
        <w:t xml:space="preserve">. 2017;102(Supplement 2):A100-A1. </w:t>
      </w:r>
      <w:hyperlink r:id="rId194" w:history="1">
        <w:r w:rsidRPr="00EC2769">
          <w:rPr>
            <w:rStyle w:val="Hyperlink"/>
            <w:rFonts w:cs="Calibri"/>
          </w:rPr>
          <w:t>https://dx.doi.org/10.1136/archdischild-2017-313273.260</w:t>
        </w:r>
        <w:bookmarkEnd w:id="759"/>
      </w:hyperlink>
    </w:p>
    <w:p w14:paraId="3D9B8A32" w14:textId="77777777" w:rsidR="00EC2769" w:rsidRPr="00EC2769" w:rsidRDefault="00EC2769" w:rsidP="001B3DA2">
      <w:pPr>
        <w:pStyle w:val="EndNoteBibliography"/>
      </w:pPr>
      <w:bookmarkStart w:id="760" w:name="_ENREF_186"/>
      <w:r w:rsidRPr="00EC2769">
        <w:t>186.</w:t>
      </w:r>
      <w:r w:rsidRPr="00EC2769">
        <w:tab/>
        <w:t>Naude DF, Stephanie Couchman IM, Maharaj A. Chronic primary insomnia: efficacy of homeopathic simillimum.</w:t>
      </w:r>
      <w:r w:rsidRPr="00EC2769">
        <w:rPr>
          <w:i/>
        </w:rPr>
        <w:t xml:space="preserve"> Homeopathy</w:t>
      </w:r>
      <w:r w:rsidRPr="00EC2769">
        <w:t>. 2010;99(1):63-8. 10.1016/j.homp.2009.11.001</w:t>
      </w:r>
      <w:bookmarkEnd w:id="760"/>
    </w:p>
    <w:p w14:paraId="551EABF0" w14:textId="77777777" w:rsidR="00EC2769" w:rsidRPr="00EC2769" w:rsidRDefault="00EC2769" w:rsidP="001B3DA2">
      <w:pPr>
        <w:pStyle w:val="EndNoteBibliography"/>
      </w:pPr>
      <w:bookmarkStart w:id="761" w:name="_ENREF_187"/>
      <w:r w:rsidRPr="00EC2769">
        <w:lastRenderedPageBreak/>
        <w:t>187.</w:t>
      </w:r>
      <w:r w:rsidRPr="00EC2769">
        <w:tab/>
        <w:t>Morin CM, Belleville G, Bélanger L, Ivers H. The Insomnia Severity Index: psychometric indicators to detect insomnia cases and evaluate treatment response.</w:t>
      </w:r>
      <w:r w:rsidRPr="00EC2769">
        <w:rPr>
          <w:i/>
        </w:rPr>
        <w:t xml:space="preserve"> Sleep</w:t>
      </w:r>
      <w:r w:rsidRPr="00EC2769">
        <w:t>. 2011;34(5):601-8. 10.1093/sleep/34.5.601</w:t>
      </w:r>
      <w:bookmarkEnd w:id="761"/>
    </w:p>
    <w:p w14:paraId="0BD4CCBE" w14:textId="77777777" w:rsidR="00EC2769" w:rsidRPr="00EC2769" w:rsidRDefault="00EC2769" w:rsidP="001B3DA2">
      <w:pPr>
        <w:pStyle w:val="EndNoteBibliography"/>
      </w:pPr>
      <w:bookmarkStart w:id="762" w:name="_ENREF_188"/>
      <w:r w:rsidRPr="00EC2769">
        <w:t>188.</w:t>
      </w:r>
      <w:r w:rsidRPr="00EC2769">
        <w:tab/>
        <w:t>Cheuk DKL, Yeung WF, Chung KF, Wong V. Acupuncture for insomnia.</w:t>
      </w:r>
      <w:r w:rsidRPr="00EC2769">
        <w:rPr>
          <w:i/>
        </w:rPr>
        <w:t xml:space="preserve"> Cochrane Database of Systematic Reviews</w:t>
      </w:r>
      <w:r w:rsidRPr="00EC2769">
        <w:t>. 2012(9). 10.1002/14651858.CD005472.pub3</w:t>
      </w:r>
      <w:bookmarkEnd w:id="762"/>
    </w:p>
    <w:p w14:paraId="2CAF3ACC" w14:textId="453D8F84" w:rsidR="00EC2769" w:rsidRPr="00EC2769" w:rsidRDefault="00EC2769" w:rsidP="001B3DA2">
      <w:pPr>
        <w:pStyle w:val="EndNoteBibliography"/>
      </w:pPr>
      <w:bookmarkStart w:id="763" w:name="_ENREF_189"/>
      <w:r w:rsidRPr="00EC2769">
        <w:t>189.</w:t>
      </w:r>
      <w:r w:rsidRPr="00EC2769">
        <w:tab/>
        <w:t xml:space="preserve">Alexander L LJ. Tension type headache  [Available from: </w:t>
      </w:r>
      <w:hyperlink r:id="rId195" w:history="1">
        <w:r w:rsidRPr="00EC2769">
          <w:rPr>
            <w:rStyle w:val="Hyperlink"/>
            <w:rFonts w:cs="Calibri"/>
          </w:rPr>
          <w:t>https://headacheaustralia.org.au/tension-headache/</w:t>
        </w:r>
      </w:hyperlink>
      <w:r w:rsidRPr="00EC2769">
        <w:t>.</w:t>
      </w:r>
      <w:bookmarkEnd w:id="763"/>
    </w:p>
    <w:p w14:paraId="31BDADD8" w14:textId="4C4A5EA5" w:rsidR="00EC2769" w:rsidRPr="00EC2769" w:rsidRDefault="00EC2769" w:rsidP="001B3DA2">
      <w:pPr>
        <w:pStyle w:val="EndNoteBibliography"/>
      </w:pPr>
      <w:bookmarkStart w:id="764" w:name="_ENREF_190"/>
      <w:r w:rsidRPr="00EC2769">
        <w:t>190.</w:t>
      </w:r>
      <w:r w:rsidRPr="00EC2769">
        <w:tab/>
        <w:t xml:space="preserve">Australia M. Burden of Migraine  [Available from: </w:t>
      </w:r>
      <w:hyperlink r:id="rId196" w:history="1">
        <w:r w:rsidRPr="00EC2769">
          <w:rPr>
            <w:rStyle w:val="Hyperlink"/>
            <w:rFonts w:cs="Calibri"/>
          </w:rPr>
          <w:t>https://www.migraine.org.au/burden</w:t>
        </w:r>
      </w:hyperlink>
      <w:r w:rsidRPr="00EC2769">
        <w:t>.</w:t>
      </w:r>
      <w:bookmarkEnd w:id="764"/>
    </w:p>
    <w:p w14:paraId="5A7EB53E" w14:textId="7CF3EDBD" w:rsidR="00EC2769" w:rsidRPr="00EC2769" w:rsidRDefault="00EC2769" w:rsidP="001B3DA2">
      <w:pPr>
        <w:pStyle w:val="EndNoteBibliography"/>
      </w:pPr>
      <w:bookmarkStart w:id="765" w:name="_ENREF_191"/>
      <w:r w:rsidRPr="00EC2769">
        <w:t>191.</w:t>
      </w:r>
      <w:r w:rsidRPr="00EC2769">
        <w:tab/>
        <w:t xml:space="preserve">Channel BH. Headache 2018 [Available from: </w:t>
      </w:r>
      <w:hyperlink r:id="rId197" w:history="1">
        <w:r w:rsidRPr="00EC2769">
          <w:rPr>
            <w:rStyle w:val="Hyperlink"/>
            <w:rFonts w:cs="Calibri"/>
          </w:rPr>
          <w:t>https://www.betterhealth.vic.gov.au/health/ConditionsAndTreatments/headache</w:t>
        </w:r>
      </w:hyperlink>
      <w:r w:rsidRPr="00EC2769">
        <w:t>.</w:t>
      </w:r>
      <w:bookmarkEnd w:id="765"/>
    </w:p>
    <w:p w14:paraId="0F8D1091" w14:textId="77777777" w:rsidR="00EC2769" w:rsidRPr="00EC2769" w:rsidRDefault="00EC2769" w:rsidP="001B3DA2">
      <w:pPr>
        <w:pStyle w:val="EndNoteBibliography"/>
      </w:pPr>
      <w:bookmarkStart w:id="766" w:name="_ENREF_192"/>
      <w:r w:rsidRPr="00EC2769">
        <w:t>192.</w:t>
      </w:r>
      <w:r w:rsidRPr="00EC2769">
        <w:tab/>
        <w:t>Tu S, Liew D, Ademi Z, Owen AJ, Zomer E. The Health and Productivity Burden of Migraines in Australia.</w:t>
      </w:r>
      <w:r w:rsidRPr="00EC2769">
        <w:rPr>
          <w:i/>
        </w:rPr>
        <w:t xml:space="preserve"> Headache</w:t>
      </w:r>
      <w:r w:rsidRPr="00EC2769">
        <w:t>. 2020;60(10):2291-303. 10.1111/head.13969</w:t>
      </w:r>
      <w:bookmarkEnd w:id="766"/>
    </w:p>
    <w:p w14:paraId="5E0FA91D" w14:textId="1C48B829" w:rsidR="00EC2769" w:rsidRPr="00EC2769" w:rsidRDefault="00EC2769" w:rsidP="001B3DA2">
      <w:pPr>
        <w:pStyle w:val="EndNoteBibliography"/>
      </w:pPr>
      <w:bookmarkStart w:id="767" w:name="_ENREF_193"/>
      <w:r w:rsidRPr="00EC2769">
        <w:t>193.</w:t>
      </w:r>
      <w:r w:rsidRPr="00EC2769">
        <w:tab/>
        <w:t xml:space="preserve">Australia MaH. Migraine  [Available from: </w:t>
      </w:r>
      <w:hyperlink r:id="rId198" w:history="1">
        <w:r w:rsidRPr="00EC2769">
          <w:rPr>
            <w:rStyle w:val="Hyperlink"/>
            <w:rFonts w:cs="Calibri"/>
          </w:rPr>
          <w:t>https://headacheaustralia.org.au/migraine/#</w:t>
        </w:r>
      </w:hyperlink>
      <w:r w:rsidRPr="00EC2769">
        <w:t>.</w:t>
      </w:r>
      <w:bookmarkEnd w:id="767"/>
    </w:p>
    <w:p w14:paraId="58257CB9" w14:textId="6BD9C853" w:rsidR="00EC2769" w:rsidRPr="00EC2769" w:rsidRDefault="00EC2769" w:rsidP="001B3DA2">
      <w:pPr>
        <w:pStyle w:val="EndNoteBibliography"/>
      </w:pPr>
      <w:bookmarkStart w:id="768" w:name="_ENREF_194"/>
      <w:r w:rsidRPr="00EC2769">
        <w:t>194.</w:t>
      </w:r>
      <w:r w:rsidRPr="00EC2769">
        <w:tab/>
        <w:t xml:space="preserve">Australian Bureau of Statistics. National Health Survey: First results 2017-18  2018. [Accessed: 13/07/2023]. Available from: </w:t>
      </w:r>
      <w:hyperlink r:id="rId199" w:history="1">
        <w:r w:rsidRPr="00EC2769">
          <w:rPr>
            <w:rStyle w:val="Hyperlink"/>
            <w:rFonts w:cs="Calibri"/>
          </w:rPr>
          <w:t>https://www.abs.gov.au/statistics/health/health-conditions-and-risks/national-health-survey-first-results/latest-release</w:t>
        </w:r>
      </w:hyperlink>
      <w:r w:rsidRPr="00EC2769">
        <w:t>.</w:t>
      </w:r>
      <w:bookmarkEnd w:id="768"/>
    </w:p>
    <w:p w14:paraId="245F3BD2" w14:textId="77777777" w:rsidR="00EC2769" w:rsidRPr="00EC2769" w:rsidRDefault="00EC2769" w:rsidP="001B3DA2">
      <w:pPr>
        <w:pStyle w:val="EndNoteBibliography"/>
      </w:pPr>
      <w:bookmarkStart w:id="769" w:name="_ENREF_195"/>
      <w:r w:rsidRPr="00EC2769">
        <w:t>195.</w:t>
      </w:r>
      <w:r w:rsidRPr="00EC2769">
        <w:tab/>
        <w:t>Gaus W. Biometrische Aspekte der 'Munchener Kopfschmerzstudie'.</w:t>
      </w:r>
      <w:r w:rsidRPr="00EC2769">
        <w:rPr>
          <w:i/>
        </w:rPr>
        <w:t xml:space="preserve"> Allgemeine Homoopathische Zeitung</w:t>
      </w:r>
      <w:r w:rsidRPr="00EC2769">
        <w:t xml:space="preserve">. 1997;242(6):245-9. </w:t>
      </w:r>
      <w:bookmarkEnd w:id="769"/>
    </w:p>
    <w:p w14:paraId="6F8F4D76" w14:textId="77777777" w:rsidR="00EC2769" w:rsidRPr="00EC2769" w:rsidRDefault="00EC2769" w:rsidP="001B3DA2">
      <w:pPr>
        <w:pStyle w:val="EndNoteBibliography"/>
      </w:pPr>
      <w:bookmarkStart w:id="770" w:name="_ENREF_196"/>
      <w:r w:rsidRPr="00EC2769">
        <w:t>196.</w:t>
      </w:r>
      <w:r w:rsidRPr="00EC2769">
        <w:tab/>
        <w:t>Gaus W, Walach H, Haag G. [The efficacy of classic homeopathic therapy in chronic headache. Study protocol.].</w:t>
      </w:r>
      <w:r w:rsidRPr="00EC2769">
        <w:rPr>
          <w:i/>
        </w:rPr>
        <w:t xml:space="preserve"> Schmerz</w:t>
      </w:r>
      <w:r w:rsidRPr="00EC2769">
        <w:t>. 1992;6(2):134-40. 10.1007/BF02528131</w:t>
      </w:r>
      <w:bookmarkEnd w:id="770"/>
    </w:p>
    <w:p w14:paraId="24C241DF" w14:textId="67A9D7DF" w:rsidR="00EC2769" w:rsidRPr="00EC2769" w:rsidRDefault="00EC2769" w:rsidP="001B3DA2">
      <w:pPr>
        <w:pStyle w:val="EndNoteBibliography"/>
      </w:pPr>
      <w:bookmarkStart w:id="771" w:name="_ENREF_197"/>
      <w:r w:rsidRPr="00EC2769">
        <w:t>197.</w:t>
      </w:r>
      <w:r w:rsidRPr="00EC2769">
        <w:tab/>
        <w:t>Straumsheim P, Borchgrevink C, Mowinckel P, Kierulf H, Hafslund O. Homeopathic treatment of migraine: A double blind, placebo controlled trial of 68 patients.</w:t>
      </w:r>
      <w:r w:rsidRPr="00EC2769">
        <w:rPr>
          <w:i/>
        </w:rPr>
        <w:t xml:space="preserve"> British Homeopathic Journal</w:t>
      </w:r>
      <w:r w:rsidRPr="00EC2769">
        <w:t xml:space="preserve">. 2000;89(1):4-7. </w:t>
      </w:r>
      <w:hyperlink r:id="rId200" w:history="1">
        <w:r w:rsidRPr="00EC2769">
          <w:rPr>
            <w:rStyle w:val="Hyperlink"/>
            <w:rFonts w:cs="Calibri"/>
          </w:rPr>
          <w:t>http://dx.doi.org/10.1054/homp.1999.0332</w:t>
        </w:r>
        <w:bookmarkEnd w:id="771"/>
      </w:hyperlink>
    </w:p>
    <w:p w14:paraId="200E6F01" w14:textId="77777777" w:rsidR="00EC2769" w:rsidRPr="00EC2769" w:rsidRDefault="00EC2769" w:rsidP="001B3DA2">
      <w:pPr>
        <w:pStyle w:val="EndNoteBibliography"/>
      </w:pPr>
      <w:bookmarkStart w:id="772" w:name="_ENREF_198"/>
      <w:r w:rsidRPr="00EC2769">
        <w:t>198.</w:t>
      </w:r>
      <w:r w:rsidRPr="00EC2769">
        <w:tab/>
        <w:t>Straumsheim PA, Borchgrevink C, Mowinckel P, Kierulf H, Hafslund O. Homoeopathic treatment of migraine. A double-blind placebo controlled trial of 68 patients.</w:t>
      </w:r>
      <w:r w:rsidRPr="00EC2769">
        <w:rPr>
          <w:i/>
        </w:rPr>
        <w:t xml:space="preserve"> Dynamis (Granada, Spain)</w:t>
      </w:r>
      <w:r w:rsidRPr="00EC2769">
        <w:t xml:space="preserve">. 1997;2. </w:t>
      </w:r>
      <w:bookmarkEnd w:id="772"/>
    </w:p>
    <w:p w14:paraId="0E63FB7D" w14:textId="0CEEFFED" w:rsidR="00EC2769" w:rsidRPr="00EC2769" w:rsidRDefault="00EC2769" w:rsidP="001B3DA2">
      <w:pPr>
        <w:pStyle w:val="EndNoteBibliography"/>
      </w:pPr>
      <w:bookmarkStart w:id="773" w:name="_ENREF_199"/>
      <w:r w:rsidRPr="00EC2769">
        <w:t>199.</w:t>
      </w:r>
      <w:r w:rsidRPr="00EC2769">
        <w:tab/>
        <w:t>Walach H, Haeusler W, Lowes T, Mussbach D, Schamell U, Springer W, et al. Classical homeopathic treatment of chronic headaches.</w:t>
      </w:r>
      <w:r w:rsidRPr="00EC2769">
        <w:rPr>
          <w:i/>
        </w:rPr>
        <w:t xml:space="preserve"> Cephalalgia</w:t>
      </w:r>
      <w:r w:rsidRPr="00EC2769">
        <w:t xml:space="preserve">. 1997;17(2):119-26. </w:t>
      </w:r>
      <w:hyperlink r:id="rId201" w:history="1">
        <w:r w:rsidRPr="00EC2769">
          <w:rPr>
            <w:rStyle w:val="Hyperlink"/>
            <w:rFonts w:cs="Calibri"/>
          </w:rPr>
          <w:t>https://dx.doi.org/10.1046/j.1468-2982.1997.1702119.x</w:t>
        </w:r>
        <w:bookmarkEnd w:id="773"/>
      </w:hyperlink>
    </w:p>
    <w:p w14:paraId="557CB00B" w14:textId="015AACD1" w:rsidR="00EC2769" w:rsidRPr="00EC2769" w:rsidRDefault="00EC2769" w:rsidP="001B3DA2">
      <w:pPr>
        <w:pStyle w:val="EndNoteBibliography"/>
      </w:pPr>
      <w:bookmarkStart w:id="774" w:name="_ENREF_200"/>
      <w:r w:rsidRPr="00EC2769">
        <w:t>200.</w:t>
      </w:r>
      <w:r w:rsidRPr="00EC2769">
        <w:tab/>
        <w:t>Walach H, Lowes T, Mussbach D, Schamell U, Springer W, Stritzl G, et al. The long-term effects of homeopathic treatment of chronic headaches: 1 Year follow up.</w:t>
      </w:r>
      <w:r w:rsidRPr="00EC2769">
        <w:rPr>
          <w:i/>
        </w:rPr>
        <w:t xml:space="preserve"> Cephalalgia</w:t>
      </w:r>
      <w:r w:rsidRPr="00EC2769">
        <w:t xml:space="preserve">. 2000;20(9):835-7. </w:t>
      </w:r>
      <w:hyperlink r:id="rId202" w:history="1">
        <w:r w:rsidRPr="00EC2769">
          <w:rPr>
            <w:rStyle w:val="Hyperlink"/>
            <w:rFonts w:cs="Calibri"/>
          </w:rPr>
          <w:t>https://dx.doi.org/10.1046/j.1468-2982.2000.00129.x</w:t>
        </w:r>
        <w:bookmarkEnd w:id="774"/>
      </w:hyperlink>
    </w:p>
    <w:p w14:paraId="09839DD7" w14:textId="572AA7EB" w:rsidR="00EC2769" w:rsidRPr="00EC2769" w:rsidRDefault="00EC2769" w:rsidP="001B3DA2">
      <w:pPr>
        <w:pStyle w:val="EndNoteBibliography"/>
      </w:pPr>
      <w:bookmarkStart w:id="775" w:name="_ENREF_201"/>
      <w:r w:rsidRPr="00EC2769">
        <w:t>201.</w:t>
      </w:r>
      <w:r w:rsidRPr="00EC2769">
        <w:tab/>
        <w:t>Whitmarsh TE, Coleston-Shields DM, Steiner TJ. Double-blind randomized placebo-controlled study of homoeopathic prophylaxis of migraine.</w:t>
      </w:r>
      <w:r w:rsidRPr="00EC2769">
        <w:rPr>
          <w:i/>
        </w:rPr>
        <w:t xml:space="preserve"> Cephalalgia</w:t>
      </w:r>
      <w:r w:rsidRPr="00EC2769">
        <w:t xml:space="preserve">. 1997;17(5):600-4. </w:t>
      </w:r>
      <w:hyperlink r:id="rId203" w:history="1">
        <w:r w:rsidRPr="00EC2769">
          <w:rPr>
            <w:rStyle w:val="Hyperlink"/>
            <w:rFonts w:cs="Calibri"/>
          </w:rPr>
          <w:t>https://dx.doi.org/10.1046/j.1468-2982.1997.1705600.x</w:t>
        </w:r>
        <w:bookmarkEnd w:id="775"/>
      </w:hyperlink>
    </w:p>
    <w:p w14:paraId="6920461F" w14:textId="2772A764" w:rsidR="00EC2769" w:rsidRPr="00EC2769" w:rsidRDefault="00EC2769" w:rsidP="001B3DA2">
      <w:pPr>
        <w:pStyle w:val="EndNoteBibliography"/>
      </w:pPr>
      <w:bookmarkStart w:id="776" w:name="_ENREF_202"/>
      <w:r w:rsidRPr="00EC2769">
        <w:t>202.</w:t>
      </w:r>
      <w:r w:rsidRPr="00EC2769">
        <w:tab/>
        <w:t xml:space="preserve">Australian Institute of Health and Welfare. Chronic respiratory conditions. 2023. [Accessed. Available from: </w:t>
      </w:r>
      <w:hyperlink r:id="rId204" w:history="1">
        <w:r w:rsidRPr="00EC2769">
          <w:rPr>
            <w:rStyle w:val="Hyperlink"/>
            <w:rFonts w:cs="Calibri"/>
          </w:rPr>
          <w:t>https://www.aihw.gov.au/reports/chronic-respiratory-conditions/chronic-respiratory-conditions</w:t>
        </w:r>
      </w:hyperlink>
      <w:r w:rsidRPr="00EC2769">
        <w:t>.</w:t>
      </w:r>
      <w:bookmarkEnd w:id="776"/>
    </w:p>
    <w:p w14:paraId="1875B189" w14:textId="48BAD48A" w:rsidR="00EC2769" w:rsidRPr="00EC2769" w:rsidRDefault="00EC2769" w:rsidP="001B3DA2">
      <w:pPr>
        <w:pStyle w:val="EndNoteBibliography"/>
      </w:pPr>
      <w:bookmarkStart w:id="777" w:name="_ENREF_203"/>
      <w:r w:rsidRPr="00EC2769">
        <w:t>203.</w:t>
      </w:r>
      <w:r w:rsidRPr="00EC2769">
        <w:tab/>
        <w:t xml:space="preserve">Australian Institute of Health and Welfare. Arthritis. 2020. [Accessed. Available from: </w:t>
      </w:r>
      <w:hyperlink r:id="rId205" w:history="1">
        <w:r w:rsidRPr="00EC2769">
          <w:rPr>
            <w:rStyle w:val="Hyperlink"/>
            <w:rFonts w:cs="Calibri"/>
          </w:rPr>
          <w:t>https://www.aihw.gov.au/reports/chronic-musculoskeletal-conditions/arthritis</w:t>
        </w:r>
      </w:hyperlink>
      <w:r w:rsidRPr="00EC2769">
        <w:t>.</w:t>
      </w:r>
      <w:bookmarkEnd w:id="777"/>
    </w:p>
    <w:p w14:paraId="7FA74A9D" w14:textId="27DD8744" w:rsidR="00EC2769" w:rsidRPr="00EC2769" w:rsidRDefault="00EC2769" w:rsidP="001B3DA2">
      <w:pPr>
        <w:pStyle w:val="EndNoteBibliography"/>
      </w:pPr>
      <w:bookmarkStart w:id="778" w:name="_ENREF_204"/>
      <w:r w:rsidRPr="00EC2769">
        <w:t>204.</w:t>
      </w:r>
      <w:r w:rsidRPr="00EC2769">
        <w:tab/>
        <w:t xml:space="preserve">Australian Institute of Health and Welfare. Australian Burden of Disease Study 2022. 2022. [Accessed. Available from: </w:t>
      </w:r>
      <w:hyperlink r:id="rId206" w:history="1">
        <w:r w:rsidRPr="00EC2769">
          <w:rPr>
            <w:rStyle w:val="Hyperlink"/>
            <w:rFonts w:cs="Calibri"/>
          </w:rPr>
          <w:t>https://www.aihw.gov.au/reports/burden-of-disease/australian-burden-of-disease-study-2022</w:t>
        </w:r>
      </w:hyperlink>
      <w:r w:rsidRPr="00EC2769">
        <w:t>.</w:t>
      </w:r>
      <w:bookmarkEnd w:id="778"/>
    </w:p>
    <w:p w14:paraId="579C213F" w14:textId="77777777" w:rsidR="00EC2769" w:rsidRPr="00EC2769" w:rsidRDefault="00EC2769" w:rsidP="001B3DA2">
      <w:pPr>
        <w:pStyle w:val="EndNoteBibliography"/>
      </w:pPr>
      <w:bookmarkStart w:id="779" w:name="_ENREF_205"/>
      <w:r w:rsidRPr="00EC2769">
        <w:t>205.</w:t>
      </w:r>
      <w:r w:rsidRPr="00EC2769">
        <w:tab/>
        <w:t>The Hidden Cost of Asthma. In: Asthma Australia NAC, editor. Canberra: Deloitte Access Economics; 2015.</w:t>
      </w:r>
      <w:bookmarkEnd w:id="779"/>
    </w:p>
    <w:p w14:paraId="3B87CF56" w14:textId="77777777" w:rsidR="00EC2769" w:rsidRPr="00EC2769" w:rsidRDefault="00EC2769" w:rsidP="001B3DA2">
      <w:pPr>
        <w:pStyle w:val="EndNoteBibliography"/>
      </w:pPr>
      <w:bookmarkStart w:id="780" w:name="_ENREF_206"/>
      <w:r w:rsidRPr="00EC2769">
        <w:t>206.</w:t>
      </w:r>
      <w:r w:rsidRPr="00EC2769">
        <w:tab/>
        <w:t>White A, Slade P, Hunt C, Hart A, Ernst E. Individualised homeopathy as an adjunct in the treatment of childhood asthma: a randomised placebo controlled trial.</w:t>
      </w:r>
      <w:r w:rsidRPr="00EC2769">
        <w:rPr>
          <w:i/>
        </w:rPr>
        <w:t xml:space="preserve"> Thorax</w:t>
      </w:r>
      <w:r w:rsidRPr="00EC2769">
        <w:t>. 2003;58(4):317-21. 10.1136/thorax.58.4.317</w:t>
      </w:r>
      <w:bookmarkEnd w:id="780"/>
    </w:p>
    <w:p w14:paraId="35298E6B" w14:textId="77777777" w:rsidR="00EC2769" w:rsidRPr="00EC2769" w:rsidRDefault="00EC2769" w:rsidP="001B3DA2">
      <w:pPr>
        <w:pStyle w:val="EndNoteBibliography"/>
      </w:pPr>
      <w:bookmarkStart w:id="781" w:name="_ENREF_207"/>
      <w:r w:rsidRPr="00EC2769">
        <w:t>207.</w:t>
      </w:r>
      <w:r w:rsidRPr="00EC2769">
        <w:tab/>
        <w:t>Lewith GT, Watkins AD, Hyland ME, Shaw S, Broomfield JA, Dolan G, et al. Use of ultramolecular potencies of allergen to treat asthmatic people allergic to house dust mite: Double blind randomised controlled clinical trial.</w:t>
      </w:r>
      <w:r w:rsidRPr="00EC2769">
        <w:rPr>
          <w:i/>
        </w:rPr>
        <w:t xml:space="preserve"> British Medical Journal</w:t>
      </w:r>
      <w:r w:rsidRPr="00EC2769">
        <w:t xml:space="preserve">. 2002;324(7336):520-3. </w:t>
      </w:r>
      <w:bookmarkEnd w:id="781"/>
    </w:p>
    <w:p w14:paraId="38106851" w14:textId="77777777" w:rsidR="00EC2769" w:rsidRPr="00EC2769" w:rsidRDefault="00EC2769" w:rsidP="001B3DA2">
      <w:pPr>
        <w:pStyle w:val="EndNoteBibliography"/>
      </w:pPr>
      <w:bookmarkStart w:id="782" w:name="_ENREF_208"/>
      <w:r w:rsidRPr="00EC2769">
        <w:lastRenderedPageBreak/>
        <w:t>208.</w:t>
      </w:r>
      <w:r w:rsidRPr="00EC2769">
        <w:tab/>
        <w:t>Qutubuddin M, Murty Singh S, Nayak C, Koley M, Saha S. Efficacy of individualized homeopathy in bronchial asthma in adults: Double-blind, randomized, placebo-controlled, clinical trial in the context of usual care.</w:t>
      </w:r>
      <w:r w:rsidRPr="00EC2769">
        <w:rPr>
          <w:i/>
        </w:rPr>
        <w:t xml:space="preserve"> Advances in Integrative Medicine</w:t>
      </w:r>
      <w:r w:rsidRPr="00EC2769">
        <w:t>. 2019;6(2):58-65. 10.1016/j.aimed.2018.08.005</w:t>
      </w:r>
      <w:bookmarkEnd w:id="782"/>
    </w:p>
    <w:p w14:paraId="6173FE1B" w14:textId="77777777" w:rsidR="00EC2769" w:rsidRPr="00EC2769" w:rsidRDefault="00EC2769" w:rsidP="001B3DA2">
      <w:pPr>
        <w:pStyle w:val="EndNoteBibliography"/>
      </w:pPr>
      <w:bookmarkStart w:id="783" w:name="_ENREF_209"/>
      <w:r w:rsidRPr="00EC2769">
        <w:t>209.</w:t>
      </w:r>
      <w:r w:rsidRPr="00EC2769">
        <w:tab/>
        <w:t>Reilly D, Taylor M, Beattie N, Campbell J, McSharry C, Aitchison T, et al. Is evidence for homoeopathy reproducible?</w:t>
      </w:r>
      <w:r w:rsidRPr="00EC2769">
        <w:rPr>
          <w:i/>
        </w:rPr>
        <w:t xml:space="preserve"> Lancet</w:t>
      </w:r>
      <w:r w:rsidRPr="00EC2769">
        <w:t xml:space="preserve">. 1994;344(8937):1601-6. </w:t>
      </w:r>
      <w:bookmarkEnd w:id="783"/>
    </w:p>
    <w:p w14:paraId="758BE395" w14:textId="77777777" w:rsidR="00EC2769" w:rsidRPr="00EC2769" w:rsidRDefault="00EC2769" w:rsidP="001B3DA2">
      <w:pPr>
        <w:pStyle w:val="EndNoteBibliography"/>
      </w:pPr>
      <w:bookmarkStart w:id="784" w:name="_ENREF_210"/>
      <w:r w:rsidRPr="00EC2769">
        <w:t>210.</w:t>
      </w:r>
      <w:r w:rsidRPr="00EC2769">
        <w:tab/>
        <w:t>Topcu A, Nielsen LP, Dahl R. Effect of reflexology, homeopathy, and traditional medical treatment in asthma: A randomised, controlled, parallel-group trial. .</w:t>
      </w:r>
      <w:r w:rsidRPr="00EC2769">
        <w:rPr>
          <w:i/>
        </w:rPr>
        <w:t xml:space="preserve"> Eur Respir J </w:t>
      </w:r>
      <w:r w:rsidRPr="00EC2769">
        <w:t xml:space="preserve">2010;36 (Suppl. 54, 3763). </w:t>
      </w:r>
      <w:bookmarkEnd w:id="784"/>
    </w:p>
    <w:p w14:paraId="3B24273D" w14:textId="06E0BA65" w:rsidR="00EC2769" w:rsidRPr="00EC2769" w:rsidRDefault="00EC2769" w:rsidP="001B3DA2">
      <w:pPr>
        <w:pStyle w:val="EndNoteBibliography"/>
      </w:pPr>
      <w:bookmarkStart w:id="785" w:name="_ENREF_211"/>
      <w:r w:rsidRPr="00EC2769">
        <w:t>211.</w:t>
      </w:r>
      <w:r w:rsidRPr="00EC2769">
        <w:tab/>
        <w:t>Topcu A, Lokke A, Eriksen L, Nielsen LP, Dahl R. Evaluating the effect on asthma quality of life of added reflexology or homeopathy to conventional asthma managementâan investigator-blinded, randomised, controlled parallel group study.</w:t>
      </w:r>
      <w:r w:rsidRPr="00EC2769">
        <w:rPr>
          <w:i/>
        </w:rPr>
        <w:t xml:space="preserve"> European Clinical Respiratory Journal</w:t>
      </w:r>
      <w:r w:rsidRPr="00EC2769">
        <w:t>. 2020;7(1). 10.1080/20018525.2020.1793526</w:t>
      </w:r>
      <w:bookmarkEnd w:id="785"/>
    </w:p>
    <w:p w14:paraId="1B3CBB97" w14:textId="2A145E2D" w:rsidR="00EC2769" w:rsidRPr="00EC2769" w:rsidRDefault="00EC2769" w:rsidP="001B3DA2">
      <w:pPr>
        <w:pStyle w:val="EndNoteBibliography"/>
      </w:pPr>
      <w:bookmarkStart w:id="786" w:name="_ENREF_212"/>
      <w:r w:rsidRPr="00EC2769">
        <w:t>212.</w:t>
      </w:r>
      <w:r w:rsidRPr="00EC2769">
        <w:tab/>
        <w:t>Topcu A, Lokke Ottesen A, Eriksen L, Nielsen LP, Dahl R. The impact of reflexology and homeopathy added to conventional asthma treatment on markers of airway inflammationÃ¢â</w:t>
      </w:r>
      <w:r w:rsidRPr="00EC2769">
        <w:rPr>
          <w:rFonts w:cs="Montserrat"/>
        </w:rPr>
        <w:t>â</w:t>
      </w:r>
      <w:r w:rsidRPr="00EC2769">
        <w:t xml:space="preserve"> randomised study.</w:t>
      </w:r>
      <w:r w:rsidRPr="00EC2769">
        <w:rPr>
          <w:i/>
        </w:rPr>
        <w:t xml:space="preserve"> European Clinical Respiratory Journal</w:t>
      </w:r>
      <w:r w:rsidRPr="00EC2769">
        <w:t>. 2020;7(1). 10.1080/20018525.2020.1726153</w:t>
      </w:r>
      <w:bookmarkEnd w:id="786"/>
    </w:p>
    <w:p w14:paraId="4783C080" w14:textId="6DBC2804" w:rsidR="00EC2769" w:rsidRPr="00EC2769" w:rsidRDefault="00EC2769" w:rsidP="001B3DA2">
      <w:pPr>
        <w:pStyle w:val="EndNoteBibliography"/>
      </w:pPr>
      <w:bookmarkStart w:id="787" w:name="_ENREF_213"/>
      <w:r w:rsidRPr="00EC2769">
        <w:t>213.</w:t>
      </w:r>
      <w:r w:rsidRPr="00EC2769">
        <w:tab/>
        <w:t>Topcu A, Ottesen AL, Eriksen L, Nielsen LP, Dahl R. The Impact of Reflexology and Homeopathy Added to Conventional ASTHMA Treatment on Markers of Airway Inflammation - A Randomised Study.</w:t>
      </w:r>
      <w:r w:rsidRPr="00EC2769">
        <w:rPr>
          <w:i/>
        </w:rPr>
        <w:t xml:space="preserve"> European Respiratory Journal Conference: European Respiratory Society International Congress, ERS</w:t>
      </w:r>
      <w:r w:rsidRPr="00EC2769">
        <w:t xml:space="preserve">. 2020;56(Supplement 64). </w:t>
      </w:r>
      <w:hyperlink r:id="rId207" w:history="1">
        <w:r w:rsidRPr="00EC2769">
          <w:rPr>
            <w:rStyle w:val="Hyperlink"/>
            <w:rFonts w:cs="Calibri"/>
          </w:rPr>
          <w:t>https://dx.doi.org/10.1183/13993003.congress-2020.2620</w:t>
        </w:r>
        <w:bookmarkEnd w:id="787"/>
      </w:hyperlink>
    </w:p>
    <w:p w14:paraId="68CE0504" w14:textId="59E2ABE3" w:rsidR="00EC2769" w:rsidRPr="00EC2769" w:rsidRDefault="00EC2769" w:rsidP="001B3DA2">
      <w:pPr>
        <w:pStyle w:val="EndNoteBibliography"/>
      </w:pPr>
      <w:bookmarkStart w:id="788" w:name="_ENREF_214"/>
      <w:r w:rsidRPr="00EC2769">
        <w:t>214.</w:t>
      </w:r>
      <w:r w:rsidRPr="00EC2769">
        <w:tab/>
        <w:t xml:space="preserve">Thompson E, Shaw A, Montgomery A, Davies E, Sharpe D. A pilot randomised controlled trial of individualised homeopathy in children with severe asthma. Abstracts from the Developing Research Strategies conference, March 2007, Northampton, UK  </w:t>
      </w:r>
      <w:r w:rsidRPr="00EC2769">
        <w:rPr>
          <w:i/>
        </w:rPr>
        <w:t>Complementary Therapies in Medicine</w:t>
      </w:r>
      <w:r w:rsidRPr="00EC2769">
        <w:t xml:space="preserve">. 2008;16(4):233-7. </w:t>
      </w:r>
      <w:hyperlink r:id="rId208" w:history="1">
        <w:r w:rsidRPr="00EC2769">
          <w:rPr>
            <w:rStyle w:val="Hyperlink"/>
            <w:rFonts w:cs="Calibri"/>
          </w:rPr>
          <w:t>https://doi.org/10.1016/j.ctim.2008.04.005</w:t>
        </w:r>
        <w:bookmarkEnd w:id="788"/>
      </w:hyperlink>
    </w:p>
    <w:p w14:paraId="70DA59DB" w14:textId="77777777" w:rsidR="00EC2769" w:rsidRPr="00EC2769" w:rsidRDefault="00EC2769" w:rsidP="001B3DA2">
      <w:pPr>
        <w:pStyle w:val="EndNoteBibliography"/>
      </w:pPr>
      <w:bookmarkStart w:id="789" w:name="_ENREF_215"/>
      <w:r w:rsidRPr="00EC2769">
        <w:t>215.</w:t>
      </w:r>
      <w:r w:rsidRPr="00EC2769">
        <w:tab/>
        <w:t>Thompson EA, Shaw A, Nichol J, Hollinghurst S, Henderson AJ, Thompson T, et al. The feasibility of a pragmatic randomised controlled trial to compare usual care with usual care plus individualised homeopathy, in children requiring secondary care for asthma.</w:t>
      </w:r>
      <w:r w:rsidRPr="00EC2769">
        <w:rPr>
          <w:i/>
        </w:rPr>
        <w:t xml:space="preserve"> Homeopathy</w:t>
      </w:r>
      <w:r w:rsidRPr="00EC2769">
        <w:t>. 2011;100(3):122-30. 10.1016/j.homp.2011.05.001</w:t>
      </w:r>
      <w:bookmarkEnd w:id="789"/>
    </w:p>
    <w:p w14:paraId="49CBD924" w14:textId="77777777" w:rsidR="00EC2769" w:rsidRPr="00EC2769" w:rsidRDefault="00EC2769" w:rsidP="001B3DA2">
      <w:pPr>
        <w:pStyle w:val="EndNoteBibliography"/>
      </w:pPr>
      <w:bookmarkStart w:id="790" w:name="_ENREF_216"/>
      <w:r w:rsidRPr="00EC2769">
        <w:t>216.</w:t>
      </w:r>
      <w:r w:rsidRPr="00EC2769">
        <w:tab/>
        <w:t>Reilly D, Taylor M, Campbell J, Beattie N, McSharry C, Aitchison T, et al. Is homeopathy a placebo response? A controlled trial of Homoeopathic Immunotherapy HIT in atopic asthma.</w:t>
      </w:r>
      <w:r w:rsidRPr="00EC2769">
        <w:rPr>
          <w:i/>
        </w:rPr>
        <w:t xml:space="preserve"> Complementary Therapies in Medicine</w:t>
      </w:r>
      <w:r w:rsidRPr="00EC2769">
        <w:t>. 1993;1(Suppl 1):24â</w:t>
      </w:r>
      <w:r w:rsidRPr="00EC2769">
        <w:rPr>
          <w:rFonts w:cs="Montserrat"/>
        </w:rPr>
        <w:t></w:t>
      </w:r>
      <w:r w:rsidRPr="00EC2769">
        <w:t xml:space="preserve">5. </w:t>
      </w:r>
      <w:bookmarkEnd w:id="790"/>
    </w:p>
    <w:p w14:paraId="100B6E42" w14:textId="77777777" w:rsidR="00EC2769" w:rsidRPr="00EC2769" w:rsidRDefault="00EC2769" w:rsidP="001B3DA2">
      <w:pPr>
        <w:pStyle w:val="EndNoteBibliography"/>
      </w:pPr>
      <w:bookmarkStart w:id="791" w:name="_ENREF_217"/>
      <w:r w:rsidRPr="00EC2769">
        <w:t>217.</w:t>
      </w:r>
      <w:r w:rsidRPr="00EC2769">
        <w:tab/>
        <w:t>Pellegrino R, Viegi G, Brusasco V, Crapo RO, Burgos F, Casaburi R, et al. Interpretative strategies for lung function tests.</w:t>
      </w:r>
      <w:r w:rsidRPr="00EC2769">
        <w:rPr>
          <w:i/>
        </w:rPr>
        <w:t xml:space="preserve"> Eur Respir J</w:t>
      </w:r>
      <w:r w:rsidRPr="00EC2769">
        <w:t>. 2005;26(5):948-68. 10.1183/09031936.05.00035205</w:t>
      </w:r>
      <w:bookmarkEnd w:id="791"/>
    </w:p>
    <w:p w14:paraId="4C59D82D" w14:textId="77777777" w:rsidR="00EC2769" w:rsidRPr="00EC2769" w:rsidRDefault="00EC2769" w:rsidP="001B3DA2">
      <w:pPr>
        <w:pStyle w:val="EndNoteBibliography"/>
      </w:pPr>
      <w:bookmarkStart w:id="792" w:name="_ENREF_218"/>
      <w:r w:rsidRPr="00EC2769">
        <w:t>218.</w:t>
      </w:r>
      <w:r w:rsidRPr="00EC2769">
        <w:tab/>
        <w:t>Juniper EF, Guyatt GH, Willan A, Griffith LE. Determining a minimal important change in a disease-specific Quality of Life Questionnaire.</w:t>
      </w:r>
      <w:r w:rsidRPr="00EC2769">
        <w:rPr>
          <w:i/>
        </w:rPr>
        <w:t xml:space="preserve"> J Clin Epidemiol</w:t>
      </w:r>
      <w:r w:rsidRPr="00EC2769">
        <w:t>. 1994;47(1):81-7. 10.1016/0895-4356(94)90036-1</w:t>
      </w:r>
      <w:bookmarkEnd w:id="792"/>
    </w:p>
    <w:p w14:paraId="29BAC19F" w14:textId="77777777" w:rsidR="00EC2769" w:rsidRPr="00EC2769" w:rsidRDefault="00EC2769" w:rsidP="001B3DA2">
      <w:pPr>
        <w:pStyle w:val="EndNoteBibliography"/>
      </w:pPr>
      <w:bookmarkStart w:id="793" w:name="_ENREF_219"/>
      <w:r w:rsidRPr="00EC2769">
        <w:t>219.</w:t>
      </w:r>
      <w:r w:rsidRPr="00EC2769">
        <w:tab/>
        <w:t>Elliott EJ, Dalby-Payne JR. 2. Acute infectious diarrhoea and dehydration in children.</w:t>
      </w:r>
      <w:r w:rsidRPr="00EC2769">
        <w:rPr>
          <w:i/>
        </w:rPr>
        <w:t xml:space="preserve"> Med J Aust</w:t>
      </w:r>
      <w:r w:rsidRPr="00EC2769">
        <w:t>. 2004;181(10):565-70. 10.5694/j.1326-5377.2004.tb06449.x</w:t>
      </w:r>
      <w:bookmarkEnd w:id="793"/>
    </w:p>
    <w:p w14:paraId="0929EB51" w14:textId="77777777" w:rsidR="00EC2769" w:rsidRPr="00EC2769" w:rsidRDefault="00EC2769" w:rsidP="001B3DA2">
      <w:pPr>
        <w:pStyle w:val="EndNoteBibliography"/>
      </w:pPr>
      <w:bookmarkStart w:id="794" w:name="_ENREF_220"/>
      <w:r w:rsidRPr="00EC2769">
        <w:t>220.</w:t>
      </w:r>
      <w:r w:rsidRPr="00EC2769">
        <w:tab/>
        <w:t>World Health Organisation (WHO). Diarrhoeal disease. 2017.</w:t>
      </w:r>
      <w:bookmarkEnd w:id="794"/>
    </w:p>
    <w:p w14:paraId="1A50C863" w14:textId="710B0257" w:rsidR="00EC2769" w:rsidRPr="00EC2769" w:rsidRDefault="00EC2769" w:rsidP="001B3DA2">
      <w:pPr>
        <w:pStyle w:val="EndNoteBibliography"/>
      </w:pPr>
      <w:bookmarkStart w:id="795" w:name="_ENREF_221"/>
      <w:r w:rsidRPr="00EC2769">
        <w:t>221.</w:t>
      </w:r>
      <w:r w:rsidRPr="00EC2769">
        <w:tab/>
        <w:t xml:space="preserve">The Royal Children's Hospital Melbourne. Gastroenteritis 2020 [Available from: </w:t>
      </w:r>
      <w:hyperlink r:id="rId209" w:history="1">
        <w:r w:rsidRPr="00EC2769">
          <w:rPr>
            <w:rStyle w:val="Hyperlink"/>
            <w:rFonts w:cs="Calibri"/>
          </w:rPr>
          <w:t>https://www.rch.org.au/clinicalguide/guideline_index/Gastroenteritis/</w:t>
        </w:r>
      </w:hyperlink>
      <w:r w:rsidRPr="00EC2769">
        <w:t>.</w:t>
      </w:r>
      <w:bookmarkEnd w:id="795"/>
    </w:p>
    <w:p w14:paraId="713A7564" w14:textId="77777777" w:rsidR="00EC2769" w:rsidRPr="00EC2769" w:rsidRDefault="00EC2769" w:rsidP="001B3DA2">
      <w:pPr>
        <w:pStyle w:val="EndNoteBibliography"/>
      </w:pPr>
      <w:bookmarkStart w:id="796" w:name="_ENREF_222"/>
      <w:r w:rsidRPr="00EC2769">
        <w:t>222.</w:t>
      </w:r>
      <w:r w:rsidRPr="00EC2769">
        <w:tab/>
        <w:t>Sunderland N, Westbrook J, Urwin R, Knights Z, Taitz J, Williams H, et al. Appropriate management of acute gastroenteritis in Australian children: A population-based study.</w:t>
      </w:r>
      <w:r w:rsidRPr="00EC2769">
        <w:rPr>
          <w:i/>
        </w:rPr>
        <w:t xml:space="preserve"> PLoS One</w:t>
      </w:r>
      <w:r w:rsidRPr="00EC2769">
        <w:t>. 2019;14(11):e0224681. 10.1371/journal.pone.0224681</w:t>
      </w:r>
      <w:bookmarkEnd w:id="796"/>
    </w:p>
    <w:p w14:paraId="11315840" w14:textId="77777777" w:rsidR="00EC2769" w:rsidRPr="00EC2769" w:rsidRDefault="00EC2769" w:rsidP="001B3DA2">
      <w:pPr>
        <w:pStyle w:val="EndNoteBibliography"/>
      </w:pPr>
      <w:bookmarkStart w:id="797" w:name="_ENREF_223"/>
      <w:r w:rsidRPr="00EC2769">
        <w:t>223.</w:t>
      </w:r>
      <w:r w:rsidRPr="00EC2769">
        <w:tab/>
        <w:t>Patel M, Navin P, Pradeep M, Prashant T, Gandhali K. An approach to acute diarrhoeal disorders through sector and constitutional homoeopathic treatment in tribal children attending balwadis.</w:t>
      </w:r>
      <w:r w:rsidRPr="00EC2769">
        <w:rPr>
          <w:i/>
        </w:rPr>
        <w:t xml:space="preserve"> Indian journal of research in homoeopathy</w:t>
      </w:r>
      <w:r w:rsidRPr="00EC2769">
        <w:t>. 2010;4(4):36-48. 10.53945/2320-7094.1763</w:t>
      </w:r>
      <w:bookmarkEnd w:id="797"/>
    </w:p>
    <w:p w14:paraId="3BAF34F9" w14:textId="77777777" w:rsidR="00EC2769" w:rsidRPr="00EC2769" w:rsidRDefault="00EC2769" w:rsidP="001B3DA2">
      <w:pPr>
        <w:pStyle w:val="EndNoteBibliography"/>
      </w:pPr>
      <w:bookmarkStart w:id="798" w:name="_ENREF_224"/>
      <w:r w:rsidRPr="00EC2769">
        <w:t>224.</w:t>
      </w:r>
      <w:r w:rsidRPr="00EC2769">
        <w:tab/>
        <w:t>Sunderland N, Westbrook J, Urwin R, Knights Z, Taitz J, Williams H, et al. Appropriate management of acute gastroenteritis in Australian children: A population-based study.</w:t>
      </w:r>
      <w:r w:rsidRPr="00EC2769">
        <w:rPr>
          <w:i/>
        </w:rPr>
        <w:t xml:space="preserve"> PLoS One</w:t>
      </w:r>
      <w:r w:rsidRPr="00EC2769">
        <w:t>. 2019;14(11):e0224681. 10.1371/journal.pone.0224681</w:t>
      </w:r>
      <w:bookmarkEnd w:id="798"/>
    </w:p>
    <w:p w14:paraId="4CDD47CF" w14:textId="77777777" w:rsidR="00EC2769" w:rsidRPr="00EC2769" w:rsidRDefault="00EC2769" w:rsidP="001B3DA2">
      <w:pPr>
        <w:pStyle w:val="EndNoteBibliography"/>
      </w:pPr>
      <w:bookmarkStart w:id="799" w:name="_ENREF_225"/>
      <w:r w:rsidRPr="00EC2769">
        <w:t>225.</w:t>
      </w:r>
      <w:r w:rsidRPr="00EC2769">
        <w:tab/>
        <w:t>Jacobs J, Jiminez L, Gloyd S, Carares F, Gaitan M, Crothers D. Homoeopathic treatment of acute childhood diarrhoea.</w:t>
      </w:r>
      <w:r w:rsidRPr="00EC2769">
        <w:rPr>
          <w:i/>
        </w:rPr>
        <w:t xml:space="preserve"> Br Homoeopath J</w:t>
      </w:r>
      <w:r w:rsidRPr="00EC2769">
        <w:t xml:space="preserve">. 1993;82(2):83-6. </w:t>
      </w:r>
      <w:bookmarkEnd w:id="799"/>
    </w:p>
    <w:p w14:paraId="5B48E9C8" w14:textId="77777777" w:rsidR="00EC2769" w:rsidRPr="00EC2769" w:rsidRDefault="00EC2769" w:rsidP="001B3DA2">
      <w:pPr>
        <w:pStyle w:val="EndNoteBibliography"/>
      </w:pPr>
      <w:bookmarkStart w:id="800" w:name="_ENREF_226"/>
      <w:r w:rsidRPr="00EC2769">
        <w:t>226.</w:t>
      </w:r>
      <w:r w:rsidRPr="00EC2769">
        <w:tab/>
        <w:t>Jacobs J, Jimenez LM, Malthouse S, Chapman E, Crothers D, Masuk M, et al. Homeopathic treatment of acute childhood diarrhea: results from a clinical trial in Nepal.</w:t>
      </w:r>
      <w:r w:rsidRPr="00EC2769">
        <w:rPr>
          <w:i/>
        </w:rPr>
        <w:t xml:space="preserve"> J Altern Complement Med</w:t>
      </w:r>
      <w:r w:rsidRPr="00EC2769">
        <w:t>. 2000;6(2):131-9. 10.1089/acm.2000.6.131</w:t>
      </w:r>
      <w:bookmarkEnd w:id="800"/>
    </w:p>
    <w:p w14:paraId="6F8BF2DB" w14:textId="77777777" w:rsidR="00EC2769" w:rsidRPr="00EC2769" w:rsidRDefault="00EC2769" w:rsidP="001B3DA2">
      <w:pPr>
        <w:pStyle w:val="EndNoteBibliography"/>
      </w:pPr>
      <w:bookmarkStart w:id="801" w:name="_ENREF_227"/>
      <w:r w:rsidRPr="00EC2769">
        <w:lastRenderedPageBreak/>
        <w:t>227.</w:t>
      </w:r>
      <w:r w:rsidRPr="00EC2769">
        <w:tab/>
        <w:t>Jacobs J, Guthrie BL, Montes GA, Jacobs LE, Mickey-Colman N, Wilson AR, et al. Homeopathic combination remedy in the treatment of acute childhood diarrhea in Honduras.</w:t>
      </w:r>
      <w:r w:rsidRPr="00EC2769">
        <w:rPr>
          <w:i/>
        </w:rPr>
        <w:t xml:space="preserve"> J Altern Complement Med</w:t>
      </w:r>
      <w:r w:rsidRPr="00EC2769">
        <w:t>. 2006;12(8):723-32. 10.1089/acm.2006.12.723</w:t>
      </w:r>
      <w:bookmarkEnd w:id="801"/>
    </w:p>
    <w:p w14:paraId="27E6FC20" w14:textId="77777777" w:rsidR="00EC2769" w:rsidRPr="00EC2769" w:rsidRDefault="00EC2769" w:rsidP="001B3DA2">
      <w:pPr>
        <w:pStyle w:val="EndNoteBibliography"/>
      </w:pPr>
      <w:bookmarkStart w:id="802" w:name="_ENREF_228"/>
      <w:r w:rsidRPr="00EC2769">
        <w:t>228.</w:t>
      </w:r>
      <w:r w:rsidRPr="00EC2769">
        <w:tab/>
        <w:t>Manoj P, Pawaskar N, Mundra P, Tamboli P, Kothare G. An approach to acute diarrhoeal disorders through sector and constitutional homoeopathic treatment in tribal children attending balwadis.</w:t>
      </w:r>
      <w:r w:rsidRPr="00EC2769">
        <w:rPr>
          <w:i/>
        </w:rPr>
        <w:t xml:space="preserve"> Indian Journal of Research in Homoeopathy</w:t>
      </w:r>
      <w:r w:rsidRPr="00EC2769">
        <w:t>. 2010;4(4):36-48. 10.53945/2320-7094.1763</w:t>
      </w:r>
      <w:bookmarkEnd w:id="802"/>
    </w:p>
    <w:p w14:paraId="6C1A9A2E" w14:textId="77777777" w:rsidR="00EC2769" w:rsidRPr="00EC2769" w:rsidRDefault="00EC2769" w:rsidP="001B3DA2">
      <w:pPr>
        <w:pStyle w:val="EndNoteBibliography"/>
      </w:pPr>
      <w:bookmarkStart w:id="803" w:name="_ENREF_229"/>
      <w:r w:rsidRPr="00EC2769">
        <w:t>229.</w:t>
      </w:r>
      <w:r w:rsidRPr="00EC2769">
        <w:tab/>
        <w:t>V. Sung. Infantile colic.</w:t>
      </w:r>
      <w:r w:rsidRPr="00EC2769">
        <w:rPr>
          <w:i/>
        </w:rPr>
        <w:t xml:space="preserve"> Aust Prescr</w:t>
      </w:r>
      <w:r w:rsidRPr="00EC2769">
        <w:t xml:space="preserve">. 2018;41:105-10. </w:t>
      </w:r>
      <w:bookmarkEnd w:id="803"/>
    </w:p>
    <w:p w14:paraId="15A06C80" w14:textId="77777777" w:rsidR="00EC2769" w:rsidRPr="00EC2769" w:rsidRDefault="00EC2769" w:rsidP="001B3DA2">
      <w:pPr>
        <w:pStyle w:val="EndNoteBibliography"/>
      </w:pPr>
      <w:bookmarkStart w:id="804" w:name="_ENREF_230"/>
      <w:r w:rsidRPr="00EC2769">
        <w:t>230.</w:t>
      </w:r>
      <w:r w:rsidRPr="00EC2769">
        <w:tab/>
        <w:t>Hjern A, Lindblom K, Reuter A, Silfverdal SA. A systematic review of prevention and treatment of infantile colic.</w:t>
      </w:r>
      <w:r w:rsidRPr="00EC2769">
        <w:rPr>
          <w:i/>
        </w:rPr>
        <w:t xml:space="preserve"> Acta Paediatrica</w:t>
      </w:r>
      <w:r w:rsidRPr="00EC2769">
        <w:t>. 2020;109(9):1733-44. 10.1111/apa.15247</w:t>
      </w:r>
      <w:bookmarkEnd w:id="804"/>
    </w:p>
    <w:p w14:paraId="32D4AF5A" w14:textId="77777777" w:rsidR="00EC2769" w:rsidRPr="00EC2769" w:rsidRDefault="00EC2769" w:rsidP="001B3DA2">
      <w:pPr>
        <w:pStyle w:val="EndNoteBibliography"/>
      </w:pPr>
      <w:bookmarkStart w:id="805" w:name="_ENREF_231"/>
      <w:r w:rsidRPr="00EC2769">
        <w:t>231.</w:t>
      </w:r>
      <w:r w:rsidRPr="00EC2769">
        <w:tab/>
        <w:t xml:space="preserve">C. Keung GH. The management of gastro-esophageal reflux disease. 2016;39:36-9. </w:t>
      </w:r>
      <w:bookmarkEnd w:id="805"/>
    </w:p>
    <w:p w14:paraId="58397737" w14:textId="77777777" w:rsidR="00EC2769" w:rsidRPr="00EC2769" w:rsidRDefault="00EC2769" w:rsidP="001B3DA2">
      <w:pPr>
        <w:pStyle w:val="EndNoteBibliography"/>
      </w:pPr>
      <w:bookmarkStart w:id="806" w:name="_ENREF_232"/>
      <w:r w:rsidRPr="00EC2769">
        <w:t>232.</w:t>
      </w:r>
      <w:r w:rsidRPr="00EC2769">
        <w:tab/>
        <w:t>Zhang S, Jiang Q, Mu X, Wang Z, Liu S, Yang Z, et al. A comparison of the efficacy and safety of complementary and alternative therapies for gastroesophageal reflux disease: A protocol for network meta-analysis.</w:t>
      </w:r>
      <w:r w:rsidRPr="00EC2769">
        <w:rPr>
          <w:i/>
        </w:rPr>
        <w:t xml:space="preserve"> Medicine (Baltimore)</w:t>
      </w:r>
      <w:r w:rsidRPr="00EC2769">
        <w:t>. 2020;99(30):e21318. 10.1097/md.0000000000021318</w:t>
      </w:r>
      <w:bookmarkEnd w:id="806"/>
    </w:p>
    <w:p w14:paraId="5A781C9D" w14:textId="77777777" w:rsidR="00EC2769" w:rsidRPr="00EC2769" w:rsidRDefault="00EC2769" w:rsidP="001B3DA2">
      <w:pPr>
        <w:pStyle w:val="EndNoteBibliography"/>
      </w:pPr>
      <w:bookmarkStart w:id="807" w:name="_ENREF_233"/>
      <w:r w:rsidRPr="00EC2769">
        <w:t>233.</w:t>
      </w:r>
      <w:r w:rsidRPr="00EC2769">
        <w:tab/>
        <w:t xml:space="preserve">N. Talley TG, M. Potter,. Functional dyspepsia. 2017;40:209-13. </w:t>
      </w:r>
      <w:bookmarkEnd w:id="807"/>
    </w:p>
    <w:p w14:paraId="76154540" w14:textId="77777777" w:rsidR="00EC2769" w:rsidRPr="00EC2769" w:rsidRDefault="00EC2769" w:rsidP="001B3DA2">
      <w:pPr>
        <w:pStyle w:val="EndNoteBibliography"/>
      </w:pPr>
      <w:bookmarkStart w:id="808" w:name="_ENREF_234"/>
      <w:r w:rsidRPr="00EC2769">
        <w:t>234.</w:t>
      </w:r>
      <w:r w:rsidRPr="00EC2769">
        <w:tab/>
        <w:t>Ford AC, Mahadeva S, Carbone MF, Lacy BE, Talley NJ. Functional dyspepsia.</w:t>
      </w:r>
      <w:r w:rsidRPr="00EC2769">
        <w:rPr>
          <w:i/>
        </w:rPr>
        <w:t xml:space="preserve"> The Lancet</w:t>
      </w:r>
      <w:r w:rsidRPr="00EC2769">
        <w:t>. 2020;396(10263):1689-702. 10.1016/S0140-6736(20)30469-4</w:t>
      </w:r>
      <w:bookmarkEnd w:id="808"/>
    </w:p>
    <w:p w14:paraId="379DEFBC" w14:textId="77777777" w:rsidR="00EC2769" w:rsidRPr="00EC2769" w:rsidRDefault="00EC2769" w:rsidP="001B3DA2">
      <w:pPr>
        <w:pStyle w:val="EndNoteBibliography"/>
      </w:pPr>
      <w:bookmarkStart w:id="809" w:name="_ENREF_235"/>
      <w:r w:rsidRPr="00EC2769">
        <w:t>235.</w:t>
      </w:r>
      <w:r w:rsidRPr="00EC2769">
        <w:tab/>
        <w:t>Chiarioni G, Pesce M, Fantin A, Sarnelli G. Complementary and alternative treatment in functional dyspepsia.</w:t>
      </w:r>
      <w:r w:rsidRPr="00EC2769">
        <w:rPr>
          <w:i/>
        </w:rPr>
        <w:t xml:space="preserve"> United European Gastroenterol J</w:t>
      </w:r>
      <w:r w:rsidRPr="00EC2769">
        <w:t>. 2018;6(1):5-12. 10.1177/2050640617724061</w:t>
      </w:r>
      <w:bookmarkEnd w:id="809"/>
    </w:p>
    <w:p w14:paraId="0AAB46D8" w14:textId="77777777" w:rsidR="00EC2769" w:rsidRPr="00EC2769" w:rsidRDefault="00EC2769" w:rsidP="001B3DA2">
      <w:pPr>
        <w:pStyle w:val="EndNoteBibliography"/>
      </w:pPr>
      <w:bookmarkStart w:id="810" w:name="_ENREF_236"/>
      <w:r w:rsidRPr="00EC2769">
        <w:t>236.</w:t>
      </w:r>
      <w:r w:rsidRPr="00EC2769">
        <w:tab/>
        <w:t>Yoon JY, Ko SJ, Park JW, Cha JM. Complementary and alternative medicine for functional dyspepsia: An Asian perspective.</w:t>
      </w:r>
      <w:r w:rsidRPr="00EC2769">
        <w:rPr>
          <w:i/>
        </w:rPr>
        <w:t xml:space="preserve"> Medicine (Baltimore)</w:t>
      </w:r>
      <w:r w:rsidRPr="00EC2769">
        <w:t>. 2022;101(35):e30077. 10.1097/md.0000000000030077</w:t>
      </w:r>
      <w:bookmarkEnd w:id="810"/>
    </w:p>
    <w:p w14:paraId="10A2AF58" w14:textId="2FE21BB6" w:rsidR="00EC2769" w:rsidRPr="00EC2769" w:rsidRDefault="00EC2769" w:rsidP="001B3DA2">
      <w:pPr>
        <w:pStyle w:val="EndNoteBibliography"/>
      </w:pPr>
      <w:bookmarkStart w:id="811" w:name="_ENREF_237"/>
      <w:r w:rsidRPr="00EC2769">
        <w:t>237.</w:t>
      </w:r>
      <w:r w:rsidRPr="00EC2769">
        <w:tab/>
        <w:t>Dossett ML, Mu L, Davis RB, Bell IR, Lembo AJ, Kaptchuk TJ, et al. Patient-provider interactions affect symptoms in gastroesophageal reflux disease: A pilot randomized, doubleblind, placebo-controlled trial.</w:t>
      </w:r>
      <w:r w:rsidRPr="00EC2769">
        <w:rPr>
          <w:i/>
        </w:rPr>
        <w:t xml:space="preserve"> Journal of Alternative and Complementary Medicine</w:t>
      </w:r>
      <w:r w:rsidRPr="00EC2769">
        <w:t xml:space="preserve">. 2016;22(6):A20-A1. </w:t>
      </w:r>
      <w:hyperlink r:id="rId210" w:history="1">
        <w:r w:rsidRPr="00EC2769">
          <w:rPr>
            <w:rStyle w:val="Hyperlink"/>
            <w:rFonts w:cs="Calibri"/>
          </w:rPr>
          <w:t>https://dx.doi.org/10.1089/acm.2016.29003.abstracts</w:t>
        </w:r>
        <w:bookmarkEnd w:id="811"/>
      </w:hyperlink>
    </w:p>
    <w:p w14:paraId="7279E299" w14:textId="77777777" w:rsidR="00EC2769" w:rsidRPr="00EC2769" w:rsidRDefault="00EC2769" w:rsidP="001B3DA2">
      <w:pPr>
        <w:pStyle w:val="EndNoteBibliography"/>
      </w:pPr>
      <w:bookmarkStart w:id="812" w:name="_ENREF_238"/>
      <w:r w:rsidRPr="00EC2769">
        <w:t>238.</w:t>
      </w:r>
      <w:r w:rsidRPr="00EC2769">
        <w:tab/>
        <w:t>Dossett ML, Mu L, Davis RB, Bell IR, Lembo AJ, Kaptchuk TJ, et al. Patient-Provider Interactions Affect Symptoms in Gastroesophageal Reflux Disease: A Pilot Randomized, Double-Blind, Placebo-Controlled Trial.</w:t>
      </w:r>
      <w:r w:rsidRPr="00EC2769">
        <w:rPr>
          <w:i/>
        </w:rPr>
        <w:t xml:space="preserve"> PLoS One</w:t>
      </w:r>
      <w:r w:rsidRPr="00EC2769">
        <w:t>. 2015;10(9):e0136855. 10.1371/journal.pone.0136855</w:t>
      </w:r>
      <w:bookmarkEnd w:id="812"/>
    </w:p>
    <w:p w14:paraId="29238E79" w14:textId="15DB40F3" w:rsidR="00EC2769" w:rsidRPr="00EC2769" w:rsidRDefault="00EC2769" w:rsidP="001B3DA2">
      <w:pPr>
        <w:pStyle w:val="EndNoteBibliography"/>
      </w:pPr>
      <w:bookmarkStart w:id="813" w:name="_ENREF_239"/>
      <w:r w:rsidRPr="00EC2769">
        <w:t>239.</w:t>
      </w:r>
      <w:r w:rsidRPr="00EC2769">
        <w:tab/>
        <w:t>Paterson C, Ewings P, Brazier JE, Britten N. Treating dyspepsia with acupuncture and homeopathy: Reflections on a pilot study by researchers, practitioners and participants.</w:t>
      </w:r>
      <w:r w:rsidRPr="00EC2769">
        <w:rPr>
          <w:i/>
        </w:rPr>
        <w:t xml:space="preserve"> Complementary Therapies in Medicine</w:t>
      </w:r>
      <w:r w:rsidRPr="00EC2769">
        <w:t xml:space="preserve">. 2003;11(2):78-84. </w:t>
      </w:r>
      <w:hyperlink r:id="rId211" w:history="1">
        <w:r w:rsidRPr="00EC2769">
          <w:rPr>
            <w:rStyle w:val="Hyperlink"/>
            <w:rFonts w:cs="Calibri"/>
          </w:rPr>
          <w:t>https://dx.doi.org/10.1016/S0965-2299%2803%2900056-6</w:t>
        </w:r>
        <w:bookmarkEnd w:id="813"/>
      </w:hyperlink>
    </w:p>
    <w:p w14:paraId="0ABC5544" w14:textId="105248A8" w:rsidR="00EC2769" w:rsidRPr="00EC2769" w:rsidRDefault="00EC2769" w:rsidP="001B3DA2">
      <w:pPr>
        <w:pStyle w:val="EndNoteBibliography"/>
      </w:pPr>
      <w:bookmarkStart w:id="814" w:name="_ENREF_240"/>
      <w:r w:rsidRPr="00EC2769">
        <w:t>240.</w:t>
      </w:r>
      <w:r w:rsidRPr="00EC2769">
        <w:tab/>
        <w:t>Raak C, Krueger P, Klement P, De Jaegere S, Weber S, Keller T, et al. Effectiveness of a Homeopathic Complex Remedy in Colic and Flatulence in Children: A randomized multicenter study.</w:t>
      </w:r>
      <w:r w:rsidRPr="00EC2769">
        <w:rPr>
          <w:i/>
        </w:rPr>
        <w:t xml:space="preserve"> Advances in Integrative Medicine</w:t>
      </w:r>
      <w:r w:rsidRPr="00EC2769">
        <w:t xml:space="preserve">. 2019;6(Supplement 1):S57. </w:t>
      </w:r>
      <w:hyperlink r:id="rId212" w:history="1">
        <w:r w:rsidRPr="00EC2769">
          <w:rPr>
            <w:rStyle w:val="Hyperlink"/>
            <w:rFonts w:cs="Calibri"/>
          </w:rPr>
          <w:t>https://dx.doi.org/10.1016/j.aimed.2019.03.165</w:t>
        </w:r>
        <w:bookmarkEnd w:id="814"/>
      </w:hyperlink>
    </w:p>
    <w:p w14:paraId="2E187F1E" w14:textId="77777777" w:rsidR="00EC2769" w:rsidRPr="00EC2769" w:rsidRDefault="00EC2769" w:rsidP="001B3DA2">
      <w:pPr>
        <w:pStyle w:val="EndNoteBibliography"/>
      </w:pPr>
      <w:bookmarkStart w:id="815" w:name="_ENREF_241"/>
      <w:r w:rsidRPr="00EC2769">
        <w:t>241.</w:t>
      </w:r>
      <w:r w:rsidRPr="00EC2769">
        <w:tab/>
        <w:t>IBS or intolerance?</w:t>
      </w:r>
      <w:r w:rsidRPr="00EC2769">
        <w:rPr>
          <w:i/>
        </w:rPr>
        <w:t xml:space="preserve"> Australian Journal for General Practitioners</w:t>
      </w:r>
      <w:r w:rsidRPr="00EC2769">
        <w:t xml:space="preserve">. 2012;38:962-5. </w:t>
      </w:r>
      <w:bookmarkEnd w:id="815"/>
    </w:p>
    <w:p w14:paraId="0696EC1C" w14:textId="77777777" w:rsidR="00EC2769" w:rsidRPr="00EC2769" w:rsidRDefault="00EC2769" w:rsidP="001B3DA2">
      <w:pPr>
        <w:pStyle w:val="EndNoteBibliography"/>
      </w:pPr>
      <w:bookmarkStart w:id="816" w:name="_ENREF_242"/>
      <w:r w:rsidRPr="00EC2769">
        <w:t>242.</w:t>
      </w:r>
      <w:r w:rsidRPr="00EC2769">
        <w:tab/>
        <w:t>Interpersonal relationships for patients with irritable bowel syndrome.</w:t>
      </w:r>
      <w:r w:rsidRPr="00EC2769">
        <w:rPr>
          <w:i/>
        </w:rPr>
        <w:t xml:space="preserve"> Australian Journal for General Practitioners</w:t>
      </w:r>
      <w:r w:rsidRPr="00EC2769">
        <w:t xml:space="preserve">. 2013;42:805-10. </w:t>
      </w:r>
      <w:bookmarkEnd w:id="816"/>
    </w:p>
    <w:p w14:paraId="6EB875E6" w14:textId="5EA8D79D" w:rsidR="00EC2769" w:rsidRPr="00EC2769" w:rsidRDefault="00EC2769" w:rsidP="001B3DA2">
      <w:pPr>
        <w:pStyle w:val="EndNoteBibliography"/>
      </w:pPr>
      <w:bookmarkStart w:id="817" w:name="_ENREF_243"/>
      <w:r w:rsidRPr="00EC2769">
        <w:t>243.</w:t>
      </w:r>
      <w:r w:rsidRPr="00EC2769">
        <w:tab/>
        <w:t xml:space="preserve">Better Health Channel. Irritable bowel syndrome 2021 [Available from: </w:t>
      </w:r>
      <w:hyperlink r:id="rId213" w:history="1">
        <w:r w:rsidRPr="00EC2769">
          <w:rPr>
            <w:rStyle w:val="Hyperlink"/>
            <w:rFonts w:cs="Calibri"/>
          </w:rPr>
          <w:t>https://www.betterhealth.vic.gov.au/health/conditionsandtreatments/irritable-bowel-syndrome-ibs</w:t>
        </w:r>
      </w:hyperlink>
      <w:r w:rsidRPr="00EC2769">
        <w:t>.</w:t>
      </w:r>
      <w:bookmarkEnd w:id="817"/>
    </w:p>
    <w:p w14:paraId="70536092" w14:textId="415861E2" w:rsidR="00EC2769" w:rsidRPr="00EC2769" w:rsidRDefault="00EC2769" w:rsidP="001B3DA2">
      <w:pPr>
        <w:pStyle w:val="EndNoteBibliography"/>
      </w:pPr>
      <w:bookmarkStart w:id="818" w:name="_ENREF_244"/>
      <w:r w:rsidRPr="00EC2769">
        <w:t>244.</w:t>
      </w:r>
      <w:r w:rsidRPr="00EC2769">
        <w:tab/>
        <w:t xml:space="preserve">Royal Australian College of General Practitioners (RACGP). Low-FODMAP diets for irritable bowel syndrome (IBS)  [Available from: </w:t>
      </w:r>
      <w:hyperlink r:id="rId214" w:history="1">
        <w:r w:rsidRPr="00EC2769">
          <w:rPr>
            <w:rStyle w:val="Hyperlink"/>
            <w:rFonts w:cs="Calibri"/>
          </w:rPr>
          <w:t>https://www.racgp.org.au/clinical-resources/clinical-guidelines/handi/handi-interventions/nutrition/low-fodmap-diets-for-irritable-bowel-syndrome-ibs</w:t>
        </w:r>
      </w:hyperlink>
      <w:r w:rsidRPr="00EC2769">
        <w:t>.</w:t>
      </w:r>
      <w:bookmarkEnd w:id="818"/>
    </w:p>
    <w:p w14:paraId="02E8C000" w14:textId="77777777" w:rsidR="00EC2769" w:rsidRPr="00EC2769" w:rsidRDefault="00EC2769" w:rsidP="001B3DA2">
      <w:pPr>
        <w:pStyle w:val="EndNoteBibliography"/>
      </w:pPr>
      <w:bookmarkStart w:id="819" w:name="_ENREF_245"/>
      <w:r w:rsidRPr="00EC2769">
        <w:t>245.</w:t>
      </w:r>
      <w:r w:rsidRPr="00EC2769">
        <w:tab/>
        <w:t>Irritable bowel syndrome.</w:t>
      </w:r>
      <w:r w:rsidRPr="00EC2769">
        <w:rPr>
          <w:i/>
        </w:rPr>
        <w:t xml:space="preserve"> Australian Journal for General Practitioners</w:t>
      </w:r>
      <w:r w:rsidRPr="00EC2769">
        <w:t xml:space="preserve">. 2012;38:966-8. </w:t>
      </w:r>
      <w:bookmarkEnd w:id="819"/>
    </w:p>
    <w:p w14:paraId="5BA61BEF" w14:textId="77777777" w:rsidR="00EC2769" w:rsidRPr="00EC2769" w:rsidRDefault="00EC2769" w:rsidP="001B3DA2">
      <w:pPr>
        <w:pStyle w:val="EndNoteBibliography"/>
      </w:pPr>
      <w:bookmarkStart w:id="820" w:name="_ENREF_246"/>
      <w:r w:rsidRPr="00EC2769">
        <w:t>246.</w:t>
      </w:r>
      <w:r w:rsidRPr="00EC2769">
        <w:tab/>
        <w:t>Larussa T, Rossi M, Suraci E, Marasco R, Imeneo M, Abenavoli L, et al. Use of Complementary and Alternative Medicine by Patients with Irritable Bowel Syndrome According to the Roma IV Criteria: A Single-Center Italian Survey.</w:t>
      </w:r>
      <w:r w:rsidRPr="00EC2769">
        <w:rPr>
          <w:i/>
        </w:rPr>
        <w:t xml:space="preserve"> Medicina (Kaunas)</w:t>
      </w:r>
      <w:r w:rsidRPr="00EC2769">
        <w:t>. 2019;55(2). 10.3390/medicina55020046</w:t>
      </w:r>
      <w:bookmarkEnd w:id="820"/>
    </w:p>
    <w:p w14:paraId="7227F7E4" w14:textId="77777777" w:rsidR="00EC2769" w:rsidRPr="00EC2769" w:rsidRDefault="00EC2769" w:rsidP="001B3DA2">
      <w:pPr>
        <w:pStyle w:val="EndNoteBibliography"/>
      </w:pPr>
      <w:bookmarkStart w:id="821" w:name="_ENREF_247"/>
      <w:r w:rsidRPr="00EC2769">
        <w:t>247.</w:t>
      </w:r>
      <w:r w:rsidRPr="00EC2769">
        <w:tab/>
        <w:t>Peckham EJ, Relton C, Raw J, Walters C, Thomas K, Smith C. A protocol for a trial of homeopathic treatment for irritable bowel syndrome.</w:t>
      </w:r>
      <w:r w:rsidRPr="00EC2769">
        <w:rPr>
          <w:i/>
        </w:rPr>
        <w:t xml:space="preserve"> BMC Complement Altern Med</w:t>
      </w:r>
      <w:r w:rsidRPr="00EC2769">
        <w:t>. 2012;12:212. 10.1186/1472-6882-12-212</w:t>
      </w:r>
      <w:bookmarkEnd w:id="821"/>
    </w:p>
    <w:p w14:paraId="660F6EB6" w14:textId="54CDD052" w:rsidR="00EC2769" w:rsidRPr="00EC2769" w:rsidRDefault="00EC2769" w:rsidP="001B3DA2">
      <w:pPr>
        <w:pStyle w:val="EndNoteBibliography"/>
      </w:pPr>
      <w:bookmarkStart w:id="822" w:name="_ENREF_248"/>
      <w:r w:rsidRPr="00EC2769">
        <w:t>248.</w:t>
      </w:r>
      <w:r w:rsidRPr="00EC2769">
        <w:tab/>
        <w:t>Peckham EJ, Relton C, Raw J, Walters C, Thomas K, Smith C, et al. Interim results of a randomised controlled trial ofhomeopathic treatment for irritable bowel syndrome.</w:t>
      </w:r>
      <w:r w:rsidRPr="00EC2769">
        <w:rPr>
          <w:i/>
        </w:rPr>
        <w:t xml:space="preserve"> Homeopathy</w:t>
      </w:r>
      <w:r w:rsidRPr="00EC2769">
        <w:t xml:space="preserve">. 2014;103(3):172-7. </w:t>
      </w:r>
      <w:hyperlink r:id="rId215" w:history="1">
        <w:r w:rsidRPr="00EC2769">
          <w:rPr>
            <w:rStyle w:val="Hyperlink"/>
            <w:rFonts w:cs="Calibri"/>
          </w:rPr>
          <w:t>https://dx.doi.org/10.1016/j.homp.2014.05.001</w:t>
        </w:r>
        <w:bookmarkEnd w:id="822"/>
      </w:hyperlink>
    </w:p>
    <w:p w14:paraId="74F40727" w14:textId="77777777" w:rsidR="00EC2769" w:rsidRPr="00EC2769" w:rsidRDefault="00EC2769" w:rsidP="001B3DA2">
      <w:pPr>
        <w:pStyle w:val="EndNoteBibliography"/>
      </w:pPr>
      <w:bookmarkStart w:id="823" w:name="_ENREF_249"/>
      <w:r w:rsidRPr="00EC2769">
        <w:lastRenderedPageBreak/>
        <w:t>249.</w:t>
      </w:r>
      <w:r w:rsidRPr="00EC2769">
        <w:tab/>
        <w:t>Spiegel B, Camilleri M, Bolus R, Andresen V, Chey WD, Fehnel S, et al. Psychometric evaluation of patient-reported outcomes in irritable bowel syndrome randomized controlled trials: a Rome Foundation report.</w:t>
      </w:r>
      <w:r w:rsidRPr="00EC2769">
        <w:rPr>
          <w:i/>
        </w:rPr>
        <w:t xml:space="preserve"> Gastroenterology</w:t>
      </w:r>
      <w:r w:rsidRPr="00EC2769">
        <w:t>. 2009;137(6):1944-53.e1-3. 10.1053/j.gastro.2009.08.047</w:t>
      </w:r>
      <w:bookmarkEnd w:id="823"/>
    </w:p>
    <w:p w14:paraId="441C7B1D" w14:textId="77777777" w:rsidR="00EC2769" w:rsidRPr="00EC2769" w:rsidRDefault="00EC2769" w:rsidP="001B3DA2">
      <w:pPr>
        <w:pStyle w:val="EndNoteBibliography"/>
      </w:pPr>
      <w:bookmarkStart w:id="824" w:name="_ENREF_250"/>
      <w:r w:rsidRPr="00EC2769">
        <w:t>250.</w:t>
      </w:r>
      <w:r w:rsidRPr="00EC2769">
        <w:tab/>
        <w:t>Min Ho PY, Hu W, Lee YY, Gao C, Tan YZ, Cheen HH, et al. Health-related quality of life of patients with inflammatory bowel disease in Singapore.</w:t>
      </w:r>
      <w:r w:rsidRPr="00EC2769">
        <w:rPr>
          <w:i/>
        </w:rPr>
        <w:t xml:space="preserve"> Intest Res</w:t>
      </w:r>
      <w:r w:rsidRPr="00EC2769">
        <w:t>. 2019;17(1):107-18. 10.5217/ir.2018.00099</w:t>
      </w:r>
      <w:bookmarkEnd w:id="824"/>
    </w:p>
    <w:p w14:paraId="78CBD59F" w14:textId="77777777" w:rsidR="00EC2769" w:rsidRPr="00EC2769" w:rsidRDefault="00EC2769" w:rsidP="001B3DA2">
      <w:pPr>
        <w:pStyle w:val="EndNoteBibliography"/>
      </w:pPr>
      <w:bookmarkStart w:id="825" w:name="_ENREF_251"/>
      <w:r w:rsidRPr="00EC2769">
        <w:t>251.</w:t>
      </w:r>
      <w:r w:rsidRPr="00EC2769">
        <w:tab/>
        <w:t>Griffiths CEM, Armstrong AW, Gudjonsson JE, Barker JNWN. Psoriasis.</w:t>
      </w:r>
      <w:r w:rsidRPr="00EC2769">
        <w:rPr>
          <w:i/>
        </w:rPr>
        <w:t xml:space="preserve"> The Lancet (British edition)</w:t>
      </w:r>
      <w:r w:rsidRPr="00EC2769">
        <w:t>. 2021;397(10281):1301-15. 10.1016/S0140-6736(20)32549-6</w:t>
      </w:r>
      <w:bookmarkEnd w:id="825"/>
    </w:p>
    <w:p w14:paraId="2A334751" w14:textId="77777777" w:rsidR="00EC2769" w:rsidRPr="00EC2769" w:rsidRDefault="00EC2769" w:rsidP="001B3DA2">
      <w:pPr>
        <w:pStyle w:val="EndNoteBibliography"/>
      </w:pPr>
      <w:bookmarkStart w:id="826" w:name="_ENREF_252"/>
      <w:r w:rsidRPr="00EC2769">
        <w:t>252.</w:t>
      </w:r>
      <w:r w:rsidRPr="00EC2769">
        <w:tab/>
        <w:t xml:space="preserve">World Health Organization (WHO). Global report on psoriasis. 2016. </w:t>
      </w:r>
      <w:bookmarkEnd w:id="826"/>
    </w:p>
    <w:p w14:paraId="5723455B" w14:textId="77777777" w:rsidR="00EC2769" w:rsidRPr="00EC2769" w:rsidRDefault="00EC2769" w:rsidP="001B3DA2">
      <w:pPr>
        <w:pStyle w:val="EndNoteBibliography"/>
      </w:pPr>
      <w:bookmarkStart w:id="827" w:name="_ENREF_253"/>
      <w:r w:rsidRPr="00EC2769">
        <w:t>253.</w:t>
      </w:r>
      <w:r w:rsidRPr="00EC2769">
        <w:tab/>
        <w:t>Griffiths CEM, Armstrong AW, Gudjonsson JE, Barker J. Psoriasis.</w:t>
      </w:r>
      <w:r w:rsidRPr="00EC2769">
        <w:rPr>
          <w:i/>
        </w:rPr>
        <w:t xml:space="preserve"> Lancet</w:t>
      </w:r>
      <w:r w:rsidRPr="00EC2769">
        <w:t>. 2021;397(10281):1301-15. 10.1016/S0140-6736(20)32549-6</w:t>
      </w:r>
      <w:bookmarkEnd w:id="827"/>
    </w:p>
    <w:p w14:paraId="660AF31D" w14:textId="77777777" w:rsidR="00EC2769" w:rsidRPr="00EC2769" w:rsidRDefault="00EC2769" w:rsidP="001B3DA2">
      <w:pPr>
        <w:pStyle w:val="EndNoteBibliography"/>
      </w:pPr>
      <w:bookmarkStart w:id="828" w:name="_ENREF_254"/>
      <w:r w:rsidRPr="00EC2769">
        <w:t>254.</w:t>
      </w:r>
      <w:r w:rsidRPr="00EC2769">
        <w:tab/>
        <w:t>Sullivan J, Hannam S, Puig A, Maranta D, McGeachie AB, Baker C. Real‐world treatment persistence of four commonly prescribed biologic therapies for moderate to severe psoriasis in Australia.</w:t>
      </w:r>
      <w:r w:rsidRPr="00EC2769">
        <w:rPr>
          <w:i/>
        </w:rPr>
        <w:t xml:space="preserve"> Australasian journal of dermatology</w:t>
      </w:r>
      <w:r w:rsidRPr="00EC2769">
        <w:t>. 2023. 10.1111/ajd.14153</w:t>
      </w:r>
      <w:bookmarkEnd w:id="828"/>
    </w:p>
    <w:p w14:paraId="7CF2AC5E" w14:textId="77777777" w:rsidR="00EC2769" w:rsidRPr="00EC2769" w:rsidRDefault="00EC2769" w:rsidP="001B3DA2">
      <w:pPr>
        <w:pStyle w:val="EndNoteBibliography"/>
      </w:pPr>
      <w:bookmarkStart w:id="829" w:name="_ENREF_255"/>
      <w:r w:rsidRPr="00EC2769">
        <w:t>255.</w:t>
      </w:r>
      <w:r w:rsidRPr="00EC2769">
        <w:tab/>
        <w:t>Gamret AC, Price A, Fertig RM, Lev-Tov H, Nichols AJ. Complementary and Alternative Medicine Therapies for Psoriasis: A Systematic Review.</w:t>
      </w:r>
      <w:r w:rsidRPr="00EC2769">
        <w:rPr>
          <w:i/>
        </w:rPr>
        <w:t xml:space="preserve"> JAMA Dermatol</w:t>
      </w:r>
      <w:r w:rsidRPr="00EC2769">
        <w:t>. 2018;154(11):1330-7. 10.1001/jamadermatol.2018.2972</w:t>
      </w:r>
      <w:bookmarkEnd w:id="829"/>
    </w:p>
    <w:p w14:paraId="00E7AA56" w14:textId="77777777" w:rsidR="00EC2769" w:rsidRPr="00EC2769" w:rsidRDefault="00EC2769" w:rsidP="001B3DA2">
      <w:pPr>
        <w:pStyle w:val="EndNoteBibliography"/>
      </w:pPr>
      <w:bookmarkStart w:id="830" w:name="_ENREF_256"/>
      <w:r w:rsidRPr="00EC2769">
        <w:t>256.</w:t>
      </w:r>
      <w:r w:rsidRPr="00EC2769">
        <w:tab/>
        <w:t>Bernstein S, Donsky H, Gulliver W, Hamilton D, Nobel S, Norman R. Treatment of mild to moderate psoriasis with Relieva, a Mahonia aquifolium extract--a double-blind, placebo-controlled study.</w:t>
      </w:r>
      <w:r w:rsidRPr="00EC2769">
        <w:rPr>
          <w:i/>
        </w:rPr>
        <w:t xml:space="preserve"> Am J Ther</w:t>
      </w:r>
      <w:r w:rsidRPr="00EC2769">
        <w:t>. 2006;13(2):121-6. 10.1097/00045391-200603000-00007</w:t>
      </w:r>
      <w:bookmarkEnd w:id="830"/>
    </w:p>
    <w:p w14:paraId="52DC6B00" w14:textId="77777777" w:rsidR="00EC2769" w:rsidRPr="00EC2769" w:rsidRDefault="00EC2769" w:rsidP="001B3DA2">
      <w:pPr>
        <w:pStyle w:val="EndNoteBibliography"/>
      </w:pPr>
      <w:bookmarkStart w:id="831" w:name="_ENREF_257"/>
      <w:r w:rsidRPr="00EC2769">
        <w:t>257.</w:t>
      </w:r>
      <w:r w:rsidRPr="00EC2769">
        <w:tab/>
        <w:t>Wiesenauer M. Research in homoeopathy: efficacy and tolerance of Mahonia aquifolium during treatment of psoriasis vulgaris.</w:t>
      </w:r>
      <w:r w:rsidRPr="00EC2769">
        <w:rPr>
          <w:i/>
        </w:rPr>
        <w:t xml:space="preserve"> Extracta Dermatologica</w:t>
      </w:r>
      <w:r w:rsidRPr="00EC2769">
        <w:t xml:space="preserve">. 1992;16/12:23‐31. </w:t>
      </w:r>
      <w:bookmarkEnd w:id="831"/>
    </w:p>
    <w:p w14:paraId="03E3D4F0" w14:textId="77777777" w:rsidR="00EC2769" w:rsidRPr="00EC2769" w:rsidRDefault="00EC2769" w:rsidP="001B3DA2">
      <w:pPr>
        <w:pStyle w:val="EndNoteBibliography"/>
      </w:pPr>
      <w:bookmarkStart w:id="832" w:name="_ENREF_258"/>
      <w:r w:rsidRPr="00EC2769">
        <w:t>258.</w:t>
      </w:r>
      <w:r w:rsidRPr="00EC2769">
        <w:tab/>
        <w:t>Carlin CS, Feldman SR, Krueger JG, Menter A, Krueger GG. A 50% reduction in the Psoriasis Area and Severity Index (PASI 50) is a clinically significant endpoint in the assessment of psoriasis.</w:t>
      </w:r>
      <w:r w:rsidRPr="00EC2769">
        <w:rPr>
          <w:i/>
        </w:rPr>
        <w:t xml:space="preserve"> J Am Acad Dermatol</w:t>
      </w:r>
      <w:r w:rsidRPr="00EC2769">
        <w:t>. 2004;50(6):859-66. 10.1016/j.jaad.2003.09.014</w:t>
      </w:r>
      <w:bookmarkEnd w:id="832"/>
    </w:p>
    <w:p w14:paraId="4F834BE4" w14:textId="77777777" w:rsidR="00EC2769" w:rsidRPr="00EC2769" w:rsidRDefault="00EC2769" w:rsidP="001B3DA2">
      <w:pPr>
        <w:pStyle w:val="EndNoteBibliography"/>
      </w:pPr>
      <w:bookmarkStart w:id="833" w:name="_ENREF_259"/>
      <w:r w:rsidRPr="00EC2769">
        <w:t>259.</w:t>
      </w:r>
      <w:r w:rsidRPr="00EC2769">
        <w:tab/>
        <w:t>Fransen M, McConnell S, Harmer AR, Van der Esch M, Simic M, Bennell KL. Exercise for osteoarthritis of the knee: a Cochrane systematic review.</w:t>
      </w:r>
      <w:r w:rsidRPr="00EC2769">
        <w:rPr>
          <w:i/>
        </w:rPr>
        <w:t xml:space="preserve"> Br J Sports Med</w:t>
      </w:r>
      <w:r w:rsidRPr="00EC2769">
        <w:t>. 2015;49(24):1554-7. 10.1136/bjsports-2015-095424</w:t>
      </w:r>
      <w:bookmarkEnd w:id="833"/>
    </w:p>
    <w:p w14:paraId="0275BFD3" w14:textId="77777777" w:rsidR="00EC2769" w:rsidRPr="00EC2769" w:rsidRDefault="00EC2769" w:rsidP="001B3DA2">
      <w:pPr>
        <w:pStyle w:val="EndNoteBibliography"/>
      </w:pPr>
      <w:bookmarkStart w:id="834" w:name="_ENREF_260"/>
      <w:r w:rsidRPr="00EC2769">
        <w:t>260.</w:t>
      </w:r>
      <w:r w:rsidRPr="00EC2769">
        <w:tab/>
        <w:t>The Royal Australian College of General Practitioners. Guideline for the management of knee and hip osteoarthritis. East Melbourne, Victoria: RACGP; 2018.</w:t>
      </w:r>
      <w:bookmarkEnd w:id="834"/>
    </w:p>
    <w:p w14:paraId="6CD8D8A2" w14:textId="678CAE8E" w:rsidR="00EC2769" w:rsidRPr="00EC2769" w:rsidRDefault="00EC2769" w:rsidP="001B3DA2">
      <w:pPr>
        <w:pStyle w:val="EndNoteBibliography"/>
      </w:pPr>
      <w:bookmarkStart w:id="835" w:name="_ENREF_261"/>
      <w:r w:rsidRPr="00EC2769">
        <w:t>261.</w:t>
      </w:r>
      <w:r w:rsidRPr="00EC2769">
        <w:tab/>
        <w:t xml:space="preserve">Australian Institute of Health and Welfare. Osteoarthritis 2020. [Accessed. Available from: </w:t>
      </w:r>
      <w:hyperlink r:id="rId216" w:history="1">
        <w:r w:rsidRPr="00EC2769">
          <w:rPr>
            <w:rStyle w:val="Hyperlink"/>
            <w:rFonts w:cs="Calibri"/>
          </w:rPr>
          <w:t>https://www.aihw.gov.au/reports/chronic-musculoskeletal-conditions/osteoarthritis</w:t>
        </w:r>
      </w:hyperlink>
      <w:r w:rsidRPr="00EC2769">
        <w:t>.</w:t>
      </w:r>
      <w:bookmarkEnd w:id="835"/>
    </w:p>
    <w:p w14:paraId="49568F43" w14:textId="77777777" w:rsidR="00EC2769" w:rsidRPr="00EC2769" w:rsidRDefault="00EC2769" w:rsidP="001B3DA2">
      <w:pPr>
        <w:pStyle w:val="EndNoteBibliography"/>
      </w:pPr>
      <w:bookmarkStart w:id="836" w:name="_ENREF_262"/>
      <w:r w:rsidRPr="00EC2769">
        <w:t>262.</w:t>
      </w:r>
      <w:r w:rsidRPr="00EC2769">
        <w:tab/>
        <w:t>Arthritis disease.</w:t>
      </w:r>
      <w:r w:rsidRPr="00EC2769">
        <w:rPr>
          <w:i/>
        </w:rPr>
        <w:t xml:space="preserve"> Australian Journal for General Practitioners</w:t>
      </w:r>
      <w:r w:rsidRPr="00EC2769">
        <w:t xml:space="preserve">. 2012;39:638-40. </w:t>
      </w:r>
      <w:bookmarkEnd w:id="836"/>
    </w:p>
    <w:p w14:paraId="05951D9D" w14:textId="045C3660" w:rsidR="00EC2769" w:rsidRPr="00EC2769" w:rsidRDefault="00EC2769" w:rsidP="001B3DA2">
      <w:pPr>
        <w:pStyle w:val="EndNoteBibliography"/>
      </w:pPr>
      <w:bookmarkStart w:id="837" w:name="_ENREF_263"/>
      <w:r w:rsidRPr="00EC2769">
        <w:t>263.</w:t>
      </w:r>
      <w:r w:rsidRPr="00EC2769">
        <w:tab/>
        <w:t xml:space="preserve">Arthritis Australia. Complementary treatments and therapies 2007 [Available from: </w:t>
      </w:r>
      <w:hyperlink r:id="rId217" w:anchor=":~:text=Examples%20of%20complementary%20therapies%20include,any%20treatments%20you%20are%20taking" w:history="1">
        <w:r w:rsidRPr="00EC2769">
          <w:rPr>
            <w:rStyle w:val="Hyperlink"/>
            <w:rFonts w:cs="Calibri"/>
          </w:rPr>
          <w:t>https://arthritisaustralia.com.au/managing-arthritis/living-with-arthritis/complementary-treatments-and-therapies/#:~:text=Examples%20of%20complementary%20therapies%20include,any%20treatments%20you%20are%20taking</w:t>
        </w:r>
      </w:hyperlink>
      <w:r w:rsidRPr="00EC2769">
        <w:t>.</w:t>
      </w:r>
      <w:bookmarkEnd w:id="837"/>
    </w:p>
    <w:p w14:paraId="7103C58C" w14:textId="77777777" w:rsidR="00EC2769" w:rsidRPr="00EC2769" w:rsidRDefault="00EC2769" w:rsidP="001B3DA2">
      <w:pPr>
        <w:pStyle w:val="EndNoteBibliography"/>
      </w:pPr>
      <w:bookmarkStart w:id="838" w:name="_ENREF_264"/>
      <w:r w:rsidRPr="00EC2769">
        <w:t>264.</w:t>
      </w:r>
      <w:r w:rsidRPr="00EC2769">
        <w:tab/>
        <w:t>Charles J, Britt H, Pan Y. Rheumatoid arthritis.</w:t>
      </w:r>
      <w:r w:rsidRPr="00EC2769">
        <w:rPr>
          <w:i/>
        </w:rPr>
        <w:t xml:space="preserve"> Aust Fam Physician</w:t>
      </w:r>
      <w:r w:rsidRPr="00EC2769">
        <w:t xml:space="preserve">. 2013;42(11):765. </w:t>
      </w:r>
      <w:bookmarkEnd w:id="838"/>
    </w:p>
    <w:p w14:paraId="221EDE88" w14:textId="4414EB62" w:rsidR="00EC2769" w:rsidRPr="00EC2769" w:rsidRDefault="00EC2769" w:rsidP="001B3DA2">
      <w:pPr>
        <w:pStyle w:val="EndNoteBibliography"/>
      </w:pPr>
      <w:bookmarkStart w:id="839" w:name="_ENREF_265"/>
      <w:r w:rsidRPr="00EC2769">
        <w:t>265.</w:t>
      </w:r>
      <w:r w:rsidRPr="00EC2769">
        <w:tab/>
        <w:t xml:space="preserve">Australian Institute of Health and Welfare. Rheumatoid arthritis. 2020. [Accessed. Available from: </w:t>
      </w:r>
      <w:hyperlink r:id="rId218" w:history="1">
        <w:r w:rsidRPr="00EC2769">
          <w:rPr>
            <w:rStyle w:val="Hyperlink"/>
            <w:rFonts w:cs="Calibri"/>
          </w:rPr>
          <w:t>https://www.aihw.gov.au/reports/chronic-musculoskeletal-conditions/rheumatoid-arthritis</w:t>
        </w:r>
      </w:hyperlink>
      <w:r w:rsidRPr="00EC2769">
        <w:t>.</w:t>
      </w:r>
      <w:bookmarkEnd w:id="839"/>
    </w:p>
    <w:p w14:paraId="72999FE5" w14:textId="77777777" w:rsidR="00EC2769" w:rsidRPr="00EC2769" w:rsidRDefault="00EC2769" w:rsidP="001B3DA2">
      <w:pPr>
        <w:pStyle w:val="EndNoteBibliography"/>
      </w:pPr>
      <w:bookmarkStart w:id="840" w:name="_ENREF_266"/>
      <w:r w:rsidRPr="00EC2769">
        <w:t>266.</w:t>
      </w:r>
      <w:r w:rsidRPr="00EC2769">
        <w:tab/>
        <w:t>Chandrashekara S, Anilkumar T, Jamuna S. Complementary and alternative drug therapy in arthritis.</w:t>
      </w:r>
      <w:r w:rsidRPr="00EC2769">
        <w:rPr>
          <w:i/>
        </w:rPr>
        <w:t xml:space="preserve"> J Assoc Physicians India</w:t>
      </w:r>
      <w:r w:rsidRPr="00EC2769">
        <w:t xml:space="preserve">. 2002;50:225-7. </w:t>
      </w:r>
      <w:bookmarkEnd w:id="840"/>
    </w:p>
    <w:p w14:paraId="544F57EE" w14:textId="77777777" w:rsidR="00EC2769" w:rsidRPr="00EC2769" w:rsidRDefault="00EC2769" w:rsidP="001B3DA2">
      <w:pPr>
        <w:pStyle w:val="EndNoteBibliography"/>
      </w:pPr>
      <w:bookmarkStart w:id="841" w:name="_ENREF_267"/>
      <w:r w:rsidRPr="00EC2769">
        <w:t>267.</w:t>
      </w:r>
      <w:r w:rsidRPr="00EC2769">
        <w:tab/>
        <w:t>Brien S, Lachance L, Lewith GT. Are the therapeutic effects of homeopathy attributed to the consultation, the homeopathic remedy, or both? A protocol for a future exploratory feasibility trial in patients with rheumatoid arthritis.</w:t>
      </w:r>
      <w:r w:rsidRPr="00EC2769">
        <w:rPr>
          <w:i/>
        </w:rPr>
        <w:t xml:space="preserve"> J Altern Complement Med</w:t>
      </w:r>
      <w:r w:rsidRPr="00EC2769">
        <w:t>. 2004;10(3):499-502. 10.1089/1075553041323768</w:t>
      </w:r>
      <w:bookmarkEnd w:id="841"/>
    </w:p>
    <w:p w14:paraId="7BB8461D" w14:textId="77777777" w:rsidR="00EC2769" w:rsidRPr="00EC2769" w:rsidRDefault="00EC2769" w:rsidP="001B3DA2">
      <w:pPr>
        <w:pStyle w:val="EndNoteBibliography"/>
      </w:pPr>
      <w:bookmarkStart w:id="842" w:name="_ENREF_268"/>
      <w:r w:rsidRPr="00EC2769">
        <w:t>268.</w:t>
      </w:r>
      <w:r w:rsidRPr="00EC2769">
        <w:tab/>
        <w:t>Brien S, Lachance L, Prescott P, McDermott C, Lewith G. Homeopathy has clinical benefits in rheumatoid arthritis patients that are attributable to the consultation process but not the homeopathic remedy: a randomized controlled clinical trial.</w:t>
      </w:r>
      <w:r w:rsidRPr="00EC2769">
        <w:rPr>
          <w:i/>
        </w:rPr>
        <w:t xml:space="preserve"> Rheumatology (Oxford)</w:t>
      </w:r>
      <w:r w:rsidRPr="00EC2769">
        <w:t>. 2011;50(6):1070-82. 10.1093/rheumatology/keq234</w:t>
      </w:r>
      <w:bookmarkEnd w:id="842"/>
    </w:p>
    <w:p w14:paraId="7205976B" w14:textId="4673FC4F" w:rsidR="00EC2769" w:rsidRPr="00EC2769" w:rsidRDefault="00EC2769" w:rsidP="001B3DA2">
      <w:pPr>
        <w:pStyle w:val="EndNoteBibliography"/>
      </w:pPr>
      <w:bookmarkStart w:id="843" w:name="_ENREF_269"/>
      <w:r w:rsidRPr="00EC2769">
        <w:t>269.</w:t>
      </w:r>
      <w:r w:rsidRPr="00EC2769">
        <w:tab/>
        <w:t>Fisher P, Scott DL. A randomized controlled trial of homeopathy in rheumatoid arthritis.</w:t>
      </w:r>
      <w:r w:rsidRPr="00EC2769">
        <w:rPr>
          <w:i/>
        </w:rPr>
        <w:t xml:space="preserve"> Rheumatology</w:t>
      </w:r>
      <w:r w:rsidRPr="00EC2769">
        <w:t xml:space="preserve">. 2001;40(9):1052-5. </w:t>
      </w:r>
      <w:hyperlink r:id="rId219" w:history="1">
        <w:r w:rsidRPr="00EC2769">
          <w:rPr>
            <w:rStyle w:val="Hyperlink"/>
            <w:rFonts w:cs="Calibri"/>
          </w:rPr>
          <w:t>http://dx.doi.org/10.1093/rheumatology/40.9.1052</w:t>
        </w:r>
        <w:bookmarkEnd w:id="843"/>
      </w:hyperlink>
    </w:p>
    <w:p w14:paraId="2D929E06" w14:textId="77777777" w:rsidR="00EC2769" w:rsidRPr="00EC2769" w:rsidRDefault="00EC2769" w:rsidP="001B3DA2">
      <w:pPr>
        <w:pStyle w:val="EndNoteBibliography"/>
      </w:pPr>
      <w:bookmarkStart w:id="844" w:name="_ENREF_270"/>
      <w:r w:rsidRPr="00EC2769">
        <w:lastRenderedPageBreak/>
        <w:t>270.</w:t>
      </w:r>
      <w:r w:rsidRPr="00EC2769">
        <w:tab/>
        <w:t>Koley M, Saha S, Ghosh S. A double-blind randomized placebo-controlled feasibility study evaluating individualized homeopathy in managing pain of knee osteoarthritis.</w:t>
      </w:r>
      <w:r w:rsidRPr="00EC2769">
        <w:rPr>
          <w:i/>
        </w:rPr>
        <w:t xml:space="preserve"> J Evid Based Complementary Altern Med</w:t>
      </w:r>
      <w:r w:rsidRPr="00EC2769">
        <w:t>. 2015;20(3):186-91. 10.1177/2156587214568668</w:t>
      </w:r>
      <w:bookmarkEnd w:id="844"/>
    </w:p>
    <w:p w14:paraId="1EDFCFA6" w14:textId="77777777" w:rsidR="00EC2769" w:rsidRPr="00EC2769" w:rsidRDefault="00EC2769" w:rsidP="001B3DA2">
      <w:pPr>
        <w:pStyle w:val="EndNoteBibliography"/>
      </w:pPr>
      <w:bookmarkStart w:id="845" w:name="_ENREF_271"/>
      <w:r w:rsidRPr="00EC2769">
        <w:t>271.</w:t>
      </w:r>
      <w:r w:rsidRPr="00EC2769">
        <w:tab/>
        <w:t>Shealy CN, Thomlinson RP, Cox RH, Borgmeyer V. Alternative medicine. Osteoarthritic pain: a comparison of homeopathy and acetaminophen.</w:t>
      </w:r>
      <w:r w:rsidRPr="00EC2769">
        <w:rPr>
          <w:i/>
        </w:rPr>
        <w:t xml:space="preserve"> American Journal of Pain Management</w:t>
      </w:r>
      <w:r w:rsidRPr="00EC2769">
        <w:t xml:space="preserve">. 1998;8(3):89-91. </w:t>
      </w:r>
      <w:bookmarkEnd w:id="845"/>
    </w:p>
    <w:p w14:paraId="769453CC" w14:textId="77777777" w:rsidR="00EC2769" w:rsidRPr="00EC2769" w:rsidRDefault="00EC2769" w:rsidP="001B3DA2">
      <w:pPr>
        <w:pStyle w:val="EndNoteBibliography"/>
      </w:pPr>
      <w:bookmarkStart w:id="846" w:name="_ENREF_272"/>
      <w:r w:rsidRPr="00EC2769">
        <w:t>272.</w:t>
      </w:r>
      <w:r w:rsidRPr="00EC2769">
        <w:tab/>
        <w:t>Shipley M, Berry H, Broster G, Jenkins M, Clover A, Williams I. Controlled trial of homoeopathic treatment of osteoarthritis.</w:t>
      </w:r>
      <w:r w:rsidRPr="00EC2769">
        <w:rPr>
          <w:i/>
        </w:rPr>
        <w:t xml:space="preserve"> Lancet</w:t>
      </w:r>
      <w:r w:rsidRPr="00EC2769">
        <w:t xml:space="preserve">. 1983;1(8316):97-8. </w:t>
      </w:r>
      <w:bookmarkEnd w:id="846"/>
    </w:p>
    <w:p w14:paraId="10AB81E6" w14:textId="77777777" w:rsidR="00EC2769" w:rsidRPr="00EC2769" w:rsidRDefault="00EC2769" w:rsidP="001B3DA2">
      <w:pPr>
        <w:pStyle w:val="EndNoteBibliography"/>
      </w:pPr>
      <w:bookmarkStart w:id="847" w:name="_ENREF_273"/>
      <w:r w:rsidRPr="00EC2769">
        <w:t>273.</w:t>
      </w:r>
      <w:r w:rsidRPr="00EC2769">
        <w:tab/>
        <w:t>Strosser W, Weiser M. Patients with gonarthrosis gaining back mobility - Homoeopathic in a doubleblind comparison.</w:t>
      </w:r>
      <w:r w:rsidRPr="00EC2769">
        <w:rPr>
          <w:i/>
        </w:rPr>
        <w:t xml:space="preserve"> Biologische Medizin</w:t>
      </w:r>
      <w:r w:rsidRPr="00EC2769">
        <w:t xml:space="preserve">. 2000;29(6):295‐9. </w:t>
      </w:r>
      <w:bookmarkEnd w:id="847"/>
    </w:p>
    <w:p w14:paraId="70BAABE6" w14:textId="77777777" w:rsidR="00EC2769" w:rsidRPr="00EC2769" w:rsidRDefault="00EC2769" w:rsidP="001B3DA2">
      <w:pPr>
        <w:pStyle w:val="EndNoteBibliography"/>
      </w:pPr>
      <w:bookmarkStart w:id="848" w:name="_ENREF_274"/>
      <w:r w:rsidRPr="00EC2769">
        <w:t>274.</w:t>
      </w:r>
      <w:r w:rsidRPr="00EC2769">
        <w:tab/>
        <w:t>van Haselen RA, Fisher PA. A randomized controlled trial comparing topical piroxicam gel with a homeopathic gel in osteoarthritis of the knee.</w:t>
      </w:r>
      <w:r w:rsidRPr="00EC2769">
        <w:rPr>
          <w:i/>
        </w:rPr>
        <w:t xml:space="preserve"> Rheumatology (Oxford, England)</w:t>
      </w:r>
      <w:r w:rsidRPr="00EC2769">
        <w:t>. 2000;39(7):714‐9. 10.1093/rheumatology/39.7.714</w:t>
      </w:r>
      <w:bookmarkEnd w:id="848"/>
    </w:p>
    <w:p w14:paraId="3FF4A5A8" w14:textId="77777777" w:rsidR="00EC2769" w:rsidRPr="00EC2769" w:rsidRDefault="00EC2769" w:rsidP="001B3DA2">
      <w:pPr>
        <w:pStyle w:val="EndNoteBibliography"/>
      </w:pPr>
      <w:bookmarkStart w:id="849" w:name="_ENREF_275"/>
      <w:r w:rsidRPr="00EC2769">
        <w:t>275.</w:t>
      </w:r>
      <w:r w:rsidRPr="00EC2769">
        <w:tab/>
        <w:t>Eldessouki Ibrahim S, el Zohiery A, Mobasher S, Badr Eldin A, Mohamed M, Abdalla A. Acupuncture versus Homeopathy as a Complementary Therapy in Patients with Knee Osteoarthritis.</w:t>
      </w:r>
      <w:r w:rsidRPr="00EC2769">
        <w:rPr>
          <w:i/>
        </w:rPr>
        <w:t xml:space="preserve"> International Journal of Physical Medicine and Rehabilitation</w:t>
      </w:r>
      <w:r w:rsidRPr="00EC2769">
        <w:t>. 2015;03. 10.4172/2329-9096.1000259</w:t>
      </w:r>
      <w:bookmarkEnd w:id="849"/>
    </w:p>
    <w:p w14:paraId="0DD16BCA" w14:textId="77777777" w:rsidR="00EC2769" w:rsidRPr="00EC2769" w:rsidRDefault="00EC2769" w:rsidP="001B3DA2">
      <w:pPr>
        <w:pStyle w:val="EndNoteBibliography"/>
      </w:pPr>
      <w:bookmarkStart w:id="850" w:name="_ENREF_276"/>
      <w:r w:rsidRPr="00EC2769">
        <w:t>276.</w:t>
      </w:r>
      <w:r w:rsidRPr="00EC2769">
        <w:tab/>
        <w:t>Khitrov NA. The use of artrofoon in the therapy of disorders of the paraarticular apparatus.</w:t>
      </w:r>
      <w:r w:rsidRPr="00EC2769">
        <w:rPr>
          <w:i/>
        </w:rPr>
        <w:t xml:space="preserve"> Bull Exp Biol Med</w:t>
      </w:r>
      <w:r w:rsidRPr="00EC2769">
        <w:t>. 2009;148(3):478-81. 10.1007/s10517-010-0741-6</w:t>
      </w:r>
      <w:bookmarkEnd w:id="850"/>
    </w:p>
    <w:p w14:paraId="30F9CAB5" w14:textId="77777777" w:rsidR="00EC2769" w:rsidRPr="00EC2769" w:rsidRDefault="00EC2769" w:rsidP="001B3DA2">
      <w:pPr>
        <w:pStyle w:val="EndNoteBibliography"/>
      </w:pPr>
      <w:bookmarkStart w:id="851" w:name="_ENREF_277"/>
      <w:r w:rsidRPr="00EC2769">
        <w:t>277.</w:t>
      </w:r>
      <w:r w:rsidRPr="00EC2769">
        <w:tab/>
        <w:t>Widrig R, Suter A, Saller R, Melzer J. Choosing between NSAID and arnica for topical treatment of hand osteoarthritis in a randomised, double-blind study.</w:t>
      </w:r>
      <w:r w:rsidRPr="00EC2769">
        <w:rPr>
          <w:i/>
        </w:rPr>
        <w:t xml:space="preserve"> Rheumatol Int</w:t>
      </w:r>
      <w:r w:rsidRPr="00EC2769">
        <w:t>. 2007;27(6):585-91. 10.1007/s00296-007-0304-y</w:t>
      </w:r>
      <w:bookmarkEnd w:id="851"/>
    </w:p>
    <w:p w14:paraId="716378B2" w14:textId="77777777" w:rsidR="00EC2769" w:rsidRPr="00EC2769" w:rsidRDefault="00EC2769" w:rsidP="001B3DA2">
      <w:pPr>
        <w:pStyle w:val="EndNoteBibliography"/>
      </w:pPr>
      <w:bookmarkStart w:id="852" w:name="_ENREF_278"/>
      <w:r w:rsidRPr="00EC2769">
        <w:t>278.</w:t>
      </w:r>
      <w:r w:rsidRPr="00EC2769">
        <w:tab/>
        <w:t>Mian AN, Ibrahim F, Scott DL, Galloway J, On behalf of the Tsg. Optimal responses in disease activity scores to treatment in rheumatoid arthritis: Is a DAS28 reduction of &gt;1.2 sufficient?</w:t>
      </w:r>
      <w:r w:rsidRPr="00EC2769">
        <w:rPr>
          <w:i/>
        </w:rPr>
        <w:t xml:space="preserve"> Arthritis Research &amp; Therapy</w:t>
      </w:r>
      <w:r w:rsidRPr="00EC2769">
        <w:t>. 2016;18(1):142. 10.1186/s13075-016-1028-8</w:t>
      </w:r>
      <w:bookmarkEnd w:id="852"/>
    </w:p>
    <w:p w14:paraId="737E38D4" w14:textId="117EE104" w:rsidR="00EC2769" w:rsidRPr="00EC2769" w:rsidRDefault="00EC2769" w:rsidP="001B3DA2">
      <w:pPr>
        <w:pStyle w:val="EndNoteBibliography"/>
      </w:pPr>
      <w:bookmarkStart w:id="853" w:name="_ENREF_279"/>
      <w:r w:rsidRPr="00EC2769">
        <w:t>279.</w:t>
      </w:r>
      <w:r w:rsidRPr="00EC2769">
        <w:tab/>
        <w:t xml:space="preserve">Australian Institute of Health and Welfare. Back problems. 2023. [Accessed. Available from: </w:t>
      </w:r>
      <w:hyperlink r:id="rId220" w:history="1">
        <w:r w:rsidRPr="00EC2769">
          <w:rPr>
            <w:rStyle w:val="Hyperlink"/>
            <w:rFonts w:cs="Calibri"/>
          </w:rPr>
          <w:t>https://www.aihw.gov.au/reports/chronic-musculoskeletal-conditions/back-problems</w:t>
        </w:r>
      </w:hyperlink>
      <w:r w:rsidRPr="00EC2769">
        <w:t>.</w:t>
      </w:r>
      <w:bookmarkEnd w:id="853"/>
    </w:p>
    <w:p w14:paraId="5494FB94" w14:textId="77777777" w:rsidR="00EC2769" w:rsidRPr="00EC2769" w:rsidRDefault="00EC2769" w:rsidP="001B3DA2">
      <w:pPr>
        <w:pStyle w:val="EndNoteBibliography"/>
      </w:pPr>
      <w:bookmarkStart w:id="854" w:name="_ENREF_280"/>
      <w:r w:rsidRPr="00EC2769">
        <w:t>280.</w:t>
      </w:r>
      <w:r w:rsidRPr="00EC2769">
        <w:tab/>
        <w:t>Michaleff ZA, Harrison C, Britt H, Lin C-WC, Maher CG. Ten-year survey reveals differences in GP management of neck and back pain.</w:t>
      </w:r>
      <w:r w:rsidRPr="00EC2769">
        <w:rPr>
          <w:i/>
        </w:rPr>
        <w:t xml:space="preserve"> European spine journal</w:t>
      </w:r>
      <w:r w:rsidRPr="00EC2769">
        <w:t>. 2012;21(7):1283-9. 10.1007/s00586-011-2135-5</w:t>
      </w:r>
      <w:bookmarkEnd w:id="854"/>
    </w:p>
    <w:p w14:paraId="0E43B3EF" w14:textId="3383D90B" w:rsidR="00EC2769" w:rsidRPr="00EC2769" w:rsidRDefault="00EC2769" w:rsidP="001B3DA2">
      <w:pPr>
        <w:pStyle w:val="EndNoteBibliography"/>
      </w:pPr>
      <w:bookmarkStart w:id="855" w:name="_ENREF_281"/>
      <w:r w:rsidRPr="00EC2769">
        <w:t>281.</w:t>
      </w:r>
      <w:r w:rsidRPr="00EC2769">
        <w:tab/>
        <w:t>O'Connell NE, Cook CE, Wand BM, Ward SP. Clinical guidelines for low back pain: A critical review of consensus and inconsistencies across three major guidelines.</w:t>
      </w:r>
      <w:r w:rsidRPr="00EC2769">
        <w:rPr>
          <w:i/>
        </w:rPr>
        <w:t xml:space="preserve"> Best Practice &amp; Research Clinical Rheumatology</w:t>
      </w:r>
      <w:r w:rsidRPr="00EC2769">
        <w:t xml:space="preserve">. 2016;30(6):968-80. </w:t>
      </w:r>
      <w:hyperlink r:id="rId221" w:history="1">
        <w:r w:rsidRPr="00EC2769">
          <w:rPr>
            <w:rStyle w:val="Hyperlink"/>
            <w:rFonts w:cs="Calibri"/>
          </w:rPr>
          <w:t>https://doi.org/10.1016/j.berh.2017.05.001</w:t>
        </w:r>
        <w:bookmarkEnd w:id="855"/>
      </w:hyperlink>
    </w:p>
    <w:p w14:paraId="69EF8288" w14:textId="77777777" w:rsidR="00EC2769" w:rsidRPr="00EC2769" w:rsidRDefault="00EC2769" w:rsidP="001B3DA2">
      <w:pPr>
        <w:pStyle w:val="EndNoteBibliography"/>
      </w:pPr>
      <w:bookmarkStart w:id="856" w:name="_ENREF_282"/>
      <w:r w:rsidRPr="00EC2769">
        <w:t>282.</w:t>
      </w:r>
      <w:r w:rsidRPr="00EC2769">
        <w:tab/>
        <w:t>Wheeler L, Karran E, Harvie D. Low back pain.</w:t>
      </w:r>
      <w:r w:rsidRPr="00EC2769">
        <w:rPr>
          <w:i/>
        </w:rPr>
        <w:t xml:space="preserve"> Australian Journal for General Practitioners</w:t>
      </w:r>
      <w:r w:rsidRPr="00EC2769">
        <w:t xml:space="preserve">. 2018;47:614-7. </w:t>
      </w:r>
      <w:bookmarkEnd w:id="856"/>
    </w:p>
    <w:p w14:paraId="4218B20D" w14:textId="77777777" w:rsidR="00EC2769" w:rsidRPr="00EC2769" w:rsidRDefault="00EC2769" w:rsidP="001B3DA2">
      <w:pPr>
        <w:pStyle w:val="EndNoteBibliography"/>
      </w:pPr>
      <w:bookmarkStart w:id="857" w:name="_ENREF_283"/>
      <w:r w:rsidRPr="00EC2769">
        <w:t>283.</w:t>
      </w:r>
      <w:r w:rsidRPr="00EC2769">
        <w:tab/>
        <w:t>Hartvigsen J, Hancock MJ, Kongsted A, Louw Q, Ferreira ML, Genevay S, et al. What low back pain is and why we need to pay attention.</w:t>
      </w:r>
      <w:r w:rsidRPr="00EC2769">
        <w:rPr>
          <w:i/>
        </w:rPr>
        <w:t xml:space="preserve"> Lancet</w:t>
      </w:r>
      <w:r w:rsidRPr="00EC2769">
        <w:t>. 2018;391(10137):2356-67. 10.1016/S0140-6736(18)30480-X</w:t>
      </w:r>
      <w:bookmarkEnd w:id="857"/>
    </w:p>
    <w:p w14:paraId="791E2969" w14:textId="77777777" w:rsidR="00EC2769" w:rsidRPr="00EC2769" w:rsidRDefault="00EC2769" w:rsidP="001B3DA2">
      <w:pPr>
        <w:pStyle w:val="EndNoteBibliography"/>
      </w:pPr>
      <w:bookmarkStart w:id="858" w:name="_ENREF_284"/>
      <w:r w:rsidRPr="00EC2769">
        <w:t>284.</w:t>
      </w:r>
      <w:r w:rsidRPr="00EC2769">
        <w:tab/>
        <w:t>Michaleff ZA, Harrison C, Britt H, Lin CW, Maher CG. Ten-year survey reveals differences in GP management of neck and back pain.</w:t>
      </w:r>
      <w:r w:rsidRPr="00EC2769">
        <w:rPr>
          <w:i/>
        </w:rPr>
        <w:t xml:space="preserve"> Eur Spine J</w:t>
      </w:r>
      <w:r w:rsidRPr="00EC2769">
        <w:t>. 2012;21(7):1283-9. 10.1007/s00586-011-2135-5</w:t>
      </w:r>
      <w:bookmarkEnd w:id="858"/>
    </w:p>
    <w:p w14:paraId="2AB9586D" w14:textId="77777777" w:rsidR="00EC2769" w:rsidRPr="00EC2769" w:rsidRDefault="00EC2769" w:rsidP="001B3DA2">
      <w:pPr>
        <w:pStyle w:val="EndNoteBibliography"/>
      </w:pPr>
      <w:bookmarkStart w:id="859" w:name="_ENREF_285"/>
      <w:r w:rsidRPr="00EC2769">
        <w:t>285.</w:t>
      </w:r>
      <w:r w:rsidRPr="00EC2769">
        <w:tab/>
        <w:t>Maher C, Williams C, Lin C, Latimer J. Managing low back pain in primary care.</w:t>
      </w:r>
      <w:r w:rsidRPr="00EC2769">
        <w:rPr>
          <w:i/>
        </w:rPr>
        <w:t xml:space="preserve"> Australian Prescriber</w:t>
      </w:r>
      <w:r w:rsidRPr="00EC2769">
        <w:t xml:space="preserve">. 2011;34(5):128-32. </w:t>
      </w:r>
      <w:bookmarkEnd w:id="859"/>
    </w:p>
    <w:p w14:paraId="3AC46E14" w14:textId="77777777" w:rsidR="00EC2769" w:rsidRPr="00EC2769" w:rsidRDefault="00EC2769" w:rsidP="001B3DA2">
      <w:pPr>
        <w:pStyle w:val="EndNoteBibliography"/>
      </w:pPr>
      <w:bookmarkStart w:id="860" w:name="_ENREF_286"/>
      <w:r w:rsidRPr="00EC2769">
        <w:t>286.</w:t>
      </w:r>
      <w:r w:rsidRPr="00EC2769">
        <w:tab/>
        <w:t>Chou R, Huffman LH. Nonpharmacologic Therapies for Acute and Chronic Low Back Pain: A Review of the Evidence for an American Pain Society/American College of Physicians Clinical Practice Guideline.</w:t>
      </w:r>
      <w:r w:rsidRPr="00EC2769">
        <w:rPr>
          <w:i/>
        </w:rPr>
        <w:t xml:space="preserve"> Annals of Internal Medicine</w:t>
      </w:r>
      <w:r w:rsidRPr="00EC2769">
        <w:t>. 2007;147(7):492-504. 10.7326/0003-4819-147-7-200710020-00007</w:t>
      </w:r>
      <w:bookmarkEnd w:id="860"/>
    </w:p>
    <w:p w14:paraId="0484BB7A" w14:textId="77777777" w:rsidR="00EC2769" w:rsidRPr="00EC2769" w:rsidRDefault="00EC2769" w:rsidP="001B3DA2">
      <w:pPr>
        <w:pStyle w:val="EndNoteBibliography"/>
      </w:pPr>
      <w:bookmarkStart w:id="861" w:name="_ENREF_287"/>
      <w:r w:rsidRPr="00EC2769">
        <w:t>287.</w:t>
      </w:r>
      <w:r w:rsidRPr="00EC2769">
        <w:tab/>
        <w:t>Weiner DK, Ernst E. Complementary and alternative approaches to the treatment of persistent musculoskeletal pain.</w:t>
      </w:r>
      <w:r w:rsidRPr="00EC2769">
        <w:rPr>
          <w:i/>
        </w:rPr>
        <w:t xml:space="preserve"> Clin J Pain</w:t>
      </w:r>
      <w:r w:rsidRPr="00EC2769">
        <w:t>. 2004;20(4):244-55. 10.1097/00002508-200407000-00006</w:t>
      </w:r>
      <w:bookmarkEnd w:id="861"/>
    </w:p>
    <w:p w14:paraId="0AB8BE74" w14:textId="45397C1B" w:rsidR="00EC2769" w:rsidRPr="00EC2769" w:rsidRDefault="00EC2769" w:rsidP="001B3DA2">
      <w:pPr>
        <w:pStyle w:val="EndNoteBibliography"/>
      </w:pPr>
      <w:bookmarkStart w:id="862" w:name="_ENREF_288"/>
      <w:r w:rsidRPr="00EC2769">
        <w:t>288.</w:t>
      </w:r>
      <w:r w:rsidRPr="00EC2769">
        <w:tab/>
        <w:t>Ctri. Effect of Predefined Homoeopathic Medicines in Cervical Spondylosis Pain Management.</w:t>
      </w:r>
      <w:r w:rsidRPr="00EC2769">
        <w:rPr>
          <w:i/>
        </w:rPr>
        <w:t xml:space="preserve"> </w:t>
      </w:r>
      <w:hyperlink r:id="rId222" w:history="1">
        <w:r w:rsidRPr="00EC2769">
          <w:rPr>
            <w:rStyle w:val="Hyperlink"/>
            <w:rFonts w:cs="Calibri"/>
            <w:i/>
          </w:rPr>
          <w:t>https://trialsearchwhoint/Trial2aspx?TrialID=CTRI/2011/12/002270</w:t>
        </w:r>
      </w:hyperlink>
      <w:r w:rsidRPr="00EC2769">
        <w:t xml:space="preserve">. 2011. </w:t>
      </w:r>
      <w:bookmarkEnd w:id="862"/>
    </w:p>
    <w:p w14:paraId="5E2D656F" w14:textId="77777777" w:rsidR="00EC2769" w:rsidRPr="00EC2769" w:rsidRDefault="00EC2769" w:rsidP="001B3DA2">
      <w:pPr>
        <w:pStyle w:val="EndNoteBibliography"/>
      </w:pPr>
      <w:bookmarkStart w:id="863" w:name="_ENREF_289"/>
      <w:r w:rsidRPr="00EC2769">
        <w:t>289.</w:t>
      </w:r>
      <w:r w:rsidRPr="00EC2769">
        <w:tab/>
        <w:t>Morris M, Pellow J, Solomon EM, Tsele-Tebakang T. Physiotherapy and a Homeopathic Complex for Chronic Low-back Pain Due to Osteoarthritis: A Randomized, Controlled Pilot Study.</w:t>
      </w:r>
      <w:r w:rsidRPr="00EC2769">
        <w:rPr>
          <w:i/>
        </w:rPr>
        <w:t xml:space="preserve"> Altern Ther Health Med</w:t>
      </w:r>
      <w:r w:rsidRPr="00EC2769">
        <w:t xml:space="preserve">. 2016;22(1):48-56. </w:t>
      </w:r>
      <w:bookmarkEnd w:id="863"/>
    </w:p>
    <w:p w14:paraId="7A6A47EA" w14:textId="77777777" w:rsidR="00EC2769" w:rsidRPr="00EC2769" w:rsidRDefault="00EC2769" w:rsidP="001B3DA2">
      <w:pPr>
        <w:pStyle w:val="EndNoteBibliography"/>
      </w:pPr>
      <w:bookmarkStart w:id="864" w:name="_ENREF_290"/>
      <w:r w:rsidRPr="00EC2769">
        <w:lastRenderedPageBreak/>
        <w:t>290.</w:t>
      </w:r>
      <w:r w:rsidRPr="00EC2769">
        <w:tab/>
        <w:t>Stam C, Bonnet MS, Van Haselen RA. The efficacy and safety of a homeopathic gel in the treatment of acute low back pain: A multi-centre, randomised, double-blind comparative clinical trial.</w:t>
      </w:r>
      <w:r w:rsidRPr="00EC2769">
        <w:rPr>
          <w:i/>
        </w:rPr>
        <w:t xml:space="preserve"> British Homeopathic Journal</w:t>
      </w:r>
      <w:r w:rsidRPr="00EC2769">
        <w:t xml:space="preserve">. 2001;90(1):21-8. </w:t>
      </w:r>
      <w:bookmarkEnd w:id="864"/>
    </w:p>
    <w:p w14:paraId="2F0DBA8A" w14:textId="77777777" w:rsidR="00EC2769" w:rsidRPr="00EC2769" w:rsidRDefault="00EC2769" w:rsidP="001B3DA2">
      <w:pPr>
        <w:pStyle w:val="EndNoteBibliography"/>
      </w:pPr>
      <w:bookmarkStart w:id="865" w:name="_ENREF_291"/>
      <w:r w:rsidRPr="00EC2769">
        <w:t>291.</w:t>
      </w:r>
      <w:r w:rsidRPr="00EC2769">
        <w:tab/>
        <w:t>Olsen MF, Bjerre E, Hansen MD, Hilden J, Landler NE, Tendal B, et al. Pain relief that matters to patients: systematic review of empirical studies assessing the minimum clinically important difference in acute pain.</w:t>
      </w:r>
      <w:r w:rsidRPr="00EC2769">
        <w:rPr>
          <w:i/>
        </w:rPr>
        <w:t xml:space="preserve"> BMC Med</w:t>
      </w:r>
      <w:r w:rsidRPr="00EC2769">
        <w:t>. 2017;15(1):35. 10.1186/s12916-016-0775-3</w:t>
      </w:r>
      <w:bookmarkEnd w:id="865"/>
    </w:p>
    <w:p w14:paraId="463368CA" w14:textId="77777777" w:rsidR="00EC2769" w:rsidRPr="00EC2769" w:rsidRDefault="00EC2769" w:rsidP="001B3DA2">
      <w:pPr>
        <w:pStyle w:val="EndNoteBibliography"/>
      </w:pPr>
      <w:bookmarkStart w:id="866" w:name="_ENREF_292"/>
      <w:r w:rsidRPr="00EC2769">
        <w:t>292.</w:t>
      </w:r>
      <w:r w:rsidRPr="00EC2769">
        <w:tab/>
        <w:t>Ostelo RW, de Vet HC. Clinically important outcomes in low back pain.</w:t>
      </w:r>
      <w:r w:rsidRPr="00EC2769">
        <w:rPr>
          <w:i/>
        </w:rPr>
        <w:t xml:space="preserve"> Best Pract Res Clin Rheumatol</w:t>
      </w:r>
      <w:r w:rsidRPr="00EC2769">
        <w:t>. 2005;19(4):593-607. 10.1016/j.berh.2005.03.003</w:t>
      </w:r>
      <w:bookmarkEnd w:id="866"/>
    </w:p>
    <w:p w14:paraId="3713A44A" w14:textId="77777777" w:rsidR="00EC2769" w:rsidRPr="00EC2769" w:rsidRDefault="00EC2769" w:rsidP="001B3DA2">
      <w:pPr>
        <w:pStyle w:val="EndNoteBibliography"/>
      </w:pPr>
      <w:bookmarkStart w:id="867" w:name="_ENREF_293"/>
      <w:r w:rsidRPr="00EC2769">
        <w:t>293.</w:t>
      </w:r>
      <w:r w:rsidRPr="00EC2769">
        <w:tab/>
        <w:t>MacDowall A, Skeppholm M, Robinson Y, Olerud C. Validation of the visual analog scale in the cervical spine.</w:t>
      </w:r>
      <w:r w:rsidRPr="00EC2769">
        <w:rPr>
          <w:i/>
        </w:rPr>
        <w:t xml:space="preserve"> J Neurosurg Spine</w:t>
      </w:r>
      <w:r w:rsidRPr="00EC2769">
        <w:t>. 2018;28(3):227-35. 10.3171/2017.5.Spine1732</w:t>
      </w:r>
      <w:bookmarkEnd w:id="867"/>
    </w:p>
    <w:p w14:paraId="0934C35D" w14:textId="77777777" w:rsidR="00EC2769" w:rsidRPr="00EC2769" w:rsidRDefault="00EC2769" w:rsidP="001B3DA2">
      <w:pPr>
        <w:pStyle w:val="EndNoteBibliography"/>
      </w:pPr>
      <w:bookmarkStart w:id="868" w:name="_ENREF_294"/>
      <w:r w:rsidRPr="00EC2769">
        <w:t>294.</w:t>
      </w:r>
      <w:r w:rsidRPr="00EC2769">
        <w:tab/>
        <w:t>McKinlay SM, Brambilla DJ, Posner JG. The normal menopause transition.</w:t>
      </w:r>
      <w:r w:rsidRPr="00EC2769">
        <w:rPr>
          <w:i/>
        </w:rPr>
        <w:t xml:space="preserve"> Maturitas</w:t>
      </w:r>
      <w:r w:rsidRPr="00EC2769">
        <w:t>. 1992;14(2):103-15. 10.1016/0378-5122(92)90003-m</w:t>
      </w:r>
      <w:bookmarkEnd w:id="868"/>
    </w:p>
    <w:p w14:paraId="142924B4" w14:textId="77777777" w:rsidR="00EC2769" w:rsidRPr="00EC2769" w:rsidRDefault="00EC2769" w:rsidP="001B3DA2">
      <w:pPr>
        <w:pStyle w:val="EndNoteBibliography"/>
      </w:pPr>
      <w:bookmarkStart w:id="869" w:name="_ENREF_295"/>
      <w:r w:rsidRPr="00EC2769">
        <w:t>295.</w:t>
      </w:r>
      <w:r w:rsidRPr="00EC2769">
        <w:tab/>
        <w:t>NIH State-of-the-Science Conference Statement on management of menopause-related symptoms.</w:t>
      </w:r>
      <w:r w:rsidRPr="00EC2769">
        <w:rPr>
          <w:i/>
        </w:rPr>
        <w:t xml:space="preserve"> NIH Consens State Sci Statements</w:t>
      </w:r>
      <w:r w:rsidRPr="00EC2769">
        <w:t xml:space="preserve">. 2005;22(1):1-38. </w:t>
      </w:r>
      <w:bookmarkEnd w:id="869"/>
    </w:p>
    <w:p w14:paraId="76ECA6F6" w14:textId="77777777" w:rsidR="00EC2769" w:rsidRPr="00EC2769" w:rsidRDefault="00EC2769" w:rsidP="001B3DA2">
      <w:pPr>
        <w:pStyle w:val="EndNoteBibliography"/>
      </w:pPr>
      <w:bookmarkStart w:id="870" w:name="_ENREF_296"/>
      <w:r w:rsidRPr="00EC2769">
        <w:t>296.</w:t>
      </w:r>
      <w:r w:rsidRPr="00EC2769">
        <w:tab/>
        <w:t>Ketvertis KPKM. StatPearls [Internet]. Treasure Island (FL): StatPearls Publishing.; 2021.</w:t>
      </w:r>
      <w:bookmarkEnd w:id="870"/>
    </w:p>
    <w:p w14:paraId="533C53DB" w14:textId="77777777" w:rsidR="00EC2769" w:rsidRPr="00EC2769" w:rsidRDefault="00EC2769" w:rsidP="001B3DA2">
      <w:pPr>
        <w:pStyle w:val="EndNoteBibliography"/>
      </w:pPr>
      <w:bookmarkStart w:id="871" w:name="_ENREF_297"/>
      <w:r w:rsidRPr="00EC2769">
        <w:t>297.</w:t>
      </w:r>
      <w:r w:rsidRPr="00EC2769">
        <w:tab/>
        <w:t>Giri R, Vincent AJ. Prevalence and Risk Factors of Premature Ovarian Insufficiency/Early Menopause.</w:t>
      </w:r>
      <w:r w:rsidRPr="00EC2769">
        <w:rPr>
          <w:i/>
        </w:rPr>
        <w:t xml:space="preserve"> Semin Reprod Med</w:t>
      </w:r>
      <w:r w:rsidRPr="00EC2769">
        <w:t>. 2020;38(4-05):237-46. 10.1055/s-0040-1722317</w:t>
      </w:r>
      <w:bookmarkEnd w:id="871"/>
    </w:p>
    <w:p w14:paraId="4DF2E315" w14:textId="77777777" w:rsidR="00EC2769" w:rsidRPr="00EC2769" w:rsidRDefault="00EC2769" w:rsidP="001B3DA2">
      <w:pPr>
        <w:pStyle w:val="EndNoteBibliography"/>
      </w:pPr>
      <w:bookmarkStart w:id="872" w:name="_ENREF_298"/>
      <w:r w:rsidRPr="00EC2769">
        <w:t>298.</w:t>
      </w:r>
      <w:r w:rsidRPr="00EC2769">
        <w:tab/>
        <w:t>Schoenaker DA, Jackson CA, Rowlands JV, Mishra GD. Socioeconomic position, lifestyle factors and age at natural menopause: a systematic review and meta-analyses of studies across six continents.</w:t>
      </w:r>
      <w:r w:rsidRPr="00EC2769">
        <w:rPr>
          <w:i/>
        </w:rPr>
        <w:t xml:space="preserve"> Int J Epidemiol</w:t>
      </w:r>
      <w:r w:rsidRPr="00EC2769">
        <w:t>. 2014;43(5):1542-62. 10.1093/ije/dyu094</w:t>
      </w:r>
      <w:bookmarkEnd w:id="872"/>
    </w:p>
    <w:p w14:paraId="62CC02BF" w14:textId="77777777" w:rsidR="00EC2769" w:rsidRPr="00EC2769" w:rsidRDefault="00EC2769" w:rsidP="001B3DA2">
      <w:pPr>
        <w:pStyle w:val="EndNoteBibliography"/>
      </w:pPr>
      <w:bookmarkStart w:id="873" w:name="_ENREF_299"/>
      <w:r w:rsidRPr="00EC2769">
        <w:t>299.</w:t>
      </w:r>
      <w:r w:rsidRPr="00EC2769">
        <w:tab/>
        <w:t>Mishra GD, Pandeya N, Dobson AJ, Chung HF, Anderson D, Kuh D, et al. Early menarche, nulliparity and the risk for premature and early natural menopause.</w:t>
      </w:r>
      <w:r w:rsidRPr="00EC2769">
        <w:rPr>
          <w:i/>
        </w:rPr>
        <w:t xml:space="preserve"> Hum Reprod</w:t>
      </w:r>
      <w:r w:rsidRPr="00EC2769">
        <w:t>. 2017;32(3):679-86. 10.1093/humrep/dew350</w:t>
      </w:r>
      <w:bookmarkEnd w:id="873"/>
    </w:p>
    <w:p w14:paraId="748E3218" w14:textId="77777777" w:rsidR="00EC2769" w:rsidRPr="00EC2769" w:rsidRDefault="00EC2769" w:rsidP="001B3DA2">
      <w:pPr>
        <w:pStyle w:val="EndNoteBibliography"/>
      </w:pPr>
      <w:bookmarkStart w:id="874" w:name="_ENREF_300"/>
      <w:r w:rsidRPr="00EC2769">
        <w:t>300.</w:t>
      </w:r>
      <w:r w:rsidRPr="00EC2769">
        <w:tab/>
        <w:t>Golezar S, Ramezani Tehrani F, Khazaei S, Ebadi A, Keshavarz Z. The global prevalence of primary ovarian insufficiency and early menopause: a meta-analysis.</w:t>
      </w:r>
      <w:r w:rsidRPr="00EC2769">
        <w:rPr>
          <w:i/>
        </w:rPr>
        <w:t xml:space="preserve"> Climacteric</w:t>
      </w:r>
      <w:r w:rsidRPr="00EC2769">
        <w:t>. 2019;22(4):403-11. 10.1080/13697137.2019.1574738</w:t>
      </w:r>
      <w:bookmarkEnd w:id="874"/>
    </w:p>
    <w:p w14:paraId="61C94459" w14:textId="41F7F356" w:rsidR="00EC2769" w:rsidRPr="00EC2769" w:rsidRDefault="00EC2769" w:rsidP="001B3DA2">
      <w:pPr>
        <w:pStyle w:val="EndNoteBibliography"/>
      </w:pPr>
      <w:bookmarkStart w:id="875" w:name="_ENREF_301"/>
      <w:r w:rsidRPr="00EC2769">
        <w:t>301.</w:t>
      </w:r>
      <w:r w:rsidRPr="00EC2769">
        <w:tab/>
        <w:t xml:space="preserve">Menopause Treatment Options: Australasian Menopause Society; 2018 [cited 2023 18 September]. Available from: </w:t>
      </w:r>
      <w:hyperlink r:id="rId223" w:history="1">
        <w:r w:rsidRPr="00EC2769">
          <w:rPr>
            <w:rStyle w:val="Hyperlink"/>
            <w:rFonts w:cs="Calibri"/>
          </w:rPr>
          <w:t>https://www.menopause.org.au/hp/management/treatment-options</w:t>
        </w:r>
      </w:hyperlink>
      <w:r w:rsidRPr="00EC2769">
        <w:t>.</w:t>
      </w:r>
      <w:bookmarkEnd w:id="875"/>
    </w:p>
    <w:p w14:paraId="75D0C587" w14:textId="77777777" w:rsidR="00EC2769" w:rsidRPr="00EC2769" w:rsidRDefault="00EC2769" w:rsidP="001B3DA2">
      <w:pPr>
        <w:pStyle w:val="EndNoteBibliography"/>
      </w:pPr>
      <w:bookmarkStart w:id="876" w:name="_ENREF_302"/>
      <w:r w:rsidRPr="00EC2769">
        <w:t>302.</w:t>
      </w:r>
      <w:r w:rsidRPr="00EC2769">
        <w:tab/>
        <w:t>The 2017 hormone therapy position statement of The North American Menopause Society.</w:t>
      </w:r>
      <w:r w:rsidRPr="00EC2769">
        <w:rPr>
          <w:i/>
        </w:rPr>
        <w:t xml:space="preserve"> Menopause</w:t>
      </w:r>
      <w:r w:rsidRPr="00EC2769">
        <w:t>. 2017;24(7):728-53. 10.1097/gme.0000000000000921</w:t>
      </w:r>
      <w:bookmarkEnd w:id="876"/>
    </w:p>
    <w:p w14:paraId="5145F4B8" w14:textId="77777777" w:rsidR="00EC2769" w:rsidRPr="00EC2769" w:rsidRDefault="00EC2769" w:rsidP="001B3DA2">
      <w:pPr>
        <w:pStyle w:val="EndNoteBibliography"/>
      </w:pPr>
      <w:bookmarkStart w:id="877" w:name="_ENREF_303"/>
      <w:r w:rsidRPr="00EC2769">
        <w:t>303.</w:t>
      </w:r>
      <w:r w:rsidRPr="00EC2769">
        <w:tab/>
        <w:t>Armeni E, Lambrinoudaki I, Ceausu I, Depypere H, Mueck A, Perez-Lopez FR, et al. Maintaining postreproductive health: A care pathway from the European Menopause and Andropause Society (EMAS).</w:t>
      </w:r>
      <w:r w:rsidRPr="00EC2769">
        <w:rPr>
          <w:i/>
        </w:rPr>
        <w:t xml:space="preserve"> Maturitas</w:t>
      </w:r>
      <w:r w:rsidRPr="00EC2769">
        <w:t>. 2016;89:63-72. 10.1016/j.maturitas.2016.04.013</w:t>
      </w:r>
      <w:bookmarkEnd w:id="877"/>
    </w:p>
    <w:p w14:paraId="02DD07D7" w14:textId="77777777" w:rsidR="00EC2769" w:rsidRPr="00EC2769" w:rsidRDefault="00EC2769" w:rsidP="001B3DA2">
      <w:pPr>
        <w:pStyle w:val="EndNoteBibliography"/>
      </w:pPr>
      <w:bookmarkStart w:id="878" w:name="_ENREF_304"/>
      <w:r w:rsidRPr="00EC2769">
        <w:t>304.</w:t>
      </w:r>
      <w:r w:rsidRPr="00EC2769">
        <w:tab/>
        <w:t>Management of osteoporosis in postmenopausal women: the 2021 position statement of The North American Menopause Society.</w:t>
      </w:r>
      <w:r w:rsidRPr="00EC2769">
        <w:rPr>
          <w:i/>
        </w:rPr>
        <w:t xml:space="preserve"> Menopause</w:t>
      </w:r>
      <w:r w:rsidRPr="00EC2769">
        <w:t>. 2021;28(9):973-97. 10.1097/GME.0000000000001831</w:t>
      </w:r>
      <w:bookmarkEnd w:id="878"/>
    </w:p>
    <w:p w14:paraId="7FEEBD98" w14:textId="77777777" w:rsidR="00EC2769" w:rsidRPr="00EC2769" w:rsidRDefault="00EC2769" w:rsidP="001B3DA2">
      <w:pPr>
        <w:pStyle w:val="EndNoteBibliography"/>
      </w:pPr>
      <w:bookmarkStart w:id="879" w:name="_ENREF_305"/>
      <w:r w:rsidRPr="00EC2769">
        <w:t>305.</w:t>
      </w:r>
      <w:r w:rsidRPr="00EC2769">
        <w:tab/>
        <w:t>The 2020 genitourinary syndrome of menopause position statement of The North American Menopause Society.</w:t>
      </w:r>
      <w:r w:rsidRPr="00EC2769">
        <w:rPr>
          <w:i/>
        </w:rPr>
        <w:t xml:space="preserve"> Menopause</w:t>
      </w:r>
      <w:r w:rsidRPr="00EC2769">
        <w:t>. 2020;27(9):976-92. 10.1097/gme.0000000000001609</w:t>
      </w:r>
      <w:bookmarkEnd w:id="879"/>
    </w:p>
    <w:p w14:paraId="7ED54337" w14:textId="77777777" w:rsidR="00EC2769" w:rsidRPr="00EC2769" w:rsidRDefault="00EC2769" w:rsidP="001B3DA2">
      <w:pPr>
        <w:pStyle w:val="EndNoteBibliography"/>
      </w:pPr>
      <w:bookmarkStart w:id="880" w:name="_ENREF_306"/>
      <w:r w:rsidRPr="00EC2769">
        <w:t>306.</w:t>
      </w:r>
      <w:r w:rsidRPr="00EC2769">
        <w:tab/>
        <w:t>The NHTPSAP. The 2017 hormone therapy position statement of The North American Menopause Society.</w:t>
      </w:r>
      <w:r w:rsidRPr="00EC2769">
        <w:rPr>
          <w:i/>
        </w:rPr>
        <w:t xml:space="preserve"> Menopause</w:t>
      </w:r>
      <w:r w:rsidRPr="00EC2769">
        <w:t>. 2017;24(7):728-53. 10.1097/GME.0000000000000921</w:t>
      </w:r>
      <w:bookmarkEnd w:id="880"/>
    </w:p>
    <w:p w14:paraId="75EFEF7F" w14:textId="77777777" w:rsidR="00EC2769" w:rsidRPr="00EC2769" w:rsidRDefault="00EC2769" w:rsidP="001B3DA2">
      <w:pPr>
        <w:pStyle w:val="EndNoteBibliography"/>
      </w:pPr>
      <w:bookmarkStart w:id="881" w:name="_ENREF_307"/>
      <w:r w:rsidRPr="00EC2769">
        <w:t>307.</w:t>
      </w:r>
      <w:r w:rsidRPr="00EC2769">
        <w:tab/>
        <w:t>Andrade D, Carmona F, Angelucci MA, Martinez EZ, Pereira AMS. Efficacy of a Homeopathic Medicine of Capsicum frutescens L. (Solanaceae) in the Treatment of Hot Flashes in Menopausal Women: A Phase-2 Randomized Controlled Trial.</w:t>
      </w:r>
      <w:r w:rsidRPr="00EC2769">
        <w:rPr>
          <w:i/>
        </w:rPr>
        <w:t xml:space="preserve"> Homeopathy</w:t>
      </w:r>
      <w:r w:rsidRPr="00EC2769">
        <w:t>. 2019;108(2):102-7. 10.1055/s-0038-1676326</w:t>
      </w:r>
      <w:bookmarkEnd w:id="881"/>
    </w:p>
    <w:p w14:paraId="1D020FF5" w14:textId="77777777" w:rsidR="00EC2769" w:rsidRPr="00EC2769" w:rsidRDefault="00EC2769" w:rsidP="001B3DA2">
      <w:pPr>
        <w:pStyle w:val="EndNoteBibliography"/>
      </w:pPr>
      <w:bookmarkStart w:id="882" w:name="_ENREF_308"/>
      <w:r w:rsidRPr="00EC2769">
        <w:t>308.</w:t>
      </w:r>
      <w:r w:rsidRPr="00EC2769">
        <w:tab/>
        <w:t>Colau JC, Vincent S, Marijnen P, Allaert FA. Efficacy of a non-hormonal treatment, BRN-01, on menopausal hot flashes: a multicenter, randomized, double-blind, placebo-controlled trial.</w:t>
      </w:r>
      <w:r w:rsidRPr="00EC2769">
        <w:rPr>
          <w:i/>
        </w:rPr>
        <w:t xml:space="preserve"> Drugs R D</w:t>
      </w:r>
      <w:r w:rsidRPr="00EC2769">
        <w:t>. 2012;12(3):107-19. 10.2165/11640240-000000000-00000</w:t>
      </w:r>
      <w:bookmarkEnd w:id="882"/>
    </w:p>
    <w:p w14:paraId="0B61E91C" w14:textId="77777777" w:rsidR="00EC2769" w:rsidRPr="00EC2769" w:rsidRDefault="00EC2769" w:rsidP="001B3DA2">
      <w:pPr>
        <w:pStyle w:val="EndNoteBibliography"/>
      </w:pPr>
      <w:bookmarkStart w:id="883" w:name="_ENREF_309"/>
      <w:r w:rsidRPr="00EC2769">
        <w:t>309.</w:t>
      </w:r>
      <w:r w:rsidRPr="00EC2769">
        <w:tab/>
        <w:t>Jacobs J. Is homeopathy effective for hot flashes and other estrogen-withdrawal symptoms in breast cancer survivors?</w:t>
      </w:r>
      <w:r w:rsidRPr="00EC2769">
        <w:rPr>
          <w:i/>
        </w:rPr>
        <w:t xml:space="preserve"> Journal of the American Institute of Homeopathy</w:t>
      </w:r>
      <w:r w:rsidRPr="00EC2769">
        <w:t xml:space="preserve">. 1999;92(2):72-7. </w:t>
      </w:r>
      <w:bookmarkEnd w:id="883"/>
    </w:p>
    <w:p w14:paraId="1B5E7F54" w14:textId="77777777" w:rsidR="00EC2769" w:rsidRPr="00EC2769" w:rsidRDefault="00EC2769" w:rsidP="001B3DA2">
      <w:pPr>
        <w:pStyle w:val="EndNoteBibliography"/>
      </w:pPr>
      <w:bookmarkStart w:id="884" w:name="_ENREF_310"/>
      <w:r w:rsidRPr="00EC2769">
        <w:t>310.</w:t>
      </w:r>
      <w:r w:rsidRPr="00EC2769">
        <w:tab/>
        <w:t>Jacobs J, Dawson P, Bowden R. Homeopathy for hot flashes in breast cancer survivors.</w:t>
      </w:r>
      <w:r w:rsidRPr="00EC2769">
        <w:rPr>
          <w:i/>
        </w:rPr>
        <w:t xml:space="preserve"> Era of Hope - Department of Defense Breast Cancer Research program meeting Sep 25-28, 2002</w:t>
      </w:r>
      <w:r w:rsidRPr="00EC2769">
        <w:t>. 2002;3:P57â</w:t>
      </w:r>
      <w:r w:rsidRPr="00EC2769">
        <w:rPr>
          <w:rFonts w:cs="Montserrat"/>
        </w:rPr>
        <w:t></w:t>
      </w:r>
      <w:r w:rsidRPr="00EC2769">
        <w:t xml:space="preserve">3. </w:t>
      </w:r>
      <w:bookmarkEnd w:id="884"/>
    </w:p>
    <w:p w14:paraId="331569CE" w14:textId="77777777" w:rsidR="00EC2769" w:rsidRPr="00EC2769" w:rsidRDefault="00EC2769" w:rsidP="001B3DA2">
      <w:pPr>
        <w:pStyle w:val="EndNoteBibliography"/>
      </w:pPr>
      <w:bookmarkStart w:id="885" w:name="_ENREF_311"/>
      <w:r w:rsidRPr="00EC2769">
        <w:lastRenderedPageBreak/>
        <w:t>311.</w:t>
      </w:r>
      <w:r w:rsidRPr="00EC2769">
        <w:tab/>
        <w:t>Jacobs J, Herman P, Heron K, Olsen S, Vaughters L. Homeopathy for menopausal symptoms in breast cancer survivors: a preliminary randomized controlled trial.</w:t>
      </w:r>
      <w:r w:rsidRPr="00EC2769">
        <w:rPr>
          <w:i/>
        </w:rPr>
        <w:t xml:space="preserve"> J Altern Complement Med</w:t>
      </w:r>
      <w:r w:rsidRPr="00EC2769">
        <w:t>. 2005;11(1):21-7. 10.1089/acm.2005.11.21</w:t>
      </w:r>
      <w:bookmarkEnd w:id="885"/>
    </w:p>
    <w:p w14:paraId="30620726" w14:textId="77777777" w:rsidR="00EC2769" w:rsidRPr="00EC2769" w:rsidRDefault="00EC2769" w:rsidP="001B3DA2">
      <w:pPr>
        <w:pStyle w:val="EndNoteBibliography"/>
      </w:pPr>
      <w:bookmarkStart w:id="886" w:name="_ENREF_312"/>
      <w:r w:rsidRPr="00EC2769">
        <w:t>312.</w:t>
      </w:r>
      <w:r w:rsidRPr="00EC2769">
        <w:tab/>
        <w:t>Relton C, O'Cathain A, Nicholl J. A pilot 'cohort multiple randomised controlled trial' of treatment by a homeopath for women with menopausal hot flushes.</w:t>
      </w:r>
      <w:r w:rsidRPr="00EC2769">
        <w:rPr>
          <w:i/>
        </w:rPr>
        <w:t xml:space="preserve"> Contemp Clin Trials</w:t>
      </w:r>
      <w:r w:rsidRPr="00EC2769">
        <w:t>. 2012;33(5):853-9. 10.1016/j.cct.2012.04.003</w:t>
      </w:r>
      <w:bookmarkEnd w:id="886"/>
    </w:p>
    <w:p w14:paraId="6C9DE6A2" w14:textId="6E63D617" w:rsidR="00EC2769" w:rsidRPr="00EC2769" w:rsidRDefault="00EC2769" w:rsidP="001B3DA2">
      <w:pPr>
        <w:pStyle w:val="EndNoteBibliography"/>
      </w:pPr>
      <w:bookmarkStart w:id="887" w:name="_ENREF_313"/>
      <w:r w:rsidRPr="00EC2769">
        <w:t>313.</w:t>
      </w:r>
      <w:r w:rsidRPr="00EC2769">
        <w:tab/>
        <w:t>Hagens CV, Godbillon B, Osburg J, Schiller P, Klose C, Limprecht R, et al. Treating menopausal symptoms with a complex homeopathic remedy: A prospective randomized double blind clinical trial.</w:t>
      </w:r>
      <w:r w:rsidRPr="00EC2769">
        <w:rPr>
          <w:i/>
        </w:rPr>
        <w:t xml:space="preserve"> Archives of Gynecology and Obstetrics</w:t>
      </w:r>
      <w:r w:rsidRPr="00EC2769">
        <w:t xml:space="preserve">. 2010;1):S138. </w:t>
      </w:r>
      <w:hyperlink r:id="rId224" w:history="1">
        <w:r w:rsidRPr="00EC2769">
          <w:rPr>
            <w:rStyle w:val="Hyperlink"/>
            <w:rFonts w:cs="Calibri"/>
          </w:rPr>
          <w:t>https://dx.doi.org/10.1007/s00404-010-1634-7</w:t>
        </w:r>
        <w:bookmarkEnd w:id="887"/>
      </w:hyperlink>
    </w:p>
    <w:p w14:paraId="000423A8" w14:textId="77777777" w:rsidR="00EC2769" w:rsidRPr="00EC2769" w:rsidRDefault="00EC2769" w:rsidP="001B3DA2">
      <w:pPr>
        <w:pStyle w:val="EndNoteBibliography"/>
      </w:pPr>
      <w:bookmarkStart w:id="888" w:name="_ENREF_314"/>
      <w:r w:rsidRPr="00EC2769">
        <w:t>314.</w:t>
      </w:r>
      <w:r w:rsidRPr="00EC2769">
        <w:tab/>
        <w:t>von Hagens C, Schiller P, Godbillon B, Osburg J, Klose C, Limprecht R, et al. Treating menopausal symptoms with a complex remedy or placebo: a randomized controlled trial.</w:t>
      </w:r>
      <w:r w:rsidRPr="00EC2769">
        <w:rPr>
          <w:i/>
        </w:rPr>
        <w:t xml:space="preserve"> Climacteric</w:t>
      </w:r>
      <w:r w:rsidRPr="00EC2769">
        <w:t>. 2012;15(4):358-67. 10.3109/13697137.2011.597895</w:t>
      </w:r>
      <w:bookmarkEnd w:id="888"/>
    </w:p>
    <w:p w14:paraId="7021852D" w14:textId="77777777" w:rsidR="00EC2769" w:rsidRPr="00EC2769" w:rsidRDefault="00EC2769" w:rsidP="001B3DA2">
      <w:pPr>
        <w:pStyle w:val="EndNoteBibliography"/>
      </w:pPr>
      <w:bookmarkStart w:id="889" w:name="_ENREF_315"/>
      <w:r w:rsidRPr="00EC2769">
        <w:t>315.</w:t>
      </w:r>
      <w:r w:rsidRPr="00EC2769">
        <w:tab/>
        <w:t>Gupta J, Kulshreshtha D, Lamba CD, Gupta P, Shinde VH, Wadhwa B, et al. Homoeopathic medicine – Sepia for the management of menopausal symptoms: A multicentric, randomised, double-blind placebo-controlled clinical trial.</w:t>
      </w:r>
      <w:r w:rsidRPr="00EC2769">
        <w:rPr>
          <w:i/>
        </w:rPr>
        <w:t xml:space="preserve"> Indian Journal of Research in Homoeopathy</w:t>
      </w:r>
      <w:r w:rsidRPr="00EC2769">
        <w:t xml:space="preserve">. 2019;13:219 - 28. </w:t>
      </w:r>
      <w:bookmarkEnd w:id="889"/>
    </w:p>
    <w:p w14:paraId="6F1D5777" w14:textId="77777777" w:rsidR="00EC2769" w:rsidRPr="00EC2769" w:rsidRDefault="00EC2769" w:rsidP="001B3DA2">
      <w:pPr>
        <w:pStyle w:val="EndNoteBibliography"/>
      </w:pPr>
      <w:bookmarkStart w:id="890" w:name="_ENREF_316"/>
      <w:r w:rsidRPr="00EC2769">
        <w:t>316.</w:t>
      </w:r>
      <w:r w:rsidRPr="00EC2769">
        <w:tab/>
        <w:t>Constantine GD, Revicki DA, Kagan R, Simon JA, Graham S, Bernick B, et al. Evaluation of clinical meaningfulness of estrogen plus progesterone oral capsule (TX-001HR) on moderate to severe vasomotor symptoms.</w:t>
      </w:r>
      <w:r w:rsidRPr="00EC2769">
        <w:rPr>
          <w:i/>
        </w:rPr>
        <w:t xml:space="preserve"> Menopause</w:t>
      </w:r>
      <w:r w:rsidRPr="00EC2769">
        <w:t>. 2019;26(5):513-9. 10.1097/gme.0000000000001261</w:t>
      </w:r>
      <w:bookmarkEnd w:id="890"/>
    </w:p>
    <w:p w14:paraId="0C2EF607" w14:textId="77777777" w:rsidR="00EC2769" w:rsidRPr="00EC2769" w:rsidRDefault="00EC2769" w:rsidP="001B3DA2">
      <w:pPr>
        <w:pStyle w:val="EndNoteBibliography"/>
      </w:pPr>
      <w:bookmarkStart w:id="891" w:name="_ENREF_317"/>
      <w:r w:rsidRPr="00EC2769">
        <w:t>317.</w:t>
      </w:r>
      <w:r w:rsidRPr="00EC2769">
        <w:tab/>
        <w:t>Carpenter JS, Bakoyannis G, Otte JL, Chen CX, Rand KL, Woods N, et al. Validity, cut-points, and minimally important differences for two hot flash-related daily interference scales.</w:t>
      </w:r>
      <w:r w:rsidRPr="00EC2769">
        <w:rPr>
          <w:i/>
        </w:rPr>
        <w:t xml:space="preserve"> Menopause</w:t>
      </w:r>
      <w:r w:rsidRPr="00EC2769">
        <w:t>. 2017;24(8):877-85. 10.1097/gme.0000000000000871</w:t>
      </w:r>
      <w:bookmarkEnd w:id="891"/>
    </w:p>
    <w:p w14:paraId="0B777E64" w14:textId="77777777" w:rsidR="00EC2769" w:rsidRPr="00EC2769" w:rsidRDefault="00EC2769" w:rsidP="001B3DA2">
      <w:pPr>
        <w:pStyle w:val="EndNoteBibliography"/>
      </w:pPr>
      <w:bookmarkStart w:id="892" w:name="_ENREF_318"/>
      <w:r w:rsidRPr="00EC2769">
        <w:t>318.</w:t>
      </w:r>
      <w:r w:rsidRPr="00EC2769">
        <w:tab/>
        <w:t>Dunselman GA, Vermeulen N, Becker C, Calhaz-Jorge C, D'Hooghe T, De Bie B, et al. ESHRE guideline: management of women with endometriosis.</w:t>
      </w:r>
      <w:r w:rsidRPr="00EC2769">
        <w:rPr>
          <w:i/>
        </w:rPr>
        <w:t xml:space="preserve"> Hum Reprod</w:t>
      </w:r>
      <w:r w:rsidRPr="00EC2769">
        <w:t>. 2014;29(3):400-12. 10.1093/humrep/det457</w:t>
      </w:r>
      <w:bookmarkEnd w:id="892"/>
    </w:p>
    <w:p w14:paraId="4CFA9B43" w14:textId="77777777" w:rsidR="00EC2769" w:rsidRPr="00EC2769" w:rsidRDefault="00EC2769" w:rsidP="001B3DA2">
      <w:pPr>
        <w:pStyle w:val="EndNoteBibliography"/>
      </w:pPr>
      <w:bookmarkStart w:id="893" w:name="_ENREF_319"/>
      <w:r w:rsidRPr="00EC2769">
        <w:t>319.</w:t>
      </w:r>
      <w:r w:rsidRPr="00EC2769">
        <w:tab/>
        <w:t>Kho KA, Shields JK. Diagnosis and Management of Primary Dysmenorrhea.</w:t>
      </w:r>
      <w:r w:rsidRPr="00EC2769">
        <w:rPr>
          <w:i/>
        </w:rPr>
        <w:t xml:space="preserve"> JAMA</w:t>
      </w:r>
      <w:r w:rsidRPr="00EC2769">
        <w:t>. 2020;323(3):268-9. 10.1001/jama.2019.16921</w:t>
      </w:r>
      <w:bookmarkEnd w:id="893"/>
    </w:p>
    <w:p w14:paraId="101589A5" w14:textId="77777777" w:rsidR="00EC2769" w:rsidRPr="00EC2769" w:rsidRDefault="00EC2769" w:rsidP="001B3DA2">
      <w:pPr>
        <w:pStyle w:val="EndNoteBibliography"/>
      </w:pPr>
      <w:bookmarkStart w:id="894" w:name="_ENREF_320"/>
      <w:r w:rsidRPr="00EC2769">
        <w:t>320.</w:t>
      </w:r>
      <w:r w:rsidRPr="00EC2769">
        <w:tab/>
        <w:t>Current evaluation of amenorrhea.</w:t>
      </w:r>
      <w:r w:rsidRPr="00EC2769">
        <w:rPr>
          <w:i/>
        </w:rPr>
        <w:t xml:space="preserve"> Fertil Steril</w:t>
      </w:r>
      <w:r w:rsidRPr="00EC2769">
        <w:t>. 2008;90(5 Suppl):S219-25. 10.1016/j.fertnstert.2008.08.038</w:t>
      </w:r>
      <w:bookmarkEnd w:id="894"/>
    </w:p>
    <w:p w14:paraId="458EF1EC" w14:textId="68CB1956" w:rsidR="00EC2769" w:rsidRPr="00EC2769" w:rsidRDefault="00EC2769" w:rsidP="001B3DA2">
      <w:pPr>
        <w:pStyle w:val="EndNoteBibliography"/>
      </w:pPr>
      <w:bookmarkStart w:id="895" w:name="_ENREF_321"/>
      <w:r w:rsidRPr="00EC2769">
        <w:t>321.</w:t>
      </w:r>
      <w:r w:rsidRPr="00EC2769">
        <w:tab/>
        <w:t xml:space="preserve">Premenstrual syndrome (PMS) Victoria State Government [cited 2023 10 August]. Available from: </w:t>
      </w:r>
      <w:hyperlink r:id="rId225" w:history="1">
        <w:r w:rsidRPr="00EC2769">
          <w:rPr>
            <w:rStyle w:val="Hyperlink"/>
            <w:rFonts w:cs="Calibri"/>
          </w:rPr>
          <w:t>https://www.betterhealth.vic.gov.au/health/conditionsandtreatments/premenstrual-syndrome-pms</w:t>
        </w:r>
      </w:hyperlink>
      <w:r w:rsidRPr="00EC2769">
        <w:t>.</w:t>
      </w:r>
      <w:bookmarkEnd w:id="895"/>
    </w:p>
    <w:p w14:paraId="50CDAA30" w14:textId="77777777" w:rsidR="00EC2769" w:rsidRPr="00EC2769" w:rsidRDefault="00EC2769" w:rsidP="001B3DA2">
      <w:pPr>
        <w:pStyle w:val="EndNoteBibliography"/>
      </w:pPr>
      <w:bookmarkStart w:id="896" w:name="_ENREF_322"/>
      <w:r w:rsidRPr="00EC2769">
        <w:t>322.</w:t>
      </w:r>
      <w:r w:rsidRPr="00EC2769">
        <w:tab/>
        <w:t>Parasar P, Ozcan P, Terry KL. Endometriosis: Epidemiology, Diagnosis and Clinical Management.</w:t>
      </w:r>
      <w:r w:rsidRPr="00EC2769">
        <w:rPr>
          <w:i/>
        </w:rPr>
        <w:t xml:space="preserve"> Curr Obstet Gynecol Rep</w:t>
      </w:r>
      <w:r w:rsidRPr="00EC2769">
        <w:t>. 2017;6(1):34-41. 10.1007/s13669-017-0187-1</w:t>
      </w:r>
      <w:bookmarkEnd w:id="896"/>
    </w:p>
    <w:p w14:paraId="1C3A9A30" w14:textId="77777777" w:rsidR="00EC2769" w:rsidRPr="00EC2769" w:rsidRDefault="00EC2769" w:rsidP="001B3DA2">
      <w:pPr>
        <w:pStyle w:val="EndNoteBibliography"/>
      </w:pPr>
      <w:bookmarkStart w:id="897" w:name="_ENREF_323"/>
      <w:r w:rsidRPr="00EC2769">
        <w:t>323.</w:t>
      </w:r>
      <w:r w:rsidRPr="00EC2769">
        <w:tab/>
        <w:t>Osayande AS, Mehulic S. Diagnosis and initial management of dysmenorrhea.</w:t>
      </w:r>
      <w:r w:rsidRPr="00EC2769">
        <w:rPr>
          <w:i/>
        </w:rPr>
        <w:t xml:space="preserve"> Am Fam Physician</w:t>
      </w:r>
      <w:r w:rsidRPr="00EC2769">
        <w:t xml:space="preserve">. 2014;89(5):341-6. </w:t>
      </w:r>
      <w:bookmarkEnd w:id="897"/>
    </w:p>
    <w:p w14:paraId="3AFEE946" w14:textId="77777777" w:rsidR="00EC2769" w:rsidRPr="00EC2769" w:rsidRDefault="00EC2769" w:rsidP="001B3DA2">
      <w:pPr>
        <w:pStyle w:val="EndNoteBibliography"/>
      </w:pPr>
      <w:bookmarkStart w:id="898" w:name="_ENREF_324"/>
      <w:r w:rsidRPr="00EC2769">
        <w:t>324.</w:t>
      </w:r>
      <w:r w:rsidRPr="00EC2769">
        <w:tab/>
        <w:t>Practice Committee of American Society for Reproductive M. Current evaluation of amenorrhea.</w:t>
      </w:r>
      <w:r w:rsidRPr="00EC2769">
        <w:rPr>
          <w:i/>
        </w:rPr>
        <w:t xml:space="preserve"> Fertil Steril</w:t>
      </w:r>
      <w:r w:rsidRPr="00EC2769">
        <w:t>. 2008;90(5 Suppl):S219-25. 10.1016/j.fertnstert.2008.08.038</w:t>
      </w:r>
      <w:bookmarkEnd w:id="898"/>
    </w:p>
    <w:p w14:paraId="45FD2F86" w14:textId="77777777" w:rsidR="00EC2769" w:rsidRPr="00EC2769" w:rsidRDefault="00EC2769" w:rsidP="001B3DA2">
      <w:pPr>
        <w:pStyle w:val="EndNoteBibliography"/>
      </w:pPr>
      <w:bookmarkStart w:id="899" w:name="_ENREF_325"/>
      <w:r w:rsidRPr="00EC2769">
        <w:t>325.</w:t>
      </w:r>
      <w:r w:rsidRPr="00EC2769">
        <w:tab/>
        <w:t>Gao MM, Zhang HM, Gao ZM, Cheng XM, Sun YM, Qiao MM, et al. Global and regional prevalence and burden for premenstrual syndrome and premenstrual dysphoric disorder: A study protocol for systematic review and meta-analysis.</w:t>
      </w:r>
      <w:r w:rsidRPr="00EC2769">
        <w:rPr>
          <w:i/>
        </w:rPr>
        <w:t xml:space="preserve"> Medicine</w:t>
      </w:r>
      <w:r w:rsidRPr="00EC2769">
        <w:t>. 2022;101(1). 10.1097/MD.0000000000028528</w:t>
      </w:r>
      <w:bookmarkEnd w:id="899"/>
    </w:p>
    <w:p w14:paraId="741647AE" w14:textId="29C16EFF" w:rsidR="00EC2769" w:rsidRPr="00EC2769" w:rsidRDefault="00EC2769" w:rsidP="001B3DA2">
      <w:pPr>
        <w:pStyle w:val="EndNoteBibliography"/>
      </w:pPr>
      <w:bookmarkStart w:id="900" w:name="_ENREF_326"/>
      <w:r w:rsidRPr="00EC2769">
        <w:t>326.</w:t>
      </w:r>
      <w:r w:rsidRPr="00EC2769">
        <w:tab/>
        <w:t>Charandabi SMA, Biglu MH, Rad KY. Effect of homeopathy on pain intensity and quality of life of students with primary dysmenorrhea: A randomized controlled trial.</w:t>
      </w:r>
      <w:r w:rsidRPr="00EC2769">
        <w:rPr>
          <w:i/>
        </w:rPr>
        <w:t xml:space="preserve"> Iranian Red Crescent Medical Journal</w:t>
      </w:r>
      <w:r w:rsidRPr="00EC2769">
        <w:t xml:space="preserve">. 2016;18(9) (no pagination). </w:t>
      </w:r>
      <w:hyperlink r:id="rId226" w:history="1">
        <w:r w:rsidRPr="00EC2769">
          <w:rPr>
            <w:rStyle w:val="Hyperlink"/>
            <w:rFonts w:cs="Calibri"/>
          </w:rPr>
          <w:t>https://dx.doi.org/10.5812/ircmj.30902</w:t>
        </w:r>
        <w:bookmarkEnd w:id="900"/>
      </w:hyperlink>
    </w:p>
    <w:p w14:paraId="1A9A7CED" w14:textId="35899CE3" w:rsidR="00EC2769" w:rsidRPr="00EC2769" w:rsidRDefault="00EC2769" w:rsidP="001B3DA2">
      <w:pPr>
        <w:pStyle w:val="EndNoteBibliography"/>
      </w:pPr>
      <w:bookmarkStart w:id="901" w:name="_ENREF_327"/>
      <w:r w:rsidRPr="00EC2769">
        <w:t>327.</w:t>
      </w:r>
      <w:r w:rsidRPr="00EC2769">
        <w:tab/>
        <w:t>Irct201207063706N. Effect of homeopathy on the pain, menstrual symptoms and quality of life in patients with primary dysmenorrhoea.</w:t>
      </w:r>
      <w:r w:rsidRPr="00EC2769">
        <w:rPr>
          <w:i/>
        </w:rPr>
        <w:t xml:space="preserve"> </w:t>
      </w:r>
      <w:hyperlink r:id="rId227" w:history="1">
        <w:r w:rsidRPr="00EC2769">
          <w:rPr>
            <w:rStyle w:val="Hyperlink"/>
            <w:rFonts w:cs="Calibri"/>
            <w:i/>
          </w:rPr>
          <w:t>https://trialsearchwhoint/Trial2aspx?TrialID=IRCT201207063706N14</w:t>
        </w:r>
      </w:hyperlink>
      <w:r w:rsidRPr="00EC2769">
        <w:t xml:space="preserve">. 2012. </w:t>
      </w:r>
      <w:bookmarkEnd w:id="901"/>
    </w:p>
    <w:p w14:paraId="2227D567" w14:textId="74DD68EB" w:rsidR="00EC2769" w:rsidRPr="00EC2769" w:rsidRDefault="00EC2769" w:rsidP="001B3DA2">
      <w:pPr>
        <w:pStyle w:val="EndNoteBibliography"/>
      </w:pPr>
      <w:bookmarkStart w:id="902" w:name="_ENREF_328"/>
      <w:r w:rsidRPr="00EC2769">
        <w:t>328.</w:t>
      </w:r>
      <w:r w:rsidRPr="00EC2769">
        <w:tab/>
        <w:t>Ctri. Role of Homoeopathy in Primary Dysmenorrhoea.</w:t>
      </w:r>
      <w:r w:rsidRPr="00EC2769">
        <w:rPr>
          <w:i/>
        </w:rPr>
        <w:t xml:space="preserve"> </w:t>
      </w:r>
      <w:hyperlink r:id="rId228" w:history="1">
        <w:r w:rsidRPr="00EC2769">
          <w:rPr>
            <w:rStyle w:val="Hyperlink"/>
            <w:rFonts w:cs="Calibri"/>
            <w:i/>
          </w:rPr>
          <w:t>https://trialsearchwhoint/Trial2aspx?TrialID=CTRI/2018/07/014949</w:t>
        </w:r>
      </w:hyperlink>
      <w:r w:rsidRPr="00EC2769">
        <w:t xml:space="preserve">. 2018. </w:t>
      </w:r>
      <w:bookmarkEnd w:id="902"/>
    </w:p>
    <w:p w14:paraId="59F5372D" w14:textId="73D6F77E" w:rsidR="00EC2769" w:rsidRPr="00EC2769" w:rsidRDefault="00EC2769" w:rsidP="001B3DA2">
      <w:pPr>
        <w:pStyle w:val="EndNoteBibliography"/>
      </w:pPr>
      <w:bookmarkStart w:id="903" w:name="_ENREF_329"/>
      <w:r w:rsidRPr="00EC2769">
        <w:t>329.</w:t>
      </w:r>
      <w:r w:rsidRPr="00EC2769">
        <w:tab/>
        <w:t>Klein-Laansma CT, Jong M, Von Hagens C, Jansen JP, Van Wietmarschen H, Jong MC. An international pragmatic, randomised controlled pilot study comparing individualised homeopathic add-on treatment and usual care only in women with premenstrual disorders (PMD).</w:t>
      </w:r>
      <w:r w:rsidRPr="00EC2769">
        <w:rPr>
          <w:i/>
        </w:rPr>
        <w:t xml:space="preserve"> BMC Complementary and Alternative Medicine Conference: World Congress Integrative Medicine and Health</w:t>
      </w:r>
      <w:r w:rsidRPr="00EC2769">
        <w:t xml:space="preserve">. 2017;17(Supplement 1). </w:t>
      </w:r>
      <w:hyperlink r:id="rId229" w:history="1">
        <w:r w:rsidRPr="00EC2769">
          <w:rPr>
            <w:rStyle w:val="Hyperlink"/>
            <w:rFonts w:cs="Calibri"/>
          </w:rPr>
          <w:t>https://dx.doi.org/10.1186/s12906-017-1783-3</w:t>
        </w:r>
        <w:bookmarkEnd w:id="903"/>
      </w:hyperlink>
    </w:p>
    <w:p w14:paraId="79082C9F" w14:textId="1E50A29C" w:rsidR="00EC2769" w:rsidRPr="00EC2769" w:rsidRDefault="00EC2769" w:rsidP="001B3DA2">
      <w:pPr>
        <w:pStyle w:val="EndNoteBibliography"/>
      </w:pPr>
      <w:bookmarkStart w:id="904" w:name="_ENREF_330"/>
      <w:r w:rsidRPr="00EC2769">
        <w:lastRenderedPageBreak/>
        <w:t>330.</w:t>
      </w:r>
      <w:r w:rsidRPr="00EC2769">
        <w:tab/>
        <w:t>Klein-Laansma C, Jong M, Von Hagens C, Jansen JP, Van Wietmarschen H, Jong MC. International randomized controlled pilot study on homeopathy and PMS: Latest outcomes, opportunities and pitfalls.</w:t>
      </w:r>
      <w:r w:rsidRPr="00EC2769">
        <w:rPr>
          <w:i/>
        </w:rPr>
        <w:t xml:space="preserve"> Homeopathy Conference: 3rd International Research Conference on "Cutting Edge Research in Homeopathy", HRI</w:t>
      </w:r>
      <w:r w:rsidRPr="00EC2769">
        <w:t xml:space="preserve">. 2017;107(Supplement 1). </w:t>
      </w:r>
      <w:hyperlink r:id="rId230" w:history="1">
        <w:r w:rsidRPr="00EC2769">
          <w:rPr>
            <w:rStyle w:val="Hyperlink"/>
            <w:rFonts w:cs="Calibri"/>
          </w:rPr>
          <w:t>https://dx.doi.org/10.1055/s-0038-1633295</w:t>
        </w:r>
        <w:bookmarkEnd w:id="904"/>
      </w:hyperlink>
    </w:p>
    <w:p w14:paraId="5DB8A346" w14:textId="77777777" w:rsidR="00EC2769" w:rsidRPr="00EC2769" w:rsidRDefault="00EC2769" w:rsidP="001B3DA2">
      <w:pPr>
        <w:pStyle w:val="EndNoteBibliography"/>
      </w:pPr>
      <w:bookmarkStart w:id="905" w:name="_ENREF_331"/>
      <w:r w:rsidRPr="00EC2769">
        <w:t>331.</w:t>
      </w:r>
      <w:r w:rsidRPr="00EC2769">
        <w:tab/>
        <w:t>Klein-Laansma CT, Jong M, von Hagens C, Jansen J, van Wietmarschen H, Jong MC. Semi-Individualized Homeopathy Add-On Versus Usual Care Only for Premenstrual Disorders: A Randomized, Controlled Feasibility Study.</w:t>
      </w:r>
      <w:r w:rsidRPr="00EC2769">
        <w:rPr>
          <w:i/>
        </w:rPr>
        <w:t xml:space="preserve"> J Altern Complement Med</w:t>
      </w:r>
      <w:r w:rsidRPr="00EC2769">
        <w:t>. 2018;24(7):684-93. 10.1089/acm.2017.0388</w:t>
      </w:r>
      <w:bookmarkEnd w:id="905"/>
    </w:p>
    <w:p w14:paraId="7D8731FE" w14:textId="076D7E31" w:rsidR="00EC2769" w:rsidRPr="00EC2769" w:rsidRDefault="00EC2769" w:rsidP="001B3DA2">
      <w:pPr>
        <w:pStyle w:val="EndNoteBibliography"/>
      </w:pPr>
      <w:bookmarkStart w:id="906" w:name="_ENREF_332"/>
      <w:r w:rsidRPr="00EC2769">
        <w:t>332.</w:t>
      </w:r>
      <w:r w:rsidRPr="00EC2769">
        <w:tab/>
        <w:t>Ntr. Homeopathic add-on treatment versus usual care for premenstrual disorders (PMD).</w:t>
      </w:r>
      <w:r w:rsidRPr="00EC2769">
        <w:rPr>
          <w:i/>
        </w:rPr>
        <w:t xml:space="preserve"> </w:t>
      </w:r>
      <w:hyperlink r:id="rId231" w:history="1">
        <w:r w:rsidRPr="00EC2769">
          <w:rPr>
            <w:rStyle w:val="Hyperlink"/>
            <w:rFonts w:cs="Calibri"/>
            <w:i/>
          </w:rPr>
          <w:t>https://trialsearchwhoint/Trial2aspx?TrialID=NTR3560</w:t>
        </w:r>
      </w:hyperlink>
      <w:r w:rsidRPr="00EC2769">
        <w:t xml:space="preserve">. 2012. </w:t>
      </w:r>
      <w:bookmarkEnd w:id="906"/>
    </w:p>
    <w:p w14:paraId="6C97200F" w14:textId="19D9AD21" w:rsidR="00EC2769" w:rsidRPr="00EC2769" w:rsidRDefault="00EC2769" w:rsidP="001B3DA2">
      <w:pPr>
        <w:pStyle w:val="EndNoteBibliography"/>
      </w:pPr>
      <w:bookmarkStart w:id="907" w:name="_ENREF_333"/>
      <w:r w:rsidRPr="00EC2769">
        <w:t>333.</w:t>
      </w:r>
      <w:r w:rsidRPr="00EC2769">
        <w:tab/>
        <w:t>Teixeira MZ, Podgaec S, Baracat EC. Protocol of randomized controlled trial of potentized estrogen in homeopathic treatment of chronic pelvic pain associated with endometriosis.</w:t>
      </w:r>
      <w:r w:rsidRPr="00EC2769">
        <w:rPr>
          <w:i/>
        </w:rPr>
        <w:t xml:space="preserve"> Homeopathy: the Journal of the Faculty of Homeopathy</w:t>
      </w:r>
      <w:r w:rsidRPr="00EC2769">
        <w:t xml:space="preserve">. 2016;105(3):240-9. </w:t>
      </w:r>
      <w:hyperlink r:id="rId232" w:history="1">
        <w:r w:rsidRPr="00EC2769">
          <w:rPr>
            <w:rStyle w:val="Hyperlink"/>
            <w:rFonts w:cs="Calibri"/>
          </w:rPr>
          <w:t>https://dx.doi.org/10.1016/j.homp.2016.03.002</w:t>
        </w:r>
        <w:bookmarkEnd w:id="907"/>
      </w:hyperlink>
    </w:p>
    <w:p w14:paraId="3F26EB90" w14:textId="77777777" w:rsidR="00EC2769" w:rsidRPr="00EC2769" w:rsidRDefault="00EC2769" w:rsidP="001B3DA2">
      <w:pPr>
        <w:pStyle w:val="EndNoteBibliography"/>
      </w:pPr>
      <w:bookmarkStart w:id="908" w:name="_ENREF_334"/>
      <w:r w:rsidRPr="00EC2769">
        <w:t>334.</w:t>
      </w:r>
      <w:r w:rsidRPr="00EC2769">
        <w:tab/>
        <w:t>Teixeira MZ, Podgaec S, Baracat EC. Potentized estrogen in homeopathic treatment of endometriosis-associated pelvic pain: A 24-week, randomized, double-blind, placebo-controlled study.</w:t>
      </w:r>
      <w:r w:rsidRPr="00EC2769">
        <w:rPr>
          <w:i/>
        </w:rPr>
        <w:t xml:space="preserve"> Eur J Obstet Gynecol Reprod Biol</w:t>
      </w:r>
      <w:r w:rsidRPr="00EC2769">
        <w:t>. 2017;211:48-55. 10.1016/j.ejogrb.2017.01.052</w:t>
      </w:r>
      <w:bookmarkEnd w:id="908"/>
    </w:p>
    <w:p w14:paraId="7342CE6A" w14:textId="77777777" w:rsidR="00EC2769" w:rsidRPr="00EC2769" w:rsidRDefault="00EC2769" w:rsidP="001B3DA2">
      <w:pPr>
        <w:pStyle w:val="EndNoteBibliography"/>
      </w:pPr>
      <w:bookmarkStart w:id="909" w:name="_ENREF_335"/>
      <w:r w:rsidRPr="00EC2769">
        <w:t>335.</w:t>
      </w:r>
      <w:r w:rsidRPr="00EC2769">
        <w:tab/>
        <w:t>Teixeira MZ, Podgaec Sr, Baracat EC. Estrogênio potencializado no tratamento homeopático da dor pélvica associada à endometriose: Um estudo de 24 semanas, randomizado, duplocego e placebo-controlado.</w:t>
      </w:r>
      <w:r w:rsidRPr="00EC2769">
        <w:rPr>
          <w:i/>
        </w:rPr>
        <w:t xml:space="preserve"> Rev homeopatia (Sao Paulo)</w:t>
      </w:r>
      <w:r w:rsidRPr="00EC2769">
        <w:t xml:space="preserve">. 2017;80(1/2):148-63. </w:t>
      </w:r>
      <w:bookmarkEnd w:id="909"/>
    </w:p>
    <w:p w14:paraId="3168A331" w14:textId="77777777" w:rsidR="00EC2769" w:rsidRPr="00EC2769" w:rsidRDefault="00EC2769" w:rsidP="001B3DA2">
      <w:pPr>
        <w:pStyle w:val="EndNoteBibliography"/>
      </w:pPr>
      <w:bookmarkStart w:id="910" w:name="_ENREF_336"/>
      <w:r w:rsidRPr="00EC2769">
        <w:t>336.</w:t>
      </w:r>
      <w:r w:rsidRPr="00EC2769">
        <w:tab/>
        <w:t>Yakir M, Kreitler S, Oberbaum M, Bzizinsky A, Vithoulkas G, Bentwich Z. Homeopathic treatment of premenstrual syndrome: a pilot study.</w:t>
      </w:r>
      <w:r w:rsidRPr="00EC2769">
        <w:rPr>
          <w:i/>
        </w:rPr>
        <w:t xml:space="preserve"> Unpublished: 8th GIRI Meeting, Jerusalem Israel, December 1994</w:t>
      </w:r>
      <w:r w:rsidRPr="00EC2769">
        <w:t xml:space="preserve">. 1994:49‐50. </w:t>
      </w:r>
      <w:bookmarkEnd w:id="910"/>
    </w:p>
    <w:p w14:paraId="1907246C" w14:textId="77777777" w:rsidR="00EC2769" w:rsidRPr="00EC2769" w:rsidRDefault="00EC2769" w:rsidP="001B3DA2">
      <w:pPr>
        <w:pStyle w:val="EndNoteBibliography"/>
      </w:pPr>
      <w:bookmarkStart w:id="911" w:name="_ENREF_337"/>
      <w:r w:rsidRPr="00EC2769">
        <w:t>337.</w:t>
      </w:r>
      <w:r w:rsidRPr="00EC2769">
        <w:tab/>
        <w:t>Yakir M, Kreitler S, Brzezinski A, Vithoulkas G, Oberbaum M, Bentwich Z. Effects of homeopathic treatment in women with premenstrual syndrome: a pilot study.</w:t>
      </w:r>
      <w:r w:rsidRPr="00EC2769">
        <w:rPr>
          <w:i/>
        </w:rPr>
        <w:t xml:space="preserve"> Br Homeopath J</w:t>
      </w:r>
      <w:r w:rsidRPr="00EC2769">
        <w:t>. 2001;90(3):148-53. 10.1054/homp.1999.0491</w:t>
      </w:r>
      <w:bookmarkEnd w:id="911"/>
    </w:p>
    <w:p w14:paraId="22DE10A3" w14:textId="77777777" w:rsidR="00EC2769" w:rsidRPr="00EC2769" w:rsidRDefault="00EC2769" w:rsidP="001B3DA2">
      <w:pPr>
        <w:pStyle w:val="EndNoteBibliography"/>
      </w:pPr>
      <w:bookmarkStart w:id="912" w:name="_ENREF_338"/>
      <w:r w:rsidRPr="00EC2769">
        <w:t>338.</w:t>
      </w:r>
      <w:r w:rsidRPr="00EC2769">
        <w:tab/>
        <w:t>Yakir M, Klein-Laansma CT, Kreitler S, Brzezinski A, Oberbaum M, Vithoulkas G, et al. A Placebo-Controlled Double-Blind Randomized Trial with Individualized Homeopathic Treatment Using a Symptom Cluster Approach in Women with Premenstrual Syndrome.</w:t>
      </w:r>
      <w:r w:rsidRPr="00EC2769">
        <w:rPr>
          <w:i/>
        </w:rPr>
        <w:t xml:space="preserve"> Homeopathy</w:t>
      </w:r>
      <w:r w:rsidRPr="00EC2769">
        <w:t>. 2019;108(4):256-69. 10.1055/s-0039-1691834</w:t>
      </w:r>
      <w:bookmarkEnd w:id="912"/>
    </w:p>
    <w:p w14:paraId="3D747DA1" w14:textId="77777777" w:rsidR="00EC2769" w:rsidRPr="00EC2769" w:rsidRDefault="00EC2769" w:rsidP="001B3DA2">
      <w:pPr>
        <w:pStyle w:val="EndNoteBibliography"/>
      </w:pPr>
      <w:bookmarkStart w:id="913" w:name="_ENREF_339"/>
      <w:r w:rsidRPr="00EC2769">
        <w:t>339.</w:t>
      </w:r>
      <w:r w:rsidRPr="00EC2769">
        <w:tab/>
        <w:t>Quality Metric Incorporated. User’s manual for the SF-36v2 survey. 3rd ed. Lincoln RD, editor 2011.</w:t>
      </w:r>
      <w:bookmarkEnd w:id="913"/>
    </w:p>
    <w:p w14:paraId="0E0353BA" w14:textId="77777777" w:rsidR="00EC2769" w:rsidRPr="00EC2769" w:rsidRDefault="00EC2769" w:rsidP="001B3DA2">
      <w:pPr>
        <w:pStyle w:val="EndNoteBibliography"/>
      </w:pPr>
      <w:bookmarkStart w:id="914" w:name="_ENREF_340"/>
      <w:r w:rsidRPr="00EC2769">
        <w:t>340.</w:t>
      </w:r>
      <w:r w:rsidRPr="00EC2769">
        <w:tab/>
        <w:t>Prins JB, van der Meer JW, Bleijenberg G. Chronic fatigue syndrome.</w:t>
      </w:r>
      <w:r w:rsidRPr="00EC2769">
        <w:rPr>
          <w:i/>
        </w:rPr>
        <w:t xml:space="preserve"> Lancet</w:t>
      </w:r>
      <w:r w:rsidRPr="00EC2769">
        <w:t>. 2006;367(9507):346-55. 10.1016/S0140-6736(06)68073-2</w:t>
      </w:r>
      <w:bookmarkEnd w:id="914"/>
    </w:p>
    <w:p w14:paraId="78E6FEA9" w14:textId="77777777" w:rsidR="00EC2769" w:rsidRPr="00EC2769" w:rsidRDefault="00EC2769" w:rsidP="001B3DA2">
      <w:pPr>
        <w:pStyle w:val="EndNoteBibliography"/>
      </w:pPr>
      <w:bookmarkStart w:id="915" w:name="_ENREF_341"/>
      <w:r w:rsidRPr="00EC2769">
        <w:t>341.</w:t>
      </w:r>
      <w:r w:rsidRPr="00EC2769">
        <w:tab/>
        <w:t>Fowler-Davis S, Platts K, Thelwell M, Woodward A, Harrop D. A mixed-methods systematic review of post-viral fatigue interventions: Are there lessons for long Covid?</w:t>
      </w:r>
      <w:r w:rsidRPr="00EC2769">
        <w:rPr>
          <w:i/>
        </w:rPr>
        <w:t xml:space="preserve"> PLoS One</w:t>
      </w:r>
      <w:r w:rsidRPr="00EC2769">
        <w:t>. 2021;16(11):e0259533. 10.1371/journal.pone.0259533</w:t>
      </w:r>
      <w:bookmarkEnd w:id="915"/>
    </w:p>
    <w:p w14:paraId="79B819D4" w14:textId="77777777" w:rsidR="00EC2769" w:rsidRPr="00EC2769" w:rsidRDefault="00EC2769" w:rsidP="001B3DA2">
      <w:pPr>
        <w:pStyle w:val="EndNoteBibliography"/>
      </w:pPr>
      <w:bookmarkStart w:id="916" w:name="_ENREF_342"/>
      <w:r w:rsidRPr="00EC2769">
        <w:t>342.</w:t>
      </w:r>
      <w:r w:rsidRPr="00EC2769">
        <w:tab/>
        <w:t>Campos MC, Nery T, Starke AC, de Bem Alves AC, Speck AE, A SA. Post-viral fatigue in COVID-19: A review of symptom assessment methods, mental, cognitive, and physical impairment.</w:t>
      </w:r>
      <w:r w:rsidRPr="00EC2769">
        <w:rPr>
          <w:i/>
        </w:rPr>
        <w:t xml:space="preserve"> Neurosci Biobehav Rev</w:t>
      </w:r>
      <w:r w:rsidRPr="00EC2769">
        <w:t>. 2022;142:104902. 10.1016/j.neubiorev.2022.104902</w:t>
      </w:r>
      <w:bookmarkEnd w:id="916"/>
    </w:p>
    <w:p w14:paraId="76C0F7CE" w14:textId="77777777" w:rsidR="00EC2769" w:rsidRPr="00EC2769" w:rsidRDefault="00EC2769" w:rsidP="001B3DA2">
      <w:pPr>
        <w:pStyle w:val="EndNoteBibliography"/>
      </w:pPr>
      <w:bookmarkStart w:id="917" w:name="_ENREF_343"/>
      <w:r w:rsidRPr="00EC2769">
        <w:t>343.</w:t>
      </w:r>
      <w:r w:rsidRPr="00EC2769">
        <w:tab/>
        <w:t>Orji N, Campbell JA, Wills K, Hensher M, Palmer AJ, Rogerson M, et al. Prevalence of myalgic encephalomyelitis/chronic fatigue syndrome (ME/CFS) in Australian primary care patients: only part of the story?</w:t>
      </w:r>
      <w:r w:rsidRPr="00EC2769">
        <w:rPr>
          <w:i/>
        </w:rPr>
        <w:t xml:space="preserve"> BMC Public Health</w:t>
      </w:r>
      <w:r w:rsidRPr="00EC2769">
        <w:t>. 2022;22(1):1516. 10.1186/s12889-022-13929-9</w:t>
      </w:r>
      <w:bookmarkEnd w:id="917"/>
    </w:p>
    <w:p w14:paraId="51A33506" w14:textId="242B7B72" w:rsidR="00EC2769" w:rsidRPr="00EC2769" w:rsidRDefault="00EC2769" w:rsidP="001B3DA2">
      <w:pPr>
        <w:pStyle w:val="EndNoteBibliography"/>
      </w:pPr>
      <w:bookmarkStart w:id="918" w:name="_ENREF_344"/>
      <w:r w:rsidRPr="00EC2769">
        <w:t>344.</w:t>
      </w:r>
      <w:r w:rsidRPr="00EC2769">
        <w:tab/>
        <w:t>Carruthers BM, van de Sande MI, De Meirleir KL, Klimas NG, Broderick G, Mitchell T, et al. Myalgic encephalomyelitis: International Consensus Criteria.</w:t>
      </w:r>
      <w:r w:rsidRPr="00EC2769">
        <w:rPr>
          <w:i/>
        </w:rPr>
        <w:t xml:space="preserve"> Journal of Internal Medicine</w:t>
      </w:r>
      <w:r w:rsidRPr="00EC2769">
        <w:t xml:space="preserve">. 2011;270(4):327-38. </w:t>
      </w:r>
      <w:hyperlink r:id="rId233" w:history="1">
        <w:r w:rsidRPr="00EC2769">
          <w:rPr>
            <w:rStyle w:val="Hyperlink"/>
            <w:rFonts w:cs="Calibri"/>
          </w:rPr>
          <w:t>https://doi.org/10.1111/j.1365-2796.2011.02428.x</w:t>
        </w:r>
        <w:bookmarkEnd w:id="918"/>
      </w:hyperlink>
    </w:p>
    <w:p w14:paraId="6F6A9FE3" w14:textId="286EF74D" w:rsidR="00EC2769" w:rsidRPr="00EC2769" w:rsidRDefault="00EC2769" w:rsidP="001B3DA2">
      <w:pPr>
        <w:pStyle w:val="EndNoteBibliography"/>
      </w:pPr>
      <w:bookmarkStart w:id="919" w:name="_ENREF_345"/>
      <w:r w:rsidRPr="00EC2769">
        <w:t>345.</w:t>
      </w:r>
      <w:r w:rsidRPr="00EC2769">
        <w:tab/>
        <w:t xml:space="preserve">Royal Australian College of General Practitioners (RACGP). The most common scenario: Non-specific multisystem post-viral symptoms 20 [Available from: </w:t>
      </w:r>
      <w:hyperlink r:id="rId234" w:history="1">
        <w:r w:rsidRPr="00EC2769">
          <w:rPr>
            <w:rStyle w:val="Hyperlink"/>
            <w:rFonts w:cs="Calibri"/>
          </w:rPr>
          <w:t>https://www.racgp.org.au/clinical-resources/covid-19-resources/clinical-care/caring-for-patients-with-post-covid-19-conditions/the-most-common-scenario-non-specific-multisystem</w:t>
        </w:r>
      </w:hyperlink>
      <w:r w:rsidRPr="00EC2769">
        <w:t>.</w:t>
      </w:r>
      <w:bookmarkEnd w:id="919"/>
    </w:p>
    <w:p w14:paraId="594E4429" w14:textId="77777777" w:rsidR="00EC2769" w:rsidRPr="00EC2769" w:rsidRDefault="00EC2769" w:rsidP="001B3DA2">
      <w:pPr>
        <w:pStyle w:val="EndNoteBibliography"/>
      </w:pPr>
      <w:bookmarkStart w:id="920" w:name="_ENREF_346"/>
      <w:r w:rsidRPr="00EC2769">
        <w:t>346.</w:t>
      </w:r>
      <w:r w:rsidRPr="00EC2769">
        <w:tab/>
        <w:t>McKendrick M. Chronic fatigue syndrome: a controlled trial of the efficacy of homeopathic treatment.</w:t>
      </w:r>
      <w:r w:rsidRPr="00EC2769">
        <w:rPr>
          <w:i/>
        </w:rPr>
        <w:t xml:space="preserve"> National Research Register</w:t>
      </w:r>
      <w:r w:rsidRPr="00EC2769">
        <w:t xml:space="preserve">. 1999. </w:t>
      </w:r>
      <w:bookmarkEnd w:id="920"/>
    </w:p>
    <w:p w14:paraId="664ADDE1" w14:textId="77777777" w:rsidR="00EC2769" w:rsidRPr="00EC2769" w:rsidRDefault="00EC2769" w:rsidP="001B3DA2">
      <w:pPr>
        <w:pStyle w:val="EndNoteBibliography"/>
      </w:pPr>
      <w:bookmarkStart w:id="921" w:name="_ENREF_347"/>
      <w:r w:rsidRPr="00EC2769">
        <w:t>347.</w:t>
      </w:r>
      <w:r w:rsidRPr="00EC2769">
        <w:tab/>
        <w:t>Stanley PJ. Chronic fatigue syndrome: A controlled trial of the efficacy of homeopathic treatment.</w:t>
      </w:r>
      <w:r w:rsidRPr="00EC2769">
        <w:rPr>
          <w:i/>
        </w:rPr>
        <w:t xml:space="preserve"> National Research Register</w:t>
      </w:r>
      <w:r w:rsidRPr="00EC2769">
        <w:t xml:space="preserve">. 2001. </w:t>
      </w:r>
      <w:bookmarkEnd w:id="921"/>
    </w:p>
    <w:p w14:paraId="193A7CF7" w14:textId="01D6B58C" w:rsidR="00EC2769" w:rsidRPr="00EC2769" w:rsidRDefault="00EC2769" w:rsidP="001B3DA2">
      <w:pPr>
        <w:pStyle w:val="EndNoteBibliography"/>
      </w:pPr>
      <w:bookmarkStart w:id="922" w:name="_ENREF_348"/>
      <w:r w:rsidRPr="00EC2769">
        <w:lastRenderedPageBreak/>
        <w:t>348.</w:t>
      </w:r>
      <w:r w:rsidRPr="00EC2769">
        <w:tab/>
        <w:t>Weatherley-Jones E, Nicholl JP, Thomas KJ, Parry GJ, McKendrick MW, Green ST, et al. A randomized, controlled, triple-blind trial of the efficacy of homeopathic treatment for chronic fatigue syndrome.</w:t>
      </w:r>
      <w:r w:rsidRPr="00EC2769">
        <w:rPr>
          <w:i/>
        </w:rPr>
        <w:t xml:space="preserve"> Journal of Psychosomatic Research</w:t>
      </w:r>
      <w:r w:rsidRPr="00EC2769">
        <w:t xml:space="preserve">. 2004;56(2):189-97. </w:t>
      </w:r>
      <w:hyperlink r:id="rId235" w:history="1">
        <w:r w:rsidRPr="00EC2769">
          <w:rPr>
            <w:rStyle w:val="Hyperlink"/>
            <w:rFonts w:cs="Calibri"/>
          </w:rPr>
          <w:t>https://dx.doi.org/10.1016/S0022-3999%2803%2900377-5</w:t>
        </w:r>
        <w:bookmarkEnd w:id="922"/>
      </w:hyperlink>
    </w:p>
    <w:p w14:paraId="1F7A8AE8" w14:textId="77777777" w:rsidR="00EC2769" w:rsidRPr="00EC2769" w:rsidRDefault="00EC2769" w:rsidP="001B3DA2">
      <w:pPr>
        <w:pStyle w:val="EndNoteBibliography"/>
      </w:pPr>
      <w:bookmarkStart w:id="923" w:name="_ENREF_349"/>
      <w:r w:rsidRPr="00EC2769">
        <w:t>349.</w:t>
      </w:r>
      <w:r w:rsidRPr="00EC2769">
        <w:tab/>
        <w:t>Weatherley-Jones E, Thomas K. A randomised, controlled trial of homeopathic treatment for chronic fatigue syndrome.</w:t>
      </w:r>
      <w:r w:rsidRPr="00EC2769">
        <w:rPr>
          <w:i/>
        </w:rPr>
        <w:t xml:space="preserve"> 17th annual meeting of the international society of technology assessment in health care: building bridges between policy, providers, patients and industry; 2001 june 3-6</w:t>
      </w:r>
      <w:r w:rsidRPr="00EC2769">
        <w:t xml:space="preserve">. 2001:67. </w:t>
      </w:r>
      <w:bookmarkEnd w:id="923"/>
    </w:p>
    <w:p w14:paraId="75A4FAA3" w14:textId="77777777" w:rsidR="00EC2769" w:rsidRPr="00EC2769" w:rsidRDefault="00EC2769" w:rsidP="001B3DA2">
      <w:pPr>
        <w:pStyle w:val="EndNoteBibliography"/>
      </w:pPr>
      <w:bookmarkStart w:id="924" w:name="_ENREF_350"/>
      <w:r w:rsidRPr="00EC2769">
        <w:t>350.</w:t>
      </w:r>
      <w:r w:rsidRPr="00EC2769">
        <w:tab/>
        <w:t>Wolfe F, Smythe HA, Yunus MB, Bennett RM, Bombardier C, Goldenberg DL, et al. The American College of Rheumatology 1990 Criteria for the Classification of Fibromyalgia. Report of the Multicenter Criteria Committee.</w:t>
      </w:r>
      <w:r w:rsidRPr="00EC2769">
        <w:rPr>
          <w:i/>
        </w:rPr>
        <w:t xml:space="preserve"> Arthritis Rheum</w:t>
      </w:r>
      <w:r w:rsidRPr="00EC2769">
        <w:t>. 1990;33(2):160-72. 10.1002/art.1780330203</w:t>
      </w:r>
      <w:bookmarkEnd w:id="924"/>
    </w:p>
    <w:p w14:paraId="33D60209" w14:textId="77777777" w:rsidR="00EC2769" w:rsidRPr="00EC2769" w:rsidRDefault="00EC2769" w:rsidP="001B3DA2">
      <w:pPr>
        <w:pStyle w:val="EndNoteBibliography"/>
      </w:pPr>
      <w:bookmarkStart w:id="925" w:name="_ENREF_351"/>
      <w:r w:rsidRPr="00EC2769">
        <w:t>351.</w:t>
      </w:r>
      <w:r w:rsidRPr="00EC2769">
        <w:tab/>
        <w:t>Wolfe F. The fibromyalgia syndrome: a consensus report on fibromyalgia and disability.</w:t>
      </w:r>
      <w:r w:rsidRPr="00EC2769">
        <w:rPr>
          <w:i/>
        </w:rPr>
        <w:t xml:space="preserve"> J Rheumatol</w:t>
      </w:r>
      <w:r w:rsidRPr="00EC2769">
        <w:t xml:space="preserve">. 1996;23(3):534-9. </w:t>
      </w:r>
      <w:bookmarkEnd w:id="925"/>
    </w:p>
    <w:p w14:paraId="38A3DB7F" w14:textId="77777777" w:rsidR="00EC2769" w:rsidRPr="00EC2769" w:rsidRDefault="00EC2769" w:rsidP="001B3DA2">
      <w:pPr>
        <w:pStyle w:val="EndNoteBibliography"/>
      </w:pPr>
      <w:bookmarkStart w:id="926" w:name="_ENREF_352"/>
      <w:r w:rsidRPr="00EC2769">
        <w:t>352.</w:t>
      </w:r>
      <w:r w:rsidRPr="00EC2769">
        <w:tab/>
        <w:t>Guymer E, Littlejohn G. Fibromylagia.</w:t>
      </w:r>
      <w:r w:rsidRPr="00EC2769">
        <w:rPr>
          <w:i/>
        </w:rPr>
        <w:t xml:space="preserve"> Aust Fam Physician</w:t>
      </w:r>
      <w:r w:rsidRPr="00EC2769">
        <w:t xml:space="preserve">. 2013;42(10):690-4. </w:t>
      </w:r>
      <w:bookmarkEnd w:id="926"/>
    </w:p>
    <w:p w14:paraId="5EACC41B" w14:textId="77777777" w:rsidR="00EC2769" w:rsidRPr="00EC2769" w:rsidRDefault="00EC2769" w:rsidP="001B3DA2">
      <w:pPr>
        <w:pStyle w:val="EndNoteBibliography"/>
      </w:pPr>
      <w:bookmarkStart w:id="927" w:name="_ENREF_353"/>
      <w:r w:rsidRPr="00EC2769">
        <w:t>353.</w:t>
      </w:r>
      <w:r w:rsidRPr="00EC2769">
        <w:tab/>
        <w:t>Bennett RM, Jones J, Turk DC, Russell IJ, Matallana L. An internet survey of 2,596 people with fibromyalgia.</w:t>
      </w:r>
      <w:r w:rsidRPr="00EC2769">
        <w:rPr>
          <w:i/>
        </w:rPr>
        <w:t xml:space="preserve"> BMC Musculoskelet Disord</w:t>
      </w:r>
      <w:r w:rsidRPr="00EC2769">
        <w:t>. 2007;8:27. 10.1186/1471-2474-8-27</w:t>
      </w:r>
      <w:bookmarkEnd w:id="927"/>
    </w:p>
    <w:p w14:paraId="75F92B7C" w14:textId="77777777" w:rsidR="00EC2769" w:rsidRPr="00EC2769" w:rsidRDefault="00EC2769" w:rsidP="001B3DA2">
      <w:pPr>
        <w:pStyle w:val="EndNoteBibliography"/>
      </w:pPr>
      <w:bookmarkStart w:id="928" w:name="_ENREF_354"/>
      <w:r w:rsidRPr="00EC2769">
        <w:t>354.</w:t>
      </w:r>
      <w:r w:rsidRPr="00EC2769">
        <w:tab/>
        <w:t>Busch AJ, Barber KA, Overend TJ, Peloso PM, Schachter CL. Exercise for treating fibromyalgia syndrome.</w:t>
      </w:r>
      <w:r w:rsidRPr="00EC2769">
        <w:rPr>
          <w:i/>
        </w:rPr>
        <w:t xml:space="preserve"> Cochrane Database Syst Rev</w:t>
      </w:r>
      <w:r w:rsidRPr="00EC2769">
        <w:t>. 2007(4):CD003786. 10.1002/14651858.CD003786.pub2</w:t>
      </w:r>
      <w:bookmarkEnd w:id="928"/>
    </w:p>
    <w:p w14:paraId="4BD95D6B" w14:textId="77777777" w:rsidR="00EC2769" w:rsidRPr="00EC2769" w:rsidRDefault="00EC2769" w:rsidP="001B3DA2">
      <w:pPr>
        <w:pStyle w:val="EndNoteBibliography"/>
      </w:pPr>
      <w:bookmarkStart w:id="929" w:name="_ENREF_355"/>
      <w:r w:rsidRPr="00EC2769">
        <w:t>355.</w:t>
      </w:r>
      <w:r w:rsidRPr="00EC2769">
        <w:tab/>
        <w:t>What is Fibromyalgia? In: Australia F, editor. Patient Leaflet 1 ed2020 ed: Bridges &amp; Pathways Institute Inc.</w:t>
      </w:r>
      <w:bookmarkEnd w:id="929"/>
    </w:p>
    <w:p w14:paraId="6815A59D" w14:textId="751476C9" w:rsidR="00EC2769" w:rsidRPr="00EC2769" w:rsidRDefault="00EC2769" w:rsidP="001B3DA2">
      <w:pPr>
        <w:pStyle w:val="EndNoteBibliography"/>
      </w:pPr>
      <w:bookmarkStart w:id="930" w:name="_ENREF_356"/>
      <w:r w:rsidRPr="00EC2769">
        <w:t>356.</w:t>
      </w:r>
      <w:r w:rsidRPr="00EC2769">
        <w:tab/>
        <w:t>Boehm K, Raak C, Cramer H, Lauche R, Ostermann T. Homeopathy in the treatment of fibromyalgia—A comprehensive literature-review and meta-analysis.</w:t>
      </w:r>
      <w:r w:rsidRPr="00EC2769">
        <w:rPr>
          <w:i/>
        </w:rPr>
        <w:t xml:space="preserve"> Complementary Therapies in Medicine</w:t>
      </w:r>
      <w:r w:rsidRPr="00EC2769">
        <w:t xml:space="preserve">. 2014;22(4):731-42. </w:t>
      </w:r>
      <w:hyperlink r:id="rId236" w:history="1">
        <w:r w:rsidRPr="00EC2769">
          <w:rPr>
            <w:rStyle w:val="Hyperlink"/>
            <w:rFonts w:cs="Calibri"/>
          </w:rPr>
          <w:t>https://doi.org/10.1016/j.ctim.2014.06.005</w:t>
        </w:r>
        <w:bookmarkEnd w:id="930"/>
      </w:hyperlink>
    </w:p>
    <w:p w14:paraId="43897162" w14:textId="77777777" w:rsidR="00EC2769" w:rsidRPr="00EC2769" w:rsidRDefault="00EC2769" w:rsidP="001B3DA2">
      <w:pPr>
        <w:pStyle w:val="EndNoteBibliography"/>
      </w:pPr>
      <w:bookmarkStart w:id="931" w:name="_ENREF_357"/>
      <w:r w:rsidRPr="00EC2769">
        <w:t>357.</w:t>
      </w:r>
      <w:r w:rsidRPr="00EC2769">
        <w:tab/>
        <w:t>Bell IR, Lewis DA, 2nd, Brooks AJ, Schwartz GE, Lewis SE, Caspi O, et al. Individual differences in response to randomly assigned active individualized homeopathic and placebo treatment in fibromyalgia: implications of a double-blinded optional crossover design.</w:t>
      </w:r>
      <w:r w:rsidRPr="00EC2769">
        <w:rPr>
          <w:i/>
        </w:rPr>
        <w:t xml:space="preserve"> J Altern Complement Med</w:t>
      </w:r>
      <w:r w:rsidRPr="00EC2769">
        <w:t>. 2004;10(2):269-83. 10.1089/107555304323062266</w:t>
      </w:r>
      <w:bookmarkEnd w:id="931"/>
    </w:p>
    <w:p w14:paraId="262ED2D7" w14:textId="77777777" w:rsidR="00EC2769" w:rsidRPr="00EC2769" w:rsidRDefault="00EC2769" w:rsidP="001B3DA2">
      <w:pPr>
        <w:pStyle w:val="EndNoteBibliography"/>
      </w:pPr>
      <w:bookmarkStart w:id="932" w:name="_ENREF_358"/>
      <w:r w:rsidRPr="00EC2769">
        <w:t>358.</w:t>
      </w:r>
      <w:r w:rsidRPr="00EC2769">
        <w:tab/>
        <w:t>Bell IR, Lewis DA, 2nd, Brooks AJ, Schwartz GE, Lewis SE, Walsh BT, et al. Improved clinical status in fibromyalgia patients treated with individualized homeopathic remedies versus placebo.</w:t>
      </w:r>
      <w:r w:rsidRPr="00EC2769">
        <w:rPr>
          <w:i/>
        </w:rPr>
        <w:t xml:space="preserve"> Rheumatology (Oxford)</w:t>
      </w:r>
      <w:r w:rsidRPr="00EC2769">
        <w:t>. 2004;43(5):577-82. 10.1093/rheumatology/keh111</w:t>
      </w:r>
      <w:bookmarkEnd w:id="932"/>
    </w:p>
    <w:p w14:paraId="63F47E25" w14:textId="77777777" w:rsidR="00EC2769" w:rsidRPr="00EC2769" w:rsidRDefault="00EC2769" w:rsidP="001B3DA2">
      <w:pPr>
        <w:pStyle w:val="EndNoteBibliography"/>
      </w:pPr>
      <w:bookmarkStart w:id="933" w:name="_ENREF_359"/>
      <w:r w:rsidRPr="00EC2769">
        <w:t>359.</w:t>
      </w:r>
      <w:r w:rsidRPr="00EC2769">
        <w:tab/>
        <w:t>Bell IR, Lewis DA, 2nd, Schwartz GE, Lewis SE, Caspi O, Scott A, et al. Electroencephalographic cordance patterns distinguish exceptional clinical responders with fibromyalgia to individualized homeopathic medicines.</w:t>
      </w:r>
      <w:r w:rsidRPr="00EC2769">
        <w:rPr>
          <w:i/>
        </w:rPr>
        <w:t xml:space="preserve"> J Altern Complement Med</w:t>
      </w:r>
      <w:r w:rsidRPr="00EC2769">
        <w:t>. 2004;10(2):285-99. 10.1089/107555304323062275</w:t>
      </w:r>
      <w:bookmarkEnd w:id="933"/>
    </w:p>
    <w:p w14:paraId="0A059A38" w14:textId="72320955" w:rsidR="00EC2769" w:rsidRPr="00EC2769" w:rsidRDefault="00EC2769" w:rsidP="001B3DA2">
      <w:pPr>
        <w:pStyle w:val="EndNoteBibliography"/>
      </w:pPr>
      <w:bookmarkStart w:id="934" w:name="_ENREF_360"/>
      <w:r w:rsidRPr="00EC2769">
        <w:t>360.</w:t>
      </w:r>
      <w:r w:rsidRPr="00EC2769">
        <w:tab/>
        <w:t>Bell IR, Lewis IDA, Lewis SE, Schwartz GE, Brooks AJ, Scott A, et al. EEG alpha sensitization in individualized homeopathic treatment of fibromyalgia.</w:t>
      </w:r>
      <w:r w:rsidRPr="00EC2769">
        <w:rPr>
          <w:i/>
        </w:rPr>
        <w:t xml:space="preserve"> International Journal of Neuroscience</w:t>
      </w:r>
      <w:r w:rsidRPr="00EC2769">
        <w:t xml:space="preserve">. 2004;114(9):1195-220. </w:t>
      </w:r>
      <w:hyperlink r:id="rId237" w:history="1">
        <w:r w:rsidRPr="00EC2769">
          <w:rPr>
            <w:rStyle w:val="Hyperlink"/>
            <w:rFonts w:cs="Calibri"/>
          </w:rPr>
          <w:t>https://dx.doi.org/10.1080/00207450490475724</w:t>
        </w:r>
        <w:bookmarkEnd w:id="934"/>
      </w:hyperlink>
    </w:p>
    <w:p w14:paraId="79F0139D" w14:textId="77777777" w:rsidR="00EC2769" w:rsidRPr="00EC2769" w:rsidRDefault="00EC2769" w:rsidP="001B3DA2">
      <w:pPr>
        <w:pStyle w:val="EndNoteBibliography"/>
      </w:pPr>
      <w:bookmarkStart w:id="935" w:name="_ENREF_361"/>
      <w:r w:rsidRPr="00EC2769">
        <w:t>361.</w:t>
      </w:r>
      <w:r w:rsidRPr="00EC2769">
        <w:tab/>
        <w:t>Fisher P. Rhus toxicodendron in the treatment of fibromyalgia: a double-blind, placebo-controlled trial, with cross-over.</w:t>
      </w:r>
      <w:r w:rsidRPr="00EC2769">
        <w:rPr>
          <w:i/>
        </w:rPr>
        <w:t xml:space="preserve"> J Omhi</w:t>
      </w:r>
      <w:r w:rsidRPr="00EC2769">
        <w:t xml:space="preserve">. 1988;1(3):26-8. </w:t>
      </w:r>
      <w:bookmarkEnd w:id="935"/>
    </w:p>
    <w:p w14:paraId="6E0E67BA" w14:textId="77777777" w:rsidR="00EC2769" w:rsidRPr="00EC2769" w:rsidRDefault="00EC2769" w:rsidP="001B3DA2">
      <w:pPr>
        <w:pStyle w:val="EndNoteBibliography"/>
      </w:pPr>
      <w:bookmarkStart w:id="936" w:name="_ENREF_362"/>
      <w:r w:rsidRPr="00EC2769">
        <w:t>362.</w:t>
      </w:r>
      <w:r w:rsidRPr="00EC2769">
        <w:tab/>
        <w:t>Fisher P, Greenwood A, Huskisson EC, Turner P, Belon P. Effect of homeopathic treatment on fibrositis (primary fibromyalgia).</w:t>
      </w:r>
      <w:r w:rsidRPr="00EC2769">
        <w:rPr>
          <w:i/>
        </w:rPr>
        <w:t xml:space="preserve"> BMJ (Clinical research ed)</w:t>
      </w:r>
      <w:r w:rsidRPr="00EC2769">
        <w:t xml:space="preserve">. 1989;299(6695):365-6. </w:t>
      </w:r>
      <w:bookmarkEnd w:id="936"/>
    </w:p>
    <w:p w14:paraId="29EA2FA4" w14:textId="77777777" w:rsidR="00EC2769" w:rsidRPr="00EC2769" w:rsidRDefault="00EC2769" w:rsidP="001B3DA2">
      <w:pPr>
        <w:pStyle w:val="EndNoteBibliography"/>
      </w:pPr>
      <w:bookmarkStart w:id="937" w:name="_ENREF_363"/>
      <w:r w:rsidRPr="00EC2769">
        <w:t>363.</w:t>
      </w:r>
      <w:r w:rsidRPr="00EC2769">
        <w:tab/>
        <w:t>Relton C, Smith C, Raw J, Walters C, Adebajo AO, Thomas KJ, et al. Healthcare provided by a homeopath as an adjunct to usual care for Fibromyalgia (FMS): results of a pilot Randomised Controlled Trial.</w:t>
      </w:r>
      <w:r w:rsidRPr="00EC2769">
        <w:rPr>
          <w:i/>
        </w:rPr>
        <w:t xml:space="preserve"> Homeopathy</w:t>
      </w:r>
      <w:r w:rsidRPr="00EC2769">
        <w:t>. 2009;98(2):77-82. 10.1016/j.homp.2008.12.004</w:t>
      </w:r>
      <w:bookmarkEnd w:id="937"/>
    </w:p>
    <w:p w14:paraId="03387BD3" w14:textId="77777777" w:rsidR="00EC2769" w:rsidRPr="00EC2769" w:rsidRDefault="00EC2769" w:rsidP="001B3DA2">
      <w:pPr>
        <w:pStyle w:val="EndNoteBibliography"/>
      </w:pPr>
      <w:bookmarkStart w:id="938" w:name="_ENREF_364"/>
      <w:r w:rsidRPr="00EC2769">
        <w:t>364.</w:t>
      </w:r>
      <w:r w:rsidRPr="00EC2769">
        <w:tab/>
        <w:t>Bennett RM, Bushmakin AG, Cappelleri JC, Zlateva G, Sadosky AB. Minimal clinically important difference in the fibromyalgia impact questionnaire.</w:t>
      </w:r>
      <w:r w:rsidRPr="00EC2769">
        <w:rPr>
          <w:i/>
        </w:rPr>
        <w:t xml:space="preserve"> J Rheumatol</w:t>
      </w:r>
      <w:r w:rsidRPr="00EC2769">
        <w:t>. 2009;36(6):1304-11. 10.3899/jrheum.081090</w:t>
      </w:r>
      <w:bookmarkEnd w:id="938"/>
    </w:p>
    <w:p w14:paraId="1FC41A70" w14:textId="77777777" w:rsidR="00EC2769" w:rsidRPr="00EC2769" w:rsidRDefault="00EC2769" w:rsidP="001B3DA2">
      <w:pPr>
        <w:pStyle w:val="EndNoteBibliography"/>
      </w:pPr>
      <w:bookmarkStart w:id="939" w:name="_ENREF_365"/>
      <w:r w:rsidRPr="00EC2769">
        <w:t>365.</w:t>
      </w:r>
      <w:r w:rsidRPr="00EC2769">
        <w:tab/>
        <w:t>Ernst E. Homeopathy for eczema: a systematic review of controlled clinical trials.</w:t>
      </w:r>
      <w:r w:rsidRPr="00EC2769">
        <w:rPr>
          <w:i/>
        </w:rPr>
        <w:t xml:space="preserve"> Br J Dermatol</w:t>
      </w:r>
      <w:r w:rsidRPr="00EC2769">
        <w:t>. 2012;166(6):1170-2. 10.1111/j.1365-2133.2012.10994.x</w:t>
      </w:r>
      <w:bookmarkEnd w:id="939"/>
    </w:p>
    <w:p w14:paraId="74726662" w14:textId="77777777" w:rsidR="00EC2769" w:rsidRPr="00EC2769" w:rsidRDefault="00EC2769" w:rsidP="001B3DA2">
      <w:pPr>
        <w:pStyle w:val="EndNoteBibliography"/>
      </w:pPr>
      <w:bookmarkStart w:id="940" w:name="_ENREF_366"/>
      <w:r w:rsidRPr="00EC2769">
        <w:t>366.</w:t>
      </w:r>
      <w:r w:rsidRPr="00EC2769">
        <w:tab/>
        <w:t>Fixsen A. Should homeopathy be considered as part of a treatment strategy for otitis media with effusion in children?</w:t>
      </w:r>
      <w:r w:rsidRPr="00EC2769">
        <w:rPr>
          <w:i/>
        </w:rPr>
        <w:t xml:space="preserve"> Homeopathy</w:t>
      </w:r>
      <w:r w:rsidRPr="00EC2769">
        <w:t>. 2013;102(2):145-50. 10.1016/j.homp.2013.01.004</w:t>
      </w:r>
      <w:bookmarkEnd w:id="940"/>
    </w:p>
    <w:p w14:paraId="4536FF85" w14:textId="77777777" w:rsidR="00EC2769" w:rsidRPr="00EC2769" w:rsidRDefault="00EC2769" w:rsidP="001B3DA2">
      <w:pPr>
        <w:pStyle w:val="EndNoteBibliography"/>
      </w:pPr>
      <w:bookmarkStart w:id="941" w:name="_ENREF_367"/>
      <w:r w:rsidRPr="00EC2769">
        <w:t>367.</w:t>
      </w:r>
      <w:r w:rsidRPr="00EC2769">
        <w:tab/>
        <w:t>Pilkington K, Kirkwood G, Rampes H, Fisher P, Richardson J. Homeopathy for anxiety and anxiety disorders: a systematic review of the research.</w:t>
      </w:r>
      <w:r w:rsidRPr="00EC2769">
        <w:rPr>
          <w:i/>
        </w:rPr>
        <w:t xml:space="preserve"> Homeopathy</w:t>
      </w:r>
      <w:r w:rsidRPr="00EC2769">
        <w:t>. 2006;95(3):151-62. 10.1016/j.homp.2006.05.005</w:t>
      </w:r>
      <w:bookmarkEnd w:id="941"/>
    </w:p>
    <w:p w14:paraId="7422E121" w14:textId="77777777" w:rsidR="00EC2769" w:rsidRPr="00EC2769" w:rsidRDefault="00EC2769" w:rsidP="001B3DA2">
      <w:pPr>
        <w:pStyle w:val="EndNoteBibliography"/>
      </w:pPr>
      <w:bookmarkStart w:id="942" w:name="_ENREF_368"/>
      <w:r w:rsidRPr="00EC2769">
        <w:lastRenderedPageBreak/>
        <w:t>368.</w:t>
      </w:r>
      <w:r w:rsidRPr="00EC2769">
        <w:tab/>
        <w:t>Davidson JR, Crawford C, Ives JA, Jonas WB. Homeopathic treatments in psychiatry: a systematic review of randomized placebo-controlled studies.</w:t>
      </w:r>
      <w:r w:rsidRPr="00EC2769">
        <w:rPr>
          <w:i/>
        </w:rPr>
        <w:t xml:space="preserve"> J Clin Psychiatry</w:t>
      </w:r>
      <w:r w:rsidRPr="00EC2769">
        <w:t>. 2011;72(6):795-805. 10.4088/JCP.10r06580</w:t>
      </w:r>
      <w:bookmarkEnd w:id="942"/>
    </w:p>
    <w:p w14:paraId="1FC6AB53" w14:textId="77777777" w:rsidR="00EC2769" w:rsidRPr="00EC2769" w:rsidRDefault="00EC2769" w:rsidP="001B3DA2">
      <w:pPr>
        <w:pStyle w:val="EndNoteBibliography"/>
      </w:pPr>
      <w:bookmarkStart w:id="943" w:name="_ENREF_369"/>
      <w:r w:rsidRPr="00EC2769">
        <w:t>369.</w:t>
      </w:r>
      <w:r w:rsidRPr="00EC2769">
        <w:tab/>
        <w:t>Pilkington K, Kirkwood G, Rampes H, Fisher P, Richardson J. Homeopathy for depression: a systematic review of the research evidence.</w:t>
      </w:r>
      <w:r w:rsidRPr="00EC2769">
        <w:rPr>
          <w:i/>
        </w:rPr>
        <w:t xml:space="preserve"> Homeopathy</w:t>
      </w:r>
      <w:r w:rsidRPr="00EC2769">
        <w:t>. 2005;94(3):153-63. 10.1016/j.homp.2005.04.003</w:t>
      </w:r>
      <w:bookmarkEnd w:id="943"/>
    </w:p>
    <w:p w14:paraId="642C7B37" w14:textId="77777777" w:rsidR="00EC2769" w:rsidRPr="00EC2769" w:rsidRDefault="00EC2769" w:rsidP="001B3DA2">
      <w:pPr>
        <w:pStyle w:val="EndNoteBibliography"/>
      </w:pPr>
      <w:bookmarkStart w:id="944" w:name="_ENREF_370"/>
      <w:r w:rsidRPr="00EC2769">
        <w:t>370.</w:t>
      </w:r>
      <w:r w:rsidRPr="00EC2769">
        <w:tab/>
        <w:t>Heirs M, Dean ME. Homeopathy for attention deficit/hyperactivity disorder or hyperkinetic disorder.</w:t>
      </w:r>
      <w:r w:rsidRPr="00EC2769">
        <w:rPr>
          <w:i/>
        </w:rPr>
        <w:t xml:space="preserve"> Cochrane Database of Systematic Reviews</w:t>
      </w:r>
      <w:r w:rsidRPr="00EC2769">
        <w:t>. 2007(4). 10.1002/14651858.CD005648.pub2</w:t>
      </w:r>
      <w:bookmarkEnd w:id="944"/>
    </w:p>
    <w:p w14:paraId="289EB07B" w14:textId="77777777" w:rsidR="00EC2769" w:rsidRPr="00EC2769" w:rsidRDefault="00EC2769" w:rsidP="001B3DA2">
      <w:pPr>
        <w:pStyle w:val="EndNoteBibliography"/>
      </w:pPr>
      <w:bookmarkStart w:id="945" w:name="_ENREF_371"/>
      <w:r w:rsidRPr="00EC2769">
        <w:t>371.</w:t>
      </w:r>
      <w:r w:rsidRPr="00EC2769">
        <w:tab/>
        <w:t>Cooper KL, Relton C. Homeopathy for insomnia: a systematic review of research evidence.</w:t>
      </w:r>
      <w:r w:rsidRPr="00EC2769">
        <w:rPr>
          <w:i/>
        </w:rPr>
        <w:t xml:space="preserve"> Sleep Med Rev</w:t>
      </w:r>
      <w:r w:rsidRPr="00EC2769">
        <w:t>. 2010;14(5):329-37. 10.1016/j.smrv.2009.11.005</w:t>
      </w:r>
      <w:bookmarkEnd w:id="945"/>
    </w:p>
    <w:p w14:paraId="66BDD08A" w14:textId="12E7B986" w:rsidR="00EC2769" w:rsidRPr="00EC2769" w:rsidRDefault="00EC2769" w:rsidP="001B3DA2">
      <w:pPr>
        <w:pStyle w:val="EndNoteBibliography"/>
      </w:pPr>
      <w:bookmarkStart w:id="946" w:name="_ENREF_372"/>
      <w:r w:rsidRPr="00EC2769">
        <w:t>372.</w:t>
      </w:r>
      <w:r w:rsidRPr="00EC2769">
        <w:tab/>
        <w:t>Owen JM, Green BN. Homeopathic Treatment of Headaches: A Systematic Review of the Literature.</w:t>
      </w:r>
      <w:r w:rsidRPr="00EC2769">
        <w:rPr>
          <w:i/>
        </w:rPr>
        <w:t xml:space="preserve"> Journal of Chiropractic Medicine</w:t>
      </w:r>
      <w:r w:rsidRPr="00EC2769">
        <w:t xml:space="preserve">. 2004;3(2):45-52. </w:t>
      </w:r>
      <w:hyperlink r:id="rId238" w:history="1">
        <w:r w:rsidRPr="00EC2769">
          <w:rPr>
            <w:rStyle w:val="Hyperlink"/>
            <w:rFonts w:cs="Calibri"/>
          </w:rPr>
          <w:t>https://doi.org/10.1016/S0899-3467(07)60085-8</w:t>
        </w:r>
        <w:bookmarkEnd w:id="946"/>
      </w:hyperlink>
    </w:p>
    <w:p w14:paraId="6E80F770" w14:textId="77777777" w:rsidR="00EC2769" w:rsidRPr="00EC2769" w:rsidRDefault="00EC2769" w:rsidP="001B3DA2">
      <w:pPr>
        <w:pStyle w:val="EndNoteBibliography"/>
      </w:pPr>
      <w:bookmarkStart w:id="947" w:name="_ENREF_373"/>
      <w:r w:rsidRPr="00EC2769">
        <w:t>373.</w:t>
      </w:r>
      <w:r w:rsidRPr="00EC2769">
        <w:tab/>
        <w:t>McCarney RW, Linde K, Lasserson TJ. Homeopathy for chronic asthma.</w:t>
      </w:r>
      <w:r w:rsidRPr="00EC2769">
        <w:rPr>
          <w:i/>
        </w:rPr>
        <w:t xml:space="preserve"> Cochrane Database Syst Rev</w:t>
      </w:r>
      <w:r w:rsidRPr="00EC2769">
        <w:t>. 2004;2004(1):CD000353. 10.1002/14651858.CD000353.pub2</w:t>
      </w:r>
      <w:bookmarkEnd w:id="947"/>
    </w:p>
    <w:p w14:paraId="1E2AF418" w14:textId="77777777" w:rsidR="00EC2769" w:rsidRPr="00EC2769" w:rsidRDefault="00EC2769" w:rsidP="001B3DA2">
      <w:pPr>
        <w:pStyle w:val="EndNoteBibliography"/>
      </w:pPr>
      <w:bookmarkStart w:id="948" w:name="_ENREF_374"/>
      <w:r w:rsidRPr="00EC2769">
        <w:t>374.</w:t>
      </w:r>
      <w:r w:rsidRPr="00EC2769">
        <w:tab/>
        <w:t>Peckham EJ, Cooper K, Roberts ER, Agrawal A, Brabyn S, Tew G. Homeopathy for treatment of irritable bowel syndrome.</w:t>
      </w:r>
      <w:r w:rsidRPr="00EC2769">
        <w:rPr>
          <w:i/>
        </w:rPr>
        <w:t xml:space="preserve"> Cochrane Database Syst Rev</w:t>
      </w:r>
      <w:r w:rsidRPr="00EC2769">
        <w:t>. 2019;9(9):CD009710. 10.1002/14651858.CD009710.pub3</w:t>
      </w:r>
      <w:bookmarkEnd w:id="948"/>
    </w:p>
    <w:p w14:paraId="4C588BF7" w14:textId="77777777" w:rsidR="00EC2769" w:rsidRPr="00EC2769" w:rsidRDefault="00EC2769" w:rsidP="001B3DA2">
      <w:pPr>
        <w:pStyle w:val="EndNoteBibliography"/>
      </w:pPr>
      <w:bookmarkStart w:id="949" w:name="_ENREF_375"/>
      <w:r w:rsidRPr="00EC2769">
        <w:t>375.</w:t>
      </w:r>
      <w:r w:rsidRPr="00EC2769">
        <w:tab/>
        <w:t>Rahlfs VW, Mossinger P. [Treatment of irritable colon. A multicenter placebo-controlled double-blind study in general practice].</w:t>
      </w:r>
      <w:r w:rsidRPr="00EC2769">
        <w:rPr>
          <w:i/>
        </w:rPr>
        <w:t xml:space="preserve"> Arzneimittelforschung</w:t>
      </w:r>
      <w:r w:rsidRPr="00EC2769">
        <w:t xml:space="preserve">. 1976;26(12):2230-4. </w:t>
      </w:r>
      <w:bookmarkEnd w:id="949"/>
    </w:p>
    <w:p w14:paraId="4DA814A4" w14:textId="77777777" w:rsidR="00EC2769" w:rsidRPr="00EC2769" w:rsidRDefault="00EC2769" w:rsidP="001B3DA2">
      <w:pPr>
        <w:pStyle w:val="EndNoteBibliography"/>
      </w:pPr>
      <w:bookmarkStart w:id="950" w:name="_ENREF_376"/>
      <w:r w:rsidRPr="00EC2769">
        <w:t>376.</w:t>
      </w:r>
      <w:r w:rsidRPr="00EC2769">
        <w:tab/>
        <w:t>Rahlfs VW, Mossinger P. [Asa foetida in the treatment of the irritable colon: a double-blind trial (author's transl)].</w:t>
      </w:r>
      <w:r w:rsidRPr="00EC2769">
        <w:rPr>
          <w:i/>
        </w:rPr>
        <w:t xml:space="preserve"> Dtsch Med Wochenschr</w:t>
      </w:r>
      <w:r w:rsidRPr="00EC2769">
        <w:t>. 1979;104(4):140-3. 10.1055/s-0028-1103859</w:t>
      </w:r>
      <w:bookmarkEnd w:id="950"/>
    </w:p>
    <w:p w14:paraId="7F93FF14" w14:textId="77777777" w:rsidR="00EC2769" w:rsidRPr="00EC2769" w:rsidRDefault="00EC2769" w:rsidP="001B3DA2">
      <w:pPr>
        <w:pStyle w:val="EndNoteBibliography"/>
      </w:pPr>
      <w:bookmarkStart w:id="951" w:name="_ENREF_377"/>
      <w:r w:rsidRPr="00EC2769">
        <w:t>377.</w:t>
      </w:r>
      <w:r w:rsidRPr="00EC2769">
        <w:tab/>
        <w:t>Lecoyte T, Owen D, Shepherd H, Letchworth A, Mullee M. An investigation into the homeopathic treatment of patients with irritable bowel syndrome.</w:t>
      </w:r>
      <w:r w:rsidRPr="00EC2769">
        <w:rPr>
          <w:i/>
        </w:rPr>
        <w:t xml:space="preserve"> Proceedings of the 48th LMHI congress; vienna austria</w:t>
      </w:r>
      <w:r w:rsidRPr="00EC2769">
        <w:t xml:space="preserve">. 1993:251‐8. </w:t>
      </w:r>
      <w:bookmarkEnd w:id="951"/>
    </w:p>
    <w:p w14:paraId="78BCF6D7" w14:textId="77777777" w:rsidR="00EC2769" w:rsidRPr="00EC2769" w:rsidRDefault="00EC2769" w:rsidP="001B3DA2">
      <w:pPr>
        <w:pStyle w:val="EndNoteBibliography"/>
      </w:pPr>
      <w:bookmarkStart w:id="952" w:name="_ENREF_378"/>
      <w:r w:rsidRPr="00EC2769">
        <w:t>378.</w:t>
      </w:r>
      <w:r w:rsidRPr="00EC2769">
        <w:tab/>
        <w:t>Owen D. An investigation into the homoeopathic treatment of patients with irritable bowel syndrome.</w:t>
      </w:r>
      <w:r w:rsidRPr="00EC2769">
        <w:rPr>
          <w:i/>
        </w:rPr>
        <w:t xml:space="preserve"> Windermere: Congress of the Faculty of Homoeopathy</w:t>
      </w:r>
      <w:r w:rsidRPr="00EC2769">
        <w:t xml:space="preserve">. 1990. </w:t>
      </w:r>
      <w:bookmarkEnd w:id="952"/>
    </w:p>
    <w:p w14:paraId="2FEC4183" w14:textId="77777777" w:rsidR="00EC2769" w:rsidRPr="00EC2769" w:rsidRDefault="00EC2769" w:rsidP="001B3DA2">
      <w:pPr>
        <w:pStyle w:val="EndNoteBibliography"/>
      </w:pPr>
      <w:bookmarkStart w:id="953" w:name="_ENREF_379"/>
      <w:r w:rsidRPr="00EC2769">
        <w:t>379.</w:t>
      </w:r>
      <w:r w:rsidRPr="00EC2769">
        <w:tab/>
        <w:t>Boehm K, Raak C, Cramer H, Lauche R, Ostermann T. Homeopathy in the treatment of fibromyalgia--a comprehensive literature-review and meta-analysis.</w:t>
      </w:r>
      <w:r w:rsidRPr="00EC2769">
        <w:rPr>
          <w:i/>
        </w:rPr>
        <w:t xml:space="preserve"> Complement Ther Med</w:t>
      </w:r>
      <w:r w:rsidRPr="00EC2769">
        <w:t>. 2014;22(4):731-42. 10.1016/j.ctim.2014.06.005</w:t>
      </w:r>
      <w:bookmarkEnd w:id="953"/>
    </w:p>
    <w:p w14:paraId="4A92E0F5" w14:textId="77777777" w:rsidR="00EC2769" w:rsidRPr="00EC2769" w:rsidRDefault="00EC2769" w:rsidP="001B3DA2">
      <w:pPr>
        <w:pStyle w:val="EndNoteBibliography"/>
      </w:pPr>
      <w:bookmarkStart w:id="954" w:name="_ENREF_380"/>
      <w:r w:rsidRPr="00EC2769">
        <w:t>380.</w:t>
      </w:r>
      <w:r w:rsidRPr="00EC2769">
        <w:tab/>
        <w:t>Perry R, Terry R, Ernst E. A systematic review of homoeopathy for the treatment of fibromyalgia.</w:t>
      </w:r>
      <w:r w:rsidRPr="00EC2769">
        <w:rPr>
          <w:i/>
        </w:rPr>
        <w:t xml:space="preserve"> Clin Rheumatol</w:t>
      </w:r>
      <w:r w:rsidRPr="00EC2769">
        <w:t>. 2010;29(5):457-64. 10.1007/s10067-009-1361-2</w:t>
      </w:r>
      <w:bookmarkEnd w:id="954"/>
    </w:p>
    <w:p w14:paraId="1A9787F6" w14:textId="53464A07" w:rsidR="00DD505D" w:rsidRPr="000908D7" w:rsidRDefault="00DD505D" w:rsidP="001B3DA2">
      <w:pPr>
        <w:pStyle w:val="EndNoteBibliography"/>
      </w:pPr>
      <w:r w:rsidRPr="00A55335">
        <w:rPr>
          <w:noProof w:val="0"/>
        </w:rPr>
        <w:fldChar w:fldCharType="end"/>
      </w:r>
      <w:bookmarkEnd w:id="63"/>
      <w:bookmarkEnd w:id="64"/>
      <w:bookmarkEnd w:id="65"/>
    </w:p>
    <w:sectPr w:rsidR="00DD505D" w:rsidRPr="000908D7">
      <w:footerReference w:type="default" r:id="rId239"/>
      <w:pgSz w:w="11905" w:h="16837" w:code="9"/>
      <w:pgMar w:top="1440" w:right="1080" w:bottom="1440" w:left="1080" w:header="720" w:footer="397" w:gutter="0"/>
      <w:paperSrc w:first="261" w:other="261"/>
      <w:pgNumType w:start="1"/>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4D5D6A" w14:textId="77777777" w:rsidR="002911B8" w:rsidRPr="00A55335" w:rsidRDefault="002911B8" w:rsidP="00B57F2C">
      <w:pPr>
        <w:spacing w:after="0" w:line="240" w:lineRule="auto"/>
      </w:pPr>
      <w:r w:rsidRPr="00A55335">
        <w:separator/>
      </w:r>
    </w:p>
  </w:endnote>
  <w:endnote w:type="continuationSeparator" w:id="0">
    <w:p w14:paraId="58786B71" w14:textId="77777777" w:rsidR="002911B8" w:rsidRPr="00A55335" w:rsidRDefault="002911B8" w:rsidP="00B57F2C">
      <w:pPr>
        <w:spacing w:after="0" w:line="240" w:lineRule="auto"/>
      </w:pPr>
      <w:r w:rsidRPr="00A55335">
        <w:continuationSeparator/>
      </w:r>
    </w:p>
  </w:endnote>
  <w:endnote w:type="continuationNotice" w:id="1">
    <w:p w14:paraId="128F2F43" w14:textId="77777777" w:rsidR="002911B8" w:rsidRPr="00A55335" w:rsidRDefault="002911B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w:charset w:val="00"/>
    <w:family w:val="auto"/>
    <w:pitch w:val="variable"/>
    <w:sig w:usb0="2000020F" w:usb1="00000003" w:usb2="00000000" w:usb3="00000000" w:csb0="00000197" w:csb1="00000000"/>
    <w:embedRegular r:id="rId1" w:fontKey="{8DB0E65C-6A0F-4759-AE0A-1B1E218F4A1E}"/>
    <w:embedBold r:id="rId2" w:fontKey="{C99AA816-6BB2-4A4C-9BEA-5460DBD96A38}"/>
    <w:embedItalic r:id="rId3" w:fontKey="{CA7E01E8-4890-4A55-9BB8-68E6173DA594}"/>
    <w:embedBoldItalic r:id="rId4" w:fontKey="{4A51D60A-B41A-4F1C-8006-6005D0B5E23E}"/>
  </w:font>
  <w:font w:name="Calibri">
    <w:panose1 w:val="020F0502020204030204"/>
    <w:charset w:val="00"/>
    <w:family w:val="swiss"/>
    <w:pitch w:val="variable"/>
    <w:sig w:usb0="E4002EFF" w:usb1="C000247B" w:usb2="00000009" w:usb3="00000000" w:csb0="000001FF" w:csb1="00000000"/>
    <w:embedRegular r:id="rId5" w:fontKey="{953645A0-4EAB-4351-9492-6EB4EE3C364E}"/>
    <w:embedBold r:id="rId6" w:fontKey="{A434232E-3DB4-4589-8EB4-BE8D2FEF86FB}"/>
    <w:embedItalic r:id="rId7" w:fontKey="{CDAF9499-5D86-4CB7-A990-43FD4901D502}"/>
    <w:embedBoldItalic r:id="rId8" w:fontKey="{A6FF2FB6-18D1-423D-903B-01D69FF19CB2}"/>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Italic r:id="rId9" w:fontKey="{C63E4883-0D21-4293-BC1B-12EEEEB838CC}"/>
  </w:font>
  <w:font w:name="Cambria">
    <w:panose1 w:val="02040503050406030204"/>
    <w:charset w:val="00"/>
    <w:family w:val="roman"/>
    <w:pitch w:val="variable"/>
    <w:sig w:usb0="E00006FF" w:usb1="420024FF" w:usb2="02000000" w:usb3="00000000" w:csb0="0000019F" w:csb1="00000000"/>
    <w:embedRegular r:id="rId10" w:fontKey="{BFC62363-78AE-4D26-AD01-2B9F982C9CE3}"/>
    <w:embedItalic r:id="rId11" w:fontKey="{D3A66731-438C-402F-8C08-BE56D3E6495F}"/>
  </w:font>
  <w:font w:name="Tahoma">
    <w:panose1 w:val="020B0604030504040204"/>
    <w:charset w:val="00"/>
    <w:family w:val="swiss"/>
    <w:pitch w:val="variable"/>
    <w:sig w:usb0="E1002EFF" w:usb1="C000605B" w:usb2="00000029" w:usb3="00000000" w:csb0="000101FF" w:csb1="00000000"/>
    <w:embedRegular r:id="rId12" w:fontKey="{3978A691-42D6-40DF-A3EB-F5736008E069}"/>
    <w:embedBold r:id="rId13" w:fontKey="{40A32916-0969-4925-8F26-1D3C80B2AACC}"/>
  </w:font>
  <w:font w:name="Helvetica">
    <w:panose1 w:val="020B0604020202020204"/>
    <w:charset w:val="00"/>
    <w:family w:val="swiss"/>
    <w:pitch w:val="variable"/>
    <w:sig w:usb0="E0002EFF" w:usb1="C000785B" w:usb2="00000009" w:usb3="00000000" w:csb0="000001FF" w:csb1="00000000"/>
    <w:embedBold r:id="rId14" w:fontKey="{FA92BE98-9E5F-4B27-A725-F051FF50B3D5}"/>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embedRegular r:id="rId15" w:fontKey="{89762196-41DD-4041-915A-B6CF8059DE07}"/>
  </w:font>
  <w:font w:name="Arial Unicode MS">
    <w:panose1 w:val="020B06040202020202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embedRegular r:id="rId16" w:fontKey="{B3869167-E37D-44E3-A440-B3EDB80FE86B}"/>
    <w:embedItalic r:id="rId17" w:fontKey="{1CF87397-6738-494E-A533-B64B1F26E92F}"/>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8" w:fontKey="{E24AEFAF-B931-4045-8CEF-C6CBA98F6C0C}"/>
    <w:embedBold r:id="rId19" w:fontKey="{E8BCD488-B81E-40E0-9564-797E14906884}"/>
  </w:font>
  <w:font w:name="Cambria Math">
    <w:panose1 w:val="02040503050406030204"/>
    <w:charset w:val="00"/>
    <w:family w:val="roman"/>
    <w:pitch w:val="variable"/>
    <w:sig w:usb0="E00006FF" w:usb1="420024FF" w:usb2="02000000" w:usb3="00000000" w:csb0="0000019F" w:csb1="00000000"/>
    <w:embedRegular r:id="rId20" w:fontKey="{90D9B4BC-5E59-4E59-BD60-2353AFC42EE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7E635" w14:textId="770FC908" w:rsidR="00DD505D" w:rsidRPr="00A55335" w:rsidRDefault="00DD505D">
    <w:pPr>
      <w:pStyle w:val="Footer"/>
    </w:pPr>
    <w:r w:rsidRPr="00A55335">
      <w:t xml:space="preserve">HTAnalysts | NHMRC | Evidence Evaluation on the Clinical Effectiveness of </w:t>
    </w:r>
    <w:r w:rsidR="37298793" w:rsidRPr="00A55335">
      <w:t xml:space="preserve">Homeopathy </w:t>
    </w:r>
    <w:r w:rsidRPr="00A55335">
      <w:ptab w:relativeTo="margin" w:alignment="right" w:leader="none"/>
    </w:r>
    <w:r w:rsidRPr="00A55335">
      <w:fldChar w:fldCharType="begin"/>
    </w:r>
    <w:r w:rsidRPr="00A55335">
      <w:instrText xml:space="preserve"> PAGE   \* MERGEFORMAT </w:instrText>
    </w:r>
    <w:r w:rsidRPr="00A55335">
      <w:fldChar w:fldCharType="separate"/>
    </w:r>
    <w:r w:rsidRPr="00A55335">
      <w:t>42</w:t>
    </w:r>
    <w:r w:rsidRPr="00A5533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FB9D5" w14:textId="5562F9E6" w:rsidR="0066620D" w:rsidRPr="00A55335" w:rsidRDefault="0066620D">
    <w:pPr>
      <w:pStyle w:val="Footer"/>
    </w:pPr>
    <w:r w:rsidRPr="00A55335">
      <w:rPr>
        <w:rStyle w:val="Strong"/>
      </w:rPr>
      <w:t>HT</w:t>
    </w:r>
    <w:r w:rsidRPr="00A55335">
      <w:t xml:space="preserve">Analysts | NHMRC | Evidence Evaluation on the Clinical Effectiveness of </w:t>
    </w:r>
    <w:r w:rsidR="37298793" w:rsidRPr="00A55335">
      <w:t xml:space="preserve">HOMEOPATHY </w:t>
    </w:r>
    <w:r w:rsidRPr="00A55335">
      <w:ptab w:relativeTo="margin" w:alignment="right" w:leader="none"/>
    </w:r>
    <w:r w:rsidR="37298793" w:rsidRPr="00A55335">
      <w:t>Page</w:t>
    </w:r>
    <w:r w:rsidR="00613907" w:rsidRPr="00A55335">
      <w:t xml:space="preserve"> | </w:t>
    </w:r>
    <w:r w:rsidRPr="00A55335">
      <w:fldChar w:fldCharType="begin"/>
    </w:r>
    <w:r w:rsidRPr="00A55335">
      <w:instrText xml:space="preserve"> PAGE   \* MERGEFORMAT </w:instrText>
    </w:r>
    <w:r w:rsidRPr="00A55335">
      <w:fldChar w:fldCharType="separate"/>
    </w:r>
    <w:r w:rsidRPr="00A55335">
      <w:t>42</w:t>
    </w:r>
    <w:r w:rsidRPr="00A5533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7E9F4C" w14:textId="77777777" w:rsidR="002911B8" w:rsidRPr="00A55335" w:rsidRDefault="002911B8" w:rsidP="00B57F2C">
      <w:pPr>
        <w:spacing w:after="0" w:line="240" w:lineRule="auto"/>
      </w:pPr>
      <w:r w:rsidRPr="00A55335">
        <w:separator/>
      </w:r>
    </w:p>
  </w:footnote>
  <w:footnote w:type="continuationSeparator" w:id="0">
    <w:p w14:paraId="01AAA0B5" w14:textId="77777777" w:rsidR="002911B8" w:rsidRPr="00A55335" w:rsidRDefault="002911B8" w:rsidP="00B57F2C">
      <w:pPr>
        <w:spacing w:after="0" w:line="240" w:lineRule="auto"/>
      </w:pPr>
      <w:r w:rsidRPr="00A55335">
        <w:continuationSeparator/>
      </w:r>
    </w:p>
  </w:footnote>
  <w:footnote w:type="continuationNotice" w:id="1">
    <w:p w14:paraId="07EE7C02" w14:textId="77777777" w:rsidR="002911B8" w:rsidRPr="00A55335" w:rsidRDefault="002911B8">
      <w:pPr>
        <w:spacing w:after="0" w:line="240" w:lineRule="auto"/>
      </w:pPr>
    </w:p>
  </w:footnote>
  <w:footnote w:id="2">
    <w:p w14:paraId="3C2618C7" w14:textId="1954EAE4" w:rsidR="00563AEC" w:rsidRPr="00563AEC" w:rsidRDefault="00563AEC">
      <w:pPr>
        <w:pStyle w:val="FootnoteText"/>
        <w:rPr>
          <w:lang w:val="en-US"/>
        </w:rPr>
      </w:pPr>
      <w:r>
        <w:rPr>
          <w:rStyle w:val="FootnoteReference"/>
        </w:rPr>
        <w:footnoteRef/>
      </w:r>
      <w:r>
        <w:t xml:space="preserve"> </w:t>
      </w:r>
      <w:r w:rsidRPr="00563AEC">
        <w:rPr>
          <w:rStyle w:val="cf01"/>
          <w:rFonts w:ascii="Montserrat" w:hAnsi="Montserrat"/>
          <w:sz w:val="16"/>
          <w:szCs w:val="16"/>
        </w:rPr>
        <w:t xml:space="preserve">The estimated effect could suggest either that the therapy in question has an effect (e.g. works better than placebo) or that it </w:t>
      </w:r>
      <w:r w:rsidR="00FE2345">
        <w:rPr>
          <w:rStyle w:val="cf01"/>
          <w:rFonts w:ascii="Montserrat" w:hAnsi="Montserrat"/>
          <w:sz w:val="16"/>
          <w:szCs w:val="16"/>
        </w:rPr>
        <w:t>has</w:t>
      </w:r>
      <w:r w:rsidRPr="00563AEC">
        <w:rPr>
          <w:rStyle w:val="cf01"/>
          <w:rFonts w:ascii="Montserrat" w:hAnsi="Montserrat"/>
          <w:sz w:val="16"/>
          <w:szCs w:val="16"/>
        </w:rPr>
        <w:t xml:space="preserve"> little to no effect. The result for each outcome for a condition is described both in terms of the certainty and the direction of effect. For example, “the evidence provides low certainty that homeopathy may have little (to no) effect compared to placebo on [outcome x] in [condition y]” means that the evidence suggests the effect does not differ from the placebo, but the certainty is low so the true result may be different.</w:t>
      </w:r>
    </w:p>
  </w:footnote>
  <w:footnote w:id="3">
    <w:p w14:paraId="564735DF" w14:textId="5ADB8AE6" w:rsidR="00C41A36" w:rsidRPr="00A55335" w:rsidRDefault="00C41A36">
      <w:pPr>
        <w:pStyle w:val="FootnoteText"/>
      </w:pPr>
      <w:r w:rsidRPr="00A55335">
        <w:rPr>
          <w:rStyle w:val="FootnoteReference"/>
        </w:rPr>
        <w:footnoteRef/>
      </w:r>
      <w:r w:rsidRPr="00A55335">
        <w:t xml:space="preserve"> In the primary comparison, the evidence provided very low certainty (1 RCT, 40 participants) about the effect of homeopathy on infection frequency in people with recurrent upper respiratory tract infections.</w:t>
      </w:r>
    </w:p>
  </w:footnote>
  <w:footnote w:id="4">
    <w:p w14:paraId="04CCBF54" w14:textId="420F6B55" w:rsidR="0057273B" w:rsidRPr="00A55335" w:rsidRDefault="0057273B">
      <w:pPr>
        <w:pStyle w:val="FootnoteText"/>
      </w:pPr>
      <w:r w:rsidRPr="00A55335">
        <w:rPr>
          <w:rStyle w:val="FootnoteReference"/>
        </w:rPr>
        <w:footnoteRef/>
      </w:r>
      <w:r w:rsidRPr="00A55335">
        <w:t xml:space="preserve"> In the primary comparison, the evidence provided low certainty that homeopathy may have little to no effect on antibiotic use (2 RCTs, 377 participants) in people with recurrent upper respiratory tract infections.</w:t>
      </w:r>
    </w:p>
  </w:footnote>
  <w:footnote w:id="5">
    <w:p w14:paraId="1C1ACF9F" w14:textId="03D71227" w:rsidR="0057273B" w:rsidRPr="00A55335" w:rsidRDefault="0057273B">
      <w:pPr>
        <w:pStyle w:val="FootnoteText"/>
      </w:pPr>
      <w:r w:rsidRPr="00A55335">
        <w:rPr>
          <w:rStyle w:val="FootnoteReference"/>
        </w:rPr>
        <w:footnoteRef/>
      </w:r>
      <w:r w:rsidRPr="00A55335">
        <w:t xml:space="preserve"> </w:t>
      </w:r>
      <w:r w:rsidRPr="00A55335">
        <w:rPr>
          <w:rFonts w:eastAsia="Times New Roman"/>
        </w:rPr>
        <w:t xml:space="preserve">In the primary comparison, the evidence </w:t>
      </w:r>
      <w:r w:rsidRPr="00A55335">
        <w:t>was very uncertain about the effect of homeopathy on symptom severity for menstrual disorders (2 RCTs, 211 participants)</w:t>
      </w:r>
    </w:p>
  </w:footnote>
  <w:footnote w:id="6">
    <w:p w14:paraId="2EB623FB" w14:textId="77777777" w:rsidR="007628FC" w:rsidRPr="00A55335" w:rsidRDefault="007628FC" w:rsidP="007628FC">
      <w:pPr>
        <w:pStyle w:val="FootnoteText"/>
      </w:pPr>
      <w:r w:rsidRPr="00A55335">
        <w:rPr>
          <w:rStyle w:val="FootnoteReference"/>
        </w:rPr>
        <w:footnoteRef/>
      </w:r>
      <w:r w:rsidRPr="00A55335">
        <w:t xml:space="preserve"> In the primary comparison, the evidence provided very low certainty (1 RCT, 44 participants) about the effect of homeopathy on depression severity in people with depression.</w:t>
      </w:r>
    </w:p>
  </w:footnote>
  <w:footnote w:id="7">
    <w:p w14:paraId="60D91612" w14:textId="77777777" w:rsidR="00E032F0" w:rsidRPr="00A55335" w:rsidRDefault="00E032F0" w:rsidP="00E032F0">
      <w:pPr>
        <w:pStyle w:val="FootnoteText"/>
      </w:pPr>
      <w:r w:rsidRPr="00A55335">
        <w:rPr>
          <w:rStyle w:val="FootnoteReference"/>
          <w:rFonts w:ascii="Calibri" w:hAnsi="Calibri"/>
        </w:rPr>
        <w:footnoteRef/>
      </w:r>
      <w:r w:rsidRPr="00A55335">
        <w:t xml:space="preserve"> </w:t>
      </w:r>
      <w:hyperlink r:id="rId1" w:history="1">
        <w:r w:rsidRPr="00A55335">
          <w:rPr>
            <w:rStyle w:val="Hyperlink"/>
          </w:rPr>
          <w:t>https://www.health.gov.au/resources/publications/private-health-insurance-reforms-changing-coverage-for-some-natural-therapies</w:t>
        </w:r>
      </w:hyperlink>
    </w:p>
  </w:footnote>
  <w:footnote w:id="8">
    <w:p w14:paraId="4F6BAD40" w14:textId="77777777" w:rsidR="00C00797" w:rsidRPr="00A55335" w:rsidRDefault="00C00797" w:rsidP="00C00797">
      <w:pPr>
        <w:pStyle w:val="FootnoteText"/>
      </w:pPr>
      <w:r w:rsidRPr="00A55335">
        <w:rPr>
          <w:rStyle w:val="FootnoteReference"/>
        </w:rPr>
        <w:footnoteRef/>
      </w:r>
      <w:r w:rsidRPr="00A55335">
        <w:t xml:space="preserve"> Available from: https://www.legislation.gov.au/Details/F2021C00839</w:t>
      </w:r>
    </w:p>
  </w:footnote>
  <w:footnote w:id="9">
    <w:p w14:paraId="0A3EAFF3" w14:textId="0DF76914" w:rsidR="00933A94" w:rsidRPr="00A55335" w:rsidRDefault="00933A94" w:rsidP="00933A94">
      <w:pPr>
        <w:pStyle w:val="FootnoteText"/>
      </w:pPr>
      <w:r w:rsidRPr="00A55335">
        <w:rPr>
          <w:rStyle w:val="FootnoteReference"/>
        </w:rPr>
        <w:footnoteRef/>
      </w:r>
      <w:r w:rsidRPr="00A55335">
        <w:t xml:space="preserve"> </w:t>
      </w:r>
      <w:r w:rsidR="00571E39" w:rsidRPr="00A55335">
        <w:t>3</w:t>
      </w:r>
      <w:r w:rsidR="00F52E46" w:rsidRPr="00A55335">
        <w:t>7</w:t>
      </w:r>
      <w:r w:rsidRPr="00A55335">
        <w:t xml:space="preserve"> </w:t>
      </w:r>
      <w:r w:rsidR="00A86695">
        <w:t xml:space="preserve">of these </w:t>
      </w:r>
      <w:r w:rsidRPr="00A55335">
        <w:t xml:space="preserve">studies were </w:t>
      </w:r>
      <w:r w:rsidR="00F03801" w:rsidRPr="00A55335">
        <w:t xml:space="preserve">published </w:t>
      </w:r>
      <w:r w:rsidRPr="00A55335">
        <w:t>in a language other than English.</w:t>
      </w:r>
    </w:p>
  </w:footnote>
  <w:footnote w:id="10">
    <w:p w14:paraId="21F0B660" w14:textId="6A2B128E" w:rsidR="00933A94" w:rsidRPr="00A55335" w:rsidRDefault="00933A94" w:rsidP="00933A94">
      <w:pPr>
        <w:pStyle w:val="FootnoteText"/>
      </w:pPr>
      <w:r w:rsidRPr="00A55335">
        <w:rPr>
          <w:rStyle w:val="FootnoteReference"/>
        </w:rPr>
        <w:footnoteRef/>
      </w:r>
      <w:r w:rsidRPr="00A55335">
        <w:t xml:space="preserve"> </w:t>
      </w:r>
      <w:r w:rsidR="00C01837" w:rsidRPr="00A55335">
        <w:t>29</w:t>
      </w:r>
      <w:r w:rsidR="00583858" w:rsidRPr="00A55335">
        <w:t xml:space="preserve"> </w:t>
      </w:r>
      <w:r w:rsidR="00A86695">
        <w:t xml:space="preserve">of these </w:t>
      </w:r>
      <w:r w:rsidRPr="00A55335">
        <w:t xml:space="preserve">studies were </w:t>
      </w:r>
      <w:r w:rsidR="00F03801" w:rsidRPr="00A55335">
        <w:t xml:space="preserve">published </w:t>
      </w:r>
      <w:r w:rsidRPr="00A55335">
        <w:t>in a language other than English.</w:t>
      </w:r>
    </w:p>
  </w:footnote>
  <w:footnote w:id="11">
    <w:p w14:paraId="3013C901" w14:textId="593B7622" w:rsidR="00946040" w:rsidRPr="00A55335" w:rsidRDefault="00946040">
      <w:pPr>
        <w:pStyle w:val="FootnoteText"/>
      </w:pPr>
      <w:r w:rsidRPr="00A55335">
        <w:rPr>
          <w:rStyle w:val="FootnoteReference"/>
        </w:rPr>
        <w:footnoteRef/>
      </w:r>
      <w:r w:rsidRPr="00A55335">
        <w:t xml:space="preserve"> For this review, Group 2 (homeopath-prescribed) was selected </w:t>
      </w:r>
      <w:r w:rsidR="00873A41" w:rsidRPr="00A55335">
        <w:t>for inclusion in the analysis</w:t>
      </w:r>
      <w:r w:rsidRPr="00A55335">
        <w:t xml:space="preserve"> as it was judged to better align with the practise of homeopathy in the Australia (for </w:t>
      </w:r>
      <w:r w:rsidR="00873A41" w:rsidRPr="00A55335">
        <w:t>health insurance rebates</w:t>
      </w:r>
      <w:r w:rsidRPr="00A55335">
        <w:t>). The included comparisons were</w:t>
      </w:r>
      <w:r w:rsidR="00873A41" w:rsidRPr="00A55335">
        <w:t xml:space="preserve"> (i) </w:t>
      </w:r>
      <w:r w:rsidRPr="00A55335">
        <w:t xml:space="preserve">Group 2 versus Group 4 (placebo) </w:t>
      </w:r>
      <w:r w:rsidR="00873A41" w:rsidRPr="00A55335">
        <w:t>and</w:t>
      </w:r>
      <w:r w:rsidR="004F1C4C" w:rsidRPr="00A55335">
        <w:t xml:space="preserve"> (ii)</w:t>
      </w:r>
      <w:r w:rsidRPr="00A55335">
        <w:t xml:space="preserve"> Group 2 versus Group 1 (waitlist). Group 3 (parent-</w:t>
      </w:r>
      <w:r w:rsidR="00873A41" w:rsidRPr="00A55335">
        <w:t xml:space="preserve">selected) </w:t>
      </w:r>
      <w:r w:rsidRPr="00A55335">
        <w:t xml:space="preserve">results are presented but </w:t>
      </w:r>
      <w:r w:rsidR="004F1C4C" w:rsidRPr="00A55335">
        <w:t xml:space="preserve">were </w:t>
      </w:r>
      <w:r w:rsidRPr="00A55335">
        <w:t xml:space="preserve">not further considered. </w:t>
      </w:r>
    </w:p>
  </w:footnote>
  <w:footnote w:id="12">
    <w:p w14:paraId="481D643A" w14:textId="73235A29" w:rsidR="00D144B4" w:rsidRPr="00A55335" w:rsidRDefault="00D144B4">
      <w:pPr>
        <w:pStyle w:val="FootnoteText"/>
      </w:pPr>
      <w:r w:rsidRPr="00A55335">
        <w:rPr>
          <w:rStyle w:val="FootnoteReference"/>
        </w:rPr>
        <w:footnoteRef/>
      </w:r>
      <w:r w:rsidRPr="00A55335">
        <w:t xml:space="preserve"> </w:t>
      </w:r>
      <w:r w:rsidR="00A25CBE" w:rsidRPr="00A55335">
        <w:t xml:space="preserve">60% of participants </w:t>
      </w:r>
      <w:r w:rsidR="00F67A14" w:rsidRPr="00A55335">
        <w:t xml:space="preserve">(111/185) </w:t>
      </w:r>
      <w:r w:rsidR="00A25CBE" w:rsidRPr="00A55335">
        <w:t>did not take up the offer</w:t>
      </w:r>
      <w:r w:rsidR="00667760" w:rsidRPr="00A55335">
        <w:t>.</w:t>
      </w:r>
    </w:p>
  </w:footnote>
  <w:footnote w:id="13">
    <w:p w14:paraId="6B753167" w14:textId="5795874F" w:rsidR="00CB5553" w:rsidRPr="00CB5553" w:rsidRDefault="00CB5553">
      <w:pPr>
        <w:pStyle w:val="FootnoteText"/>
        <w:rPr>
          <w:lang w:val="en-US"/>
        </w:rPr>
      </w:pPr>
      <w:r>
        <w:rPr>
          <w:rStyle w:val="FootnoteReference"/>
        </w:rPr>
        <w:footnoteRef/>
      </w:r>
      <w:r>
        <w:t xml:space="preserve"> </w:t>
      </w:r>
      <w:r w:rsidRPr="00563AEC">
        <w:rPr>
          <w:rStyle w:val="cf01"/>
          <w:rFonts w:ascii="Montserrat" w:hAnsi="Montserrat"/>
          <w:sz w:val="16"/>
          <w:szCs w:val="16"/>
        </w:rPr>
        <w:t xml:space="preserve">The estimated effect could suggest either that the therapy in question has an effect (e.g. works better than placebo) or that it </w:t>
      </w:r>
      <w:r>
        <w:rPr>
          <w:rStyle w:val="cf01"/>
          <w:rFonts w:ascii="Montserrat" w:hAnsi="Montserrat"/>
          <w:sz w:val="16"/>
          <w:szCs w:val="16"/>
        </w:rPr>
        <w:t>has</w:t>
      </w:r>
      <w:r w:rsidRPr="00563AEC">
        <w:rPr>
          <w:rStyle w:val="cf01"/>
          <w:rFonts w:ascii="Montserrat" w:hAnsi="Montserrat"/>
          <w:sz w:val="16"/>
          <w:szCs w:val="16"/>
        </w:rPr>
        <w:t xml:space="preserve"> little to no effect. The result for each outcome for a condition is described both in terms of the certainty and the direction of effect. For example, “the evidence provides low certainty that homeopathy may have little (to no) effect compared to placebo on [outcome x] in [condition y]” means that the evidence suggests the effect does not differ from the placebo, but the certainty is low so the true result may be different.</w:t>
      </w:r>
    </w:p>
  </w:footnote>
  <w:footnote w:id="14">
    <w:p w14:paraId="19607A8F" w14:textId="5D3CB3D4" w:rsidR="008F6677" w:rsidRPr="00A55335" w:rsidRDefault="008F6677">
      <w:pPr>
        <w:pStyle w:val="FootnoteText"/>
      </w:pPr>
      <w:r w:rsidRPr="00A55335">
        <w:rPr>
          <w:rStyle w:val="FootnoteReference"/>
        </w:rPr>
        <w:footnoteRef/>
      </w:r>
      <w:r w:rsidRPr="00A55335">
        <w:t xml:space="preserve"> In the primary comparison, the evidence provided very low certainty (1 RCT, 40 participants) about the effect of homeopathy on infection frequency in people with recurrent upper respiratory tract infections.</w:t>
      </w:r>
    </w:p>
  </w:footnote>
  <w:footnote w:id="15">
    <w:p w14:paraId="3DB4F231" w14:textId="73DA3B92" w:rsidR="008F6677" w:rsidRPr="00A55335" w:rsidRDefault="008F6677">
      <w:pPr>
        <w:pStyle w:val="FootnoteText"/>
      </w:pPr>
      <w:r w:rsidRPr="00A55335">
        <w:rPr>
          <w:rStyle w:val="FootnoteReference"/>
        </w:rPr>
        <w:footnoteRef/>
      </w:r>
      <w:r w:rsidRPr="00A55335">
        <w:t xml:space="preserve"> In the primary comparison, the evidence provided low certainty that homeopathy may have little to no effect on antibiotic use (2 RCTs, 377 participants) in people with recurrent upper respiratory tract infections.</w:t>
      </w:r>
    </w:p>
  </w:footnote>
  <w:footnote w:id="16">
    <w:p w14:paraId="3FE22C8F" w14:textId="34E29B60" w:rsidR="008F6677" w:rsidRDefault="008F6677">
      <w:pPr>
        <w:pStyle w:val="FootnoteText"/>
      </w:pPr>
      <w:r w:rsidRPr="00A55335">
        <w:rPr>
          <w:rStyle w:val="FootnoteReference"/>
        </w:rPr>
        <w:footnoteRef/>
      </w:r>
      <w:r w:rsidRPr="00A55335">
        <w:t xml:space="preserve"> </w:t>
      </w:r>
      <w:r w:rsidRPr="00A55335">
        <w:rPr>
          <w:rFonts w:eastAsia="Times New Roman"/>
        </w:rPr>
        <w:t xml:space="preserve">In the primary comparison, the evidence </w:t>
      </w:r>
      <w:r w:rsidRPr="00A55335">
        <w:t xml:space="preserve">was very uncertain about the effect of homeopathy on symptom severity for menstrual disorders (2 RCTs, </w:t>
      </w:r>
      <w:r w:rsidR="00D9506C" w:rsidRPr="00A55335">
        <w:t>115</w:t>
      </w:r>
      <w:r w:rsidRPr="00A55335">
        <w:t xml:space="preserve"> participants)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E01AA" w14:textId="77777777" w:rsidR="00DD505D" w:rsidRPr="00A55335" w:rsidRDefault="00DD505D">
    <w:pPr>
      <w:pStyle w:val="Header"/>
    </w:pPr>
    <w:r w:rsidRPr="00A55335">
      <w:t>Evidence evaluation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B00BD" w14:textId="77777777" w:rsidR="00DD505D" w:rsidRPr="00A55335" w:rsidRDefault="00DD505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AF947" w14:textId="77777777" w:rsidR="00DD505D" w:rsidRPr="00A55335" w:rsidRDefault="00DD505D">
    <w:pPr>
      <w:pStyle w:val="Header"/>
    </w:pPr>
    <w:r w:rsidRPr="00A55335">
      <w:t>Evidence Evaluation Report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2B4B3" w14:textId="77777777" w:rsidR="00DD505D" w:rsidRPr="00A55335" w:rsidRDefault="00DD50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124FC"/>
    <w:multiLevelType w:val="hybridMultilevel"/>
    <w:tmpl w:val="FD88117A"/>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9F78C1"/>
    <w:multiLevelType w:val="hybridMultilevel"/>
    <w:tmpl w:val="17CC74AC"/>
    <w:lvl w:ilvl="0" w:tplc="0B3AF3F8">
      <w:start w:val="1"/>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EB6004"/>
    <w:multiLevelType w:val="hybridMultilevel"/>
    <w:tmpl w:val="6BD09804"/>
    <w:lvl w:ilvl="0" w:tplc="EFA04D80">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C22106"/>
    <w:multiLevelType w:val="hybridMultilevel"/>
    <w:tmpl w:val="18083A6C"/>
    <w:lvl w:ilvl="0" w:tplc="F2BCADCC">
      <w:start w:val="1"/>
      <w:numFmt w:val="decimal"/>
      <w:pStyle w:val="Company"/>
      <w:lvlText w:val="%1."/>
      <w:lvlJc w:val="left"/>
      <w:pPr>
        <w:ind w:left="522" w:hanging="360"/>
      </w:pPr>
      <w:rPr>
        <w:rFonts w:ascii="Calibri" w:hAnsi="Calibri" w:hint="default"/>
        <w:sz w:val="17"/>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4" w15:restartNumberingAfterBreak="0">
    <w:nsid w:val="09B521B7"/>
    <w:multiLevelType w:val="hybridMultilevel"/>
    <w:tmpl w:val="67F6B7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7565C7"/>
    <w:multiLevelType w:val="hybridMultilevel"/>
    <w:tmpl w:val="B6B23C60"/>
    <w:lvl w:ilvl="0" w:tplc="9294A8E0">
      <w:start w:val="6"/>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421EBC"/>
    <w:multiLevelType w:val="hybridMultilevel"/>
    <w:tmpl w:val="7E2A9B18"/>
    <w:lvl w:ilvl="0" w:tplc="F286A7D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362AE6"/>
    <w:multiLevelType w:val="hybridMultilevel"/>
    <w:tmpl w:val="DCF65328"/>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010648B"/>
    <w:multiLevelType w:val="hybridMultilevel"/>
    <w:tmpl w:val="EDBCD242"/>
    <w:lvl w:ilvl="0" w:tplc="EF24F3EE">
      <w:start w:val="1"/>
      <w:numFmt w:val="decimal"/>
      <w:pStyle w:val="ListNos0"/>
      <w:lvlText w:val="%1."/>
      <w:lvlJc w:val="left"/>
      <w:pPr>
        <w:ind w:left="1410" w:hanging="705"/>
      </w:pPr>
      <w:rPr>
        <w:rFonts w:hint="default"/>
      </w:rPr>
    </w:lvl>
    <w:lvl w:ilvl="1" w:tplc="FFFFFFFF">
      <w:start w:val="1"/>
      <w:numFmt w:val="lowerLetter"/>
      <w:lvlText w:val="%2."/>
      <w:lvlJc w:val="left"/>
      <w:pPr>
        <w:ind w:left="1785" w:hanging="360"/>
      </w:pPr>
    </w:lvl>
    <w:lvl w:ilvl="2" w:tplc="FFFFFFFF">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9" w15:restartNumberingAfterBreak="0">
    <w:nsid w:val="11F935A7"/>
    <w:multiLevelType w:val="hybridMultilevel"/>
    <w:tmpl w:val="96560A6E"/>
    <w:lvl w:ilvl="0" w:tplc="5F9EC3C6">
      <w:start w:val="1"/>
      <w:numFmt w:val="bullet"/>
      <w:pStyle w:val="TableListNo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449636C"/>
    <w:multiLevelType w:val="hybridMultilevel"/>
    <w:tmpl w:val="DE18EF72"/>
    <w:lvl w:ilvl="0" w:tplc="475ADB98">
      <w:start w:val="5"/>
      <w:numFmt w:val="bullet"/>
      <w:lvlText w:val="-"/>
      <w:lvlJc w:val="left"/>
      <w:pPr>
        <w:ind w:left="720" w:hanging="360"/>
      </w:pPr>
      <w:rPr>
        <w:rFonts w:ascii="Montserrat" w:eastAsia="Montserrat" w:hAnsi="Montserrat" w:cs="Montserra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72757E7"/>
    <w:multiLevelType w:val="hybridMultilevel"/>
    <w:tmpl w:val="39D4CDAE"/>
    <w:lvl w:ilvl="0" w:tplc="9294A8E0">
      <w:start w:val="6"/>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3B356E"/>
    <w:multiLevelType w:val="hybridMultilevel"/>
    <w:tmpl w:val="0F5CA0E2"/>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DE63FE6"/>
    <w:multiLevelType w:val="hybridMultilevel"/>
    <w:tmpl w:val="15DABFC8"/>
    <w:lvl w:ilvl="0" w:tplc="40B85570">
      <w:start w:val="1"/>
      <w:numFmt w:val="bullet"/>
      <w:pStyle w:val="ListTable3-Accent2"/>
      <w:lvlText w:val="-"/>
      <w:lvlJc w:val="left"/>
      <w:pPr>
        <w:ind w:left="1074" w:hanging="360"/>
      </w:pPr>
      <w:rPr>
        <w:rFonts w:ascii="Calibri" w:hAnsi="Calibri" w:hint="default"/>
      </w:rPr>
    </w:lvl>
    <w:lvl w:ilvl="1" w:tplc="0C090003">
      <w:start w:val="1"/>
      <w:numFmt w:val="bullet"/>
      <w:lvlText w:val="o"/>
      <w:lvlJc w:val="left"/>
      <w:pPr>
        <w:ind w:left="2517" w:hanging="360"/>
      </w:pPr>
      <w:rPr>
        <w:rFonts w:ascii="Courier New" w:hAnsi="Courier New" w:cs="Courier New" w:hint="default"/>
      </w:rPr>
    </w:lvl>
    <w:lvl w:ilvl="2" w:tplc="0C090005">
      <w:start w:val="1"/>
      <w:numFmt w:val="bullet"/>
      <w:lvlText w:val=""/>
      <w:lvlJc w:val="left"/>
      <w:pPr>
        <w:ind w:left="3237" w:hanging="360"/>
      </w:pPr>
      <w:rPr>
        <w:rFonts w:ascii="Wingdings" w:hAnsi="Wingdings" w:hint="default"/>
      </w:rPr>
    </w:lvl>
    <w:lvl w:ilvl="3" w:tplc="0C090001" w:tentative="1">
      <w:start w:val="1"/>
      <w:numFmt w:val="bullet"/>
      <w:lvlText w:val=""/>
      <w:lvlJc w:val="left"/>
      <w:pPr>
        <w:ind w:left="3957" w:hanging="360"/>
      </w:pPr>
      <w:rPr>
        <w:rFonts w:ascii="Symbol" w:hAnsi="Symbol" w:hint="default"/>
      </w:rPr>
    </w:lvl>
    <w:lvl w:ilvl="4" w:tplc="0C090003" w:tentative="1">
      <w:start w:val="1"/>
      <w:numFmt w:val="bullet"/>
      <w:lvlText w:val="o"/>
      <w:lvlJc w:val="left"/>
      <w:pPr>
        <w:ind w:left="4677" w:hanging="360"/>
      </w:pPr>
      <w:rPr>
        <w:rFonts w:ascii="Courier New" w:hAnsi="Courier New" w:cs="Courier New" w:hint="default"/>
      </w:rPr>
    </w:lvl>
    <w:lvl w:ilvl="5" w:tplc="0C090005" w:tentative="1">
      <w:start w:val="1"/>
      <w:numFmt w:val="bullet"/>
      <w:lvlText w:val=""/>
      <w:lvlJc w:val="left"/>
      <w:pPr>
        <w:ind w:left="5397" w:hanging="360"/>
      </w:pPr>
      <w:rPr>
        <w:rFonts w:ascii="Wingdings" w:hAnsi="Wingdings" w:hint="default"/>
      </w:rPr>
    </w:lvl>
    <w:lvl w:ilvl="6" w:tplc="0C090001" w:tentative="1">
      <w:start w:val="1"/>
      <w:numFmt w:val="bullet"/>
      <w:lvlText w:val=""/>
      <w:lvlJc w:val="left"/>
      <w:pPr>
        <w:ind w:left="6117" w:hanging="360"/>
      </w:pPr>
      <w:rPr>
        <w:rFonts w:ascii="Symbol" w:hAnsi="Symbol" w:hint="default"/>
      </w:rPr>
    </w:lvl>
    <w:lvl w:ilvl="7" w:tplc="0C090003" w:tentative="1">
      <w:start w:val="1"/>
      <w:numFmt w:val="bullet"/>
      <w:lvlText w:val="o"/>
      <w:lvlJc w:val="left"/>
      <w:pPr>
        <w:ind w:left="6837" w:hanging="360"/>
      </w:pPr>
      <w:rPr>
        <w:rFonts w:ascii="Courier New" w:hAnsi="Courier New" w:cs="Courier New" w:hint="default"/>
      </w:rPr>
    </w:lvl>
    <w:lvl w:ilvl="8" w:tplc="0C090005" w:tentative="1">
      <w:start w:val="1"/>
      <w:numFmt w:val="bullet"/>
      <w:lvlText w:val=""/>
      <w:lvlJc w:val="left"/>
      <w:pPr>
        <w:ind w:left="7557" w:hanging="360"/>
      </w:pPr>
      <w:rPr>
        <w:rFonts w:ascii="Wingdings" w:hAnsi="Wingdings" w:hint="default"/>
      </w:rPr>
    </w:lvl>
  </w:abstractNum>
  <w:abstractNum w:abstractNumId="14" w15:restartNumberingAfterBreak="0">
    <w:nsid w:val="22AE1DD6"/>
    <w:multiLevelType w:val="hybridMultilevel"/>
    <w:tmpl w:val="8AF8EA80"/>
    <w:lvl w:ilvl="0" w:tplc="475ADB98">
      <w:start w:val="5"/>
      <w:numFmt w:val="bullet"/>
      <w:lvlText w:val="-"/>
      <w:lvlJc w:val="left"/>
      <w:pPr>
        <w:ind w:left="720" w:hanging="360"/>
      </w:pPr>
      <w:rPr>
        <w:rFonts w:ascii="Montserrat" w:eastAsia="Montserrat" w:hAnsi="Montserrat" w:cs="Montserra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6EE2B5B"/>
    <w:multiLevelType w:val="hybridMultilevel"/>
    <w:tmpl w:val="872E6E96"/>
    <w:lvl w:ilvl="0" w:tplc="F84AE1EC">
      <w:start w:val="1"/>
      <w:numFmt w:val="bullet"/>
      <w:pStyle w:val="Bullet12"/>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D361B7F"/>
    <w:multiLevelType w:val="hybridMultilevel"/>
    <w:tmpl w:val="14DC7E9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1913667"/>
    <w:multiLevelType w:val="hybridMultilevel"/>
    <w:tmpl w:val="80828DB6"/>
    <w:lvl w:ilvl="0" w:tplc="475ADB98">
      <w:start w:val="5"/>
      <w:numFmt w:val="bullet"/>
      <w:lvlText w:val="-"/>
      <w:lvlJc w:val="left"/>
      <w:pPr>
        <w:ind w:left="720" w:hanging="360"/>
      </w:pPr>
      <w:rPr>
        <w:rFonts w:ascii="Montserrat" w:eastAsia="Montserrat" w:hAnsi="Montserrat" w:cs="Montserra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86D6B84"/>
    <w:multiLevelType w:val="hybridMultilevel"/>
    <w:tmpl w:val="E0D6F7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9215A66"/>
    <w:multiLevelType w:val="hybridMultilevel"/>
    <w:tmpl w:val="02385DEC"/>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98F727A"/>
    <w:multiLevelType w:val="hybridMultilevel"/>
    <w:tmpl w:val="F0824DAE"/>
    <w:lvl w:ilvl="0" w:tplc="475ADB98">
      <w:start w:val="5"/>
      <w:numFmt w:val="bullet"/>
      <w:lvlText w:val="-"/>
      <w:lvlJc w:val="left"/>
      <w:pPr>
        <w:ind w:left="720" w:hanging="360"/>
      </w:pPr>
      <w:rPr>
        <w:rFonts w:ascii="Montserrat" w:eastAsia="Montserrat" w:hAnsi="Montserrat" w:cs="Montserra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AFF0A77"/>
    <w:multiLevelType w:val="hybridMultilevel"/>
    <w:tmpl w:val="3E00FC28"/>
    <w:lvl w:ilvl="0" w:tplc="43848D48">
      <w:start w:val="1"/>
      <w:numFmt w:val="bullet"/>
      <w:lvlText w:val=""/>
      <w:lvlJc w:val="left"/>
      <w:pPr>
        <w:ind w:left="720" w:hanging="360"/>
      </w:pPr>
      <w:rPr>
        <w:rFonts w:ascii="Symbol" w:hAnsi="Symbol"/>
      </w:rPr>
    </w:lvl>
    <w:lvl w:ilvl="1" w:tplc="7C4E4812">
      <w:start w:val="1"/>
      <w:numFmt w:val="bullet"/>
      <w:lvlText w:val=""/>
      <w:lvlJc w:val="left"/>
      <w:pPr>
        <w:ind w:left="720" w:hanging="360"/>
      </w:pPr>
      <w:rPr>
        <w:rFonts w:ascii="Symbol" w:hAnsi="Symbol"/>
      </w:rPr>
    </w:lvl>
    <w:lvl w:ilvl="2" w:tplc="4F8615D6">
      <w:start w:val="1"/>
      <w:numFmt w:val="bullet"/>
      <w:lvlText w:val=""/>
      <w:lvlJc w:val="left"/>
      <w:pPr>
        <w:ind w:left="720" w:hanging="360"/>
      </w:pPr>
      <w:rPr>
        <w:rFonts w:ascii="Symbol" w:hAnsi="Symbol"/>
      </w:rPr>
    </w:lvl>
    <w:lvl w:ilvl="3" w:tplc="2EB05B8A">
      <w:start w:val="1"/>
      <w:numFmt w:val="bullet"/>
      <w:lvlText w:val=""/>
      <w:lvlJc w:val="left"/>
      <w:pPr>
        <w:ind w:left="720" w:hanging="360"/>
      </w:pPr>
      <w:rPr>
        <w:rFonts w:ascii="Symbol" w:hAnsi="Symbol"/>
      </w:rPr>
    </w:lvl>
    <w:lvl w:ilvl="4" w:tplc="3F4238C2">
      <w:start w:val="1"/>
      <w:numFmt w:val="bullet"/>
      <w:lvlText w:val=""/>
      <w:lvlJc w:val="left"/>
      <w:pPr>
        <w:ind w:left="720" w:hanging="360"/>
      </w:pPr>
      <w:rPr>
        <w:rFonts w:ascii="Symbol" w:hAnsi="Symbol"/>
      </w:rPr>
    </w:lvl>
    <w:lvl w:ilvl="5" w:tplc="C5C6B7E8">
      <w:start w:val="1"/>
      <w:numFmt w:val="bullet"/>
      <w:lvlText w:val=""/>
      <w:lvlJc w:val="left"/>
      <w:pPr>
        <w:ind w:left="720" w:hanging="360"/>
      </w:pPr>
      <w:rPr>
        <w:rFonts w:ascii="Symbol" w:hAnsi="Symbol"/>
      </w:rPr>
    </w:lvl>
    <w:lvl w:ilvl="6" w:tplc="D3560370">
      <w:start w:val="1"/>
      <w:numFmt w:val="bullet"/>
      <w:lvlText w:val=""/>
      <w:lvlJc w:val="left"/>
      <w:pPr>
        <w:ind w:left="720" w:hanging="360"/>
      </w:pPr>
      <w:rPr>
        <w:rFonts w:ascii="Symbol" w:hAnsi="Symbol"/>
      </w:rPr>
    </w:lvl>
    <w:lvl w:ilvl="7" w:tplc="48544B2A">
      <w:start w:val="1"/>
      <w:numFmt w:val="bullet"/>
      <w:lvlText w:val=""/>
      <w:lvlJc w:val="left"/>
      <w:pPr>
        <w:ind w:left="720" w:hanging="360"/>
      </w:pPr>
      <w:rPr>
        <w:rFonts w:ascii="Symbol" w:hAnsi="Symbol"/>
      </w:rPr>
    </w:lvl>
    <w:lvl w:ilvl="8" w:tplc="D974F840">
      <w:start w:val="1"/>
      <w:numFmt w:val="bullet"/>
      <w:lvlText w:val=""/>
      <w:lvlJc w:val="left"/>
      <w:pPr>
        <w:ind w:left="720" w:hanging="360"/>
      </w:pPr>
      <w:rPr>
        <w:rFonts w:ascii="Symbol" w:hAnsi="Symbol"/>
      </w:rPr>
    </w:lvl>
  </w:abstractNum>
  <w:abstractNum w:abstractNumId="22" w15:restartNumberingAfterBreak="0">
    <w:nsid w:val="3C5B4083"/>
    <w:multiLevelType w:val="hybridMultilevel"/>
    <w:tmpl w:val="1792A06C"/>
    <w:lvl w:ilvl="0" w:tplc="9294A8E0">
      <w:start w:val="6"/>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E8661CA"/>
    <w:multiLevelType w:val="hybridMultilevel"/>
    <w:tmpl w:val="7FD0B944"/>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0CC1A1B"/>
    <w:multiLevelType w:val="hybridMultilevel"/>
    <w:tmpl w:val="646CF65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42126B1F"/>
    <w:multiLevelType w:val="hybridMultilevel"/>
    <w:tmpl w:val="C7EAFB48"/>
    <w:lvl w:ilvl="0" w:tplc="475ADB98">
      <w:start w:val="5"/>
      <w:numFmt w:val="bullet"/>
      <w:lvlText w:val="-"/>
      <w:lvlJc w:val="left"/>
      <w:pPr>
        <w:ind w:left="720" w:hanging="360"/>
      </w:pPr>
      <w:rPr>
        <w:rFonts w:ascii="Montserrat" w:eastAsia="Montserrat" w:hAnsi="Montserrat" w:cs="Montserra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49848A0"/>
    <w:multiLevelType w:val="hybridMultilevel"/>
    <w:tmpl w:val="DC28758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6027AB7"/>
    <w:multiLevelType w:val="hybridMultilevel"/>
    <w:tmpl w:val="190E7BB8"/>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95E70C4"/>
    <w:multiLevelType w:val="hybridMultilevel"/>
    <w:tmpl w:val="A27CFC48"/>
    <w:lvl w:ilvl="0" w:tplc="F286A7DE">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B1401D6"/>
    <w:multiLevelType w:val="hybridMultilevel"/>
    <w:tmpl w:val="54BC18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B8F74CC"/>
    <w:multiLevelType w:val="hybridMultilevel"/>
    <w:tmpl w:val="0F5ECE3E"/>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BC80055"/>
    <w:multiLevelType w:val="hybridMultilevel"/>
    <w:tmpl w:val="C3EAA474"/>
    <w:lvl w:ilvl="0" w:tplc="B9A0A0D4">
      <w:start w:val="4"/>
      <w:numFmt w:val="bullet"/>
      <w:lvlText w:val="-"/>
      <w:lvlJc w:val="left"/>
      <w:pPr>
        <w:ind w:left="360" w:hanging="360"/>
      </w:pPr>
      <w:rPr>
        <w:rFonts w:ascii="Calibri" w:eastAsia="Calibri"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4DC8274F"/>
    <w:multiLevelType w:val="hybridMultilevel"/>
    <w:tmpl w:val="05167F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E043732"/>
    <w:multiLevelType w:val="hybridMultilevel"/>
    <w:tmpl w:val="73BEDA54"/>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EF60837"/>
    <w:multiLevelType w:val="hybridMultilevel"/>
    <w:tmpl w:val="B9CA12E0"/>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FC04C0D"/>
    <w:multiLevelType w:val="hybridMultilevel"/>
    <w:tmpl w:val="DB1C41A0"/>
    <w:lvl w:ilvl="0" w:tplc="EA58E776">
      <w:start w:val="1"/>
      <w:numFmt w:val="decimal"/>
      <w:lvlText w:val="%1."/>
      <w:lvlJc w:val="left"/>
      <w:pPr>
        <w:ind w:left="705" w:hanging="705"/>
      </w:pPr>
      <w:rPr>
        <w:rFonts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512B34F3"/>
    <w:multiLevelType w:val="hybridMultilevel"/>
    <w:tmpl w:val="D2A0FCD2"/>
    <w:lvl w:ilvl="0" w:tplc="0C090019">
      <w:start w:val="1"/>
      <w:numFmt w:val="lowerLetter"/>
      <w:pStyle w:val="ListNos12"/>
      <w:lvlText w:val="%1."/>
      <w:lvlJc w:val="left"/>
      <w:pPr>
        <w:ind w:left="1077" w:hanging="360"/>
      </w:pPr>
      <w:rPr>
        <w:rFonts w:hint="default"/>
      </w:rPr>
    </w:lvl>
    <w:lvl w:ilvl="1" w:tplc="0C090003">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37" w15:restartNumberingAfterBreak="0">
    <w:nsid w:val="51A2717A"/>
    <w:multiLevelType w:val="hybridMultilevel"/>
    <w:tmpl w:val="B86A2BCA"/>
    <w:lvl w:ilvl="0" w:tplc="0C090001">
      <w:start w:val="1"/>
      <w:numFmt w:val="bullet"/>
      <w:lvlText w:val=""/>
      <w:lvlJc w:val="left"/>
      <w:pPr>
        <w:ind w:left="831" w:hanging="405"/>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38" w15:restartNumberingAfterBreak="0">
    <w:nsid w:val="51F6052A"/>
    <w:multiLevelType w:val="hybridMultilevel"/>
    <w:tmpl w:val="95E6338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9" w15:restartNumberingAfterBreak="0">
    <w:nsid w:val="52833E18"/>
    <w:multiLevelType w:val="hybridMultilevel"/>
    <w:tmpl w:val="D430C84C"/>
    <w:lvl w:ilvl="0" w:tplc="9294A8E0">
      <w:start w:val="6"/>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46332AF"/>
    <w:multiLevelType w:val="hybridMultilevel"/>
    <w:tmpl w:val="47285D50"/>
    <w:lvl w:ilvl="0" w:tplc="1A52FD5C">
      <w:start w:val="1"/>
      <w:numFmt w:val="bullet"/>
      <w:pStyle w:val="Date"/>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78A0853"/>
    <w:multiLevelType w:val="hybridMultilevel"/>
    <w:tmpl w:val="8CBA543E"/>
    <w:lvl w:ilvl="0" w:tplc="F286A7D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B063F4D"/>
    <w:multiLevelType w:val="hybridMultilevel"/>
    <w:tmpl w:val="474CAE74"/>
    <w:lvl w:ilvl="0" w:tplc="4052DCCA">
      <w:numFmt w:val="decimal"/>
      <w:pStyle w:val="AppHeading"/>
      <w:lvlText w:val=""/>
      <w:lvlJc w:val="left"/>
    </w:lvl>
    <w:lvl w:ilvl="1" w:tplc="0C090019">
      <w:numFmt w:val="decimal"/>
      <w:lvlText w:val=""/>
      <w:lvlJc w:val="left"/>
    </w:lvl>
    <w:lvl w:ilvl="2" w:tplc="0C09001B">
      <w:numFmt w:val="decimal"/>
      <w:lvlText w:val=""/>
      <w:lvlJc w:val="left"/>
    </w:lvl>
    <w:lvl w:ilvl="3" w:tplc="0C09000F">
      <w:numFmt w:val="decimal"/>
      <w:lvlText w:val=""/>
      <w:lvlJc w:val="left"/>
    </w:lvl>
    <w:lvl w:ilvl="4" w:tplc="0C090019">
      <w:numFmt w:val="decimal"/>
      <w:lvlText w:val=""/>
      <w:lvlJc w:val="left"/>
    </w:lvl>
    <w:lvl w:ilvl="5" w:tplc="0C09001B">
      <w:numFmt w:val="decimal"/>
      <w:lvlText w:val=""/>
      <w:lvlJc w:val="left"/>
    </w:lvl>
    <w:lvl w:ilvl="6" w:tplc="0C09000F">
      <w:numFmt w:val="decimal"/>
      <w:lvlText w:val=""/>
      <w:lvlJc w:val="left"/>
    </w:lvl>
    <w:lvl w:ilvl="7" w:tplc="0C090019">
      <w:numFmt w:val="decimal"/>
      <w:lvlText w:val=""/>
      <w:lvlJc w:val="left"/>
    </w:lvl>
    <w:lvl w:ilvl="8" w:tplc="0C09001B">
      <w:numFmt w:val="decimal"/>
      <w:lvlText w:val=""/>
      <w:lvlJc w:val="left"/>
    </w:lvl>
  </w:abstractNum>
  <w:abstractNum w:abstractNumId="43" w15:restartNumberingAfterBreak="0">
    <w:nsid w:val="5C32271C"/>
    <w:multiLevelType w:val="hybridMultilevel"/>
    <w:tmpl w:val="1A7EA33C"/>
    <w:lvl w:ilvl="0" w:tplc="B680DF24">
      <w:start w:val="1"/>
      <w:numFmt w:val="decimal"/>
      <w:lvlText w:val="%1."/>
      <w:lvlJc w:val="left"/>
      <w:pPr>
        <w:ind w:left="720" w:hanging="360"/>
      </w:pPr>
    </w:lvl>
    <w:lvl w:ilvl="1" w:tplc="F09AC464">
      <w:start w:val="1"/>
      <w:numFmt w:val="decimal"/>
      <w:lvlText w:val="%2."/>
      <w:lvlJc w:val="left"/>
      <w:pPr>
        <w:ind w:left="720" w:hanging="360"/>
      </w:pPr>
    </w:lvl>
    <w:lvl w:ilvl="2" w:tplc="D4E63C40">
      <w:start w:val="1"/>
      <w:numFmt w:val="decimal"/>
      <w:lvlText w:val="%3."/>
      <w:lvlJc w:val="left"/>
      <w:pPr>
        <w:ind w:left="720" w:hanging="360"/>
      </w:pPr>
    </w:lvl>
    <w:lvl w:ilvl="3" w:tplc="CCD830E2">
      <w:start w:val="1"/>
      <w:numFmt w:val="decimal"/>
      <w:lvlText w:val="%4."/>
      <w:lvlJc w:val="left"/>
      <w:pPr>
        <w:ind w:left="720" w:hanging="360"/>
      </w:pPr>
    </w:lvl>
    <w:lvl w:ilvl="4" w:tplc="92E0042A">
      <w:start w:val="1"/>
      <w:numFmt w:val="decimal"/>
      <w:lvlText w:val="%5."/>
      <w:lvlJc w:val="left"/>
      <w:pPr>
        <w:ind w:left="720" w:hanging="360"/>
      </w:pPr>
    </w:lvl>
    <w:lvl w:ilvl="5" w:tplc="0CA20F2A">
      <w:start w:val="1"/>
      <w:numFmt w:val="decimal"/>
      <w:lvlText w:val="%6."/>
      <w:lvlJc w:val="left"/>
      <w:pPr>
        <w:ind w:left="720" w:hanging="360"/>
      </w:pPr>
    </w:lvl>
    <w:lvl w:ilvl="6" w:tplc="267A7438">
      <w:start w:val="1"/>
      <w:numFmt w:val="decimal"/>
      <w:lvlText w:val="%7."/>
      <w:lvlJc w:val="left"/>
      <w:pPr>
        <w:ind w:left="720" w:hanging="360"/>
      </w:pPr>
    </w:lvl>
    <w:lvl w:ilvl="7" w:tplc="E2BE4808">
      <w:start w:val="1"/>
      <w:numFmt w:val="decimal"/>
      <w:lvlText w:val="%8."/>
      <w:lvlJc w:val="left"/>
      <w:pPr>
        <w:ind w:left="720" w:hanging="360"/>
      </w:pPr>
    </w:lvl>
    <w:lvl w:ilvl="8" w:tplc="E04EC3F2">
      <w:start w:val="1"/>
      <w:numFmt w:val="decimal"/>
      <w:lvlText w:val="%9."/>
      <w:lvlJc w:val="left"/>
      <w:pPr>
        <w:ind w:left="720" w:hanging="360"/>
      </w:pPr>
    </w:lvl>
  </w:abstractNum>
  <w:abstractNum w:abstractNumId="44" w15:restartNumberingAfterBreak="0">
    <w:nsid w:val="5DCA6678"/>
    <w:multiLevelType w:val="hybridMultilevel"/>
    <w:tmpl w:val="9ADA4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FBD25B0"/>
    <w:multiLevelType w:val="hybridMultilevel"/>
    <w:tmpl w:val="1D4A179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2146687"/>
    <w:multiLevelType w:val="hybridMultilevel"/>
    <w:tmpl w:val="166692FE"/>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33A042B"/>
    <w:multiLevelType w:val="hybridMultilevel"/>
    <w:tmpl w:val="4BEE78A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8" w15:restartNumberingAfterBreak="0">
    <w:nsid w:val="63E64460"/>
    <w:multiLevelType w:val="hybridMultilevel"/>
    <w:tmpl w:val="C5E0C66C"/>
    <w:lvl w:ilvl="0" w:tplc="92BA4FFA">
      <w:start w:val="1"/>
      <w:numFmt w:val="bullet"/>
      <w:lvlText w:val=""/>
      <w:lvlJc w:val="left"/>
      <w:pPr>
        <w:ind w:left="720" w:hanging="360"/>
      </w:pPr>
      <w:rPr>
        <w:rFonts w:ascii="Symbol" w:hAnsi="Symbol"/>
      </w:rPr>
    </w:lvl>
    <w:lvl w:ilvl="1" w:tplc="C3A8B9E0">
      <w:start w:val="1"/>
      <w:numFmt w:val="bullet"/>
      <w:lvlText w:val=""/>
      <w:lvlJc w:val="left"/>
      <w:pPr>
        <w:ind w:left="720" w:hanging="360"/>
      </w:pPr>
      <w:rPr>
        <w:rFonts w:ascii="Symbol" w:hAnsi="Symbol"/>
      </w:rPr>
    </w:lvl>
    <w:lvl w:ilvl="2" w:tplc="440C0D06">
      <w:start w:val="1"/>
      <w:numFmt w:val="bullet"/>
      <w:lvlText w:val=""/>
      <w:lvlJc w:val="left"/>
      <w:pPr>
        <w:ind w:left="720" w:hanging="360"/>
      </w:pPr>
      <w:rPr>
        <w:rFonts w:ascii="Symbol" w:hAnsi="Symbol"/>
      </w:rPr>
    </w:lvl>
    <w:lvl w:ilvl="3" w:tplc="1460199C">
      <w:start w:val="1"/>
      <w:numFmt w:val="bullet"/>
      <w:lvlText w:val=""/>
      <w:lvlJc w:val="left"/>
      <w:pPr>
        <w:ind w:left="720" w:hanging="360"/>
      </w:pPr>
      <w:rPr>
        <w:rFonts w:ascii="Symbol" w:hAnsi="Symbol"/>
      </w:rPr>
    </w:lvl>
    <w:lvl w:ilvl="4" w:tplc="EDCC31FC">
      <w:start w:val="1"/>
      <w:numFmt w:val="bullet"/>
      <w:lvlText w:val=""/>
      <w:lvlJc w:val="left"/>
      <w:pPr>
        <w:ind w:left="720" w:hanging="360"/>
      </w:pPr>
      <w:rPr>
        <w:rFonts w:ascii="Symbol" w:hAnsi="Symbol"/>
      </w:rPr>
    </w:lvl>
    <w:lvl w:ilvl="5" w:tplc="0C6A7C8A">
      <w:start w:val="1"/>
      <w:numFmt w:val="bullet"/>
      <w:lvlText w:val=""/>
      <w:lvlJc w:val="left"/>
      <w:pPr>
        <w:ind w:left="720" w:hanging="360"/>
      </w:pPr>
      <w:rPr>
        <w:rFonts w:ascii="Symbol" w:hAnsi="Symbol"/>
      </w:rPr>
    </w:lvl>
    <w:lvl w:ilvl="6" w:tplc="53AC792C">
      <w:start w:val="1"/>
      <w:numFmt w:val="bullet"/>
      <w:lvlText w:val=""/>
      <w:lvlJc w:val="left"/>
      <w:pPr>
        <w:ind w:left="720" w:hanging="360"/>
      </w:pPr>
      <w:rPr>
        <w:rFonts w:ascii="Symbol" w:hAnsi="Symbol"/>
      </w:rPr>
    </w:lvl>
    <w:lvl w:ilvl="7" w:tplc="0D6EBA98">
      <w:start w:val="1"/>
      <w:numFmt w:val="bullet"/>
      <w:lvlText w:val=""/>
      <w:lvlJc w:val="left"/>
      <w:pPr>
        <w:ind w:left="720" w:hanging="360"/>
      </w:pPr>
      <w:rPr>
        <w:rFonts w:ascii="Symbol" w:hAnsi="Symbol"/>
      </w:rPr>
    </w:lvl>
    <w:lvl w:ilvl="8" w:tplc="C908ABEE">
      <w:start w:val="1"/>
      <w:numFmt w:val="bullet"/>
      <w:lvlText w:val=""/>
      <w:lvlJc w:val="left"/>
      <w:pPr>
        <w:ind w:left="720" w:hanging="360"/>
      </w:pPr>
      <w:rPr>
        <w:rFonts w:ascii="Symbol" w:hAnsi="Symbol"/>
      </w:rPr>
    </w:lvl>
  </w:abstractNum>
  <w:abstractNum w:abstractNumId="49" w15:restartNumberingAfterBreak="0">
    <w:nsid w:val="653B62F3"/>
    <w:multiLevelType w:val="hybridMultilevel"/>
    <w:tmpl w:val="7CEAC398"/>
    <w:lvl w:ilvl="0" w:tplc="366A0E96">
      <w:start w:val="2"/>
      <w:numFmt w:val="bullet"/>
      <w:lvlText w:val=""/>
      <w:lvlJc w:val="left"/>
      <w:pPr>
        <w:ind w:left="720" w:hanging="360"/>
      </w:pPr>
      <w:rPr>
        <w:rFonts w:ascii="Symbol" w:eastAsia="Montserrat" w:hAnsi="Symbol"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6B275FB"/>
    <w:multiLevelType w:val="hybridMultilevel"/>
    <w:tmpl w:val="E5184C3E"/>
    <w:lvl w:ilvl="0" w:tplc="EFA04D80">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80A0810"/>
    <w:multiLevelType w:val="hybridMultilevel"/>
    <w:tmpl w:val="5C5462B8"/>
    <w:lvl w:ilvl="0" w:tplc="7638E42E">
      <w:numFmt w:val="bullet"/>
      <w:lvlText w:val="•"/>
      <w:lvlJc w:val="left"/>
      <w:pPr>
        <w:ind w:left="765" w:hanging="405"/>
      </w:pPr>
      <w:rPr>
        <w:rFonts w:ascii="Montserrat" w:eastAsia="Calibri"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8BA6847"/>
    <w:multiLevelType w:val="hybridMultilevel"/>
    <w:tmpl w:val="6340FB72"/>
    <w:lvl w:ilvl="0" w:tplc="475ADB98">
      <w:start w:val="5"/>
      <w:numFmt w:val="bullet"/>
      <w:lvlText w:val="-"/>
      <w:lvlJc w:val="left"/>
      <w:pPr>
        <w:ind w:left="720" w:hanging="360"/>
      </w:pPr>
      <w:rPr>
        <w:rFonts w:ascii="Montserrat" w:eastAsia="Montserrat" w:hAnsi="Montserrat" w:cs="Montserra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A522C11"/>
    <w:multiLevelType w:val="hybridMultilevel"/>
    <w:tmpl w:val="665E84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6BC3675A"/>
    <w:multiLevelType w:val="multilevel"/>
    <w:tmpl w:val="BD2CFBB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862" w:hanging="862"/>
      </w:pPr>
      <w:rPr>
        <w:rFonts w:hint="default"/>
        <w:b w:val="0"/>
        <w:bCs w:val="0"/>
      </w:rPr>
    </w:lvl>
    <w:lvl w:ilvl="3">
      <w:start w:val="1"/>
      <w:numFmt w:val="decimal"/>
      <w:pStyle w:val="Heading4"/>
      <w:lvlText w:val="%1.%2.%3.%4"/>
      <w:lvlJc w:val="left"/>
      <w:pPr>
        <w:ind w:left="1009" w:hanging="1009"/>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5" w15:restartNumberingAfterBreak="0">
    <w:nsid w:val="701D66D9"/>
    <w:multiLevelType w:val="hybridMultilevel"/>
    <w:tmpl w:val="A17EEB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0C16416"/>
    <w:multiLevelType w:val="hybridMultilevel"/>
    <w:tmpl w:val="F566ED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1144BC3"/>
    <w:multiLevelType w:val="hybridMultilevel"/>
    <w:tmpl w:val="861A0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1BA32BD"/>
    <w:multiLevelType w:val="hybridMultilevel"/>
    <w:tmpl w:val="617C4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73AD74BD"/>
    <w:multiLevelType w:val="hybridMultilevel"/>
    <w:tmpl w:val="A7BC4A5E"/>
    <w:lvl w:ilvl="0" w:tplc="5EE850DE">
      <w:start w:val="207"/>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4F64517"/>
    <w:multiLevelType w:val="hybridMultilevel"/>
    <w:tmpl w:val="A9F6E8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1" w15:restartNumberingAfterBreak="0">
    <w:nsid w:val="79A615C3"/>
    <w:multiLevelType w:val="hybridMultilevel"/>
    <w:tmpl w:val="FF307DA4"/>
    <w:lvl w:ilvl="0" w:tplc="9294A8E0">
      <w:start w:val="6"/>
      <w:numFmt w:val="bullet"/>
      <w:lvlText w:val="-"/>
      <w:lvlJc w:val="left"/>
      <w:pPr>
        <w:ind w:left="720" w:hanging="360"/>
      </w:pPr>
      <w:rPr>
        <w:rFonts w:ascii="Montserrat" w:eastAsia="Montserrat" w:hAnsi="Montserrat"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A170F95"/>
    <w:multiLevelType w:val="hybridMultilevel"/>
    <w:tmpl w:val="0EBE11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D226458"/>
    <w:multiLevelType w:val="hybridMultilevel"/>
    <w:tmpl w:val="5E6A88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7DB67C63"/>
    <w:multiLevelType w:val="hybridMultilevel"/>
    <w:tmpl w:val="9F04F412"/>
    <w:lvl w:ilvl="0" w:tplc="F8DA7096">
      <w:start w:val="1"/>
      <w:numFmt w:val="bullet"/>
      <w:pStyle w:val="IntenseQuote"/>
      <w:lvlText w:val="-"/>
      <w:lvlJc w:val="left"/>
      <w:pPr>
        <w:ind w:left="786"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DF26E65"/>
    <w:multiLevelType w:val="hybridMultilevel"/>
    <w:tmpl w:val="B5F64DBE"/>
    <w:lvl w:ilvl="0" w:tplc="D3D646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7E5E3DB4"/>
    <w:multiLevelType w:val="hybridMultilevel"/>
    <w:tmpl w:val="DF1484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F941D16"/>
    <w:multiLevelType w:val="hybridMultilevel"/>
    <w:tmpl w:val="2F367248"/>
    <w:lvl w:ilvl="0" w:tplc="F286A7D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46897144">
    <w:abstractNumId w:val="9"/>
  </w:num>
  <w:num w:numId="2" w16cid:durableId="268703532">
    <w:abstractNumId w:val="40"/>
  </w:num>
  <w:num w:numId="3" w16cid:durableId="165217141">
    <w:abstractNumId w:val="13"/>
  </w:num>
  <w:num w:numId="4" w16cid:durableId="284360731">
    <w:abstractNumId w:val="64"/>
  </w:num>
  <w:num w:numId="5" w16cid:durableId="505553613">
    <w:abstractNumId w:val="3"/>
  </w:num>
  <w:num w:numId="6" w16cid:durableId="693924251">
    <w:abstractNumId w:val="42"/>
  </w:num>
  <w:num w:numId="7" w16cid:durableId="1127165954">
    <w:abstractNumId w:val="54"/>
  </w:num>
  <w:num w:numId="8" w16cid:durableId="394620159">
    <w:abstractNumId w:val="36"/>
  </w:num>
  <w:num w:numId="9" w16cid:durableId="1227642270">
    <w:abstractNumId w:val="38"/>
  </w:num>
  <w:num w:numId="10" w16cid:durableId="944457911">
    <w:abstractNumId w:val="35"/>
  </w:num>
  <w:num w:numId="11" w16cid:durableId="371268480">
    <w:abstractNumId w:val="15"/>
  </w:num>
  <w:num w:numId="12" w16cid:durableId="2122408402">
    <w:abstractNumId w:val="8"/>
    <w:lvlOverride w:ilvl="0">
      <w:startOverride w:val="1"/>
    </w:lvlOverride>
  </w:num>
  <w:num w:numId="13" w16cid:durableId="1484541582">
    <w:abstractNumId w:val="8"/>
    <w:lvlOverride w:ilvl="0">
      <w:startOverride w:val="1"/>
    </w:lvlOverride>
  </w:num>
  <w:num w:numId="14" w16cid:durableId="1282541123">
    <w:abstractNumId w:val="43"/>
  </w:num>
  <w:num w:numId="15" w16cid:durableId="988940156">
    <w:abstractNumId w:val="48"/>
  </w:num>
  <w:num w:numId="16" w16cid:durableId="477183672">
    <w:abstractNumId w:val="21"/>
  </w:num>
  <w:num w:numId="17" w16cid:durableId="2114127864">
    <w:abstractNumId w:val="5"/>
  </w:num>
  <w:num w:numId="18" w16cid:durableId="104155674">
    <w:abstractNumId w:val="22"/>
  </w:num>
  <w:num w:numId="19" w16cid:durableId="331180230">
    <w:abstractNumId w:val="32"/>
  </w:num>
  <w:num w:numId="20" w16cid:durableId="1829394855">
    <w:abstractNumId w:val="31"/>
  </w:num>
  <w:num w:numId="21" w16cid:durableId="1380013917">
    <w:abstractNumId w:val="26"/>
  </w:num>
  <w:num w:numId="22" w16cid:durableId="1489861642">
    <w:abstractNumId w:val="23"/>
  </w:num>
  <w:num w:numId="23" w16cid:durableId="895815855">
    <w:abstractNumId w:val="67"/>
  </w:num>
  <w:num w:numId="24" w16cid:durableId="390928870">
    <w:abstractNumId w:val="6"/>
  </w:num>
  <w:num w:numId="25" w16cid:durableId="832719620">
    <w:abstractNumId w:val="19"/>
  </w:num>
  <w:num w:numId="26" w16cid:durableId="1422531049">
    <w:abstractNumId w:val="4"/>
  </w:num>
  <w:num w:numId="27" w16cid:durableId="215972233">
    <w:abstractNumId w:val="16"/>
  </w:num>
  <w:num w:numId="28" w16cid:durableId="1590236562">
    <w:abstractNumId w:val="44"/>
  </w:num>
  <w:num w:numId="29" w16cid:durableId="1983774955">
    <w:abstractNumId w:val="57"/>
  </w:num>
  <w:num w:numId="30" w16cid:durableId="1797600605">
    <w:abstractNumId w:val="66"/>
  </w:num>
  <w:num w:numId="31" w16cid:durableId="575095352">
    <w:abstractNumId w:val="49"/>
  </w:num>
  <w:num w:numId="32" w16cid:durableId="1162430401">
    <w:abstractNumId w:val="30"/>
  </w:num>
  <w:num w:numId="33" w16cid:durableId="1275558465">
    <w:abstractNumId w:val="27"/>
  </w:num>
  <w:num w:numId="34" w16cid:durableId="1150361562">
    <w:abstractNumId w:val="50"/>
  </w:num>
  <w:num w:numId="35" w16cid:durableId="1429353541">
    <w:abstractNumId w:val="46"/>
  </w:num>
  <w:num w:numId="36" w16cid:durableId="886911076">
    <w:abstractNumId w:val="41"/>
  </w:num>
  <w:num w:numId="37" w16cid:durableId="544565611">
    <w:abstractNumId w:val="28"/>
  </w:num>
  <w:num w:numId="38" w16cid:durableId="2019847543">
    <w:abstractNumId w:val="0"/>
  </w:num>
  <w:num w:numId="39" w16cid:durableId="622927819">
    <w:abstractNumId w:val="29"/>
  </w:num>
  <w:num w:numId="40" w16cid:durableId="1121655194">
    <w:abstractNumId w:val="10"/>
  </w:num>
  <w:num w:numId="41" w16cid:durableId="87623885">
    <w:abstractNumId w:val="12"/>
  </w:num>
  <w:num w:numId="42" w16cid:durableId="1187253660">
    <w:abstractNumId w:val="65"/>
  </w:num>
  <w:num w:numId="43" w16cid:durableId="1657958077">
    <w:abstractNumId w:val="56"/>
  </w:num>
  <w:num w:numId="44" w16cid:durableId="254024225">
    <w:abstractNumId w:val="63"/>
  </w:num>
  <w:num w:numId="45" w16cid:durableId="367075021">
    <w:abstractNumId w:val="14"/>
  </w:num>
  <w:num w:numId="46" w16cid:durableId="2117551937">
    <w:abstractNumId w:val="17"/>
  </w:num>
  <w:num w:numId="47" w16cid:durableId="201358556">
    <w:abstractNumId w:val="2"/>
  </w:num>
  <w:num w:numId="48" w16cid:durableId="220405188">
    <w:abstractNumId w:val="55"/>
  </w:num>
  <w:num w:numId="49" w16cid:durableId="116725994">
    <w:abstractNumId w:val="62"/>
  </w:num>
  <w:num w:numId="50" w16cid:durableId="688336357">
    <w:abstractNumId w:val="53"/>
  </w:num>
  <w:num w:numId="51" w16cid:durableId="412825551">
    <w:abstractNumId w:val="18"/>
  </w:num>
  <w:num w:numId="52" w16cid:durableId="934510219">
    <w:abstractNumId w:val="45"/>
  </w:num>
  <w:num w:numId="53" w16cid:durableId="1013995869">
    <w:abstractNumId w:val="34"/>
  </w:num>
  <w:num w:numId="54" w16cid:durableId="1930498550">
    <w:abstractNumId w:val="59"/>
  </w:num>
  <w:num w:numId="55" w16cid:durableId="2115005784">
    <w:abstractNumId w:val="1"/>
  </w:num>
  <w:num w:numId="56" w16cid:durableId="1410928295">
    <w:abstractNumId w:val="33"/>
  </w:num>
  <w:num w:numId="57" w16cid:durableId="451290926">
    <w:abstractNumId w:val="7"/>
  </w:num>
  <w:num w:numId="58" w16cid:durableId="1020353214">
    <w:abstractNumId w:val="11"/>
  </w:num>
  <w:num w:numId="59" w16cid:durableId="2027443435">
    <w:abstractNumId w:val="20"/>
  </w:num>
  <w:num w:numId="60" w16cid:durableId="1946187611">
    <w:abstractNumId w:val="52"/>
  </w:num>
  <w:num w:numId="61" w16cid:durableId="2127892724">
    <w:abstractNumId w:val="25"/>
  </w:num>
  <w:num w:numId="62" w16cid:durableId="111940754">
    <w:abstractNumId w:val="61"/>
  </w:num>
  <w:num w:numId="63" w16cid:durableId="1441101262">
    <w:abstractNumId w:val="39"/>
  </w:num>
  <w:num w:numId="64" w16cid:durableId="652951685">
    <w:abstractNumId w:val="47"/>
  </w:num>
  <w:num w:numId="65" w16cid:durableId="1523082644">
    <w:abstractNumId w:val="51"/>
  </w:num>
  <w:num w:numId="66" w16cid:durableId="332152704">
    <w:abstractNumId w:val="37"/>
  </w:num>
  <w:num w:numId="67" w16cid:durableId="1321349571">
    <w:abstractNumId w:val="24"/>
  </w:num>
  <w:num w:numId="68" w16cid:durableId="1667897875">
    <w:abstractNumId w:val="58"/>
  </w:num>
  <w:num w:numId="69" w16cid:durableId="431126808">
    <w:abstractNumId w:val="60"/>
  </w:num>
  <w:num w:numId="70" w16cid:durableId="2062710522">
    <w:abstractNumId w:val="8"/>
  </w:num>
  <w:num w:numId="71" w16cid:durableId="2091729015">
    <w:abstractNumId w:val="8"/>
    <w:lvlOverride w:ilvl="0">
      <w:startOverride w:val="1"/>
    </w:lvlOverride>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83"/>
  <w:embedTrueTypeFonts/>
  <w:proofState w:spelling="clean" w:grammar="clean"/>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08"/>
  <w:hyphenationZone w:val="425"/>
  <w:drawingGridHorizontalSpacing w:val="110"/>
  <w:drawingGridVerticalSpacing w:val="299"/>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zG0MDK2sDADQmMLAyUdpeDU4uLM/DyQAsNaABMlBuEsAAAA"/>
    <w:docVar w:name="EN.InstantFormat" w:val="&lt;ENInstantFormat&gt;&lt;Enabled&gt;0&lt;/Enabled&gt;&lt;ScanUnformatted&gt;1&lt;/ScanUnformatted&gt;&lt;ScanChanges&gt;1&lt;/ScanChanges&gt;&lt;Suspended&gt;0&lt;/Suspended&gt;&lt;/ENInstantFormat&gt;"/>
    <w:docVar w:name="EN.Layout" w:val="&lt;ENLayout&gt;&lt;Style&gt;Vancouver&lt;/Style&gt;&lt;LeftDelim&gt;{&lt;/LeftDelim&gt;&lt;RightDelim&gt;}&lt;/RightDelim&gt;&lt;FontName&gt;Montserrat&lt;/FontName&gt;&lt;FontSize&gt;9&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5prptatr9sp0we5exbxt9zz20fwp55tdza9&quot;&gt;NHM23-Eval report&lt;record-ids&gt;&lt;item&gt;1&lt;/item&gt;&lt;item&gt;4&lt;/item&gt;&lt;item&gt;5&lt;/item&gt;&lt;item&gt;6&lt;/item&gt;&lt;item&gt;7&lt;/item&gt;&lt;item&gt;8&lt;/item&gt;&lt;item&gt;9&lt;/item&gt;&lt;item&gt;10&lt;/item&gt;&lt;item&gt;11&lt;/item&gt;&lt;item&gt;12&lt;/item&gt;&lt;item&gt;13&lt;/item&gt;&lt;item&gt;15&lt;/item&gt;&lt;item&gt;16&lt;/item&gt;&lt;item&gt;17&lt;/item&gt;&lt;item&gt;18&lt;/item&gt;&lt;item&gt;20&lt;/item&gt;&lt;item&gt;21&lt;/item&gt;&lt;item&gt;22&lt;/item&gt;&lt;item&gt;24&lt;/item&gt;&lt;item&gt;25&lt;/item&gt;&lt;item&gt;26&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4&lt;/item&gt;&lt;item&gt;55&lt;/item&gt;&lt;item&gt;88&lt;/item&gt;&lt;item&gt;89&lt;/item&gt;&lt;item&gt;90&lt;/item&gt;&lt;item&gt;91&lt;/item&gt;&lt;item&gt;92&lt;/item&gt;&lt;item&gt;99&lt;/item&gt;&lt;item&gt;100&lt;/item&gt;&lt;item&gt;101&lt;/item&gt;&lt;item&gt;102&lt;/item&gt;&lt;item&gt;103&lt;/item&gt;&lt;item&gt;104&lt;/item&gt;&lt;item&gt;106&lt;/item&gt;&lt;item&gt;108&lt;/item&gt;&lt;item&gt;109&lt;/item&gt;&lt;item&gt;118&lt;/item&gt;&lt;item&gt;119&lt;/item&gt;&lt;item&gt;120&lt;/item&gt;&lt;item&gt;121&lt;/item&gt;&lt;item&gt;122&lt;/item&gt;&lt;item&gt;124&lt;/item&gt;&lt;item&gt;126&lt;/item&gt;&lt;item&gt;127&lt;/item&gt;&lt;item&gt;128&lt;/item&gt;&lt;item&gt;129&lt;/item&gt;&lt;item&gt;130&lt;/item&gt;&lt;item&gt;131&lt;/item&gt;&lt;item&gt;133&lt;/item&gt;&lt;item&gt;134&lt;/item&gt;&lt;item&gt;136&lt;/item&gt;&lt;item&gt;138&lt;/item&gt;&lt;item&gt;142&lt;/item&gt;&lt;item&gt;143&lt;/item&gt;&lt;item&gt;144&lt;/item&gt;&lt;item&gt;147&lt;/item&gt;&lt;item&gt;148&lt;/item&gt;&lt;item&gt;149&lt;/item&gt;&lt;item&gt;151&lt;/item&gt;&lt;item&gt;152&lt;/item&gt;&lt;item&gt;153&lt;/item&gt;&lt;item&gt;154&lt;/item&gt;&lt;item&gt;155&lt;/item&gt;&lt;item&gt;156&lt;/item&gt;&lt;item&gt;158&lt;/item&gt;&lt;item&gt;165&lt;/item&gt;&lt;item&gt;321&lt;/item&gt;&lt;item&gt;322&lt;/item&gt;&lt;item&gt;324&lt;/item&gt;&lt;item&gt;325&lt;/item&gt;&lt;item&gt;326&lt;/item&gt;&lt;item&gt;327&lt;/item&gt;&lt;item&gt;328&lt;/item&gt;&lt;item&gt;336&lt;/item&gt;&lt;item&gt;337&lt;/item&gt;&lt;item&gt;341&lt;/item&gt;&lt;item&gt;344&lt;/item&gt;&lt;item&gt;345&lt;/item&gt;&lt;item&gt;346&lt;/item&gt;&lt;item&gt;347&lt;/item&gt;&lt;item&gt;348&lt;/item&gt;&lt;item&gt;349&lt;/item&gt;&lt;item&gt;350&lt;/item&gt;&lt;item&gt;351&lt;/item&gt;&lt;item&gt;352&lt;/item&gt;&lt;item&gt;355&lt;/item&gt;&lt;item&gt;356&lt;/item&gt;&lt;item&gt;357&lt;/item&gt;&lt;item&gt;358&lt;/item&gt;&lt;item&gt;359&lt;/item&gt;&lt;item&gt;361&lt;/item&gt;&lt;item&gt;362&lt;/item&gt;&lt;item&gt;364&lt;/item&gt;&lt;item&gt;365&lt;/item&gt;&lt;item&gt;368&lt;/item&gt;&lt;item&gt;369&lt;/item&gt;&lt;item&gt;370&lt;/item&gt;&lt;item&gt;371&lt;/item&gt;&lt;item&gt;373&lt;/item&gt;&lt;item&gt;375&lt;/item&gt;&lt;item&gt;376&lt;/item&gt;&lt;item&gt;377&lt;/item&gt;&lt;item&gt;378&lt;/item&gt;&lt;item&gt;379&lt;/item&gt;&lt;item&gt;380&lt;/item&gt;&lt;item&gt;381&lt;/item&gt;&lt;item&gt;382&lt;/item&gt;&lt;item&gt;385&lt;/item&gt;&lt;item&gt;386&lt;/item&gt;&lt;item&gt;387&lt;/item&gt;&lt;item&gt;388&lt;/item&gt;&lt;item&gt;389&lt;/item&gt;&lt;item&gt;390&lt;/item&gt;&lt;item&gt;391&lt;/item&gt;&lt;item&gt;392&lt;/item&gt;&lt;item&gt;394&lt;/item&gt;&lt;item&gt;398&lt;/item&gt;&lt;item&gt;399&lt;/item&gt;&lt;item&gt;401&lt;/item&gt;&lt;item&gt;402&lt;/item&gt;&lt;item&gt;406&lt;/item&gt;&lt;item&gt;408&lt;/item&gt;&lt;item&gt;409&lt;/item&gt;&lt;item&gt;410&lt;/item&gt;&lt;item&gt;411&lt;/item&gt;&lt;item&gt;412&lt;/item&gt;&lt;item&gt;413&lt;/item&gt;&lt;item&gt;415&lt;/item&gt;&lt;item&gt;416&lt;/item&gt;&lt;item&gt;417&lt;/item&gt;&lt;item&gt;423&lt;/item&gt;&lt;item&gt;424&lt;/item&gt;&lt;item&gt;425&lt;/item&gt;&lt;item&gt;426&lt;/item&gt;&lt;item&gt;429&lt;/item&gt;&lt;item&gt;430&lt;/item&gt;&lt;item&gt;433&lt;/item&gt;&lt;item&gt;434&lt;/item&gt;&lt;item&gt;437&lt;/item&gt;&lt;item&gt;438&lt;/item&gt;&lt;item&gt;439&lt;/item&gt;&lt;item&gt;440&lt;/item&gt;&lt;item&gt;441&lt;/item&gt;&lt;item&gt;442&lt;/item&gt;&lt;item&gt;443&lt;/item&gt;&lt;item&gt;444&lt;/item&gt;&lt;item&gt;445&lt;/item&gt;&lt;item&gt;447&lt;/item&gt;&lt;item&gt;450&lt;/item&gt;&lt;item&gt;452&lt;/item&gt;&lt;item&gt;454&lt;/item&gt;&lt;item&gt;455&lt;/item&gt;&lt;item&gt;456&lt;/item&gt;&lt;item&gt;457&lt;/item&gt;&lt;item&gt;458&lt;/item&gt;&lt;item&gt;460&lt;/item&gt;&lt;item&gt;461&lt;/item&gt;&lt;item&gt;462&lt;/item&gt;&lt;item&gt;463&lt;/item&gt;&lt;item&gt;465&lt;/item&gt;&lt;item&gt;466&lt;/item&gt;&lt;item&gt;467&lt;/item&gt;&lt;item&gt;468&lt;/item&gt;&lt;item&gt;469&lt;/item&gt;&lt;item&gt;470&lt;/item&gt;&lt;item&gt;471&lt;/item&gt;&lt;item&gt;473&lt;/item&gt;&lt;item&gt;474&lt;/item&gt;&lt;item&gt;476&lt;/item&gt;&lt;item&gt;477&lt;/item&gt;&lt;item&gt;478&lt;/item&gt;&lt;item&gt;480&lt;/item&gt;&lt;item&gt;481&lt;/item&gt;&lt;item&gt;483&lt;/item&gt;&lt;item&gt;484&lt;/item&gt;&lt;item&gt;485&lt;/item&gt;&lt;item&gt;486&lt;/item&gt;&lt;item&gt;487&lt;/item&gt;&lt;item&gt;490&lt;/item&gt;&lt;item&gt;491&lt;/item&gt;&lt;item&gt;492&lt;/item&gt;&lt;item&gt;493&lt;/item&gt;&lt;item&gt;494&lt;/item&gt;&lt;item&gt;495&lt;/item&gt;&lt;item&gt;496&lt;/item&gt;&lt;item&gt;499&lt;/item&gt;&lt;item&gt;503&lt;/item&gt;&lt;item&gt;504&lt;/item&gt;&lt;item&gt;505&lt;/item&gt;&lt;item&gt;506&lt;/item&gt;&lt;item&gt;507&lt;/item&gt;&lt;item&gt;508&lt;/item&gt;&lt;item&gt;509&lt;/item&gt;&lt;item&gt;510&lt;/item&gt;&lt;item&gt;511&lt;/item&gt;&lt;item&gt;512&lt;/item&gt;&lt;item&gt;514&lt;/item&gt;&lt;item&gt;516&lt;/item&gt;&lt;item&gt;517&lt;/item&gt;&lt;item&gt;518&lt;/item&gt;&lt;item&gt;520&lt;/item&gt;&lt;item&gt;521&lt;/item&gt;&lt;item&gt;522&lt;/item&gt;&lt;item&gt;523&lt;/item&gt;&lt;item&gt;524&lt;/item&gt;&lt;item&gt;525&lt;/item&gt;&lt;item&gt;526&lt;/item&gt;&lt;item&gt;527&lt;/item&gt;&lt;item&gt;528&lt;/item&gt;&lt;item&gt;529&lt;/item&gt;&lt;item&gt;530&lt;/item&gt;&lt;item&gt;532&lt;/item&gt;&lt;item&gt;533&lt;/item&gt;&lt;item&gt;534&lt;/item&gt;&lt;item&gt;535&lt;/item&gt;&lt;item&gt;536&lt;/item&gt;&lt;item&gt;537&lt;/item&gt;&lt;item&gt;539&lt;/item&gt;&lt;item&gt;540&lt;/item&gt;&lt;item&gt;541&lt;/item&gt;&lt;item&gt;542&lt;/item&gt;&lt;item&gt;543&lt;/item&gt;&lt;item&gt;544&lt;/item&gt;&lt;item&gt;545&lt;/item&gt;&lt;item&gt;546&lt;/item&gt;&lt;item&gt;547&lt;/item&gt;&lt;item&gt;548&lt;/item&gt;&lt;item&gt;549&lt;/item&gt;&lt;item&gt;550&lt;/item&gt;&lt;item&gt;551&lt;/item&gt;&lt;item&gt;552&lt;/item&gt;&lt;item&gt;554&lt;/item&gt;&lt;item&gt;555&lt;/item&gt;&lt;item&gt;558&lt;/item&gt;&lt;item&gt;559&lt;/item&gt;&lt;item&gt;561&lt;/item&gt;&lt;item&gt;562&lt;/item&gt;&lt;item&gt;563&lt;/item&gt;&lt;item&gt;564&lt;/item&gt;&lt;item&gt;565&lt;/item&gt;&lt;item&gt;566&lt;/item&gt;&lt;item&gt;567&lt;/item&gt;&lt;item&gt;568&lt;/item&gt;&lt;item&gt;569&lt;/item&gt;&lt;item&gt;570&lt;/item&gt;&lt;item&gt;571&lt;/item&gt;&lt;item&gt;572&lt;/item&gt;&lt;item&gt;573&lt;/item&gt;&lt;item&gt;574&lt;/item&gt;&lt;item&gt;575&lt;/item&gt;&lt;item&gt;576&lt;/item&gt;&lt;item&gt;577&lt;/item&gt;&lt;item&gt;578&lt;/item&gt;&lt;item&gt;579&lt;/item&gt;&lt;item&gt;580&lt;/item&gt;&lt;item&gt;582&lt;/item&gt;&lt;item&gt;583&lt;/item&gt;&lt;item&gt;584&lt;/item&gt;&lt;item&gt;585&lt;/item&gt;&lt;item&gt;586&lt;/item&gt;&lt;item&gt;587&lt;/item&gt;&lt;item&gt;588&lt;/item&gt;&lt;item&gt;589&lt;/item&gt;&lt;item&gt;590&lt;/item&gt;&lt;item&gt;595&lt;/item&gt;&lt;item&gt;596&lt;/item&gt;&lt;item&gt;597&lt;/item&gt;&lt;item&gt;599&lt;/item&gt;&lt;item&gt;600&lt;/item&gt;&lt;item&gt;601&lt;/item&gt;&lt;item&gt;602&lt;/item&gt;&lt;item&gt;603&lt;/item&gt;&lt;item&gt;604&lt;/item&gt;&lt;item&gt;605&lt;/item&gt;&lt;item&gt;607&lt;/item&gt;&lt;item&gt;608&lt;/item&gt;&lt;item&gt;609&lt;/item&gt;&lt;item&gt;610&lt;/item&gt;&lt;item&gt;611&lt;/item&gt;&lt;item&gt;613&lt;/item&gt;&lt;item&gt;615&lt;/item&gt;&lt;item&gt;616&lt;/item&gt;&lt;item&gt;624&lt;/item&gt;&lt;item&gt;632&lt;/item&gt;&lt;item&gt;633&lt;/item&gt;&lt;item&gt;634&lt;/item&gt;&lt;item&gt;640&lt;/item&gt;&lt;item&gt;641&lt;/item&gt;&lt;item&gt;642&lt;/item&gt;&lt;item&gt;643&lt;/item&gt;&lt;item&gt;644&lt;/item&gt;&lt;item&gt;645&lt;/item&gt;&lt;item&gt;646&lt;/item&gt;&lt;item&gt;647&lt;/item&gt;&lt;item&gt;648&lt;/item&gt;&lt;item&gt;649&lt;/item&gt;&lt;item&gt;651&lt;/item&gt;&lt;item&gt;652&lt;/item&gt;&lt;item&gt;653&lt;/item&gt;&lt;item&gt;654&lt;/item&gt;&lt;item&gt;655&lt;/item&gt;&lt;item&gt;656&lt;/item&gt;&lt;item&gt;657&lt;/item&gt;&lt;item&gt;658&lt;/item&gt;&lt;item&gt;659&lt;/item&gt;&lt;item&gt;660&lt;/item&gt;&lt;item&gt;661&lt;/item&gt;&lt;item&gt;662&lt;/item&gt;&lt;item&gt;663&lt;/item&gt;&lt;item&gt;664&lt;/item&gt;&lt;item&gt;665&lt;/item&gt;&lt;item&gt;666&lt;/item&gt;&lt;item&gt;667&lt;/item&gt;&lt;item&gt;668&lt;/item&gt;&lt;item&gt;669&lt;/item&gt;&lt;item&gt;670&lt;/item&gt;&lt;item&gt;671&lt;/item&gt;&lt;item&gt;672&lt;/item&gt;&lt;item&gt;673&lt;/item&gt;&lt;item&gt;674&lt;/item&gt;&lt;item&gt;675&lt;/item&gt;&lt;item&gt;677&lt;/item&gt;&lt;item&gt;679&lt;/item&gt;&lt;item&gt;680&lt;/item&gt;&lt;item&gt;681&lt;/item&gt;&lt;item&gt;682&lt;/item&gt;&lt;item&gt;684&lt;/item&gt;&lt;item&gt;689&lt;/item&gt;&lt;item&gt;691&lt;/item&gt;&lt;item&gt;693&lt;/item&gt;&lt;item&gt;696&lt;/item&gt;&lt;item&gt;697&lt;/item&gt;&lt;item&gt;698&lt;/item&gt;&lt;item&gt;699&lt;/item&gt;&lt;item&gt;703&lt;/item&gt;&lt;item&gt;705&lt;/item&gt;&lt;item&gt;713&lt;/item&gt;&lt;item&gt;715&lt;/item&gt;&lt;item&gt;716&lt;/item&gt;&lt;item&gt;718&lt;/item&gt;&lt;item&gt;722&lt;/item&gt;&lt;item&gt;726&lt;/item&gt;&lt;item&gt;729&lt;/item&gt;&lt;item&gt;730&lt;/item&gt;&lt;item&gt;731&lt;/item&gt;&lt;item&gt;732&lt;/item&gt;&lt;item&gt;734&lt;/item&gt;&lt;item&gt;735&lt;/item&gt;&lt;item&gt;737&lt;/item&gt;&lt;item&gt;738&lt;/item&gt;&lt;item&gt;965&lt;/item&gt;&lt;item&gt;966&lt;/item&gt;&lt;item&gt;967&lt;/item&gt;&lt;item&gt;970&lt;/item&gt;&lt;item&gt;973&lt;/item&gt;&lt;item&gt;976&lt;/item&gt;&lt;item&gt;977&lt;/item&gt;&lt;/record-ids&gt;&lt;/item&gt;&lt;/Libraries&gt;"/>
  </w:docVars>
  <w:rsids>
    <w:rsidRoot w:val="00DD505D"/>
    <w:rsid w:val="000003B0"/>
    <w:rsid w:val="00000A93"/>
    <w:rsid w:val="00000CE9"/>
    <w:rsid w:val="000011A1"/>
    <w:rsid w:val="00001202"/>
    <w:rsid w:val="000013B0"/>
    <w:rsid w:val="000014A1"/>
    <w:rsid w:val="00001B8B"/>
    <w:rsid w:val="00001CD8"/>
    <w:rsid w:val="00002147"/>
    <w:rsid w:val="00002472"/>
    <w:rsid w:val="000027AA"/>
    <w:rsid w:val="00002901"/>
    <w:rsid w:val="00002EC3"/>
    <w:rsid w:val="00002EE4"/>
    <w:rsid w:val="000033B8"/>
    <w:rsid w:val="000033D8"/>
    <w:rsid w:val="00003746"/>
    <w:rsid w:val="00003CCE"/>
    <w:rsid w:val="00003FCB"/>
    <w:rsid w:val="0000455E"/>
    <w:rsid w:val="00004ADB"/>
    <w:rsid w:val="00004E30"/>
    <w:rsid w:val="0000504F"/>
    <w:rsid w:val="00005233"/>
    <w:rsid w:val="00005473"/>
    <w:rsid w:val="000054DB"/>
    <w:rsid w:val="00005681"/>
    <w:rsid w:val="00005839"/>
    <w:rsid w:val="00005C44"/>
    <w:rsid w:val="00005C91"/>
    <w:rsid w:val="00005CFF"/>
    <w:rsid w:val="00005FFC"/>
    <w:rsid w:val="00006125"/>
    <w:rsid w:val="000061B8"/>
    <w:rsid w:val="000064C3"/>
    <w:rsid w:val="00006935"/>
    <w:rsid w:val="00006B82"/>
    <w:rsid w:val="00007110"/>
    <w:rsid w:val="00007145"/>
    <w:rsid w:val="000071F6"/>
    <w:rsid w:val="000072EB"/>
    <w:rsid w:val="00007860"/>
    <w:rsid w:val="00007A4D"/>
    <w:rsid w:val="00007B83"/>
    <w:rsid w:val="00007EF8"/>
    <w:rsid w:val="00007FDD"/>
    <w:rsid w:val="0001025E"/>
    <w:rsid w:val="000102D2"/>
    <w:rsid w:val="00010779"/>
    <w:rsid w:val="000107D3"/>
    <w:rsid w:val="00010EE6"/>
    <w:rsid w:val="00011705"/>
    <w:rsid w:val="00011DC7"/>
    <w:rsid w:val="00011F41"/>
    <w:rsid w:val="00011FB2"/>
    <w:rsid w:val="00012242"/>
    <w:rsid w:val="00012260"/>
    <w:rsid w:val="00012B93"/>
    <w:rsid w:val="00013817"/>
    <w:rsid w:val="00014059"/>
    <w:rsid w:val="000140C2"/>
    <w:rsid w:val="0001419C"/>
    <w:rsid w:val="000141EB"/>
    <w:rsid w:val="00014331"/>
    <w:rsid w:val="0001456C"/>
    <w:rsid w:val="000148B1"/>
    <w:rsid w:val="00014C83"/>
    <w:rsid w:val="0001525C"/>
    <w:rsid w:val="00015E7F"/>
    <w:rsid w:val="00015F2D"/>
    <w:rsid w:val="00016581"/>
    <w:rsid w:val="0001698A"/>
    <w:rsid w:val="000174C7"/>
    <w:rsid w:val="00017561"/>
    <w:rsid w:val="000176A2"/>
    <w:rsid w:val="000177A1"/>
    <w:rsid w:val="000179A9"/>
    <w:rsid w:val="00017A33"/>
    <w:rsid w:val="00017AC1"/>
    <w:rsid w:val="00017C33"/>
    <w:rsid w:val="00017E2A"/>
    <w:rsid w:val="00017E59"/>
    <w:rsid w:val="00017F08"/>
    <w:rsid w:val="00017F95"/>
    <w:rsid w:val="00017FAD"/>
    <w:rsid w:val="0002011C"/>
    <w:rsid w:val="00020139"/>
    <w:rsid w:val="00020628"/>
    <w:rsid w:val="00020A8B"/>
    <w:rsid w:val="00020DD7"/>
    <w:rsid w:val="000210B0"/>
    <w:rsid w:val="000212F6"/>
    <w:rsid w:val="00021352"/>
    <w:rsid w:val="000214B1"/>
    <w:rsid w:val="00021E31"/>
    <w:rsid w:val="00021E4B"/>
    <w:rsid w:val="000224C3"/>
    <w:rsid w:val="00022D23"/>
    <w:rsid w:val="000230F7"/>
    <w:rsid w:val="00023A23"/>
    <w:rsid w:val="00023AB4"/>
    <w:rsid w:val="00023BCC"/>
    <w:rsid w:val="00023EBE"/>
    <w:rsid w:val="0002447F"/>
    <w:rsid w:val="000244C0"/>
    <w:rsid w:val="0002453C"/>
    <w:rsid w:val="00024587"/>
    <w:rsid w:val="000245A8"/>
    <w:rsid w:val="00024A8F"/>
    <w:rsid w:val="00024B1E"/>
    <w:rsid w:val="00024BB3"/>
    <w:rsid w:val="00025010"/>
    <w:rsid w:val="0002507B"/>
    <w:rsid w:val="000252C6"/>
    <w:rsid w:val="00025427"/>
    <w:rsid w:val="000255BC"/>
    <w:rsid w:val="00025632"/>
    <w:rsid w:val="000259F2"/>
    <w:rsid w:val="00025DF2"/>
    <w:rsid w:val="000267FA"/>
    <w:rsid w:val="00026A61"/>
    <w:rsid w:val="00026BFF"/>
    <w:rsid w:val="00026EC8"/>
    <w:rsid w:val="00026F56"/>
    <w:rsid w:val="00026F6E"/>
    <w:rsid w:val="000277A6"/>
    <w:rsid w:val="00027AEA"/>
    <w:rsid w:val="00027DB9"/>
    <w:rsid w:val="0003017F"/>
    <w:rsid w:val="00030429"/>
    <w:rsid w:val="0003043B"/>
    <w:rsid w:val="00030720"/>
    <w:rsid w:val="0003082B"/>
    <w:rsid w:val="00030A5A"/>
    <w:rsid w:val="00030D09"/>
    <w:rsid w:val="00030ECD"/>
    <w:rsid w:val="00030F82"/>
    <w:rsid w:val="00031095"/>
    <w:rsid w:val="00031368"/>
    <w:rsid w:val="000315EA"/>
    <w:rsid w:val="00031B26"/>
    <w:rsid w:val="00031E43"/>
    <w:rsid w:val="00032143"/>
    <w:rsid w:val="00032428"/>
    <w:rsid w:val="000324EC"/>
    <w:rsid w:val="0003253D"/>
    <w:rsid w:val="000327B2"/>
    <w:rsid w:val="00032A61"/>
    <w:rsid w:val="00032C7A"/>
    <w:rsid w:val="00032CD9"/>
    <w:rsid w:val="00032E16"/>
    <w:rsid w:val="00032E30"/>
    <w:rsid w:val="000330EF"/>
    <w:rsid w:val="000333A7"/>
    <w:rsid w:val="0003343A"/>
    <w:rsid w:val="000338B2"/>
    <w:rsid w:val="000339DF"/>
    <w:rsid w:val="00033BBF"/>
    <w:rsid w:val="00033E00"/>
    <w:rsid w:val="000347A8"/>
    <w:rsid w:val="00034C02"/>
    <w:rsid w:val="00035183"/>
    <w:rsid w:val="000352BB"/>
    <w:rsid w:val="0003593A"/>
    <w:rsid w:val="00035AFB"/>
    <w:rsid w:val="00035E4B"/>
    <w:rsid w:val="00035E5E"/>
    <w:rsid w:val="00035E75"/>
    <w:rsid w:val="00036041"/>
    <w:rsid w:val="000360C9"/>
    <w:rsid w:val="0003633A"/>
    <w:rsid w:val="000363BA"/>
    <w:rsid w:val="00036715"/>
    <w:rsid w:val="00036775"/>
    <w:rsid w:val="00036ACE"/>
    <w:rsid w:val="00036BEF"/>
    <w:rsid w:val="00036F80"/>
    <w:rsid w:val="0003756C"/>
    <w:rsid w:val="0003762F"/>
    <w:rsid w:val="00037711"/>
    <w:rsid w:val="000378C6"/>
    <w:rsid w:val="00037C9E"/>
    <w:rsid w:val="00040334"/>
    <w:rsid w:val="0004062C"/>
    <w:rsid w:val="000406DA"/>
    <w:rsid w:val="00040CAC"/>
    <w:rsid w:val="00040E39"/>
    <w:rsid w:val="00040EED"/>
    <w:rsid w:val="00041025"/>
    <w:rsid w:val="0004113B"/>
    <w:rsid w:val="00041723"/>
    <w:rsid w:val="000418DD"/>
    <w:rsid w:val="00041943"/>
    <w:rsid w:val="00041CCF"/>
    <w:rsid w:val="00041F03"/>
    <w:rsid w:val="00042219"/>
    <w:rsid w:val="00042482"/>
    <w:rsid w:val="00042AA6"/>
    <w:rsid w:val="00042AF9"/>
    <w:rsid w:val="00042C2C"/>
    <w:rsid w:val="00042CB4"/>
    <w:rsid w:val="00042CB5"/>
    <w:rsid w:val="000430EC"/>
    <w:rsid w:val="000430F5"/>
    <w:rsid w:val="000433FE"/>
    <w:rsid w:val="000436B0"/>
    <w:rsid w:val="000436C9"/>
    <w:rsid w:val="0004398D"/>
    <w:rsid w:val="00043E19"/>
    <w:rsid w:val="000441B1"/>
    <w:rsid w:val="0004432D"/>
    <w:rsid w:val="00044491"/>
    <w:rsid w:val="000444BE"/>
    <w:rsid w:val="00044602"/>
    <w:rsid w:val="000449CA"/>
    <w:rsid w:val="00044A8B"/>
    <w:rsid w:val="00044D4B"/>
    <w:rsid w:val="00045559"/>
    <w:rsid w:val="000456F4"/>
    <w:rsid w:val="000457B6"/>
    <w:rsid w:val="00046084"/>
    <w:rsid w:val="000460C4"/>
    <w:rsid w:val="00046149"/>
    <w:rsid w:val="000465B6"/>
    <w:rsid w:val="000466D8"/>
    <w:rsid w:val="00046987"/>
    <w:rsid w:val="00046A07"/>
    <w:rsid w:val="00046AC2"/>
    <w:rsid w:val="00046BED"/>
    <w:rsid w:val="00046D01"/>
    <w:rsid w:val="00046EED"/>
    <w:rsid w:val="00046FE6"/>
    <w:rsid w:val="00047326"/>
    <w:rsid w:val="00047654"/>
    <w:rsid w:val="00050130"/>
    <w:rsid w:val="0005021E"/>
    <w:rsid w:val="000503F2"/>
    <w:rsid w:val="000508DA"/>
    <w:rsid w:val="00050A56"/>
    <w:rsid w:val="00050E8A"/>
    <w:rsid w:val="00050ED6"/>
    <w:rsid w:val="00050EFA"/>
    <w:rsid w:val="0005142B"/>
    <w:rsid w:val="00051548"/>
    <w:rsid w:val="00051573"/>
    <w:rsid w:val="00051784"/>
    <w:rsid w:val="00051BBA"/>
    <w:rsid w:val="000523AE"/>
    <w:rsid w:val="0005263D"/>
    <w:rsid w:val="000527FC"/>
    <w:rsid w:val="00052B52"/>
    <w:rsid w:val="00052DB7"/>
    <w:rsid w:val="00052FAB"/>
    <w:rsid w:val="00053032"/>
    <w:rsid w:val="0005305B"/>
    <w:rsid w:val="000533D4"/>
    <w:rsid w:val="0005351F"/>
    <w:rsid w:val="0005371E"/>
    <w:rsid w:val="000538FC"/>
    <w:rsid w:val="00053FF1"/>
    <w:rsid w:val="000541D1"/>
    <w:rsid w:val="00054267"/>
    <w:rsid w:val="0005453D"/>
    <w:rsid w:val="00054780"/>
    <w:rsid w:val="00054914"/>
    <w:rsid w:val="00054A88"/>
    <w:rsid w:val="00054C61"/>
    <w:rsid w:val="00054CCD"/>
    <w:rsid w:val="00054D96"/>
    <w:rsid w:val="00054F3E"/>
    <w:rsid w:val="00055127"/>
    <w:rsid w:val="000551A4"/>
    <w:rsid w:val="0005541C"/>
    <w:rsid w:val="0005562D"/>
    <w:rsid w:val="000556A2"/>
    <w:rsid w:val="0005591F"/>
    <w:rsid w:val="00055991"/>
    <w:rsid w:val="00055997"/>
    <w:rsid w:val="00055C02"/>
    <w:rsid w:val="00055D7B"/>
    <w:rsid w:val="00056139"/>
    <w:rsid w:val="00056230"/>
    <w:rsid w:val="00056382"/>
    <w:rsid w:val="00056710"/>
    <w:rsid w:val="000568B4"/>
    <w:rsid w:val="00056EEA"/>
    <w:rsid w:val="00056F10"/>
    <w:rsid w:val="00057062"/>
    <w:rsid w:val="00057771"/>
    <w:rsid w:val="00057A1E"/>
    <w:rsid w:val="00057DD0"/>
    <w:rsid w:val="0006007F"/>
    <w:rsid w:val="000601DE"/>
    <w:rsid w:val="00060309"/>
    <w:rsid w:val="000607FB"/>
    <w:rsid w:val="000609D5"/>
    <w:rsid w:val="000609E6"/>
    <w:rsid w:val="00060A63"/>
    <w:rsid w:val="00060BD0"/>
    <w:rsid w:val="00060D56"/>
    <w:rsid w:val="00060D65"/>
    <w:rsid w:val="0006144F"/>
    <w:rsid w:val="00061696"/>
    <w:rsid w:val="00061C57"/>
    <w:rsid w:val="00061C58"/>
    <w:rsid w:val="00061D70"/>
    <w:rsid w:val="00061D9C"/>
    <w:rsid w:val="00062124"/>
    <w:rsid w:val="000624A1"/>
    <w:rsid w:val="000628AB"/>
    <w:rsid w:val="00062D3D"/>
    <w:rsid w:val="000630A0"/>
    <w:rsid w:val="00063111"/>
    <w:rsid w:val="0006316A"/>
    <w:rsid w:val="0006338F"/>
    <w:rsid w:val="000634E5"/>
    <w:rsid w:val="00063648"/>
    <w:rsid w:val="0006395B"/>
    <w:rsid w:val="00063B1D"/>
    <w:rsid w:val="000640E5"/>
    <w:rsid w:val="000646F9"/>
    <w:rsid w:val="000647FC"/>
    <w:rsid w:val="00064A19"/>
    <w:rsid w:val="00064A67"/>
    <w:rsid w:val="00064ACD"/>
    <w:rsid w:val="00064C86"/>
    <w:rsid w:val="00064CE2"/>
    <w:rsid w:val="0006570C"/>
    <w:rsid w:val="00065AFE"/>
    <w:rsid w:val="00065F93"/>
    <w:rsid w:val="00066088"/>
    <w:rsid w:val="00066112"/>
    <w:rsid w:val="00066501"/>
    <w:rsid w:val="00066AB1"/>
    <w:rsid w:val="000670A2"/>
    <w:rsid w:val="0006742F"/>
    <w:rsid w:val="00067477"/>
    <w:rsid w:val="00067691"/>
    <w:rsid w:val="00067842"/>
    <w:rsid w:val="00067B15"/>
    <w:rsid w:val="00067B92"/>
    <w:rsid w:val="0007013E"/>
    <w:rsid w:val="0007017B"/>
    <w:rsid w:val="0007049A"/>
    <w:rsid w:val="000707A7"/>
    <w:rsid w:val="000708E8"/>
    <w:rsid w:val="0007099E"/>
    <w:rsid w:val="00070A20"/>
    <w:rsid w:val="00070D07"/>
    <w:rsid w:val="00071511"/>
    <w:rsid w:val="00071610"/>
    <w:rsid w:val="00071738"/>
    <w:rsid w:val="00071B9B"/>
    <w:rsid w:val="0007209C"/>
    <w:rsid w:val="0007217D"/>
    <w:rsid w:val="000721A6"/>
    <w:rsid w:val="00072449"/>
    <w:rsid w:val="000724AC"/>
    <w:rsid w:val="0007288E"/>
    <w:rsid w:val="00072AB2"/>
    <w:rsid w:val="00072E09"/>
    <w:rsid w:val="00072FC5"/>
    <w:rsid w:val="000732BE"/>
    <w:rsid w:val="0007343C"/>
    <w:rsid w:val="0007346A"/>
    <w:rsid w:val="00073835"/>
    <w:rsid w:val="00073A2B"/>
    <w:rsid w:val="00073B04"/>
    <w:rsid w:val="00073D10"/>
    <w:rsid w:val="000740AE"/>
    <w:rsid w:val="0007457E"/>
    <w:rsid w:val="00074ED1"/>
    <w:rsid w:val="00075435"/>
    <w:rsid w:val="000755E2"/>
    <w:rsid w:val="00075954"/>
    <w:rsid w:val="00075F97"/>
    <w:rsid w:val="0007656C"/>
    <w:rsid w:val="00076833"/>
    <w:rsid w:val="00076C00"/>
    <w:rsid w:val="00076C35"/>
    <w:rsid w:val="00076D6C"/>
    <w:rsid w:val="00076FB3"/>
    <w:rsid w:val="00077423"/>
    <w:rsid w:val="0007748C"/>
    <w:rsid w:val="00077654"/>
    <w:rsid w:val="000779C8"/>
    <w:rsid w:val="00077A55"/>
    <w:rsid w:val="00077A56"/>
    <w:rsid w:val="00077C7E"/>
    <w:rsid w:val="00077CA6"/>
    <w:rsid w:val="00080221"/>
    <w:rsid w:val="000802BC"/>
    <w:rsid w:val="00080723"/>
    <w:rsid w:val="00080801"/>
    <w:rsid w:val="000808AE"/>
    <w:rsid w:val="000808B6"/>
    <w:rsid w:val="0008093B"/>
    <w:rsid w:val="000809FD"/>
    <w:rsid w:val="00080B90"/>
    <w:rsid w:val="00080D8C"/>
    <w:rsid w:val="00081496"/>
    <w:rsid w:val="000815E6"/>
    <w:rsid w:val="00081AF8"/>
    <w:rsid w:val="00081BC0"/>
    <w:rsid w:val="00081CED"/>
    <w:rsid w:val="00082638"/>
    <w:rsid w:val="00082A9A"/>
    <w:rsid w:val="00082D13"/>
    <w:rsid w:val="000831C0"/>
    <w:rsid w:val="0008382D"/>
    <w:rsid w:val="00083AA5"/>
    <w:rsid w:val="00083BF5"/>
    <w:rsid w:val="000844A9"/>
    <w:rsid w:val="000844E6"/>
    <w:rsid w:val="000847B9"/>
    <w:rsid w:val="000847F8"/>
    <w:rsid w:val="00084A2B"/>
    <w:rsid w:val="00084A97"/>
    <w:rsid w:val="00084BE5"/>
    <w:rsid w:val="00085251"/>
    <w:rsid w:val="00085910"/>
    <w:rsid w:val="00085EEA"/>
    <w:rsid w:val="000860EC"/>
    <w:rsid w:val="00086161"/>
    <w:rsid w:val="000862C6"/>
    <w:rsid w:val="0008659E"/>
    <w:rsid w:val="0008720E"/>
    <w:rsid w:val="0008739A"/>
    <w:rsid w:val="000876FD"/>
    <w:rsid w:val="00087C46"/>
    <w:rsid w:val="00090598"/>
    <w:rsid w:val="000908D7"/>
    <w:rsid w:val="0009095C"/>
    <w:rsid w:val="000909FF"/>
    <w:rsid w:val="00090ABB"/>
    <w:rsid w:val="00090D7D"/>
    <w:rsid w:val="000911A6"/>
    <w:rsid w:val="00091494"/>
    <w:rsid w:val="0009186F"/>
    <w:rsid w:val="00091A57"/>
    <w:rsid w:val="0009245D"/>
    <w:rsid w:val="000927EF"/>
    <w:rsid w:val="00092834"/>
    <w:rsid w:val="00092CC6"/>
    <w:rsid w:val="00092F68"/>
    <w:rsid w:val="000930DB"/>
    <w:rsid w:val="0009337D"/>
    <w:rsid w:val="0009363D"/>
    <w:rsid w:val="000940E7"/>
    <w:rsid w:val="000943EE"/>
    <w:rsid w:val="0009482D"/>
    <w:rsid w:val="00094898"/>
    <w:rsid w:val="00094FD6"/>
    <w:rsid w:val="0009521D"/>
    <w:rsid w:val="000952F3"/>
    <w:rsid w:val="00095739"/>
    <w:rsid w:val="00095E5B"/>
    <w:rsid w:val="00096318"/>
    <w:rsid w:val="00096424"/>
    <w:rsid w:val="00096571"/>
    <w:rsid w:val="0009682E"/>
    <w:rsid w:val="00096976"/>
    <w:rsid w:val="00096AF0"/>
    <w:rsid w:val="000970B9"/>
    <w:rsid w:val="00097157"/>
    <w:rsid w:val="000972C6"/>
    <w:rsid w:val="00097317"/>
    <w:rsid w:val="000973CA"/>
    <w:rsid w:val="000973D7"/>
    <w:rsid w:val="00097406"/>
    <w:rsid w:val="00097608"/>
    <w:rsid w:val="00097C96"/>
    <w:rsid w:val="00097FDA"/>
    <w:rsid w:val="000A0921"/>
    <w:rsid w:val="000A09E1"/>
    <w:rsid w:val="000A0BA7"/>
    <w:rsid w:val="000A0ED1"/>
    <w:rsid w:val="000A1756"/>
    <w:rsid w:val="000A1AA5"/>
    <w:rsid w:val="000A1BC9"/>
    <w:rsid w:val="000A1DD6"/>
    <w:rsid w:val="000A1DEF"/>
    <w:rsid w:val="000A1E8B"/>
    <w:rsid w:val="000A1F1F"/>
    <w:rsid w:val="000A1F24"/>
    <w:rsid w:val="000A21E2"/>
    <w:rsid w:val="000A2284"/>
    <w:rsid w:val="000A2394"/>
    <w:rsid w:val="000A2564"/>
    <w:rsid w:val="000A25E1"/>
    <w:rsid w:val="000A25FF"/>
    <w:rsid w:val="000A277F"/>
    <w:rsid w:val="000A28BF"/>
    <w:rsid w:val="000A3120"/>
    <w:rsid w:val="000A3483"/>
    <w:rsid w:val="000A374E"/>
    <w:rsid w:val="000A3844"/>
    <w:rsid w:val="000A3C8D"/>
    <w:rsid w:val="000A3E42"/>
    <w:rsid w:val="000A3FE1"/>
    <w:rsid w:val="000A4116"/>
    <w:rsid w:val="000A4595"/>
    <w:rsid w:val="000A4BC5"/>
    <w:rsid w:val="000A4F6B"/>
    <w:rsid w:val="000A4FD6"/>
    <w:rsid w:val="000A51DB"/>
    <w:rsid w:val="000A531E"/>
    <w:rsid w:val="000A535B"/>
    <w:rsid w:val="000A53A6"/>
    <w:rsid w:val="000A562D"/>
    <w:rsid w:val="000A5DB2"/>
    <w:rsid w:val="000A5DFC"/>
    <w:rsid w:val="000A61F4"/>
    <w:rsid w:val="000A637F"/>
    <w:rsid w:val="000A6401"/>
    <w:rsid w:val="000A6606"/>
    <w:rsid w:val="000A6C10"/>
    <w:rsid w:val="000A6C42"/>
    <w:rsid w:val="000A739B"/>
    <w:rsid w:val="000A771E"/>
    <w:rsid w:val="000A7993"/>
    <w:rsid w:val="000A7DEF"/>
    <w:rsid w:val="000B0515"/>
    <w:rsid w:val="000B0876"/>
    <w:rsid w:val="000B09CB"/>
    <w:rsid w:val="000B0C42"/>
    <w:rsid w:val="000B0DB5"/>
    <w:rsid w:val="000B0F8B"/>
    <w:rsid w:val="000B10C0"/>
    <w:rsid w:val="000B118A"/>
    <w:rsid w:val="000B1252"/>
    <w:rsid w:val="000B16BD"/>
    <w:rsid w:val="000B1927"/>
    <w:rsid w:val="000B1A86"/>
    <w:rsid w:val="000B1D2C"/>
    <w:rsid w:val="000B2050"/>
    <w:rsid w:val="000B24EC"/>
    <w:rsid w:val="000B2623"/>
    <w:rsid w:val="000B2BA5"/>
    <w:rsid w:val="000B2D17"/>
    <w:rsid w:val="000B2D6D"/>
    <w:rsid w:val="000B2DA0"/>
    <w:rsid w:val="000B2F5F"/>
    <w:rsid w:val="000B3792"/>
    <w:rsid w:val="000B3A8B"/>
    <w:rsid w:val="000B3C62"/>
    <w:rsid w:val="000B4041"/>
    <w:rsid w:val="000B42D9"/>
    <w:rsid w:val="000B46B8"/>
    <w:rsid w:val="000B490C"/>
    <w:rsid w:val="000B4CE6"/>
    <w:rsid w:val="000B585E"/>
    <w:rsid w:val="000B5B9B"/>
    <w:rsid w:val="000B5BFA"/>
    <w:rsid w:val="000B5C45"/>
    <w:rsid w:val="000B5CA8"/>
    <w:rsid w:val="000B5F71"/>
    <w:rsid w:val="000B63BD"/>
    <w:rsid w:val="000B6449"/>
    <w:rsid w:val="000B645C"/>
    <w:rsid w:val="000B64C8"/>
    <w:rsid w:val="000B6BA0"/>
    <w:rsid w:val="000B6CBA"/>
    <w:rsid w:val="000B73B7"/>
    <w:rsid w:val="000B7557"/>
    <w:rsid w:val="000B78CC"/>
    <w:rsid w:val="000B7CC8"/>
    <w:rsid w:val="000C050A"/>
    <w:rsid w:val="000C082D"/>
    <w:rsid w:val="000C0E57"/>
    <w:rsid w:val="000C1047"/>
    <w:rsid w:val="000C174A"/>
    <w:rsid w:val="000C18C5"/>
    <w:rsid w:val="000C19B7"/>
    <w:rsid w:val="000C1C49"/>
    <w:rsid w:val="000C1EBA"/>
    <w:rsid w:val="000C2185"/>
    <w:rsid w:val="000C22DC"/>
    <w:rsid w:val="000C232D"/>
    <w:rsid w:val="000C2622"/>
    <w:rsid w:val="000C2710"/>
    <w:rsid w:val="000C2BFD"/>
    <w:rsid w:val="000C304C"/>
    <w:rsid w:val="000C3308"/>
    <w:rsid w:val="000C3E80"/>
    <w:rsid w:val="000C3F18"/>
    <w:rsid w:val="000C4109"/>
    <w:rsid w:val="000C416E"/>
    <w:rsid w:val="000C44B4"/>
    <w:rsid w:val="000C4779"/>
    <w:rsid w:val="000C481F"/>
    <w:rsid w:val="000C4AED"/>
    <w:rsid w:val="000C535D"/>
    <w:rsid w:val="000C568C"/>
    <w:rsid w:val="000C569C"/>
    <w:rsid w:val="000C580C"/>
    <w:rsid w:val="000C5AD0"/>
    <w:rsid w:val="000C5D02"/>
    <w:rsid w:val="000C5EE9"/>
    <w:rsid w:val="000C602A"/>
    <w:rsid w:val="000C60E1"/>
    <w:rsid w:val="000C610B"/>
    <w:rsid w:val="000C6A00"/>
    <w:rsid w:val="000C6BBF"/>
    <w:rsid w:val="000C73D0"/>
    <w:rsid w:val="000C75D6"/>
    <w:rsid w:val="000C7F71"/>
    <w:rsid w:val="000D009F"/>
    <w:rsid w:val="000D0978"/>
    <w:rsid w:val="000D0F11"/>
    <w:rsid w:val="000D1027"/>
    <w:rsid w:val="000D1311"/>
    <w:rsid w:val="000D13F7"/>
    <w:rsid w:val="000D166B"/>
    <w:rsid w:val="000D16F7"/>
    <w:rsid w:val="000D1794"/>
    <w:rsid w:val="000D1B81"/>
    <w:rsid w:val="000D1BA5"/>
    <w:rsid w:val="000D1D57"/>
    <w:rsid w:val="000D1FFB"/>
    <w:rsid w:val="000D289C"/>
    <w:rsid w:val="000D28B3"/>
    <w:rsid w:val="000D2978"/>
    <w:rsid w:val="000D2A9E"/>
    <w:rsid w:val="000D2D09"/>
    <w:rsid w:val="000D300F"/>
    <w:rsid w:val="000D405B"/>
    <w:rsid w:val="000D40D6"/>
    <w:rsid w:val="000D40FB"/>
    <w:rsid w:val="000D4160"/>
    <w:rsid w:val="000D4491"/>
    <w:rsid w:val="000D459D"/>
    <w:rsid w:val="000D4A15"/>
    <w:rsid w:val="000D4F47"/>
    <w:rsid w:val="000D4F5C"/>
    <w:rsid w:val="000D55BD"/>
    <w:rsid w:val="000D5BD0"/>
    <w:rsid w:val="000D5CBA"/>
    <w:rsid w:val="000D5CBB"/>
    <w:rsid w:val="000D5D75"/>
    <w:rsid w:val="000D5FAF"/>
    <w:rsid w:val="000D5FE4"/>
    <w:rsid w:val="000D60F5"/>
    <w:rsid w:val="000D6453"/>
    <w:rsid w:val="000D6455"/>
    <w:rsid w:val="000D710A"/>
    <w:rsid w:val="000D7214"/>
    <w:rsid w:val="000D7279"/>
    <w:rsid w:val="000D7374"/>
    <w:rsid w:val="000D760F"/>
    <w:rsid w:val="000D77CB"/>
    <w:rsid w:val="000D77F5"/>
    <w:rsid w:val="000D78B9"/>
    <w:rsid w:val="000D7AA6"/>
    <w:rsid w:val="000D7B34"/>
    <w:rsid w:val="000D7DA6"/>
    <w:rsid w:val="000D7F0E"/>
    <w:rsid w:val="000E0355"/>
    <w:rsid w:val="000E0823"/>
    <w:rsid w:val="000E0914"/>
    <w:rsid w:val="000E0C2D"/>
    <w:rsid w:val="000E0D1D"/>
    <w:rsid w:val="000E13B1"/>
    <w:rsid w:val="000E154F"/>
    <w:rsid w:val="000E15E0"/>
    <w:rsid w:val="000E1819"/>
    <w:rsid w:val="000E19F9"/>
    <w:rsid w:val="000E1F8C"/>
    <w:rsid w:val="000E26AC"/>
    <w:rsid w:val="000E2BB5"/>
    <w:rsid w:val="000E3255"/>
    <w:rsid w:val="000E32C0"/>
    <w:rsid w:val="000E3473"/>
    <w:rsid w:val="000E3797"/>
    <w:rsid w:val="000E3C17"/>
    <w:rsid w:val="000E3F40"/>
    <w:rsid w:val="000E3F73"/>
    <w:rsid w:val="000E3FAF"/>
    <w:rsid w:val="000E4300"/>
    <w:rsid w:val="000E446B"/>
    <w:rsid w:val="000E462A"/>
    <w:rsid w:val="000E4739"/>
    <w:rsid w:val="000E48DD"/>
    <w:rsid w:val="000E494B"/>
    <w:rsid w:val="000E4A4A"/>
    <w:rsid w:val="000E4FFD"/>
    <w:rsid w:val="000E541F"/>
    <w:rsid w:val="000E5513"/>
    <w:rsid w:val="000E5AC3"/>
    <w:rsid w:val="000E61A9"/>
    <w:rsid w:val="000E6240"/>
    <w:rsid w:val="000E6306"/>
    <w:rsid w:val="000E6876"/>
    <w:rsid w:val="000E69CC"/>
    <w:rsid w:val="000E6ACF"/>
    <w:rsid w:val="000E6AD0"/>
    <w:rsid w:val="000E6C22"/>
    <w:rsid w:val="000E6E8C"/>
    <w:rsid w:val="000E6EE6"/>
    <w:rsid w:val="000E70B6"/>
    <w:rsid w:val="000E71A6"/>
    <w:rsid w:val="000E7472"/>
    <w:rsid w:val="000E7629"/>
    <w:rsid w:val="000E76F2"/>
    <w:rsid w:val="000E7B15"/>
    <w:rsid w:val="000E7F3D"/>
    <w:rsid w:val="000F01E4"/>
    <w:rsid w:val="000F01E5"/>
    <w:rsid w:val="000F02EF"/>
    <w:rsid w:val="000F0544"/>
    <w:rsid w:val="000F0A64"/>
    <w:rsid w:val="000F0FD8"/>
    <w:rsid w:val="000F12CA"/>
    <w:rsid w:val="000F13BA"/>
    <w:rsid w:val="000F1516"/>
    <w:rsid w:val="000F18BA"/>
    <w:rsid w:val="000F196C"/>
    <w:rsid w:val="000F1994"/>
    <w:rsid w:val="000F1DA1"/>
    <w:rsid w:val="000F239A"/>
    <w:rsid w:val="000F24C6"/>
    <w:rsid w:val="000F2559"/>
    <w:rsid w:val="000F25EA"/>
    <w:rsid w:val="000F26B5"/>
    <w:rsid w:val="000F2722"/>
    <w:rsid w:val="000F282E"/>
    <w:rsid w:val="000F29AC"/>
    <w:rsid w:val="000F2A94"/>
    <w:rsid w:val="000F2B1A"/>
    <w:rsid w:val="000F3175"/>
    <w:rsid w:val="000F34E0"/>
    <w:rsid w:val="000F376D"/>
    <w:rsid w:val="000F37A7"/>
    <w:rsid w:val="000F3E46"/>
    <w:rsid w:val="000F43DF"/>
    <w:rsid w:val="000F492A"/>
    <w:rsid w:val="000F4D13"/>
    <w:rsid w:val="000F4D90"/>
    <w:rsid w:val="000F4FB8"/>
    <w:rsid w:val="000F5152"/>
    <w:rsid w:val="000F5471"/>
    <w:rsid w:val="000F5756"/>
    <w:rsid w:val="000F5B2F"/>
    <w:rsid w:val="000F6214"/>
    <w:rsid w:val="000F62F0"/>
    <w:rsid w:val="000F633D"/>
    <w:rsid w:val="000F63A3"/>
    <w:rsid w:val="000F65FA"/>
    <w:rsid w:val="000F6802"/>
    <w:rsid w:val="000F686A"/>
    <w:rsid w:val="000F6910"/>
    <w:rsid w:val="000F6A0F"/>
    <w:rsid w:val="000F6EA8"/>
    <w:rsid w:val="000F7075"/>
    <w:rsid w:val="000F70AE"/>
    <w:rsid w:val="000F71AC"/>
    <w:rsid w:val="000F7505"/>
    <w:rsid w:val="000F779A"/>
    <w:rsid w:val="000F7D1D"/>
    <w:rsid w:val="001001D5"/>
    <w:rsid w:val="0010045A"/>
    <w:rsid w:val="001005BD"/>
    <w:rsid w:val="00100A1E"/>
    <w:rsid w:val="00100AA6"/>
    <w:rsid w:val="00100DAD"/>
    <w:rsid w:val="001015BD"/>
    <w:rsid w:val="00101663"/>
    <w:rsid w:val="0010173C"/>
    <w:rsid w:val="001017CD"/>
    <w:rsid w:val="00101A4A"/>
    <w:rsid w:val="00101C77"/>
    <w:rsid w:val="001023BE"/>
    <w:rsid w:val="00102466"/>
    <w:rsid w:val="001024ED"/>
    <w:rsid w:val="00102747"/>
    <w:rsid w:val="00102868"/>
    <w:rsid w:val="00102894"/>
    <w:rsid w:val="001028BC"/>
    <w:rsid w:val="0010296E"/>
    <w:rsid w:val="001029FB"/>
    <w:rsid w:val="00102BAE"/>
    <w:rsid w:val="00102DEF"/>
    <w:rsid w:val="00102FEA"/>
    <w:rsid w:val="001030B0"/>
    <w:rsid w:val="001032E0"/>
    <w:rsid w:val="0010333E"/>
    <w:rsid w:val="0010344F"/>
    <w:rsid w:val="001038EC"/>
    <w:rsid w:val="00103DFD"/>
    <w:rsid w:val="00103E02"/>
    <w:rsid w:val="00103E83"/>
    <w:rsid w:val="00103E9A"/>
    <w:rsid w:val="0010410A"/>
    <w:rsid w:val="001048D6"/>
    <w:rsid w:val="0010493D"/>
    <w:rsid w:val="00104BD7"/>
    <w:rsid w:val="00105009"/>
    <w:rsid w:val="00105234"/>
    <w:rsid w:val="001052A4"/>
    <w:rsid w:val="0010547A"/>
    <w:rsid w:val="0010548F"/>
    <w:rsid w:val="001054DE"/>
    <w:rsid w:val="001054FD"/>
    <w:rsid w:val="0010570A"/>
    <w:rsid w:val="00105775"/>
    <w:rsid w:val="001059F9"/>
    <w:rsid w:val="00105CA2"/>
    <w:rsid w:val="00105CFC"/>
    <w:rsid w:val="00105DA8"/>
    <w:rsid w:val="0010623A"/>
    <w:rsid w:val="0010653B"/>
    <w:rsid w:val="001069DE"/>
    <w:rsid w:val="00106DC1"/>
    <w:rsid w:val="001074AF"/>
    <w:rsid w:val="0010763F"/>
    <w:rsid w:val="0010774D"/>
    <w:rsid w:val="001078B3"/>
    <w:rsid w:val="00107B0A"/>
    <w:rsid w:val="00110135"/>
    <w:rsid w:val="0011022A"/>
    <w:rsid w:val="0011082B"/>
    <w:rsid w:val="00110AA0"/>
    <w:rsid w:val="00110CA6"/>
    <w:rsid w:val="00110FD4"/>
    <w:rsid w:val="00111637"/>
    <w:rsid w:val="0011189F"/>
    <w:rsid w:val="001118ED"/>
    <w:rsid w:val="00111A6B"/>
    <w:rsid w:val="00111D60"/>
    <w:rsid w:val="00111ED9"/>
    <w:rsid w:val="001121D6"/>
    <w:rsid w:val="00112698"/>
    <w:rsid w:val="00112A3A"/>
    <w:rsid w:val="00112DB0"/>
    <w:rsid w:val="00112DC8"/>
    <w:rsid w:val="00112F9F"/>
    <w:rsid w:val="001130E4"/>
    <w:rsid w:val="0011315C"/>
    <w:rsid w:val="0011325E"/>
    <w:rsid w:val="00113321"/>
    <w:rsid w:val="00113323"/>
    <w:rsid w:val="00113592"/>
    <w:rsid w:val="001137DB"/>
    <w:rsid w:val="00113950"/>
    <w:rsid w:val="00113DFE"/>
    <w:rsid w:val="00113EC1"/>
    <w:rsid w:val="001141C2"/>
    <w:rsid w:val="0011450F"/>
    <w:rsid w:val="00114EEC"/>
    <w:rsid w:val="001150C5"/>
    <w:rsid w:val="001157CE"/>
    <w:rsid w:val="00115ACB"/>
    <w:rsid w:val="00115B3E"/>
    <w:rsid w:val="001160C2"/>
    <w:rsid w:val="001160CE"/>
    <w:rsid w:val="001161F8"/>
    <w:rsid w:val="0011625A"/>
    <w:rsid w:val="001162D1"/>
    <w:rsid w:val="0011699B"/>
    <w:rsid w:val="00116A17"/>
    <w:rsid w:val="001172EC"/>
    <w:rsid w:val="0011736D"/>
    <w:rsid w:val="00117657"/>
    <w:rsid w:val="00117930"/>
    <w:rsid w:val="00117B86"/>
    <w:rsid w:val="0012004B"/>
    <w:rsid w:val="00120564"/>
    <w:rsid w:val="00120AD3"/>
    <w:rsid w:val="00120BA6"/>
    <w:rsid w:val="00121273"/>
    <w:rsid w:val="001213A1"/>
    <w:rsid w:val="0012169A"/>
    <w:rsid w:val="0012173E"/>
    <w:rsid w:val="00121D7F"/>
    <w:rsid w:val="00121E1C"/>
    <w:rsid w:val="001221A6"/>
    <w:rsid w:val="0012220F"/>
    <w:rsid w:val="0012245E"/>
    <w:rsid w:val="001225E2"/>
    <w:rsid w:val="001227CC"/>
    <w:rsid w:val="0012292E"/>
    <w:rsid w:val="00122945"/>
    <w:rsid w:val="001232DA"/>
    <w:rsid w:val="00123C5F"/>
    <w:rsid w:val="00123D29"/>
    <w:rsid w:val="00123D96"/>
    <w:rsid w:val="00123FA6"/>
    <w:rsid w:val="001241EA"/>
    <w:rsid w:val="0012448A"/>
    <w:rsid w:val="00124779"/>
    <w:rsid w:val="001247F2"/>
    <w:rsid w:val="00124C96"/>
    <w:rsid w:val="00124F63"/>
    <w:rsid w:val="00125407"/>
    <w:rsid w:val="001255F0"/>
    <w:rsid w:val="00125C30"/>
    <w:rsid w:val="00125E41"/>
    <w:rsid w:val="001263DD"/>
    <w:rsid w:val="0012642D"/>
    <w:rsid w:val="0012649C"/>
    <w:rsid w:val="00126C11"/>
    <w:rsid w:val="0012734D"/>
    <w:rsid w:val="00127624"/>
    <w:rsid w:val="001279E0"/>
    <w:rsid w:val="00127A3D"/>
    <w:rsid w:val="00127D16"/>
    <w:rsid w:val="00127E2C"/>
    <w:rsid w:val="00127E4A"/>
    <w:rsid w:val="00127ECD"/>
    <w:rsid w:val="001302D1"/>
    <w:rsid w:val="0013037A"/>
    <w:rsid w:val="00130615"/>
    <w:rsid w:val="0013069F"/>
    <w:rsid w:val="001306D9"/>
    <w:rsid w:val="00130756"/>
    <w:rsid w:val="00130C81"/>
    <w:rsid w:val="00130D35"/>
    <w:rsid w:val="00131059"/>
    <w:rsid w:val="00131601"/>
    <w:rsid w:val="0013189C"/>
    <w:rsid w:val="00131913"/>
    <w:rsid w:val="00131960"/>
    <w:rsid w:val="0013198F"/>
    <w:rsid w:val="00131F59"/>
    <w:rsid w:val="001320A7"/>
    <w:rsid w:val="00132170"/>
    <w:rsid w:val="001322B9"/>
    <w:rsid w:val="0013241B"/>
    <w:rsid w:val="001324EC"/>
    <w:rsid w:val="00132D83"/>
    <w:rsid w:val="00132DD6"/>
    <w:rsid w:val="00132FEC"/>
    <w:rsid w:val="001330BD"/>
    <w:rsid w:val="001332A2"/>
    <w:rsid w:val="0013331B"/>
    <w:rsid w:val="0013341F"/>
    <w:rsid w:val="001337B3"/>
    <w:rsid w:val="00133D34"/>
    <w:rsid w:val="00133D62"/>
    <w:rsid w:val="00133F02"/>
    <w:rsid w:val="001343BC"/>
    <w:rsid w:val="00134614"/>
    <w:rsid w:val="001349F6"/>
    <w:rsid w:val="00134C52"/>
    <w:rsid w:val="00134CF5"/>
    <w:rsid w:val="00134F00"/>
    <w:rsid w:val="00135021"/>
    <w:rsid w:val="001351D6"/>
    <w:rsid w:val="00135A7E"/>
    <w:rsid w:val="00135B1E"/>
    <w:rsid w:val="00135F34"/>
    <w:rsid w:val="001361EB"/>
    <w:rsid w:val="0013657D"/>
    <w:rsid w:val="001374D0"/>
    <w:rsid w:val="00137BE8"/>
    <w:rsid w:val="001401F1"/>
    <w:rsid w:val="00140277"/>
    <w:rsid w:val="0014064E"/>
    <w:rsid w:val="00140A00"/>
    <w:rsid w:val="00140C78"/>
    <w:rsid w:val="0014119F"/>
    <w:rsid w:val="001417C2"/>
    <w:rsid w:val="00141979"/>
    <w:rsid w:val="00141CD7"/>
    <w:rsid w:val="00141FF1"/>
    <w:rsid w:val="001423C3"/>
    <w:rsid w:val="001425F2"/>
    <w:rsid w:val="00142720"/>
    <w:rsid w:val="0014299C"/>
    <w:rsid w:val="00142A10"/>
    <w:rsid w:val="00142BB1"/>
    <w:rsid w:val="00142BC3"/>
    <w:rsid w:val="00143057"/>
    <w:rsid w:val="0014366F"/>
    <w:rsid w:val="00143B42"/>
    <w:rsid w:val="00143F2C"/>
    <w:rsid w:val="00143F75"/>
    <w:rsid w:val="00144CCD"/>
    <w:rsid w:val="00144DD1"/>
    <w:rsid w:val="00144E71"/>
    <w:rsid w:val="001450DF"/>
    <w:rsid w:val="00145636"/>
    <w:rsid w:val="00145AD5"/>
    <w:rsid w:val="00145B57"/>
    <w:rsid w:val="00145E0D"/>
    <w:rsid w:val="00145F55"/>
    <w:rsid w:val="00146138"/>
    <w:rsid w:val="001461B9"/>
    <w:rsid w:val="0014664A"/>
    <w:rsid w:val="00146829"/>
    <w:rsid w:val="00146B0A"/>
    <w:rsid w:val="00146BC6"/>
    <w:rsid w:val="001478B6"/>
    <w:rsid w:val="00147A16"/>
    <w:rsid w:val="00147A17"/>
    <w:rsid w:val="00147CE1"/>
    <w:rsid w:val="00150177"/>
    <w:rsid w:val="001503A8"/>
    <w:rsid w:val="00150638"/>
    <w:rsid w:val="001507DD"/>
    <w:rsid w:val="00150A7F"/>
    <w:rsid w:val="00150B23"/>
    <w:rsid w:val="00150B7C"/>
    <w:rsid w:val="00150B93"/>
    <w:rsid w:val="00150D66"/>
    <w:rsid w:val="001517BC"/>
    <w:rsid w:val="00151A4E"/>
    <w:rsid w:val="001521F7"/>
    <w:rsid w:val="00152461"/>
    <w:rsid w:val="001525DF"/>
    <w:rsid w:val="0015294A"/>
    <w:rsid w:val="00152E62"/>
    <w:rsid w:val="00152F77"/>
    <w:rsid w:val="00152FFC"/>
    <w:rsid w:val="0015318E"/>
    <w:rsid w:val="0015323D"/>
    <w:rsid w:val="0015344A"/>
    <w:rsid w:val="00153466"/>
    <w:rsid w:val="00153D13"/>
    <w:rsid w:val="00154183"/>
    <w:rsid w:val="001541A8"/>
    <w:rsid w:val="00154410"/>
    <w:rsid w:val="001547BF"/>
    <w:rsid w:val="00154E91"/>
    <w:rsid w:val="00154F11"/>
    <w:rsid w:val="00154FB2"/>
    <w:rsid w:val="001554BF"/>
    <w:rsid w:val="0015558B"/>
    <w:rsid w:val="001558C0"/>
    <w:rsid w:val="00155941"/>
    <w:rsid w:val="00155CED"/>
    <w:rsid w:val="001560CB"/>
    <w:rsid w:val="0015612E"/>
    <w:rsid w:val="00156211"/>
    <w:rsid w:val="00156236"/>
    <w:rsid w:val="0015639D"/>
    <w:rsid w:val="001564F6"/>
    <w:rsid w:val="0015659B"/>
    <w:rsid w:val="00156B63"/>
    <w:rsid w:val="00156C08"/>
    <w:rsid w:val="00156DDA"/>
    <w:rsid w:val="00156E1F"/>
    <w:rsid w:val="00156F24"/>
    <w:rsid w:val="00157014"/>
    <w:rsid w:val="0015737F"/>
    <w:rsid w:val="0015743F"/>
    <w:rsid w:val="0015776A"/>
    <w:rsid w:val="00157C8B"/>
    <w:rsid w:val="00157D2C"/>
    <w:rsid w:val="00157E76"/>
    <w:rsid w:val="00160932"/>
    <w:rsid w:val="00160BF5"/>
    <w:rsid w:val="00160E8C"/>
    <w:rsid w:val="00160FD8"/>
    <w:rsid w:val="0016186F"/>
    <w:rsid w:val="00161CB8"/>
    <w:rsid w:val="00161E41"/>
    <w:rsid w:val="00161EB6"/>
    <w:rsid w:val="001623F0"/>
    <w:rsid w:val="001626B3"/>
    <w:rsid w:val="001627E6"/>
    <w:rsid w:val="001628E6"/>
    <w:rsid w:val="00162CB6"/>
    <w:rsid w:val="00162D57"/>
    <w:rsid w:val="00162D61"/>
    <w:rsid w:val="00162DCA"/>
    <w:rsid w:val="0016310F"/>
    <w:rsid w:val="001633BB"/>
    <w:rsid w:val="00163501"/>
    <w:rsid w:val="00163587"/>
    <w:rsid w:val="0016371E"/>
    <w:rsid w:val="00163814"/>
    <w:rsid w:val="00163885"/>
    <w:rsid w:val="00163934"/>
    <w:rsid w:val="00163978"/>
    <w:rsid w:val="00163B4B"/>
    <w:rsid w:val="001643DC"/>
    <w:rsid w:val="0016454A"/>
    <w:rsid w:val="00164A79"/>
    <w:rsid w:val="00164C06"/>
    <w:rsid w:val="00164EB4"/>
    <w:rsid w:val="00164FB7"/>
    <w:rsid w:val="00165213"/>
    <w:rsid w:val="0016559D"/>
    <w:rsid w:val="001655E1"/>
    <w:rsid w:val="00165810"/>
    <w:rsid w:val="001658C8"/>
    <w:rsid w:val="001659E2"/>
    <w:rsid w:val="00165AED"/>
    <w:rsid w:val="001661FF"/>
    <w:rsid w:val="00166A56"/>
    <w:rsid w:val="00166AB3"/>
    <w:rsid w:val="00166E21"/>
    <w:rsid w:val="00166E7D"/>
    <w:rsid w:val="0016703A"/>
    <w:rsid w:val="0016705E"/>
    <w:rsid w:val="001670C5"/>
    <w:rsid w:val="001670EB"/>
    <w:rsid w:val="00167894"/>
    <w:rsid w:val="001678A9"/>
    <w:rsid w:val="001678C6"/>
    <w:rsid w:val="0016792E"/>
    <w:rsid w:val="00167A61"/>
    <w:rsid w:val="00167FB5"/>
    <w:rsid w:val="00170118"/>
    <w:rsid w:val="0017022B"/>
    <w:rsid w:val="001702A3"/>
    <w:rsid w:val="00171282"/>
    <w:rsid w:val="001715A0"/>
    <w:rsid w:val="001715A5"/>
    <w:rsid w:val="00171F44"/>
    <w:rsid w:val="0017200F"/>
    <w:rsid w:val="0017231B"/>
    <w:rsid w:val="00172472"/>
    <w:rsid w:val="001725E4"/>
    <w:rsid w:val="0017261D"/>
    <w:rsid w:val="00172B5B"/>
    <w:rsid w:val="00173A3E"/>
    <w:rsid w:val="00173DF4"/>
    <w:rsid w:val="0017444F"/>
    <w:rsid w:val="001744E9"/>
    <w:rsid w:val="0017452D"/>
    <w:rsid w:val="00174957"/>
    <w:rsid w:val="0017496A"/>
    <w:rsid w:val="00174D72"/>
    <w:rsid w:val="00175303"/>
    <w:rsid w:val="00175A9A"/>
    <w:rsid w:val="00175C82"/>
    <w:rsid w:val="0017639F"/>
    <w:rsid w:val="001763AA"/>
    <w:rsid w:val="0017646D"/>
    <w:rsid w:val="0017654D"/>
    <w:rsid w:val="00176AEF"/>
    <w:rsid w:val="00176E1D"/>
    <w:rsid w:val="00176E30"/>
    <w:rsid w:val="001773BB"/>
    <w:rsid w:val="00177BCB"/>
    <w:rsid w:val="00177FD3"/>
    <w:rsid w:val="0018005A"/>
    <w:rsid w:val="001802D3"/>
    <w:rsid w:val="00180794"/>
    <w:rsid w:val="001809DB"/>
    <w:rsid w:val="001809F1"/>
    <w:rsid w:val="00180EC8"/>
    <w:rsid w:val="00181085"/>
    <w:rsid w:val="00181342"/>
    <w:rsid w:val="0018134D"/>
    <w:rsid w:val="00181635"/>
    <w:rsid w:val="00181BD5"/>
    <w:rsid w:val="00181DB2"/>
    <w:rsid w:val="001826FA"/>
    <w:rsid w:val="0018270A"/>
    <w:rsid w:val="00182945"/>
    <w:rsid w:val="001829D8"/>
    <w:rsid w:val="00182A0A"/>
    <w:rsid w:val="00182ADA"/>
    <w:rsid w:val="00182BEE"/>
    <w:rsid w:val="00182F7E"/>
    <w:rsid w:val="001831B0"/>
    <w:rsid w:val="00183247"/>
    <w:rsid w:val="0018325E"/>
    <w:rsid w:val="00183A6E"/>
    <w:rsid w:val="00183DA4"/>
    <w:rsid w:val="00183EEB"/>
    <w:rsid w:val="00184CCB"/>
    <w:rsid w:val="00184D2E"/>
    <w:rsid w:val="00184EFD"/>
    <w:rsid w:val="00184FDB"/>
    <w:rsid w:val="001851F0"/>
    <w:rsid w:val="0018598C"/>
    <w:rsid w:val="00186737"/>
    <w:rsid w:val="001868E1"/>
    <w:rsid w:val="001869D4"/>
    <w:rsid w:val="00186B6A"/>
    <w:rsid w:val="00186E5D"/>
    <w:rsid w:val="001872DB"/>
    <w:rsid w:val="001873F8"/>
    <w:rsid w:val="0018756B"/>
    <w:rsid w:val="001875B9"/>
    <w:rsid w:val="001877E8"/>
    <w:rsid w:val="00187FCD"/>
    <w:rsid w:val="00187FDF"/>
    <w:rsid w:val="00190399"/>
    <w:rsid w:val="0019082E"/>
    <w:rsid w:val="00190BD2"/>
    <w:rsid w:val="00190EC3"/>
    <w:rsid w:val="00190F7A"/>
    <w:rsid w:val="00190FC5"/>
    <w:rsid w:val="001915F6"/>
    <w:rsid w:val="001916DD"/>
    <w:rsid w:val="001916FB"/>
    <w:rsid w:val="001917F6"/>
    <w:rsid w:val="00191B16"/>
    <w:rsid w:val="00191B75"/>
    <w:rsid w:val="00191E10"/>
    <w:rsid w:val="00191F93"/>
    <w:rsid w:val="00192120"/>
    <w:rsid w:val="00192311"/>
    <w:rsid w:val="00192357"/>
    <w:rsid w:val="00192919"/>
    <w:rsid w:val="0019291F"/>
    <w:rsid w:val="00192A5C"/>
    <w:rsid w:val="00192A85"/>
    <w:rsid w:val="00192C6F"/>
    <w:rsid w:val="0019307E"/>
    <w:rsid w:val="00193245"/>
    <w:rsid w:val="00193449"/>
    <w:rsid w:val="00193A49"/>
    <w:rsid w:val="00193DD8"/>
    <w:rsid w:val="00193EB4"/>
    <w:rsid w:val="001944AF"/>
    <w:rsid w:val="00194571"/>
    <w:rsid w:val="0019472D"/>
    <w:rsid w:val="00194D63"/>
    <w:rsid w:val="00194F28"/>
    <w:rsid w:val="00194F7C"/>
    <w:rsid w:val="001950F5"/>
    <w:rsid w:val="0019510C"/>
    <w:rsid w:val="00195139"/>
    <w:rsid w:val="001952BD"/>
    <w:rsid w:val="00195629"/>
    <w:rsid w:val="00195745"/>
    <w:rsid w:val="00195D98"/>
    <w:rsid w:val="00195EF7"/>
    <w:rsid w:val="001962E1"/>
    <w:rsid w:val="00196574"/>
    <w:rsid w:val="00196646"/>
    <w:rsid w:val="00196658"/>
    <w:rsid w:val="0019677E"/>
    <w:rsid w:val="00196BB0"/>
    <w:rsid w:val="00196BE3"/>
    <w:rsid w:val="00196FAD"/>
    <w:rsid w:val="001971E6"/>
    <w:rsid w:val="00197255"/>
    <w:rsid w:val="0019747D"/>
    <w:rsid w:val="00197764"/>
    <w:rsid w:val="00197885"/>
    <w:rsid w:val="00197ADD"/>
    <w:rsid w:val="00197CE8"/>
    <w:rsid w:val="00197FF5"/>
    <w:rsid w:val="001A06C6"/>
    <w:rsid w:val="001A0C83"/>
    <w:rsid w:val="001A1110"/>
    <w:rsid w:val="001A161F"/>
    <w:rsid w:val="001A1C9A"/>
    <w:rsid w:val="001A1D00"/>
    <w:rsid w:val="001A1EED"/>
    <w:rsid w:val="001A1F85"/>
    <w:rsid w:val="001A2399"/>
    <w:rsid w:val="001A23D8"/>
    <w:rsid w:val="001A308E"/>
    <w:rsid w:val="001A33B9"/>
    <w:rsid w:val="001A34AD"/>
    <w:rsid w:val="001A368B"/>
    <w:rsid w:val="001A3722"/>
    <w:rsid w:val="001A3A28"/>
    <w:rsid w:val="001A3AB4"/>
    <w:rsid w:val="001A3B37"/>
    <w:rsid w:val="001A3E69"/>
    <w:rsid w:val="001A3F3A"/>
    <w:rsid w:val="001A3F63"/>
    <w:rsid w:val="001A44AE"/>
    <w:rsid w:val="001A4A4F"/>
    <w:rsid w:val="001A4ED3"/>
    <w:rsid w:val="001A50E6"/>
    <w:rsid w:val="001A5591"/>
    <w:rsid w:val="001A57A2"/>
    <w:rsid w:val="001A5B0A"/>
    <w:rsid w:val="001A5C6C"/>
    <w:rsid w:val="001A5CB8"/>
    <w:rsid w:val="001A5EE7"/>
    <w:rsid w:val="001A618A"/>
    <w:rsid w:val="001A6B19"/>
    <w:rsid w:val="001A74B8"/>
    <w:rsid w:val="001A7B42"/>
    <w:rsid w:val="001A7D1D"/>
    <w:rsid w:val="001A7FB0"/>
    <w:rsid w:val="001B0458"/>
    <w:rsid w:val="001B05E6"/>
    <w:rsid w:val="001B07DD"/>
    <w:rsid w:val="001B0BD7"/>
    <w:rsid w:val="001B0E12"/>
    <w:rsid w:val="001B0E2F"/>
    <w:rsid w:val="001B109E"/>
    <w:rsid w:val="001B12DB"/>
    <w:rsid w:val="001B29A6"/>
    <w:rsid w:val="001B29C3"/>
    <w:rsid w:val="001B2DB0"/>
    <w:rsid w:val="001B2E57"/>
    <w:rsid w:val="001B2F98"/>
    <w:rsid w:val="001B3308"/>
    <w:rsid w:val="001B336B"/>
    <w:rsid w:val="001B33CB"/>
    <w:rsid w:val="001B39E3"/>
    <w:rsid w:val="001B3A84"/>
    <w:rsid w:val="001B3DA2"/>
    <w:rsid w:val="001B3E0C"/>
    <w:rsid w:val="001B3E96"/>
    <w:rsid w:val="001B3EDB"/>
    <w:rsid w:val="001B4232"/>
    <w:rsid w:val="001B4743"/>
    <w:rsid w:val="001B49AF"/>
    <w:rsid w:val="001B4CE4"/>
    <w:rsid w:val="001B5023"/>
    <w:rsid w:val="001B5139"/>
    <w:rsid w:val="001B5699"/>
    <w:rsid w:val="001B5841"/>
    <w:rsid w:val="001B59C8"/>
    <w:rsid w:val="001B5AAD"/>
    <w:rsid w:val="001B5C64"/>
    <w:rsid w:val="001B5ED3"/>
    <w:rsid w:val="001B604F"/>
    <w:rsid w:val="001B617C"/>
    <w:rsid w:val="001B636F"/>
    <w:rsid w:val="001B665C"/>
    <w:rsid w:val="001B6942"/>
    <w:rsid w:val="001B6FCB"/>
    <w:rsid w:val="001B7066"/>
    <w:rsid w:val="001B7173"/>
    <w:rsid w:val="001B7641"/>
    <w:rsid w:val="001B7824"/>
    <w:rsid w:val="001B7A72"/>
    <w:rsid w:val="001B7CDD"/>
    <w:rsid w:val="001C07C0"/>
    <w:rsid w:val="001C0A8C"/>
    <w:rsid w:val="001C0B2B"/>
    <w:rsid w:val="001C0C8D"/>
    <w:rsid w:val="001C0D9B"/>
    <w:rsid w:val="001C1003"/>
    <w:rsid w:val="001C102D"/>
    <w:rsid w:val="001C1396"/>
    <w:rsid w:val="001C13E7"/>
    <w:rsid w:val="001C1650"/>
    <w:rsid w:val="001C1812"/>
    <w:rsid w:val="001C1A75"/>
    <w:rsid w:val="001C1ACD"/>
    <w:rsid w:val="001C1C0D"/>
    <w:rsid w:val="001C1EBB"/>
    <w:rsid w:val="001C1EDC"/>
    <w:rsid w:val="001C20DC"/>
    <w:rsid w:val="001C23DB"/>
    <w:rsid w:val="001C24E6"/>
    <w:rsid w:val="001C29DB"/>
    <w:rsid w:val="001C2C7B"/>
    <w:rsid w:val="001C2FE4"/>
    <w:rsid w:val="001C34C3"/>
    <w:rsid w:val="001C34CF"/>
    <w:rsid w:val="001C37A3"/>
    <w:rsid w:val="001C3C01"/>
    <w:rsid w:val="001C40B4"/>
    <w:rsid w:val="001C40C9"/>
    <w:rsid w:val="001C48E7"/>
    <w:rsid w:val="001C4978"/>
    <w:rsid w:val="001C520C"/>
    <w:rsid w:val="001C53FC"/>
    <w:rsid w:val="001C5519"/>
    <w:rsid w:val="001C5C9E"/>
    <w:rsid w:val="001C63ED"/>
    <w:rsid w:val="001C64D4"/>
    <w:rsid w:val="001C6563"/>
    <w:rsid w:val="001C6657"/>
    <w:rsid w:val="001C6718"/>
    <w:rsid w:val="001C6869"/>
    <w:rsid w:val="001C6ADC"/>
    <w:rsid w:val="001C6DED"/>
    <w:rsid w:val="001C6F25"/>
    <w:rsid w:val="001C71A9"/>
    <w:rsid w:val="001C71FE"/>
    <w:rsid w:val="001C73EC"/>
    <w:rsid w:val="001C7610"/>
    <w:rsid w:val="001C775B"/>
    <w:rsid w:val="001C79E9"/>
    <w:rsid w:val="001C7ACE"/>
    <w:rsid w:val="001C7ED0"/>
    <w:rsid w:val="001D0197"/>
    <w:rsid w:val="001D0744"/>
    <w:rsid w:val="001D093E"/>
    <w:rsid w:val="001D0BDD"/>
    <w:rsid w:val="001D14E8"/>
    <w:rsid w:val="001D160F"/>
    <w:rsid w:val="001D16C1"/>
    <w:rsid w:val="001D1C4C"/>
    <w:rsid w:val="001D1DBF"/>
    <w:rsid w:val="001D2169"/>
    <w:rsid w:val="001D23B2"/>
    <w:rsid w:val="001D25CA"/>
    <w:rsid w:val="001D2760"/>
    <w:rsid w:val="001D27B6"/>
    <w:rsid w:val="001D2E37"/>
    <w:rsid w:val="001D3523"/>
    <w:rsid w:val="001D3994"/>
    <w:rsid w:val="001D3AA0"/>
    <w:rsid w:val="001D3C88"/>
    <w:rsid w:val="001D4449"/>
    <w:rsid w:val="001D4629"/>
    <w:rsid w:val="001D4751"/>
    <w:rsid w:val="001D48B0"/>
    <w:rsid w:val="001D4997"/>
    <w:rsid w:val="001D4D69"/>
    <w:rsid w:val="001D5473"/>
    <w:rsid w:val="001D563D"/>
    <w:rsid w:val="001D5B87"/>
    <w:rsid w:val="001D5C23"/>
    <w:rsid w:val="001D5D88"/>
    <w:rsid w:val="001D5D98"/>
    <w:rsid w:val="001D5F1F"/>
    <w:rsid w:val="001D663B"/>
    <w:rsid w:val="001D69D7"/>
    <w:rsid w:val="001D70F8"/>
    <w:rsid w:val="001D719C"/>
    <w:rsid w:val="001D7726"/>
    <w:rsid w:val="001D78ED"/>
    <w:rsid w:val="001D7989"/>
    <w:rsid w:val="001D7AB3"/>
    <w:rsid w:val="001E0199"/>
    <w:rsid w:val="001E0800"/>
    <w:rsid w:val="001E0AD8"/>
    <w:rsid w:val="001E0E45"/>
    <w:rsid w:val="001E1350"/>
    <w:rsid w:val="001E169E"/>
    <w:rsid w:val="001E1917"/>
    <w:rsid w:val="001E19D3"/>
    <w:rsid w:val="001E1AC6"/>
    <w:rsid w:val="001E1BDF"/>
    <w:rsid w:val="001E1EEC"/>
    <w:rsid w:val="001E2285"/>
    <w:rsid w:val="001E236C"/>
    <w:rsid w:val="001E24C3"/>
    <w:rsid w:val="001E26A3"/>
    <w:rsid w:val="001E28EC"/>
    <w:rsid w:val="001E2A10"/>
    <w:rsid w:val="001E2A83"/>
    <w:rsid w:val="001E2B0C"/>
    <w:rsid w:val="001E3978"/>
    <w:rsid w:val="001E3A14"/>
    <w:rsid w:val="001E3B01"/>
    <w:rsid w:val="001E3C89"/>
    <w:rsid w:val="001E4375"/>
    <w:rsid w:val="001E474F"/>
    <w:rsid w:val="001E4760"/>
    <w:rsid w:val="001E493A"/>
    <w:rsid w:val="001E4A08"/>
    <w:rsid w:val="001E4E26"/>
    <w:rsid w:val="001E4F07"/>
    <w:rsid w:val="001E50FE"/>
    <w:rsid w:val="001E52EE"/>
    <w:rsid w:val="001E552A"/>
    <w:rsid w:val="001E5551"/>
    <w:rsid w:val="001E57EE"/>
    <w:rsid w:val="001E5CFB"/>
    <w:rsid w:val="001E5FD6"/>
    <w:rsid w:val="001E6095"/>
    <w:rsid w:val="001E6377"/>
    <w:rsid w:val="001E72BB"/>
    <w:rsid w:val="001E73C3"/>
    <w:rsid w:val="001E76D9"/>
    <w:rsid w:val="001E78B0"/>
    <w:rsid w:val="001E7A16"/>
    <w:rsid w:val="001E7B09"/>
    <w:rsid w:val="001E7B76"/>
    <w:rsid w:val="001E7C0B"/>
    <w:rsid w:val="001F0557"/>
    <w:rsid w:val="001F0792"/>
    <w:rsid w:val="001F1243"/>
    <w:rsid w:val="001F14D5"/>
    <w:rsid w:val="001F1860"/>
    <w:rsid w:val="001F188C"/>
    <w:rsid w:val="001F18B8"/>
    <w:rsid w:val="001F19EE"/>
    <w:rsid w:val="001F1AFD"/>
    <w:rsid w:val="001F1C73"/>
    <w:rsid w:val="001F2460"/>
    <w:rsid w:val="001F2567"/>
    <w:rsid w:val="001F2B14"/>
    <w:rsid w:val="001F2D80"/>
    <w:rsid w:val="001F36E8"/>
    <w:rsid w:val="001F39DB"/>
    <w:rsid w:val="001F3A03"/>
    <w:rsid w:val="001F3C96"/>
    <w:rsid w:val="001F4320"/>
    <w:rsid w:val="001F4578"/>
    <w:rsid w:val="001F46B1"/>
    <w:rsid w:val="001F4925"/>
    <w:rsid w:val="001F498D"/>
    <w:rsid w:val="001F4B40"/>
    <w:rsid w:val="001F4B9D"/>
    <w:rsid w:val="001F4C05"/>
    <w:rsid w:val="001F4C9C"/>
    <w:rsid w:val="001F591C"/>
    <w:rsid w:val="001F5B95"/>
    <w:rsid w:val="001F60D9"/>
    <w:rsid w:val="001F635D"/>
    <w:rsid w:val="001F648C"/>
    <w:rsid w:val="001F6C0E"/>
    <w:rsid w:val="001F6D62"/>
    <w:rsid w:val="001F72B7"/>
    <w:rsid w:val="001F73B3"/>
    <w:rsid w:val="001F7615"/>
    <w:rsid w:val="00200039"/>
    <w:rsid w:val="002001E2"/>
    <w:rsid w:val="00200335"/>
    <w:rsid w:val="0020036C"/>
    <w:rsid w:val="00200415"/>
    <w:rsid w:val="002010C0"/>
    <w:rsid w:val="002010FB"/>
    <w:rsid w:val="00201196"/>
    <w:rsid w:val="002011AB"/>
    <w:rsid w:val="002014D7"/>
    <w:rsid w:val="002016D2"/>
    <w:rsid w:val="002017A6"/>
    <w:rsid w:val="00201DB0"/>
    <w:rsid w:val="0020278B"/>
    <w:rsid w:val="00202837"/>
    <w:rsid w:val="002028FB"/>
    <w:rsid w:val="00202962"/>
    <w:rsid w:val="00202964"/>
    <w:rsid w:val="00202E8E"/>
    <w:rsid w:val="00202F30"/>
    <w:rsid w:val="00203867"/>
    <w:rsid w:val="00203B21"/>
    <w:rsid w:val="00203C03"/>
    <w:rsid w:val="00203CBA"/>
    <w:rsid w:val="00203ED1"/>
    <w:rsid w:val="00204136"/>
    <w:rsid w:val="00204399"/>
    <w:rsid w:val="00204514"/>
    <w:rsid w:val="00204548"/>
    <w:rsid w:val="0020499E"/>
    <w:rsid w:val="00204AE6"/>
    <w:rsid w:val="00204FCA"/>
    <w:rsid w:val="00204FDD"/>
    <w:rsid w:val="002050A7"/>
    <w:rsid w:val="0020526C"/>
    <w:rsid w:val="00205325"/>
    <w:rsid w:val="002053C0"/>
    <w:rsid w:val="002053FD"/>
    <w:rsid w:val="00205702"/>
    <w:rsid w:val="00205953"/>
    <w:rsid w:val="00205FDA"/>
    <w:rsid w:val="00206317"/>
    <w:rsid w:val="002067A0"/>
    <w:rsid w:val="002069E2"/>
    <w:rsid w:val="00206C11"/>
    <w:rsid w:val="00206C5F"/>
    <w:rsid w:val="00206C60"/>
    <w:rsid w:val="00206F05"/>
    <w:rsid w:val="00206F50"/>
    <w:rsid w:val="0020733B"/>
    <w:rsid w:val="00207553"/>
    <w:rsid w:val="00207561"/>
    <w:rsid w:val="002075D2"/>
    <w:rsid w:val="002076D2"/>
    <w:rsid w:val="00207E84"/>
    <w:rsid w:val="00210256"/>
    <w:rsid w:val="00210D0F"/>
    <w:rsid w:val="00210E65"/>
    <w:rsid w:val="00211092"/>
    <w:rsid w:val="002114D6"/>
    <w:rsid w:val="0021183C"/>
    <w:rsid w:val="00211B42"/>
    <w:rsid w:val="00211B9A"/>
    <w:rsid w:val="00211BE3"/>
    <w:rsid w:val="00211E50"/>
    <w:rsid w:val="0021202B"/>
    <w:rsid w:val="00212692"/>
    <w:rsid w:val="002126CB"/>
    <w:rsid w:val="002126E6"/>
    <w:rsid w:val="002126EF"/>
    <w:rsid w:val="002128CA"/>
    <w:rsid w:val="0021322F"/>
    <w:rsid w:val="0021336C"/>
    <w:rsid w:val="00213655"/>
    <w:rsid w:val="00213D77"/>
    <w:rsid w:val="0021412E"/>
    <w:rsid w:val="00214278"/>
    <w:rsid w:val="002147DF"/>
    <w:rsid w:val="00214E30"/>
    <w:rsid w:val="00214F28"/>
    <w:rsid w:val="0021516E"/>
    <w:rsid w:val="00215BA2"/>
    <w:rsid w:val="00215E04"/>
    <w:rsid w:val="002162B6"/>
    <w:rsid w:val="00216836"/>
    <w:rsid w:val="00216CA1"/>
    <w:rsid w:val="00216ECA"/>
    <w:rsid w:val="00217434"/>
    <w:rsid w:val="002174D7"/>
    <w:rsid w:val="00217981"/>
    <w:rsid w:val="00217984"/>
    <w:rsid w:val="002201CD"/>
    <w:rsid w:val="002203B6"/>
    <w:rsid w:val="002205A7"/>
    <w:rsid w:val="00220665"/>
    <w:rsid w:val="00220B91"/>
    <w:rsid w:val="00220D99"/>
    <w:rsid w:val="00220DA4"/>
    <w:rsid w:val="0022102E"/>
    <w:rsid w:val="002215AD"/>
    <w:rsid w:val="00221A48"/>
    <w:rsid w:val="00221B54"/>
    <w:rsid w:val="00221F79"/>
    <w:rsid w:val="00222125"/>
    <w:rsid w:val="0022259A"/>
    <w:rsid w:val="0022266D"/>
    <w:rsid w:val="00222DF8"/>
    <w:rsid w:val="0022307D"/>
    <w:rsid w:val="002230BE"/>
    <w:rsid w:val="00223197"/>
    <w:rsid w:val="0022321F"/>
    <w:rsid w:val="002236E0"/>
    <w:rsid w:val="00223C4E"/>
    <w:rsid w:val="00224290"/>
    <w:rsid w:val="002245CB"/>
    <w:rsid w:val="002247E4"/>
    <w:rsid w:val="00224B6D"/>
    <w:rsid w:val="00224C8A"/>
    <w:rsid w:val="00224F95"/>
    <w:rsid w:val="002252B8"/>
    <w:rsid w:val="002253E8"/>
    <w:rsid w:val="002255DE"/>
    <w:rsid w:val="0022573D"/>
    <w:rsid w:val="00225952"/>
    <w:rsid w:val="00225957"/>
    <w:rsid w:val="00225AC5"/>
    <w:rsid w:val="00225B68"/>
    <w:rsid w:val="00225E2D"/>
    <w:rsid w:val="00226102"/>
    <w:rsid w:val="00226349"/>
    <w:rsid w:val="0022647B"/>
    <w:rsid w:val="00226498"/>
    <w:rsid w:val="00226560"/>
    <w:rsid w:val="00226819"/>
    <w:rsid w:val="00226CBA"/>
    <w:rsid w:val="00226D25"/>
    <w:rsid w:val="002275D5"/>
    <w:rsid w:val="002278E1"/>
    <w:rsid w:val="00227AD6"/>
    <w:rsid w:val="00227BA2"/>
    <w:rsid w:val="00227C92"/>
    <w:rsid w:val="00230D48"/>
    <w:rsid w:val="00230EB0"/>
    <w:rsid w:val="00230F10"/>
    <w:rsid w:val="00230FA5"/>
    <w:rsid w:val="00231460"/>
    <w:rsid w:val="0023157F"/>
    <w:rsid w:val="002319D8"/>
    <w:rsid w:val="00231B7F"/>
    <w:rsid w:val="00232146"/>
    <w:rsid w:val="0023233B"/>
    <w:rsid w:val="00232496"/>
    <w:rsid w:val="00232A6D"/>
    <w:rsid w:val="00232AC2"/>
    <w:rsid w:val="00232C78"/>
    <w:rsid w:val="00232C7D"/>
    <w:rsid w:val="00232D84"/>
    <w:rsid w:val="00232E93"/>
    <w:rsid w:val="00232FF2"/>
    <w:rsid w:val="00233372"/>
    <w:rsid w:val="00233510"/>
    <w:rsid w:val="002337D3"/>
    <w:rsid w:val="00233AB0"/>
    <w:rsid w:val="00234254"/>
    <w:rsid w:val="002348B9"/>
    <w:rsid w:val="00234FEF"/>
    <w:rsid w:val="002355AB"/>
    <w:rsid w:val="002355B8"/>
    <w:rsid w:val="00235845"/>
    <w:rsid w:val="002359DE"/>
    <w:rsid w:val="00235B05"/>
    <w:rsid w:val="00235C83"/>
    <w:rsid w:val="00235E5D"/>
    <w:rsid w:val="00235F4C"/>
    <w:rsid w:val="00235F64"/>
    <w:rsid w:val="00236297"/>
    <w:rsid w:val="00236BD6"/>
    <w:rsid w:val="00236CFA"/>
    <w:rsid w:val="002374FF"/>
    <w:rsid w:val="00237846"/>
    <w:rsid w:val="00237A64"/>
    <w:rsid w:val="00237BD1"/>
    <w:rsid w:val="00237BD5"/>
    <w:rsid w:val="00237E83"/>
    <w:rsid w:val="00237FF2"/>
    <w:rsid w:val="002400B0"/>
    <w:rsid w:val="00240279"/>
    <w:rsid w:val="00240289"/>
    <w:rsid w:val="0024057C"/>
    <w:rsid w:val="002408E3"/>
    <w:rsid w:val="00241012"/>
    <w:rsid w:val="00241173"/>
    <w:rsid w:val="0024177F"/>
    <w:rsid w:val="00241D6F"/>
    <w:rsid w:val="00241EDA"/>
    <w:rsid w:val="002420BE"/>
    <w:rsid w:val="0024213C"/>
    <w:rsid w:val="00242624"/>
    <w:rsid w:val="00242791"/>
    <w:rsid w:val="00242C7A"/>
    <w:rsid w:val="002430FA"/>
    <w:rsid w:val="00243C42"/>
    <w:rsid w:val="00243CF0"/>
    <w:rsid w:val="00244510"/>
    <w:rsid w:val="00244797"/>
    <w:rsid w:val="00244C43"/>
    <w:rsid w:val="002454CB"/>
    <w:rsid w:val="002456F7"/>
    <w:rsid w:val="00245A7D"/>
    <w:rsid w:val="00245BAD"/>
    <w:rsid w:val="0024655F"/>
    <w:rsid w:val="00246873"/>
    <w:rsid w:val="00246A41"/>
    <w:rsid w:val="00247345"/>
    <w:rsid w:val="002474DB"/>
    <w:rsid w:val="0024760F"/>
    <w:rsid w:val="0024771C"/>
    <w:rsid w:val="002478C8"/>
    <w:rsid w:val="002479DE"/>
    <w:rsid w:val="00247A9A"/>
    <w:rsid w:val="00247B40"/>
    <w:rsid w:val="00247D18"/>
    <w:rsid w:val="00247E35"/>
    <w:rsid w:val="00247E83"/>
    <w:rsid w:val="00250140"/>
    <w:rsid w:val="00250544"/>
    <w:rsid w:val="002505CA"/>
    <w:rsid w:val="0025092C"/>
    <w:rsid w:val="00250B12"/>
    <w:rsid w:val="00250C69"/>
    <w:rsid w:val="00250D26"/>
    <w:rsid w:val="00250D35"/>
    <w:rsid w:val="00250DC7"/>
    <w:rsid w:val="00250EF8"/>
    <w:rsid w:val="00250F60"/>
    <w:rsid w:val="002513B4"/>
    <w:rsid w:val="0025172D"/>
    <w:rsid w:val="002517DE"/>
    <w:rsid w:val="00251CDC"/>
    <w:rsid w:val="00251F66"/>
    <w:rsid w:val="002520C9"/>
    <w:rsid w:val="00252241"/>
    <w:rsid w:val="002523C1"/>
    <w:rsid w:val="0025248E"/>
    <w:rsid w:val="0025262C"/>
    <w:rsid w:val="002534E9"/>
    <w:rsid w:val="00253C59"/>
    <w:rsid w:val="00253E6E"/>
    <w:rsid w:val="002541A0"/>
    <w:rsid w:val="0025439E"/>
    <w:rsid w:val="00254549"/>
    <w:rsid w:val="00254B89"/>
    <w:rsid w:val="0025502E"/>
    <w:rsid w:val="0025541C"/>
    <w:rsid w:val="0025548B"/>
    <w:rsid w:val="00255E88"/>
    <w:rsid w:val="00255F0B"/>
    <w:rsid w:val="00255F1C"/>
    <w:rsid w:val="0025622D"/>
    <w:rsid w:val="00256387"/>
    <w:rsid w:val="00256662"/>
    <w:rsid w:val="002566C8"/>
    <w:rsid w:val="0025676F"/>
    <w:rsid w:val="00256CD3"/>
    <w:rsid w:val="0025729D"/>
    <w:rsid w:val="002573B1"/>
    <w:rsid w:val="00257C78"/>
    <w:rsid w:val="00257D9C"/>
    <w:rsid w:val="002602B7"/>
    <w:rsid w:val="00260453"/>
    <w:rsid w:val="00260A67"/>
    <w:rsid w:val="00260BAF"/>
    <w:rsid w:val="00260D2D"/>
    <w:rsid w:val="00260D7E"/>
    <w:rsid w:val="00260FD6"/>
    <w:rsid w:val="00261739"/>
    <w:rsid w:val="0026195C"/>
    <w:rsid w:val="00261A75"/>
    <w:rsid w:val="00261B7B"/>
    <w:rsid w:val="00261C38"/>
    <w:rsid w:val="00262086"/>
    <w:rsid w:val="0026248F"/>
    <w:rsid w:val="00262662"/>
    <w:rsid w:val="002626E2"/>
    <w:rsid w:val="00262974"/>
    <w:rsid w:val="00262A45"/>
    <w:rsid w:val="00262A9B"/>
    <w:rsid w:val="00262AC9"/>
    <w:rsid w:val="00262B17"/>
    <w:rsid w:val="002632B0"/>
    <w:rsid w:val="00263300"/>
    <w:rsid w:val="00263435"/>
    <w:rsid w:val="002638F9"/>
    <w:rsid w:val="0026392E"/>
    <w:rsid w:val="00263B03"/>
    <w:rsid w:val="002640E3"/>
    <w:rsid w:val="00264221"/>
    <w:rsid w:val="00264984"/>
    <w:rsid w:val="00264D1B"/>
    <w:rsid w:val="00264D82"/>
    <w:rsid w:val="00265198"/>
    <w:rsid w:val="00265328"/>
    <w:rsid w:val="0026565F"/>
    <w:rsid w:val="0026577C"/>
    <w:rsid w:val="002657EB"/>
    <w:rsid w:val="00265873"/>
    <w:rsid w:val="002659A0"/>
    <w:rsid w:val="00265E31"/>
    <w:rsid w:val="00266733"/>
    <w:rsid w:val="00267109"/>
    <w:rsid w:val="0026766F"/>
    <w:rsid w:val="00267925"/>
    <w:rsid w:val="00267DA5"/>
    <w:rsid w:val="00267F0F"/>
    <w:rsid w:val="002701F5"/>
    <w:rsid w:val="00270334"/>
    <w:rsid w:val="002703C6"/>
    <w:rsid w:val="002703D9"/>
    <w:rsid w:val="0027059A"/>
    <w:rsid w:val="00270C4B"/>
    <w:rsid w:val="00270E54"/>
    <w:rsid w:val="0027161F"/>
    <w:rsid w:val="0027162A"/>
    <w:rsid w:val="00271837"/>
    <w:rsid w:val="00271D06"/>
    <w:rsid w:val="0027210A"/>
    <w:rsid w:val="00272527"/>
    <w:rsid w:val="002728D7"/>
    <w:rsid w:val="00272D2D"/>
    <w:rsid w:val="00273152"/>
    <w:rsid w:val="00273414"/>
    <w:rsid w:val="00273418"/>
    <w:rsid w:val="002738C2"/>
    <w:rsid w:val="0027397B"/>
    <w:rsid w:val="0027398B"/>
    <w:rsid w:val="00273D6B"/>
    <w:rsid w:val="0027453B"/>
    <w:rsid w:val="00274B8F"/>
    <w:rsid w:val="00274C2A"/>
    <w:rsid w:val="0027544A"/>
    <w:rsid w:val="002754A9"/>
    <w:rsid w:val="00275579"/>
    <w:rsid w:val="0027569B"/>
    <w:rsid w:val="002756F1"/>
    <w:rsid w:val="00275742"/>
    <w:rsid w:val="00275900"/>
    <w:rsid w:val="00275C01"/>
    <w:rsid w:val="00276903"/>
    <w:rsid w:val="0027697B"/>
    <w:rsid w:val="00276C4D"/>
    <w:rsid w:val="00276D5B"/>
    <w:rsid w:val="002771F1"/>
    <w:rsid w:val="0027765E"/>
    <w:rsid w:val="0027780D"/>
    <w:rsid w:val="00277DEF"/>
    <w:rsid w:val="00277E3D"/>
    <w:rsid w:val="00277EA0"/>
    <w:rsid w:val="00280190"/>
    <w:rsid w:val="00280254"/>
    <w:rsid w:val="00280416"/>
    <w:rsid w:val="00280441"/>
    <w:rsid w:val="0028076D"/>
    <w:rsid w:val="00280B85"/>
    <w:rsid w:val="00280EC8"/>
    <w:rsid w:val="00281141"/>
    <w:rsid w:val="002811CF"/>
    <w:rsid w:val="00281BAE"/>
    <w:rsid w:val="00282219"/>
    <w:rsid w:val="00282220"/>
    <w:rsid w:val="002823A0"/>
    <w:rsid w:val="0028257F"/>
    <w:rsid w:val="002826C9"/>
    <w:rsid w:val="0028284D"/>
    <w:rsid w:val="00282C15"/>
    <w:rsid w:val="00282C1A"/>
    <w:rsid w:val="0028332F"/>
    <w:rsid w:val="00283487"/>
    <w:rsid w:val="00283BAF"/>
    <w:rsid w:val="00283D08"/>
    <w:rsid w:val="00283D54"/>
    <w:rsid w:val="00283E72"/>
    <w:rsid w:val="002841F0"/>
    <w:rsid w:val="00284319"/>
    <w:rsid w:val="002849F2"/>
    <w:rsid w:val="00284A5B"/>
    <w:rsid w:val="00284BE2"/>
    <w:rsid w:val="00284D45"/>
    <w:rsid w:val="00284E88"/>
    <w:rsid w:val="00284EC7"/>
    <w:rsid w:val="00285218"/>
    <w:rsid w:val="002855A1"/>
    <w:rsid w:val="002857D7"/>
    <w:rsid w:val="00285D09"/>
    <w:rsid w:val="002862A3"/>
    <w:rsid w:val="002862F7"/>
    <w:rsid w:val="0028642A"/>
    <w:rsid w:val="00286495"/>
    <w:rsid w:val="00286692"/>
    <w:rsid w:val="002866AF"/>
    <w:rsid w:val="002866BF"/>
    <w:rsid w:val="002869C3"/>
    <w:rsid w:val="00286A08"/>
    <w:rsid w:val="00286C95"/>
    <w:rsid w:val="00286D51"/>
    <w:rsid w:val="00287384"/>
    <w:rsid w:val="00287697"/>
    <w:rsid w:val="00287B02"/>
    <w:rsid w:val="00287D39"/>
    <w:rsid w:val="00287D56"/>
    <w:rsid w:val="00287E6B"/>
    <w:rsid w:val="00290793"/>
    <w:rsid w:val="0029099C"/>
    <w:rsid w:val="002909C8"/>
    <w:rsid w:val="00290BD6"/>
    <w:rsid w:val="00290D13"/>
    <w:rsid w:val="00290DBC"/>
    <w:rsid w:val="002911B8"/>
    <w:rsid w:val="00291381"/>
    <w:rsid w:val="0029169D"/>
    <w:rsid w:val="00291A3A"/>
    <w:rsid w:val="002921C4"/>
    <w:rsid w:val="0029244B"/>
    <w:rsid w:val="0029257A"/>
    <w:rsid w:val="0029258E"/>
    <w:rsid w:val="00292C1C"/>
    <w:rsid w:val="00292CDE"/>
    <w:rsid w:val="0029309E"/>
    <w:rsid w:val="002931A3"/>
    <w:rsid w:val="002937E4"/>
    <w:rsid w:val="00293807"/>
    <w:rsid w:val="0029385D"/>
    <w:rsid w:val="00293A00"/>
    <w:rsid w:val="00293A9A"/>
    <w:rsid w:val="00293B81"/>
    <w:rsid w:val="0029445D"/>
    <w:rsid w:val="00294544"/>
    <w:rsid w:val="00294664"/>
    <w:rsid w:val="00294B19"/>
    <w:rsid w:val="00294B4A"/>
    <w:rsid w:val="00294B4D"/>
    <w:rsid w:val="00294C2C"/>
    <w:rsid w:val="00295077"/>
    <w:rsid w:val="00295263"/>
    <w:rsid w:val="002953A7"/>
    <w:rsid w:val="00295E92"/>
    <w:rsid w:val="00296763"/>
    <w:rsid w:val="002967CF"/>
    <w:rsid w:val="00296C34"/>
    <w:rsid w:val="00296CE8"/>
    <w:rsid w:val="00297030"/>
    <w:rsid w:val="00297698"/>
    <w:rsid w:val="002978E3"/>
    <w:rsid w:val="00297FE4"/>
    <w:rsid w:val="002A0268"/>
    <w:rsid w:val="002A0288"/>
    <w:rsid w:val="002A045D"/>
    <w:rsid w:val="002A09FF"/>
    <w:rsid w:val="002A1023"/>
    <w:rsid w:val="002A1936"/>
    <w:rsid w:val="002A1B11"/>
    <w:rsid w:val="002A1B77"/>
    <w:rsid w:val="002A1D53"/>
    <w:rsid w:val="002A236A"/>
    <w:rsid w:val="002A2A10"/>
    <w:rsid w:val="002A2AE5"/>
    <w:rsid w:val="002A32A1"/>
    <w:rsid w:val="002A3457"/>
    <w:rsid w:val="002A373E"/>
    <w:rsid w:val="002A3B11"/>
    <w:rsid w:val="002A3E8D"/>
    <w:rsid w:val="002A3EF8"/>
    <w:rsid w:val="002A477F"/>
    <w:rsid w:val="002A48ED"/>
    <w:rsid w:val="002A49A0"/>
    <w:rsid w:val="002A4D06"/>
    <w:rsid w:val="002A51B5"/>
    <w:rsid w:val="002A5241"/>
    <w:rsid w:val="002A58BD"/>
    <w:rsid w:val="002A5A23"/>
    <w:rsid w:val="002A5C82"/>
    <w:rsid w:val="002A5D7C"/>
    <w:rsid w:val="002A5E66"/>
    <w:rsid w:val="002A5FCE"/>
    <w:rsid w:val="002A618D"/>
    <w:rsid w:val="002A679A"/>
    <w:rsid w:val="002A767C"/>
    <w:rsid w:val="002A77C7"/>
    <w:rsid w:val="002A79D4"/>
    <w:rsid w:val="002A7C3A"/>
    <w:rsid w:val="002B01A1"/>
    <w:rsid w:val="002B02FF"/>
    <w:rsid w:val="002B06D0"/>
    <w:rsid w:val="002B080A"/>
    <w:rsid w:val="002B0D1D"/>
    <w:rsid w:val="002B0D8B"/>
    <w:rsid w:val="002B0E61"/>
    <w:rsid w:val="002B0ED9"/>
    <w:rsid w:val="002B12AB"/>
    <w:rsid w:val="002B1681"/>
    <w:rsid w:val="002B1A84"/>
    <w:rsid w:val="002B1B24"/>
    <w:rsid w:val="002B1D03"/>
    <w:rsid w:val="002B206A"/>
    <w:rsid w:val="002B25C9"/>
    <w:rsid w:val="002B2737"/>
    <w:rsid w:val="002B27BD"/>
    <w:rsid w:val="002B2E3F"/>
    <w:rsid w:val="002B2E8F"/>
    <w:rsid w:val="002B3322"/>
    <w:rsid w:val="002B34DB"/>
    <w:rsid w:val="002B3605"/>
    <w:rsid w:val="002B39E3"/>
    <w:rsid w:val="002B4329"/>
    <w:rsid w:val="002B45FA"/>
    <w:rsid w:val="002B46E8"/>
    <w:rsid w:val="002B4DC1"/>
    <w:rsid w:val="002B4FD2"/>
    <w:rsid w:val="002B5034"/>
    <w:rsid w:val="002B5037"/>
    <w:rsid w:val="002B50D3"/>
    <w:rsid w:val="002B520D"/>
    <w:rsid w:val="002B52E3"/>
    <w:rsid w:val="002B5351"/>
    <w:rsid w:val="002B57D1"/>
    <w:rsid w:val="002B5C4A"/>
    <w:rsid w:val="002B5E85"/>
    <w:rsid w:val="002B6206"/>
    <w:rsid w:val="002B6259"/>
    <w:rsid w:val="002B6752"/>
    <w:rsid w:val="002B684B"/>
    <w:rsid w:val="002B6A33"/>
    <w:rsid w:val="002B6D8C"/>
    <w:rsid w:val="002B6DE0"/>
    <w:rsid w:val="002B701B"/>
    <w:rsid w:val="002B7358"/>
    <w:rsid w:val="002B7406"/>
    <w:rsid w:val="002B7419"/>
    <w:rsid w:val="002B74DC"/>
    <w:rsid w:val="002B7E4C"/>
    <w:rsid w:val="002C0020"/>
    <w:rsid w:val="002C01F0"/>
    <w:rsid w:val="002C065D"/>
    <w:rsid w:val="002C0741"/>
    <w:rsid w:val="002C09FF"/>
    <w:rsid w:val="002C0A04"/>
    <w:rsid w:val="002C0D21"/>
    <w:rsid w:val="002C0D78"/>
    <w:rsid w:val="002C0E1C"/>
    <w:rsid w:val="002C193E"/>
    <w:rsid w:val="002C19DE"/>
    <w:rsid w:val="002C1AEF"/>
    <w:rsid w:val="002C2299"/>
    <w:rsid w:val="002C2661"/>
    <w:rsid w:val="002C2C7E"/>
    <w:rsid w:val="002C2EA9"/>
    <w:rsid w:val="002C317B"/>
    <w:rsid w:val="002C3B17"/>
    <w:rsid w:val="002C3C89"/>
    <w:rsid w:val="002C3E21"/>
    <w:rsid w:val="002C3E3B"/>
    <w:rsid w:val="002C4077"/>
    <w:rsid w:val="002C4101"/>
    <w:rsid w:val="002C4157"/>
    <w:rsid w:val="002C44DB"/>
    <w:rsid w:val="002C45E7"/>
    <w:rsid w:val="002C46F1"/>
    <w:rsid w:val="002C52DE"/>
    <w:rsid w:val="002C54FF"/>
    <w:rsid w:val="002C55AA"/>
    <w:rsid w:val="002C577B"/>
    <w:rsid w:val="002C5876"/>
    <w:rsid w:val="002C5A39"/>
    <w:rsid w:val="002C5DFE"/>
    <w:rsid w:val="002C5F28"/>
    <w:rsid w:val="002C6135"/>
    <w:rsid w:val="002C644C"/>
    <w:rsid w:val="002C6731"/>
    <w:rsid w:val="002C70A5"/>
    <w:rsid w:val="002C7285"/>
    <w:rsid w:val="002C730E"/>
    <w:rsid w:val="002C73D5"/>
    <w:rsid w:val="002C73EA"/>
    <w:rsid w:val="002C74DA"/>
    <w:rsid w:val="002C75E1"/>
    <w:rsid w:val="002C76D7"/>
    <w:rsid w:val="002C7852"/>
    <w:rsid w:val="002C7E7A"/>
    <w:rsid w:val="002C7EE8"/>
    <w:rsid w:val="002D0027"/>
    <w:rsid w:val="002D04B6"/>
    <w:rsid w:val="002D08B8"/>
    <w:rsid w:val="002D0D29"/>
    <w:rsid w:val="002D0D52"/>
    <w:rsid w:val="002D0E72"/>
    <w:rsid w:val="002D0ECD"/>
    <w:rsid w:val="002D0FF6"/>
    <w:rsid w:val="002D0FF9"/>
    <w:rsid w:val="002D1419"/>
    <w:rsid w:val="002D15E9"/>
    <w:rsid w:val="002D1611"/>
    <w:rsid w:val="002D19BF"/>
    <w:rsid w:val="002D1B52"/>
    <w:rsid w:val="002D1CD0"/>
    <w:rsid w:val="002D1D41"/>
    <w:rsid w:val="002D2301"/>
    <w:rsid w:val="002D2366"/>
    <w:rsid w:val="002D2376"/>
    <w:rsid w:val="002D246B"/>
    <w:rsid w:val="002D28EE"/>
    <w:rsid w:val="002D2C00"/>
    <w:rsid w:val="002D2E98"/>
    <w:rsid w:val="002D3144"/>
    <w:rsid w:val="002D3614"/>
    <w:rsid w:val="002D375E"/>
    <w:rsid w:val="002D41EF"/>
    <w:rsid w:val="002D42D9"/>
    <w:rsid w:val="002D489F"/>
    <w:rsid w:val="002D4993"/>
    <w:rsid w:val="002D4F65"/>
    <w:rsid w:val="002D524E"/>
    <w:rsid w:val="002D528C"/>
    <w:rsid w:val="002D6ABD"/>
    <w:rsid w:val="002D6B33"/>
    <w:rsid w:val="002D6D28"/>
    <w:rsid w:val="002D71E1"/>
    <w:rsid w:val="002D7393"/>
    <w:rsid w:val="002D76A7"/>
    <w:rsid w:val="002D7A6B"/>
    <w:rsid w:val="002D7D56"/>
    <w:rsid w:val="002D7F56"/>
    <w:rsid w:val="002E0146"/>
    <w:rsid w:val="002E02ED"/>
    <w:rsid w:val="002E035C"/>
    <w:rsid w:val="002E0592"/>
    <w:rsid w:val="002E0725"/>
    <w:rsid w:val="002E0ABB"/>
    <w:rsid w:val="002E0B2B"/>
    <w:rsid w:val="002E0DA2"/>
    <w:rsid w:val="002E116E"/>
    <w:rsid w:val="002E11B0"/>
    <w:rsid w:val="002E1216"/>
    <w:rsid w:val="002E13E4"/>
    <w:rsid w:val="002E1886"/>
    <w:rsid w:val="002E193E"/>
    <w:rsid w:val="002E1B12"/>
    <w:rsid w:val="002E201D"/>
    <w:rsid w:val="002E21C5"/>
    <w:rsid w:val="002E25D1"/>
    <w:rsid w:val="002E2B61"/>
    <w:rsid w:val="002E2C19"/>
    <w:rsid w:val="002E2ECE"/>
    <w:rsid w:val="002E2F88"/>
    <w:rsid w:val="002E37E1"/>
    <w:rsid w:val="002E37FA"/>
    <w:rsid w:val="002E3B1A"/>
    <w:rsid w:val="002E3F25"/>
    <w:rsid w:val="002E42AB"/>
    <w:rsid w:val="002E470F"/>
    <w:rsid w:val="002E4C9C"/>
    <w:rsid w:val="002E4E1F"/>
    <w:rsid w:val="002E4E42"/>
    <w:rsid w:val="002E4EF6"/>
    <w:rsid w:val="002E522B"/>
    <w:rsid w:val="002E5526"/>
    <w:rsid w:val="002E55B2"/>
    <w:rsid w:val="002E59D2"/>
    <w:rsid w:val="002E5A8F"/>
    <w:rsid w:val="002E5B06"/>
    <w:rsid w:val="002E6029"/>
    <w:rsid w:val="002E63ED"/>
    <w:rsid w:val="002E6597"/>
    <w:rsid w:val="002E6673"/>
    <w:rsid w:val="002E685F"/>
    <w:rsid w:val="002E6A6D"/>
    <w:rsid w:val="002E6AE9"/>
    <w:rsid w:val="002E78FB"/>
    <w:rsid w:val="002E79B7"/>
    <w:rsid w:val="002E7BC0"/>
    <w:rsid w:val="002E7E7F"/>
    <w:rsid w:val="002E7FE2"/>
    <w:rsid w:val="002F00E0"/>
    <w:rsid w:val="002F0298"/>
    <w:rsid w:val="002F04EF"/>
    <w:rsid w:val="002F04F7"/>
    <w:rsid w:val="002F09CF"/>
    <w:rsid w:val="002F0B96"/>
    <w:rsid w:val="002F0E1E"/>
    <w:rsid w:val="002F1054"/>
    <w:rsid w:val="002F1B09"/>
    <w:rsid w:val="002F1B1B"/>
    <w:rsid w:val="002F1BDF"/>
    <w:rsid w:val="002F248C"/>
    <w:rsid w:val="002F2589"/>
    <w:rsid w:val="002F29BB"/>
    <w:rsid w:val="002F2DDE"/>
    <w:rsid w:val="002F3222"/>
    <w:rsid w:val="002F3308"/>
    <w:rsid w:val="002F3822"/>
    <w:rsid w:val="002F39AA"/>
    <w:rsid w:val="002F3A8B"/>
    <w:rsid w:val="002F3CC0"/>
    <w:rsid w:val="002F3F63"/>
    <w:rsid w:val="002F409C"/>
    <w:rsid w:val="002F4C19"/>
    <w:rsid w:val="002F5651"/>
    <w:rsid w:val="002F584A"/>
    <w:rsid w:val="002F5C28"/>
    <w:rsid w:val="002F5D87"/>
    <w:rsid w:val="002F5DD9"/>
    <w:rsid w:val="002F5E18"/>
    <w:rsid w:val="002F5F85"/>
    <w:rsid w:val="002F6063"/>
    <w:rsid w:val="002F6194"/>
    <w:rsid w:val="002F61EB"/>
    <w:rsid w:val="002F626D"/>
    <w:rsid w:val="002F649F"/>
    <w:rsid w:val="002F673A"/>
    <w:rsid w:val="002F7057"/>
    <w:rsid w:val="002F722B"/>
    <w:rsid w:val="002F7501"/>
    <w:rsid w:val="002F7862"/>
    <w:rsid w:val="003002F0"/>
    <w:rsid w:val="003004C2"/>
    <w:rsid w:val="003005E1"/>
    <w:rsid w:val="00300A05"/>
    <w:rsid w:val="00300BBB"/>
    <w:rsid w:val="00300FD5"/>
    <w:rsid w:val="003015F3"/>
    <w:rsid w:val="00301662"/>
    <w:rsid w:val="003019B0"/>
    <w:rsid w:val="00301A70"/>
    <w:rsid w:val="00301C83"/>
    <w:rsid w:val="00302848"/>
    <w:rsid w:val="0030299A"/>
    <w:rsid w:val="00302A98"/>
    <w:rsid w:val="00302AC5"/>
    <w:rsid w:val="00302C2B"/>
    <w:rsid w:val="00302D0F"/>
    <w:rsid w:val="0030335E"/>
    <w:rsid w:val="00303652"/>
    <w:rsid w:val="00303AA6"/>
    <w:rsid w:val="00304022"/>
    <w:rsid w:val="003042D4"/>
    <w:rsid w:val="00304576"/>
    <w:rsid w:val="00304597"/>
    <w:rsid w:val="00304E34"/>
    <w:rsid w:val="00304F01"/>
    <w:rsid w:val="00305186"/>
    <w:rsid w:val="003055DB"/>
    <w:rsid w:val="003056E2"/>
    <w:rsid w:val="00305931"/>
    <w:rsid w:val="00306571"/>
    <w:rsid w:val="00306816"/>
    <w:rsid w:val="00306A03"/>
    <w:rsid w:val="00307005"/>
    <w:rsid w:val="003070DA"/>
    <w:rsid w:val="003071D2"/>
    <w:rsid w:val="003074E1"/>
    <w:rsid w:val="003074F3"/>
    <w:rsid w:val="0030788D"/>
    <w:rsid w:val="003079D9"/>
    <w:rsid w:val="00307CF3"/>
    <w:rsid w:val="00307D92"/>
    <w:rsid w:val="00307EA6"/>
    <w:rsid w:val="0031001D"/>
    <w:rsid w:val="00310072"/>
    <w:rsid w:val="003106DE"/>
    <w:rsid w:val="0031076D"/>
    <w:rsid w:val="003108D6"/>
    <w:rsid w:val="003109E0"/>
    <w:rsid w:val="00310DBC"/>
    <w:rsid w:val="003110C1"/>
    <w:rsid w:val="0031121A"/>
    <w:rsid w:val="003115D0"/>
    <w:rsid w:val="00311600"/>
    <w:rsid w:val="003119FC"/>
    <w:rsid w:val="00311B74"/>
    <w:rsid w:val="00311F73"/>
    <w:rsid w:val="00312591"/>
    <w:rsid w:val="0031264F"/>
    <w:rsid w:val="00312B4B"/>
    <w:rsid w:val="00312F0C"/>
    <w:rsid w:val="00313261"/>
    <w:rsid w:val="003133C8"/>
    <w:rsid w:val="003133FE"/>
    <w:rsid w:val="003143E0"/>
    <w:rsid w:val="00314457"/>
    <w:rsid w:val="003146A0"/>
    <w:rsid w:val="00314EF6"/>
    <w:rsid w:val="00314F5D"/>
    <w:rsid w:val="0031506F"/>
    <w:rsid w:val="00315850"/>
    <w:rsid w:val="00315A32"/>
    <w:rsid w:val="00315C6A"/>
    <w:rsid w:val="00316408"/>
    <w:rsid w:val="00316611"/>
    <w:rsid w:val="00316BDF"/>
    <w:rsid w:val="00316CA0"/>
    <w:rsid w:val="003171F4"/>
    <w:rsid w:val="00317395"/>
    <w:rsid w:val="003173EA"/>
    <w:rsid w:val="0031744B"/>
    <w:rsid w:val="00317603"/>
    <w:rsid w:val="003176EE"/>
    <w:rsid w:val="00317763"/>
    <w:rsid w:val="00317933"/>
    <w:rsid w:val="00317F75"/>
    <w:rsid w:val="003200FE"/>
    <w:rsid w:val="003201B8"/>
    <w:rsid w:val="003201DF"/>
    <w:rsid w:val="00320609"/>
    <w:rsid w:val="0032064C"/>
    <w:rsid w:val="003206C2"/>
    <w:rsid w:val="00320846"/>
    <w:rsid w:val="00320917"/>
    <w:rsid w:val="00320A9B"/>
    <w:rsid w:val="00320ED2"/>
    <w:rsid w:val="00320F1D"/>
    <w:rsid w:val="00321004"/>
    <w:rsid w:val="00321201"/>
    <w:rsid w:val="00321408"/>
    <w:rsid w:val="00321503"/>
    <w:rsid w:val="00321604"/>
    <w:rsid w:val="003218A0"/>
    <w:rsid w:val="00321AF2"/>
    <w:rsid w:val="00321C21"/>
    <w:rsid w:val="00321C9F"/>
    <w:rsid w:val="00321E1D"/>
    <w:rsid w:val="00322009"/>
    <w:rsid w:val="0032258D"/>
    <w:rsid w:val="00322674"/>
    <w:rsid w:val="003226B2"/>
    <w:rsid w:val="003229F6"/>
    <w:rsid w:val="00322A59"/>
    <w:rsid w:val="00322C6F"/>
    <w:rsid w:val="00323743"/>
    <w:rsid w:val="00323F23"/>
    <w:rsid w:val="003241A1"/>
    <w:rsid w:val="00324273"/>
    <w:rsid w:val="003242CA"/>
    <w:rsid w:val="0032431C"/>
    <w:rsid w:val="00324414"/>
    <w:rsid w:val="0032458B"/>
    <w:rsid w:val="0032491A"/>
    <w:rsid w:val="00324D58"/>
    <w:rsid w:val="00324EAF"/>
    <w:rsid w:val="0032567E"/>
    <w:rsid w:val="003256B2"/>
    <w:rsid w:val="00325960"/>
    <w:rsid w:val="00325AAC"/>
    <w:rsid w:val="00325AF3"/>
    <w:rsid w:val="00325C5F"/>
    <w:rsid w:val="00325E94"/>
    <w:rsid w:val="00325F08"/>
    <w:rsid w:val="003267C0"/>
    <w:rsid w:val="00326A92"/>
    <w:rsid w:val="003270E7"/>
    <w:rsid w:val="003276E3"/>
    <w:rsid w:val="00327749"/>
    <w:rsid w:val="00327B1A"/>
    <w:rsid w:val="00327E45"/>
    <w:rsid w:val="00327F77"/>
    <w:rsid w:val="003302C4"/>
    <w:rsid w:val="0033054F"/>
    <w:rsid w:val="00330CAC"/>
    <w:rsid w:val="00330D82"/>
    <w:rsid w:val="00330EF3"/>
    <w:rsid w:val="0033129A"/>
    <w:rsid w:val="003314E3"/>
    <w:rsid w:val="0033151B"/>
    <w:rsid w:val="003315AC"/>
    <w:rsid w:val="00331AFD"/>
    <w:rsid w:val="00331CE4"/>
    <w:rsid w:val="00331DA9"/>
    <w:rsid w:val="00331F6E"/>
    <w:rsid w:val="00332047"/>
    <w:rsid w:val="00332090"/>
    <w:rsid w:val="0033211A"/>
    <w:rsid w:val="003324A3"/>
    <w:rsid w:val="003327FC"/>
    <w:rsid w:val="003329D0"/>
    <w:rsid w:val="00332A17"/>
    <w:rsid w:val="00332ACD"/>
    <w:rsid w:val="00332DC4"/>
    <w:rsid w:val="003330CE"/>
    <w:rsid w:val="00333129"/>
    <w:rsid w:val="00333926"/>
    <w:rsid w:val="00333CEA"/>
    <w:rsid w:val="00333D29"/>
    <w:rsid w:val="00333EF7"/>
    <w:rsid w:val="0033415D"/>
    <w:rsid w:val="0033422E"/>
    <w:rsid w:val="003343EC"/>
    <w:rsid w:val="00334410"/>
    <w:rsid w:val="00334501"/>
    <w:rsid w:val="00334A1B"/>
    <w:rsid w:val="00334E00"/>
    <w:rsid w:val="00335094"/>
    <w:rsid w:val="00335F3A"/>
    <w:rsid w:val="0033621D"/>
    <w:rsid w:val="0033629B"/>
    <w:rsid w:val="00336862"/>
    <w:rsid w:val="003368B0"/>
    <w:rsid w:val="00336EB8"/>
    <w:rsid w:val="003373F8"/>
    <w:rsid w:val="00337CFB"/>
    <w:rsid w:val="00337D3A"/>
    <w:rsid w:val="00337D7A"/>
    <w:rsid w:val="00337E32"/>
    <w:rsid w:val="00337E43"/>
    <w:rsid w:val="00340120"/>
    <w:rsid w:val="003405AB"/>
    <w:rsid w:val="00340855"/>
    <w:rsid w:val="003408CE"/>
    <w:rsid w:val="00340C98"/>
    <w:rsid w:val="00341014"/>
    <w:rsid w:val="00341060"/>
    <w:rsid w:val="00341411"/>
    <w:rsid w:val="00341506"/>
    <w:rsid w:val="003416A0"/>
    <w:rsid w:val="00341B62"/>
    <w:rsid w:val="00341C30"/>
    <w:rsid w:val="00341D43"/>
    <w:rsid w:val="00341E6C"/>
    <w:rsid w:val="003420ED"/>
    <w:rsid w:val="0034233C"/>
    <w:rsid w:val="003427D6"/>
    <w:rsid w:val="003427DE"/>
    <w:rsid w:val="00342E07"/>
    <w:rsid w:val="003430AC"/>
    <w:rsid w:val="003430F7"/>
    <w:rsid w:val="00343459"/>
    <w:rsid w:val="00343826"/>
    <w:rsid w:val="00343C6D"/>
    <w:rsid w:val="00343F35"/>
    <w:rsid w:val="00343F7C"/>
    <w:rsid w:val="0034465B"/>
    <w:rsid w:val="003447A3"/>
    <w:rsid w:val="00344AA7"/>
    <w:rsid w:val="00344AD2"/>
    <w:rsid w:val="00344AD6"/>
    <w:rsid w:val="00344BBC"/>
    <w:rsid w:val="00344CC1"/>
    <w:rsid w:val="00344D89"/>
    <w:rsid w:val="00344E91"/>
    <w:rsid w:val="00344F4A"/>
    <w:rsid w:val="003454F6"/>
    <w:rsid w:val="003459F1"/>
    <w:rsid w:val="00345BA5"/>
    <w:rsid w:val="00345BCD"/>
    <w:rsid w:val="00345C03"/>
    <w:rsid w:val="00345C2E"/>
    <w:rsid w:val="00345E44"/>
    <w:rsid w:val="00346232"/>
    <w:rsid w:val="003464BE"/>
    <w:rsid w:val="003464EF"/>
    <w:rsid w:val="0034681E"/>
    <w:rsid w:val="00346987"/>
    <w:rsid w:val="00346ACB"/>
    <w:rsid w:val="00346AFA"/>
    <w:rsid w:val="00346BB5"/>
    <w:rsid w:val="00346CC5"/>
    <w:rsid w:val="003472E7"/>
    <w:rsid w:val="00347467"/>
    <w:rsid w:val="00347EF4"/>
    <w:rsid w:val="003501D3"/>
    <w:rsid w:val="00350326"/>
    <w:rsid w:val="003505E0"/>
    <w:rsid w:val="00350633"/>
    <w:rsid w:val="00350B42"/>
    <w:rsid w:val="00350B50"/>
    <w:rsid w:val="00351058"/>
    <w:rsid w:val="00351405"/>
    <w:rsid w:val="00351A65"/>
    <w:rsid w:val="00351DD7"/>
    <w:rsid w:val="00351E18"/>
    <w:rsid w:val="00351FF0"/>
    <w:rsid w:val="003522AC"/>
    <w:rsid w:val="003522B4"/>
    <w:rsid w:val="0035255C"/>
    <w:rsid w:val="0035285E"/>
    <w:rsid w:val="0035297F"/>
    <w:rsid w:val="00352C59"/>
    <w:rsid w:val="00352CAF"/>
    <w:rsid w:val="00352FE4"/>
    <w:rsid w:val="0035379D"/>
    <w:rsid w:val="0035395E"/>
    <w:rsid w:val="003539F9"/>
    <w:rsid w:val="00353A98"/>
    <w:rsid w:val="003541EF"/>
    <w:rsid w:val="00354640"/>
    <w:rsid w:val="00354664"/>
    <w:rsid w:val="003546E7"/>
    <w:rsid w:val="00354BB0"/>
    <w:rsid w:val="00354C94"/>
    <w:rsid w:val="003550F9"/>
    <w:rsid w:val="0035516C"/>
    <w:rsid w:val="003559B1"/>
    <w:rsid w:val="00355B2C"/>
    <w:rsid w:val="00355B3C"/>
    <w:rsid w:val="00355C86"/>
    <w:rsid w:val="00355F59"/>
    <w:rsid w:val="00356147"/>
    <w:rsid w:val="00356240"/>
    <w:rsid w:val="00356250"/>
    <w:rsid w:val="0035670B"/>
    <w:rsid w:val="00356838"/>
    <w:rsid w:val="00356939"/>
    <w:rsid w:val="00356E48"/>
    <w:rsid w:val="0035729E"/>
    <w:rsid w:val="00360063"/>
    <w:rsid w:val="003601C6"/>
    <w:rsid w:val="003601EE"/>
    <w:rsid w:val="003602D1"/>
    <w:rsid w:val="00360849"/>
    <w:rsid w:val="003610C7"/>
    <w:rsid w:val="00361343"/>
    <w:rsid w:val="0036136E"/>
    <w:rsid w:val="003618DB"/>
    <w:rsid w:val="00361CF7"/>
    <w:rsid w:val="00361DA9"/>
    <w:rsid w:val="00362126"/>
    <w:rsid w:val="0036224B"/>
    <w:rsid w:val="00362312"/>
    <w:rsid w:val="0036240C"/>
    <w:rsid w:val="003624D2"/>
    <w:rsid w:val="00362559"/>
    <w:rsid w:val="00362A2A"/>
    <w:rsid w:val="00362B17"/>
    <w:rsid w:val="00362B48"/>
    <w:rsid w:val="003631FD"/>
    <w:rsid w:val="00363393"/>
    <w:rsid w:val="00363621"/>
    <w:rsid w:val="00363820"/>
    <w:rsid w:val="003638EA"/>
    <w:rsid w:val="00363BA0"/>
    <w:rsid w:val="00363E6E"/>
    <w:rsid w:val="003640E2"/>
    <w:rsid w:val="003642C9"/>
    <w:rsid w:val="003646AC"/>
    <w:rsid w:val="00364AB1"/>
    <w:rsid w:val="00364BC6"/>
    <w:rsid w:val="00364C95"/>
    <w:rsid w:val="00364F43"/>
    <w:rsid w:val="00364FD6"/>
    <w:rsid w:val="003659DA"/>
    <w:rsid w:val="00365E03"/>
    <w:rsid w:val="003664E1"/>
    <w:rsid w:val="003664EF"/>
    <w:rsid w:val="003666E5"/>
    <w:rsid w:val="003668F6"/>
    <w:rsid w:val="003668F7"/>
    <w:rsid w:val="00366BBA"/>
    <w:rsid w:val="00366EE7"/>
    <w:rsid w:val="00366F20"/>
    <w:rsid w:val="003670CE"/>
    <w:rsid w:val="00367349"/>
    <w:rsid w:val="0036795B"/>
    <w:rsid w:val="00367E82"/>
    <w:rsid w:val="003701BD"/>
    <w:rsid w:val="003702AE"/>
    <w:rsid w:val="003703E1"/>
    <w:rsid w:val="003705F4"/>
    <w:rsid w:val="0037093F"/>
    <w:rsid w:val="00370997"/>
    <w:rsid w:val="00370A9A"/>
    <w:rsid w:val="00370C41"/>
    <w:rsid w:val="00370FDE"/>
    <w:rsid w:val="0037173B"/>
    <w:rsid w:val="00371B40"/>
    <w:rsid w:val="00371B72"/>
    <w:rsid w:val="00371B9C"/>
    <w:rsid w:val="00371BDE"/>
    <w:rsid w:val="00371F7B"/>
    <w:rsid w:val="00372219"/>
    <w:rsid w:val="0037247F"/>
    <w:rsid w:val="003729C0"/>
    <w:rsid w:val="00372BE1"/>
    <w:rsid w:val="003732BF"/>
    <w:rsid w:val="0037351A"/>
    <w:rsid w:val="003735AB"/>
    <w:rsid w:val="00373799"/>
    <w:rsid w:val="0037383B"/>
    <w:rsid w:val="003739A0"/>
    <w:rsid w:val="00373E48"/>
    <w:rsid w:val="00373F31"/>
    <w:rsid w:val="00374295"/>
    <w:rsid w:val="00374897"/>
    <w:rsid w:val="00374C85"/>
    <w:rsid w:val="00375077"/>
    <w:rsid w:val="00375846"/>
    <w:rsid w:val="00375B00"/>
    <w:rsid w:val="003760A9"/>
    <w:rsid w:val="003767B7"/>
    <w:rsid w:val="003767FE"/>
    <w:rsid w:val="00376D7C"/>
    <w:rsid w:val="00376EC9"/>
    <w:rsid w:val="00377556"/>
    <w:rsid w:val="003779A3"/>
    <w:rsid w:val="003779F0"/>
    <w:rsid w:val="00377C13"/>
    <w:rsid w:val="00377CC6"/>
    <w:rsid w:val="00377EBB"/>
    <w:rsid w:val="00377EF0"/>
    <w:rsid w:val="00380146"/>
    <w:rsid w:val="003803CE"/>
    <w:rsid w:val="003805D4"/>
    <w:rsid w:val="003806CF"/>
    <w:rsid w:val="003810CD"/>
    <w:rsid w:val="003812D1"/>
    <w:rsid w:val="0038137F"/>
    <w:rsid w:val="003813EF"/>
    <w:rsid w:val="00381C92"/>
    <w:rsid w:val="00381CDD"/>
    <w:rsid w:val="003821FC"/>
    <w:rsid w:val="00382BBC"/>
    <w:rsid w:val="00382DC3"/>
    <w:rsid w:val="00383E2D"/>
    <w:rsid w:val="00383EBF"/>
    <w:rsid w:val="00383F98"/>
    <w:rsid w:val="0038411D"/>
    <w:rsid w:val="0038460D"/>
    <w:rsid w:val="00384977"/>
    <w:rsid w:val="00384B55"/>
    <w:rsid w:val="00384BFF"/>
    <w:rsid w:val="00384F31"/>
    <w:rsid w:val="00384F5A"/>
    <w:rsid w:val="0038561C"/>
    <w:rsid w:val="00385A93"/>
    <w:rsid w:val="00385B5F"/>
    <w:rsid w:val="00385CF0"/>
    <w:rsid w:val="00386204"/>
    <w:rsid w:val="003864C8"/>
    <w:rsid w:val="003867B2"/>
    <w:rsid w:val="00386996"/>
    <w:rsid w:val="00386DBE"/>
    <w:rsid w:val="00386FA7"/>
    <w:rsid w:val="00386FFE"/>
    <w:rsid w:val="0038719A"/>
    <w:rsid w:val="003877C4"/>
    <w:rsid w:val="0038781B"/>
    <w:rsid w:val="00387A49"/>
    <w:rsid w:val="00387A57"/>
    <w:rsid w:val="00387A8A"/>
    <w:rsid w:val="00387F19"/>
    <w:rsid w:val="00387F64"/>
    <w:rsid w:val="00387FBA"/>
    <w:rsid w:val="003901D4"/>
    <w:rsid w:val="0039096B"/>
    <w:rsid w:val="00390B84"/>
    <w:rsid w:val="00390CCA"/>
    <w:rsid w:val="00390D97"/>
    <w:rsid w:val="00390DF1"/>
    <w:rsid w:val="00390E82"/>
    <w:rsid w:val="00391515"/>
    <w:rsid w:val="00391574"/>
    <w:rsid w:val="003915B2"/>
    <w:rsid w:val="003916D4"/>
    <w:rsid w:val="00391995"/>
    <w:rsid w:val="00391BE5"/>
    <w:rsid w:val="00391C25"/>
    <w:rsid w:val="003924E0"/>
    <w:rsid w:val="00392917"/>
    <w:rsid w:val="00392F65"/>
    <w:rsid w:val="00392F6B"/>
    <w:rsid w:val="003936D5"/>
    <w:rsid w:val="00393849"/>
    <w:rsid w:val="00393E2B"/>
    <w:rsid w:val="00393FAC"/>
    <w:rsid w:val="0039411D"/>
    <w:rsid w:val="003941E7"/>
    <w:rsid w:val="00394AF3"/>
    <w:rsid w:val="00394DDB"/>
    <w:rsid w:val="00394E0E"/>
    <w:rsid w:val="00394FC3"/>
    <w:rsid w:val="003952AC"/>
    <w:rsid w:val="00395500"/>
    <w:rsid w:val="0039560F"/>
    <w:rsid w:val="00396353"/>
    <w:rsid w:val="003966EF"/>
    <w:rsid w:val="00396ABA"/>
    <w:rsid w:val="00396CEA"/>
    <w:rsid w:val="00396FD8"/>
    <w:rsid w:val="00397222"/>
    <w:rsid w:val="003975DA"/>
    <w:rsid w:val="00397B59"/>
    <w:rsid w:val="003A011F"/>
    <w:rsid w:val="003A02AA"/>
    <w:rsid w:val="003A0436"/>
    <w:rsid w:val="003A0563"/>
    <w:rsid w:val="003A0A5E"/>
    <w:rsid w:val="003A0DF7"/>
    <w:rsid w:val="003A13C8"/>
    <w:rsid w:val="003A1406"/>
    <w:rsid w:val="003A1747"/>
    <w:rsid w:val="003A17B2"/>
    <w:rsid w:val="003A18D7"/>
    <w:rsid w:val="003A19B0"/>
    <w:rsid w:val="003A221D"/>
    <w:rsid w:val="003A2C4D"/>
    <w:rsid w:val="003A2EF2"/>
    <w:rsid w:val="003A3061"/>
    <w:rsid w:val="003A334A"/>
    <w:rsid w:val="003A3368"/>
    <w:rsid w:val="003A3409"/>
    <w:rsid w:val="003A3549"/>
    <w:rsid w:val="003A3B09"/>
    <w:rsid w:val="003A3D97"/>
    <w:rsid w:val="003A3EA3"/>
    <w:rsid w:val="003A40E1"/>
    <w:rsid w:val="003A4B25"/>
    <w:rsid w:val="003A5359"/>
    <w:rsid w:val="003A5730"/>
    <w:rsid w:val="003A586C"/>
    <w:rsid w:val="003A5922"/>
    <w:rsid w:val="003A5D1A"/>
    <w:rsid w:val="003A5E66"/>
    <w:rsid w:val="003A61F4"/>
    <w:rsid w:val="003A64EB"/>
    <w:rsid w:val="003A657C"/>
    <w:rsid w:val="003A657D"/>
    <w:rsid w:val="003A65CE"/>
    <w:rsid w:val="003A6667"/>
    <w:rsid w:val="003A66B1"/>
    <w:rsid w:val="003A6883"/>
    <w:rsid w:val="003A6A7E"/>
    <w:rsid w:val="003A7071"/>
    <w:rsid w:val="003A7094"/>
    <w:rsid w:val="003A72AF"/>
    <w:rsid w:val="003A77C6"/>
    <w:rsid w:val="003A7A81"/>
    <w:rsid w:val="003A7FE6"/>
    <w:rsid w:val="003B0144"/>
    <w:rsid w:val="003B08C4"/>
    <w:rsid w:val="003B0BA9"/>
    <w:rsid w:val="003B1044"/>
    <w:rsid w:val="003B12E4"/>
    <w:rsid w:val="003B1EAD"/>
    <w:rsid w:val="003B1ED5"/>
    <w:rsid w:val="003B216D"/>
    <w:rsid w:val="003B21B5"/>
    <w:rsid w:val="003B22B3"/>
    <w:rsid w:val="003B28BC"/>
    <w:rsid w:val="003B293F"/>
    <w:rsid w:val="003B2ADE"/>
    <w:rsid w:val="003B2B8B"/>
    <w:rsid w:val="003B2D45"/>
    <w:rsid w:val="003B30F1"/>
    <w:rsid w:val="003B312C"/>
    <w:rsid w:val="003B3872"/>
    <w:rsid w:val="003B38CF"/>
    <w:rsid w:val="003B3B37"/>
    <w:rsid w:val="003B4304"/>
    <w:rsid w:val="003B436C"/>
    <w:rsid w:val="003B43DF"/>
    <w:rsid w:val="003B47C6"/>
    <w:rsid w:val="003B48ED"/>
    <w:rsid w:val="003B4B8F"/>
    <w:rsid w:val="003B5502"/>
    <w:rsid w:val="003B568D"/>
    <w:rsid w:val="003B5C92"/>
    <w:rsid w:val="003B5F75"/>
    <w:rsid w:val="003B6271"/>
    <w:rsid w:val="003B62A0"/>
    <w:rsid w:val="003B62AE"/>
    <w:rsid w:val="003B62E6"/>
    <w:rsid w:val="003B6493"/>
    <w:rsid w:val="003B6545"/>
    <w:rsid w:val="003B66B7"/>
    <w:rsid w:val="003B6973"/>
    <w:rsid w:val="003B715A"/>
    <w:rsid w:val="003B71BE"/>
    <w:rsid w:val="003B7429"/>
    <w:rsid w:val="003B784B"/>
    <w:rsid w:val="003B7E59"/>
    <w:rsid w:val="003C0287"/>
    <w:rsid w:val="003C02B4"/>
    <w:rsid w:val="003C0313"/>
    <w:rsid w:val="003C0422"/>
    <w:rsid w:val="003C08E8"/>
    <w:rsid w:val="003C08F4"/>
    <w:rsid w:val="003C0A2D"/>
    <w:rsid w:val="003C1016"/>
    <w:rsid w:val="003C13B5"/>
    <w:rsid w:val="003C1772"/>
    <w:rsid w:val="003C1933"/>
    <w:rsid w:val="003C19BF"/>
    <w:rsid w:val="003C1A34"/>
    <w:rsid w:val="003C1E50"/>
    <w:rsid w:val="003C20C7"/>
    <w:rsid w:val="003C251F"/>
    <w:rsid w:val="003C26EA"/>
    <w:rsid w:val="003C2CDB"/>
    <w:rsid w:val="003C2E33"/>
    <w:rsid w:val="003C3212"/>
    <w:rsid w:val="003C32F2"/>
    <w:rsid w:val="003C351D"/>
    <w:rsid w:val="003C35FD"/>
    <w:rsid w:val="003C3D08"/>
    <w:rsid w:val="003C3DEE"/>
    <w:rsid w:val="003C43B2"/>
    <w:rsid w:val="003C4553"/>
    <w:rsid w:val="003C477A"/>
    <w:rsid w:val="003C48C8"/>
    <w:rsid w:val="003C53A5"/>
    <w:rsid w:val="003C568E"/>
    <w:rsid w:val="003C5929"/>
    <w:rsid w:val="003C5A90"/>
    <w:rsid w:val="003C5B06"/>
    <w:rsid w:val="003C5BFD"/>
    <w:rsid w:val="003C5D83"/>
    <w:rsid w:val="003C6655"/>
    <w:rsid w:val="003C6B91"/>
    <w:rsid w:val="003C6FAD"/>
    <w:rsid w:val="003C76AA"/>
    <w:rsid w:val="003C790D"/>
    <w:rsid w:val="003C7ABF"/>
    <w:rsid w:val="003C7CD3"/>
    <w:rsid w:val="003D019B"/>
    <w:rsid w:val="003D0D53"/>
    <w:rsid w:val="003D0FAD"/>
    <w:rsid w:val="003D0FF0"/>
    <w:rsid w:val="003D1075"/>
    <w:rsid w:val="003D10D8"/>
    <w:rsid w:val="003D12C0"/>
    <w:rsid w:val="003D1430"/>
    <w:rsid w:val="003D17EA"/>
    <w:rsid w:val="003D184F"/>
    <w:rsid w:val="003D1A5B"/>
    <w:rsid w:val="003D1DA2"/>
    <w:rsid w:val="003D2001"/>
    <w:rsid w:val="003D2360"/>
    <w:rsid w:val="003D236D"/>
    <w:rsid w:val="003D29BB"/>
    <w:rsid w:val="003D3223"/>
    <w:rsid w:val="003D32DB"/>
    <w:rsid w:val="003D3389"/>
    <w:rsid w:val="003D34E8"/>
    <w:rsid w:val="003D38D0"/>
    <w:rsid w:val="003D3AC4"/>
    <w:rsid w:val="003D43B3"/>
    <w:rsid w:val="003D43CC"/>
    <w:rsid w:val="003D48F9"/>
    <w:rsid w:val="003D492E"/>
    <w:rsid w:val="003D49FE"/>
    <w:rsid w:val="003D4DD1"/>
    <w:rsid w:val="003D4FC2"/>
    <w:rsid w:val="003D5422"/>
    <w:rsid w:val="003D544B"/>
    <w:rsid w:val="003D59E1"/>
    <w:rsid w:val="003D5FC1"/>
    <w:rsid w:val="003D62E6"/>
    <w:rsid w:val="003D6386"/>
    <w:rsid w:val="003D67F1"/>
    <w:rsid w:val="003D6C70"/>
    <w:rsid w:val="003D7153"/>
    <w:rsid w:val="003D72A8"/>
    <w:rsid w:val="003D741F"/>
    <w:rsid w:val="003D75D6"/>
    <w:rsid w:val="003D77FD"/>
    <w:rsid w:val="003D78E0"/>
    <w:rsid w:val="003E04AF"/>
    <w:rsid w:val="003E0857"/>
    <w:rsid w:val="003E0D27"/>
    <w:rsid w:val="003E10D1"/>
    <w:rsid w:val="003E117E"/>
    <w:rsid w:val="003E13A2"/>
    <w:rsid w:val="003E14D0"/>
    <w:rsid w:val="003E16A7"/>
    <w:rsid w:val="003E172B"/>
    <w:rsid w:val="003E17A7"/>
    <w:rsid w:val="003E1890"/>
    <w:rsid w:val="003E18E0"/>
    <w:rsid w:val="003E1929"/>
    <w:rsid w:val="003E200F"/>
    <w:rsid w:val="003E2153"/>
    <w:rsid w:val="003E25E2"/>
    <w:rsid w:val="003E287C"/>
    <w:rsid w:val="003E2907"/>
    <w:rsid w:val="003E2A9D"/>
    <w:rsid w:val="003E2ADF"/>
    <w:rsid w:val="003E2C67"/>
    <w:rsid w:val="003E2FC4"/>
    <w:rsid w:val="003E306D"/>
    <w:rsid w:val="003E3104"/>
    <w:rsid w:val="003E3143"/>
    <w:rsid w:val="003E31AC"/>
    <w:rsid w:val="003E31C2"/>
    <w:rsid w:val="003E3E5C"/>
    <w:rsid w:val="003E3F2E"/>
    <w:rsid w:val="003E4052"/>
    <w:rsid w:val="003E4276"/>
    <w:rsid w:val="003E4597"/>
    <w:rsid w:val="003E4680"/>
    <w:rsid w:val="003E46A7"/>
    <w:rsid w:val="003E46BF"/>
    <w:rsid w:val="003E47FA"/>
    <w:rsid w:val="003E4A08"/>
    <w:rsid w:val="003E4A71"/>
    <w:rsid w:val="003E4D3B"/>
    <w:rsid w:val="003E4E56"/>
    <w:rsid w:val="003E581F"/>
    <w:rsid w:val="003E5B24"/>
    <w:rsid w:val="003E5D21"/>
    <w:rsid w:val="003E603A"/>
    <w:rsid w:val="003E61A8"/>
    <w:rsid w:val="003E6359"/>
    <w:rsid w:val="003E683D"/>
    <w:rsid w:val="003E691F"/>
    <w:rsid w:val="003E6954"/>
    <w:rsid w:val="003E6A12"/>
    <w:rsid w:val="003E6A44"/>
    <w:rsid w:val="003E6D1F"/>
    <w:rsid w:val="003E6E5C"/>
    <w:rsid w:val="003E703C"/>
    <w:rsid w:val="003E70A4"/>
    <w:rsid w:val="003E7122"/>
    <w:rsid w:val="003E7634"/>
    <w:rsid w:val="003E76DB"/>
    <w:rsid w:val="003F009A"/>
    <w:rsid w:val="003F0118"/>
    <w:rsid w:val="003F023B"/>
    <w:rsid w:val="003F02EA"/>
    <w:rsid w:val="003F03CF"/>
    <w:rsid w:val="003F070A"/>
    <w:rsid w:val="003F083D"/>
    <w:rsid w:val="003F0B48"/>
    <w:rsid w:val="003F0EF5"/>
    <w:rsid w:val="003F1169"/>
    <w:rsid w:val="003F1307"/>
    <w:rsid w:val="003F1448"/>
    <w:rsid w:val="003F1603"/>
    <w:rsid w:val="003F1873"/>
    <w:rsid w:val="003F1A07"/>
    <w:rsid w:val="003F1C44"/>
    <w:rsid w:val="003F1CD7"/>
    <w:rsid w:val="003F1D9F"/>
    <w:rsid w:val="003F1FAD"/>
    <w:rsid w:val="003F22A3"/>
    <w:rsid w:val="003F2562"/>
    <w:rsid w:val="003F27D1"/>
    <w:rsid w:val="003F2902"/>
    <w:rsid w:val="003F291E"/>
    <w:rsid w:val="003F2D53"/>
    <w:rsid w:val="003F30E6"/>
    <w:rsid w:val="003F313A"/>
    <w:rsid w:val="003F32B9"/>
    <w:rsid w:val="003F32D2"/>
    <w:rsid w:val="003F34A5"/>
    <w:rsid w:val="003F36DC"/>
    <w:rsid w:val="003F377D"/>
    <w:rsid w:val="003F3921"/>
    <w:rsid w:val="003F49F4"/>
    <w:rsid w:val="003F4BA8"/>
    <w:rsid w:val="003F4E1D"/>
    <w:rsid w:val="003F4E50"/>
    <w:rsid w:val="003F4E90"/>
    <w:rsid w:val="003F51FE"/>
    <w:rsid w:val="003F522F"/>
    <w:rsid w:val="003F53CA"/>
    <w:rsid w:val="003F59BB"/>
    <w:rsid w:val="003F61D2"/>
    <w:rsid w:val="003F6FDF"/>
    <w:rsid w:val="003F70A7"/>
    <w:rsid w:val="003F70F8"/>
    <w:rsid w:val="003F7143"/>
    <w:rsid w:val="003F7274"/>
    <w:rsid w:val="003F760D"/>
    <w:rsid w:val="003F7AF6"/>
    <w:rsid w:val="003F7D37"/>
    <w:rsid w:val="003F7E9D"/>
    <w:rsid w:val="00400187"/>
    <w:rsid w:val="00400461"/>
    <w:rsid w:val="004009AF"/>
    <w:rsid w:val="00401113"/>
    <w:rsid w:val="00401316"/>
    <w:rsid w:val="004017F0"/>
    <w:rsid w:val="00401A00"/>
    <w:rsid w:val="00401AA6"/>
    <w:rsid w:val="00401B9D"/>
    <w:rsid w:val="00401DC3"/>
    <w:rsid w:val="0040204E"/>
    <w:rsid w:val="004020E0"/>
    <w:rsid w:val="00402176"/>
    <w:rsid w:val="004021DF"/>
    <w:rsid w:val="004025D7"/>
    <w:rsid w:val="00402952"/>
    <w:rsid w:val="00402971"/>
    <w:rsid w:val="00403259"/>
    <w:rsid w:val="0040381B"/>
    <w:rsid w:val="00403901"/>
    <w:rsid w:val="00403A00"/>
    <w:rsid w:val="00403C7D"/>
    <w:rsid w:val="00403DCE"/>
    <w:rsid w:val="00403DD5"/>
    <w:rsid w:val="00404261"/>
    <w:rsid w:val="004042AE"/>
    <w:rsid w:val="00404AFA"/>
    <w:rsid w:val="004053A5"/>
    <w:rsid w:val="00405730"/>
    <w:rsid w:val="00405756"/>
    <w:rsid w:val="00405856"/>
    <w:rsid w:val="00405F8F"/>
    <w:rsid w:val="0040607B"/>
    <w:rsid w:val="00406664"/>
    <w:rsid w:val="00406EE9"/>
    <w:rsid w:val="00406FD9"/>
    <w:rsid w:val="0040717F"/>
    <w:rsid w:val="004072F6"/>
    <w:rsid w:val="004077E7"/>
    <w:rsid w:val="0041007C"/>
    <w:rsid w:val="004104FB"/>
    <w:rsid w:val="0041077A"/>
    <w:rsid w:val="004107AA"/>
    <w:rsid w:val="00410977"/>
    <w:rsid w:val="00410CD8"/>
    <w:rsid w:val="00410E1D"/>
    <w:rsid w:val="004111BD"/>
    <w:rsid w:val="00411ACB"/>
    <w:rsid w:val="00411D72"/>
    <w:rsid w:val="00411FC4"/>
    <w:rsid w:val="00412011"/>
    <w:rsid w:val="00412678"/>
    <w:rsid w:val="0041294E"/>
    <w:rsid w:val="004129E6"/>
    <w:rsid w:val="00412AA9"/>
    <w:rsid w:val="00412CA9"/>
    <w:rsid w:val="00412EA6"/>
    <w:rsid w:val="00412EF0"/>
    <w:rsid w:val="00412EF7"/>
    <w:rsid w:val="00413020"/>
    <w:rsid w:val="00413445"/>
    <w:rsid w:val="00413D32"/>
    <w:rsid w:val="00413EA3"/>
    <w:rsid w:val="0041401D"/>
    <w:rsid w:val="00414219"/>
    <w:rsid w:val="00414518"/>
    <w:rsid w:val="00414651"/>
    <w:rsid w:val="004146F7"/>
    <w:rsid w:val="004150C6"/>
    <w:rsid w:val="004151DE"/>
    <w:rsid w:val="00415418"/>
    <w:rsid w:val="004154B0"/>
    <w:rsid w:val="0041570E"/>
    <w:rsid w:val="00415724"/>
    <w:rsid w:val="00415915"/>
    <w:rsid w:val="00415AA1"/>
    <w:rsid w:val="0041606A"/>
    <w:rsid w:val="004166CE"/>
    <w:rsid w:val="004172CF"/>
    <w:rsid w:val="00417498"/>
    <w:rsid w:val="004175E1"/>
    <w:rsid w:val="004175F5"/>
    <w:rsid w:val="00417764"/>
    <w:rsid w:val="004179B1"/>
    <w:rsid w:val="00417E32"/>
    <w:rsid w:val="0042026C"/>
    <w:rsid w:val="004206B8"/>
    <w:rsid w:val="00420761"/>
    <w:rsid w:val="00420805"/>
    <w:rsid w:val="00420947"/>
    <w:rsid w:val="00420A92"/>
    <w:rsid w:val="0042120A"/>
    <w:rsid w:val="00421326"/>
    <w:rsid w:val="0042135F"/>
    <w:rsid w:val="00421497"/>
    <w:rsid w:val="00421784"/>
    <w:rsid w:val="00421C93"/>
    <w:rsid w:val="00421E7D"/>
    <w:rsid w:val="00421EFB"/>
    <w:rsid w:val="00421F79"/>
    <w:rsid w:val="0042232E"/>
    <w:rsid w:val="004223B6"/>
    <w:rsid w:val="00422651"/>
    <w:rsid w:val="004226B7"/>
    <w:rsid w:val="00422A18"/>
    <w:rsid w:val="00422B67"/>
    <w:rsid w:val="00422B93"/>
    <w:rsid w:val="0042311C"/>
    <w:rsid w:val="0042317E"/>
    <w:rsid w:val="004231D7"/>
    <w:rsid w:val="00423231"/>
    <w:rsid w:val="0042347C"/>
    <w:rsid w:val="00423490"/>
    <w:rsid w:val="00423D36"/>
    <w:rsid w:val="004243FF"/>
    <w:rsid w:val="0042464C"/>
    <w:rsid w:val="004247FC"/>
    <w:rsid w:val="00424DD2"/>
    <w:rsid w:val="00424F46"/>
    <w:rsid w:val="00424FD7"/>
    <w:rsid w:val="00425038"/>
    <w:rsid w:val="0042553C"/>
    <w:rsid w:val="004257FC"/>
    <w:rsid w:val="004259E8"/>
    <w:rsid w:val="00426114"/>
    <w:rsid w:val="00426331"/>
    <w:rsid w:val="00426334"/>
    <w:rsid w:val="004268D7"/>
    <w:rsid w:val="00426AA8"/>
    <w:rsid w:val="00426C43"/>
    <w:rsid w:val="00426C65"/>
    <w:rsid w:val="00426D56"/>
    <w:rsid w:val="004270D8"/>
    <w:rsid w:val="00427575"/>
    <w:rsid w:val="00427A15"/>
    <w:rsid w:val="00427A91"/>
    <w:rsid w:val="00427BC2"/>
    <w:rsid w:val="00430043"/>
    <w:rsid w:val="004302CE"/>
    <w:rsid w:val="004305D1"/>
    <w:rsid w:val="0043068F"/>
    <w:rsid w:val="00430A5F"/>
    <w:rsid w:val="00430AF0"/>
    <w:rsid w:val="00430D3D"/>
    <w:rsid w:val="00430D96"/>
    <w:rsid w:val="00430DF2"/>
    <w:rsid w:val="0043112D"/>
    <w:rsid w:val="00431610"/>
    <w:rsid w:val="00431961"/>
    <w:rsid w:val="00431B7B"/>
    <w:rsid w:val="00431C0C"/>
    <w:rsid w:val="004327BE"/>
    <w:rsid w:val="00432B10"/>
    <w:rsid w:val="00432BA1"/>
    <w:rsid w:val="00432CD0"/>
    <w:rsid w:val="00432E80"/>
    <w:rsid w:val="00432FE7"/>
    <w:rsid w:val="00432FF1"/>
    <w:rsid w:val="004330B9"/>
    <w:rsid w:val="004337AB"/>
    <w:rsid w:val="00433B05"/>
    <w:rsid w:val="00433CF5"/>
    <w:rsid w:val="00433E6B"/>
    <w:rsid w:val="00434033"/>
    <w:rsid w:val="004341F2"/>
    <w:rsid w:val="004342F9"/>
    <w:rsid w:val="0043441A"/>
    <w:rsid w:val="00434977"/>
    <w:rsid w:val="00434B0F"/>
    <w:rsid w:val="00434C28"/>
    <w:rsid w:val="00434F30"/>
    <w:rsid w:val="00434F6E"/>
    <w:rsid w:val="004350DF"/>
    <w:rsid w:val="00435174"/>
    <w:rsid w:val="00435190"/>
    <w:rsid w:val="00435A58"/>
    <w:rsid w:val="00435B3E"/>
    <w:rsid w:val="00435BC4"/>
    <w:rsid w:val="00435CB5"/>
    <w:rsid w:val="00435E8E"/>
    <w:rsid w:val="00436507"/>
    <w:rsid w:val="004366BB"/>
    <w:rsid w:val="004367F3"/>
    <w:rsid w:val="00436851"/>
    <w:rsid w:val="00436962"/>
    <w:rsid w:val="00436DDC"/>
    <w:rsid w:val="00436E2E"/>
    <w:rsid w:val="00436E98"/>
    <w:rsid w:val="0043720D"/>
    <w:rsid w:val="00437514"/>
    <w:rsid w:val="0043786D"/>
    <w:rsid w:val="00437F9E"/>
    <w:rsid w:val="004401F6"/>
    <w:rsid w:val="0044033D"/>
    <w:rsid w:val="004405DD"/>
    <w:rsid w:val="00440BCE"/>
    <w:rsid w:val="00440F87"/>
    <w:rsid w:val="004411A6"/>
    <w:rsid w:val="00441541"/>
    <w:rsid w:val="0044178C"/>
    <w:rsid w:val="00441B3E"/>
    <w:rsid w:val="00441BB6"/>
    <w:rsid w:val="00441E07"/>
    <w:rsid w:val="0044200C"/>
    <w:rsid w:val="004421D9"/>
    <w:rsid w:val="00442351"/>
    <w:rsid w:val="00442460"/>
    <w:rsid w:val="00442534"/>
    <w:rsid w:val="00442986"/>
    <w:rsid w:val="00442DAE"/>
    <w:rsid w:val="00442F86"/>
    <w:rsid w:val="00443090"/>
    <w:rsid w:val="004430CD"/>
    <w:rsid w:val="00443539"/>
    <w:rsid w:val="00443E8A"/>
    <w:rsid w:val="0044433A"/>
    <w:rsid w:val="00444672"/>
    <w:rsid w:val="0044483F"/>
    <w:rsid w:val="00445B52"/>
    <w:rsid w:val="00445D86"/>
    <w:rsid w:val="00445FDF"/>
    <w:rsid w:val="00446304"/>
    <w:rsid w:val="004464F1"/>
    <w:rsid w:val="004465F5"/>
    <w:rsid w:val="00446832"/>
    <w:rsid w:val="00446A85"/>
    <w:rsid w:val="00446AF8"/>
    <w:rsid w:val="00446F95"/>
    <w:rsid w:val="0044706E"/>
    <w:rsid w:val="004472C5"/>
    <w:rsid w:val="00447392"/>
    <w:rsid w:val="004477B0"/>
    <w:rsid w:val="004479A4"/>
    <w:rsid w:val="00447C31"/>
    <w:rsid w:val="00447D87"/>
    <w:rsid w:val="00447F08"/>
    <w:rsid w:val="00447F9B"/>
    <w:rsid w:val="004501B1"/>
    <w:rsid w:val="00450213"/>
    <w:rsid w:val="00450349"/>
    <w:rsid w:val="004503EF"/>
    <w:rsid w:val="00450483"/>
    <w:rsid w:val="00450C15"/>
    <w:rsid w:val="00450C94"/>
    <w:rsid w:val="00451588"/>
    <w:rsid w:val="004516D0"/>
    <w:rsid w:val="004517BF"/>
    <w:rsid w:val="00451990"/>
    <w:rsid w:val="00452079"/>
    <w:rsid w:val="00452168"/>
    <w:rsid w:val="004521F6"/>
    <w:rsid w:val="00452C86"/>
    <w:rsid w:val="00452CAC"/>
    <w:rsid w:val="00452FA5"/>
    <w:rsid w:val="00452FD1"/>
    <w:rsid w:val="004530C2"/>
    <w:rsid w:val="004531B2"/>
    <w:rsid w:val="00453332"/>
    <w:rsid w:val="00453B30"/>
    <w:rsid w:val="00453F37"/>
    <w:rsid w:val="00453F72"/>
    <w:rsid w:val="00454407"/>
    <w:rsid w:val="004548DA"/>
    <w:rsid w:val="004548E6"/>
    <w:rsid w:val="00454906"/>
    <w:rsid w:val="00454BBF"/>
    <w:rsid w:val="00454F3A"/>
    <w:rsid w:val="004551BC"/>
    <w:rsid w:val="00455286"/>
    <w:rsid w:val="004554DD"/>
    <w:rsid w:val="00455640"/>
    <w:rsid w:val="00455792"/>
    <w:rsid w:val="00455B63"/>
    <w:rsid w:val="00455CD8"/>
    <w:rsid w:val="00455CED"/>
    <w:rsid w:val="00455E42"/>
    <w:rsid w:val="00455FE3"/>
    <w:rsid w:val="00456211"/>
    <w:rsid w:val="0045646F"/>
    <w:rsid w:val="0045647F"/>
    <w:rsid w:val="004568AF"/>
    <w:rsid w:val="00457147"/>
    <w:rsid w:val="0045714D"/>
    <w:rsid w:val="0045730C"/>
    <w:rsid w:val="004578C3"/>
    <w:rsid w:val="00457DCA"/>
    <w:rsid w:val="0046030C"/>
    <w:rsid w:val="0046039C"/>
    <w:rsid w:val="00460D72"/>
    <w:rsid w:val="00460F53"/>
    <w:rsid w:val="00461118"/>
    <w:rsid w:val="00461155"/>
    <w:rsid w:val="004615BA"/>
    <w:rsid w:val="00461A5F"/>
    <w:rsid w:val="00461A82"/>
    <w:rsid w:val="00461AEB"/>
    <w:rsid w:val="00461DD8"/>
    <w:rsid w:val="00461EEF"/>
    <w:rsid w:val="00461FCB"/>
    <w:rsid w:val="00462587"/>
    <w:rsid w:val="004628D7"/>
    <w:rsid w:val="00462AC5"/>
    <w:rsid w:val="00462B33"/>
    <w:rsid w:val="00462C3B"/>
    <w:rsid w:val="00462CD8"/>
    <w:rsid w:val="00462E74"/>
    <w:rsid w:val="00463825"/>
    <w:rsid w:val="00463870"/>
    <w:rsid w:val="00463C76"/>
    <w:rsid w:val="00463C9D"/>
    <w:rsid w:val="00463D6D"/>
    <w:rsid w:val="00463EDF"/>
    <w:rsid w:val="00464007"/>
    <w:rsid w:val="004642E9"/>
    <w:rsid w:val="00464440"/>
    <w:rsid w:val="00464745"/>
    <w:rsid w:val="00464B61"/>
    <w:rsid w:val="00464C8E"/>
    <w:rsid w:val="00464E11"/>
    <w:rsid w:val="0046511A"/>
    <w:rsid w:val="004653D4"/>
    <w:rsid w:val="00465735"/>
    <w:rsid w:val="0046587D"/>
    <w:rsid w:val="004658DA"/>
    <w:rsid w:val="004659D1"/>
    <w:rsid w:val="00466263"/>
    <w:rsid w:val="00466544"/>
    <w:rsid w:val="00466875"/>
    <w:rsid w:val="0046698F"/>
    <w:rsid w:val="00466B13"/>
    <w:rsid w:val="00466B91"/>
    <w:rsid w:val="00466E27"/>
    <w:rsid w:val="00467496"/>
    <w:rsid w:val="00467BA8"/>
    <w:rsid w:val="00467FC9"/>
    <w:rsid w:val="00470027"/>
    <w:rsid w:val="0047049A"/>
    <w:rsid w:val="004709B9"/>
    <w:rsid w:val="00470BE3"/>
    <w:rsid w:val="00470C01"/>
    <w:rsid w:val="00470CA9"/>
    <w:rsid w:val="00471131"/>
    <w:rsid w:val="0047141A"/>
    <w:rsid w:val="004716AD"/>
    <w:rsid w:val="004717E1"/>
    <w:rsid w:val="0047183D"/>
    <w:rsid w:val="00471934"/>
    <w:rsid w:val="00471994"/>
    <w:rsid w:val="00471A4E"/>
    <w:rsid w:val="00472102"/>
    <w:rsid w:val="00472190"/>
    <w:rsid w:val="004723EB"/>
    <w:rsid w:val="00472407"/>
    <w:rsid w:val="00472989"/>
    <w:rsid w:val="00472EB6"/>
    <w:rsid w:val="004730AA"/>
    <w:rsid w:val="00473202"/>
    <w:rsid w:val="00473228"/>
    <w:rsid w:val="004733EF"/>
    <w:rsid w:val="00473518"/>
    <w:rsid w:val="004737BD"/>
    <w:rsid w:val="0047382C"/>
    <w:rsid w:val="00473A7E"/>
    <w:rsid w:val="00474501"/>
    <w:rsid w:val="00474632"/>
    <w:rsid w:val="004747FB"/>
    <w:rsid w:val="00475039"/>
    <w:rsid w:val="00475762"/>
    <w:rsid w:val="004757C6"/>
    <w:rsid w:val="00475A45"/>
    <w:rsid w:val="00475A87"/>
    <w:rsid w:val="00475E9F"/>
    <w:rsid w:val="00476360"/>
    <w:rsid w:val="0047678F"/>
    <w:rsid w:val="00476AD7"/>
    <w:rsid w:val="00476C04"/>
    <w:rsid w:val="00476F48"/>
    <w:rsid w:val="004774CC"/>
    <w:rsid w:val="00477661"/>
    <w:rsid w:val="004778FE"/>
    <w:rsid w:val="00477913"/>
    <w:rsid w:val="004800D5"/>
    <w:rsid w:val="00480136"/>
    <w:rsid w:val="00480331"/>
    <w:rsid w:val="004803BB"/>
    <w:rsid w:val="00480936"/>
    <w:rsid w:val="0048097F"/>
    <w:rsid w:val="00480B76"/>
    <w:rsid w:val="00480F49"/>
    <w:rsid w:val="004812B8"/>
    <w:rsid w:val="004817E9"/>
    <w:rsid w:val="00481AB7"/>
    <w:rsid w:val="00482025"/>
    <w:rsid w:val="00482127"/>
    <w:rsid w:val="0048278A"/>
    <w:rsid w:val="004827E9"/>
    <w:rsid w:val="004829E7"/>
    <w:rsid w:val="00483367"/>
    <w:rsid w:val="004834ED"/>
    <w:rsid w:val="00483845"/>
    <w:rsid w:val="00483CCF"/>
    <w:rsid w:val="00483F2C"/>
    <w:rsid w:val="00484245"/>
    <w:rsid w:val="00484502"/>
    <w:rsid w:val="0048452F"/>
    <w:rsid w:val="0048489A"/>
    <w:rsid w:val="004850A2"/>
    <w:rsid w:val="004853C7"/>
    <w:rsid w:val="004857BE"/>
    <w:rsid w:val="00485B05"/>
    <w:rsid w:val="00485E18"/>
    <w:rsid w:val="00485F63"/>
    <w:rsid w:val="0048627B"/>
    <w:rsid w:val="0048668D"/>
    <w:rsid w:val="00487056"/>
    <w:rsid w:val="00487174"/>
    <w:rsid w:val="004874E3"/>
    <w:rsid w:val="00487691"/>
    <w:rsid w:val="004877F7"/>
    <w:rsid w:val="004878F0"/>
    <w:rsid w:val="00487AA1"/>
    <w:rsid w:val="00487ACC"/>
    <w:rsid w:val="00487C6D"/>
    <w:rsid w:val="00487D8D"/>
    <w:rsid w:val="00490079"/>
    <w:rsid w:val="0049056F"/>
    <w:rsid w:val="00490599"/>
    <w:rsid w:val="0049089A"/>
    <w:rsid w:val="0049097E"/>
    <w:rsid w:val="00490B1B"/>
    <w:rsid w:val="00490E6E"/>
    <w:rsid w:val="00491A9C"/>
    <w:rsid w:val="00491C1D"/>
    <w:rsid w:val="00492374"/>
    <w:rsid w:val="00492397"/>
    <w:rsid w:val="004923F1"/>
    <w:rsid w:val="004927B3"/>
    <w:rsid w:val="004927FA"/>
    <w:rsid w:val="0049295B"/>
    <w:rsid w:val="00492E7B"/>
    <w:rsid w:val="00493692"/>
    <w:rsid w:val="004936D2"/>
    <w:rsid w:val="004938E0"/>
    <w:rsid w:val="00493D3A"/>
    <w:rsid w:val="00494068"/>
    <w:rsid w:val="00494078"/>
    <w:rsid w:val="00494317"/>
    <w:rsid w:val="004944C5"/>
    <w:rsid w:val="00494657"/>
    <w:rsid w:val="004946E1"/>
    <w:rsid w:val="004947FD"/>
    <w:rsid w:val="00494AF6"/>
    <w:rsid w:val="00494B56"/>
    <w:rsid w:val="00494B9E"/>
    <w:rsid w:val="00494FBD"/>
    <w:rsid w:val="00495081"/>
    <w:rsid w:val="004954D1"/>
    <w:rsid w:val="00495ECF"/>
    <w:rsid w:val="00495F44"/>
    <w:rsid w:val="00496610"/>
    <w:rsid w:val="004967C7"/>
    <w:rsid w:val="0049693E"/>
    <w:rsid w:val="00496BDC"/>
    <w:rsid w:val="00496C74"/>
    <w:rsid w:val="004971DD"/>
    <w:rsid w:val="0049742D"/>
    <w:rsid w:val="00497459"/>
    <w:rsid w:val="00497920"/>
    <w:rsid w:val="00497B73"/>
    <w:rsid w:val="00497D24"/>
    <w:rsid w:val="00497EBC"/>
    <w:rsid w:val="004A0265"/>
    <w:rsid w:val="004A06D9"/>
    <w:rsid w:val="004A0939"/>
    <w:rsid w:val="004A0A21"/>
    <w:rsid w:val="004A0A26"/>
    <w:rsid w:val="004A0B66"/>
    <w:rsid w:val="004A0C0F"/>
    <w:rsid w:val="004A0FA9"/>
    <w:rsid w:val="004A1171"/>
    <w:rsid w:val="004A1388"/>
    <w:rsid w:val="004A14F6"/>
    <w:rsid w:val="004A1563"/>
    <w:rsid w:val="004A187C"/>
    <w:rsid w:val="004A1B05"/>
    <w:rsid w:val="004A1B62"/>
    <w:rsid w:val="004A1DB8"/>
    <w:rsid w:val="004A2015"/>
    <w:rsid w:val="004A22C6"/>
    <w:rsid w:val="004A24BA"/>
    <w:rsid w:val="004A2673"/>
    <w:rsid w:val="004A26B0"/>
    <w:rsid w:val="004A2EB8"/>
    <w:rsid w:val="004A3029"/>
    <w:rsid w:val="004A3190"/>
    <w:rsid w:val="004A3D65"/>
    <w:rsid w:val="004A402D"/>
    <w:rsid w:val="004A478D"/>
    <w:rsid w:val="004A4853"/>
    <w:rsid w:val="004A4EE8"/>
    <w:rsid w:val="004A54B5"/>
    <w:rsid w:val="004A5684"/>
    <w:rsid w:val="004A56FA"/>
    <w:rsid w:val="004A5B97"/>
    <w:rsid w:val="004A63B3"/>
    <w:rsid w:val="004A65C2"/>
    <w:rsid w:val="004A68A7"/>
    <w:rsid w:val="004A6D8A"/>
    <w:rsid w:val="004A6FFE"/>
    <w:rsid w:val="004A711C"/>
    <w:rsid w:val="004A72F7"/>
    <w:rsid w:val="004A7432"/>
    <w:rsid w:val="004A744C"/>
    <w:rsid w:val="004A7563"/>
    <w:rsid w:val="004A76CE"/>
    <w:rsid w:val="004A77CF"/>
    <w:rsid w:val="004A7AD2"/>
    <w:rsid w:val="004A7C98"/>
    <w:rsid w:val="004A7F99"/>
    <w:rsid w:val="004B09A0"/>
    <w:rsid w:val="004B09E0"/>
    <w:rsid w:val="004B0D89"/>
    <w:rsid w:val="004B0F71"/>
    <w:rsid w:val="004B0FC7"/>
    <w:rsid w:val="004B111D"/>
    <w:rsid w:val="004B147E"/>
    <w:rsid w:val="004B20B0"/>
    <w:rsid w:val="004B2271"/>
    <w:rsid w:val="004B2504"/>
    <w:rsid w:val="004B27BD"/>
    <w:rsid w:val="004B27EF"/>
    <w:rsid w:val="004B2C44"/>
    <w:rsid w:val="004B2C7A"/>
    <w:rsid w:val="004B2DD6"/>
    <w:rsid w:val="004B2E4D"/>
    <w:rsid w:val="004B3833"/>
    <w:rsid w:val="004B3A25"/>
    <w:rsid w:val="004B3C75"/>
    <w:rsid w:val="004B3D6A"/>
    <w:rsid w:val="004B3DF7"/>
    <w:rsid w:val="004B3FAF"/>
    <w:rsid w:val="004B4074"/>
    <w:rsid w:val="004B4252"/>
    <w:rsid w:val="004B441E"/>
    <w:rsid w:val="004B45AE"/>
    <w:rsid w:val="004B4696"/>
    <w:rsid w:val="004B4989"/>
    <w:rsid w:val="004B4CA4"/>
    <w:rsid w:val="004B54BC"/>
    <w:rsid w:val="004B59A5"/>
    <w:rsid w:val="004B5A0F"/>
    <w:rsid w:val="004B5D6D"/>
    <w:rsid w:val="004B5E02"/>
    <w:rsid w:val="004B5EF4"/>
    <w:rsid w:val="004B6151"/>
    <w:rsid w:val="004B6685"/>
    <w:rsid w:val="004B6C0E"/>
    <w:rsid w:val="004B6C6A"/>
    <w:rsid w:val="004B6D50"/>
    <w:rsid w:val="004B6EB0"/>
    <w:rsid w:val="004B7026"/>
    <w:rsid w:val="004B7243"/>
    <w:rsid w:val="004B724D"/>
    <w:rsid w:val="004B7277"/>
    <w:rsid w:val="004B7340"/>
    <w:rsid w:val="004B735B"/>
    <w:rsid w:val="004B76C0"/>
    <w:rsid w:val="004C0050"/>
    <w:rsid w:val="004C0287"/>
    <w:rsid w:val="004C0463"/>
    <w:rsid w:val="004C079E"/>
    <w:rsid w:val="004C07F0"/>
    <w:rsid w:val="004C0972"/>
    <w:rsid w:val="004C0F29"/>
    <w:rsid w:val="004C13A4"/>
    <w:rsid w:val="004C1A2C"/>
    <w:rsid w:val="004C1C30"/>
    <w:rsid w:val="004C1F9A"/>
    <w:rsid w:val="004C2250"/>
    <w:rsid w:val="004C22D5"/>
    <w:rsid w:val="004C28FE"/>
    <w:rsid w:val="004C2A79"/>
    <w:rsid w:val="004C2DFE"/>
    <w:rsid w:val="004C3945"/>
    <w:rsid w:val="004C3D4B"/>
    <w:rsid w:val="004C3DFF"/>
    <w:rsid w:val="004C3FB0"/>
    <w:rsid w:val="004C41E1"/>
    <w:rsid w:val="004C45D7"/>
    <w:rsid w:val="004C48C6"/>
    <w:rsid w:val="004C4B04"/>
    <w:rsid w:val="004C4B99"/>
    <w:rsid w:val="004C4D31"/>
    <w:rsid w:val="004C5596"/>
    <w:rsid w:val="004C55D0"/>
    <w:rsid w:val="004C5900"/>
    <w:rsid w:val="004C5E25"/>
    <w:rsid w:val="004C631F"/>
    <w:rsid w:val="004C672C"/>
    <w:rsid w:val="004C6CF2"/>
    <w:rsid w:val="004C6E3E"/>
    <w:rsid w:val="004C6E53"/>
    <w:rsid w:val="004C74D9"/>
    <w:rsid w:val="004C7562"/>
    <w:rsid w:val="004C767F"/>
    <w:rsid w:val="004C76E8"/>
    <w:rsid w:val="004C7732"/>
    <w:rsid w:val="004C774C"/>
    <w:rsid w:val="004C781D"/>
    <w:rsid w:val="004C7C19"/>
    <w:rsid w:val="004D0431"/>
    <w:rsid w:val="004D062D"/>
    <w:rsid w:val="004D07A5"/>
    <w:rsid w:val="004D0BA9"/>
    <w:rsid w:val="004D0FA1"/>
    <w:rsid w:val="004D184D"/>
    <w:rsid w:val="004D186E"/>
    <w:rsid w:val="004D1B05"/>
    <w:rsid w:val="004D1E89"/>
    <w:rsid w:val="004D2039"/>
    <w:rsid w:val="004D21B5"/>
    <w:rsid w:val="004D22B3"/>
    <w:rsid w:val="004D23A9"/>
    <w:rsid w:val="004D2944"/>
    <w:rsid w:val="004D2D53"/>
    <w:rsid w:val="004D2FA2"/>
    <w:rsid w:val="004D3103"/>
    <w:rsid w:val="004D3382"/>
    <w:rsid w:val="004D3820"/>
    <w:rsid w:val="004D38AE"/>
    <w:rsid w:val="004D413C"/>
    <w:rsid w:val="004D4282"/>
    <w:rsid w:val="004D428E"/>
    <w:rsid w:val="004D433B"/>
    <w:rsid w:val="004D4477"/>
    <w:rsid w:val="004D45BA"/>
    <w:rsid w:val="004D4667"/>
    <w:rsid w:val="004D4684"/>
    <w:rsid w:val="004D499A"/>
    <w:rsid w:val="004D4CA6"/>
    <w:rsid w:val="004D4EC8"/>
    <w:rsid w:val="004D53F6"/>
    <w:rsid w:val="004D5507"/>
    <w:rsid w:val="004D5A80"/>
    <w:rsid w:val="004D5CAD"/>
    <w:rsid w:val="004D5E9F"/>
    <w:rsid w:val="004D5FA7"/>
    <w:rsid w:val="004D6393"/>
    <w:rsid w:val="004D6E48"/>
    <w:rsid w:val="004D6FE0"/>
    <w:rsid w:val="004D736A"/>
    <w:rsid w:val="004D743B"/>
    <w:rsid w:val="004D774C"/>
    <w:rsid w:val="004D79FF"/>
    <w:rsid w:val="004D7BB0"/>
    <w:rsid w:val="004D7C11"/>
    <w:rsid w:val="004D7C1C"/>
    <w:rsid w:val="004D7E10"/>
    <w:rsid w:val="004E013E"/>
    <w:rsid w:val="004E01B5"/>
    <w:rsid w:val="004E03FF"/>
    <w:rsid w:val="004E06F5"/>
    <w:rsid w:val="004E11A3"/>
    <w:rsid w:val="004E12DC"/>
    <w:rsid w:val="004E152C"/>
    <w:rsid w:val="004E18FB"/>
    <w:rsid w:val="004E1A9A"/>
    <w:rsid w:val="004E1BC1"/>
    <w:rsid w:val="004E1C3A"/>
    <w:rsid w:val="004E1DBD"/>
    <w:rsid w:val="004E1F1C"/>
    <w:rsid w:val="004E2207"/>
    <w:rsid w:val="004E2334"/>
    <w:rsid w:val="004E293C"/>
    <w:rsid w:val="004E303E"/>
    <w:rsid w:val="004E3107"/>
    <w:rsid w:val="004E345D"/>
    <w:rsid w:val="004E357F"/>
    <w:rsid w:val="004E3910"/>
    <w:rsid w:val="004E3B0E"/>
    <w:rsid w:val="004E3C3B"/>
    <w:rsid w:val="004E3DAB"/>
    <w:rsid w:val="004E41C7"/>
    <w:rsid w:val="004E4205"/>
    <w:rsid w:val="004E427A"/>
    <w:rsid w:val="004E4384"/>
    <w:rsid w:val="004E457D"/>
    <w:rsid w:val="004E4717"/>
    <w:rsid w:val="004E4E4C"/>
    <w:rsid w:val="004E5066"/>
    <w:rsid w:val="004E511F"/>
    <w:rsid w:val="004E51A9"/>
    <w:rsid w:val="004E51E8"/>
    <w:rsid w:val="004E5675"/>
    <w:rsid w:val="004E5747"/>
    <w:rsid w:val="004E5825"/>
    <w:rsid w:val="004E58F9"/>
    <w:rsid w:val="004E5C2B"/>
    <w:rsid w:val="004E5D85"/>
    <w:rsid w:val="004E5E21"/>
    <w:rsid w:val="004E5FEE"/>
    <w:rsid w:val="004E60B3"/>
    <w:rsid w:val="004E6251"/>
    <w:rsid w:val="004E6628"/>
    <w:rsid w:val="004E7051"/>
    <w:rsid w:val="004E73D5"/>
    <w:rsid w:val="004E79D6"/>
    <w:rsid w:val="004F04CD"/>
    <w:rsid w:val="004F05CF"/>
    <w:rsid w:val="004F06EC"/>
    <w:rsid w:val="004F091B"/>
    <w:rsid w:val="004F11F3"/>
    <w:rsid w:val="004F127E"/>
    <w:rsid w:val="004F1514"/>
    <w:rsid w:val="004F1B1E"/>
    <w:rsid w:val="004F1B91"/>
    <w:rsid w:val="004F1C4C"/>
    <w:rsid w:val="004F226B"/>
    <w:rsid w:val="004F2329"/>
    <w:rsid w:val="004F2591"/>
    <w:rsid w:val="004F282F"/>
    <w:rsid w:val="004F2AE3"/>
    <w:rsid w:val="004F2C4D"/>
    <w:rsid w:val="004F2CD3"/>
    <w:rsid w:val="004F2E65"/>
    <w:rsid w:val="004F2F3F"/>
    <w:rsid w:val="004F30F5"/>
    <w:rsid w:val="004F3376"/>
    <w:rsid w:val="004F3720"/>
    <w:rsid w:val="004F3963"/>
    <w:rsid w:val="004F3A44"/>
    <w:rsid w:val="004F3CBB"/>
    <w:rsid w:val="004F3F20"/>
    <w:rsid w:val="004F42FF"/>
    <w:rsid w:val="004F43A5"/>
    <w:rsid w:val="004F4552"/>
    <w:rsid w:val="004F45D1"/>
    <w:rsid w:val="004F4A37"/>
    <w:rsid w:val="004F4BC2"/>
    <w:rsid w:val="004F51A3"/>
    <w:rsid w:val="004F51DA"/>
    <w:rsid w:val="004F529D"/>
    <w:rsid w:val="004F52BA"/>
    <w:rsid w:val="004F52E0"/>
    <w:rsid w:val="004F5305"/>
    <w:rsid w:val="004F54AA"/>
    <w:rsid w:val="004F580A"/>
    <w:rsid w:val="004F58D1"/>
    <w:rsid w:val="004F5B9B"/>
    <w:rsid w:val="004F6042"/>
    <w:rsid w:val="004F628E"/>
    <w:rsid w:val="004F64C4"/>
    <w:rsid w:val="004F6677"/>
    <w:rsid w:val="004F68BC"/>
    <w:rsid w:val="004F72AF"/>
    <w:rsid w:val="004F754C"/>
    <w:rsid w:val="004F77F3"/>
    <w:rsid w:val="004F7820"/>
    <w:rsid w:val="004F7FE6"/>
    <w:rsid w:val="0050060B"/>
    <w:rsid w:val="005009AE"/>
    <w:rsid w:val="00500A40"/>
    <w:rsid w:val="00500F2A"/>
    <w:rsid w:val="005012E0"/>
    <w:rsid w:val="005016CC"/>
    <w:rsid w:val="00501A5C"/>
    <w:rsid w:val="00501CF3"/>
    <w:rsid w:val="00501E79"/>
    <w:rsid w:val="00502094"/>
    <w:rsid w:val="00502A31"/>
    <w:rsid w:val="00502B53"/>
    <w:rsid w:val="00502FAA"/>
    <w:rsid w:val="005036AE"/>
    <w:rsid w:val="0050370E"/>
    <w:rsid w:val="00503717"/>
    <w:rsid w:val="00503D5B"/>
    <w:rsid w:val="00503DFD"/>
    <w:rsid w:val="00503E39"/>
    <w:rsid w:val="00504211"/>
    <w:rsid w:val="005042CA"/>
    <w:rsid w:val="005045A2"/>
    <w:rsid w:val="00504FA1"/>
    <w:rsid w:val="005050A1"/>
    <w:rsid w:val="0050552F"/>
    <w:rsid w:val="00505684"/>
    <w:rsid w:val="00505C08"/>
    <w:rsid w:val="00506313"/>
    <w:rsid w:val="00506A97"/>
    <w:rsid w:val="00506DC9"/>
    <w:rsid w:val="00506E27"/>
    <w:rsid w:val="00506F27"/>
    <w:rsid w:val="00506FEC"/>
    <w:rsid w:val="005077CD"/>
    <w:rsid w:val="00507D2A"/>
    <w:rsid w:val="00507D4E"/>
    <w:rsid w:val="00507E35"/>
    <w:rsid w:val="00507F09"/>
    <w:rsid w:val="00510160"/>
    <w:rsid w:val="00510301"/>
    <w:rsid w:val="0051062A"/>
    <w:rsid w:val="0051093B"/>
    <w:rsid w:val="005109B5"/>
    <w:rsid w:val="00510EA4"/>
    <w:rsid w:val="00510F2B"/>
    <w:rsid w:val="00510F3D"/>
    <w:rsid w:val="0051105E"/>
    <w:rsid w:val="005111BC"/>
    <w:rsid w:val="00511247"/>
    <w:rsid w:val="00511308"/>
    <w:rsid w:val="005115AC"/>
    <w:rsid w:val="0051169D"/>
    <w:rsid w:val="00511D4E"/>
    <w:rsid w:val="00512078"/>
    <w:rsid w:val="00512347"/>
    <w:rsid w:val="005126A5"/>
    <w:rsid w:val="0051276A"/>
    <w:rsid w:val="00512858"/>
    <w:rsid w:val="00512CEF"/>
    <w:rsid w:val="005132B7"/>
    <w:rsid w:val="005133D9"/>
    <w:rsid w:val="00513413"/>
    <w:rsid w:val="00513510"/>
    <w:rsid w:val="0051361A"/>
    <w:rsid w:val="00513826"/>
    <w:rsid w:val="00513899"/>
    <w:rsid w:val="0051391E"/>
    <w:rsid w:val="00513CA6"/>
    <w:rsid w:val="00513DC9"/>
    <w:rsid w:val="00513E21"/>
    <w:rsid w:val="00513FF4"/>
    <w:rsid w:val="00514AC0"/>
    <w:rsid w:val="00514D15"/>
    <w:rsid w:val="00514D52"/>
    <w:rsid w:val="00514ED7"/>
    <w:rsid w:val="00515125"/>
    <w:rsid w:val="00515330"/>
    <w:rsid w:val="005154F3"/>
    <w:rsid w:val="005155A4"/>
    <w:rsid w:val="005155ED"/>
    <w:rsid w:val="00515D96"/>
    <w:rsid w:val="0051602C"/>
    <w:rsid w:val="00516297"/>
    <w:rsid w:val="0051629B"/>
    <w:rsid w:val="0051646D"/>
    <w:rsid w:val="00516A23"/>
    <w:rsid w:val="00516E41"/>
    <w:rsid w:val="00516E68"/>
    <w:rsid w:val="00516F0A"/>
    <w:rsid w:val="0051707A"/>
    <w:rsid w:val="005172D4"/>
    <w:rsid w:val="0051758F"/>
    <w:rsid w:val="00517FF8"/>
    <w:rsid w:val="00520040"/>
    <w:rsid w:val="00520298"/>
    <w:rsid w:val="005202F5"/>
    <w:rsid w:val="005202FC"/>
    <w:rsid w:val="0052041A"/>
    <w:rsid w:val="0052052D"/>
    <w:rsid w:val="00520837"/>
    <w:rsid w:val="0052097B"/>
    <w:rsid w:val="00520A6D"/>
    <w:rsid w:val="00520BE8"/>
    <w:rsid w:val="0052144E"/>
    <w:rsid w:val="005217B5"/>
    <w:rsid w:val="00522117"/>
    <w:rsid w:val="00522F0C"/>
    <w:rsid w:val="00523064"/>
    <w:rsid w:val="00523244"/>
    <w:rsid w:val="005232A1"/>
    <w:rsid w:val="005236E9"/>
    <w:rsid w:val="00523E05"/>
    <w:rsid w:val="00523FFE"/>
    <w:rsid w:val="005240B5"/>
    <w:rsid w:val="00524604"/>
    <w:rsid w:val="005248ED"/>
    <w:rsid w:val="00524AD7"/>
    <w:rsid w:val="0052517C"/>
    <w:rsid w:val="0052582A"/>
    <w:rsid w:val="00525AEC"/>
    <w:rsid w:val="00525AF4"/>
    <w:rsid w:val="00525C6E"/>
    <w:rsid w:val="0052612C"/>
    <w:rsid w:val="005263E0"/>
    <w:rsid w:val="0052640D"/>
    <w:rsid w:val="0052651D"/>
    <w:rsid w:val="0052684A"/>
    <w:rsid w:val="00526FCA"/>
    <w:rsid w:val="00527253"/>
    <w:rsid w:val="00527303"/>
    <w:rsid w:val="00527323"/>
    <w:rsid w:val="0052733B"/>
    <w:rsid w:val="0052738F"/>
    <w:rsid w:val="00527404"/>
    <w:rsid w:val="00527757"/>
    <w:rsid w:val="005277DE"/>
    <w:rsid w:val="00527F11"/>
    <w:rsid w:val="00530088"/>
    <w:rsid w:val="0053039D"/>
    <w:rsid w:val="0053043E"/>
    <w:rsid w:val="00530465"/>
    <w:rsid w:val="00530755"/>
    <w:rsid w:val="00530CF6"/>
    <w:rsid w:val="00530D51"/>
    <w:rsid w:val="00530F65"/>
    <w:rsid w:val="0053137D"/>
    <w:rsid w:val="00531458"/>
    <w:rsid w:val="0053146E"/>
    <w:rsid w:val="005314A6"/>
    <w:rsid w:val="00531986"/>
    <w:rsid w:val="00531F1C"/>
    <w:rsid w:val="005323ED"/>
    <w:rsid w:val="00532505"/>
    <w:rsid w:val="0053266B"/>
    <w:rsid w:val="00532C04"/>
    <w:rsid w:val="00532DC7"/>
    <w:rsid w:val="00533586"/>
    <w:rsid w:val="005339AD"/>
    <w:rsid w:val="00533AC2"/>
    <w:rsid w:val="00533AD8"/>
    <w:rsid w:val="00533B8F"/>
    <w:rsid w:val="00534274"/>
    <w:rsid w:val="0053446F"/>
    <w:rsid w:val="00535229"/>
    <w:rsid w:val="0053529D"/>
    <w:rsid w:val="005352A3"/>
    <w:rsid w:val="0053560C"/>
    <w:rsid w:val="005356FE"/>
    <w:rsid w:val="0053573D"/>
    <w:rsid w:val="00535DF3"/>
    <w:rsid w:val="00535FDA"/>
    <w:rsid w:val="00536192"/>
    <w:rsid w:val="0053649D"/>
    <w:rsid w:val="005364EB"/>
    <w:rsid w:val="00536A7E"/>
    <w:rsid w:val="00536A9E"/>
    <w:rsid w:val="00536DA7"/>
    <w:rsid w:val="00537037"/>
    <w:rsid w:val="00537088"/>
    <w:rsid w:val="005371A4"/>
    <w:rsid w:val="005373CF"/>
    <w:rsid w:val="00537707"/>
    <w:rsid w:val="0053788D"/>
    <w:rsid w:val="00537BB0"/>
    <w:rsid w:val="00537F37"/>
    <w:rsid w:val="00540069"/>
    <w:rsid w:val="00540230"/>
    <w:rsid w:val="00540528"/>
    <w:rsid w:val="00540E73"/>
    <w:rsid w:val="00540EA0"/>
    <w:rsid w:val="00540EFE"/>
    <w:rsid w:val="00540F14"/>
    <w:rsid w:val="00541463"/>
    <w:rsid w:val="00541988"/>
    <w:rsid w:val="00541AB2"/>
    <w:rsid w:val="00541F6D"/>
    <w:rsid w:val="0054220E"/>
    <w:rsid w:val="00542A9E"/>
    <w:rsid w:val="00542AEE"/>
    <w:rsid w:val="00542B7D"/>
    <w:rsid w:val="00542CFB"/>
    <w:rsid w:val="0054329C"/>
    <w:rsid w:val="0054332F"/>
    <w:rsid w:val="00543C7B"/>
    <w:rsid w:val="00543CBB"/>
    <w:rsid w:val="005441CE"/>
    <w:rsid w:val="00544BDE"/>
    <w:rsid w:val="00544E5C"/>
    <w:rsid w:val="00544F19"/>
    <w:rsid w:val="00545A59"/>
    <w:rsid w:val="005463E6"/>
    <w:rsid w:val="00546C94"/>
    <w:rsid w:val="00546CBB"/>
    <w:rsid w:val="005470BC"/>
    <w:rsid w:val="005472BF"/>
    <w:rsid w:val="005472F5"/>
    <w:rsid w:val="005474B1"/>
    <w:rsid w:val="00547876"/>
    <w:rsid w:val="005479A8"/>
    <w:rsid w:val="00547E66"/>
    <w:rsid w:val="00547F47"/>
    <w:rsid w:val="00550809"/>
    <w:rsid w:val="00550A31"/>
    <w:rsid w:val="00550AA4"/>
    <w:rsid w:val="00550DFC"/>
    <w:rsid w:val="0055101D"/>
    <w:rsid w:val="005514AB"/>
    <w:rsid w:val="0055161E"/>
    <w:rsid w:val="00551AC0"/>
    <w:rsid w:val="00551DE0"/>
    <w:rsid w:val="005520B4"/>
    <w:rsid w:val="0055223E"/>
    <w:rsid w:val="00552692"/>
    <w:rsid w:val="0055293B"/>
    <w:rsid w:val="00552A9C"/>
    <w:rsid w:val="00552FB9"/>
    <w:rsid w:val="0055308B"/>
    <w:rsid w:val="0055353F"/>
    <w:rsid w:val="005537F7"/>
    <w:rsid w:val="005539EF"/>
    <w:rsid w:val="00553EFA"/>
    <w:rsid w:val="0055409A"/>
    <w:rsid w:val="005540DC"/>
    <w:rsid w:val="00554307"/>
    <w:rsid w:val="005543EB"/>
    <w:rsid w:val="005544E1"/>
    <w:rsid w:val="00554900"/>
    <w:rsid w:val="00554AFD"/>
    <w:rsid w:val="00555593"/>
    <w:rsid w:val="005556A8"/>
    <w:rsid w:val="00555A1D"/>
    <w:rsid w:val="00555D0C"/>
    <w:rsid w:val="00555E2F"/>
    <w:rsid w:val="00555F5D"/>
    <w:rsid w:val="005566C5"/>
    <w:rsid w:val="00556AEE"/>
    <w:rsid w:val="00557069"/>
    <w:rsid w:val="00557338"/>
    <w:rsid w:val="0055785F"/>
    <w:rsid w:val="00557B2B"/>
    <w:rsid w:val="0056020F"/>
    <w:rsid w:val="00560ADF"/>
    <w:rsid w:val="00560B1F"/>
    <w:rsid w:val="00560BC6"/>
    <w:rsid w:val="00560C92"/>
    <w:rsid w:val="00560F32"/>
    <w:rsid w:val="00560F4A"/>
    <w:rsid w:val="00561188"/>
    <w:rsid w:val="0056128B"/>
    <w:rsid w:val="00561591"/>
    <w:rsid w:val="005619C1"/>
    <w:rsid w:val="00561A88"/>
    <w:rsid w:val="00561F93"/>
    <w:rsid w:val="0056202E"/>
    <w:rsid w:val="005620B4"/>
    <w:rsid w:val="00562711"/>
    <w:rsid w:val="00562B10"/>
    <w:rsid w:val="00562B32"/>
    <w:rsid w:val="00562BAF"/>
    <w:rsid w:val="00562C92"/>
    <w:rsid w:val="00562D04"/>
    <w:rsid w:val="00563348"/>
    <w:rsid w:val="00563505"/>
    <w:rsid w:val="00563721"/>
    <w:rsid w:val="00563846"/>
    <w:rsid w:val="00563AEC"/>
    <w:rsid w:val="00563E7E"/>
    <w:rsid w:val="00563E83"/>
    <w:rsid w:val="00563F8A"/>
    <w:rsid w:val="0056425B"/>
    <w:rsid w:val="0056478E"/>
    <w:rsid w:val="005648A8"/>
    <w:rsid w:val="00564C70"/>
    <w:rsid w:val="00564C7F"/>
    <w:rsid w:val="00564D54"/>
    <w:rsid w:val="00564E61"/>
    <w:rsid w:val="00564F4E"/>
    <w:rsid w:val="00565067"/>
    <w:rsid w:val="00565245"/>
    <w:rsid w:val="005653FD"/>
    <w:rsid w:val="005655C3"/>
    <w:rsid w:val="00565766"/>
    <w:rsid w:val="00565AEC"/>
    <w:rsid w:val="00565E69"/>
    <w:rsid w:val="00565F25"/>
    <w:rsid w:val="00565F78"/>
    <w:rsid w:val="00566397"/>
    <w:rsid w:val="005664D0"/>
    <w:rsid w:val="0056670F"/>
    <w:rsid w:val="00566AAF"/>
    <w:rsid w:val="00566C7A"/>
    <w:rsid w:val="00566D9C"/>
    <w:rsid w:val="00567286"/>
    <w:rsid w:val="00567297"/>
    <w:rsid w:val="00567657"/>
    <w:rsid w:val="005676C1"/>
    <w:rsid w:val="00567825"/>
    <w:rsid w:val="005679A5"/>
    <w:rsid w:val="00567E87"/>
    <w:rsid w:val="005708CD"/>
    <w:rsid w:val="00570954"/>
    <w:rsid w:val="00570ABA"/>
    <w:rsid w:val="00570B29"/>
    <w:rsid w:val="00570BD7"/>
    <w:rsid w:val="00570D71"/>
    <w:rsid w:val="00570E4B"/>
    <w:rsid w:val="005713F1"/>
    <w:rsid w:val="00571456"/>
    <w:rsid w:val="00571606"/>
    <w:rsid w:val="0057190B"/>
    <w:rsid w:val="0057194B"/>
    <w:rsid w:val="00571A4B"/>
    <w:rsid w:val="00571E39"/>
    <w:rsid w:val="00571E64"/>
    <w:rsid w:val="00571FFC"/>
    <w:rsid w:val="00572301"/>
    <w:rsid w:val="00572389"/>
    <w:rsid w:val="0057273B"/>
    <w:rsid w:val="00572763"/>
    <w:rsid w:val="005727E7"/>
    <w:rsid w:val="00572856"/>
    <w:rsid w:val="005728A4"/>
    <w:rsid w:val="00572CA9"/>
    <w:rsid w:val="00572D77"/>
    <w:rsid w:val="00572D97"/>
    <w:rsid w:val="00573089"/>
    <w:rsid w:val="00573355"/>
    <w:rsid w:val="0057348C"/>
    <w:rsid w:val="005734F4"/>
    <w:rsid w:val="00573685"/>
    <w:rsid w:val="00573945"/>
    <w:rsid w:val="00573C6D"/>
    <w:rsid w:val="005741FB"/>
    <w:rsid w:val="00574213"/>
    <w:rsid w:val="00574283"/>
    <w:rsid w:val="005742B6"/>
    <w:rsid w:val="0057439A"/>
    <w:rsid w:val="00574438"/>
    <w:rsid w:val="00574976"/>
    <w:rsid w:val="00574B41"/>
    <w:rsid w:val="00574DE1"/>
    <w:rsid w:val="005751AF"/>
    <w:rsid w:val="00575601"/>
    <w:rsid w:val="0057573D"/>
    <w:rsid w:val="00575762"/>
    <w:rsid w:val="005763E4"/>
    <w:rsid w:val="0057669D"/>
    <w:rsid w:val="00576755"/>
    <w:rsid w:val="00576ABF"/>
    <w:rsid w:val="00576FEA"/>
    <w:rsid w:val="00577399"/>
    <w:rsid w:val="00577A88"/>
    <w:rsid w:val="00577D9F"/>
    <w:rsid w:val="00577E99"/>
    <w:rsid w:val="005800FD"/>
    <w:rsid w:val="00580754"/>
    <w:rsid w:val="0058086E"/>
    <w:rsid w:val="00580B2B"/>
    <w:rsid w:val="00580DEC"/>
    <w:rsid w:val="00580E88"/>
    <w:rsid w:val="00580EDE"/>
    <w:rsid w:val="00581162"/>
    <w:rsid w:val="00581188"/>
    <w:rsid w:val="00581804"/>
    <w:rsid w:val="0058185C"/>
    <w:rsid w:val="00581A0A"/>
    <w:rsid w:val="00581C2C"/>
    <w:rsid w:val="00581D19"/>
    <w:rsid w:val="00581D1B"/>
    <w:rsid w:val="005821A8"/>
    <w:rsid w:val="005821DD"/>
    <w:rsid w:val="005824F3"/>
    <w:rsid w:val="0058250E"/>
    <w:rsid w:val="00582699"/>
    <w:rsid w:val="00582A05"/>
    <w:rsid w:val="00582A26"/>
    <w:rsid w:val="00582B73"/>
    <w:rsid w:val="00582CAE"/>
    <w:rsid w:val="005830C7"/>
    <w:rsid w:val="00583106"/>
    <w:rsid w:val="00583181"/>
    <w:rsid w:val="00583858"/>
    <w:rsid w:val="00583890"/>
    <w:rsid w:val="00583952"/>
    <w:rsid w:val="00583D07"/>
    <w:rsid w:val="00583E21"/>
    <w:rsid w:val="005843C0"/>
    <w:rsid w:val="00584C0A"/>
    <w:rsid w:val="00584CD6"/>
    <w:rsid w:val="00584D97"/>
    <w:rsid w:val="00584E02"/>
    <w:rsid w:val="00584FC4"/>
    <w:rsid w:val="0058505C"/>
    <w:rsid w:val="00585328"/>
    <w:rsid w:val="005856BE"/>
    <w:rsid w:val="00585703"/>
    <w:rsid w:val="00585B79"/>
    <w:rsid w:val="0058609F"/>
    <w:rsid w:val="00586200"/>
    <w:rsid w:val="00586224"/>
    <w:rsid w:val="00586455"/>
    <w:rsid w:val="005867CA"/>
    <w:rsid w:val="00586B3D"/>
    <w:rsid w:val="00586BAF"/>
    <w:rsid w:val="00586BBC"/>
    <w:rsid w:val="00586BD1"/>
    <w:rsid w:val="00586E47"/>
    <w:rsid w:val="00586E90"/>
    <w:rsid w:val="00586FA3"/>
    <w:rsid w:val="0059069B"/>
    <w:rsid w:val="00590764"/>
    <w:rsid w:val="00590B77"/>
    <w:rsid w:val="00590F8E"/>
    <w:rsid w:val="0059115C"/>
    <w:rsid w:val="005912A9"/>
    <w:rsid w:val="00591336"/>
    <w:rsid w:val="005919C7"/>
    <w:rsid w:val="00591C8A"/>
    <w:rsid w:val="00591E37"/>
    <w:rsid w:val="00591EF3"/>
    <w:rsid w:val="005928C2"/>
    <w:rsid w:val="00592A71"/>
    <w:rsid w:val="00592DD6"/>
    <w:rsid w:val="00592F5F"/>
    <w:rsid w:val="00592FD6"/>
    <w:rsid w:val="00593113"/>
    <w:rsid w:val="005935CA"/>
    <w:rsid w:val="00593756"/>
    <w:rsid w:val="00593DB9"/>
    <w:rsid w:val="00593F26"/>
    <w:rsid w:val="00593FBD"/>
    <w:rsid w:val="00594131"/>
    <w:rsid w:val="00594246"/>
    <w:rsid w:val="005942F0"/>
    <w:rsid w:val="00594478"/>
    <w:rsid w:val="00594481"/>
    <w:rsid w:val="00594863"/>
    <w:rsid w:val="00594C85"/>
    <w:rsid w:val="00595333"/>
    <w:rsid w:val="005954E6"/>
    <w:rsid w:val="005956A9"/>
    <w:rsid w:val="00595A71"/>
    <w:rsid w:val="00595CEF"/>
    <w:rsid w:val="005961F1"/>
    <w:rsid w:val="00596819"/>
    <w:rsid w:val="00596AA2"/>
    <w:rsid w:val="00597262"/>
    <w:rsid w:val="0059748A"/>
    <w:rsid w:val="0059754F"/>
    <w:rsid w:val="005975F6"/>
    <w:rsid w:val="0059772D"/>
    <w:rsid w:val="00597E4B"/>
    <w:rsid w:val="005A0013"/>
    <w:rsid w:val="005A0BE4"/>
    <w:rsid w:val="005A0CEE"/>
    <w:rsid w:val="005A0DD9"/>
    <w:rsid w:val="005A0F86"/>
    <w:rsid w:val="005A1F54"/>
    <w:rsid w:val="005A25D4"/>
    <w:rsid w:val="005A267D"/>
    <w:rsid w:val="005A2898"/>
    <w:rsid w:val="005A2C94"/>
    <w:rsid w:val="005A2D75"/>
    <w:rsid w:val="005A2D76"/>
    <w:rsid w:val="005A30C8"/>
    <w:rsid w:val="005A31A8"/>
    <w:rsid w:val="005A31C1"/>
    <w:rsid w:val="005A36EB"/>
    <w:rsid w:val="005A39C8"/>
    <w:rsid w:val="005A4107"/>
    <w:rsid w:val="005A41CA"/>
    <w:rsid w:val="005A4440"/>
    <w:rsid w:val="005A4981"/>
    <w:rsid w:val="005A4B2A"/>
    <w:rsid w:val="005A4B72"/>
    <w:rsid w:val="005A4D49"/>
    <w:rsid w:val="005A51AE"/>
    <w:rsid w:val="005A552B"/>
    <w:rsid w:val="005A57C4"/>
    <w:rsid w:val="005A5A6D"/>
    <w:rsid w:val="005A5C46"/>
    <w:rsid w:val="005A619E"/>
    <w:rsid w:val="005A61AF"/>
    <w:rsid w:val="005A6369"/>
    <w:rsid w:val="005A66C5"/>
    <w:rsid w:val="005A675C"/>
    <w:rsid w:val="005A6766"/>
    <w:rsid w:val="005A6E69"/>
    <w:rsid w:val="005A7184"/>
    <w:rsid w:val="005A7190"/>
    <w:rsid w:val="005A71E9"/>
    <w:rsid w:val="005A7304"/>
    <w:rsid w:val="005A7468"/>
    <w:rsid w:val="005A74E8"/>
    <w:rsid w:val="005A77E1"/>
    <w:rsid w:val="005A7974"/>
    <w:rsid w:val="005B011B"/>
    <w:rsid w:val="005B0712"/>
    <w:rsid w:val="005B0867"/>
    <w:rsid w:val="005B08CD"/>
    <w:rsid w:val="005B10F1"/>
    <w:rsid w:val="005B133E"/>
    <w:rsid w:val="005B1405"/>
    <w:rsid w:val="005B158C"/>
    <w:rsid w:val="005B176A"/>
    <w:rsid w:val="005B1789"/>
    <w:rsid w:val="005B1BE6"/>
    <w:rsid w:val="005B2113"/>
    <w:rsid w:val="005B228C"/>
    <w:rsid w:val="005B24E0"/>
    <w:rsid w:val="005B25C7"/>
    <w:rsid w:val="005B26C1"/>
    <w:rsid w:val="005B2B68"/>
    <w:rsid w:val="005B2C6B"/>
    <w:rsid w:val="005B2D8E"/>
    <w:rsid w:val="005B2DC4"/>
    <w:rsid w:val="005B2ED6"/>
    <w:rsid w:val="005B2F8E"/>
    <w:rsid w:val="005B3132"/>
    <w:rsid w:val="005B3D71"/>
    <w:rsid w:val="005B4389"/>
    <w:rsid w:val="005B4C97"/>
    <w:rsid w:val="005B4E13"/>
    <w:rsid w:val="005B4EF9"/>
    <w:rsid w:val="005B542D"/>
    <w:rsid w:val="005B55C3"/>
    <w:rsid w:val="005B568B"/>
    <w:rsid w:val="005B5927"/>
    <w:rsid w:val="005B5AE3"/>
    <w:rsid w:val="005B5DA3"/>
    <w:rsid w:val="005B5EB6"/>
    <w:rsid w:val="005B5EE1"/>
    <w:rsid w:val="005B627D"/>
    <w:rsid w:val="005B6811"/>
    <w:rsid w:val="005B6DC6"/>
    <w:rsid w:val="005B6F30"/>
    <w:rsid w:val="005B71E4"/>
    <w:rsid w:val="005B74C5"/>
    <w:rsid w:val="005B773B"/>
    <w:rsid w:val="005B7D13"/>
    <w:rsid w:val="005B7EC0"/>
    <w:rsid w:val="005C0B26"/>
    <w:rsid w:val="005C1683"/>
    <w:rsid w:val="005C1E2F"/>
    <w:rsid w:val="005C1E6A"/>
    <w:rsid w:val="005C2115"/>
    <w:rsid w:val="005C229B"/>
    <w:rsid w:val="005C2377"/>
    <w:rsid w:val="005C2FA6"/>
    <w:rsid w:val="005C33BB"/>
    <w:rsid w:val="005C38E7"/>
    <w:rsid w:val="005C3BF1"/>
    <w:rsid w:val="005C3C02"/>
    <w:rsid w:val="005C3CD0"/>
    <w:rsid w:val="005C4720"/>
    <w:rsid w:val="005C4EB3"/>
    <w:rsid w:val="005C50BC"/>
    <w:rsid w:val="005C50F4"/>
    <w:rsid w:val="005C50FE"/>
    <w:rsid w:val="005C537F"/>
    <w:rsid w:val="005C657F"/>
    <w:rsid w:val="005C6724"/>
    <w:rsid w:val="005C67A9"/>
    <w:rsid w:val="005C680F"/>
    <w:rsid w:val="005C6A43"/>
    <w:rsid w:val="005C6BE8"/>
    <w:rsid w:val="005C6BFF"/>
    <w:rsid w:val="005C6C37"/>
    <w:rsid w:val="005C78A1"/>
    <w:rsid w:val="005C7927"/>
    <w:rsid w:val="005C7E20"/>
    <w:rsid w:val="005D03BA"/>
    <w:rsid w:val="005D051B"/>
    <w:rsid w:val="005D0657"/>
    <w:rsid w:val="005D06EE"/>
    <w:rsid w:val="005D079F"/>
    <w:rsid w:val="005D0C5C"/>
    <w:rsid w:val="005D0C86"/>
    <w:rsid w:val="005D0D6F"/>
    <w:rsid w:val="005D0FC0"/>
    <w:rsid w:val="005D123D"/>
    <w:rsid w:val="005D12BA"/>
    <w:rsid w:val="005D1303"/>
    <w:rsid w:val="005D1339"/>
    <w:rsid w:val="005D1349"/>
    <w:rsid w:val="005D1440"/>
    <w:rsid w:val="005D1ACB"/>
    <w:rsid w:val="005D2017"/>
    <w:rsid w:val="005D25E3"/>
    <w:rsid w:val="005D2709"/>
    <w:rsid w:val="005D29B1"/>
    <w:rsid w:val="005D2BC7"/>
    <w:rsid w:val="005D2C73"/>
    <w:rsid w:val="005D3002"/>
    <w:rsid w:val="005D31DD"/>
    <w:rsid w:val="005D363E"/>
    <w:rsid w:val="005D36B7"/>
    <w:rsid w:val="005D3909"/>
    <w:rsid w:val="005D41A7"/>
    <w:rsid w:val="005D43F4"/>
    <w:rsid w:val="005D43FC"/>
    <w:rsid w:val="005D467F"/>
    <w:rsid w:val="005D47C0"/>
    <w:rsid w:val="005D4EA6"/>
    <w:rsid w:val="005D52C6"/>
    <w:rsid w:val="005D54AB"/>
    <w:rsid w:val="005D56EA"/>
    <w:rsid w:val="005D588F"/>
    <w:rsid w:val="005D5CAF"/>
    <w:rsid w:val="005D5F4C"/>
    <w:rsid w:val="005D6232"/>
    <w:rsid w:val="005D66C5"/>
    <w:rsid w:val="005D67EB"/>
    <w:rsid w:val="005D7139"/>
    <w:rsid w:val="005D74AE"/>
    <w:rsid w:val="005D7775"/>
    <w:rsid w:val="005D79EC"/>
    <w:rsid w:val="005E02C0"/>
    <w:rsid w:val="005E08DE"/>
    <w:rsid w:val="005E0A44"/>
    <w:rsid w:val="005E0B96"/>
    <w:rsid w:val="005E0FE1"/>
    <w:rsid w:val="005E1041"/>
    <w:rsid w:val="005E1142"/>
    <w:rsid w:val="005E1317"/>
    <w:rsid w:val="005E1804"/>
    <w:rsid w:val="005E180B"/>
    <w:rsid w:val="005E1C48"/>
    <w:rsid w:val="005E1DA9"/>
    <w:rsid w:val="005E21F9"/>
    <w:rsid w:val="005E2496"/>
    <w:rsid w:val="005E25B6"/>
    <w:rsid w:val="005E26E7"/>
    <w:rsid w:val="005E277A"/>
    <w:rsid w:val="005E2C47"/>
    <w:rsid w:val="005E341D"/>
    <w:rsid w:val="005E37D1"/>
    <w:rsid w:val="005E3989"/>
    <w:rsid w:val="005E3B16"/>
    <w:rsid w:val="005E3CB1"/>
    <w:rsid w:val="005E3E74"/>
    <w:rsid w:val="005E3FC7"/>
    <w:rsid w:val="005E4065"/>
    <w:rsid w:val="005E42AB"/>
    <w:rsid w:val="005E4365"/>
    <w:rsid w:val="005E4405"/>
    <w:rsid w:val="005E4784"/>
    <w:rsid w:val="005E4976"/>
    <w:rsid w:val="005E4BD9"/>
    <w:rsid w:val="005E5A02"/>
    <w:rsid w:val="005E6344"/>
    <w:rsid w:val="005E68EE"/>
    <w:rsid w:val="005E69A4"/>
    <w:rsid w:val="005E6A63"/>
    <w:rsid w:val="005E6AF6"/>
    <w:rsid w:val="005E6DD5"/>
    <w:rsid w:val="005E6F55"/>
    <w:rsid w:val="005E7235"/>
    <w:rsid w:val="005E72D6"/>
    <w:rsid w:val="005E7E25"/>
    <w:rsid w:val="005E7F77"/>
    <w:rsid w:val="005F03AD"/>
    <w:rsid w:val="005F0468"/>
    <w:rsid w:val="005F0563"/>
    <w:rsid w:val="005F093D"/>
    <w:rsid w:val="005F0BDF"/>
    <w:rsid w:val="005F0E34"/>
    <w:rsid w:val="005F0F98"/>
    <w:rsid w:val="005F1465"/>
    <w:rsid w:val="005F1FFA"/>
    <w:rsid w:val="005F2137"/>
    <w:rsid w:val="005F21FE"/>
    <w:rsid w:val="005F22A0"/>
    <w:rsid w:val="005F253B"/>
    <w:rsid w:val="005F2BF9"/>
    <w:rsid w:val="005F2EC8"/>
    <w:rsid w:val="005F35E9"/>
    <w:rsid w:val="005F3A71"/>
    <w:rsid w:val="005F3CBD"/>
    <w:rsid w:val="005F4075"/>
    <w:rsid w:val="005F4475"/>
    <w:rsid w:val="005F4594"/>
    <w:rsid w:val="005F45E8"/>
    <w:rsid w:val="005F4A04"/>
    <w:rsid w:val="005F5B19"/>
    <w:rsid w:val="005F6087"/>
    <w:rsid w:val="005F620E"/>
    <w:rsid w:val="005F64DF"/>
    <w:rsid w:val="005F667E"/>
    <w:rsid w:val="005F6A24"/>
    <w:rsid w:val="005F6AD4"/>
    <w:rsid w:val="005F703C"/>
    <w:rsid w:val="005F74C4"/>
    <w:rsid w:val="005F7905"/>
    <w:rsid w:val="005F7A49"/>
    <w:rsid w:val="005F7B5F"/>
    <w:rsid w:val="006008CC"/>
    <w:rsid w:val="006009E9"/>
    <w:rsid w:val="00600B7F"/>
    <w:rsid w:val="00600CFF"/>
    <w:rsid w:val="00601C38"/>
    <w:rsid w:val="00601C9C"/>
    <w:rsid w:val="006022B0"/>
    <w:rsid w:val="00602361"/>
    <w:rsid w:val="006025C7"/>
    <w:rsid w:val="006026FF"/>
    <w:rsid w:val="00602745"/>
    <w:rsid w:val="00602817"/>
    <w:rsid w:val="00602C14"/>
    <w:rsid w:val="00602C9B"/>
    <w:rsid w:val="0060328D"/>
    <w:rsid w:val="006036C3"/>
    <w:rsid w:val="006037B9"/>
    <w:rsid w:val="00603C1E"/>
    <w:rsid w:val="00603E4A"/>
    <w:rsid w:val="00603E68"/>
    <w:rsid w:val="00604037"/>
    <w:rsid w:val="0060473B"/>
    <w:rsid w:val="006048D3"/>
    <w:rsid w:val="0060490B"/>
    <w:rsid w:val="0060497A"/>
    <w:rsid w:val="00604A7E"/>
    <w:rsid w:val="00604C36"/>
    <w:rsid w:val="006052F9"/>
    <w:rsid w:val="0060591F"/>
    <w:rsid w:val="00605A96"/>
    <w:rsid w:val="00605B77"/>
    <w:rsid w:val="006065B8"/>
    <w:rsid w:val="00606C74"/>
    <w:rsid w:val="00606E55"/>
    <w:rsid w:val="006070ED"/>
    <w:rsid w:val="006072CC"/>
    <w:rsid w:val="006073E4"/>
    <w:rsid w:val="0060742E"/>
    <w:rsid w:val="006074DF"/>
    <w:rsid w:val="0060762F"/>
    <w:rsid w:val="00607642"/>
    <w:rsid w:val="00607B86"/>
    <w:rsid w:val="00607CEA"/>
    <w:rsid w:val="00610085"/>
    <w:rsid w:val="00610C1D"/>
    <w:rsid w:val="00611205"/>
    <w:rsid w:val="006112C7"/>
    <w:rsid w:val="006113B4"/>
    <w:rsid w:val="0061152F"/>
    <w:rsid w:val="0061191C"/>
    <w:rsid w:val="00611BA9"/>
    <w:rsid w:val="00611DCC"/>
    <w:rsid w:val="0061263F"/>
    <w:rsid w:val="00612905"/>
    <w:rsid w:val="00613146"/>
    <w:rsid w:val="00613907"/>
    <w:rsid w:val="00613927"/>
    <w:rsid w:val="00613DB1"/>
    <w:rsid w:val="00613EF5"/>
    <w:rsid w:val="00614432"/>
    <w:rsid w:val="006146FA"/>
    <w:rsid w:val="00614764"/>
    <w:rsid w:val="006152D1"/>
    <w:rsid w:val="006153A0"/>
    <w:rsid w:val="00615523"/>
    <w:rsid w:val="00615988"/>
    <w:rsid w:val="00615D3E"/>
    <w:rsid w:val="00615F71"/>
    <w:rsid w:val="00615FBB"/>
    <w:rsid w:val="0061603A"/>
    <w:rsid w:val="0061624F"/>
    <w:rsid w:val="00616522"/>
    <w:rsid w:val="00616866"/>
    <w:rsid w:val="00616945"/>
    <w:rsid w:val="00616C63"/>
    <w:rsid w:val="00617417"/>
    <w:rsid w:val="006175AD"/>
    <w:rsid w:val="0061761F"/>
    <w:rsid w:val="0061765B"/>
    <w:rsid w:val="00617779"/>
    <w:rsid w:val="006177FD"/>
    <w:rsid w:val="00617C1D"/>
    <w:rsid w:val="006200DB"/>
    <w:rsid w:val="006200FE"/>
    <w:rsid w:val="00620314"/>
    <w:rsid w:val="00620550"/>
    <w:rsid w:val="00620605"/>
    <w:rsid w:val="00620686"/>
    <w:rsid w:val="00620726"/>
    <w:rsid w:val="00620830"/>
    <w:rsid w:val="006209C9"/>
    <w:rsid w:val="00620C5B"/>
    <w:rsid w:val="00621217"/>
    <w:rsid w:val="0062139A"/>
    <w:rsid w:val="00621D8D"/>
    <w:rsid w:val="006220A1"/>
    <w:rsid w:val="006222EA"/>
    <w:rsid w:val="006226DC"/>
    <w:rsid w:val="0062270E"/>
    <w:rsid w:val="006227CA"/>
    <w:rsid w:val="00622ABC"/>
    <w:rsid w:val="006230A6"/>
    <w:rsid w:val="00623112"/>
    <w:rsid w:val="006231CF"/>
    <w:rsid w:val="00623637"/>
    <w:rsid w:val="0062377B"/>
    <w:rsid w:val="006238E7"/>
    <w:rsid w:val="00623B9D"/>
    <w:rsid w:val="00624111"/>
    <w:rsid w:val="006241C0"/>
    <w:rsid w:val="00624631"/>
    <w:rsid w:val="006248DA"/>
    <w:rsid w:val="00624B91"/>
    <w:rsid w:val="00624CAD"/>
    <w:rsid w:val="00624F47"/>
    <w:rsid w:val="006259D4"/>
    <w:rsid w:val="00625B5B"/>
    <w:rsid w:val="0062628A"/>
    <w:rsid w:val="00626743"/>
    <w:rsid w:val="00626900"/>
    <w:rsid w:val="00626C21"/>
    <w:rsid w:val="00626C79"/>
    <w:rsid w:val="00626FD3"/>
    <w:rsid w:val="006270A2"/>
    <w:rsid w:val="0062720A"/>
    <w:rsid w:val="006272AD"/>
    <w:rsid w:val="006272DC"/>
    <w:rsid w:val="0062780D"/>
    <w:rsid w:val="0062784A"/>
    <w:rsid w:val="00627919"/>
    <w:rsid w:val="00627D51"/>
    <w:rsid w:val="00627E6A"/>
    <w:rsid w:val="00627EBD"/>
    <w:rsid w:val="00627FC3"/>
    <w:rsid w:val="00630033"/>
    <w:rsid w:val="006300EF"/>
    <w:rsid w:val="0063018E"/>
    <w:rsid w:val="0063058A"/>
    <w:rsid w:val="006305CF"/>
    <w:rsid w:val="006306DD"/>
    <w:rsid w:val="00630796"/>
    <w:rsid w:val="0063082D"/>
    <w:rsid w:val="00630A0D"/>
    <w:rsid w:val="00630AD5"/>
    <w:rsid w:val="00630D37"/>
    <w:rsid w:val="006311C5"/>
    <w:rsid w:val="0063141F"/>
    <w:rsid w:val="0063197D"/>
    <w:rsid w:val="006319A1"/>
    <w:rsid w:val="00631AA3"/>
    <w:rsid w:val="00631B2D"/>
    <w:rsid w:val="00631EA2"/>
    <w:rsid w:val="006324A6"/>
    <w:rsid w:val="0063274C"/>
    <w:rsid w:val="00632FD3"/>
    <w:rsid w:val="00633155"/>
    <w:rsid w:val="0063358A"/>
    <w:rsid w:val="00633DBD"/>
    <w:rsid w:val="00633E59"/>
    <w:rsid w:val="00634135"/>
    <w:rsid w:val="0063421F"/>
    <w:rsid w:val="00635120"/>
    <w:rsid w:val="006352A8"/>
    <w:rsid w:val="00635EAE"/>
    <w:rsid w:val="00635EB9"/>
    <w:rsid w:val="00635FCD"/>
    <w:rsid w:val="006362EC"/>
    <w:rsid w:val="0063657A"/>
    <w:rsid w:val="00636777"/>
    <w:rsid w:val="006368C7"/>
    <w:rsid w:val="00636A28"/>
    <w:rsid w:val="00636EE4"/>
    <w:rsid w:val="00636F72"/>
    <w:rsid w:val="00637E7F"/>
    <w:rsid w:val="00640211"/>
    <w:rsid w:val="006404C0"/>
    <w:rsid w:val="006409DF"/>
    <w:rsid w:val="00640A2D"/>
    <w:rsid w:val="00640DCB"/>
    <w:rsid w:val="00640F1F"/>
    <w:rsid w:val="0064106F"/>
    <w:rsid w:val="00641241"/>
    <w:rsid w:val="006412C8"/>
    <w:rsid w:val="006419F1"/>
    <w:rsid w:val="00641C7A"/>
    <w:rsid w:val="00641F11"/>
    <w:rsid w:val="00642564"/>
    <w:rsid w:val="00642682"/>
    <w:rsid w:val="006426AD"/>
    <w:rsid w:val="006426E1"/>
    <w:rsid w:val="006428FD"/>
    <w:rsid w:val="00642951"/>
    <w:rsid w:val="006429E2"/>
    <w:rsid w:val="00642A23"/>
    <w:rsid w:val="0064314C"/>
    <w:rsid w:val="006431E8"/>
    <w:rsid w:val="006434EE"/>
    <w:rsid w:val="00643539"/>
    <w:rsid w:val="00643A99"/>
    <w:rsid w:val="00643E10"/>
    <w:rsid w:val="006441CD"/>
    <w:rsid w:val="006448DE"/>
    <w:rsid w:val="00644A5A"/>
    <w:rsid w:val="00645035"/>
    <w:rsid w:val="00645061"/>
    <w:rsid w:val="00645255"/>
    <w:rsid w:val="0064554F"/>
    <w:rsid w:val="006456CA"/>
    <w:rsid w:val="00645716"/>
    <w:rsid w:val="00645730"/>
    <w:rsid w:val="0064585E"/>
    <w:rsid w:val="006459DC"/>
    <w:rsid w:val="00645CA0"/>
    <w:rsid w:val="00645E69"/>
    <w:rsid w:val="006463B6"/>
    <w:rsid w:val="00646D9C"/>
    <w:rsid w:val="00646EE2"/>
    <w:rsid w:val="00646F3A"/>
    <w:rsid w:val="006473C0"/>
    <w:rsid w:val="0064797C"/>
    <w:rsid w:val="00647D52"/>
    <w:rsid w:val="0065001C"/>
    <w:rsid w:val="00650072"/>
    <w:rsid w:val="00650184"/>
    <w:rsid w:val="00650268"/>
    <w:rsid w:val="006502C5"/>
    <w:rsid w:val="00650339"/>
    <w:rsid w:val="00650379"/>
    <w:rsid w:val="0065055C"/>
    <w:rsid w:val="00650AC2"/>
    <w:rsid w:val="006510C0"/>
    <w:rsid w:val="006512FF"/>
    <w:rsid w:val="00651351"/>
    <w:rsid w:val="006513B4"/>
    <w:rsid w:val="00651CDA"/>
    <w:rsid w:val="00652112"/>
    <w:rsid w:val="0065306B"/>
    <w:rsid w:val="0065324B"/>
    <w:rsid w:val="0065336B"/>
    <w:rsid w:val="00653466"/>
    <w:rsid w:val="00653566"/>
    <w:rsid w:val="00653979"/>
    <w:rsid w:val="00653B2E"/>
    <w:rsid w:val="00653F4F"/>
    <w:rsid w:val="0065471A"/>
    <w:rsid w:val="006547B6"/>
    <w:rsid w:val="00654A0A"/>
    <w:rsid w:val="00654D3D"/>
    <w:rsid w:val="00654E06"/>
    <w:rsid w:val="00654E21"/>
    <w:rsid w:val="00655570"/>
    <w:rsid w:val="00655573"/>
    <w:rsid w:val="0065563E"/>
    <w:rsid w:val="006558CF"/>
    <w:rsid w:val="0065592D"/>
    <w:rsid w:val="006559A8"/>
    <w:rsid w:val="006559AC"/>
    <w:rsid w:val="0065659D"/>
    <w:rsid w:val="0065682C"/>
    <w:rsid w:val="00656A37"/>
    <w:rsid w:val="00657332"/>
    <w:rsid w:val="006574DA"/>
    <w:rsid w:val="00660386"/>
    <w:rsid w:val="0066044D"/>
    <w:rsid w:val="00660B25"/>
    <w:rsid w:val="00660E99"/>
    <w:rsid w:val="00660F5A"/>
    <w:rsid w:val="006610DB"/>
    <w:rsid w:val="00661355"/>
    <w:rsid w:val="00661C0A"/>
    <w:rsid w:val="00661DF3"/>
    <w:rsid w:val="00662140"/>
    <w:rsid w:val="00662161"/>
    <w:rsid w:val="006621E1"/>
    <w:rsid w:val="006623AC"/>
    <w:rsid w:val="00662783"/>
    <w:rsid w:val="00663313"/>
    <w:rsid w:val="0066362D"/>
    <w:rsid w:val="00663851"/>
    <w:rsid w:val="00663AB2"/>
    <w:rsid w:val="00663BA5"/>
    <w:rsid w:val="00663C83"/>
    <w:rsid w:val="00663CA4"/>
    <w:rsid w:val="00664237"/>
    <w:rsid w:val="0066425B"/>
    <w:rsid w:val="00664D13"/>
    <w:rsid w:val="00664FA5"/>
    <w:rsid w:val="006651C3"/>
    <w:rsid w:val="00665495"/>
    <w:rsid w:val="00665679"/>
    <w:rsid w:val="00665F50"/>
    <w:rsid w:val="0066620D"/>
    <w:rsid w:val="00666511"/>
    <w:rsid w:val="00666691"/>
    <w:rsid w:val="0066677F"/>
    <w:rsid w:val="00666A16"/>
    <w:rsid w:val="00666C58"/>
    <w:rsid w:val="006670D6"/>
    <w:rsid w:val="00667167"/>
    <w:rsid w:val="00667249"/>
    <w:rsid w:val="0066736C"/>
    <w:rsid w:val="00667602"/>
    <w:rsid w:val="00667760"/>
    <w:rsid w:val="00667AF1"/>
    <w:rsid w:val="0067003D"/>
    <w:rsid w:val="006709DF"/>
    <w:rsid w:val="00670B61"/>
    <w:rsid w:val="00670D9E"/>
    <w:rsid w:val="00670E9B"/>
    <w:rsid w:val="00670F00"/>
    <w:rsid w:val="00671229"/>
    <w:rsid w:val="0067158B"/>
    <w:rsid w:val="00671646"/>
    <w:rsid w:val="00671826"/>
    <w:rsid w:val="006718B4"/>
    <w:rsid w:val="00671939"/>
    <w:rsid w:val="006723B5"/>
    <w:rsid w:val="006723CB"/>
    <w:rsid w:val="006725BA"/>
    <w:rsid w:val="00672C5D"/>
    <w:rsid w:val="00672CCC"/>
    <w:rsid w:val="00672D52"/>
    <w:rsid w:val="00672DFF"/>
    <w:rsid w:val="00672E41"/>
    <w:rsid w:val="00672EDA"/>
    <w:rsid w:val="00672F5C"/>
    <w:rsid w:val="00673368"/>
    <w:rsid w:val="006736D5"/>
    <w:rsid w:val="00673860"/>
    <w:rsid w:val="00673879"/>
    <w:rsid w:val="00673A7D"/>
    <w:rsid w:val="00673B5B"/>
    <w:rsid w:val="00673BE6"/>
    <w:rsid w:val="00673E37"/>
    <w:rsid w:val="006740B3"/>
    <w:rsid w:val="006745E7"/>
    <w:rsid w:val="00674914"/>
    <w:rsid w:val="006749DB"/>
    <w:rsid w:val="00674F6B"/>
    <w:rsid w:val="00674F96"/>
    <w:rsid w:val="00675300"/>
    <w:rsid w:val="0067541A"/>
    <w:rsid w:val="00675669"/>
    <w:rsid w:val="006756DB"/>
    <w:rsid w:val="006758D0"/>
    <w:rsid w:val="00675B8D"/>
    <w:rsid w:val="0067617B"/>
    <w:rsid w:val="006768ED"/>
    <w:rsid w:val="00676A77"/>
    <w:rsid w:val="006777B9"/>
    <w:rsid w:val="006778A0"/>
    <w:rsid w:val="00677AB7"/>
    <w:rsid w:val="00677BF3"/>
    <w:rsid w:val="00677F8E"/>
    <w:rsid w:val="006800C7"/>
    <w:rsid w:val="006801F4"/>
    <w:rsid w:val="0068045A"/>
    <w:rsid w:val="0068045E"/>
    <w:rsid w:val="00680478"/>
    <w:rsid w:val="00680759"/>
    <w:rsid w:val="0068119F"/>
    <w:rsid w:val="006812BE"/>
    <w:rsid w:val="0068139A"/>
    <w:rsid w:val="00681410"/>
    <w:rsid w:val="0068141E"/>
    <w:rsid w:val="0068177D"/>
    <w:rsid w:val="00681977"/>
    <w:rsid w:val="00681BDE"/>
    <w:rsid w:val="00681E06"/>
    <w:rsid w:val="00681E1A"/>
    <w:rsid w:val="00681E96"/>
    <w:rsid w:val="00681FE8"/>
    <w:rsid w:val="00682068"/>
    <w:rsid w:val="00682594"/>
    <w:rsid w:val="006827D5"/>
    <w:rsid w:val="00682F9A"/>
    <w:rsid w:val="006832A8"/>
    <w:rsid w:val="006833C2"/>
    <w:rsid w:val="00683786"/>
    <w:rsid w:val="00683834"/>
    <w:rsid w:val="00683EA7"/>
    <w:rsid w:val="00684321"/>
    <w:rsid w:val="00684504"/>
    <w:rsid w:val="006845F2"/>
    <w:rsid w:val="00684606"/>
    <w:rsid w:val="00684687"/>
    <w:rsid w:val="0068469F"/>
    <w:rsid w:val="006846E2"/>
    <w:rsid w:val="006847FD"/>
    <w:rsid w:val="00685186"/>
    <w:rsid w:val="006856B2"/>
    <w:rsid w:val="006856B9"/>
    <w:rsid w:val="006858C1"/>
    <w:rsid w:val="00686107"/>
    <w:rsid w:val="00686167"/>
    <w:rsid w:val="00686207"/>
    <w:rsid w:val="00686B3E"/>
    <w:rsid w:val="00686DFC"/>
    <w:rsid w:val="006871B3"/>
    <w:rsid w:val="00687522"/>
    <w:rsid w:val="006879E7"/>
    <w:rsid w:val="00687E9C"/>
    <w:rsid w:val="006904FF"/>
    <w:rsid w:val="00690735"/>
    <w:rsid w:val="006907B9"/>
    <w:rsid w:val="00690B0C"/>
    <w:rsid w:val="00690DE3"/>
    <w:rsid w:val="00691022"/>
    <w:rsid w:val="0069104C"/>
    <w:rsid w:val="0069116C"/>
    <w:rsid w:val="0069157B"/>
    <w:rsid w:val="0069173D"/>
    <w:rsid w:val="00691757"/>
    <w:rsid w:val="0069186A"/>
    <w:rsid w:val="00691A09"/>
    <w:rsid w:val="00691B23"/>
    <w:rsid w:val="00691DA1"/>
    <w:rsid w:val="00691EDC"/>
    <w:rsid w:val="0069201C"/>
    <w:rsid w:val="00692075"/>
    <w:rsid w:val="006922BF"/>
    <w:rsid w:val="0069251D"/>
    <w:rsid w:val="00692A67"/>
    <w:rsid w:val="00692C82"/>
    <w:rsid w:val="00693B86"/>
    <w:rsid w:val="00694140"/>
    <w:rsid w:val="00694784"/>
    <w:rsid w:val="00694EF9"/>
    <w:rsid w:val="0069526B"/>
    <w:rsid w:val="006952AD"/>
    <w:rsid w:val="00695516"/>
    <w:rsid w:val="0069559E"/>
    <w:rsid w:val="00695602"/>
    <w:rsid w:val="00695657"/>
    <w:rsid w:val="0069570D"/>
    <w:rsid w:val="006957C0"/>
    <w:rsid w:val="006957FD"/>
    <w:rsid w:val="00695990"/>
    <w:rsid w:val="00695A29"/>
    <w:rsid w:val="00695C64"/>
    <w:rsid w:val="00695D14"/>
    <w:rsid w:val="00695DB0"/>
    <w:rsid w:val="00695F0D"/>
    <w:rsid w:val="00696590"/>
    <w:rsid w:val="00696972"/>
    <w:rsid w:val="00696F90"/>
    <w:rsid w:val="00696F94"/>
    <w:rsid w:val="00696FF6"/>
    <w:rsid w:val="00697003"/>
    <w:rsid w:val="006974B2"/>
    <w:rsid w:val="006975AA"/>
    <w:rsid w:val="00697CCA"/>
    <w:rsid w:val="00697D3F"/>
    <w:rsid w:val="00697E7D"/>
    <w:rsid w:val="006A03D4"/>
    <w:rsid w:val="006A0475"/>
    <w:rsid w:val="006A058F"/>
    <w:rsid w:val="006A06B6"/>
    <w:rsid w:val="006A0703"/>
    <w:rsid w:val="006A15C2"/>
    <w:rsid w:val="006A1742"/>
    <w:rsid w:val="006A1800"/>
    <w:rsid w:val="006A1821"/>
    <w:rsid w:val="006A19C3"/>
    <w:rsid w:val="006A1E04"/>
    <w:rsid w:val="006A2108"/>
    <w:rsid w:val="006A21BF"/>
    <w:rsid w:val="006A231A"/>
    <w:rsid w:val="006A2784"/>
    <w:rsid w:val="006A28DE"/>
    <w:rsid w:val="006A2CD4"/>
    <w:rsid w:val="006A2D15"/>
    <w:rsid w:val="006A2ED2"/>
    <w:rsid w:val="006A3038"/>
    <w:rsid w:val="006A31D9"/>
    <w:rsid w:val="006A335C"/>
    <w:rsid w:val="006A3730"/>
    <w:rsid w:val="006A3783"/>
    <w:rsid w:val="006A3C04"/>
    <w:rsid w:val="006A416F"/>
    <w:rsid w:val="006A436D"/>
    <w:rsid w:val="006A471B"/>
    <w:rsid w:val="006A4A04"/>
    <w:rsid w:val="006A4B6B"/>
    <w:rsid w:val="006A4D06"/>
    <w:rsid w:val="006A4ED3"/>
    <w:rsid w:val="006A4F74"/>
    <w:rsid w:val="006A4FE5"/>
    <w:rsid w:val="006A5049"/>
    <w:rsid w:val="006A506C"/>
    <w:rsid w:val="006A50F4"/>
    <w:rsid w:val="006A513D"/>
    <w:rsid w:val="006A52DA"/>
    <w:rsid w:val="006A568C"/>
    <w:rsid w:val="006A56AF"/>
    <w:rsid w:val="006A584C"/>
    <w:rsid w:val="006A5D49"/>
    <w:rsid w:val="006A5DD7"/>
    <w:rsid w:val="006A5FF3"/>
    <w:rsid w:val="006A6286"/>
    <w:rsid w:val="006A62B5"/>
    <w:rsid w:val="006A65BE"/>
    <w:rsid w:val="006A691A"/>
    <w:rsid w:val="006A695A"/>
    <w:rsid w:val="006A6C49"/>
    <w:rsid w:val="006A7131"/>
    <w:rsid w:val="006A73FC"/>
    <w:rsid w:val="006A762F"/>
    <w:rsid w:val="006A76BD"/>
    <w:rsid w:val="006A789D"/>
    <w:rsid w:val="006A79C5"/>
    <w:rsid w:val="006A7F7C"/>
    <w:rsid w:val="006B0591"/>
    <w:rsid w:val="006B072B"/>
    <w:rsid w:val="006B0D44"/>
    <w:rsid w:val="006B0D5D"/>
    <w:rsid w:val="006B0FA4"/>
    <w:rsid w:val="006B0FF5"/>
    <w:rsid w:val="006B1327"/>
    <w:rsid w:val="006B135E"/>
    <w:rsid w:val="006B13D4"/>
    <w:rsid w:val="006B1558"/>
    <w:rsid w:val="006B1716"/>
    <w:rsid w:val="006B1732"/>
    <w:rsid w:val="006B191A"/>
    <w:rsid w:val="006B195A"/>
    <w:rsid w:val="006B1AFA"/>
    <w:rsid w:val="006B2372"/>
    <w:rsid w:val="006B2453"/>
    <w:rsid w:val="006B2501"/>
    <w:rsid w:val="006B28BF"/>
    <w:rsid w:val="006B2FEB"/>
    <w:rsid w:val="006B3233"/>
    <w:rsid w:val="006B3321"/>
    <w:rsid w:val="006B3398"/>
    <w:rsid w:val="006B3562"/>
    <w:rsid w:val="006B359E"/>
    <w:rsid w:val="006B368C"/>
    <w:rsid w:val="006B36C7"/>
    <w:rsid w:val="006B380A"/>
    <w:rsid w:val="006B3B45"/>
    <w:rsid w:val="006B3BA2"/>
    <w:rsid w:val="006B3CE4"/>
    <w:rsid w:val="006B3E09"/>
    <w:rsid w:val="006B43D3"/>
    <w:rsid w:val="006B4432"/>
    <w:rsid w:val="006B4529"/>
    <w:rsid w:val="006B4592"/>
    <w:rsid w:val="006B4856"/>
    <w:rsid w:val="006B5070"/>
    <w:rsid w:val="006B50B2"/>
    <w:rsid w:val="006B51DA"/>
    <w:rsid w:val="006B540F"/>
    <w:rsid w:val="006B576F"/>
    <w:rsid w:val="006B5C88"/>
    <w:rsid w:val="006B5ED1"/>
    <w:rsid w:val="006B6191"/>
    <w:rsid w:val="006B685D"/>
    <w:rsid w:val="006B686A"/>
    <w:rsid w:val="006B69E5"/>
    <w:rsid w:val="006B6D64"/>
    <w:rsid w:val="006B79EB"/>
    <w:rsid w:val="006B7B46"/>
    <w:rsid w:val="006B7CD8"/>
    <w:rsid w:val="006B7E24"/>
    <w:rsid w:val="006C01C8"/>
    <w:rsid w:val="006C03B7"/>
    <w:rsid w:val="006C04F3"/>
    <w:rsid w:val="006C10B5"/>
    <w:rsid w:val="006C1121"/>
    <w:rsid w:val="006C1284"/>
    <w:rsid w:val="006C12BB"/>
    <w:rsid w:val="006C14AC"/>
    <w:rsid w:val="006C1C0A"/>
    <w:rsid w:val="006C1C66"/>
    <w:rsid w:val="006C27A3"/>
    <w:rsid w:val="006C27C0"/>
    <w:rsid w:val="006C2989"/>
    <w:rsid w:val="006C29C8"/>
    <w:rsid w:val="006C2A37"/>
    <w:rsid w:val="006C2C77"/>
    <w:rsid w:val="006C31C3"/>
    <w:rsid w:val="006C338C"/>
    <w:rsid w:val="006C373E"/>
    <w:rsid w:val="006C3970"/>
    <w:rsid w:val="006C3B25"/>
    <w:rsid w:val="006C3BF0"/>
    <w:rsid w:val="006C3BF8"/>
    <w:rsid w:val="006C400D"/>
    <w:rsid w:val="006C400E"/>
    <w:rsid w:val="006C413C"/>
    <w:rsid w:val="006C42DD"/>
    <w:rsid w:val="006C4651"/>
    <w:rsid w:val="006C46A5"/>
    <w:rsid w:val="006C46B5"/>
    <w:rsid w:val="006C46D9"/>
    <w:rsid w:val="006C48C6"/>
    <w:rsid w:val="006C4DD4"/>
    <w:rsid w:val="006C4F15"/>
    <w:rsid w:val="006C517F"/>
    <w:rsid w:val="006C5720"/>
    <w:rsid w:val="006C5741"/>
    <w:rsid w:val="006C5BC6"/>
    <w:rsid w:val="006C5C52"/>
    <w:rsid w:val="006C60DA"/>
    <w:rsid w:val="006C6199"/>
    <w:rsid w:val="006C643C"/>
    <w:rsid w:val="006C650A"/>
    <w:rsid w:val="006C66DD"/>
    <w:rsid w:val="006C696D"/>
    <w:rsid w:val="006C6AC9"/>
    <w:rsid w:val="006C6ECF"/>
    <w:rsid w:val="006C72B3"/>
    <w:rsid w:val="006C731D"/>
    <w:rsid w:val="006C7509"/>
    <w:rsid w:val="006C76BA"/>
    <w:rsid w:val="006C7789"/>
    <w:rsid w:val="006C787A"/>
    <w:rsid w:val="006C7C0D"/>
    <w:rsid w:val="006C7C26"/>
    <w:rsid w:val="006C7EFB"/>
    <w:rsid w:val="006D01A1"/>
    <w:rsid w:val="006D039E"/>
    <w:rsid w:val="006D067D"/>
    <w:rsid w:val="006D0CA1"/>
    <w:rsid w:val="006D0D6F"/>
    <w:rsid w:val="006D0DA0"/>
    <w:rsid w:val="006D12AC"/>
    <w:rsid w:val="006D1496"/>
    <w:rsid w:val="006D161E"/>
    <w:rsid w:val="006D1846"/>
    <w:rsid w:val="006D194E"/>
    <w:rsid w:val="006D1D9B"/>
    <w:rsid w:val="006D1EBE"/>
    <w:rsid w:val="006D237A"/>
    <w:rsid w:val="006D2623"/>
    <w:rsid w:val="006D27E5"/>
    <w:rsid w:val="006D29BB"/>
    <w:rsid w:val="006D2ADF"/>
    <w:rsid w:val="006D2B04"/>
    <w:rsid w:val="006D2C5D"/>
    <w:rsid w:val="006D2ED5"/>
    <w:rsid w:val="006D317B"/>
    <w:rsid w:val="006D3D3C"/>
    <w:rsid w:val="006D3E5E"/>
    <w:rsid w:val="006D4011"/>
    <w:rsid w:val="006D43D1"/>
    <w:rsid w:val="006D452F"/>
    <w:rsid w:val="006D4594"/>
    <w:rsid w:val="006D4880"/>
    <w:rsid w:val="006D4E25"/>
    <w:rsid w:val="006D4EB4"/>
    <w:rsid w:val="006D4EF9"/>
    <w:rsid w:val="006D4F39"/>
    <w:rsid w:val="006D5067"/>
    <w:rsid w:val="006D5082"/>
    <w:rsid w:val="006D57E5"/>
    <w:rsid w:val="006D59DD"/>
    <w:rsid w:val="006D5D55"/>
    <w:rsid w:val="006D5F74"/>
    <w:rsid w:val="006D6044"/>
    <w:rsid w:val="006D60C2"/>
    <w:rsid w:val="006D6847"/>
    <w:rsid w:val="006D6890"/>
    <w:rsid w:val="006D697D"/>
    <w:rsid w:val="006D722D"/>
    <w:rsid w:val="006D7765"/>
    <w:rsid w:val="006D7C5A"/>
    <w:rsid w:val="006D7C6F"/>
    <w:rsid w:val="006D7D18"/>
    <w:rsid w:val="006D7E94"/>
    <w:rsid w:val="006D7F79"/>
    <w:rsid w:val="006E00A2"/>
    <w:rsid w:val="006E02BE"/>
    <w:rsid w:val="006E064B"/>
    <w:rsid w:val="006E06DE"/>
    <w:rsid w:val="006E0D36"/>
    <w:rsid w:val="006E0DA6"/>
    <w:rsid w:val="006E100E"/>
    <w:rsid w:val="006E1A2F"/>
    <w:rsid w:val="006E1A66"/>
    <w:rsid w:val="006E1F1D"/>
    <w:rsid w:val="006E24AB"/>
    <w:rsid w:val="006E279C"/>
    <w:rsid w:val="006E2A62"/>
    <w:rsid w:val="006E2BC6"/>
    <w:rsid w:val="006E2E9F"/>
    <w:rsid w:val="006E3217"/>
    <w:rsid w:val="006E3366"/>
    <w:rsid w:val="006E377E"/>
    <w:rsid w:val="006E3AA1"/>
    <w:rsid w:val="006E3AB8"/>
    <w:rsid w:val="006E43D8"/>
    <w:rsid w:val="006E4B35"/>
    <w:rsid w:val="006E4F1B"/>
    <w:rsid w:val="006E53AA"/>
    <w:rsid w:val="006E58A5"/>
    <w:rsid w:val="006E6239"/>
    <w:rsid w:val="006E63A0"/>
    <w:rsid w:val="006E6AED"/>
    <w:rsid w:val="006E6B12"/>
    <w:rsid w:val="006E6BC3"/>
    <w:rsid w:val="006E6CC0"/>
    <w:rsid w:val="006E7279"/>
    <w:rsid w:val="006E75B9"/>
    <w:rsid w:val="006E77C1"/>
    <w:rsid w:val="006E7A7A"/>
    <w:rsid w:val="006E7BC5"/>
    <w:rsid w:val="006E7CED"/>
    <w:rsid w:val="006E7ECB"/>
    <w:rsid w:val="006F007F"/>
    <w:rsid w:val="006F00E4"/>
    <w:rsid w:val="006F0240"/>
    <w:rsid w:val="006F0679"/>
    <w:rsid w:val="006F072B"/>
    <w:rsid w:val="006F088B"/>
    <w:rsid w:val="006F0F33"/>
    <w:rsid w:val="006F1380"/>
    <w:rsid w:val="006F138C"/>
    <w:rsid w:val="006F1683"/>
    <w:rsid w:val="006F19F0"/>
    <w:rsid w:val="006F1A1A"/>
    <w:rsid w:val="006F1F2A"/>
    <w:rsid w:val="006F2164"/>
    <w:rsid w:val="006F25E1"/>
    <w:rsid w:val="006F260E"/>
    <w:rsid w:val="006F2911"/>
    <w:rsid w:val="006F2EF6"/>
    <w:rsid w:val="006F2FD6"/>
    <w:rsid w:val="006F368F"/>
    <w:rsid w:val="006F3891"/>
    <w:rsid w:val="006F3FFD"/>
    <w:rsid w:val="006F4001"/>
    <w:rsid w:val="006F4259"/>
    <w:rsid w:val="006F44CA"/>
    <w:rsid w:val="006F49F4"/>
    <w:rsid w:val="006F4A4C"/>
    <w:rsid w:val="006F4FBC"/>
    <w:rsid w:val="006F5232"/>
    <w:rsid w:val="006F52FC"/>
    <w:rsid w:val="006F53AE"/>
    <w:rsid w:val="006F53D7"/>
    <w:rsid w:val="006F53F0"/>
    <w:rsid w:val="006F5FE6"/>
    <w:rsid w:val="006F647A"/>
    <w:rsid w:val="006F697E"/>
    <w:rsid w:val="006F6B60"/>
    <w:rsid w:val="006F6C6D"/>
    <w:rsid w:val="006F6C8F"/>
    <w:rsid w:val="006F6D07"/>
    <w:rsid w:val="006F6E50"/>
    <w:rsid w:val="006F6EA1"/>
    <w:rsid w:val="006F740F"/>
    <w:rsid w:val="006F76EF"/>
    <w:rsid w:val="006F7A1B"/>
    <w:rsid w:val="006F7A62"/>
    <w:rsid w:val="006F7EDC"/>
    <w:rsid w:val="007007AF"/>
    <w:rsid w:val="00700E17"/>
    <w:rsid w:val="00700E93"/>
    <w:rsid w:val="00701028"/>
    <w:rsid w:val="00701113"/>
    <w:rsid w:val="00701236"/>
    <w:rsid w:val="007018F4"/>
    <w:rsid w:val="00701A56"/>
    <w:rsid w:val="00701D79"/>
    <w:rsid w:val="00701E94"/>
    <w:rsid w:val="00702145"/>
    <w:rsid w:val="007025CC"/>
    <w:rsid w:val="007028E1"/>
    <w:rsid w:val="00702952"/>
    <w:rsid w:val="007029C2"/>
    <w:rsid w:val="00702CBB"/>
    <w:rsid w:val="0070333A"/>
    <w:rsid w:val="00703536"/>
    <w:rsid w:val="00703609"/>
    <w:rsid w:val="007038C5"/>
    <w:rsid w:val="0070397B"/>
    <w:rsid w:val="00703C73"/>
    <w:rsid w:val="00703CB9"/>
    <w:rsid w:val="00703EA3"/>
    <w:rsid w:val="00704084"/>
    <w:rsid w:val="00704EC2"/>
    <w:rsid w:val="007050A0"/>
    <w:rsid w:val="007053A6"/>
    <w:rsid w:val="0070559C"/>
    <w:rsid w:val="00705B1C"/>
    <w:rsid w:val="00705E51"/>
    <w:rsid w:val="00705E53"/>
    <w:rsid w:val="00705EC5"/>
    <w:rsid w:val="00705F8B"/>
    <w:rsid w:val="007060BD"/>
    <w:rsid w:val="00706261"/>
    <w:rsid w:val="007062B4"/>
    <w:rsid w:val="00706314"/>
    <w:rsid w:val="0070634E"/>
    <w:rsid w:val="007063C1"/>
    <w:rsid w:val="00706BF6"/>
    <w:rsid w:val="00706D85"/>
    <w:rsid w:val="00706DBF"/>
    <w:rsid w:val="00707122"/>
    <w:rsid w:val="007073B8"/>
    <w:rsid w:val="00707AEE"/>
    <w:rsid w:val="00707BE1"/>
    <w:rsid w:val="00707D89"/>
    <w:rsid w:val="007100AD"/>
    <w:rsid w:val="007100CF"/>
    <w:rsid w:val="007103DA"/>
    <w:rsid w:val="007103F4"/>
    <w:rsid w:val="007107C5"/>
    <w:rsid w:val="00711105"/>
    <w:rsid w:val="007111EF"/>
    <w:rsid w:val="0071134D"/>
    <w:rsid w:val="00711382"/>
    <w:rsid w:val="00711551"/>
    <w:rsid w:val="00711604"/>
    <w:rsid w:val="0071181A"/>
    <w:rsid w:val="0071192D"/>
    <w:rsid w:val="007119B7"/>
    <w:rsid w:val="00711B52"/>
    <w:rsid w:val="00711BAA"/>
    <w:rsid w:val="00711CE8"/>
    <w:rsid w:val="00711D24"/>
    <w:rsid w:val="00711D9E"/>
    <w:rsid w:val="00712515"/>
    <w:rsid w:val="00712743"/>
    <w:rsid w:val="0071289A"/>
    <w:rsid w:val="00712B2B"/>
    <w:rsid w:val="00712DA7"/>
    <w:rsid w:val="00712FA3"/>
    <w:rsid w:val="00713840"/>
    <w:rsid w:val="00713B57"/>
    <w:rsid w:val="007142C9"/>
    <w:rsid w:val="0071480F"/>
    <w:rsid w:val="00714D1A"/>
    <w:rsid w:val="00714E11"/>
    <w:rsid w:val="007152D3"/>
    <w:rsid w:val="0071535B"/>
    <w:rsid w:val="0071566D"/>
    <w:rsid w:val="007156B8"/>
    <w:rsid w:val="00715CA2"/>
    <w:rsid w:val="00715F3A"/>
    <w:rsid w:val="00715F87"/>
    <w:rsid w:val="0071620B"/>
    <w:rsid w:val="00716543"/>
    <w:rsid w:val="007168C3"/>
    <w:rsid w:val="00716929"/>
    <w:rsid w:val="00716971"/>
    <w:rsid w:val="00717037"/>
    <w:rsid w:val="007173CC"/>
    <w:rsid w:val="00717463"/>
    <w:rsid w:val="007174EF"/>
    <w:rsid w:val="00717573"/>
    <w:rsid w:val="007178B9"/>
    <w:rsid w:val="00717B94"/>
    <w:rsid w:val="00717EE1"/>
    <w:rsid w:val="00720360"/>
    <w:rsid w:val="00720671"/>
    <w:rsid w:val="00720787"/>
    <w:rsid w:val="00720A95"/>
    <w:rsid w:val="00720CB7"/>
    <w:rsid w:val="00720DFD"/>
    <w:rsid w:val="007210DC"/>
    <w:rsid w:val="007213D9"/>
    <w:rsid w:val="007217E7"/>
    <w:rsid w:val="007218EE"/>
    <w:rsid w:val="0072222C"/>
    <w:rsid w:val="0072254A"/>
    <w:rsid w:val="007228D4"/>
    <w:rsid w:val="00722AA1"/>
    <w:rsid w:val="00723068"/>
    <w:rsid w:val="007230D4"/>
    <w:rsid w:val="007235AF"/>
    <w:rsid w:val="0072372A"/>
    <w:rsid w:val="007238DB"/>
    <w:rsid w:val="00723A49"/>
    <w:rsid w:val="00723B37"/>
    <w:rsid w:val="00723D21"/>
    <w:rsid w:val="00723FB1"/>
    <w:rsid w:val="0072406A"/>
    <w:rsid w:val="0072419B"/>
    <w:rsid w:val="00724835"/>
    <w:rsid w:val="00724B45"/>
    <w:rsid w:val="00724C3C"/>
    <w:rsid w:val="007252A0"/>
    <w:rsid w:val="0072571F"/>
    <w:rsid w:val="00725CCF"/>
    <w:rsid w:val="00725DD0"/>
    <w:rsid w:val="007261E4"/>
    <w:rsid w:val="0072628F"/>
    <w:rsid w:val="00726434"/>
    <w:rsid w:val="00726EB1"/>
    <w:rsid w:val="00726EE5"/>
    <w:rsid w:val="00727057"/>
    <w:rsid w:val="00727141"/>
    <w:rsid w:val="0072734B"/>
    <w:rsid w:val="00727810"/>
    <w:rsid w:val="00727BDC"/>
    <w:rsid w:val="00727C0E"/>
    <w:rsid w:val="0073015E"/>
    <w:rsid w:val="007302A7"/>
    <w:rsid w:val="007302C8"/>
    <w:rsid w:val="007304CA"/>
    <w:rsid w:val="0073091E"/>
    <w:rsid w:val="00730BBF"/>
    <w:rsid w:val="00730FEE"/>
    <w:rsid w:val="00730FFB"/>
    <w:rsid w:val="00731124"/>
    <w:rsid w:val="007317EE"/>
    <w:rsid w:val="00731893"/>
    <w:rsid w:val="007318B2"/>
    <w:rsid w:val="00731C7D"/>
    <w:rsid w:val="00731F2A"/>
    <w:rsid w:val="007320B8"/>
    <w:rsid w:val="00732329"/>
    <w:rsid w:val="0073288D"/>
    <w:rsid w:val="007328AE"/>
    <w:rsid w:val="00732AAF"/>
    <w:rsid w:val="00732AF2"/>
    <w:rsid w:val="00732DF5"/>
    <w:rsid w:val="00733239"/>
    <w:rsid w:val="007333CA"/>
    <w:rsid w:val="007336E7"/>
    <w:rsid w:val="007337F5"/>
    <w:rsid w:val="00733883"/>
    <w:rsid w:val="0073417B"/>
    <w:rsid w:val="007341BA"/>
    <w:rsid w:val="007347A4"/>
    <w:rsid w:val="00734B52"/>
    <w:rsid w:val="00734CD1"/>
    <w:rsid w:val="00734D40"/>
    <w:rsid w:val="00734E5B"/>
    <w:rsid w:val="00734EA2"/>
    <w:rsid w:val="00734EF5"/>
    <w:rsid w:val="0073502A"/>
    <w:rsid w:val="00735984"/>
    <w:rsid w:val="007359AC"/>
    <w:rsid w:val="00735A9E"/>
    <w:rsid w:val="00735CFE"/>
    <w:rsid w:val="00735DDE"/>
    <w:rsid w:val="00735FE3"/>
    <w:rsid w:val="00736401"/>
    <w:rsid w:val="00736407"/>
    <w:rsid w:val="00736411"/>
    <w:rsid w:val="007364C7"/>
    <w:rsid w:val="00736783"/>
    <w:rsid w:val="0073691D"/>
    <w:rsid w:val="0073694F"/>
    <w:rsid w:val="00736B45"/>
    <w:rsid w:val="00736B85"/>
    <w:rsid w:val="00736D2B"/>
    <w:rsid w:val="00736F4D"/>
    <w:rsid w:val="00737256"/>
    <w:rsid w:val="0073781C"/>
    <w:rsid w:val="007378D0"/>
    <w:rsid w:val="00737949"/>
    <w:rsid w:val="00737BB9"/>
    <w:rsid w:val="00737D3F"/>
    <w:rsid w:val="00737EC1"/>
    <w:rsid w:val="00740546"/>
    <w:rsid w:val="00740E93"/>
    <w:rsid w:val="007410BB"/>
    <w:rsid w:val="00741145"/>
    <w:rsid w:val="00741699"/>
    <w:rsid w:val="0074190B"/>
    <w:rsid w:val="00741B7C"/>
    <w:rsid w:val="00741D44"/>
    <w:rsid w:val="00741EF4"/>
    <w:rsid w:val="00741F57"/>
    <w:rsid w:val="0074202F"/>
    <w:rsid w:val="00742408"/>
    <w:rsid w:val="0074258C"/>
    <w:rsid w:val="00742701"/>
    <w:rsid w:val="00742979"/>
    <w:rsid w:val="00742A94"/>
    <w:rsid w:val="00742C8A"/>
    <w:rsid w:val="00743314"/>
    <w:rsid w:val="007433EE"/>
    <w:rsid w:val="00743561"/>
    <w:rsid w:val="00743648"/>
    <w:rsid w:val="007437BE"/>
    <w:rsid w:val="00743F1C"/>
    <w:rsid w:val="007441CD"/>
    <w:rsid w:val="00744336"/>
    <w:rsid w:val="0074439C"/>
    <w:rsid w:val="007447E1"/>
    <w:rsid w:val="00744848"/>
    <w:rsid w:val="00744A94"/>
    <w:rsid w:val="00744B62"/>
    <w:rsid w:val="00744DEF"/>
    <w:rsid w:val="00744FB6"/>
    <w:rsid w:val="0074524F"/>
    <w:rsid w:val="0074562D"/>
    <w:rsid w:val="007456FF"/>
    <w:rsid w:val="00745900"/>
    <w:rsid w:val="007459C4"/>
    <w:rsid w:val="00745A16"/>
    <w:rsid w:val="00745B85"/>
    <w:rsid w:val="00745FF0"/>
    <w:rsid w:val="007464A3"/>
    <w:rsid w:val="00746583"/>
    <w:rsid w:val="00746806"/>
    <w:rsid w:val="00746840"/>
    <w:rsid w:val="00746AE8"/>
    <w:rsid w:val="00746F2C"/>
    <w:rsid w:val="00747122"/>
    <w:rsid w:val="00747271"/>
    <w:rsid w:val="007474BC"/>
    <w:rsid w:val="007478B1"/>
    <w:rsid w:val="00747AF3"/>
    <w:rsid w:val="00747CD7"/>
    <w:rsid w:val="00747D49"/>
    <w:rsid w:val="00747F84"/>
    <w:rsid w:val="00750003"/>
    <w:rsid w:val="00750028"/>
    <w:rsid w:val="0075010B"/>
    <w:rsid w:val="007501E0"/>
    <w:rsid w:val="007502BE"/>
    <w:rsid w:val="0075041B"/>
    <w:rsid w:val="00750460"/>
    <w:rsid w:val="0075052C"/>
    <w:rsid w:val="007509D4"/>
    <w:rsid w:val="00750BA3"/>
    <w:rsid w:val="00750C2C"/>
    <w:rsid w:val="00750DF5"/>
    <w:rsid w:val="00750E01"/>
    <w:rsid w:val="00751264"/>
    <w:rsid w:val="00751696"/>
    <w:rsid w:val="00751B81"/>
    <w:rsid w:val="00751C92"/>
    <w:rsid w:val="0075213D"/>
    <w:rsid w:val="00752253"/>
    <w:rsid w:val="007525E6"/>
    <w:rsid w:val="00752B8B"/>
    <w:rsid w:val="007530B2"/>
    <w:rsid w:val="0075322C"/>
    <w:rsid w:val="007533E3"/>
    <w:rsid w:val="0075368F"/>
    <w:rsid w:val="00753956"/>
    <w:rsid w:val="00753C39"/>
    <w:rsid w:val="00754004"/>
    <w:rsid w:val="0075446C"/>
    <w:rsid w:val="00754800"/>
    <w:rsid w:val="0075494D"/>
    <w:rsid w:val="00754A45"/>
    <w:rsid w:val="00754A9F"/>
    <w:rsid w:val="00754C3F"/>
    <w:rsid w:val="00754CAC"/>
    <w:rsid w:val="00754F76"/>
    <w:rsid w:val="00754FEB"/>
    <w:rsid w:val="00754FF3"/>
    <w:rsid w:val="007558BD"/>
    <w:rsid w:val="00755A82"/>
    <w:rsid w:val="00755C95"/>
    <w:rsid w:val="00755D5D"/>
    <w:rsid w:val="00755EFD"/>
    <w:rsid w:val="00756438"/>
    <w:rsid w:val="007566EB"/>
    <w:rsid w:val="007567A8"/>
    <w:rsid w:val="00756B28"/>
    <w:rsid w:val="00757110"/>
    <w:rsid w:val="00757157"/>
    <w:rsid w:val="00757457"/>
    <w:rsid w:val="007574C8"/>
    <w:rsid w:val="00757EE3"/>
    <w:rsid w:val="00760123"/>
    <w:rsid w:val="00760168"/>
    <w:rsid w:val="007601B0"/>
    <w:rsid w:val="00760581"/>
    <w:rsid w:val="0076063E"/>
    <w:rsid w:val="007608C3"/>
    <w:rsid w:val="00760C54"/>
    <w:rsid w:val="00761005"/>
    <w:rsid w:val="007612C8"/>
    <w:rsid w:val="00761860"/>
    <w:rsid w:val="007619CB"/>
    <w:rsid w:val="00761A88"/>
    <w:rsid w:val="00761D4F"/>
    <w:rsid w:val="00761F94"/>
    <w:rsid w:val="00762290"/>
    <w:rsid w:val="0076261B"/>
    <w:rsid w:val="00762883"/>
    <w:rsid w:val="007628FC"/>
    <w:rsid w:val="00762B8B"/>
    <w:rsid w:val="00762D2E"/>
    <w:rsid w:val="00763127"/>
    <w:rsid w:val="0076358D"/>
    <w:rsid w:val="00763604"/>
    <w:rsid w:val="007636AC"/>
    <w:rsid w:val="0076383E"/>
    <w:rsid w:val="00763E80"/>
    <w:rsid w:val="00763FA9"/>
    <w:rsid w:val="007643C1"/>
    <w:rsid w:val="00764555"/>
    <w:rsid w:val="00764562"/>
    <w:rsid w:val="00764A33"/>
    <w:rsid w:val="00764B87"/>
    <w:rsid w:val="00764E4B"/>
    <w:rsid w:val="007650F9"/>
    <w:rsid w:val="007652B0"/>
    <w:rsid w:val="0076544D"/>
    <w:rsid w:val="007654D3"/>
    <w:rsid w:val="00765699"/>
    <w:rsid w:val="00765B85"/>
    <w:rsid w:val="00765C6B"/>
    <w:rsid w:val="00765C84"/>
    <w:rsid w:val="00765E2D"/>
    <w:rsid w:val="00765F72"/>
    <w:rsid w:val="00766066"/>
    <w:rsid w:val="00766A2A"/>
    <w:rsid w:val="00767341"/>
    <w:rsid w:val="00767BEF"/>
    <w:rsid w:val="00767C83"/>
    <w:rsid w:val="00767ED3"/>
    <w:rsid w:val="00770019"/>
    <w:rsid w:val="00770573"/>
    <w:rsid w:val="00770AAC"/>
    <w:rsid w:val="00770E33"/>
    <w:rsid w:val="00770E9E"/>
    <w:rsid w:val="00770ED3"/>
    <w:rsid w:val="007710CC"/>
    <w:rsid w:val="007714DC"/>
    <w:rsid w:val="007716B7"/>
    <w:rsid w:val="00771B55"/>
    <w:rsid w:val="00771BFE"/>
    <w:rsid w:val="00772086"/>
    <w:rsid w:val="00772256"/>
    <w:rsid w:val="00772559"/>
    <w:rsid w:val="0077277A"/>
    <w:rsid w:val="007732EE"/>
    <w:rsid w:val="007739BF"/>
    <w:rsid w:val="00774328"/>
    <w:rsid w:val="007744D8"/>
    <w:rsid w:val="007745F5"/>
    <w:rsid w:val="00774806"/>
    <w:rsid w:val="0077483B"/>
    <w:rsid w:val="00774A40"/>
    <w:rsid w:val="00774C41"/>
    <w:rsid w:val="00775353"/>
    <w:rsid w:val="00775428"/>
    <w:rsid w:val="007755F8"/>
    <w:rsid w:val="0077603D"/>
    <w:rsid w:val="007761DD"/>
    <w:rsid w:val="00776319"/>
    <w:rsid w:val="007765FA"/>
    <w:rsid w:val="00776994"/>
    <w:rsid w:val="00776A14"/>
    <w:rsid w:val="00776B10"/>
    <w:rsid w:val="00776D08"/>
    <w:rsid w:val="0077760D"/>
    <w:rsid w:val="00777F31"/>
    <w:rsid w:val="0078019C"/>
    <w:rsid w:val="007807C2"/>
    <w:rsid w:val="00780A7A"/>
    <w:rsid w:val="00780AA8"/>
    <w:rsid w:val="00780BD3"/>
    <w:rsid w:val="00780BE0"/>
    <w:rsid w:val="00780C23"/>
    <w:rsid w:val="0078138E"/>
    <w:rsid w:val="00781479"/>
    <w:rsid w:val="007814D8"/>
    <w:rsid w:val="007815EB"/>
    <w:rsid w:val="0078166A"/>
    <w:rsid w:val="007822A3"/>
    <w:rsid w:val="0078230F"/>
    <w:rsid w:val="0078238B"/>
    <w:rsid w:val="007824FA"/>
    <w:rsid w:val="00782615"/>
    <w:rsid w:val="007829D2"/>
    <w:rsid w:val="00782AD2"/>
    <w:rsid w:val="00782B69"/>
    <w:rsid w:val="00782D15"/>
    <w:rsid w:val="00783258"/>
    <w:rsid w:val="00783A0F"/>
    <w:rsid w:val="00783CB8"/>
    <w:rsid w:val="00784072"/>
    <w:rsid w:val="007844A3"/>
    <w:rsid w:val="007845B0"/>
    <w:rsid w:val="00784914"/>
    <w:rsid w:val="007849ED"/>
    <w:rsid w:val="00784FE3"/>
    <w:rsid w:val="00785002"/>
    <w:rsid w:val="00785173"/>
    <w:rsid w:val="0078562A"/>
    <w:rsid w:val="00786388"/>
    <w:rsid w:val="007863ED"/>
    <w:rsid w:val="00786A02"/>
    <w:rsid w:val="00786D48"/>
    <w:rsid w:val="00786DB7"/>
    <w:rsid w:val="00786DBF"/>
    <w:rsid w:val="007873C7"/>
    <w:rsid w:val="00787498"/>
    <w:rsid w:val="007875AD"/>
    <w:rsid w:val="00787782"/>
    <w:rsid w:val="007878EF"/>
    <w:rsid w:val="00787AAC"/>
    <w:rsid w:val="00787D75"/>
    <w:rsid w:val="007905B1"/>
    <w:rsid w:val="00790DBF"/>
    <w:rsid w:val="00790DE8"/>
    <w:rsid w:val="0079132F"/>
    <w:rsid w:val="007914D0"/>
    <w:rsid w:val="007915D8"/>
    <w:rsid w:val="00791A89"/>
    <w:rsid w:val="00791C02"/>
    <w:rsid w:val="00791D7E"/>
    <w:rsid w:val="0079220F"/>
    <w:rsid w:val="00792454"/>
    <w:rsid w:val="007924E8"/>
    <w:rsid w:val="0079267D"/>
    <w:rsid w:val="007929DE"/>
    <w:rsid w:val="00792A67"/>
    <w:rsid w:val="00792AB0"/>
    <w:rsid w:val="00792BAD"/>
    <w:rsid w:val="0079324D"/>
    <w:rsid w:val="0079337F"/>
    <w:rsid w:val="007934C3"/>
    <w:rsid w:val="00793A95"/>
    <w:rsid w:val="00793EFA"/>
    <w:rsid w:val="00794340"/>
    <w:rsid w:val="00794578"/>
    <w:rsid w:val="0079473E"/>
    <w:rsid w:val="00794817"/>
    <w:rsid w:val="0079536C"/>
    <w:rsid w:val="00795661"/>
    <w:rsid w:val="007956D2"/>
    <w:rsid w:val="007957C3"/>
    <w:rsid w:val="00795804"/>
    <w:rsid w:val="00795CBB"/>
    <w:rsid w:val="00795F31"/>
    <w:rsid w:val="00796140"/>
    <w:rsid w:val="007961B9"/>
    <w:rsid w:val="007962B8"/>
    <w:rsid w:val="00796595"/>
    <w:rsid w:val="007966CA"/>
    <w:rsid w:val="007968AD"/>
    <w:rsid w:val="0079697D"/>
    <w:rsid w:val="00796A35"/>
    <w:rsid w:val="00796EF5"/>
    <w:rsid w:val="00797230"/>
    <w:rsid w:val="00797358"/>
    <w:rsid w:val="007974E9"/>
    <w:rsid w:val="007977E3"/>
    <w:rsid w:val="007978F9"/>
    <w:rsid w:val="00797C3B"/>
    <w:rsid w:val="007A040C"/>
    <w:rsid w:val="007A05D2"/>
    <w:rsid w:val="007A0CC1"/>
    <w:rsid w:val="007A0FE2"/>
    <w:rsid w:val="007A11F4"/>
    <w:rsid w:val="007A136E"/>
    <w:rsid w:val="007A13F6"/>
    <w:rsid w:val="007A1513"/>
    <w:rsid w:val="007A17A0"/>
    <w:rsid w:val="007A187E"/>
    <w:rsid w:val="007A1A00"/>
    <w:rsid w:val="007A1D30"/>
    <w:rsid w:val="007A1D69"/>
    <w:rsid w:val="007A222B"/>
    <w:rsid w:val="007A2386"/>
    <w:rsid w:val="007A24AF"/>
    <w:rsid w:val="007A284A"/>
    <w:rsid w:val="007A31A2"/>
    <w:rsid w:val="007A349F"/>
    <w:rsid w:val="007A382E"/>
    <w:rsid w:val="007A3B95"/>
    <w:rsid w:val="007A3BB3"/>
    <w:rsid w:val="007A3E92"/>
    <w:rsid w:val="007A3FD3"/>
    <w:rsid w:val="007A4167"/>
    <w:rsid w:val="007A4395"/>
    <w:rsid w:val="007A4434"/>
    <w:rsid w:val="007A4EC6"/>
    <w:rsid w:val="007A51BC"/>
    <w:rsid w:val="007A5460"/>
    <w:rsid w:val="007A5491"/>
    <w:rsid w:val="007A55B0"/>
    <w:rsid w:val="007A5709"/>
    <w:rsid w:val="007A5860"/>
    <w:rsid w:val="007A5C5C"/>
    <w:rsid w:val="007A5D53"/>
    <w:rsid w:val="007A5EA5"/>
    <w:rsid w:val="007A62B8"/>
    <w:rsid w:val="007A6365"/>
    <w:rsid w:val="007A64BC"/>
    <w:rsid w:val="007A64BE"/>
    <w:rsid w:val="007A6A23"/>
    <w:rsid w:val="007A6D96"/>
    <w:rsid w:val="007A6E35"/>
    <w:rsid w:val="007A6E84"/>
    <w:rsid w:val="007A749F"/>
    <w:rsid w:val="007A7ADD"/>
    <w:rsid w:val="007A7D40"/>
    <w:rsid w:val="007B01E2"/>
    <w:rsid w:val="007B0406"/>
    <w:rsid w:val="007B0663"/>
    <w:rsid w:val="007B0DF9"/>
    <w:rsid w:val="007B12A7"/>
    <w:rsid w:val="007B12D7"/>
    <w:rsid w:val="007B12FB"/>
    <w:rsid w:val="007B136F"/>
    <w:rsid w:val="007B1983"/>
    <w:rsid w:val="007B1EDC"/>
    <w:rsid w:val="007B211A"/>
    <w:rsid w:val="007B21D0"/>
    <w:rsid w:val="007B2750"/>
    <w:rsid w:val="007B2919"/>
    <w:rsid w:val="007B2AB1"/>
    <w:rsid w:val="007B2CE9"/>
    <w:rsid w:val="007B3101"/>
    <w:rsid w:val="007B3845"/>
    <w:rsid w:val="007B3862"/>
    <w:rsid w:val="007B3995"/>
    <w:rsid w:val="007B3A3F"/>
    <w:rsid w:val="007B3B09"/>
    <w:rsid w:val="007B3B0C"/>
    <w:rsid w:val="007B3B1C"/>
    <w:rsid w:val="007B3BCD"/>
    <w:rsid w:val="007B3CE7"/>
    <w:rsid w:val="007B3E9D"/>
    <w:rsid w:val="007B4447"/>
    <w:rsid w:val="007B4855"/>
    <w:rsid w:val="007B4955"/>
    <w:rsid w:val="007B4BB0"/>
    <w:rsid w:val="007B4CFF"/>
    <w:rsid w:val="007B528F"/>
    <w:rsid w:val="007B52B2"/>
    <w:rsid w:val="007B54A7"/>
    <w:rsid w:val="007B5891"/>
    <w:rsid w:val="007B5B46"/>
    <w:rsid w:val="007B5B7F"/>
    <w:rsid w:val="007B5C19"/>
    <w:rsid w:val="007B5C28"/>
    <w:rsid w:val="007B6908"/>
    <w:rsid w:val="007B6A6D"/>
    <w:rsid w:val="007B7A57"/>
    <w:rsid w:val="007C0106"/>
    <w:rsid w:val="007C060E"/>
    <w:rsid w:val="007C0F97"/>
    <w:rsid w:val="007C1062"/>
    <w:rsid w:val="007C116E"/>
    <w:rsid w:val="007C14B6"/>
    <w:rsid w:val="007C175A"/>
    <w:rsid w:val="007C17EF"/>
    <w:rsid w:val="007C1E72"/>
    <w:rsid w:val="007C2073"/>
    <w:rsid w:val="007C24BE"/>
    <w:rsid w:val="007C2953"/>
    <w:rsid w:val="007C2AB7"/>
    <w:rsid w:val="007C2B31"/>
    <w:rsid w:val="007C33E0"/>
    <w:rsid w:val="007C363E"/>
    <w:rsid w:val="007C3754"/>
    <w:rsid w:val="007C38CB"/>
    <w:rsid w:val="007C3981"/>
    <w:rsid w:val="007C39F5"/>
    <w:rsid w:val="007C3DB2"/>
    <w:rsid w:val="007C4156"/>
    <w:rsid w:val="007C47D0"/>
    <w:rsid w:val="007C4E9F"/>
    <w:rsid w:val="007C511E"/>
    <w:rsid w:val="007C52D8"/>
    <w:rsid w:val="007C5319"/>
    <w:rsid w:val="007C546F"/>
    <w:rsid w:val="007C5527"/>
    <w:rsid w:val="007C56AB"/>
    <w:rsid w:val="007C5891"/>
    <w:rsid w:val="007C590D"/>
    <w:rsid w:val="007C600D"/>
    <w:rsid w:val="007C6324"/>
    <w:rsid w:val="007C6918"/>
    <w:rsid w:val="007C6C8E"/>
    <w:rsid w:val="007C6FB0"/>
    <w:rsid w:val="007C70BE"/>
    <w:rsid w:val="007C7125"/>
    <w:rsid w:val="007C7397"/>
    <w:rsid w:val="007C73D2"/>
    <w:rsid w:val="007C77EA"/>
    <w:rsid w:val="007C7A2D"/>
    <w:rsid w:val="007C7CBA"/>
    <w:rsid w:val="007C7D32"/>
    <w:rsid w:val="007C7D86"/>
    <w:rsid w:val="007C7E5A"/>
    <w:rsid w:val="007D007D"/>
    <w:rsid w:val="007D02A4"/>
    <w:rsid w:val="007D033E"/>
    <w:rsid w:val="007D07D3"/>
    <w:rsid w:val="007D0AD0"/>
    <w:rsid w:val="007D0CF1"/>
    <w:rsid w:val="007D0D99"/>
    <w:rsid w:val="007D0F82"/>
    <w:rsid w:val="007D0F85"/>
    <w:rsid w:val="007D11B8"/>
    <w:rsid w:val="007D11D2"/>
    <w:rsid w:val="007D1304"/>
    <w:rsid w:val="007D156E"/>
    <w:rsid w:val="007D1759"/>
    <w:rsid w:val="007D17BD"/>
    <w:rsid w:val="007D2947"/>
    <w:rsid w:val="007D2BC9"/>
    <w:rsid w:val="007D2F15"/>
    <w:rsid w:val="007D3138"/>
    <w:rsid w:val="007D352F"/>
    <w:rsid w:val="007D35F1"/>
    <w:rsid w:val="007D3AFC"/>
    <w:rsid w:val="007D3CC7"/>
    <w:rsid w:val="007D3D9C"/>
    <w:rsid w:val="007D415A"/>
    <w:rsid w:val="007D4579"/>
    <w:rsid w:val="007D473B"/>
    <w:rsid w:val="007D48F1"/>
    <w:rsid w:val="007D4CA0"/>
    <w:rsid w:val="007D501C"/>
    <w:rsid w:val="007D5092"/>
    <w:rsid w:val="007D53A6"/>
    <w:rsid w:val="007D588E"/>
    <w:rsid w:val="007D5AE7"/>
    <w:rsid w:val="007D61FD"/>
    <w:rsid w:val="007D65A9"/>
    <w:rsid w:val="007D6F2D"/>
    <w:rsid w:val="007D7093"/>
    <w:rsid w:val="007D7711"/>
    <w:rsid w:val="007D778E"/>
    <w:rsid w:val="007D7AC9"/>
    <w:rsid w:val="007D7D2A"/>
    <w:rsid w:val="007D7FA9"/>
    <w:rsid w:val="007E02F0"/>
    <w:rsid w:val="007E0B54"/>
    <w:rsid w:val="007E0CC6"/>
    <w:rsid w:val="007E0F4B"/>
    <w:rsid w:val="007E0FEF"/>
    <w:rsid w:val="007E203B"/>
    <w:rsid w:val="007E238D"/>
    <w:rsid w:val="007E2981"/>
    <w:rsid w:val="007E299A"/>
    <w:rsid w:val="007E2BA9"/>
    <w:rsid w:val="007E2D55"/>
    <w:rsid w:val="007E2E51"/>
    <w:rsid w:val="007E2EFD"/>
    <w:rsid w:val="007E31F6"/>
    <w:rsid w:val="007E3304"/>
    <w:rsid w:val="007E33C4"/>
    <w:rsid w:val="007E365D"/>
    <w:rsid w:val="007E369D"/>
    <w:rsid w:val="007E3AFB"/>
    <w:rsid w:val="007E3BD2"/>
    <w:rsid w:val="007E3CCC"/>
    <w:rsid w:val="007E3F7E"/>
    <w:rsid w:val="007E4217"/>
    <w:rsid w:val="007E46C2"/>
    <w:rsid w:val="007E4B7E"/>
    <w:rsid w:val="007E4DFC"/>
    <w:rsid w:val="007E4F19"/>
    <w:rsid w:val="007E51E3"/>
    <w:rsid w:val="007E533C"/>
    <w:rsid w:val="007E5512"/>
    <w:rsid w:val="007E5AC4"/>
    <w:rsid w:val="007E5DF8"/>
    <w:rsid w:val="007E6170"/>
    <w:rsid w:val="007E671B"/>
    <w:rsid w:val="007E6A17"/>
    <w:rsid w:val="007E6B7D"/>
    <w:rsid w:val="007E6E0E"/>
    <w:rsid w:val="007E6ED4"/>
    <w:rsid w:val="007E6ED9"/>
    <w:rsid w:val="007E73B2"/>
    <w:rsid w:val="007E73CC"/>
    <w:rsid w:val="007E75DD"/>
    <w:rsid w:val="007E76F3"/>
    <w:rsid w:val="007E7751"/>
    <w:rsid w:val="007E7921"/>
    <w:rsid w:val="007E799D"/>
    <w:rsid w:val="007E7C05"/>
    <w:rsid w:val="007F0291"/>
    <w:rsid w:val="007F069B"/>
    <w:rsid w:val="007F06BC"/>
    <w:rsid w:val="007F09BE"/>
    <w:rsid w:val="007F0CBF"/>
    <w:rsid w:val="007F0D0A"/>
    <w:rsid w:val="007F11B5"/>
    <w:rsid w:val="007F16B1"/>
    <w:rsid w:val="007F1AEC"/>
    <w:rsid w:val="007F1EE9"/>
    <w:rsid w:val="007F1F39"/>
    <w:rsid w:val="007F2F59"/>
    <w:rsid w:val="007F30E4"/>
    <w:rsid w:val="007F317E"/>
    <w:rsid w:val="007F31CB"/>
    <w:rsid w:val="007F3675"/>
    <w:rsid w:val="007F37B1"/>
    <w:rsid w:val="007F38A7"/>
    <w:rsid w:val="007F39D1"/>
    <w:rsid w:val="007F3B9E"/>
    <w:rsid w:val="007F3E09"/>
    <w:rsid w:val="007F4443"/>
    <w:rsid w:val="007F4F4C"/>
    <w:rsid w:val="007F4FDC"/>
    <w:rsid w:val="007F50B2"/>
    <w:rsid w:val="007F511E"/>
    <w:rsid w:val="007F5722"/>
    <w:rsid w:val="007F5A09"/>
    <w:rsid w:val="007F5EC6"/>
    <w:rsid w:val="007F5EC9"/>
    <w:rsid w:val="007F5F03"/>
    <w:rsid w:val="007F62D0"/>
    <w:rsid w:val="007F6538"/>
    <w:rsid w:val="007F6798"/>
    <w:rsid w:val="007F6887"/>
    <w:rsid w:val="007F68DB"/>
    <w:rsid w:val="007F6A3A"/>
    <w:rsid w:val="007F6E74"/>
    <w:rsid w:val="007F6EA5"/>
    <w:rsid w:val="007F6F13"/>
    <w:rsid w:val="007F702A"/>
    <w:rsid w:val="007F7197"/>
    <w:rsid w:val="007F76B2"/>
    <w:rsid w:val="007F780B"/>
    <w:rsid w:val="007F7DF1"/>
    <w:rsid w:val="00800135"/>
    <w:rsid w:val="0080023B"/>
    <w:rsid w:val="008002DE"/>
    <w:rsid w:val="00800507"/>
    <w:rsid w:val="00800917"/>
    <w:rsid w:val="00800A60"/>
    <w:rsid w:val="00800C44"/>
    <w:rsid w:val="00800C6E"/>
    <w:rsid w:val="00800FDF"/>
    <w:rsid w:val="00800FFF"/>
    <w:rsid w:val="00801154"/>
    <w:rsid w:val="00801636"/>
    <w:rsid w:val="008017C2"/>
    <w:rsid w:val="008018E3"/>
    <w:rsid w:val="00801ABB"/>
    <w:rsid w:val="008020C3"/>
    <w:rsid w:val="0080251D"/>
    <w:rsid w:val="008025A1"/>
    <w:rsid w:val="008026EF"/>
    <w:rsid w:val="00802A51"/>
    <w:rsid w:val="00802C24"/>
    <w:rsid w:val="00802EEA"/>
    <w:rsid w:val="008033A4"/>
    <w:rsid w:val="00803587"/>
    <w:rsid w:val="0080366B"/>
    <w:rsid w:val="00803850"/>
    <w:rsid w:val="00803D43"/>
    <w:rsid w:val="00804024"/>
    <w:rsid w:val="0080402E"/>
    <w:rsid w:val="00804415"/>
    <w:rsid w:val="008046EA"/>
    <w:rsid w:val="008050FB"/>
    <w:rsid w:val="008051F9"/>
    <w:rsid w:val="00805510"/>
    <w:rsid w:val="00805764"/>
    <w:rsid w:val="0080577E"/>
    <w:rsid w:val="008057F3"/>
    <w:rsid w:val="0080583A"/>
    <w:rsid w:val="00805CA6"/>
    <w:rsid w:val="00805F49"/>
    <w:rsid w:val="00806597"/>
    <w:rsid w:val="00806B75"/>
    <w:rsid w:val="00806C64"/>
    <w:rsid w:val="00807092"/>
    <w:rsid w:val="00807794"/>
    <w:rsid w:val="008078E1"/>
    <w:rsid w:val="00807963"/>
    <w:rsid w:val="00807BFF"/>
    <w:rsid w:val="008100FB"/>
    <w:rsid w:val="00810760"/>
    <w:rsid w:val="008108EE"/>
    <w:rsid w:val="00810D7C"/>
    <w:rsid w:val="00810F66"/>
    <w:rsid w:val="008110A0"/>
    <w:rsid w:val="008117D4"/>
    <w:rsid w:val="00811A46"/>
    <w:rsid w:val="00811A98"/>
    <w:rsid w:val="00811AE6"/>
    <w:rsid w:val="00811F5F"/>
    <w:rsid w:val="00811F70"/>
    <w:rsid w:val="0081204C"/>
    <w:rsid w:val="008126C3"/>
    <w:rsid w:val="008127BB"/>
    <w:rsid w:val="00812D1D"/>
    <w:rsid w:val="008132E8"/>
    <w:rsid w:val="00813632"/>
    <w:rsid w:val="008137B0"/>
    <w:rsid w:val="00813893"/>
    <w:rsid w:val="00813D71"/>
    <w:rsid w:val="00813D8C"/>
    <w:rsid w:val="00813EA0"/>
    <w:rsid w:val="008142EF"/>
    <w:rsid w:val="008145C3"/>
    <w:rsid w:val="00814747"/>
    <w:rsid w:val="00814B04"/>
    <w:rsid w:val="00815457"/>
    <w:rsid w:val="0081548D"/>
    <w:rsid w:val="00815634"/>
    <w:rsid w:val="00815645"/>
    <w:rsid w:val="00815AEF"/>
    <w:rsid w:val="00815B4D"/>
    <w:rsid w:val="00815C18"/>
    <w:rsid w:val="00815E87"/>
    <w:rsid w:val="0081603F"/>
    <w:rsid w:val="0081621D"/>
    <w:rsid w:val="008165AE"/>
    <w:rsid w:val="008168E2"/>
    <w:rsid w:val="00816A74"/>
    <w:rsid w:val="00816D03"/>
    <w:rsid w:val="00816DFE"/>
    <w:rsid w:val="00817027"/>
    <w:rsid w:val="00817257"/>
    <w:rsid w:val="0081725A"/>
    <w:rsid w:val="00817350"/>
    <w:rsid w:val="00817626"/>
    <w:rsid w:val="00817686"/>
    <w:rsid w:val="00817C15"/>
    <w:rsid w:val="00817C20"/>
    <w:rsid w:val="00817C8E"/>
    <w:rsid w:val="00817E25"/>
    <w:rsid w:val="00817ED6"/>
    <w:rsid w:val="008202AF"/>
    <w:rsid w:val="00820B9E"/>
    <w:rsid w:val="00820BDC"/>
    <w:rsid w:val="00820BDE"/>
    <w:rsid w:val="00820E14"/>
    <w:rsid w:val="00820EDC"/>
    <w:rsid w:val="00821396"/>
    <w:rsid w:val="0082167A"/>
    <w:rsid w:val="008216A0"/>
    <w:rsid w:val="00821821"/>
    <w:rsid w:val="00821916"/>
    <w:rsid w:val="00821F90"/>
    <w:rsid w:val="00822202"/>
    <w:rsid w:val="008226C5"/>
    <w:rsid w:val="00822833"/>
    <w:rsid w:val="00822C84"/>
    <w:rsid w:val="00822CCB"/>
    <w:rsid w:val="00822D21"/>
    <w:rsid w:val="00823109"/>
    <w:rsid w:val="0082320B"/>
    <w:rsid w:val="00823488"/>
    <w:rsid w:val="00823778"/>
    <w:rsid w:val="008239C8"/>
    <w:rsid w:val="008239F9"/>
    <w:rsid w:val="00823AF3"/>
    <w:rsid w:val="00823C81"/>
    <w:rsid w:val="00823D0E"/>
    <w:rsid w:val="00824193"/>
    <w:rsid w:val="00824276"/>
    <w:rsid w:val="00824691"/>
    <w:rsid w:val="008248B3"/>
    <w:rsid w:val="00824A31"/>
    <w:rsid w:val="00824E59"/>
    <w:rsid w:val="008250B0"/>
    <w:rsid w:val="008255DC"/>
    <w:rsid w:val="00825913"/>
    <w:rsid w:val="00825A0D"/>
    <w:rsid w:val="00825C25"/>
    <w:rsid w:val="00825E97"/>
    <w:rsid w:val="008261D9"/>
    <w:rsid w:val="008261F1"/>
    <w:rsid w:val="008262B5"/>
    <w:rsid w:val="008265D9"/>
    <w:rsid w:val="00826A87"/>
    <w:rsid w:val="00826ED3"/>
    <w:rsid w:val="00826FAA"/>
    <w:rsid w:val="008271C3"/>
    <w:rsid w:val="008274FD"/>
    <w:rsid w:val="00827D58"/>
    <w:rsid w:val="00827E0B"/>
    <w:rsid w:val="0083016D"/>
    <w:rsid w:val="0083024D"/>
    <w:rsid w:val="008306E8"/>
    <w:rsid w:val="008306EC"/>
    <w:rsid w:val="00830747"/>
    <w:rsid w:val="00830AE8"/>
    <w:rsid w:val="00830DB2"/>
    <w:rsid w:val="0083135A"/>
    <w:rsid w:val="00831AE6"/>
    <w:rsid w:val="00831FB6"/>
    <w:rsid w:val="00832153"/>
    <w:rsid w:val="0083222D"/>
    <w:rsid w:val="0083297B"/>
    <w:rsid w:val="008329C8"/>
    <w:rsid w:val="00832BE0"/>
    <w:rsid w:val="00832CEA"/>
    <w:rsid w:val="00832DBA"/>
    <w:rsid w:val="00833032"/>
    <w:rsid w:val="00833167"/>
    <w:rsid w:val="008332BD"/>
    <w:rsid w:val="008339C9"/>
    <w:rsid w:val="00833C91"/>
    <w:rsid w:val="0083410D"/>
    <w:rsid w:val="0083418D"/>
    <w:rsid w:val="0083442E"/>
    <w:rsid w:val="008345CF"/>
    <w:rsid w:val="008347A4"/>
    <w:rsid w:val="00834BEA"/>
    <w:rsid w:val="00834CD5"/>
    <w:rsid w:val="00834F87"/>
    <w:rsid w:val="00835578"/>
    <w:rsid w:val="0083559F"/>
    <w:rsid w:val="00835638"/>
    <w:rsid w:val="00835761"/>
    <w:rsid w:val="00835817"/>
    <w:rsid w:val="00835894"/>
    <w:rsid w:val="00835A01"/>
    <w:rsid w:val="00835A2E"/>
    <w:rsid w:val="00835A7D"/>
    <w:rsid w:val="00835AFF"/>
    <w:rsid w:val="00835C0A"/>
    <w:rsid w:val="0083600B"/>
    <w:rsid w:val="0083618D"/>
    <w:rsid w:val="00836202"/>
    <w:rsid w:val="00836290"/>
    <w:rsid w:val="008369BE"/>
    <w:rsid w:val="00836A19"/>
    <w:rsid w:val="00836D71"/>
    <w:rsid w:val="00837032"/>
    <w:rsid w:val="0083716C"/>
    <w:rsid w:val="008374B5"/>
    <w:rsid w:val="00837CD1"/>
    <w:rsid w:val="00837F98"/>
    <w:rsid w:val="00840022"/>
    <w:rsid w:val="00840218"/>
    <w:rsid w:val="0084023B"/>
    <w:rsid w:val="0084046A"/>
    <w:rsid w:val="00840A9F"/>
    <w:rsid w:val="00840D4C"/>
    <w:rsid w:val="008410AA"/>
    <w:rsid w:val="00841CA7"/>
    <w:rsid w:val="00841E26"/>
    <w:rsid w:val="0084212E"/>
    <w:rsid w:val="00842393"/>
    <w:rsid w:val="008425A5"/>
    <w:rsid w:val="00842D90"/>
    <w:rsid w:val="0084321D"/>
    <w:rsid w:val="00843305"/>
    <w:rsid w:val="0084384E"/>
    <w:rsid w:val="00843984"/>
    <w:rsid w:val="008439E9"/>
    <w:rsid w:val="008446E2"/>
    <w:rsid w:val="00844718"/>
    <w:rsid w:val="00844852"/>
    <w:rsid w:val="00844932"/>
    <w:rsid w:val="008449F4"/>
    <w:rsid w:val="00844A69"/>
    <w:rsid w:val="00844C09"/>
    <w:rsid w:val="00844F06"/>
    <w:rsid w:val="00845004"/>
    <w:rsid w:val="008454BE"/>
    <w:rsid w:val="008454CD"/>
    <w:rsid w:val="008454F6"/>
    <w:rsid w:val="00845754"/>
    <w:rsid w:val="00845929"/>
    <w:rsid w:val="00845AE8"/>
    <w:rsid w:val="00845C44"/>
    <w:rsid w:val="00845F0E"/>
    <w:rsid w:val="00845FAA"/>
    <w:rsid w:val="0084627C"/>
    <w:rsid w:val="00846851"/>
    <w:rsid w:val="00846A91"/>
    <w:rsid w:val="00846DA1"/>
    <w:rsid w:val="00846EDC"/>
    <w:rsid w:val="00846FB2"/>
    <w:rsid w:val="00847097"/>
    <w:rsid w:val="008470CD"/>
    <w:rsid w:val="00847140"/>
    <w:rsid w:val="0084723E"/>
    <w:rsid w:val="008473AF"/>
    <w:rsid w:val="0084740B"/>
    <w:rsid w:val="00847DD3"/>
    <w:rsid w:val="00850152"/>
    <w:rsid w:val="008502FC"/>
    <w:rsid w:val="0085037D"/>
    <w:rsid w:val="0085050A"/>
    <w:rsid w:val="008505F7"/>
    <w:rsid w:val="00850840"/>
    <w:rsid w:val="00850DB0"/>
    <w:rsid w:val="008514C3"/>
    <w:rsid w:val="00851959"/>
    <w:rsid w:val="00851BBA"/>
    <w:rsid w:val="00851F24"/>
    <w:rsid w:val="00852007"/>
    <w:rsid w:val="00852421"/>
    <w:rsid w:val="00852BC7"/>
    <w:rsid w:val="0085316D"/>
    <w:rsid w:val="00853221"/>
    <w:rsid w:val="008532E3"/>
    <w:rsid w:val="0085383E"/>
    <w:rsid w:val="008538F5"/>
    <w:rsid w:val="00853999"/>
    <w:rsid w:val="00853C55"/>
    <w:rsid w:val="00854131"/>
    <w:rsid w:val="008541A5"/>
    <w:rsid w:val="00854656"/>
    <w:rsid w:val="00854C75"/>
    <w:rsid w:val="00854D52"/>
    <w:rsid w:val="008551E1"/>
    <w:rsid w:val="008552A8"/>
    <w:rsid w:val="00855447"/>
    <w:rsid w:val="00855594"/>
    <w:rsid w:val="00855A3C"/>
    <w:rsid w:val="00855A6A"/>
    <w:rsid w:val="00855C85"/>
    <w:rsid w:val="00855E68"/>
    <w:rsid w:val="00855F47"/>
    <w:rsid w:val="00855F8F"/>
    <w:rsid w:val="0085610F"/>
    <w:rsid w:val="008565E9"/>
    <w:rsid w:val="00856D1A"/>
    <w:rsid w:val="00856EC8"/>
    <w:rsid w:val="00857387"/>
    <w:rsid w:val="00857844"/>
    <w:rsid w:val="00857E24"/>
    <w:rsid w:val="00857F82"/>
    <w:rsid w:val="00860236"/>
    <w:rsid w:val="00860412"/>
    <w:rsid w:val="0086065D"/>
    <w:rsid w:val="008606FA"/>
    <w:rsid w:val="008607D7"/>
    <w:rsid w:val="008608F4"/>
    <w:rsid w:val="00860DC6"/>
    <w:rsid w:val="00860DFA"/>
    <w:rsid w:val="00860F5D"/>
    <w:rsid w:val="008610F7"/>
    <w:rsid w:val="00861265"/>
    <w:rsid w:val="008612FC"/>
    <w:rsid w:val="008614B1"/>
    <w:rsid w:val="00861834"/>
    <w:rsid w:val="008618CF"/>
    <w:rsid w:val="00861A62"/>
    <w:rsid w:val="0086208D"/>
    <w:rsid w:val="008620E7"/>
    <w:rsid w:val="00862442"/>
    <w:rsid w:val="008627FB"/>
    <w:rsid w:val="008629A0"/>
    <w:rsid w:val="00862AF2"/>
    <w:rsid w:val="00862DC4"/>
    <w:rsid w:val="00863036"/>
    <w:rsid w:val="00863583"/>
    <w:rsid w:val="0086366F"/>
    <w:rsid w:val="00863772"/>
    <w:rsid w:val="00863A94"/>
    <w:rsid w:val="00863E35"/>
    <w:rsid w:val="008642F3"/>
    <w:rsid w:val="00864743"/>
    <w:rsid w:val="00864AA4"/>
    <w:rsid w:val="00864B5C"/>
    <w:rsid w:val="00864B6C"/>
    <w:rsid w:val="00864C62"/>
    <w:rsid w:val="00864D10"/>
    <w:rsid w:val="00864E41"/>
    <w:rsid w:val="0086507F"/>
    <w:rsid w:val="008650A9"/>
    <w:rsid w:val="008654AF"/>
    <w:rsid w:val="008657A1"/>
    <w:rsid w:val="00865C5B"/>
    <w:rsid w:val="00865C79"/>
    <w:rsid w:val="00865CE3"/>
    <w:rsid w:val="00866CD0"/>
    <w:rsid w:val="00866D30"/>
    <w:rsid w:val="00866E21"/>
    <w:rsid w:val="00866ED6"/>
    <w:rsid w:val="008670B8"/>
    <w:rsid w:val="008673E9"/>
    <w:rsid w:val="008675B5"/>
    <w:rsid w:val="008678EB"/>
    <w:rsid w:val="00867B17"/>
    <w:rsid w:val="008701FA"/>
    <w:rsid w:val="00870415"/>
    <w:rsid w:val="008704E3"/>
    <w:rsid w:val="0087091D"/>
    <w:rsid w:val="00870AB8"/>
    <w:rsid w:val="00870B55"/>
    <w:rsid w:val="00870CE6"/>
    <w:rsid w:val="00870DEC"/>
    <w:rsid w:val="0087104F"/>
    <w:rsid w:val="00871089"/>
    <w:rsid w:val="0087114F"/>
    <w:rsid w:val="008718D2"/>
    <w:rsid w:val="00871C9B"/>
    <w:rsid w:val="00871DFE"/>
    <w:rsid w:val="00871EDE"/>
    <w:rsid w:val="008721D6"/>
    <w:rsid w:val="0087241A"/>
    <w:rsid w:val="008728DC"/>
    <w:rsid w:val="00872C82"/>
    <w:rsid w:val="00873044"/>
    <w:rsid w:val="008732B2"/>
    <w:rsid w:val="008732E7"/>
    <w:rsid w:val="00873633"/>
    <w:rsid w:val="008737E2"/>
    <w:rsid w:val="008738C8"/>
    <w:rsid w:val="0087399A"/>
    <w:rsid w:val="008739A3"/>
    <w:rsid w:val="00873A41"/>
    <w:rsid w:val="00873C7F"/>
    <w:rsid w:val="00873F2B"/>
    <w:rsid w:val="00874401"/>
    <w:rsid w:val="008744A0"/>
    <w:rsid w:val="00874799"/>
    <w:rsid w:val="008748FD"/>
    <w:rsid w:val="00874AF0"/>
    <w:rsid w:val="00874D52"/>
    <w:rsid w:val="00875179"/>
    <w:rsid w:val="00875E29"/>
    <w:rsid w:val="00875E2F"/>
    <w:rsid w:val="008762AC"/>
    <w:rsid w:val="0087649A"/>
    <w:rsid w:val="00876718"/>
    <w:rsid w:val="0087675E"/>
    <w:rsid w:val="0087676C"/>
    <w:rsid w:val="00876847"/>
    <w:rsid w:val="00876891"/>
    <w:rsid w:val="00876A05"/>
    <w:rsid w:val="00876A22"/>
    <w:rsid w:val="0087724F"/>
    <w:rsid w:val="008772A0"/>
    <w:rsid w:val="00877811"/>
    <w:rsid w:val="00877875"/>
    <w:rsid w:val="0087787C"/>
    <w:rsid w:val="00877E72"/>
    <w:rsid w:val="00877FFC"/>
    <w:rsid w:val="0088035A"/>
    <w:rsid w:val="00880406"/>
    <w:rsid w:val="0088053B"/>
    <w:rsid w:val="0088054D"/>
    <w:rsid w:val="00880B2F"/>
    <w:rsid w:val="008811CF"/>
    <w:rsid w:val="0088139F"/>
    <w:rsid w:val="0088144E"/>
    <w:rsid w:val="00881694"/>
    <w:rsid w:val="0088180D"/>
    <w:rsid w:val="0088214C"/>
    <w:rsid w:val="008821CB"/>
    <w:rsid w:val="008826A4"/>
    <w:rsid w:val="00882C1E"/>
    <w:rsid w:val="00882C54"/>
    <w:rsid w:val="00882D3E"/>
    <w:rsid w:val="00882F67"/>
    <w:rsid w:val="008833B1"/>
    <w:rsid w:val="008836D4"/>
    <w:rsid w:val="008837B6"/>
    <w:rsid w:val="0088389D"/>
    <w:rsid w:val="008839FD"/>
    <w:rsid w:val="00883B08"/>
    <w:rsid w:val="00883B37"/>
    <w:rsid w:val="00883BEB"/>
    <w:rsid w:val="00883DEE"/>
    <w:rsid w:val="00884489"/>
    <w:rsid w:val="00884889"/>
    <w:rsid w:val="00884B02"/>
    <w:rsid w:val="00884BFE"/>
    <w:rsid w:val="00884DDA"/>
    <w:rsid w:val="00884E10"/>
    <w:rsid w:val="00884E46"/>
    <w:rsid w:val="0088522E"/>
    <w:rsid w:val="008852A5"/>
    <w:rsid w:val="008855AD"/>
    <w:rsid w:val="0088592C"/>
    <w:rsid w:val="00885B1D"/>
    <w:rsid w:val="00885C36"/>
    <w:rsid w:val="00885D5C"/>
    <w:rsid w:val="008860CB"/>
    <w:rsid w:val="008868F9"/>
    <w:rsid w:val="00886A0E"/>
    <w:rsid w:val="00886A1E"/>
    <w:rsid w:val="00886A7E"/>
    <w:rsid w:val="00886DB6"/>
    <w:rsid w:val="00886E8A"/>
    <w:rsid w:val="00887640"/>
    <w:rsid w:val="00887B9D"/>
    <w:rsid w:val="00887C58"/>
    <w:rsid w:val="00890172"/>
    <w:rsid w:val="008905B0"/>
    <w:rsid w:val="008906ED"/>
    <w:rsid w:val="00890B02"/>
    <w:rsid w:val="00890B12"/>
    <w:rsid w:val="00890E5C"/>
    <w:rsid w:val="008911F5"/>
    <w:rsid w:val="008916F4"/>
    <w:rsid w:val="00891916"/>
    <w:rsid w:val="00891CAE"/>
    <w:rsid w:val="00891E11"/>
    <w:rsid w:val="008920B6"/>
    <w:rsid w:val="008924BB"/>
    <w:rsid w:val="0089279A"/>
    <w:rsid w:val="00892DB6"/>
    <w:rsid w:val="00892E3F"/>
    <w:rsid w:val="0089301C"/>
    <w:rsid w:val="0089362F"/>
    <w:rsid w:val="008937DB"/>
    <w:rsid w:val="00893A09"/>
    <w:rsid w:val="00893B22"/>
    <w:rsid w:val="00893E3B"/>
    <w:rsid w:val="00893FBF"/>
    <w:rsid w:val="008949D6"/>
    <w:rsid w:val="00894B02"/>
    <w:rsid w:val="008953FF"/>
    <w:rsid w:val="0089543F"/>
    <w:rsid w:val="00895441"/>
    <w:rsid w:val="008955F8"/>
    <w:rsid w:val="00895C29"/>
    <w:rsid w:val="00895E18"/>
    <w:rsid w:val="00896150"/>
    <w:rsid w:val="00896739"/>
    <w:rsid w:val="00896B87"/>
    <w:rsid w:val="00896BC8"/>
    <w:rsid w:val="00896D72"/>
    <w:rsid w:val="00896D9D"/>
    <w:rsid w:val="00896F79"/>
    <w:rsid w:val="00897229"/>
    <w:rsid w:val="0089726B"/>
    <w:rsid w:val="00897420"/>
    <w:rsid w:val="008974EC"/>
    <w:rsid w:val="008975BB"/>
    <w:rsid w:val="008975EE"/>
    <w:rsid w:val="008975EF"/>
    <w:rsid w:val="00897696"/>
    <w:rsid w:val="008976C0"/>
    <w:rsid w:val="0089787C"/>
    <w:rsid w:val="00897C16"/>
    <w:rsid w:val="008A0180"/>
    <w:rsid w:val="008A0716"/>
    <w:rsid w:val="008A0766"/>
    <w:rsid w:val="008A0A76"/>
    <w:rsid w:val="008A0EAD"/>
    <w:rsid w:val="008A0F25"/>
    <w:rsid w:val="008A11BC"/>
    <w:rsid w:val="008A13DA"/>
    <w:rsid w:val="008A14EE"/>
    <w:rsid w:val="008A17D8"/>
    <w:rsid w:val="008A1B5F"/>
    <w:rsid w:val="008A2131"/>
    <w:rsid w:val="008A2467"/>
    <w:rsid w:val="008A2528"/>
    <w:rsid w:val="008A2BEB"/>
    <w:rsid w:val="008A39DD"/>
    <w:rsid w:val="008A3B34"/>
    <w:rsid w:val="008A4199"/>
    <w:rsid w:val="008A43D2"/>
    <w:rsid w:val="008A4A46"/>
    <w:rsid w:val="008A4B1B"/>
    <w:rsid w:val="008A4E06"/>
    <w:rsid w:val="008A4F02"/>
    <w:rsid w:val="008A51C9"/>
    <w:rsid w:val="008A5CE4"/>
    <w:rsid w:val="008A5DA1"/>
    <w:rsid w:val="008A5DAE"/>
    <w:rsid w:val="008A5FB0"/>
    <w:rsid w:val="008A650C"/>
    <w:rsid w:val="008A67FB"/>
    <w:rsid w:val="008A698C"/>
    <w:rsid w:val="008A69CE"/>
    <w:rsid w:val="008A7F52"/>
    <w:rsid w:val="008B0230"/>
    <w:rsid w:val="008B075A"/>
    <w:rsid w:val="008B115F"/>
    <w:rsid w:val="008B1591"/>
    <w:rsid w:val="008B197F"/>
    <w:rsid w:val="008B1C48"/>
    <w:rsid w:val="008B1CBC"/>
    <w:rsid w:val="008B1CEF"/>
    <w:rsid w:val="008B1D83"/>
    <w:rsid w:val="008B22B0"/>
    <w:rsid w:val="008B2715"/>
    <w:rsid w:val="008B2B4B"/>
    <w:rsid w:val="008B2F01"/>
    <w:rsid w:val="008B2F02"/>
    <w:rsid w:val="008B30D3"/>
    <w:rsid w:val="008B3452"/>
    <w:rsid w:val="008B3525"/>
    <w:rsid w:val="008B36CA"/>
    <w:rsid w:val="008B3808"/>
    <w:rsid w:val="008B3911"/>
    <w:rsid w:val="008B3A39"/>
    <w:rsid w:val="008B3D52"/>
    <w:rsid w:val="008B3F27"/>
    <w:rsid w:val="008B3F2C"/>
    <w:rsid w:val="008B3F9B"/>
    <w:rsid w:val="008B41A9"/>
    <w:rsid w:val="008B42D7"/>
    <w:rsid w:val="008B4668"/>
    <w:rsid w:val="008B4DBE"/>
    <w:rsid w:val="008B4E38"/>
    <w:rsid w:val="008B4E82"/>
    <w:rsid w:val="008B5041"/>
    <w:rsid w:val="008B585B"/>
    <w:rsid w:val="008B59E7"/>
    <w:rsid w:val="008B5B2A"/>
    <w:rsid w:val="008B5F42"/>
    <w:rsid w:val="008B63E3"/>
    <w:rsid w:val="008B64A6"/>
    <w:rsid w:val="008B6AAB"/>
    <w:rsid w:val="008B6C93"/>
    <w:rsid w:val="008B6CAD"/>
    <w:rsid w:val="008B6D55"/>
    <w:rsid w:val="008B6E1A"/>
    <w:rsid w:val="008B6E72"/>
    <w:rsid w:val="008B6F63"/>
    <w:rsid w:val="008B706C"/>
    <w:rsid w:val="008B714C"/>
    <w:rsid w:val="008B7264"/>
    <w:rsid w:val="008B7C39"/>
    <w:rsid w:val="008B7EFD"/>
    <w:rsid w:val="008C0365"/>
    <w:rsid w:val="008C0509"/>
    <w:rsid w:val="008C0536"/>
    <w:rsid w:val="008C08A9"/>
    <w:rsid w:val="008C0B34"/>
    <w:rsid w:val="008C0C55"/>
    <w:rsid w:val="008C0D8F"/>
    <w:rsid w:val="008C1202"/>
    <w:rsid w:val="008C1AB7"/>
    <w:rsid w:val="008C1B45"/>
    <w:rsid w:val="008C1E10"/>
    <w:rsid w:val="008C1FF7"/>
    <w:rsid w:val="008C22F7"/>
    <w:rsid w:val="008C28AD"/>
    <w:rsid w:val="008C2A25"/>
    <w:rsid w:val="008C2D17"/>
    <w:rsid w:val="008C315C"/>
    <w:rsid w:val="008C32A7"/>
    <w:rsid w:val="008C3604"/>
    <w:rsid w:val="008C37CD"/>
    <w:rsid w:val="008C3CA9"/>
    <w:rsid w:val="008C3E04"/>
    <w:rsid w:val="008C3FC2"/>
    <w:rsid w:val="008C4075"/>
    <w:rsid w:val="008C407E"/>
    <w:rsid w:val="008C4200"/>
    <w:rsid w:val="008C42CA"/>
    <w:rsid w:val="008C44A0"/>
    <w:rsid w:val="008C4561"/>
    <w:rsid w:val="008C4823"/>
    <w:rsid w:val="008C48C2"/>
    <w:rsid w:val="008C492C"/>
    <w:rsid w:val="008C4A86"/>
    <w:rsid w:val="008C4DB0"/>
    <w:rsid w:val="008C501C"/>
    <w:rsid w:val="008C53EA"/>
    <w:rsid w:val="008C5910"/>
    <w:rsid w:val="008C5D0C"/>
    <w:rsid w:val="008C5D67"/>
    <w:rsid w:val="008C5FDA"/>
    <w:rsid w:val="008C68CA"/>
    <w:rsid w:val="008C6DB6"/>
    <w:rsid w:val="008C6F7F"/>
    <w:rsid w:val="008C7067"/>
    <w:rsid w:val="008C7240"/>
    <w:rsid w:val="008C7291"/>
    <w:rsid w:val="008C771A"/>
    <w:rsid w:val="008C7AB3"/>
    <w:rsid w:val="008D050F"/>
    <w:rsid w:val="008D066D"/>
    <w:rsid w:val="008D0C2A"/>
    <w:rsid w:val="008D0DB3"/>
    <w:rsid w:val="008D0E43"/>
    <w:rsid w:val="008D119F"/>
    <w:rsid w:val="008D1419"/>
    <w:rsid w:val="008D15DA"/>
    <w:rsid w:val="008D17AF"/>
    <w:rsid w:val="008D17D3"/>
    <w:rsid w:val="008D180B"/>
    <w:rsid w:val="008D19AD"/>
    <w:rsid w:val="008D1AB7"/>
    <w:rsid w:val="008D1CBF"/>
    <w:rsid w:val="008D211B"/>
    <w:rsid w:val="008D2718"/>
    <w:rsid w:val="008D297A"/>
    <w:rsid w:val="008D2E08"/>
    <w:rsid w:val="008D2EF2"/>
    <w:rsid w:val="008D3294"/>
    <w:rsid w:val="008D36A4"/>
    <w:rsid w:val="008D38FD"/>
    <w:rsid w:val="008D39BD"/>
    <w:rsid w:val="008D3D87"/>
    <w:rsid w:val="008D3FF6"/>
    <w:rsid w:val="008D517E"/>
    <w:rsid w:val="008D5649"/>
    <w:rsid w:val="008D5995"/>
    <w:rsid w:val="008D5C14"/>
    <w:rsid w:val="008D5CBC"/>
    <w:rsid w:val="008D5D3B"/>
    <w:rsid w:val="008D5DFB"/>
    <w:rsid w:val="008D6455"/>
    <w:rsid w:val="008D662F"/>
    <w:rsid w:val="008D702C"/>
    <w:rsid w:val="008D70ED"/>
    <w:rsid w:val="008D716E"/>
    <w:rsid w:val="008D754D"/>
    <w:rsid w:val="008D785B"/>
    <w:rsid w:val="008D7B2B"/>
    <w:rsid w:val="008E004C"/>
    <w:rsid w:val="008E017D"/>
    <w:rsid w:val="008E02B9"/>
    <w:rsid w:val="008E0553"/>
    <w:rsid w:val="008E05B4"/>
    <w:rsid w:val="008E0612"/>
    <w:rsid w:val="008E07DF"/>
    <w:rsid w:val="008E0835"/>
    <w:rsid w:val="008E0E13"/>
    <w:rsid w:val="008E0FA7"/>
    <w:rsid w:val="008E1126"/>
    <w:rsid w:val="008E1166"/>
    <w:rsid w:val="008E1377"/>
    <w:rsid w:val="008E18C1"/>
    <w:rsid w:val="008E1A97"/>
    <w:rsid w:val="008E1AF2"/>
    <w:rsid w:val="008E1C15"/>
    <w:rsid w:val="008E1C2F"/>
    <w:rsid w:val="008E1E5E"/>
    <w:rsid w:val="008E1FBF"/>
    <w:rsid w:val="008E1FCD"/>
    <w:rsid w:val="008E207F"/>
    <w:rsid w:val="008E2150"/>
    <w:rsid w:val="008E21AF"/>
    <w:rsid w:val="008E222D"/>
    <w:rsid w:val="008E232F"/>
    <w:rsid w:val="008E292F"/>
    <w:rsid w:val="008E3131"/>
    <w:rsid w:val="008E3542"/>
    <w:rsid w:val="008E35DA"/>
    <w:rsid w:val="008E3A6D"/>
    <w:rsid w:val="008E3B6B"/>
    <w:rsid w:val="008E3D7E"/>
    <w:rsid w:val="008E412D"/>
    <w:rsid w:val="008E43FB"/>
    <w:rsid w:val="008E44FB"/>
    <w:rsid w:val="008E4894"/>
    <w:rsid w:val="008E4A86"/>
    <w:rsid w:val="008E4E87"/>
    <w:rsid w:val="008E4F89"/>
    <w:rsid w:val="008E53BC"/>
    <w:rsid w:val="008E5489"/>
    <w:rsid w:val="008E569A"/>
    <w:rsid w:val="008E576B"/>
    <w:rsid w:val="008E5B17"/>
    <w:rsid w:val="008E5D54"/>
    <w:rsid w:val="008E5DD1"/>
    <w:rsid w:val="008E5F06"/>
    <w:rsid w:val="008E61E1"/>
    <w:rsid w:val="008E6315"/>
    <w:rsid w:val="008E6612"/>
    <w:rsid w:val="008E6B80"/>
    <w:rsid w:val="008E6E31"/>
    <w:rsid w:val="008E70B2"/>
    <w:rsid w:val="008E711F"/>
    <w:rsid w:val="008E7333"/>
    <w:rsid w:val="008E778C"/>
    <w:rsid w:val="008E791F"/>
    <w:rsid w:val="008E7DF2"/>
    <w:rsid w:val="008F0354"/>
    <w:rsid w:val="008F0576"/>
    <w:rsid w:val="008F069F"/>
    <w:rsid w:val="008F098F"/>
    <w:rsid w:val="008F09C9"/>
    <w:rsid w:val="008F0BE0"/>
    <w:rsid w:val="008F0DEE"/>
    <w:rsid w:val="008F0FA2"/>
    <w:rsid w:val="008F15F6"/>
    <w:rsid w:val="008F27F0"/>
    <w:rsid w:val="008F2CCB"/>
    <w:rsid w:val="008F2F9F"/>
    <w:rsid w:val="008F3695"/>
    <w:rsid w:val="008F3816"/>
    <w:rsid w:val="008F39E0"/>
    <w:rsid w:val="008F3A92"/>
    <w:rsid w:val="008F3B4D"/>
    <w:rsid w:val="008F3B53"/>
    <w:rsid w:val="008F3C9C"/>
    <w:rsid w:val="008F3D72"/>
    <w:rsid w:val="008F3DF1"/>
    <w:rsid w:val="008F4146"/>
    <w:rsid w:val="008F44FC"/>
    <w:rsid w:val="008F46CF"/>
    <w:rsid w:val="008F4898"/>
    <w:rsid w:val="008F4951"/>
    <w:rsid w:val="008F4C05"/>
    <w:rsid w:val="008F5553"/>
    <w:rsid w:val="008F5764"/>
    <w:rsid w:val="008F5856"/>
    <w:rsid w:val="008F5A6A"/>
    <w:rsid w:val="008F5B77"/>
    <w:rsid w:val="008F5C36"/>
    <w:rsid w:val="008F619F"/>
    <w:rsid w:val="008F6677"/>
    <w:rsid w:val="008F6A6B"/>
    <w:rsid w:val="008F7087"/>
    <w:rsid w:val="008F738F"/>
    <w:rsid w:val="008F741F"/>
    <w:rsid w:val="008F7644"/>
    <w:rsid w:val="008F7D89"/>
    <w:rsid w:val="008F7E61"/>
    <w:rsid w:val="009000E8"/>
    <w:rsid w:val="00900151"/>
    <w:rsid w:val="009001BD"/>
    <w:rsid w:val="00900601"/>
    <w:rsid w:val="00900665"/>
    <w:rsid w:val="009008FB"/>
    <w:rsid w:val="00900C67"/>
    <w:rsid w:val="00900F62"/>
    <w:rsid w:val="00901FC5"/>
    <w:rsid w:val="00902113"/>
    <w:rsid w:val="009023B8"/>
    <w:rsid w:val="009023C0"/>
    <w:rsid w:val="009023E5"/>
    <w:rsid w:val="009025C0"/>
    <w:rsid w:val="00902D1E"/>
    <w:rsid w:val="00902F84"/>
    <w:rsid w:val="00902F96"/>
    <w:rsid w:val="00903350"/>
    <w:rsid w:val="009036D2"/>
    <w:rsid w:val="009038C6"/>
    <w:rsid w:val="00903ACB"/>
    <w:rsid w:val="00903CD7"/>
    <w:rsid w:val="00903F93"/>
    <w:rsid w:val="00904317"/>
    <w:rsid w:val="009043D8"/>
    <w:rsid w:val="009044CA"/>
    <w:rsid w:val="009046F6"/>
    <w:rsid w:val="00904730"/>
    <w:rsid w:val="009047AD"/>
    <w:rsid w:val="009047DF"/>
    <w:rsid w:val="00905379"/>
    <w:rsid w:val="0090538E"/>
    <w:rsid w:val="00905440"/>
    <w:rsid w:val="009054A2"/>
    <w:rsid w:val="00905851"/>
    <w:rsid w:val="00905895"/>
    <w:rsid w:val="00905A1C"/>
    <w:rsid w:val="00905B19"/>
    <w:rsid w:val="00905BE4"/>
    <w:rsid w:val="00905CA6"/>
    <w:rsid w:val="00905D78"/>
    <w:rsid w:val="00906007"/>
    <w:rsid w:val="0090765C"/>
    <w:rsid w:val="00907D34"/>
    <w:rsid w:val="00907DE8"/>
    <w:rsid w:val="00907E91"/>
    <w:rsid w:val="00907EFA"/>
    <w:rsid w:val="00907FDE"/>
    <w:rsid w:val="009102D5"/>
    <w:rsid w:val="009103A6"/>
    <w:rsid w:val="00910A9A"/>
    <w:rsid w:val="00911610"/>
    <w:rsid w:val="00911E8B"/>
    <w:rsid w:val="00911F6F"/>
    <w:rsid w:val="00912227"/>
    <w:rsid w:val="00912234"/>
    <w:rsid w:val="00912585"/>
    <w:rsid w:val="009126D3"/>
    <w:rsid w:val="00912B07"/>
    <w:rsid w:val="009131B2"/>
    <w:rsid w:val="009131E1"/>
    <w:rsid w:val="0091356E"/>
    <w:rsid w:val="009139EA"/>
    <w:rsid w:val="00913B49"/>
    <w:rsid w:val="00913B64"/>
    <w:rsid w:val="00913C5A"/>
    <w:rsid w:val="00913CB6"/>
    <w:rsid w:val="00913F16"/>
    <w:rsid w:val="00914513"/>
    <w:rsid w:val="009148C9"/>
    <w:rsid w:val="009148F7"/>
    <w:rsid w:val="00914CE9"/>
    <w:rsid w:val="00914E7B"/>
    <w:rsid w:val="009152AC"/>
    <w:rsid w:val="00915322"/>
    <w:rsid w:val="00915376"/>
    <w:rsid w:val="00915581"/>
    <w:rsid w:val="00915875"/>
    <w:rsid w:val="00915AEC"/>
    <w:rsid w:val="00915C71"/>
    <w:rsid w:val="00915C75"/>
    <w:rsid w:val="00915F1E"/>
    <w:rsid w:val="009166A8"/>
    <w:rsid w:val="009166DD"/>
    <w:rsid w:val="009168D6"/>
    <w:rsid w:val="009169A7"/>
    <w:rsid w:val="00916A9C"/>
    <w:rsid w:val="00916BA2"/>
    <w:rsid w:val="00916D8C"/>
    <w:rsid w:val="009174F2"/>
    <w:rsid w:val="00917561"/>
    <w:rsid w:val="0091783C"/>
    <w:rsid w:val="00917904"/>
    <w:rsid w:val="00917D62"/>
    <w:rsid w:val="00917E34"/>
    <w:rsid w:val="00917EE5"/>
    <w:rsid w:val="009205FA"/>
    <w:rsid w:val="00920726"/>
    <w:rsid w:val="00920857"/>
    <w:rsid w:val="00920D6A"/>
    <w:rsid w:val="00920F81"/>
    <w:rsid w:val="009218AD"/>
    <w:rsid w:val="00921CA1"/>
    <w:rsid w:val="00921D90"/>
    <w:rsid w:val="00921E80"/>
    <w:rsid w:val="00921F40"/>
    <w:rsid w:val="009224CB"/>
    <w:rsid w:val="00922632"/>
    <w:rsid w:val="00922961"/>
    <w:rsid w:val="00922CEA"/>
    <w:rsid w:val="00922D0E"/>
    <w:rsid w:val="00922E43"/>
    <w:rsid w:val="00922F7D"/>
    <w:rsid w:val="00923192"/>
    <w:rsid w:val="00923567"/>
    <w:rsid w:val="009237FE"/>
    <w:rsid w:val="0092390F"/>
    <w:rsid w:val="00923A64"/>
    <w:rsid w:val="00923B27"/>
    <w:rsid w:val="00923B4D"/>
    <w:rsid w:val="00923BAF"/>
    <w:rsid w:val="00923C1B"/>
    <w:rsid w:val="009241F4"/>
    <w:rsid w:val="00924726"/>
    <w:rsid w:val="00924A15"/>
    <w:rsid w:val="00924DA6"/>
    <w:rsid w:val="00924F5A"/>
    <w:rsid w:val="00925291"/>
    <w:rsid w:val="009252BF"/>
    <w:rsid w:val="00925551"/>
    <w:rsid w:val="00925714"/>
    <w:rsid w:val="0092576D"/>
    <w:rsid w:val="00925853"/>
    <w:rsid w:val="00925C03"/>
    <w:rsid w:val="00925C34"/>
    <w:rsid w:val="00925EA1"/>
    <w:rsid w:val="00926344"/>
    <w:rsid w:val="00926642"/>
    <w:rsid w:val="0092694A"/>
    <w:rsid w:val="009269A8"/>
    <w:rsid w:val="00926B50"/>
    <w:rsid w:val="00926B71"/>
    <w:rsid w:val="00926CC9"/>
    <w:rsid w:val="00926D5C"/>
    <w:rsid w:val="009270A0"/>
    <w:rsid w:val="009277AF"/>
    <w:rsid w:val="009278ED"/>
    <w:rsid w:val="00927A52"/>
    <w:rsid w:val="00927A8A"/>
    <w:rsid w:val="00927C99"/>
    <w:rsid w:val="00927DE2"/>
    <w:rsid w:val="00927F79"/>
    <w:rsid w:val="00927F98"/>
    <w:rsid w:val="00927FA3"/>
    <w:rsid w:val="00930141"/>
    <w:rsid w:val="009301E4"/>
    <w:rsid w:val="00930229"/>
    <w:rsid w:val="009308B4"/>
    <w:rsid w:val="00930B63"/>
    <w:rsid w:val="00930D89"/>
    <w:rsid w:val="00931F0E"/>
    <w:rsid w:val="00932336"/>
    <w:rsid w:val="00932370"/>
    <w:rsid w:val="009327BF"/>
    <w:rsid w:val="00932A71"/>
    <w:rsid w:val="00932C24"/>
    <w:rsid w:val="00932C82"/>
    <w:rsid w:val="0093367F"/>
    <w:rsid w:val="00933860"/>
    <w:rsid w:val="00933A94"/>
    <w:rsid w:val="00933AC7"/>
    <w:rsid w:val="00933E22"/>
    <w:rsid w:val="0093404E"/>
    <w:rsid w:val="00934664"/>
    <w:rsid w:val="009348E7"/>
    <w:rsid w:val="0093533A"/>
    <w:rsid w:val="00935855"/>
    <w:rsid w:val="00935893"/>
    <w:rsid w:val="00935AF2"/>
    <w:rsid w:val="0093623B"/>
    <w:rsid w:val="009362B7"/>
    <w:rsid w:val="009364F9"/>
    <w:rsid w:val="00936B2B"/>
    <w:rsid w:val="00936D6D"/>
    <w:rsid w:val="00936DA8"/>
    <w:rsid w:val="00936E78"/>
    <w:rsid w:val="00937426"/>
    <w:rsid w:val="009376D7"/>
    <w:rsid w:val="0093797E"/>
    <w:rsid w:val="00937A66"/>
    <w:rsid w:val="00937A91"/>
    <w:rsid w:val="00937B40"/>
    <w:rsid w:val="009402AF"/>
    <w:rsid w:val="00940D9C"/>
    <w:rsid w:val="00940E2E"/>
    <w:rsid w:val="0094129F"/>
    <w:rsid w:val="0094159D"/>
    <w:rsid w:val="009415D5"/>
    <w:rsid w:val="00942204"/>
    <w:rsid w:val="00942292"/>
    <w:rsid w:val="009423E9"/>
    <w:rsid w:val="00942607"/>
    <w:rsid w:val="009427F8"/>
    <w:rsid w:val="0094289B"/>
    <w:rsid w:val="00942AAD"/>
    <w:rsid w:val="00942AD3"/>
    <w:rsid w:val="00942DBA"/>
    <w:rsid w:val="00942FA6"/>
    <w:rsid w:val="009430EF"/>
    <w:rsid w:val="0094312C"/>
    <w:rsid w:val="00943175"/>
    <w:rsid w:val="00943335"/>
    <w:rsid w:val="009434A1"/>
    <w:rsid w:val="0094357B"/>
    <w:rsid w:val="00943745"/>
    <w:rsid w:val="00943AFB"/>
    <w:rsid w:val="00943C4D"/>
    <w:rsid w:val="00943DB1"/>
    <w:rsid w:val="00943EA9"/>
    <w:rsid w:val="009443BB"/>
    <w:rsid w:val="009446EB"/>
    <w:rsid w:val="0094492C"/>
    <w:rsid w:val="0094493B"/>
    <w:rsid w:val="00944E32"/>
    <w:rsid w:val="00945A68"/>
    <w:rsid w:val="00945C09"/>
    <w:rsid w:val="00945D38"/>
    <w:rsid w:val="00946040"/>
    <w:rsid w:val="009461EE"/>
    <w:rsid w:val="0094686A"/>
    <w:rsid w:val="009470C7"/>
    <w:rsid w:val="00947573"/>
    <w:rsid w:val="0094760E"/>
    <w:rsid w:val="00947AAF"/>
    <w:rsid w:val="00947AF6"/>
    <w:rsid w:val="00947ED0"/>
    <w:rsid w:val="00950410"/>
    <w:rsid w:val="00950D13"/>
    <w:rsid w:val="009510DB"/>
    <w:rsid w:val="00951251"/>
    <w:rsid w:val="00951336"/>
    <w:rsid w:val="009516FF"/>
    <w:rsid w:val="00951B2A"/>
    <w:rsid w:val="00951FF2"/>
    <w:rsid w:val="009527D3"/>
    <w:rsid w:val="0095286E"/>
    <w:rsid w:val="009529E4"/>
    <w:rsid w:val="009529FD"/>
    <w:rsid w:val="00952A07"/>
    <w:rsid w:val="00952AF3"/>
    <w:rsid w:val="00952BD0"/>
    <w:rsid w:val="00952C14"/>
    <w:rsid w:val="00952D52"/>
    <w:rsid w:val="0095338D"/>
    <w:rsid w:val="00953A88"/>
    <w:rsid w:val="00954142"/>
    <w:rsid w:val="009545B7"/>
    <w:rsid w:val="009545E3"/>
    <w:rsid w:val="0095492A"/>
    <w:rsid w:val="0095494C"/>
    <w:rsid w:val="009549D3"/>
    <w:rsid w:val="00954D43"/>
    <w:rsid w:val="009557D4"/>
    <w:rsid w:val="009559FB"/>
    <w:rsid w:val="00955B80"/>
    <w:rsid w:val="00955D48"/>
    <w:rsid w:val="009564C1"/>
    <w:rsid w:val="00956599"/>
    <w:rsid w:val="009566C2"/>
    <w:rsid w:val="00956A7F"/>
    <w:rsid w:val="00956D0B"/>
    <w:rsid w:val="00956DCE"/>
    <w:rsid w:val="0095775C"/>
    <w:rsid w:val="009579AC"/>
    <w:rsid w:val="009579B9"/>
    <w:rsid w:val="00957A10"/>
    <w:rsid w:val="00957D64"/>
    <w:rsid w:val="00957EEC"/>
    <w:rsid w:val="00957F01"/>
    <w:rsid w:val="009604FB"/>
    <w:rsid w:val="00960675"/>
    <w:rsid w:val="00960716"/>
    <w:rsid w:val="00960F57"/>
    <w:rsid w:val="009613F9"/>
    <w:rsid w:val="009615E1"/>
    <w:rsid w:val="009619DF"/>
    <w:rsid w:val="00962174"/>
    <w:rsid w:val="009624C7"/>
    <w:rsid w:val="00962667"/>
    <w:rsid w:val="009628E7"/>
    <w:rsid w:val="00962CA3"/>
    <w:rsid w:val="009630FF"/>
    <w:rsid w:val="0096346A"/>
    <w:rsid w:val="00964081"/>
    <w:rsid w:val="009643D6"/>
    <w:rsid w:val="0096440C"/>
    <w:rsid w:val="00964482"/>
    <w:rsid w:val="0096487E"/>
    <w:rsid w:val="00965CD7"/>
    <w:rsid w:val="00965F48"/>
    <w:rsid w:val="00966686"/>
    <w:rsid w:val="009668E4"/>
    <w:rsid w:val="0096699E"/>
    <w:rsid w:val="00966A45"/>
    <w:rsid w:val="00966BD3"/>
    <w:rsid w:val="00966DFA"/>
    <w:rsid w:val="00967443"/>
    <w:rsid w:val="009675B5"/>
    <w:rsid w:val="00967D95"/>
    <w:rsid w:val="00967EDF"/>
    <w:rsid w:val="00967FCA"/>
    <w:rsid w:val="009702EC"/>
    <w:rsid w:val="009704B8"/>
    <w:rsid w:val="00970571"/>
    <w:rsid w:val="009705FB"/>
    <w:rsid w:val="00970A18"/>
    <w:rsid w:val="00970C48"/>
    <w:rsid w:val="00971013"/>
    <w:rsid w:val="009710C3"/>
    <w:rsid w:val="0097123B"/>
    <w:rsid w:val="0097130A"/>
    <w:rsid w:val="009716B6"/>
    <w:rsid w:val="00971898"/>
    <w:rsid w:val="00971ADF"/>
    <w:rsid w:val="00971B29"/>
    <w:rsid w:val="0097252B"/>
    <w:rsid w:val="009727D9"/>
    <w:rsid w:val="0097362D"/>
    <w:rsid w:val="00973862"/>
    <w:rsid w:val="0097395D"/>
    <w:rsid w:val="0097417C"/>
    <w:rsid w:val="00974361"/>
    <w:rsid w:val="0097455E"/>
    <w:rsid w:val="0097460D"/>
    <w:rsid w:val="00974965"/>
    <w:rsid w:val="00974C40"/>
    <w:rsid w:val="00974FED"/>
    <w:rsid w:val="009751B3"/>
    <w:rsid w:val="00975653"/>
    <w:rsid w:val="00975665"/>
    <w:rsid w:val="009757B6"/>
    <w:rsid w:val="009762D5"/>
    <w:rsid w:val="009771AD"/>
    <w:rsid w:val="0097759D"/>
    <w:rsid w:val="00980021"/>
    <w:rsid w:val="009804AE"/>
    <w:rsid w:val="009807FD"/>
    <w:rsid w:val="00980AB5"/>
    <w:rsid w:val="00980C1E"/>
    <w:rsid w:val="00980C6A"/>
    <w:rsid w:val="00980CA0"/>
    <w:rsid w:val="00980D9E"/>
    <w:rsid w:val="00980E13"/>
    <w:rsid w:val="00980E1C"/>
    <w:rsid w:val="009811A4"/>
    <w:rsid w:val="00981772"/>
    <w:rsid w:val="00981B01"/>
    <w:rsid w:val="00981B1D"/>
    <w:rsid w:val="00981EE2"/>
    <w:rsid w:val="00981F7F"/>
    <w:rsid w:val="00981FDA"/>
    <w:rsid w:val="00982028"/>
    <w:rsid w:val="0098211A"/>
    <w:rsid w:val="009822B0"/>
    <w:rsid w:val="00982575"/>
    <w:rsid w:val="009826B0"/>
    <w:rsid w:val="00982BF5"/>
    <w:rsid w:val="00982D04"/>
    <w:rsid w:val="00982D06"/>
    <w:rsid w:val="00982D3E"/>
    <w:rsid w:val="00982D72"/>
    <w:rsid w:val="00982DE7"/>
    <w:rsid w:val="00982FA3"/>
    <w:rsid w:val="0098338F"/>
    <w:rsid w:val="00983AA1"/>
    <w:rsid w:val="00983B16"/>
    <w:rsid w:val="00983B98"/>
    <w:rsid w:val="00983CBD"/>
    <w:rsid w:val="00983DA9"/>
    <w:rsid w:val="009843D0"/>
    <w:rsid w:val="00984715"/>
    <w:rsid w:val="00984733"/>
    <w:rsid w:val="0098531B"/>
    <w:rsid w:val="009854DC"/>
    <w:rsid w:val="00985633"/>
    <w:rsid w:val="0098597F"/>
    <w:rsid w:val="00986446"/>
    <w:rsid w:val="00986471"/>
    <w:rsid w:val="0098661F"/>
    <w:rsid w:val="009866AF"/>
    <w:rsid w:val="00986AA2"/>
    <w:rsid w:val="00986CD0"/>
    <w:rsid w:val="00986D7F"/>
    <w:rsid w:val="00986FCD"/>
    <w:rsid w:val="00987185"/>
    <w:rsid w:val="009874C3"/>
    <w:rsid w:val="0098764C"/>
    <w:rsid w:val="009876E6"/>
    <w:rsid w:val="009879EE"/>
    <w:rsid w:val="00987DB9"/>
    <w:rsid w:val="00990870"/>
    <w:rsid w:val="0099094F"/>
    <w:rsid w:val="00990A63"/>
    <w:rsid w:val="00990FDA"/>
    <w:rsid w:val="00991001"/>
    <w:rsid w:val="0099116D"/>
    <w:rsid w:val="0099118C"/>
    <w:rsid w:val="009911C7"/>
    <w:rsid w:val="0099182C"/>
    <w:rsid w:val="00991D14"/>
    <w:rsid w:val="00991E25"/>
    <w:rsid w:val="00991E9D"/>
    <w:rsid w:val="00991F87"/>
    <w:rsid w:val="0099252B"/>
    <w:rsid w:val="00992680"/>
    <w:rsid w:val="00992A8C"/>
    <w:rsid w:val="00992BAB"/>
    <w:rsid w:val="00992CFE"/>
    <w:rsid w:val="0099388F"/>
    <w:rsid w:val="009939FD"/>
    <w:rsid w:val="00993E14"/>
    <w:rsid w:val="00993F6E"/>
    <w:rsid w:val="009944F9"/>
    <w:rsid w:val="009946CC"/>
    <w:rsid w:val="0099474E"/>
    <w:rsid w:val="00994A78"/>
    <w:rsid w:val="00994A90"/>
    <w:rsid w:val="00994CFD"/>
    <w:rsid w:val="00995248"/>
    <w:rsid w:val="00995271"/>
    <w:rsid w:val="00995AE4"/>
    <w:rsid w:val="00995B1C"/>
    <w:rsid w:val="009964E8"/>
    <w:rsid w:val="00996C26"/>
    <w:rsid w:val="00996ED4"/>
    <w:rsid w:val="00996F57"/>
    <w:rsid w:val="00997352"/>
    <w:rsid w:val="0099746F"/>
    <w:rsid w:val="0099777F"/>
    <w:rsid w:val="00997859"/>
    <w:rsid w:val="00997DBD"/>
    <w:rsid w:val="00997E34"/>
    <w:rsid w:val="009A0039"/>
    <w:rsid w:val="009A044A"/>
    <w:rsid w:val="009A05DB"/>
    <w:rsid w:val="009A0969"/>
    <w:rsid w:val="009A137B"/>
    <w:rsid w:val="009A15C0"/>
    <w:rsid w:val="009A1CDF"/>
    <w:rsid w:val="009A2089"/>
    <w:rsid w:val="009A2406"/>
    <w:rsid w:val="009A24E3"/>
    <w:rsid w:val="009A276E"/>
    <w:rsid w:val="009A28AC"/>
    <w:rsid w:val="009A3114"/>
    <w:rsid w:val="009A367B"/>
    <w:rsid w:val="009A3C96"/>
    <w:rsid w:val="009A40C8"/>
    <w:rsid w:val="009A44BA"/>
    <w:rsid w:val="009A4B80"/>
    <w:rsid w:val="009A4C0D"/>
    <w:rsid w:val="009A53CB"/>
    <w:rsid w:val="009A548B"/>
    <w:rsid w:val="009A5CA7"/>
    <w:rsid w:val="009A5CC6"/>
    <w:rsid w:val="009A5CEB"/>
    <w:rsid w:val="009A5E3C"/>
    <w:rsid w:val="009A5E6F"/>
    <w:rsid w:val="009A606A"/>
    <w:rsid w:val="009A60DA"/>
    <w:rsid w:val="009A6363"/>
    <w:rsid w:val="009A6466"/>
    <w:rsid w:val="009A64D7"/>
    <w:rsid w:val="009A695C"/>
    <w:rsid w:val="009A69B7"/>
    <w:rsid w:val="009A6C32"/>
    <w:rsid w:val="009A6D6C"/>
    <w:rsid w:val="009A6DE7"/>
    <w:rsid w:val="009A6E0E"/>
    <w:rsid w:val="009A719A"/>
    <w:rsid w:val="009A7281"/>
    <w:rsid w:val="009A76FE"/>
    <w:rsid w:val="009A7748"/>
    <w:rsid w:val="009B039E"/>
    <w:rsid w:val="009B05EF"/>
    <w:rsid w:val="009B07A3"/>
    <w:rsid w:val="009B0846"/>
    <w:rsid w:val="009B0956"/>
    <w:rsid w:val="009B0999"/>
    <w:rsid w:val="009B0D85"/>
    <w:rsid w:val="009B0E92"/>
    <w:rsid w:val="009B0F0C"/>
    <w:rsid w:val="009B10AE"/>
    <w:rsid w:val="009B120B"/>
    <w:rsid w:val="009B1BC3"/>
    <w:rsid w:val="009B1DFB"/>
    <w:rsid w:val="009B1E31"/>
    <w:rsid w:val="009B1EB4"/>
    <w:rsid w:val="009B1F66"/>
    <w:rsid w:val="009B1F7E"/>
    <w:rsid w:val="009B1FD3"/>
    <w:rsid w:val="009B23E3"/>
    <w:rsid w:val="009B28C6"/>
    <w:rsid w:val="009B2B96"/>
    <w:rsid w:val="009B2C6B"/>
    <w:rsid w:val="009B3368"/>
    <w:rsid w:val="009B3510"/>
    <w:rsid w:val="009B3685"/>
    <w:rsid w:val="009B36E0"/>
    <w:rsid w:val="009B371F"/>
    <w:rsid w:val="009B44CF"/>
    <w:rsid w:val="009B4849"/>
    <w:rsid w:val="009B49C4"/>
    <w:rsid w:val="009B4B60"/>
    <w:rsid w:val="009B561D"/>
    <w:rsid w:val="009B5824"/>
    <w:rsid w:val="009B5929"/>
    <w:rsid w:val="009B598C"/>
    <w:rsid w:val="009B5ADD"/>
    <w:rsid w:val="009B5C71"/>
    <w:rsid w:val="009B66A3"/>
    <w:rsid w:val="009B69CB"/>
    <w:rsid w:val="009B6A3D"/>
    <w:rsid w:val="009B6BD1"/>
    <w:rsid w:val="009B6C3A"/>
    <w:rsid w:val="009B7053"/>
    <w:rsid w:val="009B72E0"/>
    <w:rsid w:val="009B74BD"/>
    <w:rsid w:val="009B7C83"/>
    <w:rsid w:val="009B7E8B"/>
    <w:rsid w:val="009B7FE5"/>
    <w:rsid w:val="009C024F"/>
    <w:rsid w:val="009C07A3"/>
    <w:rsid w:val="009C07DC"/>
    <w:rsid w:val="009C1398"/>
    <w:rsid w:val="009C16B3"/>
    <w:rsid w:val="009C17FF"/>
    <w:rsid w:val="009C19C8"/>
    <w:rsid w:val="009C1BFF"/>
    <w:rsid w:val="009C1C71"/>
    <w:rsid w:val="009C2104"/>
    <w:rsid w:val="009C23DD"/>
    <w:rsid w:val="009C24ED"/>
    <w:rsid w:val="009C2849"/>
    <w:rsid w:val="009C2ABF"/>
    <w:rsid w:val="009C2CEC"/>
    <w:rsid w:val="009C2EEF"/>
    <w:rsid w:val="009C3276"/>
    <w:rsid w:val="009C3489"/>
    <w:rsid w:val="009C353F"/>
    <w:rsid w:val="009C35BB"/>
    <w:rsid w:val="009C3788"/>
    <w:rsid w:val="009C37C8"/>
    <w:rsid w:val="009C37D4"/>
    <w:rsid w:val="009C38A6"/>
    <w:rsid w:val="009C3970"/>
    <w:rsid w:val="009C3B68"/>
    <w:rsid w:val="009C417B"/>
    <w:rsid w:val="009C4526"/>
    <w:rsid w:val="009C4882"/>
    <w:rsid w:val="009C4988"/>
    <w:rsid w:val="009C4996"/>
    <w:rsid w:val="009C49DE"/>
    <w:rsid w:val="009C4F4B"/>
    <w:rsid w:val="009C51C3"/>
    <w:rsid w:val="009C5225"/>
    <w:rsid w:val="009C53A9"/>
    <w:rsid w:val="009C5692"/>
    <w:rsid w:val="009C575F"/>
    <w:rsid w:val="009C5D7B"/>
    <w:rsid w:val="009C5E7B"/>
    <w:rsid w:val="009C6031"/>
    <w:rsid w:val="009C6627"/>
    <w:rsid w:val="009C66EB"/>
    <w:rsid w:val="009C6AAB"/>
    <w:rsid w:val="009C6BA4"/>
    <w:rsid w:val="009C6EAD"/>
    <w:rsid w:val="009C7164"/>
    <w:rsid w:val="009C72ED"/>
    <w:rsid w:val="009C78AA"/>
    <w:rsid w:val="009C7C5E"/>
    <w:rsid w:val="009C7E19"/>
    <w:rsid w:val="009C7EDE"/>
    <w:rsid w:val="009D032F"/>
    <w:rsid w:val="009D042B"/>
    <w:rsid w:val="009D074B"/>
    <w:rsid w:val="009D09DE"/>
    <w:rsid w:val="009D0B97"/>
    <w:rsid w:val="009D111D"/>
    <w:rsid w:val="009D131A"/>
    <w:rsid w:val="009D1B05"/>
    <w:rsid w:val="009D2109"/>
    <w:rsid w:val="009D21A6"/>
    <w:rsid w:val="009D2278"/>
    <w:rsid w:val="009D2C9E"/>
    <w:rsid w:val="009D3118"/>
    <w:rsid w:val="009D3163"/>
    <w:rsid w:val="009D3231"/>
    <w:rsid w:val="009D3389"/>
    <w:rsid w:val="009D3EE1"/>
    <w:rsid w:val="009D429C"/>
    <w:rsid w:val="009D45DA"/>
    <w:rsid w:val="009D4690"/>
    <w:rsid w:val="009D48F0"/>
    <w:rsid w:val="009D4F61"/>
    <w:rsid w:val="009D5204"/>
    <w:rsid w:val="009D5626"/>
    <w:rsid w:val="009D57C2"/>
    <w:rsid w:val="009D5B24"/>
    <w:rsid w:val="009D5DC4"/>
    <w:rsid w:val="009D62B4"/>
    <w:rsid w:val="009D62F6"/>
    <w:rsid w:val="009D6333"/>
    <w:rsid w:val="009D6421"/>
    <w:rsid w:val="009D6605"/>
    <w:rsid w:val="009D6B8B"/>
    <w:rsid w:val="009D6F6E"/>
    <w:rsid w:val="009D70DB"/>
    <w:rsid w:val="009D7421"/>
    <w:rsid w:val="009D7623"/>
    <w:rsid w:val="009D7685"/>
    <w:rsid w:val="009D77C0"/>
    <w:rsid w:val="009D7D6D"/>
    <w:rsid w:val="009D7D8B"/>
    <w:rsid w:val="009D7F8B"/>
    <w:rsid w:val="009E065C"/>
    <w:rsid w:val="009E06DF"/>
    <w:rsid w:val="009E08E6"/>
    <w:rsid w:val="009E0A14"/>
    <w:rsid w:val="009E0ADB"/>
    <w:rsid w:val="009E0B49"/>
    <w:rsid w:val="009E0CF0"/>
    <w:rsid w:val="009E0D72"/>
    <w:rsid w:val="009E0DE8"/>
    <w:rsid w:val="009E0EA5"/>
    <w:rsid w:val="009E107F"/>
    <w:rsid w:val="009E1172"/>
    <w:rsid w:val="009E1175"/>
    <w:rsid w:val="009E17E1"/>
    <w:rsid w:val="009E1C65"/>
    <w:rsid w:val="009E1F0C"/>
    <w:rsid w:val="009E2010"/>
    <w:rsid w:val="009E2198"/>
    <w:rsid w:val="009E21FC"/>
    <w:rsid w:val="009E2299"/>
    <w:rsid w:val="009E2643"/>
    <w:rsid w:val="009E2AFE"/>
    <w:rsid w:val="009E2B5B"/>
    <w:rsid w:val="009E2C16"/>
    <w:rsid w:val="009E3347"/>
    <w:rsid w:val="009E37E8"/>
    <w:rsid w:val="009E38B0"/>
    <w:rsid w:val="009E39FE"/>
    <w:rsid w:val="009E3AAF"/>
    <w:rsid w:val="009E3D40"/>
    <w:rsid w:val="009E406C"/>
    <w:rsid w:val="009E45F5"/>
    <w:rsid w:val="009E472D"/>
    <w:rsid w:val="009E4842"/>
    <w:rsid w:val="009E4922"/>
    <w:rsid w:val="009E4ADC"/>
    <w:rsid w:val="009E4AED"/>
    <w:rsid w:val="009E4CB2"/>
    <w:rsid w:val="009E514B"/>
    <w:rsid w:val="009E5279"/>
    <w:rsid w:val="009E5720"/>
    <w:rsid w:val="009E5802"/>
    <w:rsid w:val="009E593D"/>
    <w:rsid w:val="009E5E19"/>
    <w:rsid w:val="009E60E7"/>
    <w:rsid w:val="009E63C5"/>
    <w:rsid w:val="009E6425"/>
    <w:rsid w:val="009E6537"/>
    <w:rsid w:val="009E67FF"/>
    <w:rsid w:val="009E6BBB"/>
    <w:rsid w:val="009E71EE"/>
    <w:rsid w:val="009E77DB"/>
    <w:rsid w:val="009E7897"/>
    <w:rsid w:val="009E799B"/>
    <w:rsid w:val="009E79E6"/>
    <w:rsid w:val="009F0399"/>
    <w:rsid w:val="009F03DA"/>
    <w:rsid w:val="009F0BE2"/>
    <w:rsid w:val="009F0DD4"/>
    <w:rsid w:val="009F1088"/>
    <w:rsid w:val="009F132A"/>
    <w:rsid w:val="009F16AB"/>
    <w:rsid w:val="009F16EB"/>
    <w:rsid w:val="009F1706"/>
    <w:rsid w:val="009F1778"/>
    <w:rsid w:val="009F1884"/>
    <w:rsid w:val="009F1933"/>
    <w:rsid w:val="009F1F26"/>
    <w:rsid w:val="009F2666"/>
    <w:rsid w:val="009F3225"/>
    <w:rsid w:val="009F36C9"/>
    <w:rsid w:val="009F3ACD"/>
    <w:rsid w:val="009F3E78"/>
    <w:rsid w:val="009F4270"/>
    <w:rsid w:val="009F4307"/>
    <w:rsid w:val="009F497C"/>
    <w:rsid w:val="009F4E2A"/>
    <w:rsid w:val="009F4F95"/>
    <w:rsid w:val="009F53D2"/>
    <w:rsid w:val="009F56FF"/>
    <w:rsid w:val="009F57B9"/>
    <w:rsid w:val="009F5856"/>
    <w:rsid w:val="009F5D40"/>
    <w:rsid w:val="009F610E"/>
    <w:rsid w:val="009F63C6"/>
    <w:rsid w:val="009F641D"/>
    <w:rsid w:val="009F659E"/>
    <w:rsid w:val="009F67B1"/>
    <w:rsid w:val="009F6A9A"/>
    <w:rsid w:val="009F6AF9"/>
    <w:rsid w:val="009F6E25"/>
    <w:rsid w:val="009F70C6"/>
    <w:rsid w:val="009F70F7"/>
    <w:rsid w:val="009F74F0"/>
    <w:rsid w:val="009F7683"/>
    <w:rsid w:val="009F76B5"/>
    <w:rsid w:val="009F7724"/>
    <w:rsid w:val="00A00095"/>
    <w:rsid w:val="00A0024A"/>
    <w:rsid w:val="00A0058C"/>
    <w:rsid w:val="00A00CAF"/>
    <w:rsid w:val="00A00E1F"/>
    <w:rsid w:val="00A01264"/>
    <w:rsid w:val="00A0130A"/>
    <w:rsid w:val="00A01586"/>
    <w:rsid w:val="00A0283A"/>
    <w:rsid w:val="00A02D04"/>
    <w:rsid w:val="00A02FD4"/>
    <w:rsid w:val="00A032F9"/>
    <w:rsid w:val="00A03D68"/>
    <w:rsid w:val="00A04056"/>
    <w:rsid w:val="00A04316"/>
    <w:rsid w:val="00A044F0"/>
    <w:rsid w:val="00A046A8"/>
    <w:rsid w:val="00A046BA"/>
    <w:rsid w:val="00A048C0"/>
    <w:rsid w:val="00A048C8"/>
    <w:rsid w:val="00A048DD"/>
    <w:rsid w:val="00A04CA6"/>
    <w:rsid w:val="00A04F60"/>
    <w:rsid w:val="00A052E5"/>
    <w:rsid w:val="00A05310"/>
    <w:rsid w:val="00A053CF"/>
    <w:rsid w:val="00A05540"/>
    <w:rsid w:val="00A05612"/>
    <w:rsid w:val="00A05664"/>
    <w:rsid w:val="00A056D1"/>
    <w:rsid w:val="00A0593F"/>
    <w:rsid w:val="00A05F59"/>
    <w:rsid w:val="00A06165"/>
    <w:rsid w:val="00A062EB"/>
    <w:rsid w:val="00A06960"/>
    <w:rsid w:val="00A07199"/>
    <w:rsid w:val="00A071D7"/>
    <w:rsid w:val="00A072EB"/>
    <w:rsid w:val="00A07607"/>
    <w:rsid w:val="00A07847"/>
    <w:rsid w:val="00A07BF2"/>
    <w:rsid w:val="00A10541"/>
    <w:rsid w:val="00A10790"/>
    <w:rsid w:val="00A10C8C"/>
    <w:rsid w:val="00A10C99"/>
    <w:rsid w:val="00A10F18"/>
    <w:rsid w:val="00A10F38"/>
    <w:rsid w:val="00A10FC7"/>
    <w:rsid w:val="00A11720"/>
    <w:rsid w:val="00A11921"/>
    <w:rsid w:val="00A11F9E"/>
    <w:rsid w:val="00A1201B"/>
    <w:rsid w:val="00A12029"/>
    <w:rsid w:val="00A12775"/>
    <w:rsid w:val="00A1308E"/>
    <w:rsid w:val="00A1315A"/>
    <w:rsid w:val="00A13711"/>
    <w:rsid w:val="00A1378C"/>
    <w:rsid w:val="00A13BC5"/>
    <w:rsid w:val="00A140F1"/>
    <w:rsid w:val="00A1434C"/>
    <w:rsid w:val="00A14936"/>
    <w:rsid w:val="00A15090"/>
    <w:rsid w:val="00A1520D"/>
    <w:rsid w:val="00A1523C"/>
    <w:rsid w:val="00A16266"/>
    <w:rsid w:val="00A1657A"/>
    <w:rsid w:val="00A16668"/>
    <w:rsid w:val="00A16FDE"/>
    <w:rsid w:val="00A171B2"/>
    <w:rsid w:val="00A17381"/>
    <w:rsid w:val="00A1755D"/>
    <w:rsid w:val="00A1763C"/>
    <w:rsid w:val="00A20003"/>
    <w:rsid w:val="00A20BB4"/>
    <w:rsid w:val="00A20DE8"/>
    <w:rsid w:val="00A21030"/>
    <w:rsid w:val="00A21092"/>
    <w:rsid w:val="00A2177A"/>
    <w:rsid w:val="00A21BF5"/>
    <w:rsid w:val="00A21D9B"/>
    <w:rsid w:val="00A21DA1"/>
    <w:rsid w:val="00A22D55"/>
    <w:rsid w:val="00A23418"/>
    <w:rsid w:val="00A237BD"/>
    <w:rsid w:val="00A23B15"/>
    <w:rsid w:val="00A23E42"/>
    <w:rsid w:val="00A24127"/>
    <w:rsid w:val="00A241A1"/>
    <w:rsid w:val="00A24225"/>
    <w:rsid w:val="00A2430E"/>
    <w:rsid w:val="00A2468D"/>
    <w:rsid w:val="00A24AA7"/>
    <w:rsid w:val="00A24AFE"/>
    <w:rsid w:val="00A24B0B"/>
    <w:rsid w:val="00A254F1"/>
    <w:rsid w:val="00A2565D"/>
    <w:rsid w:val="00A2567A"/>
    <w:rsid w:val="00A2592F"/>
    <w:rsid w:val="00A25943"/>
    <w:rsid w:val="00A25A62"/>
    <w:rsid w:val="00A25B6D"/>
    <w:rsid w:val="00A25CBE"/>
    <w:rsid w:val="00A25E3B"/>
    <w:rsid w:val="00A25E49"/>
    <w:rsid w:val="00A26279"/>
    <w:rsid w:val="00A26605"/>
    <w:rsid w:val="00A26B75"/>
    <w:rsid w:val="00A26E5B"/>
    <w:rsid w:val="00A273C4"/>
    <w:rsid w:val="00A273E4"/>
    <w:rsid w:val="00A2740D"/>
    <w:rsid w:val="00A274AF"/>
    <w:rsid w:val="00A2761E"/>
    <w:rsid w:val="00A27C0C"/>
    <w:rsid w:val="00A27D0B"/>
    <w:rsid w:val="00A27D3B"/>
    <w:rsid w:val="00A30702"/>
    <w:rsid w:val="00A30CD7"/>
    <w:rsid w:val="00A30E9E"/>
    <w:rsid w:val="00A3105B"/>
    <w:rsid w:val="00A3173B"/>
    <w:rsid w:val="00A3176E"/>
    <w:rsid w:val="00A318F7"/>
    <w:rsid w:val="00A31909"/>
    <w:rsid w:val="00A31B16"/>
    <w:rsid w:val="00A31C60"/>
    <w:rsid w:val="00A321E4"/>
    <w:rsid w:val="00A32269"/>
    <w:rsid w:val="00A32394"/>
    <w:rsid w:val="00A3239D"/>
    <w:rsid w:val="00A32583"/>
    <w:rsid w:val="00A32DA9"/>
    <w:rsid w:val="00A32EC2"/>
    <w:rsid w:val="00A32EC4"/>
    <w:rsid w:val="00A32EFA"/>
    <w:rsid w:val="00A32F11"/>
    <w:rsid w:val="00A32F8F"/>
    <w:rsid w:val="00A3330B"/>
    <w:rsid w:val="00A33714"/>
    <w:rsid w:val="00A33988"/>
    <w:rsid w:val="00A33A0A"/>
    <w:rsid w:val="00A33EAD"/>
    <w:rsid w:val="00A34237"/>
    <w:rsid w:val="00A34497"/>
    <w:rsid w:val="00A34CFE"/>
    <w:rsid w:val="00A34F46"/>
    <w:rsid w:val="00A350B1"/>
    <w:rsid w:val="00A35A57"/>
    <w:rsid w:val="00A35CA5"/>
    <w:rsid w:val="00A35D2E"/>
    <w:rsid w:val="00A35D5D"/>
    <w:rsid w:val="00A35DAD"/>
    <w:rsid w:val="00A3621A"/>
    <w:rsid w:val="00A36EB6"/>
    <w:rsid w:val="00A37054"/>
    <w:rsid w:val="00A372B5"/>
    <w:rsid w:val="00A372E3"/>
    <w:rsid w:val="00A3753A"/>
    <w:rsid w:val="00A3762C"/>
    <w:rsid w:val="00A37719"/>
    <w:rsid w:val="00A3797A"/>
    <w:rsid w:val="00A37B06"/>
    <w:rsid w:val="00A37C37"/>
    <w:rsid w:val="00A37C9A"/>
    <w:rsid w:val="00A4007C"/>
    <w:rsid w:val="00A400EA"/>
    <w:rsid w:val="00A400F8"/>
    <w:rsid w:val="00A401FD"/>
    <w:rsid w:val="00A40456"/>
    <w:rsid w:val="00A4093A"/>
    <w:rsid w:val="00A40BCE"/>
    <w:rsid w:val="00A40CA3"/>
    <w:rsid w:val="00A40D0F"/>
    <w:rsid w:val="00A40F54"/>
    <w:rsid w:val="00A4164F"/>
    <w:rsid w:val="00A416D2"/>
    <w:rsid w:val="00A4171D"/>
    <w:rsid w:val="00A417CB"/>
    <w:rsid w:val="00A41981"/>
    <w:rsid w:val="00A41E67"/>
    <w:rsid w:val="00A4225C"/>
    <w:rsid w:val="00A4240D"/>
    <w:rsid w:val="00A426B1"/>
    <w:rsid w:val="00A42CF8"/>
    <w:rsid w:val="00A42DD8"/>
    <w:rsid w:val="00A436F0"/>
    <w:rsid w:val="00A437A6"/>
    <w:rsid w:val="00A43BF4"/>
    <w:rsid w:val="00A43F37"/>
    <w:rsid w:val="00A44097"/>
    <w:rsid w:val="00A44177"/>
    <w:rsid w:val="00A44425"/>
    <w:rsid w:val="00A44464"/>
    <w:rsid w:val="00A449A7"/>
    <w:rsid w:val="00A44A2C"/>
    <w:rsid w:val="00A44AAB"/>
    <w:rsid w:val="00A44D66"/>
    <w:rsid w:val="00A44E2F"/>
    <w:rsid w:val="00A44FBE"/>
    <w:rsid w:val="00A44FD8"/>
    <w:rsid w:val="00A451DB"/>
    <w:rsid w:val="00A4584C"/>
    <w:rsid w:val="00A45D3A"/>
    <w:rsid w:val="00A46295"/>
    <w:rsid w:val="00A46BD4"/>
    <w:rsid w:val="00A46CE3"/>
    <w:rsid w:val="00A46F45"/>
    <w:rsid w:val="00A471DA"/>
    <w:rsid w:val="00A474FA"/>
    <w:rsid w:val="00A475FB"/>
    <w:rsid w:val="00A478CD"/>
    <w:rsid w:val="00A47C71"/>
    <w:rsid w:val="00A47E93"/>
    <w:rsid w:val="00A47EDD"/>
    <w:rsid w:val="00A50323"/>
    <w:rsid w:val="00A506C4"/>
    <w:rsid w:val="00A50738"/>
    <w:rsid w:val="00A507E2"/>
    <w:rsid w:val="00A5096C"/>
    <w:rsid w:val="00A50B8C"/>
    <w:rsid w:val="00A50D00"/>
    <w:rsid w:val="00A512A2"/>
    <w:rsid w:val="00A51B13"/>
    <w:rsid w:val="00A51B55"/>
    <w:rsid w:val="00A51BB9"/>
    <w:rsid w:val="00A51E04"/>
    <w:rsid w:val="00A52052"/>
    <w:rsid w:val="00A521B9"/>
    <w:rsid w:val="00A524FE"/>
    <w:rsid w:val="00A528D8"/>
    <w:rsid w:val="00A52AD2"/>
    <w:rsid w:val="00A53182"/>
    <w:rsid w:val="00A53206"/>
    <w:rsid w:val="00A53212"/>
    <w:rsid w:val="00A53251"/>
    <w:rsid w:val="00A53558"/>
    <w:rsid w:val="00A53A56"/>
    <w:rsid w:val="00A53A7F"/>
    <w:rsid w:val="00A53C23"/>
    <w:rsid w:val="00A53DA8"/>
    <w:rsid w:val="00A53DB2"/>
    <w:rsid w:val="00A53E08"/>
    <w:rsid w:val="00A53EBC"/>
    <w:rsid w:val="00A541CC"/>
    <w:rsid w:val="00A547B6"/>
    <w:rsid w:val="00A548BC"/>
    <w:rsid w:val="00A54C9B"/>
    <w:rsid w:val="00A54D99"/>
    <w:rsid w:val="00A54FAA"/>
    <w:rsid w:val="00A55335"/>
    <w:rsid w:val="00A553F4"/>
    <w:rsid w:val="00A557B0"/>
    <w:rsid w:val="00A5581E"/>
    <w:rsid w:val="00A55D86"/>
    <w:rsid w:val="00A560AE"/>
    <w:rsid w:val="00A56158"/>
    <w:rsid w:val="00A561DB"/>
    <w:rsid w:val="00A564F1"/>
    <w:rsid w:val="00A56AFB"/>
    <w:rsid w:val="00A5745D"/>
    <w:rsid w:val="00A57AA4"/>
    <w:rsid w:val="00A57B6A"/>
    <w:rsid w:val="00A57C65"/>
    <w:rsid w:val="00A57D43"/>
    <w:rsid w:val="00A57F5E"/>
    <w:rsid w:val="00A57F7A"/>
    <w:rsid w:val="00A57FF8"/>
    <w:rsid w:val="00A603B1"/>
    <w:rsid w:val="00A604F9"/>
    <w:rsid w:val="00A60721"/>
    <w:rsid w:val="00A61167"/>
    <w:rsid w:val="00A612C4"/>
    <w:rsid w:val="00A61392"/>
    <w:rsid w:val="00A61523"/>
    <w:rsid w:val="00A618CF"/>
    <w:rsid w:val="00A61C4F"/>
    <w:rsid w:val="00A621A1"/>
    <w:rsid w:val="00A6222C"/>
    <w:rsid w:val="00A62633"/>
    <w:rsid w:val="00A626C3"/>
    <w:rsid w:val="00A62840"/>
    <w:rsid w:val="00A62898"/>
    <w:rsid w:val="00A62ED0"/>
    <w:rsid w:val="00A632AA"/>
    <w:rsid w:val="00A63868"/>
    <w:rsid w:val="00A63958"/>
    <w:rsid w:val="00A63EC1"/>
    <w:rsid w:val="00A64572"/>
    <w:rsid w:val="00A64A98"/>
    <w:rsid w:val="00A64F90"/>
    <w:rsid w:val="00A651F0"/>
    <w:rsid w:val="00A65875"/>
    <w:rsid w:val="00A65961"/>
    <w:rsid w:val="00A663E0"/>
    <w:rsid w:val="00A6643A"/>
    <w:rsid w:val="00A666FB"/>
    <w:rsid w:val="00A669C3"/>
    <w:rsid w:val="00A66B53"/>
    <w:rsid w:val="00A66D11"/>
    <w:rsid w:val="00A676F5"/>
    <w:rsid w:val="00A67B24"/>
    <w:rsid w:val="00A67E36"/>
    <w:rsid w:val="00A67E61"/>
    <w:rsid w:val="00A67E7C"/>
    <w:rsid w:val="00A67F12"/>
    <w:rsid w:val="00A67F5B"/>
    <w:rsid w:val="00A7004B"/>
    <w:rsid w:val="00A700DA"/>
    <w:rsid w:val="00A70118"/>
    <w:rsid w:val="00A70377"/>
    <w:rsid w:val="00A707D9"/>
    <w:rsid w:val="00A70871"/>
    <w:rsid w:val="00A70880"/>
    <w:rsid w:val="00A70D88"/>
    <w:rsid w:val="00A70EDE"/>
    <w:rsid w:val="00A70FCD"/>
    <w:rsid w:val="00A7127A"/>
    <w:rsid w:val="00A71441"/>
    <w:rsid w:val="00A71549"/>
    <w:rsid w:val="00A71820"/>
    <w:rsid w:val="00A71BCA"/>
    <w:rsid w:val="00A7224B"/>
    <w:rsid w:val="00A7246D"/>
    <w:rsid w:val="00A727C3"/>
    <w:rsid w:val="00A727EA"/>
    <w:rsid w:val="00A727FC"/>
    <w:rsid w:val="00A72CFF"/>
    <w:rsid w:val="00A72E38"/>
    <w:rsid w:val="00A72EC2"/>
    <w:rsid w:val="00A732A9"/>
    <w:rsid w:val="00A73883"/>
    <w:rsid w:val="00A73A1E"/>
    <w:rsid w:val="00A7437D"/>
    <w:rsid w:val="00A74A6B"/>
    <w:rsid w:val="00A74CA0"/>
    <w:rsid w:val="00A74CF9"/>
    <w:rsid w:val="00A74E91"/>
    <w:rsid w:val="00A752BD"/>
    <w:rsid w:val="00A753BF"/>
    <w:rsid w:val="00A75466"/>
    <w:rsid w:val="00A754B4"/>
    <w:rsid w:val="00A7560D"/>
    <w:rsid w:val="00A75CDD"/>
    <w:rsid w:val="00A75D7D"/>
    <w:rsid w:val="00A762BF"/>
    <w:rsid w:val="00A76361"/>
    <w:rsid w:val="00A7646A"/>
    <w:rsid w:val="00A766CB"/>
    <w:rsid w:val="00A76814"/>
    <w:rsid w:val="00A769FC"/>
    <w:rsid w:val="00A76BFE"/>
    <w:rsid w:val="00A76CC2"/>
    <w:rsid w:val="00A76EC8"/>
    <w:rsid w:val="00A76F03"/>
    <w:rsid w:val="00A77039"/>
    <w:rsid w:val="00A7712E"/>
    <w:rsid w:val="00A771BC"/>
    <w:rsid w:val="00A77A3A"/>
    <w:rsid w:val="00A77E0C"/>
    <w:rsid w:val="00A77FE2"/>
    <w:rsid w:val="00A800B0"/>
    <w:rsid w:val="00A805E2"/>
    <w:rsid w:val="00A8065E"/>
    <w:rsid w:val="00A8096B"/>
    <w:rsid w:val="00A80F2E"/>
    <w:rsid w:val="00A810DF"/>
    <w:rsid w:val="00A81791"/>
    <w:rsid w:val="00A818AB"/>
    <w:rsid w:val="00A81AAF"/>
    <w:rsid w:val="00A81D7C"/>
    <w:rsid w:val="00A81DBB"/>
    <w:rsid w:val="00A81F6E"/>
    <w:rsid w:val="00A8209D"/>
    <w:rsid w:val="00A8212F"/>
    <w:rsid w:val="00A825B6"/>
    <w:rsid w:val="00A827EB"/>
    <w:rsid w:val="00A82990"/>
    <w:rsid w:val="00A82C04"/>
    <w:rsid w:val="00A82C71"/>
    <w:rsid w:val="00A82F43"/>
    <w:rsid w:val="00A82F87"/>
    <w:rsid w:val="00A83BAC"/>
    <w:rsid w:val="00A83BE0"/>
    <w:rsid w:val="00A83ECF"/>
    <w:rsid w:val="00A8414B"/>
    <w:rsid w:val="00A84257"/>
    <w:rsid w:val="00A842DB"/>
    <w:rsid w:val="00A84621"/>
    <w:rsid w:val="00A84864"/>
    <w:rsid w:val="00A857FD"/>
    <w:rsid w:val="00A85BA5"/>
    <w:rsid w:val="00A86695"/>
    <w:rsid w:val="00A86A10"/>
    <w:rsid w:val="00A86C64"/>
    <w:rsid w:val="00A86D92"/>
    <w:rsid w:val="00A86E33"/>
    <w:rsid w:val="00A87048"/>
    <w:rsid w:val="00A87186"/>
    <w:rsid w:val="00A87600"/>
    <w:rsid w:val="00A876F8"/>
    <w:rsid w:val="00A87856"/>
    <w:rsid w:val="00A87C30"/>
    <w:rsid w:val="00A87E17"/>
    <w:rsid w:val="00A87FF3"/>
    <w:rsid w:val="00A901FE"/>
    <w:rsid w:val="00A90580"/>
    <w:rsid w:val="00A9064D"/>
    <w:rsid w:val="00A90978"/>
    <w:rsid w:val="00A90B7A"/>
    <w:rsid w:val="00A90B94"/>
    <w:rsid w:val="00A90C4B"/>
    <w:rsid w:val="00A90F87"/>
    <w:rsid w:val="00A910D1"/>
    <w:rsid w:val="00A9120A"/>
    <w:rsid w:val="00A91322"/>
    <w:rsid w:val="00A91363"/>
    <w:rsid w:val="00A9141B"/>
    <w:rsid w:val="00A91492"/>
    <w:rsid w:val="00A91627"/>
    <w:rsid w:val="00A919AF"/>
    <w:rsid w:val="00A91F76"/>
    <w:rsid w:val="00A9254D"/>
    <w:rsid w:val="00A9275A"/>
    <w:rsid w:val="00A927CE"/>
    <w:rsid w:val="00A92B41"/>
    <w:rsid w:val="00A92F04"/>
    <w:rsid w:val="00A930D8"/>
    <w:rsid w:val="00A93548"/>
    <w:rsid w:val="00A939D5"/>
    <w:rsid w:val="00A93C9C"/>
    <w:rsid w:val="00A93E55"/>
    <w:rsid w:val="00A9410F"/>
    <w:rsid w:val="00A946C9"/>
    <w:rsid w:val="00A947F9"/>
    <w:rsid w:val="00A9484B"/>
    <w:rsid w:val="00A9489C"/>
    <w:rsid w:val="00A94CA3"/>
    <w:rsid w:val="00A94CDA"/>
    <w:rsid w:val="00A94EF2"/>
    <w:rsid w:val="00A950F8"/>
    <w:rsid w:val="00A95128"/>
    <w:rsid w:val="00A957F8"/>
    <w:rsid w:val="00A958F7"/>
    <w:rsid w:val="00A95903"/>
    <w:rsid w:val="00A959CD"/>
    <w:rsid w:val="00A95C91"/>
    <w:rsid w:val="00A95F20"/>
    <w:rsid w:val="00A9634B"/>
    <w:rsid w:val="00A964EB"/>
    <w:rsid w:val="00A96666"/>
    <w:rsid w:val="00A96792"/>
    <w:rsid w:val="00A968DA"/>
    <w:rsid w:val="00A96AC1"/>
    <w:rsid w:val="00A97185"/>
    <w:rsid w:val="00A9748C"/>
    <w:rsid w:val="00A97530"/>
    <w:rsid w:val="00A9758E"/>
    <w:rsid w:val="00A97598"/>
    <w:rsid w:val="00A975C7"/>
    <w:rsid w:val="00A97651"/>
    <w:rsid w:val="00A97CDA"/>
    <w:rsid w:val="00A97DC4"/>
    <w:rsid w:val="00AA0423"/>
    <w:rsid w:val="00AA0455"/>
    <w:rsid w:val="00AA04A3"/>
    <w:rsid w:val="00AA0A35"/>
    <w:rsid w:val="00AA0CB5"/>
    <w:rsid w:val="00AA0CEA"/>
    <w:rsid w:val="00AA0D1F"/>
    <w:rsid w:val="00AA0D53"/>
    <w:rsid w:val="00AA13AE"/>
    <w:rsid w:val="00AA1522"/>
    <w:rsid w:val="00AA193D"/>
    <w:rsid w:val="00AA1A38"/>
    <w:rsid w:val="00AA1AEB"/>
    <w:rsid w:val="00AA226A"/>
    <w:rsid w:val="00AA2624"/>
    <w:rsid w:val="00AA2744"/>
    <w:rsid w:val="00AA28DA"/>
    <w:rsid w:val="00AA29AA"/>
    <w:rsid w:val="00AA2CF9"/>
    <w:rsid w:val="00AA2F14"/>
    <w:rsid w:val="00AA3173"/>
    <w:rsid w:val="00AA318F"/>
    <w:rsid w:val="00AA3384"/>
    <w:rsid w:val="00AA35C8"/>
    <w:rsid w:val="00AA36A9"/>
    <w:rsid w:val="00AA39A9"/>
    <w:rsid w:val="00AA39E5"/>
    <w:rsid w:val="00AA4129"/>
    <w:rsid w:val="00AA415A"/>
    <w:rsid w:val="00AA4751"/>
    <w:rsid w:val="00AA47DB"/>
    <w:rsid w:val="00AA4CFD"/>
    <w:rsid w:val="00AA4E27"/>
    <w:rsid w:val="00AA4F58"/>
    <w:rsid w:val="00AA5131"/>
    <w:rsid w:val="00AA5336"/>
    <w:rsid w:val="00AA55FC"/>
    <w:rsid w:val="00AA5C41"/>
    <w:rsid w:val="00AA5CDD"/>
    <w:rsid w:val="00AA5EA2"/>
    <w:rsid w:val="00AA60DB"/>
    <w:rsid w:val="00AA66EA"/>
    <w:rsid w:val="00AA6841"/>
    <w:rsid w:val="00AA6990"/>
    <w:rsid w:val="00AA6B83"/>
    <w:rsid w:val="00AA6C2B"/>
    <w:rsid w:val="00AA6DE5"/>
    <w:rsid w:val="00AA6EFA"/>
    <w:rsid w:val="00AA748A"/>
    <w:rsid w:val="00AA763C"/>
    <w:rsid w:val="00AA7B81"/>
    <w:rsid w:val="00AA7D0D"/>
    <w:rsid w:val="00AA7F06"/>
    <w:rsid w:val="00AA7FAE"/>
    <w:rsid w:val="00AB00E3"/>
    <w:rsid w:val="00AB024D"/>
    <w:rsid w:val="00AB07B6"/>
    <w:rsid w:val="00AB0B9D"/>
    <w:rsid w:val="00AB0D51"/>
    <w:rsid w:val="00AB102B"/>
    <w:rsid w:val="00AB10AF"/>
    <w:rsid w:val="00AB15A9"/>
    <w:rsid w:val="00AB16B2"/>
    <w:rsid w:val="00AB1BCD"/>
    <w:rsid w:val="00AB2287"/>
    <w:rsid w:val="00AB2631"/>
    <w:rsid w:val="00AB308D"/>
    <w:rsid w:val="00AB3308"/>
    <w:rsid w:val="00AB33EA"/>
    <w:rsid w:val="00AB3B50"/>
    <w:rsid w:val="00AB3DB9"/>
    <w:rsid w:val="00AB3DDC"/>
    <w:rsid w:val="00AB45E6"/>
    <w:rsid w:val="00AB4ADE"/>
    <w:rsid w:val="00AB4F96"/>
    <w:rsid w:val="00AB545D"/>
    <w:rsid w:val="00AB5494"/>
    <w:rsid w:val="00AB5792"/>
    <w:rsid w:val="00AB5795"/>
    <w:rsid w:val="00AB5919"/>
    <w:rsid w:val="00AB59B5"/>
    <w:rsid w:val="00AB5A75"/>
    <w:rsid w:val="00AB5B56"/>
    <w:rsid w:val="00AB67BE"/>
    <w:rsid w:val="00AB6E30"/>
    <w:rsid w:val="00AB6E35"/>
    <w:rsid w:val="00AB6E9B"/>
    <w:rsid w:val="00AB7F58"/>
    <w:rsid w:val="00AC0077"/>
    <w:rsid w:val="00AC0157"/>
    <w:rsid w:val="00AC01FA"/>
    <w:rsid w:val="00AC0235"/>
    <w:rsid w:val="00AC0282"/>
    <w:rsid w:val="00AC051F"/>
    <w:rsid w:val="00AC05A0"/>
    <w:rsid w:val="00AC0665"/>
    <w:rsid w:val="00AC08A5"/>
    <w:rsid w:val="00AC0A80"/>
    <w:rsid w:val="00AC0C2A"/>
    <w:rsid w:val="00AC106A"/>
    <w:rsid w:val="00AC1165"/>
    <w:rsid w:val="00AC1479"/>
    <w:rsid w:val="00AC1780"/>
    <w:rsid w:val="00AC1BB1"/>
    <w:rsid w:val="00AC1EA1"/>
    <w:rsid w:val="00AC20C4"/>
    <w:rsid w:val="00AC20D7"/>
    <w:rsid w:val="00AC24DE"/>
    <w:rsid w:val="00AC26B3"/>
    <w:rsid w:val="00AC29A9"/>
    <w:rsid w:val="00AC3054"/>
    <w:rsid w:val="00AC33BD"/>
    <w:rsid w:val="00AC3C66"/>
    <w:rsid w:val="00AC3CF6"/>
    <w:rsid w:val="00AC3FAE"/>
    <w:rsid w:val="00AC4033"/>
    <w:rsid w:val="00AC4206"/>
    <w:rsid w:val="00AC42E3"/>
    <w:rsid w:val="00AC4483"/>
    <w:rsid w:val="00AC4B5E"/>
    <w:rsid w:val="00AC4BCB"/>
    <w:rsid w:val="00AC4CDF"/>
    <w:rsid w:val="00AC4D8A"/>
    <w:rsid w:val="00AC574C"/>
    <w:rsid w:val="00AC5901"/>
    <w:rsid w:val="00AC5944"/>
    <w:rsid w:val="00AC59D1"/>
    <w:rsid w:val="00AC5BDF"/>
    <w:rsid w:val="00AC5CAA"/>
    <w:rsid w:val="00AC5EF3"/>
    <w:rsid w:val="00AC6210"/>
    <w:rsid w:val="00AC625E"/>
    <w:rsid w:val="00AC6682"/>
    <w:rsid w:val="00AC67C0"/>
    <w:rsid w:val="00AC6D7B"/>
    <w:rsid w:val="00AC70FE"/>
    <w:rsid w:val="00AC72A5"/>
    <w:rsid w:val="00AC7836"/>
    <w:rsid w:val="00AC7A67"/>
    <w:rsid w:val="00AC7C09"/>
    <w:rsid w:val="00AD0940"/>
    <w:rsid w:val="00AD0C18"/>
    <w:rsid w:val="00AD1216"/>
    <w:rsid w:val="00AD1690"/>
    <w:rsid w:val="00AD174A"/>
    <w:rsid w:val="00AD19B1"/>
    <w:rsid w:val="00AD1BC8"/>
    <w:rsid w:val="00AD1D99"/>
    <w:rsid w:val="00AD1E07"/>
    <w:rsid w:val="00AD2456"/>
    <w:rsid w:val="00AD25C9"/>
    <w:rsid w:val="00AD2780"/>
    <w:rsid w:val="00AD2C5F"/>
    <w:rsid w:val="00AD2D11"/>
    <w:rsid w:val="00AD2D39"/>
    <w:rsid w:val="00AD3512"/>
    <w:rsid w:val="00AD3831"/>
    <w:rsid w:val="00AD3F55"/>
    <w:rsid w:val="00AD410B"/>
    <w:rsid w:val="00AD4457"/>
    <w:rsid w:val="00AD467F"/>
    <w:rsid w:val="00AD4DE8"/>
    <w:rsid w:val="00AD5255"/>
    <w:rsid w:val="00AD5555"/>
    <w:rsid w:val="00AD5CB6"/>
    <w:rsid w:val="00AD5E40"/>
    <w:rsid w:val="00AD5F27"/>
    <w:rsid w:val="00AD63F3"/>
    <w:rsid w:val="00AD642B"/>
    <w:rsid w:val="00AD64F3"/>
    <w:rsid w:val="00AD66B2"/>
    <w:rsid w:val="00AD6779"/>
    <w:rsid w:val="00AD6992"/>
    <w:rsid w:val="00AD69D9"/>
    <w:rsid w:val="00AD6A2E"/>
    <w:rsid w:val="00AD6E7B"/>
    <w:rsid w:val="00AD7150"/>
    <w:rsid w:val="00AD71F7"/>
    <w:rsid w:val="00AD739D"/>
    <w:rsid w:val="00AD766A"/>
    <w:rsid w:val="00AD7950"/>
    <w:rsid w:val="00AD7ED0"/>
    <w:rsid w:val="00AE0499"/>
    <w:rsid w:val="00AE058D"/>
    <w:rsid w:val="00AE0752"/>
    <w:rsid w:val="00AE0A00"/>
    <w:rsid w:val="00AE0DAB"/>
    <w:rsid w:val="00AE0E9D"/>
    <w:rsid w:val="00AE149F"/>
    <w:rsid w:val="00AE1513"/>
    <w:rsid w:val="00AE1AEF"/>
    <w:rsid w:val="00AE1DCD"/>
    <w:rsid w:val="00AE1DE8"/>
    <w:rsid w:val="00AE1E5A"/>
    <w:rsid w:val="00AE2698"/>
    <w:rsid w:val="00AE2716"/>
    <w:rsid w:val="00AE29B7"/>
    <w:rsid w:val="00AE2D59"/>
    <w:rsid w:val="00AE2F0E"/>
    <w:rsid w:val="00AE31D6"/>
    <w:rsid w:val="00AE36C8"/>
    <w:rsid w:val="00AE3BE9"/>
    <w:rsid w:val="00AE3D47"/>
    <w:rsid w:val="00AE3DB8"/>
    <w:rsid w:val="00AE3F13"/>
    <w:rsid w:val="00AE4397"/>
    <w:rsid w:val="00AE471C"/>
    <w:rsid w:val="00AE4891"/>
    <w:rsid w:val="00AE4A89"/>
    <w:rsid w:val="00AE4DDD"/>
    <w:rsid w:val="00AE4FE3"/>
    <w:rsid w:val="00AE51F7"/>
    <w:rsid w:val="00AE5CF9"/>
    <w:rsid w:val="00AE5E65"/>
    <w:rsid w:val="00AE6140"/>
    <w:rsid w:val="00AE6333"/>
    <w:rsid w:val="00AE6521"/>
    <w:rsid w:val="00AE6645"/>
    <w:rsid w:val="00AE67C2"/>
    <w:rsid w:val="00AE68FD"/>
    <w:rsid w:val="00AE6B4A"/>
    <w:rsid w:val="00AE6FD7"/>
    <w:rsid w:val="00AE7210"/>
    <w:rsid w:val="00AE72C4"/>
    <w:rsid w:val="00AE74F6"/>
    <w:rsid w:val="00AE7AEB"/>
    <w:rsid w:val="00AE7F44"/>
    <w:rsid w:val="00AE7F75"/>
    <w:rsid w:val="00AF01DF"/>
    <w:rsid w:val="00AF0367"/>
    <w:rsid w:val="00AF070E"/>
    <w:rsid w:val="00AF0899"/>
    <w:rsid w:val="00AF099C"/>
    <w:rsid w:val="00AF0A50"/>
    <w:rsid w:val="00AF0A76"/>
    <w:rsid w:val="00AF0D8C"/>
    <w:rsid w:val="00AF0EEA"/>
    <w:rsid w:val="00AF0FD1"/>
    <w:rsid w:val="00AF156C"/>
    <w:rsid w:val="00AF1766"/>
    <w:rsid w:val="00AF1864"/>
    <w:rsid w:val="00AF1A5C"/>
    <w:rsid w:val="00AF1BE8"/>
    <w:rsid w:val="00AF1D78"/>
    <w:rsid w:val="00AF22D8"/>
    <w:rsid w:val="00AF23B6"/>
    <w:rsid w:val="00AF28BB"/>
    <w:rsid w:val="00AF2B4F"/>
    <w:rsid w:val="00AF2D1E"/>
    <w:rsid w:val="00AF2EAD"/>
    <w:rsid w:val="00AF312B"/>
    <w:rsid w:val="00AF3497"/>
    <w:rsid w:val="00AF38A0"/>
    <w:rsid w:val="00AF3AA8"/>
    <w:rsid w:val="00AF3D77"/>
    <w:rsid w:val="00AF3FA8"/>
    <w:rsid w:val="00AF42B9"/>
    <w:rsid w:val="00AF4327"/>
    <w:rsid w:val="00AF4676"/>
    <w:rsid w:val="00AF4D16"/>
    <w:rsid w:val="00AF4D49"/>
    <w:rsid w:val="00AF4EDC"/>
    <w:rsid w:val="00AF5082"/>
    <w:rsid w:val="00AF5220"/>
    <w:rsid w:val="00AF541F"/>
    <w:rsid w:val="00AF5535"/>
    <w:rsid w:val="00AF58C1"/>
    <w:rsid w:val="00AF5F25"/>
    <w:rsid w:val="00AF6034"/>
    <w:rsid w:val="00AF6249"/>
    <w:rsid w:val="00AF65D3"/>
    <w:rsid w:val="00AF6B54"/>
    <w:rsid w:val="00AF7879"/>
    <w:rsid w:val="00AF7A04"/>
    <w:rsid w:val="00AF7A7E"/>
    <w:rsid w:val="00AF7D9C"/>
    <w:rsid w:val="00B000FA"/>
    <w:rsid w:val="00B00B0E"/>
    <w:rsid w:val="00B00EA5"/>
    <w:rsid w:val="00B01296"/>
    <w:rsid w:val="00B012D6"/>
    <w:rsid w:val="00B0134C"/>
    <w:rsid w:val="00B01A7C"/>
    <w:rsid w:val="00B01E13"/>
    <w:rsid w:val="00B0243D"/>
    <w:rsid w:val="00B02483"/>
    <w:rsid w:val="00B02D80"/>
    <w:rsid w:val="00B02D9A"/>
    <w:rsid w:val="00B02DDA"/>
    <w:rsid w:val="00B02F10"/>
    <w:rsid w:val="00B036F2"/>
    <w:rsid w:val="00B03DDB"/>
    <w:rsid w:val="00B0434B"/>
    <w:rsid w:val="00B04798"/>
    <w:rsid w:val="00B048B2"/>
    <w:rsid w:val="00B04A6C"/>
    <w:rsid w:val="00B04FFA"/>
    <w:rsid w:val="00B05926"/>
    <w:rsid w:val="00B05D21"/>
    <w:rsid w:val="00B05EFA"/>
    <w:rsid w:val="00B064EA"/>
    <w:rsid w:val="00B06532"/>
    <w:rsid w:val="00B07163"/>
    <w:rsid w:val="00B07471"/>
    <w:rsid w:val="00B077CC"/>
    <w:rsid w:val="00B077F2"/>
    <w:rsid w:val="00B07B06"/>
    <w:rsid w:val="00B07D35"/>
    <w:rsid w:val="00B07EA2"/>
    <w:rsid w:val="00B10141"/>
    <w:rsid w:val="00B10276"/>
    <w:rsid w:val="00B102FB"/>
    <w:rsid w:val="00B104DC"/>
    <w:rsid w:val="00B1053F"/>
    <w:rsid w:val="00B1058B"/>
    <w:rsid w:val="00B10918"/>
    <w:rsid w:val="00B11682"/>
    <w:rsid w:val="00B123D7"/>
    <w:rsid w:val="00B12429"/>
    <w:rsid w:val="00B126D0"/>
    <w:rsid w:val="00B12788"/>
    <w:rsid w:val="00B12BB8"/>
    <w:rsid w:val="00B13446"/>
    <w:rsid w:val="00B1363E"/>
    <w:rsid w:val="00B13888"/>
    <w:rsid w:val="00B13C7E"/>
    <w:rsid w:val="00B13C98"/>
    <w:rsid w:val="00B13CD4"/>
    <w:rsid w:val="00B14106"/>
    <w:rsid w:val="00B142BA"/>
    <w:rsid w:val="00B147D3"/>
    <w:rsid w:val="00B14AC1"/>
    <w:rsid w:val="00B153F5"/>
    <w:rsid w:val="00B15473"/>
    <w:rsid w:val="00B15D71"/>
    <w:rsid w:val="00B15E0F"/>
    <w:rsid w:val="00B15EFE"/>
    <w:rsid w:val="00B15FDC"/>
    <w:rsid w:val="00B16646"/>
    <w:rsid w:val="00B1669A"/>
    <w:rsid w:val="00B1699E"/>
    <w:rsid w:val="00B16AA4"/>
    <w:rsid w:val="00B16D48"/>
    <w:rsid w:val="00B16D58"/>
    <w:rsid w:val="00B16DC4"/>
    <w:rsid w:val="00B176CD"/>
    <w:rsid w:val="00B178FC"/>
    <w:rsid w:val="00B17CFA"/>
    <w:rsid w:val="00B17F7A"/>
    <w:rsid w:val="00B20246"/>
    <w:rsid w:val="00B20521"/>
    <w:rsid w:val="00B20660"/>
    <w:rsid w:val="00B2077C"/>
    <w:rsid w:val="00B20EB6"/>
    <w:rsid w:val="00B20FEA"/>
    <w:rsid w:val="00B213F1"/>
    <w:rsid w:val="00B218F1"/>
    <w:rsid w:val="00B21D10"/>
    <w:rsid w:val="00B21F0F"/>
    <w:rsid w:val="00B221F7"/>
    <w:rsid w:val="00B22389"/>
    <w:rsid w:val="00B22978"/>
    <w:rsid w:val="00B22A00"/>
    <w:rsid w:val="00B22A33"/>
    <w:rsid w:val="00B22AB2"/>
    <w:rsid w:val="00B22B6C"/>
    <w:rsid w:val="00B22C1A"/>
    <w:rsid w:val="00B232F3"/>
    <w:rsid w:val="00B23462"/>
    <w:rsid w:val="00B2354E"/>
    <w:rsid w:val="00B23964"/>
    <w:rsid w:val="00B24186"/>
    <w:rsid w:val="00B242CB"/>
    <w:rsid w:val="00B24348"/>
    <w:rsid w:val="00B246D9"/>
    <w:rsid w:val="00B24C13"/>
    <w:rsid w:val="00B24DF8"/>
    <w:rsid w:val="00B250FF"/>
    <w:rsid w:val="00B25201"/>
    <w:rsid w:val="00B2528A"/>
    <w:rsid w:val="00B252AE"/>
    <w:rsid w:val="00B25461"/>
    <w:rsid w:val="00B2553E"/>
    <w:rsid w:val="00B25941"/>
    <w:rsid w:val="00B259E1"/>
    <w:rsid w:val="00B25AAB"/>
    <w:rsid w:val="00B25B5B"/>
    <w:rsid w:val="00B25C9F"/>
    <w:rsid w:val="00B25DD4"/>
    <w:rsid w:val="00B261F5"/>
    <w:rsid w:val="00B26326"/>
    <w:rsid w:val="00B263BB"/>
    <w:rsid w:val="00B26465"/>
    <w:rsid w:val="00B26545"/>
    <w:rsid w:val="00B26821"/>
    <w:rsid w:val="00B2686B"/>
    <w:rsid w:val="00B26C33"/>
    <w:rsid w:val="00B26E5B"/>
    <w:rsid w:val="00B26FE3"/>
    <w:rsid w:val="00B27AF4"/>
    <w:rsid w:val="00B27BC6"/>
    <w:rsid w:val="00B30359"/>
    <w:rsid w:val="00B305C9"/>
    <w:rsid w:val="00B3079D"/>
    <w:rsid w:val="00B30A31"/>
    <w:rsid w:val="00B30E95"/>
    <w:rsid w:val="00B31138"/>
    <w:rsid w:val="00B31A97"/>
    <w:rsid w:val="00B31E5C"/>
    <w:rsid w:val="00B31FD3"/>
    <w:rsid w:val="00B31FE8"/>
    <w:rsid w:val="00B32381"/>
    <w:rsid w:val="00B324AE"/>
    <w:rsid w:val="00B325AF"/>
    <w:rsid w:val="00B32864"/>
    <w:rsid w:val="00B328FD"/>
    <w:rsid w:val="00B32AF9"/>
    <w:rsid w:val="00B32CCC"/>
    <w:rsid w:val="00B32EC0"/>
    <w:rsid w:val="00B33246"/>
    <w:rsid w:val="00B33708"/>
    <w:rsid w:val="00B3385E"/>
    <w:rsid w:val="00B33D32"/>
    <w:rsid w:val="00B33EC3"/>
    <w:rsid w:val="00B342DB"/>
    <w:rsid w:val="00B34381"/>
    <w:rsid w:val="00B3460E"/>
    <w:rsid w:val="00B348DA"/>
    <w:rsid w:val="00B348E9"/>
    <w:rsid w:val="00B3491D"/>
    <w:rsid w:val="00B34A62"/>
    <w:rsid w:val="00B34ADF"/>
    <w:rsid w:val="00B34AE5"/>
    <w:rsid w:val="00B34DB2"/>
    <w:rsid w:val="00B35028"/>
    <w:rsid w:val="00B3518D"/>
    <w:rsid w:val="00B35714"/>
    <w:rsid w:val="00B35CC1"/>
    <w:rsid w:val="00B361B8"/>
    <w:rsid w:val="00B362F6"/>
    <w:rsid w:val="00B36680"/>
    <w:rsid w:val="00B366C3"/>
    <w:rsid w:val="00B36B13"/>
    <w:rsid w:val="00B36B2E"/>
    <w:rsid w:val="00B36CC1"/>
    <w:rsid w:val="00B36FC0"/>
    <w:rsid w:val="00B371D5"/>
    <w:rsid w:val="00B376C3"/>
    <w:rsid w:val="00B379C9"/>
    <w:rsid w:val="00B37D68"/>
    <w:rsid w:val="00B37FA4"/>
    <w:rsid w:val="00B4013E"/>
    <w:rsid w:val="00B4034E"/>
    <w:rsid w:val="00B4053B"/>
    <w:rsid w:val="00B4054C"/>
    <w:rsid w:val="00B40623"/>
    <w:rsid w:val="00B40A23"/>
    <w:rsid w:val="00B40BCB"/>
    <w:rsid w:val="00B40D3F"/>
    <w:rsid w:val="00B4103B"/>
    <w:rsid w:val="00B413B2"/>
    <w:rsid w:val="00B41434"/>
    <w:rsid w:val="00B4166A"/>
    <w:rsid w:val="00B418F0"/>
    <w:rsid w:val="00B41A59"/>
    <w:rsid w:val="00B41A8C"/>
    <w:rsid w:val="00B41B84"/>
    <w:rsid w:val="00B41D34"/>
    <w:rsid w:val="00B41F45"/>
    <w:rsid w:val="00B42429"/>
    <w:rsid w:val="00B42563"/>
    <w:rsid w:val="00B42921"/>
    <w:rsid w:val="00B42AEF"/>
    <w:rsid w:val="00B42F34"/>
    <w:rsid w:val="00B43033"/>
    <w:rsid w:val="00B430EC"/>
    <w:rsid w:val="00B43416"/>
    <w:rsid w:val="00B43522"/>
    <w:rsid w:val="00B4390C"/>
    <w:rsid w:val="00B43C05"/>
    <w:rsid w:val="00B43C29"/>
    <w:rsid w:val="00B43C9F"/>
    <w:rsid w:val="00B441C3"/>
    <w:rsid w:val="00B4481F"/>
    <w:rsid w:val="00B44C14"/>
    <w:rsid w:val="00B4591E"/>
    <w:rsid w:val="00B45A8E"/>
    <w:rsid w:val="00B465D8"/>
    <w:rsid w:val="00B46870"/>
    <w:rsid w:val="00B46A5A"/>
    <w:rsid w:val="00B46AD0"/>
    <w:rsid w:val="00B47164"/>
    <w:rsid w:val="00B476F1"/>
    <w:rsid w:val="00B477F3"/>
    <w:rsid w:val="00B4799A"/>
    <w:rsid w:val="00B47E62"/>
    <w:rsid w:val="00B47F7A"/>
    <w:rsid w:val="00B5052C"/>
    <w:rsid w:val="00B506E5"/>
    <w:rsid w:val="00B50E24"/>
    <w:rsid w:val="00B51080"/>
    <w:rsid w:val="00B511E2"/>
    <w:rsid w:val="00B5146F"/>
    <w:rsid w:val="00B5147F"/>
    <w:rsid w:val="00B515C3"/>
    <w:rsid w:val="00B516D1"/>
    <w:rsid w:val="00B519B6"/>
    <w:rsid w:val="00B51DFB"/>
    <w:rsid w:val="00B51F7B"/>
    <w:rsid w:val="00B52319"/>
    <w:rsid w:val="00B52B46"/>
    <w:rsid w:val="00B52CE9"/>
    <w:rsid w:val="00B52E90"/>
    <w:rsid w:val="00B53526"/>
    <w:rsid w:val="00B53A02"/>
    <w:rsid w:val="00B53BF8"/>
    <w:rsid w:val="00B53CD7"/>
    <w:rsid w:val="00B53D21"/>
    <w:rsid w:val="00B54022"/>
    <w:rsid w:val="00B54724"/>
    <w:rsid w:val="00B54A3C"/>
    <w:rsid w:val="00B54A46"/>
    <w:rsid w:val="00B54C67"/>
    <w:rsid w:val="00B54CA1"/>
    <w:rsid w:val="00B550D2"/>
    <w:rsid w:val="00B55506"/>
    <w:rsid w:val="00B55552"/>
    <w:rsid w:val="00B5576D"/>
    <w:rsid w:val="00B55F8A"/>
    <w:rsid w:val="00B561AE"/>
    <w:rsid w:val="00B562F4"/>
    <w:rsid w:val="00B5654F"/>
    <w:rsid w:val="00B566D0"/>
    <w:rsid w:val="00B56766"/>
    <w:rsid w:val="00B56882"/>
    <w:rsid w:val="00B5693E"/>
    <w:rsid w:val="00B56DDE"/>
    <w:rsid w:val="00B5734B"/>
    <w:rsid w:val="00B57383"/>
    <w:rsid w:val="00B57A7B"/>
    <w:rsid w:val="00B57C9F"/>
    <w:rsid w:val="00B57D93"/>
    <w:rsid w:val="00B57F2C"/>
    <w:rsid w:val="00B60223"/>
    <w:rsid w:val="00B604C6"/>
    <w:rsid w:val="00B6059A"/>
    <w:rsid w:val="00B6078B"/>
    <w:rsid w:val="00B60974"/>
    <w:rsid w:val="00B60E14"/>
    <w:rsid w:val="00B61269"/>
    <w:rsid w:val="00B612EE"/>
    <w:rsid w:val="00B61384"/>
    <w:rsid w:val="00B613E5"/>
    <w:rsid w:val="00B61473"/>
    <w:rsid w:val="00B6177E"/>
    <w:rsid w:val="00B61962"/>
    <w:rsid w:val="00B61A37"/>
    <w:rsid w:val="00B61B17"/>
    <w:rsid w:val="00B61B9F"/>
    <w:rsid w:val="00B61F4B"/>
    <w:rsid w:val="00B623DB"/>
    <w:rsid w:val="00B623E0"/>
    <w:rsid w:val="00B629A3"/>
    <w:rsid w:val="00B62B02"/>
    <w:rsid w:val="00B62B17"/>
    <w:rsid w:val="00B63341"/>
    <w:rsid w:val="00B6334B"/>
    <w:rsid w:val="00B634BC"/>
    <w:rsid w:val="00B63C32"/>
    <w:rsid w:val="00B63CE6"/>
    <w:rsid w:val="00B63D2D"/>
    <w:rsid w:val="00B63F74"/>
    <w:rsid w:val="00B643EA"/>
    <w:rsid w:val="00B6494F"/>
    <w:rsid w:val="00B64D1E"/>
    <w:rsid w:val="00B64ED1"/>
    <w:rsid w:val="00B6618F"/>
    <w:rsid w:val="00B66302"/>
    <w:rsid w:val="00B66331"/>
    <w:rsid w:val="00B66493"/>
    <w:rsid w:val="00B664D6"/>
    <w:rsid w:val="00B66E8E"/>
    <w:rsid w:val="00B67428"/>
    <w:rsid w:val="00B67609"/>
    <w:rsid w:val="00B67921"/>
    <w:rsid w:val="00B67ADB"/>
    <w:rsid w:val="00B67BD5"/>
    <w:rsid w:val="00B67D1E"/>
    <w:rsid w:val="00B67F9D"/>
    <w:rsid w:val="00B70077"/>
    <w:rsid w:val="00B703D5"/>
    <w:rsid w:val="00B703F4"/>
    <w:rsid w:val="00B70A5A"/>
    <w:rsid w:val="00B711B5"/>
    <w:rsid w:val="00B71699"/>
    <w:rsid w:val="00B71721"/>
    <w:rsid w:val="00B718D5"/>
    <w:rsid w:val="00B71A62"/>
    <w:rsid w:val="00B71D36"/>
    <w:rsid w:val="00B71D8C"/>
    <w:rsid w:val="00B71EDC"/>
    <w:rsid w:val="00B72013"/>
    <w:rsid w:val="00B72395"/>
    <w:rsid w:val="00B723CE"/>
    <w:rsid w:val="00B72540"/>
    <w:rsid w:val="00B727DD"/>
    <w:rsid w:val="00B72AD4"/>
    <w:rsid w:val="00B72B1E"/>
    <w:rsid w:val="00B72B41"/>
    <w:rsid w:val="00B72F1F"/>
    <w:rsid w:val="00B73044"/>
    <w:rsid w:val="00B732A8"/>
    <w:rsid w:val="00B732E4"/>
    <w:rsid w:val="00B73CB6"/>
    <w:rsid w:val="00B73F7C"/>
    <w:rsid w:val="00B73FE5"/>
    <w:rsid w:val="00B74185"/>
    <w:rsid w:val="00B743D5"/>
    <w:rsid w:val="00B744A4"/>
    <w:rsid w:val="00B746BF"/>
    <w:rsid w:val="00B7476B"/>
    <w:rsid w:val="00B7498E"/>
    <w:rsid w:val="00B74E70"/>
    <w:rsid w:val="00B7504B"/>
    <w:rsid w:val="00B754C2"/>
    <w:rsid w:val="00B766DB"/>
    <w:rsid w:val="00B7683E"/>
    <w:rsid w:val="00B768EE"/>
    <w:rsid w:val="00B76944"/>
    <w:rsid w:val="00B76AB1"/>
    <w:rsid w:val="00B772ED"/>
    <w:rsid w:val="00B77652"/>
    <w:rsid w:val="00B7773A"/>
    <w:rsid w:val="00B77817"/>
    <w:rsid w:val="00B778A4"/>
    <w:rsid w:val="00B77DF9"/>
    <w:rsid w:val="00B77F71"/>
    <w:rsid w:val="00B77FD5"/>
    <w:rsid w:val="00B804E6"/>
    <w:rsid w:val="00B8094A"/>
    <w:rsid w:val="00B80EC8"/>
    <w:rsid w:val="00B8113F"/>
    <w:rsid w:val="00B8165B"/>
    <w:rsid w:val="00B81D14"/>
    <w:rsid w:val="00B82145"/>
    <w:rsid w:val="00B82316"/>
    <w:rsid w:val="00B8274D"/>
    <w:rsid w:val="00B8289D"/>
    <w:rsid w:val="00B82B71"/>
    <w:rsid w:val="00B82E81"/>
    <w:rsid w:val="00B832B3"/>
    <w:rsid w:val="00B832B4"/>
    <w:rsid w:val="00B832F1"/>
    <w:rsid w:val="00B834A7"/>
    <w:rsid w:val="00B8358B"/>
    <w:rsid w:val="00B835AD"/>
    <w:rsid w:val="00B83A8F"/>
    <w:rsid w:val="00B83BDA"/>
    <w:rsid w:val="00B842FF"/>
    <w:rsid w:val="00B8440B"/>
    <w:rsid w:val="00B848A8"/>
    <w:rsid w:val="00B84B0B"/>
    <w:rsid w:val="00B84D96"/>
    <w:rsid w:val="00B84E34"/>
    <w:rsid w:val="00B84E7A"/>
    <w:rsid w:val="00B84F92"/>
    <w:rsid w:val="00B84FC8"/>
    <w:rsid w:val="00B85261"/>
    <w:rsid w:val="00B8591B"/>
    <w:rsid w:val="00B85ABF"/>
    <w:rsid w:val="00B85B35"/>
    <w:rsid w:val="00B85E84"/>
    <w:rsid w:val="00B8618F"/>
    <w:rsid w:val="00B863F2"/>
    <w:rsid w:val="00B8651A"/>
    <w:rsid w:val="00B869D1"/>
    <w:rsid w:val="00B86BB3"/>
    <w:rsid w:val="00B870CA"/>
    <w:rsid w:val="00B87A4F"/>
    <w:rsid w:val="00B87E0B"/>
    <w:rsid w:val="00B87FC2"/>
    <w:rsid w:val="00B9013A"/>
    <w:rsid w:val="00B90143"/>
    <w:rsid w:val="00B90839"/>
    <w:rsid w:val="00B90B0B"/>
    <w:rsid w:val="00B90F12"/>
    <w:rsid w:val="00B91135"/>
    <w:rsid w:val="00B9139E"/>
    <w:rsid w:val="00B9146B"/>
    <w:rsid w:val="00B91619"/>
    <w:rsid w:val="00B91620"/>
    <w:rsid w:val="00B91AB1"/>
    <w:rsid w:val="00B91BBE"/>
    <w:rsid w:val="00B91C7F"/>
    <w:rsid w:val="00B92389"/>
    <w:rsid w:val="00B926BD"/>
    <w:rsid w:val="00B93D93"/>
    <w:rsid w:val="00B93DEF"/>
    <w:rsid w:val="00B93F87"/>
    <w:rsid w:val="00B94084"/>
    <w:rsid w:val="00B94088"/>
    <w:rsid w:val="00B942BB"/>
    <w:rsid w:val="00B94348"/>
    <w:rsid w:val="00B94549"/>
    <w:rsid w:val="00B945BF"/>
    <w:rsid w:val="00B94A7A"/>
    <w:rsid w:val="00B9540B"/>
    <w:rsid w:val="00B95425"/>
    <w:rsid w:val="00B9544C"/>
    <w:rsid w:val="00B9545B"/>
    <w:rsid w:val="00B957D7"/>
    <w:rsid w:val="00B957F4"/>
    <w:rsid w:val="00B964DE"/>
    <w:rsid w:val="00B96BB1"/>
    <w:rsid w:val="00B96DDB"/>
    <w:rsid w:val="00B96E1B"/>
    <w:rsid w:val="00B973C0"/>
    <w:rsid w:val="00B977C4"/>
    <w:rsid w:val="00B97AB2"/>
    <w:rsid w:val="00BA0169"/>
    <w:rsid w:val="00BA0305"/>
    <w:rsid w:val="00BA06B2"/>
    <w:rsid w:val="00BA09DC"/>
    <w:rsid w:val="00BA0A68"/>
    <w:rsid w:val="00BA0A9D"/>
    <w:rsid w:val="00BA0ECE"/>
    <w:rsid w:val="00BA1313"/>
    <w:rsid w:val="00BA1A3A"/>
    <w:rsid w:val="00BA1AB7"/>
    <w:rsid w:val="00BA1F72"/>
    <w:rsid w:val="00BA2297"/>
    <w:rsid w:val="00BA26B3"/>
    <w:rsid w:val="00BA26D0"/>
    <w:rsid w:val="00BA28C5"/>
    <w:rsid w:val="00BA2E4A"/>
    <w:rsid w:val="00BA3DF6"/>
    <w:rsid w:val="00BA3E4D"/>
    <w:rsid w:val="00BA3F12"/>
    <w:rsid w:val="00BA41BF"/>
    <w:rsid w:val="00BA447F"/>
    <w:rsid w:val="00BA474D"/>
    <w:rsid w:val="00BA4A82"/>
    <w:rsid w:val="00BA4FC8"/>
    <w:rsid w:val="00BA50E6"/>
    <w:rsid w:val="00BA560F"/>
    <w:rsid w:val="00BA56FB"/>
    <w:rsid w:val="00BA5701"/>
    <w:rsid w:val="00BA5880"/>
    <w:rsid w:val="00BA5B39"/>
    <w:rsid w:val="00BA5CBB"/>
    <w:rsid w:val="00BA5F18"/>
    <w:rsid w:val="00BA5FC9"/>
    <w:rsid w:val="00BA607C"/>
    <w:rsid w:val="00BA68B6"/>
    <w:rsid w:val="00BA6F65"/>
    <w:rsid w:val="00BA6FB1"/>
    <w:rsid w:val="00BA7652"/>
    <w:rsid w:val="00BA7FE3"/>
    <w:rsid w:val="00BB02C9"/>
    <w:rsid w:val="00BB05FB"/>
    <w:rsid w:val="00BB07FF"/>
    <w:rsid w:val="00BB0C34"/>
    <w:rsid w:val="00BB0DB2"/>
    <w:rsid w:val="00BB0FF1"/>
    <w:rsid w:val="00BB111A"/>
    <w:rsid w:val="00BB1190"/>
    <w:rsid w:val="00BB128A"/>
    <w:rsid w:val="00BB17E2"/>
    <w:rsid w:val="00BB17FC"/>
    <w:rsid w:val="00BB23E6"/>
    <w:rsid w:val="00BB24D4"/>
    <w:rsid w:val="00BB28BF"/>
    <w:rsid w:val="00BB28F0"/>
    <w:rsid w:val="00BB30CC"/>
    <w:rsid w:val="00BB353B"/>
    <w:rsid w:val="00BB3595"/>
    <w:rsid w:val="00BB3924"/>
    <w:rsid w:val="00BB3A83"/>
    <w:rsid w:val="00BB3F2A"/>
    <w:rsid w:val="00BB44E7"/>
    <w:rsid w:val="00BB4B5C"/>
    <w:rsid w:val="00BB503F"/>
    <w:rsid w:val="00BB54E9"/>
    <w:rsid w:val="00BB5523"/>
    <w:rsid w:val="00BB5700"/>
    <w:rsid w:val="00BB5BE4"/>
    <w:rsid w:val="00BB5E73"/>
    <w:rsid w:val="00BB68F7"/>
    <w:rsid w:val="00BB6B1F"/>
    <w:rsid w:val="00BB6E0C"/>
    <w:rsid w:val="00BB7764"/>
    <w:rsid w:val="00BB7B57"/>
    <w:rsid w:val="00BB7B65"/>
    <w:rsid w:val="00BB7C54"/>
    <w:rsid w:val="00BB7D43"/>
    <w:rsid w:val="00BB7D80"/>
    <w:rsid w:val="00BC00B4"/>
    <w:rsid w:val="00BC091E"/>
    <w:rsid w:val="00BC09CA"/>
    <w:rsid w:val="00BC0C11"/>
    <w:rsid w:val="00BC0F5A"/>
    <w:rsid w:val="00BC184B"/>
    <w:rsid w:val="00BC222F"/>
    <w:rsid w:val="00BC262A"/>
    <w:rsid w:val="00BC2863"/>
    <w:rsid w:val="00BC2943"/>
    <w:rsid w:val="00BC2B49"/>
    <w:rsid w:val="00BC311C"/>
    <w:rsid w:val="00BC311E"/>
    <w:rsid w:val="00BC3F73"/>
    <w:rsid w:val="00BC40E0"/>
    <w:rsid w:val="00BC41CD"/>
    <w:rsid w:val="00BC42F2"/>
    <w:rsid w:val="00BC44A2"/>
    <w:rsid w:val="00BC4818"/>
    <w:rsid w:val="00BC4BB1"/>
    <w:rsid w:val="00BC4F09"/>
    <w:rsid w:val="00BC523F"/>
    <w:rsid w:val="00BC5377"/>
    <w:rsid w:val="00BC53A3"/>
    <w:rsid w:val="00BC5742"/>
    <w:rsid w:val="00BC58F8"/>
    <w:rsid w:val="00BC5B4F"/>
    <w:rsid w:val="00BC5F1B"/>
    <w:rsid w:val="00BC60FC"/>
    <w:rsid w:val="00BC64E7"/>
    <w:rsid w:val="00BC663D"/>
    <w:rsid w:val="00BC6908"/>
    <w:rsid w:val="00BC6936"/>
    <w:rsid w:val="00BC6973"/>
    <w:rsid w:val="00BC6AC5"/>
    <w:rsid w:val="00BC6AD8"/>
    <w:rsid w:val="00BC6B16"/>
    <w:rsid w:val="00BC7153"/>
    <w:rsid w:val="00BC75EE"/>
    <w:rsid w:val="00BC760E"/>
    <w:rsid w:val="00BC7B9D"/>
    <w:rsid w:val="00BC7F09"/>
    <w:rsid w:val="00BD040D"/>
    <w:rsid w:val="00BD0608"/>
    <w:rsid w:val="00BD0692"/>
    <w:rsid w:val="00BD0890"/>
    <w:rsid w:val="00BD08B1"/>
    <w:rsid w:val="00BD0BAA"/>
    <w:rsid w:val="00BD0D59"/>
    <w:rsid w:val="00BD108A"/>
    <w:rsid w:val="00BD145B"/>
    <w:rsid w:val="00BD1904"/>
    <w:rsid w:val="00BD1946"/>
    <w:rsid w:val="00BD1A50"/>
    <w:rsid w:val="00BD1A5D"/>
    <w:rsid w:val="00BD1EAB"/>
    <w:rsid w:val="00BD244E"/>
    <w:rsid w:val="00BD2A3C"/>
    <w:rsid w:val="00BD3133"/>
    <w:rsid w:val="00BD3336"/>
    <w:rsid w:val="00BD360F"/>
    <w:rsid w:val="00BD3738"/>
    <w:rsid w:val="00BD38C6"/>
    <w:rsid w:val="00BD3B01"/>
    <w:rsid w:val="00BD3F44"/>
    <w:rsid w:val="00BD41EA"/>
    <w:rsid w:val="00BD4261"/>
    <w:rsid w:val="00BD443B"/>
    <w:rsid w:val="00BD451F"/>
    <w:rsid w:val="00BD4AC6"/>
    <w:rsid w:val="00BD50D4"/>
    <w:rsid w:val="00BD517F"/>
    <w:rsid w:val="00BD5439"/>
    <w:rsid w:val="00BD58AE"/>
    <w:rsid w:val="00BD58DB"/>
    <w:rsid w:val="00BD608D"/>
    <w:rsid w:val="00BD6281"/>
    <w:rsid w:val="00BD675C"/>
    <w:rsid w:val="00BD6C7C"/>
    <w:rsid w:val="00BD6E00"/>
    <w:rsid w:val="00BD6F2D"/>
    <w:rsid w:val="00BD702C"/>
    <w:rsid w:val="00BD71ED"/>
    <w:rsid w:val="00BD736B"/>
    <w:rsid w:val="00BD746B"/>
    <w:rsid w:val="00BD7624"/>
    <w:rsid w:val="00BD79A8"/>
    <w:rsid w:val="00BD79D3"/>
    <w:rsid w:val="00BD7B53"/>
    <w:rsid w:val="00BD7EA9"/>
    <w:rsid w:val="00BE01EB"/>
    <w:rsid w:val="00BE0481"/>
    <w:rsid w:val="00BE0BC0"/>
    <w:rsid w:val="00BE0CAB"/>
    <w:rsid w:val="00BE0CCE"/>
    <w:rsid w:val="00BE0EDC"/>
    <w:rsid w:val="00BE1644"/>
    <w:rsid w:val="00BE1681"/>
    <w:rsid w:val="00BE1853"/>
    <w:rsid w:val="00BE18D7"/>
    <w:rsid w:val="00BE1B27"/>
    <w:rsid w:val="00BE1D43"/>
    <w:rsid w:val="00BE1DF5"/>
    <w:rsid w:val="00BE2413"/>
    <w:rsid w:val="00BE30BB"/>
    <w:rsid w:val="00BE3121"/>
    <w:rsid w:val="00BE316B"/>
    <w:rsid w:val="00BE32E0"/>
    <w:rsid w:val="00BE33CA"/>
    <w:rsid w:val="00BE34DD"/>
    <w:rsid w:val="00BE36B6"/>
    <w:rsid w:val="00BE3C70"/>
    <w:rsid w:val="00BE3D8B"/>
    <w:rsid w:val="00BE48D7"/>
    <w:rsid w:val="00BE48FA"/>
    <w:rsid w:val="00BE511A"/>
    <w:rsid w:val="00BE511F"/>
    <w:rsid w:val="00BE5149"/>
    <w:rsid w:val="00BE55A1"/>
    <w:rsid w:val="00BE58BA"/>
    <w:rsid w:val="00BE58F2"/>
    <w:rsid w:val="00BE5AF9"/>
    <w:rsid w:val="00BE5C9A"/>
    <w:rsid w:val="00BE5F5E"/>
    <w:rsid w:val="00BE5F8D"/>
    <w:rsid w:val="00BE5FA9"/>
    <w:rsid w:val="00BE61FC"/>
    <w:rsid w:val="00BE65B1"/>
    <w:rsid w:val="00BE66C8"/>
    <w:rsid w:val="00BE6742"/>
    <w:rsid w:val="00BE691F"/>
    <w:rsid w:val="00BE69FB"/>
    <w:rsid w:val="00BE6B73"/>
    <w:rsid w:val="00BE6C57"/>
    <w:rsid w:val="00BE74EA"/>
    <w:rsid w:val="00BE7C98"/>
    <w:rsid w:val="00BF0041"/>
    <w:rsid w:val="00BF0044"/>
    <w:rsid w:val="00BF0074"/>
    <w:rsid w:val="00BF01D4"/>
    <w:rsid w:val="00BF0262"/>
    <w:rsid w:val="00BF09FA"/>
    <w:rsid w:val="00BF0B7B"/>
    <w:rsid w:val="00BF0C34"/>
    <w:rsid w:val="00BF180E"/>
    <w:rsid w:val="00BF1879"/>
    <w:rsid w:val="00BF1891"/>
    <w:rsid w:val="00BF1923"/>
    <w:rsid w:val="00BF1BBD"/>
    <w:rsid w:val="00BF1BE2"/>
    <w:rsid w:val="00BF1F14"/>
    <w:rsid w:val="00BF2335"/>
    <w:rsid w:val="00BF2485"/>
    <w:rsid w:val="00BF275B"/>
    <w:rsid w:val="00BF2EC8"/>
    <w:rsid w:val="00BF2F57"/>
    <w:rsid w:val="00BF30F4"/>
    <w:rsid w:val="00BF3303"/>
    <w:rsid w:val="00BF374A"/>
    <w:rsid w:val="00BF3C7A"/>
    <w:rsid w:val="00BF3F4C"/>
    <w:rsid w:val="00BF4623"/>
    <w:rsid w:val="00BF484C"/>
    <w:rsid w:val="00BF498A"/>
    <w:rsid w:val="00BF4CA9"/>
    <w:rsid w:val="00BF4CD6"/>
    <w:rsid w:val="00BF4EE9"/>
    <w:rsid w:val="00BF51EF"/>
    <w:rsid w:val="00BF52F3"/>
    <w:rsid w:val="00BF53D7"/>
    <w:rsid w:val="00BF54C7"/>
    <w:rsid w:val="00BF5976"/>
    <w:rsid w:val="00BF5B77"/>
    <w:rsid w:val="00BF5C96"/>
    <w:rsid w:val="00BF5E70"/>
    <w:rsid w:val="00BF5F8F"/>
    <w:rsid w:val="00BF6176"/>
    <w:rsid w:val="00BF65C8"/>
    <w:rsid w:val="00BF6707"/>
    <w:rsid w:val="00BF670A"/>
    <w:rsid w:val="00BF67B1"/>
    <w:rsid w:val="00BF6E5C"/>
    <w:rsid w:val="00BF7107"/>
    <w:rsid w:val="00BF725C"/>
    <w:rsid w:val="00BF773F"/>
    <w:rsid w:val="00BF779E"/>
    <w:rsid w:val="00BF79DE"/>
    <w:rsid w:val="00C001D9"/>
    <w:rsid w:val="00C003D4"/>
    <w:rsid w:val="00C00797"/>
    <w:rsid w:val="00C0082D"/>
    <w:rsid w:val="00C009F6"/>
    <w:rsid w:val="00C00B7A"/>
    <w:rsid w:val="00C00D64"/>
    <w:rsid w:val="00C0110D"/>
    <w:rsid w:val="00C011D0"/>
    <w:rsid w:val="00C012FD"/>
    <w:rsid w:val="00C01426"/>
    <w:rsid w:val="00C014C8"/>
    <w:rsid w:val="00C0172B"/>
    <w:rsid w:val="00C01837"/>
    <w:rsid w:val="00C0194D"/>
    <w:rsid w:val="00C01A7E"/>
    <w:rsid w:val="00C01BA0"/>
    <w:rsid w:val="00C01BCE"/>
    <w:rsid w:val="00C01C9B"/>
    <w:rsid w:val="00C01CCB"/>
    <w:rsid w:val="00C01DF3"/>
    <w:rsid w:val="00C01E33"/>
    <w:rsid w:val="00C02587"/>
    <w:rsid w:val="00C029B4"/>
    <w:rsid w:val="00C029E4"/>
    <w:rsid w:val="00C02AE9"/>
    <w:rsid w:val="00C02D5B"/>
    <w:rsid w:val="00C02DA8"/>
    <w:rsid w:val="00C0306D"/>
    <w:rsid w:val="00C030F2"/>
    <w:rsid w:val="00C034B7"/>
    <w:rsid w:val="00C036BE"/>
    <w:rsid w:val="00C03A29"/>
    <w:rsid w:val="00C04047"/>
    <w:rsid w:val="00C040C4"/>
    <w:rsid w:val="00C04595"/>
    <w:rsid w:val="00C045AD"/>
    <w:rsid w:val="00C04633"/>
    <w:rsid w:val="00C046EC"/>
    <w:rsid w:val="00C04F8C"/>
    <w:rsid w:val="00C0525F"/>
    <w:rsid w:val="00C05435"/>
    <w:rsid w:val="00C055E9"/>
    <w:rsid w:val="00C055F7"/>
    <w:rsid w:val="00C0569B"/>
    <w:rsid w:val="00C0588B"/>
    <w:rsid w:val="00C05AEC"/>
    <w:rsid w:val="00C05D06"/>
    <w:rsid w:val="00C05D8F"/>
    <w:rsid w:val="00C0605D"/>
    <w:rsid w:val="00C06128"/>
    <w:rsid w:val="00C063C8"/>
    <w:rsid w:val="00C06465"/>
    <w:rsid w:val="00C064C0"/>
    <w:rsid w:val="00C06592"/>
    <w:rsid w:val="00C06933"/>
    <w:rsid w:val="00C06B65"/>
    <w:rsid w:val="00C06D06"/>
    <w:rsid w:val="00C06FEC"/>
    <w:rsid w:val="00C07218"/>
    <w:rsid w:val="00C07662"/>
    <w:rsid w:val="00C0772B"/>
    <w:rsid w:val="00C07C5E"/>
    <w:rsid w:val="00C07C9D"/>
    <w:rsid w:val="00C10080"/>
    <w:rsid w:val="00C1017F"/>
    <w:rsid w:val="00C10486"/>
    <w:rsid w:val="00C10B53"/>
    <w:rsid w:val="00C10FD7"/>
    <w:rsid w:val="00C111CE"/>
    <w:rsid w:val="00C1136D"/>
    <w:rsid w:val="00C1188F"/>
    <w:rsid w:val="00C11B05"/>
    <w:rsid w:val="00C11CA0"/>
    <w:rsid w:val="00C11CEA"/>
    <w:rsid w:val="00C12741"/>
    <w:rsid w:val="00C1284A"/>
    <w:rsid w:val="00C1294B"/>
    <w:rsid w:val="00C12CE4"/>
    <w:rsid w:val="00C131A6"/>
    <w:rsid w:val="00C13598"/>
    <w:rsid w:val="00C135D5"/>
    <w:rsid w:val="00C136A4"/>
    <w:rsid w:val="00C138F5"/>
    <w:rsid w:val="00C13995"/>
    <w:rsid w:val="00C13D46"/>
    <w:rsid w:val="00C14194"/>
    <w:rsid w:val="00C1423B"/>
    <w:rsid w:val="00C143DE"/>
    <w:rsid w:val="00C144CE"/>
    <w:rsid w:val="00C14532"/>
    <w:rsid w:val="00C14800"/>
    <w:rsid w:val="00C14945"/>
    <w:rsid w:val="00C14D4D"/>
    <w:rsid w:val="00C14DCF"/>
    <w:rsid w:val="00C14E88"/>
    <w:rsid w:val="00C15738"/>
    <w:rsid w:val="00C15D86"/>
    <w:rsid w:val="00C16306"/>
    <w:rsid w:val="00C165BA"/>
    <w:rsid w:val="00C16AAF"/>
    <w:rsid w:val="00C16C9A"/>
    <w:rsid w:val="00C171D8"/>
    <w:rsid w:val="00C17372"/>
    <w:rsid w:val="00C17780"/>
    <w:rsid w:val="00C1790A"/>
    <w:rsid w:val="00C17B08"/>
    <w:rsid w:val="00C2014B"/>
    <w:rsid w:val="00C20253"/>
    <w:rsid w:val="00C20342"/>
    <w:rsid w:val="00C203AE"/>
    <w:rsid w:val="00C204C0"/>
    <w:rsid w:val="00C2058F"/>
    <w:rsid w:val="00C20739"/>
    <w:rsid w:val="00C209C6"/>
    <w:rsid w:val="00C20B24"/>
    <w:rsid w:val="00C20D72"/>
    <w:rsid w:val="00C20EDA"/>
    <w:rsid w:val="00C20F41"/>
    <w:rsid w:val="00C212AD"/>
    <w:rsid w:val="00C214CF"/>
    <w:rsid w:val="00C214FA"/>
    <w:rsid w:val="00C2155C"/>
    <w:rsid w:val="00C21745"/>
    <w:rsid w:val="00C21A00"/>
    <w:rsid w:val="00C21AB4"/>
    <w:rsid w:val="00C21AB9"/>
    <w:rsid w:val="00C21B35"/>
    <w:rsid w:val="00C21B47"/>
    <w:rsid w:val="00C21B6F"/>
    <w:rsid w:val="00C21D02"/>
    <w:rsid w:val="00C21D61"/>
    <w:rsid w:val="00C21DE1"/>
    <w:rsid w:val="00C2250F"/>
    <w:rsid w:val="00C228F5"/>
    <w:rsid w:val="00C22A32"/>
    <w:rsid w:val="00C22E71"/>
    <w:rsid w:val="00C2321A"/>
    <w:rsid w:val="00C23309"/>
    <w:rsid w:val="00C2350B"/>
    <w:rsid w:val="00C236EE"/>
    <w:rsid w:val="00C24011"/>
    <w:rsid w:val="00C2490F"/>
    <w:rsid w:val="00C24B09"/>
    <w:rsid w:val="00C252BE"/>
    <w:rsid w:val="00C2549C"/>
    <w:rsid w:val="00C2551E"/>
    <w:rsid w:val="00C256FF"/>
    <w:rsid w:val="00C25815"/>
    <w:rsid w:val="00C25AE0"/>
    <w:rsid w:val="00C25FE5"/>
    <w:rsid w:val="00C26255"/>
    <w:rsid w:val="00C265D5"/>
    <w:rsid w:val="00C26603"/>
    <w:rsid w:val="00C2671D"/>
    <w:rsid w:val="00C26751"/>
    <w:rsid w:val="00C267AD"/>
    <w:rsid w:val="00C2689B"/>
    <w:rsid w:val="00C26D38"/>
    <w:rsid w:val="00C26E65"/>
    <w:rsid w:val="00C27946"/>
    <w:rsid w:val="00C27986"/>
    <w:rsid w:val="00C27B7E"/>
    <w:rsid w:val="00C27DB1"/>
    <w:rsid w:val="00C30677"/>
    <w:rsid w:val="00C30E2F"/>
    <w:rsid w:val="00C30F69"/>
    <w:rsid w:val="00C31410"/>
    <w:rsid w:val="00C31777"/>
    <w:rsid w:val="00C3179B"/>
    <w:rsid w:val="00C31FD9"/>
    <w:rsid w:val="00C3230C"/>
    <w:rsid w:val="00C3271D"/>
    <w:rsid w:val="00C32D0C"/>
    <w:rsid w:val="00C32F18"/>
    <w:rsid w:val="00C32F7D"/>
    <w:rsid w:val="00C33485"/>
    <w:rsid w:val="00C33950"/>
    <w:rsid w:val="00C3434C"/>
    <w:rsid w:val="00C34437"/>
    <w:rsid w:val="00C34474"/>
    <w:rsid w:val="00C346D5"/>
    <w:rsid w:val="00C35B13"/>
    <w:rsid w:val="00C35EF1"/>
    <w:rsid w:val="00C3645F"/>
    <w:rsid w:val="00C364CC"/>
    <w:rsid w:val="00C36761"/>
    <w:rsid w:val="00C36B0B"/>
    <w:rsid w:val="00C36DF3"/>
    <w:rsid w:val="00C36E46"/>
    <w:rsid w:val="00C3706B"/>
    <w:rsid w:val="00C372F2"/>
    <w:rsid w:val="00C3734D"/>
    <w:rsid w:val="00C373A2"/>
    <w:rsid w:val="00C373BB"/>
    <w:rsid w:val="00C3765E"/>
    <w:rsid w:val="00C37876"/>
    <w:rsid w:val="00C378FE"/>
    <w:rsid w:val="00C37D40"/>
    <w:rsid w:val="00C40206"/>
    <w:rsid w:val="00C408E0"/>
    <w:rsid w:val="00C40A16"/>
    <w:rsid w:val="00C40B58"/>
    <w:rsid w:val="00C418EB"/>
    <w:rsid w:val="00C41A36"/>
    <w:rsid w:val="00C41A97"/>
    <w:rsid w:val="00C420ED"/>
    <w:rsid w:val="00C42456"/>
    <w:rsid w:val="00C429B4"/>
    <w:rsid w:val="00C42DF4"/>
    <w:rsid w:val="00C430DF"/>
    <w:rsid w:val="00C431AC"/>
    <w:rsid w:val="00C43624"/>
    <w:rsid w:val="00C4363A"/>
    <w:rsid w:val="00C43928"/>
    <w:rsid w:val="00C43F04"/>
    <w:rsid w:val="00C44088"/>
    <w:rsid w:val="00C442E6"/>
    <w:rsid w:val="00C443E2"/>
    <w:rsid w:val="00C4441D"/>
    <w:rsid w:val="00C444AC"/>
    <w:rsid w:val="00C4486B"/>
    <w:rsid w:val="00C44A57"/>
    <w:rsid w:val="00C44BB8"/>
    <w:rsid w:val="00C44D69"/>
    <w:rsid w:val="00C44FD4"/>
    <w:rsid w:val="00C45174"/>
    <w:rsid w:val="00C4523F"/>
    <w:rsid w:val="00C45294"/>
    <w:rsid w:val="00C4555C"/>
    <w:rsid w:val="00C4557E"/>
    <w:rsid w:val="00C4593D"/>
    <w:rsid w:val="00C45A4F"/>
    <w:rsid w:val="00C45ACE"/>
    <w:rsid w:val="00C46463"/>
    <w:rsid w:val="00C466F2"/>
    <w:rsid w:val="00C46A99"/>
    <w:rsid w:val="00C46E4E"/>
    <w:rsid w:val="00C46F47"/>
    <w:rsid w:val="00C47104"/>
    <w:rsid w:val="00C47229"/>
    <w:rsid w:val="00C47713"/>
    <w:rsid w:val="00C478B0"/>
    <w:rsid w:val="00C47972"/>
    <w:rsid w:val="00C47A03"/>
    <w:rsid w:val="00C47B89"/>
    <w:rsid w:val="00C47C01"/>
    <w:rsid w:val="00C50A96"/>
    <w:rsid w:val="00C50C9E"/>
    <w:rsid w:val="00C51332"/>
    <w:rsid w:val="00C51805"/>
    <w:rsid w:val="00C51960"/>
    <w:rsid w:val="00C5197E"/>
    <w:rsid w:val="00C519BD"/>
    <w:rsid w:val="00C51B20"/>
    <w:rsid w:val="00C51B79"/>
    <w:rsid w:val="00C51BE8"/>
    <w:rsid w:val="00C51DA9"/>
    <w:rsid w:val="00C5211D"/>
    <w:rsid w:val="00C523C0"/>
    <w:rsid w:val="00C52825"/>
    <w:rsid w:val="00C52B71"/>
    <w:rsid w:val="00C52B80"/>
    <w:rsid w:val="00C52EE4"/>
    <w:rsid w:val="00C52EEE"/>
    <w:rsid w:val="00C52FCD"/>
    <w:rsid w:val="00C5310C"/>
    <w:rsid w:val="00C53420"/>
    <w:rsid w:val="00C5392B"/>
    <w:rsid w:val="00C53CA2"/>
    <w:rsid w:val="00C548F2"/>
    <w:rsid w:val="00C54BFA"/>
    <w:rsid w:val="00C54DE3"/>
    <w:rsid w:val="00C54DF7"/>
    <w:rsid w:val="00C550C1"/>
    <w:rsid w:val="00C5531D"/>
    <w:rsid w:val="00C5576F"/>
    <w:rsid w:val="00C558BC"/>
    <w:rsid w:val="00C55A6C"/>
    <w:rsid w:val="00C55F11"/>
    <w:rsid w:val="00C5609F"/>
    <w:rsid w:val="00C5641C"/>
    <w:rsid w:val="00C5684C"/>
    <w:rsid w:val="00C569D7"/>
    <w:rsid w:val="00C56C31"/>
    <w:rsid w:val="00C56C7F"/>
    <w:rsid w:val="00C57106"/>
    <w:rsid w:val="00C5744E"/>
    <w:rsid w:val="00C57564"/>
    <w:rsid w:val="00C57F2C"/>
    <w:rsid w:val="00C602ED"/>
    <w:rsid w:val="00C60331"/>
    <w:rsid w:val="00C60A6A"/>
    <w:rsid w:val="00C60AF8"/>
    <w:rsid w:val="00C60BB9"/>
    <w:rsid w:val="00C61073"/>
    <w:rsid w:val="00C617E3"/>
    <w:rsid w:val="00C61969"/>
    <w:rsid w:val="00C6196E"/>
    <w:rsid w:val="00C61A9A"/>
    <w:rsid w:val="00C61D1B"/>
    <w:rsid w:val="00C622E9"/>
    <w:rsid w:val="00C6246E"/>
    <w:rsid w:val="00C62723"/>
    <w:rsid w:val="00C62AE5"/>
    <w:rsid w:val="00C62BDD"/>
    <w:rsid w:val="00C62C43"/>
    <w:rsid w:val="00C63414"/>
    <w:rsid w:val="00C636FF"/>
    <w:rsid w:val="00C63876"/>
    <w:rsid w:val="00C63CC0"/>
    <w:rsid w:val="00C63F44"/>
    <w:rsid w:val="00C6410C"/>
    <w:rsid w:val="00C645AB"/>
    <w:rsid w:val="00C646AE"/>
    <w:rsid w:val="00C64850"/>
    <w:rsid w:val="00C648EE"/>
    <w:rsid w:val="00C64D2C"/>
    <w:rsid w:val="00C650D0"/>
    <w:rsid w:val="00C65235"/>
    <w:rsid w:val="00C652A9"/>
    <w:rsid w:val="00C652F0"/>
    <w:rsid w:val="00C653CE"/>
    <w:rsid w:val="00C653E9"/>
    <w:rsid w:val="00C655C8"/>
    <w:rsid w:val="00C65F41"/>
    <w:rsid w:val="00C663ED"/>
    <w:rsid w:val="00C66A8D"/>
    <w:rsid w:val="00C66E56"/>
    <w:rsid w:val="00C66FD6"/>
    <w:rsid w:val="00C67108"/>
    <w:rsid w:val="00C67234"/>
    <w:rsid w:val="00C673B9"/>
    <w:rsid w:val="00C67B59"/>
    <w:rsid w:val="00C67D6D"/>
    <w:rsid w:val="00C7000A"/>
    <w:rsid w:val="00C700F5"/>
    <w:rsid w:val="00C704EF"/>
    <w:rsid w:val="00C70656"/>
    <w:rsid w:val="00C70879"/>
    <w:rsid w:val="00C70C82"/>
    <w:rsid w:val="00C70F2B"/>
    <w:rsid w:val="00C70FE9"/>
    <w:rsid w:val="00C7108A"/>
    <w:rsid w:val="00C71B79"/>
    <w:rsid w:val="00C71D52"/>
    <w:rsid w:val="00C71E62"/>
    <w:rsid w:val="00C71E87"/>
    <w:rsid w:val="00C72093"/>
    <w:rsid w:val="00C720FA"/>
    <w:rsid w:val="00C7240C"/>
    <w:rsid w:val="00C727F9"/>
    <w:rsid w:val="00C7284A"/>
    <w:rsid w:val="00C729CB"/>
    <w:rsid w:val="00C729EF"/>
    <w:rsid w:val="00C72D7B"/>
    <w:rsid w:val="00C72F6D"/>
    <w:rsid w:val="00C72FDA"/>
    <w:rsid w:val="00C732E4"/>
    <w:rsid w:val="00C73680"/>
    <w:rsid w:val="00C737BD"/>
    <w:rsid w:val="00C743D1"/>
    <w:rsid w:val="00C747E9"/>
    <w:rsid w:val="00C747F0"/>
    <w:rsid w:val="00C7485C"/>
    <w:rsid w:val="00C74A48"/>
    <w:rsid w:val="00C750D8"/>
    <w:rsid w:val="00C7522A"/>
    <w:rsid w:val="00C75429"/>
    <w:rsid w:val="00C75747"/>
    <w:rsid w:val="00C75750"/>
    <w:rsid w:val="00C75ADF"/>
    <w:rsid w:val="00C75B08"/>
    <w:rsid w:val="00C75D9C"/>
    <w:rsid w:val="00C75DD4"/>
    <w:rsid w:val="00C75EB7"/>
    <w:rsid w:val="00C75FCE"/>
    <w:rsid w:val="00C76168"/>
    <w:rsid w:val="00C7632E"/>
    <w:rsid w:val="00C7667A"/>
    <w:rsid w:val="00C76775"/>
    <w:rsid w:val="00C76E6B"/>
    <w:rsid w:val="00C76EED"/>
    <w:rsid w:val="00C77082"/>
    <w:rsid w:val="00C770E5"/>
    <w:rsid w:val="00C77206"/>
    <w:rsid w:val="00C77312"/>
    <w:rsid w:val="00C7740A"/>
    <w:rsid w:val="00C7761B"/>
    <w:rsid w:val="00C7771B"/>
    <w:rsid w:val="00C77E76"/>
    <w:rsid w:val="00C80086"/>
    <w:rsid w:val="00C800CB"/>
    <w:rsid w:val="00C80218"/>
    <w:rsid w:val="00C802CB"/>
    <w:rsid w:val="00C803EA"/>
    <w:rsid w:val="00C80479"/>
    <w:rsid w:val="00C8047B"/>
    <w:rsid w:val="00C804A6"/>
    <w:rsid w:val="00C80A84"/>
    <w:rsid w:val="00C81036"/>
    <w:rsid w:val="00C81520"/>
    <w:rsid w:val="00C81532"/>
    <w:rsid w:val="00C815C9"/>
    <w:rsid w:val="00C81B52"/>
    <w:rsid w:val="00C81C18"/>
    <w:rsid w:val="00C820A0"/>
    <w:rsid w:val="00C8235E"/>
    <w:rsid w:val="00C8257D"/>
    <w:rsid w:val="00C82606"/>
    <w:rsid w:val="00C827BB"/>
    <w:rsid w:val="00C82BF1"/>
    <w:rsid w:val="00C82F5F"/>
    <w:rsid w:val="00C8309C"/>
    <w:rsid w:val="00C83A9B"/>
    <w:rsid w:val="00C83B62"/>
    <w:rsid w:val="00C83E31"/>
    <w:rsid w:val="00C83ED7"/>
    <w:rsid w:val="00C842E6"/>
    <w:rsid w:val="00C8444E"/>
    <w:rsid w:val="00C8461C"/>
    <w:rsid w:val="00C847FB"/>
    <w:rsid w:val="00C84B06"/>
    <w:rsid w:val="00C84D39"/>
    <w:rsid w:val="00C84E20"/>
    <w:rsid w:val="00C84EC6"/>
    <w:rsid w:val="00C84F28"/>
    <w:rsid w:val="00C85211"/>
    <w:rsid w:val="00C85282"/>
    <w:rsid w:val="00C85497"/>
    <w:rsid w:val="00C85507"/>
    <w:rsid w:val="00C85599"/>
    <w:rsid w:val="00C855D6"/>
    <w:rsid w:val="00C855ED"/>
    <w:rsid w:val="00C85658"/>
    <w:rsid w:val="00C858EA"/>
    <w:rsid w:val="00C86051"/>
    <w:rsid w:val="00C86085"/>
    <w:rsid w:val="00C86C5C"/>
    <w:rsid w:val="00C86CAE"/>
    <w:rsid w:val="00C86ED8"/>
    <w:rsid w:val="00C87294"/>
    <w:rsid w:val="00C87D2A"/>
    <w:rsid w:val="00C87E6E"/>
    <w:rsid w:val="00C90067"/>
    <w:rsid w:val="00C901F2"/>
    <w:rsid w:val="00C9030E"/>
    <w:rsid w:val="00C9060A"/>
    <w:rsid w:val="00C90696"/>
    <w:rsid w:val="00C9069A"/>
    <w:rsid w:val="00C90A59"/>
    <w:rsid w:val="00C9147E"/>
    <w:rsid w:val="00C9169C"/>
    <w:rsid w:val="00C91C25"/>
    <w:rsid w:val="00C91CF0"/>
    <w:rsid w:val="00C91DB8"/>
    <w:rsid w:val="00C92080"/>
    <w:rsid w:val="00C92665"/>
    <w:rsid w:val="00C92D95"/>
    <w:rsid w:val="00C92F9F"/>
    <w:rsid w:val="00C93731"/>
    <w:rsid w:val="00C93A34"/>
    <w:rsid w:val="00C93E37"/>
    <w:rsid w:val="00C94683"/>
    <w:rsid w:val="00C9473F"/>
    <w:rsid w:val="00C948C9"/>
    <w:rsid w:val="00C94956"/>
    <w:rsid w:val="00C95157"/>
    <w:rsid w:val="00C951F2"/>
    <w:rsid w:val="00C9573B"/>
    <w:rsid w:val="00C95813"/>
    <w:rsid w:val="00C95994"/>
    <w:rsid w:val="00C95D2A"/>
    <w:rsid w:val="00C95DB0"/>
    <w:rsid w:val="00C95F0C"/>
    <w:rsid w:val="00C95F8A"/>
    <w:rsid w:val="00C960A2"/>
    <w:rsid w:val="00C965B1"/>
    <w:rsid w:val="00C968EB"/>
    <w:rsid w:val="00C96936"/>
    <w:rsid w:val="00C96946"/>
    <w:rsid w:val="00C969DE"/>
    <w:rsid w:val="00C96B12"/>
    <w:rsid w:val="00C96FF1"/>
    <w:rsid w:val="00C972B9"/>
    <w:rsid w:val="00C972FE"/>
    <w:rsid w:val="00C9764A"/>
    <w:rsid w:val="00C97723"/>
    <w:rsid w:val="00C978BE"/>
    <w:rsid w:val="00C97986"/>
    <w:rsid w:val="00CA04FB"/>
    <w:rsid w:val="00CA055D"/>
    <w:rsid w:val="00CA073A"/>
    <w:rsid w:val="00CA0D37"/>
    <w:rsid w:val="00CA0EFD"/>
    <w:rsid w:val="00CA0F6F"/>
    <w:rsid w:val="00CA12EA"/>
    <w:rsid w:val="00CA1664"/>
    <w:rsid w:val="00CA16AA"/>
    <w:rsid w:val="00CA19AC"/>
    <w:rsid w:val="00CA1A2B"/>
    <w:rsid w:val="00CA1A32"/>
    <w:rsid w:val="00CA1A51"/>
    <w:rsid w:val="00CA1BE4"/>
    <w:rsid w:val="00CA1D1A"/>
    <w:rsid w:val="00CA1D50"/>
    <w:rsid w:val="00CA1E97"/>
    <w:rsid w:val="00CA21C7"/>
    <w:rsid w:val="00CA26BC"/>
    <w:rsid w:val="00CA279F"/>
    <w:rsid w:val="00CA2B5F"/>
    <w:rsid w:val="00CA2EEC"/>
    <w:rsid w:val="00CA3065"/>
    <w:rsid w:val="00CA3345"/>
    <w:rsid w:val="00CA33CF"/>
    <w:rsid w:val="00CA343C"/>
    <w:rsid w:val="00CA36B7"/>
    <w:rsid w:val="00CA4493"/>
    <w:rsid w:val="00CA46C0"/>
    <w:rsid w:val="00CA489B"/>
    <w:rsid w:val="00CA4A55"/>
    <w:rsid w:val="00CA4AC3"/>
    <w:rsid w:val="00CA4F56"/>
    <w:rsid w:val="00CA5548"/>
    <w:rsid w:val="00CA55B7"/>
    <w:rsid w:val="00CA5940"/>
    <w:rsid w:val="00CA59A5"/>
    <w:rsid w:val="00CA5ACC"/>
    <w:rsid w:val="00CA5C60"/>
    <w:rsid w:val="00CA5DA6"/>
    <w:rsid w:val="00CA657D"/>
    <w:rsid w:val="00CA6C4B"/>
    <w:rsid w:val="00CA6C6A"/>
    <w:rsid w:val="00CA6EE0"/>
    <w:rsid w:val="00CA6F50"/>
    <w:rsid w:val="00CA7135"/>
    <w:rsid w:val="00CA742D"/>
    <w:rsid w:val="00CA776F"/>
    <w:rsid w:val="00CA7774"/>
    <w:rsid w:val="00CA7AA6"/>
    <w:rsid w:val="00CA7E1A"/>
    <w:rsid w:val="00CB035C"/>
    <w:rsid w:val="00CB0CD4"/>
    <w:rsid w:val="00CB0FD1"/>
    <w:rsid w:val="00CB10B1"/>
    <w:rsid w:val="00CB113D"/>
    <w:rsid w:val="00CB19F2"/>
    <w:rsid w:val="00CB1A10"/>
    <w:rsid w:val="00CB1B4D"/>
    <w:rsid w:val="00CB1BBD"/>
    <w:rsid w:val="00CB1CA5"/>
    <w:rsid w:val="00CB209C"/>
    <w:rsid w:val="00CB2523"/>
    <w:rsid w:val="00CB259F"/>
    <w:rsid w:val="00CB295B"/>
    <w:rsid w:val="00CB2A6B"/>
    <w:rsid w:val="00CB2FF1"/>
    <w:rsid w:val="00CB31CF"/>
    <w:rsid w:val="00CB3509"/>
    <w:rsid w:val="00CB36B5"/>
    <w:rsid w:val="00CB398C"/>
    <w:rsid w:val="00CB3C2F"/>
    <w:rsid w:val="00CB3CEF"/>
    <w:rsid w:val="00CB4004"/>
    <w:rsid w:val="00CB41FC"/>
    <w:rsid w:val="00CB4279"/>
    <w:rsid w:val="00CB46B6"/>
    <w:rsid w:val="00CB47CE"/>
    <w:rsid w:val="00CB4BAF"/>
    <w:rsid w:val="00CB5104"/>
    <w:rsid w:val="00CB535B"/>
    <w:rsid w:val="00CB5464"/>
    <w:rsid w:val="00CB5553"/>
    <w:rsid w:val="00CB55B4"/>
    <w:rsid w:val="00CB5C18"/>
    <w:rsid w:val="00CB5F1E"/>
    <w:rsid w:val="00CB623F"/>
    <w:rsid w:val="00CB628B"/>
    <w:rsid w:val="00CB62FA"/>
    <w:rsid w:val="00CB634F"/>
    <w:rsid w:val="00CB68AB"/>
    <w:rsid w:val="00CB69E5"/>
    <w:rsid w:val="00CB6E1B"/>
    <w:rsid w:val="00CB6F52"/>
    <w:rsid w:val="00CB71D7"/>
    <w:rsid w:val="00CB76B8"/>
    <w:rsid w:val="00CB77AC"/>
    <w:rsid w:val="00CB789C"/>
    <w:rsid w:val="00CB789E"/>
    <w:rsid w:val="00CB7B5A"/>
    <w:rsid w:val="00CB7B9F"/>
    <w:rsid w:val="00CB7D44"/>
    <w:rsid w:val="00CB7D78"/>
    <w:rsid w:val="00CC0676"/>
    <w:rsid w:val="00CC0BB5"/>
    <w:rsid w:val="00CC0D54"/>
    <w:rsid w:val="00CC0EFD"/>
    <w:rsid w:val="00CC1235"/>
    <w:rsid w:val="00CC12E9"/>
    <w:rsid w:val="00CC1437"/>
    <w:rsid w:val="00CC1539"/>
    <w:rsid w:val="00CC16B5"/>
    <w:rsid w:val="00CC1A24"/>
    <w:rsid w:val="00CC1FA9"/>
    <w:rsid w:val="00CC2103"/>
    <w:rsid w:val="00CC23B8"/>
    <w:rsid w:val="00CC2478"/>
    <w:rsid w:val="00CC2492"/>
    <w:rsid w:val="00CC2CD6"/>
    <w:rsid w:val="00CC2E74"/>
    <w:rsid w:val="00CC2FD1"/>
    <w:rsid w:val="00CC307C"/>
    <w:rsid w:val="00CC3796"/>
    <w:rsid w:val="00CC3DA2"/>
    <w:rsid w:val="00CC3F77"/>
    <w:rsid w:val="00CC40AB"/>
    <w:rsid w:val="00CC4349"/>
    <w:rsid w:val="00CC4899"/>
    <w:rsid w:val="00CC4BD4"/>
    <w:rsid w:val="00CC4EE0"/>
    <w:rsid w:val="00CC5673"/>
    <w:rsid w:val="00CC573A"/>
    <w:rsid w:val="00CC5807"/>
    <w:rsid w:val="00CC5BEF"/>
    <w:rsid w:val="00CC5D09"/>
    <w:rsid w:val="00CC5F79"/>
    <w:rsid w:val="00CC637D"/>
    <w:rsid w:val="00CC6783"/>
    <w:rsid w:val="00CC6A78"/>
    <w:rsid w:val="00CC6B7B"/>
    <w:rsid w:val="00CC6C42"/>
    <w:rsid w:val="00CC6C61"/>
    <w:rsid w:val="00CC6CE0"/>
    <w:rsid w:val="00CC6DFF"/>
    <w:rsid w:val="00CC74DA"/>
    <w:rsid w:val="00CC7680"/>
    <w:rsid w:val="00CC77F2"/>
    <w:rsid w:val="00CC782D"/>
    <w:rsid w:val="00CC79F6"/>
    <w:rsid w:val="00CC7B39"/>
    <w:rsid w:val="00CC7C76"/>
    <w:rsid w:val="00CC7D64"/>
    <w:rsid w:val="00CC7D9A"/>
    <w:rsid w:val="00CC7E35"/>
    <w:rsid w:val="00CD0184"/>
    <w:rsid w:val="00CD0341"/>
    <w:rsid w:val="00CD040E"/>
    <w:rsid w:val="00CD0475"/>
    <w:rsid w:val="00CD04F3"/>
    <w:rsid w:val="00CD0566"/>
    <w:rsid w:val="00CD06E5"/>
    <w:rsid w:val="00CD096E"/>
    <w:rsid w:val="00CD09DD"/>
    <w:rsid w:val="00CD0A06"/>
    <w:rsid w:val="00CD0B5D"/>
    <w:rsid w:val="00CD0D72"/>
    <w:rsid w:val="00CD0E7F"/>
    <w:rsid w:val="00CD0F48"/>
    <w:rsid w:val="00CD11FC"/>
    <w:rsid w:val="00CD12AC"/>
    <w:rsid w:val="00CD1541"/>
    <w:rsid w:val="00CD1CD9"/>
    <w:rsid w:val="00CD1D9E"/>
    <w:rsid w:val="00CD280D"/>
    <w:rsid w:val="00CD2B27"/>
    <w:rsid w:val="00CD3193"/>
    <w:rsid w:val="00CD3DAB"/>
    <w:rsid w:val="00CD3FAB"/>
    <w:rsid w:val="00CD4091"/>
    <w:rsid w:val="00CD44B9"/>
    <w:rsid w:val="00CD49F1"/>
    <w:rsid w:val="00CD4D48"/>
    <w:rsid w:val="00CD4F3B"/>
    <w:rsid w:val="00CD5458"/>
    <w:rsid w:val="00CD5664"/>
    <w:rsid w:val="00CD5989"/>
    <w:rsid w:val="00CD5A90"/>
    <w:rsid w:val="00CD5BFD"/>
    <w:rsid w:val="00CD5CF2"/>
    <w:rsid w:val="00CD65CD"/>
    <w:rsid w:val="00CD66D1"/>
    <w:rsid w:val="00CD6736"/>
    <w:rsid w:val="00CD6BB3"/>
    <w:rsid w:val="00CD6D22"/>
    <w:rsid w:val="00CD6E7E"/>
    <w:rsid w:val="00CD6F90"/>
    <w:rsid w:val="00CD70F6"/>
    <w:rsid w:val="00CD783D"/>
    <w:rsid w:val="00CD785F"/>
    <w:rsid w:val="00CD7E08"/>
    <w:rsid w:val="00CE032E"/>
    <w:rsid w:val="00CE0482"/>
    <w:rsid w:val="00CE0622"/>
    <w:rsid w:val="00CE06B2"/>
    <w:rsid w:val="00CE0A08"/>
    <w:rsid w:val="00CE19FD"/>
    <w:rsid w:val="00CE1A7F"/>
    <w:rsid w:val="00CE2043"/>
    <w:rsid w:val="00CE21D2"/>
    <w:rsid w:val="00CE2331"/>
    <w:rsid w:val="00CE23EB"/>
    <w:rsid w:val="00CE28AE"/>
    <w:rsid w:val="00CE2950"/>
    <w:rsid w:val="00CE2B03"/>
    <w:rsid w:val="00CE2F2B"/>
    <w:rsid w:val="00CE38DF"/>
    <w:rsid w:val="00CE3EA3"/>
    <w:rsid w:val="00CE41CA"/>
    <w:rsid w:val="00CE449E"/>
    <w:rsid w:val="00CE44B5"/>
    <w:rsid w:val="00CE459B"/>
    <w:rsid w:val="00CE49E5"/>
    <w:rsid w:val="00CE4AE5"/>
    <w:rsid w:val="00CE4C1F"/>
    <w:rsid w:val="00CE4C49"/>
    <w:rsid w:val="00CE4D97"/>
    <w:rsid w:val="00CE535F"/>
    <w:rsid w:val="00CE561F"/>
    <w:rsid w:val="00CE565F"/>
    <w:rsid w:val="00CE56A7"/>
    <w:rsid w:val="00CE5798"/>
    <w:rsid w:val="00CE5815"/>
    <w:rsid w:val="00CE5933"/>
    <w:rsid w:val="00CE5A31"/>
    <w:rsid w:val="00CE5CE4"/>
    <w:rsid w:val="00CE63E0"/>
    <w:rsid w:val="00CE63F4"/>
    <w:rsid w:val="00CE65FB"/>
    <w:rsid w:val="00CE6A69"/>
    <w:rsid w:val="00CE7473"/>
    <w:rsid w:val="00CE77DB"/>
    <w:rsid w:val="00CE7B2A"/>
    <w:rsid w:val="00CE7B57"/>
    <w:rsid w:val="00CE7C00"/>
    <w:rsid w:val="00CE7E4E"/>
    <w:rsid w:val="00CE7FB4"/>
    <w:rsid w:val="00CF0211"/>
    <w:rsid w:val="00CF03F5"/>
    <w:rsid w:val="00CF0476"/>
    <w:rsid w:val="00CF0521"/>
    <w:rsid w:val="00CF0988"/>
    <w:rsid w:val="00CF09F1"/>
    <w:rsid w:val="00CF0E86"/>
    <w:rsid w:val="00CF10BA"/>
    <w:rsid w:val="00CF111F"/>
    <w:rsid w:val="00CF1AD6"/>
    <w:rsid w:val="00CF1B4B"/>
    <w:rsid w:val="00CF1C85"/>
    <w:rsid w:val="00CF1E1D"/>
    <w:rsid w:val="00CF1E6B"/>
    <w:rsid w:val="00CF1F40"/>
    <w:rsid w:val="00CF20E2"/>
    <w:rsid w:val="00CF2320"/>
    <w:rsid w:val="00CF23C0"/>
    <w:rsid w:val="00CF282A"/>
    <w:rsid w:val="00CF2A16"/>
    <w:rsid w:val="00CF2F46"/>
    <w:rsid w:val="00CF329A"/>
    <w:rsid w:val="00CF3339"/>
    <w:rsid w:val="00CF39EE"/>
    <w:rsid w:val="00CF3AE1"/>
    <w:rsid w:val="00CF3E22"/>
    <w:rsid w:val="00CF43B5"/>
    <w:rsid w:val="00CF48CA"/>
    <w:rsid w:val="00CF4F65"/>
    <w:rsid w:val="00CF56B9"/>
    <w:rsid w:val="00CF5C88"/>
    <w:rsid w:val="00CF5F07"/>
    <w:rsid w:val="00CF5F49"/>
    <w:rsid w:val="00CF5F96"/>
    <w:rsid w:val="00CF61B2"/>
    <w:rsid w:val="00CF62DD"/>
    <w:rsid w:val="00CF63DD"/>
    <w:rsid w:val="00CF6487"/>
    <w:rsid w:val="00CF6499"/>
    <w:rsid w:val="00CF6827"/>
    <w:rsid w:val="00CF6A94"/>
    <w:rsid w:val="00CF6D2E"/>
    <w:rsid w:val="00CF765C"/>
    <w:rsid w:val="00CF769B"/>
    <w:rsid w:val="00CF7825"/>
    <w:rsid w:val="00CF7A40"/>
    <w:rsid w:val="00CF7B27"/>
    <w:rsid w:val="00CF7F02"/>
    <w:rsid w:val="00CF7F72"/>
    <w:rsid w:val="00D00104"/>
    <w:rsid w:val="00D003A4"/>
    <w:rsid w:val="00D00456"/>
    <w:rsid w:val="00D007FB"/>
    <w:rsid w:val="00D008B8"/>
    <w:rsid w:val="00D00928"/>
    <w:rsid w:val="00D00B53"/>
    <w:rsid w:val="00D00C30"/>
    <w:rsid w:val="00D011BF"/>
    <w:rsid w:val="00D01271"/>
    <w:rsid w:val="00D012F5"/>
    <w:rsid w:val="00D013B4"/>
    <w:rsid w:val="00D019D8"/>
    <w:rsid w:val="00D01BB3"/>
    <w:rsid w:val="00D01CB3"/>
    <w:rsid w:val="00D01CEE"/>
    <w:rsid w:val="00D0227B"/>
    <w:rsid w:val="00D02349"/>
    <w:rsid w:val="00D02660"/>
    <w:rsid w:val="00D02F96"/>
    <w:rsid w:val="00D0333B"/>
    <w:rsid w:val="00D0341B"/>
    <w:rsid w:val="00D035A9"/>
    <w:rsid w:val="00D03B4B"/>
    <w:rsid w:val="00D03E99"/>
    <w:rsid w:val="00D03EC2"/>
    <w:rsid w:val="00D046A1"/>
    <w:rsid w:val="00D04814"/>
    <w:rsid w:val="00D04C69"/>
    <w:rsid w:val="00D05308"/>
    <w:rsid w:val="00D053BE"/>
    <w:rsid w:val="00D053EB"/>
    <w:rsid w:val="00D0547A"/>
    <w:rsid w:val="00D055E8"/>
    <w:rsid w:val="00D05793"/>
    <w:rsid w:val="00D05992"/>
    <w:rsid w:val="00D06223"/>
    <w:rsid w:val="00D064A0"/>
    <w:rsid w:val="00D064E4"/>
    <w:rsid w:val="00D06C02"/>
    <w:rsid w:val="00D07286"/>
    <w:rsid w:val="00D073A1"/>
    <w:rsid w:val="00D075BD"/>
    <w:rsid w:val="00D078B8"/>
    <w:rsid w:val="00D07C1A"/>
    <w:rsid w:val="00D07CE4"/>
    <w:rsid w:val="00D10208"/>
    <w:rsid w:val="00D102A5"/>
    <w:rsid w:val="00D10BE3"/>
    <w:rsid w:val="00D10FF6"/>
    <w:rsid w:val="00D11132"/>
    <w:rsid w:val="00D112AB"/>
    <w:rsid w:val="00D117C6"/>
    <w:rsid w:val="00D11ACC"/>
    <w:rsid w:val="00D11E6E"/>
    <w:rsid w:val="00D12938"/>
    <w:rsid w:val="00D130EF"/>
    <w:rsid w:val="00D13359"/>
    <w:rsid w:val="00D13494"/>
    <w:rsid w:val="00D13753"/>
    <w:rsid w:val="00D137CE"/>
    <w:rsid w:val="00D137F4"/>
    <w:rsid w:val="00D13B45"/>
    <w:rsid w:val="00D13C02"/>
    <w:rsid w:val="00D13C5C"/>
    <w:rsid w:val="00D13D00"/>
    <w:rsid w:val="00D13D8A"/>
    <w:rsid w:val="00D13EC0"/>
    <w:rsid w:val="00D14123"/>
    <w:rsid w:val="00D1420F"/>
    <w:rsid w:val="00D144B4"/>
    <w:rsid w:val="00D14E82"/>
    <w:rsid w:val="00D14FB4"/>
    <w:rsid w:val="00D1561B"/>
    <w:rsid w:val="00D15752"/>
    <w:rsid w:val="00D15C3A"/>
    <w:rsid w:val="00D15F39"/>
    <w:rsid w:val="00D15F87"/>
    <w:rsid w:val="00D1600D"/>
    <w:rsid w:val="00D1602B"/>
    <w:rsid w:val="00D16538"/>
    <w:rsid w:val="00D16679"/>
    <w:rsid w:val="00D1685B"/>
    <w:rsid w:val="00D168FB"/>
    <w:rsid w:val="00D16F1F"/>
    <w:rsid w:val="00D17114"/>
    <w:rsid w:val="00D17252"/>
    <w:rsid w:val="00D17898"/>
    <w:rsid w:val="00D17AD6"/>
    <w:rsid w:val="00D17ADB"/>
    <w:rsid w:val="00D17CAD"/>
    <w:rsid w:val="00D17CB1"/>
    <w:rsid w:val="00D17EBE"/>
    <w:rsid w:val="00D20167"/>
    <w:rsid w:val="00D2037B"/>
    <w:rsid w:val="00D20A8F"/>
    <w:rsid w:val="00D20D62"/>
    <w:rsid w:val="00D20DCD"/>
    <w:rsid w:val="00D212B2"/>
    <w:rsid w:val="00D21342"/>
    <w:rsid w:val="00D21A2F"/>
    <w:rsid w:val="00D21B0E"/>
    <w:rsid w:val="00D21B83"/>
    <w:rsid w:val="00D21C2D"/>
    <w:rsid w:val="00D21D24"/>
    <w:rsid w:val="00D2206C"/>
    <w:rsid w:val="00D2209F"/>
    <w:rsid w:val="00D221A6"/>
    <w:rsid w:val="00D222BC"/>
    <w:rsid w:val="00D225FF"/>
    <w:rsid w:val="00D2296C"/>
    <w:rsid w:val="00D22A93"/>
    <w:rsid w:val="00D22B29"/>
    <w:rsid w:val="00D22E05"/>
    <w:rsid w:val="00D231D0"/>
    <w:rsid w:val="00D2321E"/>
    <w:rsid w:val="00D233E9"/>
    <w:rsid w:val="00D23429"/>
    <w:rsid w:val="00D2345C"/>
    <w:rsid w:val="00D235F2"/>
    <w:rsid w:val="00D23DDE"/>
    <w:rsid w:val="00D24EBB"/>
    <w:rsid w:val="00D24F86"/>
    <w:rsid w:val="00D25042"/>
    <w:rsid w:val="00D2532A"/>
    <w:rsid w:val="00D25426"/>
    <w:rsid w:val="00D25552"/>
    <w:rsid w:val="00D25890"/>
    <w:rsid w:val="00D258A9"/>
    <w:rsid w:val="00D259F1"/>
    <w:rsid w:val="00D25A10"/>
    <w:rsid w:val="00D260DB"/>
    <w:rsid w:val="00D26182"/>
    <w:rsid w:val="00D26DDE"/>
    <w:rsid w:val="00D26F70"/>
    <w:rsid w:val="00D271A8"/>
    <w:rsid w:val="00D2748B"/>
    <w:rsid w:val="00D27592"/>
    <w:rsid w:val="00D27598"/>
    <w:rsid w:val="00D3033F"/>
    <w:rsid w:val="00D303CF"/>
    <w:rsid w:val="00D30632"/>
    <w:rsid w:val="00D30986"/>
    <w:rsid w:val="00D309BF"/>
    <w:rsid w:val="00D30D1D"/>
    <w:rsid w:val="00D30D3D"/>
    <w:rsid w:val="00D30E45"/>
    <w:rsid w:val="00D310E3"/>
    <w:rsid w:val="00D31180"/>
    <w:rsid w:val="00D3132D"/>
    <w:rsid w:val="00D316D5"/>
    <w:rsid w:val="00D31CED"/>
    <w:rsid w:val="00D31FF9"/>
    <w:rsid w:val="00D323A9"/>
    <w:rsid w:val="00D325E6"/>
    <w:rsid w:val="00D329D2"/>
    <w:rsid w:val="00D329D5"/>
    <w:rsid w:val="00D32E80"/>
    <w:rsid w:val="00D32F15"/>
    <w:rsid w:val="00D32F70"/>
    <w:rsid w:val="00D33268"/>
    <w:rsid w:val="00D33434"/>
    <w:rsid w:val="00D337F7"/>
    <w:rsid w:val="00D3383F"/>
    <w:rsid w:val="00D33942"/>
    <w:rsid w:val="00D33BBF"/>
    <w:rsid w:val="00D33DBA"/>
    <w:rsid w:val="00D34334"/>
    <w:rsid w:val="00D34377"/>
    <w:rsid w:val="00D343EA"/>
    <w:rsid w:val="00D34719"/>
    <w:rsid w:val="00D3498F"/>
    <w:rsid w:val="00D34BEE"/>
    <w:rsid w:val="00D34D61"/>
    <w:rsid w:val="00D34DD1"/>
    <w:rsid w:val="00D351A5"/>
    <w:rsid w:val="00D3548B"/>
    <w:rsid w:val="00D35BA3"/>
    <w:rsid w:val="00D35CF5"/>
    <w:rsid w:val="00D35FE0"/>
    <w:rsid w:val="00D36010"/>
    <w:rsid w:val="00D361F8"/>
    <w:rsid w:val="00D363CA"/>
    <w:rsid w:val="00D36CE5"/>
    <w:rsid w:val="00D3735D"/>
    <w:rsid w:val="00D373BD"/>
    <w:rsid w:val="00D37646"/>
    <w:rsid w:val="00D377DD"/>
    <w:rsid w:val="00D37AC7"/>
    <w:rsid w:val="00D403BC"/>
    <w:rsid w:val="00D40445"/>
    <w:rsid w:val="00D40515"/>
    <w:rsid w:val="00D40608"/>
    <w:rsid w:val="00D407FC"/>
    <w:rsid w:val="00D40D3E"/>
    <w:rsid w:val="00D41474"/>
    <w:rsid w:val="00D41629"/>
    <w:rsid w:val="00D41CF9"/>
    <w:rsid w:val="00D42077"/>
    <w:rsid w:val="00D424E9"/>
    <w:rsid w:val="00D428C9"/>
    <w:rsid w:val="00D428DD"/>
    <w:rsid w:val="00D42AA5"/>
    <w:rsid w:val="00D42F2D"/>
    <w:rsid w:val="00D42F42"/>
    <w:rsid w:val="00D43068"/>
    <w:rsid w:val="00D430DF"/>
    <w:rsid w:val="00D430E5"/>
    <w:rsid w:val="00D4321A"/>
    <w:rsid w:val="00D43272"/>
    <w:rsid w:val="00D432E8"/>
    <w:rsid w:val="00D43509"/>
    <w:rsid w:val="00D43611"/>
    <w:rsid w:val="00D43933"/>
    <w:rsid w:val="00D439EF"/>
    <w:rsid w:val="00D43B7A"/>
    <w:rsid w:val="00D43E04"/>
    <w:rsid w:val="00D44B83"/>
    <w:rsid w:val="00D452BE"/>
    <w:rsid w:val="00D456EF"/>
    <w:rsid w:val="00D45E19"/>
    <w:rsid w:val="00D46242"/>
    <w:rsid w:val="00D46596"/>
    <w:rsid w:val="00D465DE"/>
    <w:rsid w:val="00D466CF"/>
    <w:rsid w:val="00D4673E"/>
    <w:rsid w:val="00D467BB"/>
    <w:rsid w:val="00D468F1"/>
    <w:rsid w:val="00D4698A"/>
    <w:rsid w:val="00D46B8E"/>
    <w:rsid w:val="00D4728E"/>
    <w:rsid w:val="00D4740F"/>
    <w:rsid w:val="00D47636"/>
    <w:rsid w:val="00D4768F"/>
    <w:rsid w:val="00D47776"/>
    <w:rsid w:val="00D47F93"/>
    <w:rsid w:val="00D47F97"/>
    <w:rsid w:val="00D5049D"/>
    <w:rsid w:val="00D50A6B"/>
    <w:rsid w:val="00D50AB1"/>
    <w:rsid w:val="00D50F72"/>
    <w:rsid w:val="00D51062"/>
    <w:rsid w:val="00D51282"/>
    <w:rsid w:val="00D512F7"/>
    <w:rsid w:val="00D517F8"/>
    <w:rsid w:val="00D51CD0"/>
    <w:rsid w:val="00D52101"/>
    <w:rsid w:val="00D522BB"/>
    <w:rsid w:val="00D52866"/>
    <w:rsid w:val="00D52B46"/>
    <w:rsid w:val="00D52B52"/>
    <w:rsid w:val="00D52BA2"/>
    <w:rsid w:val="00D52F22"/>
    <w:rsid w:val="00D53119"/>
    <w:rsid w:val="00D532F9"/>
    <w:rsid w:val="00D53AF0"/>
    <w:rsid w:val="00D53B98"/>
    <w:rsid w:val="00D53CC3"/>
    <w:rsid w:val="00D5409C"/>
    <w:rsid w:val="00D54371"/>
    <w:rsid w:val="00D54436"/>
    <w:rsid w:val="00D54539"/>
    <w:rsid w:val="00D54556"/>
    <w:rsid w:val="00D546D9"/>
    <w:rsid w:val="00D5481E"/>
    <w:rsid w:val="00D54D1B"/>
    <w:rsid w:val="00D54F42"/>
    <w:rsid w:val="00D550A8"/>
    <w:rsid w:val="00D55237"/>
    <w:rsid w:val="00D55398"/>
    <w:rsid w:val="00D558D9"/>
    <w:rsid w:val="00D55E4D"/>
    <w:rsid w:val="00D55F1E"/>
    <w:rsid w:val="00D55F37"/>
    <w:rsid w:val="00D55F63"/>
    <w:rsid w:val="00D56020"/>
    <w:rsid w:val="00D564AA"/>
    <w:rsid w:val="00D56DA2"/>
    <w:rsid w:val="00D56F22"/>
    <w:rsid w:val="00D5705C"/>
    <w:rsid w:val="00D5718C"/>
    <w:rsid w:val="00D574B5"/>
    <w:rsid w:val="00D57536"/>
    <w:rsid w:val="00D5756E"/>
    <w:rsid w:val="00D576A3"/>
    <w:rsid w:val="00D57B52"/>
    <w:rsid w:val="00D6036E"/>
    <w:rsid w:val="00D60497"/>
    <w:rsid w:val="00D610A2"/>
    <w:rsid w:val="00D610A3"/>
    <w:rsid w:val="00D610FB"/>
    <w:rsid w:val="00D611BC"/>
    <w:rsid w:val="00D61534"/>
    <w:rsid w:val="00D617BF"/>
    <w:rsid w:val="00D617C3"/>
    <w:rsid w:val="00D617D2"/>
    <w:rsid w:val="00D618A6"/>
    <w:rsid w:val="00D619DA"/>
    <w:rsid w:val="00D61B46"/>
    <w:rsid w:val="00D61F82"/>
    <w:rsid w:val="00D6233D"/>
    <w:rsid w:val="00D6252D"/>
    <w:rsid w:val="00D6295A"/>
    <w:rsid w:val="00D62A66"/>
    <w:rsid w:val="00D62BC3"/>
    <w:rsid w:val="00D62D3D"/>
    <w:rsid w:val="00D631F6"/>
    <w:rsid w:val="00D63B39"/>
    <w:rsid w:val="00D63B6A"/>
    <w:rsid w:val="00D63EA5"/>
    <w:rsid w:val="00D643B8"/>
    <w:rsid w:val="00D643F1"/>
    <w:rsid w:val="00D64645"/>
    <w:rsid w:val="00D64CBF"/>
    <w:rsid w:val="00D653A8"/>
    <w:rsid w:val="00D65755"/>
    <w:rsid w:val="00D65C8A"/>
    <w:rsid w:val="00D65EA2"/>
    <w:rsid w:val="00D65F58"/>
    <w:rsid w:val="00D65F64"/>
    <w:rsid w:val="00D6647B"/>
    <w:rsid w:val="00D664A8"/>
    <w:rsid w:val="00D665BA"/>
    <w:rsid w:val="00D667FF"/>
    <w:rsid w:val="00D668E2"/>
    <w:rsid w:val="00D66A48"/>
    <w:rsid w:val="00D66C34"/>
    <w:rsid w:val="00D66DC2"/>
    <w:rsid w:val="00D67139"/>
    <w:rsid w:val="00D6723C"/>
    <w:rsid w:val="00D67282"/>
    <w:rsid w:val="00D673BB"/>
    <w:rsid w:val="00D67666"/>
    <w:rsid w:val="00D67C56"/>
    <w:rsid w:val="00D67E14"/>
    <w:rsid w:val="00D67F03"/>
    <w:rsid w:val="00D70029"/>
    <w:rsid w:val="00D70A10"/>
    <w:rsid w:val="00D70DB0"/>
    <w:rsid w:val="00D70ED8"/>
    <w:rsid w:val="00D70FB5"/>
    <w:rsid w:val="00D70FF4"/>
    <w:rsid w:val="00D7166B"/>
    <w:rsid w:val="00D722F1"/>
    <w:rsid w:val="00D7268B"/>
    <w:rsid w:val="00D72856"/>
    <w:rsid w:val="00D72A5B"/>
    <w:rsid w:val="00D72A8A"/>
    <w:rsid w:val="00D72B3D"/>
    <w:rsid w:val="00D731D3"/>
    <w:rsid w:val="00D73263"/>
    <w:rsid w:val="00D735B4"/>
    <w:rsid w:val="00D736B2"/>
    <w:rsid w:val="00D738CF"/>
    <w:rsid w:val="00D738DA"/>
    <w:rsid w:val="00D73A37"/>
    <w:rsid w:val="00D73E74"/>
    <w:rsid w:val="00D73FFB"/>
    <w:rsid w:val="00D7411B"/>
    <w:rsid w:val="00D74359"/>
    <w:rsid w:val="00D747F0"/>
    <w:rsid w:val="00D74850"/>
    <w:rsid w:val="00D74866"/>
    <w:rsid w:val="00D74E44"/>
    <w:rsid w:val="00D74F15"/>
    <w:rsid w:val="00D7508F"/>
    <w:rsid w:val="00D751C8"/>
    <w:rsid w:val="00D75553"/>
    <w:rsid w:val="00D75602"/>
    <w:rsid w:val="00D7569E"/>
    <w:rsid w:val="00D76228"/>
    <w:rsid w:val="00D76311"/>
    <w:rsid w:val="00D76557"/>
    <w:rsid w:val="00D76601"/>
    <w:rsid w:val="00D768D8"/>
    <w:rsid w:val="00D76C40"/>
    <w:rsid w:val="00D76E80"/>
    <w:rsid w:val="00D76EBC"/>
    <w:rsid w:val="00D76F71"/>
    <w:rsid w:val="00D76F7A"/>
    <w:rsid w:val="00D770A0"/>
    <w:rsid w:val="00D77591"/>
    <w:rsid w:val="00D775BC"/>
    <w:rsid w:val="00D77671"/>
    <w:rsid w:val="00D77787"/>
    <w:rsid w:val="00D778F6"/>
    <w:rsid w:val="00D77DB1"/>
    <w:rsid w:val="00D77FBA"/>
    <w:rsid w:val="00D800CA"/>
    <w:rsid w:val="00D805FA"/>
    <w:rsid w:val="00D80977"/>
    <w:rsid w:val="00D80CE2"/>
    <w:rsid w:val="00D80CFF"/>
    <w:rsid w:val="00D80F55"/>
    <w:rsid w:val="00D81129"/>
    <w:rsid w:val="00D81291"/>
    <w:rsid w:val="00D812C9"/>
    <w:rsid w:val="00D81330"/>
    <w:rsid w:val="00D8163F"/>
    <w:rsid w:val="00D81BC0"/>
    <w:rsid w:val="00D81FA4"/>
    <w:rsid w:val="00D82382"/>
    <w:rsid w:val="00D8265A"/>
    <w:rsid w:val="00D82B42"/>
    <w:rsid w:val="00D82DFC"/>
    <w:rsid w:val="00D82F54"/>
    <w:rsid w:val="00D83045"/>
    <w:rsid w:val="00D8349B"/>
    <w:rsid w:val="00D835BC"/>
    <w:rsid w:val="00D835D2"/>
    <w:rsid w:val="00D836FD"/>
    <w:rsid w:val="00D8398E"/>
    <w:rsid w:val="00D83A56"/>
    <w:rsid w:val="00D83EE1"/>
    <w:rsid w:val="00D83F92"/>
    <w:rsid w:val="00D84200"/>
    <w:rsid w:val="00D843BF"/>
    <w:rsid w:val="00D844D8"/>
    <w:rsid w:val="00D844DC"/>
    <w:rsid w:val="00D847AA"/>
    <w:rsid w:val="00D84C66"/>
    <w:rsid w:val="00D84CE2"/>
    <w:rsid w:val="00D84FC6"/>
    <w:rsid w:val="00D85049"/>
    <w:rsid w:val="00D85229"/>
    <w:rsid w:val="00D852FB"/>
    <w:rsid w:val="00D85484"/>
    <w:rsid w:val="00D8548C"/>
    <w:rsid w:val="00D8570B"/>
    <w:rsid w:val="00D857FA"/>
    <w:rsid w:val="00D859CB"/>
    <w:rsid w:val="00D85ABC"/>
    <w:rsid w:val="00D867F0"/>
    <w:rsid w:val="00D86B28"/>
    <w:rsid w:val="00D873E8"/>
    <w:rsid w:val="00D873F0"/>
    <w:rsid w:val="00D87572"/>
    <w:rsid w:val="00D877F4"/>
    <w:rsid w:val="00D87EC4"/>
    <w:rsid w:val="00D87EED"/>
    <w:rsid w:val="00D900AB"/>
    <w:rsid w:val="00D9067C"/>
    <w:rsid w:val="00D90B8C"/>
    <w:rsid w:val="00D910C3"/>
    <w:rsid w:val="00D915C9"/>
    <w:rsid w:val="00D91FB4"/>
    <w:rsid w:val="00D9228B"/>
    <w:rsid w:val="00D927FD"/>
    <w:rsid w:val="00D92AC6"/>
    <w:rsid w:val="00D92EED"/>
    <w:rsid w:val="00D93082"/>
    <w:rsid w:val="00D931EB"/>
    <w:rsid w:val="00D93416"/>
    <w:rsid w:val="00D93469"/>
    <w:rsid w:val="00D93707"/>
    <w:rsid w:val="00D93D9D"/>
    <w:rsid w:val="00D93E2D"/>
    <w:rsid w:val="00D94059"/>
    <w:rsid w:val="00D946C2"/>
    <w:rsid w:val="00D947D9"/>
    <w:rsid w:val="00D949CF"/>
    <w:rsid w:val="00D95066"/>
    <w:rsid w:val="00D9506C"/>
    <w:rsid w:val="00D95104"/>
    <w:rsid w:val="00D9526A"/>
    <w:rsid w:val="00D955D6"/>
    <w:rsid w:val="00D95698"/>
    <w:rsid w:val="00D95803"/>
    <w:rsid w:val="00D9588F"/>
    <w:rsid w:val="00D9590A"/>
    <w:rsid w:val="00D95A37"/>
    <w:rsid w:val="00D95D63"/>
    <w:rsid w:val="00D95D67"/>
    <w:rsid w:val="00D961A5"/>
    <w:rsid w:val="00D9634A"/>
    <w:rsid w:val="00D963F1"/>
    <w:rsid w:val="00D964F2"/>
    <w:rsid w:val="00D9686C"/>
    <w:rsid w:val="00D969F5"/>
    <w:rsid w:val="00D96AB5"/>
    <w:rsid w:val="00D96B53"/>
    <w:rsid w:val="00D96E13"/>
    <w:rsid w:val="00D97006"/>
    <w:rsid w:val="00D972B7"/>
    <w:rsid w:val="00D972DF"/>
    <w:rsid w:val="00D972F2"/>
    <w:rsid w:val="00D9744C"/>
    <w:rsid w:val="00D978BB"/>
    <w:rsid w:val="00D97B24"/>
    <w:rsid w:val="00D97D9D"/>
    <w:rsid w:val="00D97F0B"/>
    <w:rsid w:val="00D97FB9"/>
    <w:rsid w:val="00DA0121"/>
    <w:rsid w:val="00DA0934"/>
    <w:rsid w:val="00DA0969"/>
    <w:rsid w:val="00DA0AD3"/>
    <w:rsid w:val="00DA0CB8"/>
    <w:rsid w:val="00DA130C"/>
    <w:rsid w:val="00DA13CE"/>
    <w:rsid w:val="00DA1ACE"/>
    <w:rsid w:val="00DA1C32"/>
    <w:rsid w:val="00DA1D07"/>
    <w:rsid w:val="00DA1FD1"/>
    <w:rsid w:val="00DA2001"/>
    <w:rsid w:val="00DA214A"/>
    <w:rsid w:val="00DA2720"/>
    <w:rsid w:val="00DA2815"/>
    <w:rsid w:val="00DA2B43"/>
    <w:rsid w:val="00DA2E01"/>
    <w:rsid w:val="00DA32B0"/>
    <w:rsid w:val="00DA32EB"/>
    <w:rsid w:val="00DA3382"/>
    <w:rsid w:val="00DA356E"/>
    <w:rsid w:val="00DA387C"/>
    <w:rsid w:val="00DA3B1F"/>
    <w:rsid w:val="00DA4204"/>
    <w:rsid w:val="00DA4314"/>
    <w:rsid w:val="00DA4942"/>
    <w:rsid w:val="00DA4D76"/>
    <w:rsid w:val="00DA4E71"/>
    <w:rsid w:val="00DA50C6"/>
    <w:rsid w:val="00DA52B3"/>
    <w:rsid w:val="00DA5365"/>
    <w:rsid w:val="00DA5658"/>
    <w:rsid w:val="00DA57EA"/>
    <w:rsid w:val="00DA591A"/>
    <w:rsid w:val="00DA5B0D"/>
    <w:rsid w:val="00DA5F60"/>
    <w:rsid w:val="00DA5F9B"/>
    <w:rsid w:val="00DA6298"/>
    <w:rsid w:val="00DA6848"/>
    <w:rsid w:val="00DA6A7F"/>
    <w:rsid w:val="00DA6DAD"/>
    <w:rsid w:val="00DA6EEF"/>
    <w:rsid w:val="00DA746D"/>
    <w:rsid w:val="00DA7C15"/>
    <w:rsid w:val="00DB057E"/>
    <w:rsid w:val="00DB0CA2"/>
    <w:rsid w:val="00DB0ED9"/>
    <w:rsid w:val="00DB120C"/>
    <w:rsid w:val="00DB1587"/>
    <w:rsid w:val="00DB166E"/>
    <w:rsid w:val="00DB174F"/>
    <w:rsid w:val="00DB1B08"/>
    <w:rsid w:val="00DB1BD5"/>
    <w:rsid w:val="00DB218E"/>
    <w:rsid w:val="00DB21D2"/>
    <w:rsid w:val="00DB230E"/>
    <w:rsid w:val="00DB252D"/>
    <w:rsid w:val="00DB26EA"/>
    <w:rsid w:val="00DB297C"/>
    <w:rsid w:val="00DB3424"/>
    <w:rsid w:val="00DB3AFF"/>
    <w:rsid w:val="00DB3C64"/>
    <w:rsid w:val="00DB4215"/>
    <w:rsid w:val="00DB4232"/>
    <w:rsid w:val="00DB4274"/>
    <w:rsid w:val="00DB524C"/>
    <w:rsid w:val="00DB5752"/>
    <w:rsid w:val="00DB5B7A"/>
    <w:rsid w:val="00DB5EC9"/>
    <w:rsid w:val="00DB648D"/>
    <w:rsid w:val="00DB64FF"/>
    <w:rsid w:val="00DB6EF0"/>
    <w:rsid w:val="00DB70D4"/>
    <w:rsid w:val="00DB74DB"/>
    <w:rsid w:val="00DB7FE5"/>
    <w:rsid w:val="00DC02F8"/>
    <w:rsid w:val="00DC05FB"/>
    <w:rsid w:val="00DC0754"/>
    <w:rsid w:val="00DC0897"/>
    <w:rsid w:val="00DC0AB3"/>
    <w:rsid w:val="00DC0BB9"/>
    <w:rsid w:val="00DC0CF7"/>
    <w:rsid w:val="00DC0EA2"/>
    <w:rsid w:val="00DC15A1"/>
    <w:rsid w:val="00DC194B"/>
    <w:rsid w:val="00DC1AC9"/>
    <w:rsid w:val="00DC1E30"/>
    <w:rsid w:val="00DC1E4B"/>
    <w:rsid w:val="00DC2120"/>
    <w:rsid w:val="00DC2191"/>
    <w:rsid w:val="00DC2525"/>
    <w:rsid w:val="00DC2565"/>
    <w:rsid w:val="00DC29C9"/>
    <w:rsid w:val="00DC29E1"/>
    <w:rsid w:val="00DC2F9C"/>
    <w:rsid w:val="00DC3029"/>
    <w:rsid w:val="00DC333C"/>
    <w:rsid w:val="00DC3649"/>
    <w:rsid w:val="00DC3A12"/>
    <w:rsid w:val="00DC3E48"/>
    <w:rsid w:val="00DC41B0"/>
    <w:rsid w:val="00DC41C3"/>
    <w:rsid w:val="00DC42A9"/>
    <w:rsid w:val="00DC49FD"/>
    <w:rsid w:val="00DC4A60"/>
    <w:rsid w:val="00DC4BBA"/>
    <w:rsid w:val="00DC4CAC"/>
    <w:rsid w:val="00DC4ECC"/>
    <w:rsid w:val="00DC509B"/>
    <w:rsid w:val="00DC5593"/>
    <w:rsid w:val="00DC5638"/>
    <w:rsid w:val="00DC597C"/>
    <w:rsid w:val="00DC5DD8"/>
    <w:rsid w:val="00DC63EA"/>
    <w:rsid w:val="00DC63EE"/>
    <w:rsid w:val="00DC6792"/>
    <w:rsid w:val="00DC68E8"/>
    <w:rsid w:val="00DC6CEA"/>
    <w:rsid w:val="00DC6F55"/>
    <w:rsid w:val="00DC6FC5"/>
    <w:rsid w:val="00DC7039"/>
    <w:rsid w:val="00DC72CF"/>
    <w:rsid w:val="00DC7595"/>
    <w:rsid w:val="00DC7884"/>
    <w:rsid w:val="00DD0197"/>
    <w:rsid w:val="00DD02D2"/>
    <w:rsid w:val="00DD031B"/>
    <w:rsid w:val="00DD03A6"/>
    <w:rsid w:val="00DD0679"/>
    <w:rsid w:val="00DD077E"/>
    <w:rsid w:val="00DD07DB"/>
    <w:rsid w:val="00DD0820"/>
    <w:rsid w:val="00DD094C"/>
    <w:rsid w:val="00DD0D83"/>
    <w:rsid w:val="00DD0DB7"/>
    <w:rsid w:val="00DD0E4E"/>
    <w:rsid w:val="00DD0EFF"/>
    <w:rsid w:val="00DD1001"/>
    <w:rsid w:val="00DD10E6"/>
    <w:rsid w:val="00DD10FE"/>
    <w:rsid w:val="00DD1276"/>
    <w:rsid w:val="00DD1572"/>
    <w:rsid w:val="00DD1B85"/>
    <w:rsid w:val="00DD226F"/>
    <w:rsid w:val="00DD2358"/>
    <w:rsid w:val="00DD2415"/>
    <w:rsid w:val="00DD2553"/>
    <w:rsid w:val="00DD2613"/>
    <w:rsid w:val="00DD27D4"/>
    <w:rsid w:val="00DD2989"/>
    <w:rsid w:val="00DD2E03"/>
    <w:rsid w:val="00DD2FFF"/>
    <w:rsid w:val="00DD32A8"/>
    <w:rsid w:val="00DD39A3"/>
    <w:rsid w:val="00DD402E"/>
    <w:rsid w:val="00DD4527"/>
    <w:rsid w:val="00DD471F"/>
    <w:rsid w:val="00DD4A47"/>
    <w:rsid w:val="00DD505D"/>
    <w:rsid w:val="00DD51CD"/>
    <w:rsid w:val="00DD56EA"/>
    <w:rsid w:val="00DD59C2"/>
    <w:rsid w:val="00DD5A79"/>
    <w:rsid w:val="00DD5FDB"/>
    <w:rsid w:val="00DD6470"/>
    <w:rsid w:val="00DD67DA"/>
    <w:rsid w:val="00DD6849"/>
    <w:rsid w:val="00DD6C41"/>
    <w:rsid w:val="00DD6E4D"/>
    <w:rsid w:val="00DD6F41"/>
    <w:rsid w:val="00DD7014"/>
    <w:rsid w:val="00DD719D"/>
    <w:rsid w:val="00DD75B4"/>
    <w:rsid w:val="00DD761C"/>
    <w:rsid w:val="00DD770A"/>
    <w:rsid w:val="00DD7A43"/>
    <w:rsid w:val="00DD7BF0"/>
    <w:rsid w:val="00DD7CCC"/>
    <w:rsid w:val="00DD7EE6"/>
    <w:rsid w:val="00DE022A"/>
    <w:rsid w:val="00DE0766"/>
    <w:rsid w:val="00DE07FD"/>
    <w:rsid w:val="00DE09D5"/>
    <w:rsid w:val="00DE0AFE"/>
    <w:rsid w:val="00DE0E38"/>
    <w:rsid w:val="00DE1023"/>
    <w:rsid w:val="00DE1103"/>
    <w:rsid w:val="00DE138E"/>
    <w:rsid w:val="00DE1503"/>
    <w:rsid w:val="00DE17E9"/>
    <w:rsid w:val="00DE1A79"/>
    <w:rsid w:val="00DE1BC9"/>
    <w:rsid w:val="00DE205A"/>
    <w:rsid w:val="00DE2464"/>
    <w:rsid w:val="00DE268E"/>
    <w:rsid w:val="00DE2704"/>
    <w:rsid w:val="00DE2974"/>
    <w:rsid w:val="00DE302E"/>
    <w:rsid w:val="00DE331F"/>
    <w:rsid w:val="00DE34F5"/>
    <w:rsid w:val="00DE36C8"/>
    <w:rsid w:val="00DE4583"/>
    <w:rsid w:val="00DE480D"/>
    <w:rsid w:val="00DE4C48"/>
    <w:rsid w:val="00DE52F6"/>
    <w:rsid w:val="00DE573E"/>
    <w:rsid w:val="00DE5BA8"/>
    <w:rsid w:val="00DE5C60"/>
    <w:rsid w:val="00DE6343"/>
    <w:rsid w:val="00DE64AA"/>
    <w:rsid w:val="00DE6752"/>
    <w:rsid w:val="00DE681D"/>
    <w:rsid w:val="00DE6B56"/>
    <w:rsid w:val="00DE6CAA"/>
    <w:rsid w:val="00DE7184"/>
    <w:rsid w:val="00DE73C5"/>
    <w:rsid w:val="00DE7452"/>
    <w:rsid w:val="00DE7503"/>
    <w:rsid w:val="00DE758B"/>
    <w:rsid w:val="00DE75D9"/>
    <w:rsid w:val="00DE77E3"/>
    <w:rsid w:val="00DE783F"/>
    <w:rsid w:val="00DE78F9"/>
    <w:rsid w:val="00DE7A95"/>
    <w:rsid w:val="00DE7C5D"/>
    <w:rsid w:val="00DF0341"/>
    <w:rsid w:val="00DF0465"/>
    <w:rsid w:val="00DF046D"/>
    <w:rsid w:val="00DF1640"/>
    <w:rsid w:val="00DF1D23"/>
    <w:rsid w:val="00DF1ED7"/>
    <w:rsid w:val="00DF1FDD"/>
    <w:rsid w:val="00DF209A"/>
    <w:rsid w:val="00DF21E3"/>
    <w:rsid w:val="00DF2284"/>
    <w:rsid w:val="00DF24C4"/>
    <w:rsid w:val="00DF27C1"/>
    <w:rsid w:val="00DF2C86"/>
    <w:rsid w:val="00DF2FA9"/>
    <w:rsid w:val="00DF342E"/>
    <w:rsid w:val="00DF399D"/>
    <w:rsid w:val="00DF3AF8"/>
    <w:rsid w:val="00DF3BDF"/>
    <w:rsid w:val="00DF3F13"/>
    <w:rsid w:val="00DF4032"/>
    <w:rsid w:val="00DF44C1"/>
    <w:rsid w:val="00DF4B34"/>
    <w:rsid w:val="00DF4C98"/>
    <w:rsid w:val="00DF4D3C"/>
    <w:rsid w:val="00DF4F15"/>
    <w:rsid w:val="00DF5322"/>
    <w:rsid w:val="00DF5610"/>
    <w:rsid w:val="00DF5962"/>
    <w:rsid w:val="00DF5E85"/>
    <w:rsid w:val="00DF60C2"/>
    <w:rsid w:val="00DF642E"/>
    <w:rsid w:val="00DF64BF"/>
    <w:rsid w:val="00DF66D4"/>
    <w:rsid w:val="00DF695B"/>
    <w:rsid w:val="00DF6B62"/>
    <w:rsid w:val="00DF7385"/>
    <w:rsid w:val="00DF73AD"/>
    <w:rsid w:val="00DF73CE"/>
    <w:rsid w:val="00DF772C"/>
    <w:rsid w:val="00DF77D7"/>
    <w:rsid w:val="00DF788A"/>
    <w:rsid w:val="00DF79A2"/>
    <w:rsid w:val="00DF7AD2"/>
    <w:rsid w:val="00DF7C7D"/>
    <w:rsid w:val="00DF7F5D"/>
    <w:rsid w:val="00E00839"/>
    <w:rsid w:val="00E00C94"/>
    <w:rsid w:val="00E00D72"/>
    <w:rsid w:val="00E00F50"/>
    <w:rsid w:val="00E010C7"/>
    <w:rsid w:val="00E01279"/>
    <w:rsid w:val="00E0145F"/>
    <w:rsid w:val="00E017CC"/>
    <w:rsid w:val="00E02417"/>
    <w:rsid w:val="00E0246E"/>
    <w:rsid w:val="00E024CD"/>
    <w:rsid w:val="00E02A4B"/>
    <w:rsid w:val="00E02D4A"/>
    <w:rsid w:val="00E0315C"/>
    <w:rsid w:val="00E032F0"/>
    <w:rsid w:val="00E035EC"/>
    <w:rsid w:val="00E03651"/>
    <w:rsid w:val="00E03764"/>
    <w:rsid w:val="00E0380C"/>
    <w:rsid w:val="00E0430B"/>
    <w:rsid w:val="00E0455F"/>
    <w:rsid w:val="00E04672"/>
    <w:rsid w:val="00E04D6D"/>
    <w:rsid w:val="00E04F3D"/>
    <w:rsid w:val="00E050E3"/>
    <w:rsid w:val="00E0536A"/>
    <w:rsid w:val="00E054BF"/>
    <w:rsid w:val="00E05865"/>
    <w:rsid w:val="00E059C0"/>
    <w:rsid w:val="00E05E90"/>
    <w:rsid w:val="00E05F0F"/>
    <w:rsid w:val="00E05F2F"/>
    <w:rsid w:val="00E0636D"/>
    <w:rsid w:val="00E06915"/>
    <w:rsid w:val="00E06A8A"/>
    <w:rsid w:val="00E06CF6"/>
    <w:rsid w:val="00E06ED9"/>
    <w:rsid w:val="00E06F5A"/>
    <w:rsid w:val="00E06F7A"/>
    <w:rsid w:val="00E06FC6"/>
    <w:rsid w:val="00E07011"/>
    <w:rsid w:val="00E070BD"/>
    <w:rsid w:val="00E0730F"/>
    <w:rsid w:val="00E0735B"/>
    <w:rsid w:val="00E0739B"/>
    <w:rsid w:val="00E0753B"/>
    <w:rsid w:val="00E0794B"/>
    <w:rsid w:val="00E07951"/>
    <w:rsid w:val="00E07B9E"/>
    <w:rsid w:val="00E07F5D"/>
    <w:rsid w:val="00E101EC"/>
    <w:rsid w:val="00E1074F"/>
    <w:rsid w:val="00E1084E"/>
    <w:rsid w:val="00E10D0F"/>
    <w:rsid w:val="00E10DCA"/>
    <w:rsid w:val="00E1120B"/>
    <w:rsid w:val="00E112B0"/>
    <w:rsid w:val="00E11328"/>
    <w:rsid w:val="00E1149F"/>
    <w:rsid w:val="00E12120"/>
    <w:rsid w:val="00E12350"/>
    <w:rsid w:val="00E12890"/>
    <w:rsid w:val="00E1298C"/>
    <w:rsid w:val="00E1366E"/>
    <w:rsid w:val="00E1398E"/>
    <w:rsid w:val="00E13FDF"/>
    <w:rsid w:val="00E145E7"/>
    <w:rsid w:val="00E14617"/>
    <w:rsid w:val="00E147F3"/>
    <w:rsid w:val="00E14AE3"/>
    <w:rsid w:val="00E14B3E"/>
    <w:rsid w:val="00E14F18"/>
    <w:rsid w:val="00E14FB5"/>
    <w:rsid w:val="00E155E0"/>
    <w:rsid w:val="00E15AE3"/>
    <w:rsid w:val="00E16347"/>
    <w:rsid w:val="00E163D0"/>
    <w:rsid w:val="00E16AF1"/>
    <w:rsid w:val="00E171F5"/>
    <w:rsid w:val="00E172F5"/>
    <w:rsid w:val="00E173C5"/>
    <w:rsid w:val="00E17B08"/>
    <w:rsid w:val="00E17C03"/>
    <w:rsid w:val="00E203CD"/>
    <w:rsid w:val="00E20418"/>
    <w:rsid w:val="00E204AC"/>
    <w:rsid w:val="00E204D0"/>
    <w:rsid w:val="00E20C68"/>
    <w:rsid w:val="00E21104"/>
    <w:rsid w:val="00E21A0C"/>
    <w:rsid w:val="00E21BCC"/>
    <w:rsid w:val="00E21F3D"/>
    <w:rsid w:val="00E21F7A"/>
    <w:rsid w:val="00E22731"/>
    <w:rsid w:val="00E22799"/>
    <w:rsid w:val="00E227C5"/>
    <w:rsid w:val="00E22AA6"/>
    <w:rsid w:val="00E23089"/>
    <w:rsid w:val="00E232D1"/>
    <w:rsid w:val="00E233AE"/>
    <w:rsid w:val="00E2383E"/>
    <w:rsid w:val="00E239B8"/>
    <w:rsid w:val="00E23A2D"/>
    <w:rsid w:val="00E23C75"/>
    <w:rsid w:val="00E23CF7"/>
    <w:rsid w:val="00E241DC"/>
    <w:rsid w:val="00E242E3"/>
    <w:rsid w:val="00E245B7"/>
    <w:rsid w:val="00E249B6"/>
    <w:rsid w:val="00E24C31"/>
    <w:rsid w:val="00E24F84"/>
    <w:rsid w:val="00E2573C"/>
    <w:rsid w:val="00E258E7"/>
    <w:rsid w:val="00E25BD0"/>
    <w:rsid w:val="00E25C7B"/>
    <w:rsid w:val="00E2607D"/>
    <w:rsid w:val="00E26264"/>
    <w:rsid w:val="00E266E8"/>
    <w:rsid w:val="00E26838"/>
    <w:rsid w:val="00E26D39"/>
    <w:rsid w:val="00E2738A"/>
    <w:rsid w:val="00E276FA"/>
    <w:rsid w:val="00E27808"/>
    <w:rsid w:val="00E27924"/>
    <w:rsid w:val="00E27C9B"/>
    <w:rsid w:val="00E27E3E"/>
    <w:rsid w:val="00E30034"/>
    <w:rsid w:val="00E3011E"/>
    <w:rsid w:val="00E301F9"/>
    <w:rsid w:val="00E3024E"/>
    <w:rsid w:val="00E30584"/>
    <w:rsid w:val="00E30643"/>
    <w:rsid w:val="00E307CB"/>
    <w:rsid w:val="00E308F9"/>
    <w:rsid w:val="00E30CD7"/>
    <w:rsid w:val="00E30D52"/>
    <w:rsid w:val="00E30E48"/>
    <w:rsid w:val="00E311E8"/>
    <w:rsid w:val="00E31660"/>
    <w:rsid w:val="00E316BB"/>
    <w:rsid w:val="00E321EE"/>
    <w:rsid w:val="00E32282"/>
    <w:rsid w:val="00E322CB"/>
    <w:rsid w:val="00E3244A"/>
    <w:rsid w:val="00E3245B"/>
    <w:rsid w:val="00E324E9"/>
    <w:rsid w:val="00E32E61"/>
    <w:rsid w:val="00E331A6"/>
    <w:rsid w:val="00E332A8"/>
    <w:rsid w:val="00E33340"/>
    <w:rsid w:val="00E33A38"/>
    <w:rsid w:val="00E33AAC"/>
    <w:rsid w:val="00E33AF5"/>
    <w:rsid w:val="00E33C11"/>
    <w:rsid w:val="00E33CAF"/>
    <w:rsid w:val="00E344DC"/>
    <w:rsid w:val="00E3453C"/>
    <w:rsid w:val="00E35087"/>
    <w:rsid w:val="00E352B4"/>
    <w:rsid w:val="00E3534F"/>
    <w:rsid w:val="00E35489"/>
    <w:rsid w:val="00E35C49"/>
    <w:rsid w:val="00E35E06"/>
    <w:rsid w:val="00E3631C"/>
    <w:rsid w:val="00E363B3"/>
    <w:rsid w:val="00E3690C"/>
    <w:rsid w:val="00E36A01"/>
    <w:rsid w:val="00E36AE8"/>
    <w:rsid w:val="00E36BB8"/>
    <w:rsid w:val="00E36F5A"/>
    <w:rsid w:val="00E37085"/>
    <w:rsid w:val="00E3740E"/>
    <w:rsid w:val="00E3745A"/>
    <w:rsid w:val="00E37543"/>
    <w:rsid w:val="00E3755F"/>
    <w:rsid w:val="00E37609"/>
    <w:rsid w:val="00E3777E"/>
    <w:rsid w:val="00E37A80"/>
    <w:rsid w:val="00E40261"/>
    <w:rsid w:val="00E404F9"/>
    <w:rsid w:val="00E406EE"/>
    <w:rsid w:val="00E40730"/>
    <w:rsid w:val="00E40A4C"/>
    <w:rsid w:val="00E40B90"/>
    <w:rsid w:val="00E40C8D"/>
    <w:rsid w:val="00E40CE7"/>
    <w:rsid w:val="00E410A2"/>
    <w:rsid w:val="00E41234"/>
    <w:rsid w:val="00E41259"/>
    <w:rsid w:val="00E41B5A"/>
    <w:rsid w:val="00E41BA8"/>
    <w:rsid w:val="00E42023"/>
    <w:rsid w:val="00E4209F"/>
    <w:rsid w:val="00E421B2"/>
    <w:rsid w:val="00E4249B"/>
    <w:rsid w:val="00E4259E"/>
    <w:rsid w:val="00E42A6B"/>
    <w:rsid w:val="00E42C05"/>
    <w:rsid w:val="00E42C7E"/>
    <w:rsid w:val="00E42CC3"/>
    <w:rsid w:val="00E42E52"/>
    <w:rsid w:val="00E4345E"/>
    <w:rsid w:val="00E434DC"/>
    <w:rsid w:val="00E43A74"/>
    <w:rsid w:val="00E43CDE"/>
    <w:rsid w:val="00E44399"/>
    <w:rsid w:val="00E4442C"/>
    <w:rsid w:val="00E4444E"/>
    <w:rsid w:val="00E4446F"/>
    <w:rsid w:val="00E444D1"/>
    <w:rsid w:val="00E445AA"/>
    <w:rsid w:val="00E44755"/>
    <w:rsid w:val="00E44837"/>
    <w:rsid w:val="00E44858"/>
    <w:rsid w:val="00E45318"/>
    <w:rsid w:val="00E4594D"/>
    <w:rsid w:val="00E4649E"/>
    <w:rsid w:val="00E465DE"/>
    <w:rsid w:val="00E465F8"/>
    <w:rsid w:val="00E46993"/>
    <w:rsid w:val="00E46A57"/>
    <w:rsid w:val="00E46B2F"/>
    <w:rsid w:val="00E4714C"/>
    <w:rsid w:val="00E47330"/>
    <w:rsid w:val="00E47522"/>
    <w:rsid w:val="00E4769D"/>
    <w:rsid w:val="00E4792F"/>
    <w:rsid w:val="00E479CD"/>
    <w:rsid w:val="00E50444"/>
    <w:rsid w:val="00E50A0C"/>
    <w:rsid w:val="00E517BD"/>
    <w:rsid w:val="00E51A43"/>
    <w:rsid w:val="00E51DE6"/>
    <w:rsid w:val="00E51E2D"/>
    <w:rsid w:val="00E51F0D"/>
    <w:rsid w:val="00E51F49"/>
    <w:rsid w:val="00E52234"/>
    <w:rsid w:val="00E5224E"/>
    <w:rsid w:val="00E524BF"/>
    <w:rsid w:val="00E525E5"/>
    <w:rsid w:val="00E526A0"/>
    <w:rsid w:val="00E527F7"/>
    <w:rsid w:val="00E52A6A"/>
    <w:rsid w:val="00E52B69"/>
    <w:rsid w:val="00E530BE"/>
    <w:rsid w:val="00E53675"/>
    <w:rsid w:val="00E537F5"/>
    <w:rsid w:val="00E53987"/>
    <w:rsid w:val="00E53DA3"/>
    <w:rsid w:val="00E5412B"/>
    <w:rsid w:val="00E5413E"/>
    <w:rsid w:val="00E541E1"/>
    <w:rsid w:val="00E543AD"/>
    <w:rsid w:val="00E54B56"/>
    <w:rsid w:val="00E54B8A"/>
    <w:rsid w:val="00E54DB3"/>
    <w:rsid w:val="00E55978"/>
    <w:rsid w:val="00E55CB6"/>
    <w:rsid w:val="00E55EAD"/>
    <w:rsid w:val="00E55F68"/>
    <w:rsid w:val="00E55F6F"/>
    <w:rsid w:val="00E5632B"/>
    <w:rsid w:val="00E56997"/>
    <w:rsid w:val="00E56AFA"/>
    <w:rsid w:val="00E56C1E"/>
    <w:rsid w:val="00E56CE6"/>
    <w:rsid w:val="00E56EE9"/>
    <w:rsid w:val="00E5718B"/>
    <w:rsid w:val="00E57734"/>
    <w:rsid w:val="00E578D3"/>
    <w:rsid w:val="00E57A41"/>
    <w:rsid w:val="00E60456"/>
    <w:rsid w:val="00E60873"/>
    <w:rsid w:val="00E60D78"/>
    <w:rsid w:val="00E60E9B"/>
    <w:rsid w:val="00E61008"/>
    <w:rsid w:val="00E61074"/>
    <w:rsid w:val="00E6160D"/>
    <w:rsid w:val="00E61691"/>
    <w:rsid w:val="00E617AF"/>
    <w:rsid w:val="00E6195B"/>
    <w:rsid w:val="00E61B78"/>
    <w:rsid w:val="00E61FEE"/>
    <w:rsid w:val="00E62065"/>
    <w:rsid w:val="00E62419"/>
    <w:rsid w:val="00E63622"/>
    <w:rsid w:val="00E63715"/>
    <w:rsid w:val="00E63B5E"/>
    <w:rsid w:val="00E63DA1"/>
    <w:rsid w:val="00E6404D"/>
    <w:rsid w:val="00E640C0"/>
    <w:rsid w:val="00E6419B"/>
    <w:rsid w:val="00E641EB"/>
    <w:rsid w:val="00E6425D"/>
    <w:rsid w:val="00E6429F"/>
    <w:rsid w:val="00E6453A"/>
    <w:rsid w:val="00E64625"/>
    <w:rsid w:val="00E649C7"/>
    <w:rsid w:val="00E64D11"/>
    <w:rsid w:val="00E64FE9"/>
    <w:rsid w:val="00E65285"/>
    <w:rsid w:val="00E652E7"/>
    <w:rsid w:val="00E653BD"/>
    <w:rsid w:val="00E6561B"/>
    <w:rsid w:val="00E65694"/>
    <w:rsid w:val="00E65813"/>
    <w:rsid w:val="00E6583C"/>
    <w:rsid w:val="00E65956"/>
    <w:rsid w:val="00E65B80"/>
    <w:rsid w:val="00E66075"/>
    <w:rsid w:val="00E66381"/>
    <w:rsid w:val="00E66657"/>
    <w:rsid w:val="00E66668"/>
    <w:rsid w:val="00E66682"/>
    <w:rsid w:val="00E668CE"/>
    <w:rsid w:val="00E66D4E"/>
    <w:rsid w:val="00E66D68"/>
    <w:rsid w:val="00E66DC9"/>
    <w:rsid w:val="00E67067"/>
    <w:rsid w:val="00E6708B"/>
    <w:rsid w:val="00E6726A"/>
    <w:rsid w:val="00E673C9"/>
    <w:rsid w:val="00E674DC"/>
    <w:rsid w:val="00E6754A"/>
    <w:rsid w:val="00E6761C"/>
    <w:rsid w:val="00E67998"/>
    <w:rsid w:val="00E679D1"/>
    <w:rsid w:val="00E67AE3"/>
    <w:rsid w:val="00E703A0"/>
    <w:rsid w:val="00E7050D"/>
    <w:rsid w:val="00E70666"/>
    <w:rsid w:val="00E70B90"/>
    <w:rsid w:val="00E70D23"/>
    <w:rsid w:val="00E70DDE"/>
    <w:rsid w:val="00E70DF2"/>
    <w:rsid w:val="00E7105C"/>
    <w:rsid w:val="00E7105D"/>
    <w:rsid w:val="00E714B2"/>
    <w:rsid w:val="00E7168C"/>
    <w:rsid w:val="00E718D9"/>
    <w:rsid w:val="00E71E16"/>
    <w:rsid w:val="00E71F82"/>
    <w:rsid w:val="00E72AC8"/>
    <w:rsid w:val="00E72C39"/>
    <w:rsid w:val="00E72E3A"/>
    <w:rsid w:val="00E72EF0"/>
    <w:rsid w:val="00E72FD9"/>
    <w:rsid w:val="00E730C1"/>
    <w:rsid w:val="00E732B7"/>
    <w:rsid w:val="00E73B4C"/>
    <w:rsid w:val="00E73BBF"/>
    <w:rsid w:val="00E7417B"/>
    <w:rsid w:val="00E742E4"/>
    <w:rsid w:val="00E7437C"/>
    <w:rsid w:val="00E7439B"/>
    <w:rsid w:val="00E745C4"/>
    <w:rsid w:val="00E747CE"/>
    <w:rsid w:val="00E74FCE"/>
    <w:rsid w:val="00E74FFF"/>
    <w:rsid w:val="00E75343"/>
    <w:rsid w:val="00E75DCA"/>
    <w:rsid w:val="00E75F7D"/>
    <w:rsid w:val="00E7674B"/>
    <w:rsid w:val="00E76777"/>
    <w:rsid w:val="00E76C84"/>
    <w:rsid w:val="00E76D82"/>
    <w:rsid w:val="00E76E09"/>
    <w:rsid w:val="00E7723B"/>
    <w:rsid w:val="00E7756E"/>
    <w:rsid w:val="00E77786"/>
    <w:rsid w:val="00E77A04"/>
    <w:rsid w:val="00E77B10"/>
    <w:rsid w:val="00E77C14"/>
    <w:rsid w:val="00E77DA3"/>
    <w:rsid w:val="00E77DD6"/>
    <w:rsid w:val="00E80072"/>
    <w:rsid w:val="00E80675"/>
    <w:rsid w:val="00E8094B"/>
    <w:rsid w:val="00E80959"/>
    <w:rsid w:val="00E81136"/>
    <w:rsid w:val="00E811ED"/>
    <w:rsid w:val="00E81226"/>
    <w:rsid w:val="00E81603"/>
    <w:rsid w:val="00E8178E"/>
    <w:rsid w:val="00E81F6D"/>
    <w:rsid w:val="00E81FB9"/>
    <w:rsid w:val="00E823AF"/>
    <w:rsid w:val="00E82562"/>
    <w:rsid w:val="00E82C7C"/>
    <w:rsid w:val="00E82D2A"/>
    <w:rsid w:val="00E82E59"/>
    <w:rsid w:val="00E82F36"/>
    <w:rsid w:val="00E82FD6"/>
    <w:rsid w:val="00E832AB"/>
    <w:rsid w:val="00E83AF5"/>
    <w:rsid w:val="00E83DD3"/>
    <w:rsid w:val="00E84A93"/>
    <w:rsid w:val="00E84C40"/>
    <w:rsid w:val="00E84D17"/>
    <w:rsid w:val="00E84DC7"/>
    <w:rsid w:val="00E84F92"/>
    <w:rsid w:val="00E84FD7"/>
    <w:rsid w:val="00E85458"/>
    <w:rsid w:val="00E854BF"/>
    <w:rsid w:val="00E855B0"/>
    <w:rsid w:val="00E857AE"/>
    <w:rsid w:val="00E858B8"/>
    <w:rsid w:val="00E85A26"/>
    <w:rsid w:val="00E85B22"/>
    <w:rsid w:val="00E85BC8"/>
    <w:rsid w:val="00E85D44"/>
    <w:rsid w:val="00E85E15"/>
    <w:rsid w:val="00E860EC"/>
    <w:rsid w:val="00E8629E"/>
    <w:rsid w:val="00E863F2"/>
    <w:rsid w:val="00E8677F"/>
    <w:rsid w:val="00E86D61"/>
    <w:rsid w:val="00E86DCB"/>
    <w:rsid w:val="00E86DFA"/>
    <w:rsid w:val="00E86E96"/>
    <w:rsid w:val="00E87092"/>
    <w:rsid w:val="00E8715A"/>
    <w:rsid w:val="00E875E9"/>
    <w:rsid w:val="00E87A52"/>
    <w:rsid w:val="00E87AA6"/>
    <w:rsid w:val="00E9004D"/>
    <w:rsid w:val="00E903E4"/>
    <w:rsid w:val="00E90527"/>
    <w:rsid w:val="00E90607"/>
    <w:rsid w:val="00E90949"/>
    <w:rsid w:val="00E909A7"/>
    <w:rsid w:val="00E90ED9"/>
    <w:rsid w:val="00E9104F"/>
    <w:rsid w:val="00E911FC"/>
    <w:rsid w:val="00E91204"/>
    <w:rsid w:val="00E91410"/>
    <w:rsid w:val="00E91A8B"/>
    <w:rsid w:val="00E91AC6"/>
    <w:rsid w:val="00E91B1D"/>
    <w:rsid w:val="00E91C99"/>
    <w:rsid w:val="00E91E04"/>
    <w:rsid w:val="00E91F56"/>
    <w:rsid w:val="00E92691"/>
    <w:rsid w:val="00E927C5"/>
    <w:rsid w:val="00E929FA"/>
    <w:rsid w:val="00E92C2C"/>
    <w:rsid w:val="00E92EB1"/>
    <w:rsid w:val="00E92FB8"/>
    <w:rsid w:val="00E93017"/>
    <w:rsid w:val="00E93153"/>
    <w:rsid w:val="00E93347"/>
    <w:rsid w:val="00E936BF"/>
    <w:rsid w:val="00E93D58"/>
    <w:rsid w:val="00E93D73"/>
    <w:rsid w:val="00E93FD7"/>
    <w:rsid w:val="00E9401E"/>
    <w:rsid w:val="00E94379"/>
    <w:rsid w:val="00E94A2B"/>
    <w:rsid w:val="00E94C4B"/>
    <w:rsid w:val="00E94E2A"/>
    <w:rsid w:val="00E9510B"/>
    <w:rsid w:val="00E95139"/>
    <w:rsid w:val="00E9515B"/>
    <w:rsid w:val="00E957F0"/>
    <w:rsid w:val="00E95905"/>
    <w:rsid w:val="00E95A7C"/>
    <w:rsid w:val="00E95B12"/>
    <w:rsid w:val="00E95BCA"/>
    <w:rsid w:val="00E962DB"/>
    <w:rsid w:val="00E963DE"/>
    <w:rsid w:val="00E96433"/>
    <w:rsid w:val="00E9658D"/>
    <w:rsid w:val="00E96A5B"/>
    <w:rsid w:val="00E96B1A"/>
    <w:rsid w:val="00E96B91"/>
    <w:rsid w:val="00E96F2F"/>
    <w:rsid w:val="00E97110"/>
    <w:rsid w:val="00E97183"/>
    <w:rsid w:val="00E97250"/>
    <w:rsid w:val="00E972A2"/>
    <w:rsid w:val="00E97343"/>
    <w:rsid w:val="00E9769A"/>
    <w:rsid w:val="00E976E3"/>
    <w:rsid w:val="00E979B6"/>
    <w:rsid w:val="00E97CB9"/>
    <w:rsid w:val="00E97CF9"/>
    <w:rsid w:val="00E97D50"/>
    <w:rsid w:val="00E97DB3"/>
    <w:rsid w:val="00E97E2C"/>
    <w:rsid w:val="00EA011A"/>
    <w:rsid w:val="00EA027A"/>
    <w:rsid w:val="00EA02BC"/>
    <w:rsid w:val="00EA02D3"/>
    <w:rsid w:val="00EA048E"/>
    <w:rsid w:val="00EA05F0"/>
    <w:rsid w:val="00EA0D2C"/>
    <w:rsid w:val="00EA1153"/>
    <w:rsid w:val="00EA118C"/>
    <w:rsid w:val="00EA139D"/>
    <w:rsid w:val="00EA1855"/>
    <w:rsid w:val="00EA1C9E"/>
    <w:rsid w:val="00EA1CA0"/>
    <w:rsid w:val="00EA1ED7"/>
    <w:rsid w:val="00EA1F26"/>
    <w:rsid w:val="00EA1F5D"/>
    <w:rsid w:val="00EA21C9"/>
    <w:rsid w:val="00EA2247"/>
    <w:rsid w:val="00EA27CA"/>
    <w:rsid w:val="00EA2A59"/>
    <w:rsid w:val="00EA2B3E"/>
    <w:rsid w:val="00EA2BE7"/>
    <w:rsid w:val="00EA2E0B"/>
    <w:rsid w:val="00EA2FEB"/>
    <w:rsid w:val="00EA323C"/>
    <w:rsid w:val="00EA3621"/>
    <w:rsid w:val="00EA3AED"/>
    <w:rsid w:val="00EA3DEC"/>
    <w:rsid w:val="00EA4300"/>
    <w:rsid w:val="00EA433C"/>
    <w:rsid w:val="00EA48B9"/>
    <w:rsid w:val="00EA4BDA"/>
    <w:rsid w:val="00EA52D3"/>
    <w:rsid w:val="00EA5ED3"/>
    <w:rsid w:val="00EA6056"/>
    <w:rsid w:val="00EA633D"/>
    <w:rsid w:val="00EA67E4"/>
    <w:rsid w:val="00EA6A53"/>
    <w:rsid w:val="00EA6CF7"/>
    <w:rsid w:val="00EA6DB7"/>
    <w:rsid w:val="00EA6FB1"/>
    <w:rsid w:val="00EA704E"/>
    <w:rsid w:val="00EA754E"/>
    <w:rsid w:val="00EA78F5"/>
    <w:rsid w:val="00EA79CE"/>
    <w:rsid w:val="00EA7BC6"/>
    <w:rsid w:val="00EA7C73"/>
    <w:rsid w:val="00EA7CC1"/>
    <w:rsid w:val="00EA7E53"/>
    <w:rsid w:val="00EA7F89"/>
    <w:rsid w:val="00EA7FA8"/>
    <w:rsid w:val="00EB04E9"/>
    <w:rsid w:val="00EB051D"/>
    <w:rsid w:val="00EB0A81"/>
    <w:rsid w:val="00EB0F41"/>
    <w:rsid w:val="00EB1295"/>
    <w:rsid w:val="00EB1335"/>
    <w:rsid w:val="00EB1B4B"/>
    <w:rsid w:val="00EB1B69"/>
    <w:rsid w:val="00EB1F28"/>
    <w:rsid w:val="00EB23D2"/>
    <w:rsid w:val="00EB244E"/>
    <w:rsid w:val="00EB24B9"/>
    <w:rsid w:val="00EB263E"/>
    <w:rsid w:val="00EB2715"/>
    <w:rsid w:val="00EB27DF"/>
    <w:rsid w:val="00EB2BB5"/>
    <w:rsid w:val="00EB2DB0"/>
    <w:rsid w:val="00EB2F5C"/>
    <w:rsid w:val="00EB30D8"/>
    <w:rsid w:val="00EB32CF"/>
    <w:rsid w:val="00EB33CF"/>
    <w:rsid w:val="00EB3568"/>
    <w:rsid w:val="00EB35F0"/>
    <w:rsid w:val="00EB3954"/>
    <w:rsid w:val="00EB3A3A"/>
    <w:rsid w:val="00EB3B0D"/>
    <w:rsid w:val="00EB3C75"/>
    <w:rsid w:val="00EB3FD7"/>
    <w:rsid w:val="00EB440A"/>
    <w:rsid w:val="00EB44A8"/>
    <w:rsid w:val="00EB45F1"/>
    <w:rsid w:val="00EB464D"/>
    <w:rsid w:val="00EB4945"/>
    <w:rsid w:val="00EB5232"/>
    <w:rsid w:val="00EB5453"/>
    <w:rsid w:val="00EB589D"/>
    <w:rsid w:val="00EB59B2"/>
    <w:rsid w:val="00EB6329"/>
    <w:rsid w:val="00EB6F16"/>
    <w:rsid w:val="00EB71CF"/>
    <w:rsid w:val="00EB764F"/>
    <w:rsid w:val="00EB76E4"/>
    <w:rsid w:val="00EB770C"/>
    <w:rsid w:val="00EB7734"/>
    <w:rsid w:val="00EB7CE1"/>
    <w:rsid w:val="00EB7F1C"/>
    <w:rsid w:val="00EC00B3"/>
    <w:rsid w:val="00EC00E0"/>
    <w:rsid w:val="00EC036D"/>
    <w:rsid w:val="00EC09AF"/>
    <w:rsid w:val="00EC09F0"/>
    <w:rsid w:val="00EC0A63"/>
    <w:rsid w:val="00EC0B29"/>
    <w:rsid w:val="00EC0B81"/>
    <w:rsid w:val="00EC150F"/>
    <w:rsid w:val="00EC1E2C"/>
    <w:rsid w:val="00EC1FD7"/>
    <w:rsid w:val="00EC20D4"/>
    <w:rsid w:val="00EC2214"/>
    <w:rsid w:val="00EC223D"/>
    <w:rsid w:val="00EC24F4"/>
    <w:rsid w:val="00EC2769"/>
    <w:rsid w:val="00EC27D3"/>
    <w:rsid w:val="00EC2F3B"/>
    <w:rsid w:val="00EC3020"/>
    <w:rsid w:val="00EC31A5"/>
    <w:rsid w:val="00EC37B5"/>
    <w:rsid w:val="00EC38DD"/>
    <w:rsid w:val="00EC3C43"/>
    <w:rsid w:val="00EC3C91"/>
    <w:rsid w:val="00EC408F"/>
    <w:rsid w:val="00EC42DA"/>
    <w:rsid w:val="00EC4453"/>
    <w:rsid w:val="00EC4713"/>
    <w:rsid w:val="00EC49B7"/>
    <w:rsid w:val="00EC4B0E"/>
    <w:rsid w:val="00EC51F7"/>
    <w:rsid w:val="00EC5643"/>
    <w:rsid w:val="00EC5C14"/>
    <w:rsid w:val="00EC6129"/>
    <w:rsid w:val="00EC6173"/>
    <w:rsid w:val="00EC6BC9"/>
    <w:rsid w:val="00EC6C22"/>
    <w:rsid w:val="00EC6D86"/>
    <w:rsid w:val="00EC6EA2"/>
    <w:rsid w:val="00EC72D9"/>
    <w:rsid w:val="00EC74F6"/>
    <w:rsid w:val="00EC7551"/>
    <w:rsid w:val="00EC7690"/>
    <w:rsid w:val="00EC7C11"/>
    <w:rsid w:val="00EC7CF9"/>
    <w:rsid w:val="00EC7D6C"/>
    <w:rsid w:val="00ED042C"/>
    <w:rsid w:val="00ED05E3"/>
    <w:rsid w:val="00ED08B8"/>
    <w:rsid w:val="00ED0D75"/>
    <w:rsid w:val="00ED0E4C"/>
    <w:rsid w:val="00ED1193"/>
    <w:rsid w:val="00ED140E"/>
    <w:rsid w:val="00ED151B"/>
    <w:rsid w:val="00ED17A8"/>
    <w:rsid w:val="00ED18A5"/>
    <w:rsid w:val="00ED1C31"/>
    <w:rsid w:val="00ED201A"/>
    <w:rsid w:val="00ED22FD"/>
    <w:rsid w:val="00ED267A"/>
    <w:rsid w:val="00ED271F"/>
    <w:rsid w:val="00ED29A5"/>
    <w:rsid w:val="00ED2BF5"/>
    <w:rsid w:val="00ED2C76"/>
    <w:rsid w:val="00ED2C7B"/>
    <w:rsid w:val="00ED2FEF"/>
    <w:rsid w:val="00ED32B7"/>
    <w:rsid w:val="00ED334B"/>
    <w:rsid w:val="00ED34B8"/>
    <w:rsid w:val="00ED3C52"/>
    <w:rsid w:val="00ED3DB6"/>
    <w:rsid w:val="00ED420E"/>
    <w:rsid w:val="00ED424A"/>
    <w:rsid w:val="00ED42B8"/>
    <w:rsid w:val="00ED4993"/>
    <w:rsid w:val="00ED4D3A"/>
    <w:rsid w:val="00ED4EEE"/>
    <w:rsid w:val="00ED5CD8"/>
    <w:rsid w:val="00ED5EBA"/>
    <w:rsid w:val="00ED5EFE"/>
    <w:rsid w:val="00ED6056"/>
    <w:rsid w:val="00ED6C59"/>
    <w:rsid w:val="00ED6CD4"/>
    <w:rsid w:val="00ED6D9A"/>
    <w:rsid w:val="00ED7175"/>
    <w:rsid w:val="00ED727C"/>
    <w:rsid w:val="00ED76E9"/>
    <w:rsid w:val="00ED79AF"/>
    <w:rsid w:val="00ED7F2B"/>
    <w:rsid w:val="00EE001A"/>
    <w:rsid w:val="00EE00CC"/>
    <w:rsid w:val="00EE01A8"/>
    <w:rsid w:val="00EE0420"/>
    <w:rsid w:val="00EE094A"/>
    <w:rsid w:val="00EE1746"/>
    <w:rsid w:val="00EE1978"/>
    <w:rsid w:val="00EE1AFB"/>
    <w:rsid w:val="00EE2340"/>
    <w:rsid w:val="00EE24C4"/>
    <w:rsid w:val="00EE25D3"/>
    <w:rsid w:val="00EE281B"/>
    <w:rsid w:val="00EE2F62"/>
    <w:rsid w:val="00EE2F96"/>
    <w:rsid w:val="00EE3009"/>
    <w:rsid w:val="00EE303A"/>
    <w:rsid w:val="00EE3324"/>
    <w:rsid w:val="00EE3390"/>
    <w:rsid w:val="00EE35CD"/>
    <w:rsid w:val="00EE3615"/>
    <w:rsid w:val="00EE3655"/>
    <w:rsid w:val="00EE379D"/>
    <w:rsid w:val="00EE3820"/>
    <w:rsid w:val="00EE3B4E"/>
    <w:rsid w:val="00EE3C03"/>
    <w:rsid w:val="00EE3C26"/>
    <w:rsid w:val="00EE413F"/>
    <w:rsid w:val="00EE48A3"/>
    <w:rsid w:val="00EE4A4E"/>
    <w:rsid w:val="00EE4CBF"/>
    <w:rsid w:val="00EE505B"/>
    <w:rsid w:val="00EE50CA"/>
    <w:rsid w:val="00EE5481"/>
    <w:rsid w:val="00EE54CF"/>
    <w:rsid w:val="00EE57EF"/>
    <w:rsid w:val="00EE5EE9"/>
    <w:rsid w:val="00EE60A6"/>
    <w:rsid w:val="00EE625D"/>
    <w:rsid w:val="00EE6267"/>
    <w:rsid w:val="00EE68C6"/>
    <w:rsid w:val="00EE72C6"/>
    <w:rsid w:val="00EE7443"/>
    <w:rsid w:val="00EE7495"/>
    <w:rsid w:val="00EE7BF3"/>
    <w:rsid w:val="00EE7E6C"/>
    <w:rsid w:val="00EE7F52"/>
    <w:rsid w:val="00EE7F6D"/>
    <w:rsid w:val="00EF0396"/>
    <w:rsid w:val="00EF0505"/>
    <w:rsid w:val="00EF05DA"/>
    <w:rsid w:val="00EF0600"/>
    <w:rsid w:val="00EF0663"/>
    <w:rsid w:val="00EF067D"/>
    <w:rsid w:val="00EF06B0"/>
    <w:rsid w:val="00EF07CD"/>
    <w:rsid w:val="00EF0DA2"/>
    <w:rsid w:val="00EF1153"/>
    <w:rsid w:val="00EF1F45"/>
    <w:rsid w:val="00EF23B5"/>
    <w:rsid w:val="00EF27CB"/>
    <w:rsid w:val="00EF2A96"/>
    <w:rsid w:val="00EF2BEF"/>
    <w:rsid w:val="00EF2C07"/>
    <w:rsid w:val="00EF30B3"/>
    <w:rsid w:val="00EF364A"/>
    <w:rsid w:val="00EF3B0D"/>
    <w:rsid w:val="00EF3F32"/>
    <w:rsid w:val="00EF3FDA"/>
    <w:rsid w:val="00EF402A"/>
    <w:rsid w:val="00EF43F0"/>
    <w:rsid w:val="00EF465F"/>
    <w:rsid w:val="00EF46DF"/>
    <w:rsid w:val="00EF4B82"/>
    <w:rsid w:val="00EF4CB3"/>
    <w:rsid w:val="00EF4CE1"/>
    <w:rsid w:val="00EF546A"/>
    <w:rsid w:val="00EF54AB"/>
    <w:rsid w:val="00EF55B6"/>
    <w:rsid w:val="00EF5A4E"/>
    <w:rsid w:val="00EF5B2F"/>
    <w:rsid w:val="00EF5BBE"/>
    <w:rsid w:val="00EF614D"/>
    <w:rsid w:val="00EF67F1"/>
    <w:rsid w:val="00EF6828"/>
    <w:rsid w:val="00EF722C"/>
    <w:rsid w:val="00EF729F"/>
    <w:rsid w:val="00EF755B"/>
    <w:rsid w:val="00EF77A3"/>
    <w:rsid w:val="00EF77FF"/>
    <w:rsid w:val="00EF7AB7"/>
    <w:rsid w:val="00EF7B66"/>
    <w:rsid w:val="00EF7CB3"/>
    <w:rsid w:val="00F00169"/>
    <w:rsid w:val="00F004B3"/>
    <w:rsid w:val="00F009B6"/>
    <w:rsid w:val="00F00A71"/>
    <w:rsid w:val="00F01196"/>
    <w:rsid w:val="00F01367"/>
    <w:rsid w:val="00F01501"/>
    <w:rsid w:val="00F01840"/>
    <w:rsid w:val="00F01A95"/>
    <w:rsid w:val="00F01B4D"/>
    <w:rsid w:val="00F01D90"/>
    <w:rsid w:val="00F01FF8"/>
    <w:rsid w:val="00F02242"/>
    <w:rsid w:val="00F029F2"/>
    <w:rsid w:val="00F02C46"/>
    <w:rsid w:val="00F02E40"/>
    <w:rsid w:val="00F030E4"/>
    <w:rsid w:val="00F03111"/>
    <w:rsid w:val="00F03402"/>
    <w:rsid w:val="00F0357A"/>
    <w:rsid w:val="00F03801"/>
    <w:rsid w:val="00F03C01"/>
    <w:rsid w:val="00F0449C"/>
    <w:rsid w:val="00F0471E"/>
    <w:rsid w:val="00F047F9"/>
    <w:rsid w:val="00F04969"/>
    <w:rsid w:val="00F04B3C"/>
    <w:rsid w:val="00F04B86"/>
    <w:rsid w:val="00F04C1B"/>
    <w:rsid w:val="00F050BF"/>
    <w:rsid w:val="00F057C2"/>
    <w:rsid w:val="00F05AFB"/>
    <w:rsid w:val="00F05C84"/>
    <w:rsid w:val="00F06035"/>
    <w:rsid w:val="00F064DE"/>
    <w:rsid w:val="00F0667D"/>
    <w:rsid w:val="00F06AA4"/>
    <w:rsid w:val="00F0758E"/>
    <w:rsid w:val="00F07B09"/>
    <w:rsid w:val="00F07C60"/>
    <w:rsid w:val="00F07D4A"/>
    <w:rsid w:val="00F07DCB"/>
    <w:rsid w:val="00F07F22"/>
    <w:rsid w:val="00F10419"/>
    <w:rsid w:val="00F10BAF"/>
    <w:rsid w:val="00F10DA7"/>
    <w:rsid w:val="00F111CF"/>
    <w:rsid w:val="00F112CE"/>
    <w:rsid w:val="00F115E3"/>
    <w:rsid w:val="00F118E3"/>
    <w:rsid w:val="00F11B40"/>
    <w:rsid w:val="00F11C94"/>
    <w:rsid w:val="00F11D3E"/>
    <w:rsid w:val="00F11DA6"/>
    <w:rsid w:val="00F12117"/>
    <w:rsid w:val="00F1231A"/>
    <w:rsid w:val="00F12351"/>
    <w:rsid w:val="00F124DD"/>
    <w:rsid w:val="00F126A3"/>
    <w:rsid w:val="00F12897"/>
    <w:rsid w:val="00F12970"/>
    <w:rsid w:val="00F1298C"/>
    <w:rsid w:val="00F136FC"/>
    <w:rsid w:val="00F13CB1"/>
    <w:rsid w:val="00F13D06"/>
    <w:rsid w:val="00F13F9D"/>
    <w:rsid w:val="00F13FB3"/>
    <w:rsid w:val="00F14022"/>
    <w:rsid w:val="00F14541"/>
    <w:rsid w:val="00F1478B"/>
    <w:rsid w:val="00F148FB"/>
    <w:rsid w:val="00F14E81"/>
    <w:rsid w:val="00F1512E"/>
    <w:rsid w:val="00F151B7"/>
    <w:rsid w:val="00F15509"/>
    <w:rsid w:val="00F15771"/>
    <w:rsid w:val="00F157C8"/>
    <w:rsid w:val="00F15CB6"/>
    <w:rsid w:val="00F15D70"/>
    <w:rsid w:val="00F16150"/>
    <w:rsid w:val="00F1637D"/>
    <w:rsid w:val="00F16B62"/>
    <w:rsid w:val="00F16CBE"/>
    <w:rsid w:val="00F16DA1"/>
    <w:rsid w:val="00F171B9"/>
    <w:rsid w:val="00F17367"/>
    <w:rsid w:val="00F174AD"/>
    <w:rsid w:val="00F174B3"/>
    <w:rsid w:val="00F17776"/>
    <w:rsid w:val="00F1779D"/>
    <w:rsid w:val="00F17AF5"/>
    <w:rsid w:val="00F17C4E"/>
    <w:rsid w:val="00F17CCE"/>
    <w:rsid w:val="00F17F89"/>
    <w:rsid w:val="00F2003E"/>
    <w:rsid w:val="00F201CA"/>
    <w:rsid w:val="00F20663"/>
    <w:rsid w:val="00F2069F"/>
    <w:rsid w:val="00F20AD6"/>
    <w:rsid w:val="00F20C0A"/>
    <w:rsid w:val="00F210B5"/>
    <w:rsid w:val="00F2169E"/>
    <w:rsid w:val="00F21F68"/>
    <w:rsid w:val="00F2227F"/>
    <w:rsid w:val="00F2256A"/>
    <w:rsid w:val="00F227EA"/>
    <w:rsid w:val="00F22893"/>
    <w:rsid w:val="00F22BAD"/>
    <w:rsid w:val="00F22E3B"/>
    <w:rsid w:val="00F235AD"/>
    <w:rsid w:val="00F2362B"/>
    <w:rsid w:val="00F23719"/>
    <w:rsid w:val="00F23773"/>
    <w:rsid w:val="00F238AC"/>
    <w:rsid w:val="00F23922"/>
    <w:rsid w:val="00F23933"/>
    <w:rsid w:val="00F23DC8"/>
    <w:rsid w:val="00F24A7A"/>
    <w:rsid w:val="00F24D34"/>
    <w:rsid w:val="00F24E3F"/>
    <w:rsid w:val="00F256F2"/>
    <w:rsid w:val="00F257BC"/>
    <w:rsid w:val="00F25C55"/>
    <w:rsid w:val="00F25D00"/>
    <w:rsid w:val="00F261FA"/>
    <w:rsid w:val="00F26E7A"/>
    <w:rsid w:val="00F270A5"/>
    <w:rsid w:val="00F27195"/>
    <w:rsid w:val="00F271FC"/>
    <w:rsid w:val="00F27CF4"/>
    <w:rsid w:val="00F27D44"/>
    <w:rsid w:val="00F27DF2"/>
    <w:rsid w:val="00F27F03"/>
    <w:rsid w:val="00F3006D"/>
    <w:rsid w:val="00F300DF"/>
    <w:rsid w:val="00F3011E"/>
    <w:rsid w:val="00F301A3"/>
    <w:rsid w:val="00F30517"/>
    <w:rsid w:val="00F309F9"/>
    <w:rsid w:val="00F30B67"/>
    <w:rsid w:val="00F30E33"/>
    <w:rsid w:val="00F30EA9"/>
    <w:rsid w:val="00F31242"/>
    <w:rsid w:val="00F31366"/>
    <w:rsid w:val="00F3164D"/>
    <w:rsid w:val="00F31AD3"/>
    <w:rsid w:val="00F31B28"/>
    <w:rsid w:val="00F31B63"/>
    <w:rsid w:val="00F31BE1"/>
    <w:rsid w:val="00F31CB3"/>
    <w:rsid w:val="00F31CED"/>
    <w:rsid w:val="00F31D59"/>
    <w:rsid w:val="00F31E4E"/>
    <w:rsid w:val="00F320B5"/>
    <w:rsid w:val="00F32332"/>
    <w:rsid w:val="00F323A4"/>
    <w:rsid w:val="00F32801"/>
    <w:rsid w:val="00F3284A"/>
    <w:rsid w:val="00F329AD"/>
    <w:rsid w:val="00F32D1B"/>
    <w:rsid w:val="00F32DA0"/>
    <w:rsid w:val="00F3338B"/>
    <w:rsid w:val="00F342A7"/>
    <w:rsid w:val="00F34380"/>
    <w:rsid w:val="00F34837"/>
    <w:rsid w:val="00F34A33"/>
    <w:rsid w:val="00F34B3D"/>
    <w:rsid w:val="00F34D10"/>
    <w:rsid w:val="00F34E22"/>
    <w:rsid w:val="00F34EC2"/>
    <w:rsid w:val="00F35297"/>
    <w:rsid w:val="00F35337"/>
    <w:rsid w:val="00F35490"/>
    <w:rsid w:val="00F3560B"/>
    <w:rsid w:val="00F357E8"/>
    <w:rsid w:val="00F359DB"/>
    <w:rsid w:val="00F35B39"/>
    <w:rsid w:val="00F35D01"/>
    <w:rsid w:val="00F35DAB"/>
    <w:rsid w:val="00F369A0"/>
    <w:rsid w:val="00F36E18"/>
    <w:rsid w:val="00F371F6"/>
    <w:rsid w:val="00F372B3"/>
    <w:rsid w:val="00F37363"/>
    <w:rsid w:val="00F37452"/>
    <w:rsid w:val="00F379B9"/>
    <w:rsid w:val="00F379BF"/>
    <w:rsid w:val="00F37BE0"/>
    <w:rsid w:val="00F37CCF"/>
    <w:rsid w:val="00F37DAB"/>
    <w:rsid w:val="00F40536"/>
    <w:rsid w:val="00F40723"/>
    <w:rsid w:val="00F40B58"/>
    <w:rsid w:val="00F40C08"/>
    <w:rsid w:val="00F40D15"/>
    <w:rsid w:val="00F415CB"/>
    <w:rsid w:val="00F41A09"/>
    <w:rsid w:val="00F4204B"/>
    <w:rsid w:val="00F4257C"/>
    <w:rsid w:val="00F42596"/>
    <w:rsid w:val="00F426E7"/>
    <w:rsid w:val="00F42AE8"/>
    <w:rsid w:val="00F42CB4"/>
    <w:rsid w:val="00F42FFC"/>
    <w:rsid w:val="00F43115"/>
    <w:rsid w:val="00F43A3B"/>
    <w:rsid w:val="00F44101"/>
    <w:rsid w:val="00F44212"/>
    <w:rsid w:val="00F4425C"/>
    <w:rsid w:val="00F445D5"/>
    <w:rsid w:val="00F44B4A"/>
    <w:rsid w:val="00F44C54"/>
    <w:rsid w:val="00F44E34"/>
    <w:rsid w:val="00F44E9F"/>
    <w:rsid w:val="00F45039"/>
    <w:rsid w:val="00F45099"/>
    <w:rsid w:val="00F45625"/>
    <w:rsid w:val="00F4578F"/>
    <w:rsid w:val="00F458A8"/>
    <w:rsid w:val="00F459DA"/>
    <w:rsid w:val="00F45D8A"/>
    <w:rsid w:val="00F4623D"/>
    <w:rsid w:val="00F46387"/>
    <w:rsid w:val="00F46558"/>
    <w:rsid w:val="00F467FC"/>
    <w:rsid w:val="00F469FC"/>
    <w:rsid w:val="00F46D5F"/>
    <w:rsid w:val="00F46F64"/>
    <w:rsid w:val="00F47136"/>
    <w:rsid w:val="00F471AD"/>
    <w:rsid w:val="00F4725E"/>
    <w:rsid w:val="00F47416"/>
    <w:rsid w:val="00F4747C"/>
    <w:rsid w:val="00F475E4"/>
    <w:rsid w:val="00F47927"/>
    <w:rsid w:val="00F479C5"/>
    <w:rsid w:val="00F47B98"/>
    <w:rsid w:val="00F47B9C"/>
    <w:rsid w:val="00F47F9E"/>
    <w:rsid w:val="00F47FCC"/>
    <w:rsid w:val="00F50208"/>
    <w:rsid w:val="00F5021B"/>
    <w:rsid w:val="00F50239"/>
    <w:rsid w:val="00F50272"/>
    <w:rsid w:val="00F50593"/>
    <w:rsid w:val="00F508D3"/>
    <w:rsid w:val="00F50A36"/>
    <w:rsid w:val="00F50AE5"/>
    <w:rsid w:val="00F50CBD"/>
    <w:rsid w:val="00F50FCD"/>
    <w:rsid w:val="00F510FE"/>
    <w:rsid w:val="00F51110"/>
    <w:rsid w:val="00F5112E"/>
    <w:rsid w:val="00F511F8"/>
    <w:rsid w:val="00F51388"/>
    <w:rsid w:val="00F51475"/>
    <w:rsid w:val="00F51495"/>
    <w:rsid w:val="00F514EB"/>
    <w:rsid w:val="00F51520"/>
    <w:rsid w:val="00F5163B"/>
    <w:rsid w:val="00F516AA"/>
    <w:rsid w:val="00F516F1"/>
    <w:rsid w:val="00F51729"/>
    <w:rsid w:val="00F5175B"/>
    <w:rsid w:val="00F51D1E"/>
    <w:rsid w:val="00F51DA6"/>
    <w:rsid w:val="00F52151"/>
    <w:rsid w:val="00F52856"/>
    <w:rsid w:val="00F52914"/>
    <w:rsid w:val="00F52AB0"/>
    <w:rsid w:val="00F52E46"/>
    <w:rsid w:val="00F52F23"/>
    <w:rsid w:val="00F53095"/>
    <w:rsid w:val="00F531F9"/>
    <w:rsid w:val="00F534C2"/>
    <w:rsid w:val="00F53949"/>
    <w:rsid w:val="00F53A90"/>
    <w:rsid w:val="00F53B4E"/>
    <w:rsid w:val="00F53CE0"/>
    <w:rsid w:val="00F540E6"/>
    <w:rsid w:val="00F543FE"/>
    <w:rsid w:val="00F544B9"/>
    <w:rsid w:val="00F548CE"/>
    <w:rsid w:val="00F54CD4"/>
    <w:rsid w:val="00F550B6"/>
    <w:rsid w:val="00F55199"/>
    <w:rsid w:val="00F551B6"/>
    <w:rsid w:val="00F553F4"/>
    <w:rsid w:val="00F556EB"/>
    <w:rsid w:val="00F55D31"/>
    <w:rsid w:val="00F561C1"/>
    <w:rsid w:val="00F562F2"/>
    <w:rsid w:val="00F56420"/>
    <w:rsid w:val="00F56948"/>
    <w:rsid w:val="00F56A75"/>
    <w:rsid w:val="00F56AE3"/>
    <w:rsid w:val="00F56E56"/>
    <w:rsid w:val="00F56F09"/>
    <w:rsid w:val="00F57358"/>
    <w:rsid w:val="00F5747D"/>
    <w:rsid w:val="00F57999"/>
    <w:rsid w:val="00F57A8C"/>
    <w:rsid w:val="00F57D48"/>
    <w:rsid w:val="00F57EF3"/>
    <w:rsid w:val="00F6012F"/>
    <w:rsid w:val="00F602DE"/>
    <w:rsid w:val="00F6043F"/>
    <w:rsid w:val="00F606F0"/>
    <w:rsid w:val="00F60BDC"/>
    <w:rsid w:val="00F60E5B"/>
    <w:rsid w:val="00F611E1"/>
    <w:rsid w:val="00F6140E"/>
    <w:rsid w:val="00F61509"/>
    <w:rsid w:val="00F6152F"/>
    <w:rsid w:val="00F61530"/>
    <w:rsid w:val="00F61AEA"/>
    <w:rsid w:val="00F61BB0"/>
    <w:rsid w:val="00F61BE1"/>
    <w:rsid w:val="00F61CB2"/>
    <w:rsid w:val="00F61FC5"/>
    <w:rsid w:val="00F620DE"/>
    <w:rsid w:val="00F63013"/>
    <w:rsid w:val="00F63067"/>
    <w:rsid w:val="00F6325A"/>
    <w:rsid w:val="00F63310"/>
    <w:rsid w:val="00F6331E"/>
    <w:rsid w:val="00F634B2"/>
    <w:rsid w:val="00F63577"/>
    <w:rsid w:val="00F63718"/>
    <w:rsid w:val="00F6380E"/>
    <w:rsid w:val="00F63837"/>
    <w:rsid w:val="00F638D1"/>
    <w:rsid w:val="00F63981"/>
    <w:rsid w:val="00F63D03"/>
    <w:rsid w:val="00F63FAA"/>
    <w:rsid w:val="00F64459"/>
    <w:rsid w:val="00F648EB"/>
    <w:rsid w:val="00F64D54"/>
    <w:rsid w:val="00F64D62"/>
    <w:rsid w:val="00F65179"/>
    <w:rsid w:val="00F653E0"/>
    <w:rsid w:val="00F654B4"/>
    <w:rsid w:val="00F654C3"/>
    <w:rsid w:val="00F654FD"/>
    <w:rsid w:val="00F65562"/>
    <w:rsid w:val="00F65658"/>
    <w:rsid w:val="00F657B4"/>
    <w:rsid w:val="00F65823"/>
    <w:rsid w:val="00F65875"/>
    <w:rsid w:val="00F6589C"/>
    <w:rsid w:val="00F659B8"/>
    <w:rsid w:val="00F65A22"/>
    <w:rsid w:val="00F65CC2"/>
    <w:rsid w:val="00F66027"/>
    <w:rsid w:val="00F6608F"/>
    <w:rsid w:val="00F661C6"/>
    <w:rsid w:val="00F6620C"/>
    <w:rsid w:val="00F6647F"/>
    <w:rsid w:val="00F6658A"/>
    <w:rsid w:val="00F66BB8"/>
    <w:rsid w:val="00F66DB2"/>
    <w:rsid w:val="00F671DD"/>
    <w:rsid w:val="00F6756A"/>
    <w:rsid w:val="00F6756C"/>
    <w:rsid w:val="00F67A14"/>
    <w:rsid w:val="00F67BCD"/>
    <w:rsid w:val="00F67F21"/>
    <w:rsid w:val="00F67FFC"/>
    <w:rsid w:val="00F70498"/>
    <w:rsid w:val="00F70604"/>
    <w:rsid w:val="00F70D33"/>
    <w:rsid w:val="00F70E19"/>
    <w:rsid w:val="00F70F3C"/>
    <w:rsid w:val="00F70FC3"/>
    <w:rsid w:val="00F7153A"/>
    <w:rsid w:val="00F71804"/>
    <w:rsid w:val="00F7184D"/>
    <w:rsid w:val="00F7185F"/>
    <w:rsid w:val="00F719EA"/>
    <w:rsid w:val="00F71BCF"/>
    <w:rsid w:val="00F71EEC"/>
    <w:rsid w:val="00F71F1B"/>
    <w:rsid w:val="00F723DF"/>
    <w:rsid w:val="00F723F5"/>
    <w:rsid w:val="00F7249A"/>
    <w:rsid w:val="00F7269D"/>
    <w:rsid w:val="00F72884"/>
    <w:rsid w:val="00F72898"/>
    <w:rsid w:val="00F7295F"/>
    <w:rsid w:val="00F73102"/>
    <w:rsid w:val="00F73318"/>
    <w:rsid w:val="00F733E5"/>
    <w:rsid w:val="00F73695"/>
    <w:rsid w:val="00F736EA"/>
    <w:rsid w:val="00F741B3"/>
    <w:rsid w:val="00F745E8"/>
    <w:rsid w:val="00F74779"/>
    <w:rsid w:val="00F74916"/>
    <w:rsid w:val="00F74B97"/>
    <w:rsid w:val="00F74C63"/>
    <w:rsid w:val="00F74DA1"/>
    <w:rsid w:val="00F74E3F"/>
    <w:rsid w:val="00F74EDE"/>
    <w:rsid w:val="00F74F11"/>
    <w:rsid w:val="00F751C9"/>
    <w:rsid w:val="00F752D9"/>
    <w:rsid w:val="00F7532F"/>
    <w:rsid w:val="00F75498"/>
    <w:rsid w:val="00F757FC"/>
    <w:rsid w:val="00F75B9E"/>
    <w:rsid w:val="00F76153"/>
    <w:rsid w:val="00F766D8"/>
    <w:rsid w:val="00F76D00"/>
    <w:rsid w:val="00F76E01"/>
    <w:rsid w:val="00F770D0"/>
    <w:rsid w:val="00F771EA"/>
    <w:rsid w:val="00F776F5"/>
    <w:rsid w:val="00F77E34"/>
    <w:rsid w:val="00F77EC7"/>
    <w:rsid w:val="00F803E8"/>
    <w:rsid w:val="00F8075D"/>
    <w:rsid w:val="00F80810"/>
    <w:rsid w:val="00F80A3E"/>
    <w:rsid w:val="00F80A55"/>
    <w:rsid w:val="00F80DF2"/>
    <w:rsid w:val="00F81268"/>
    <w:rsid w:val="00F8137C"/>
    <w:rsid w:val="00F81638"/>
    <w:rsid w:val="00F8174D"/>
    <w:rsid w:val="00F81D33"/>
    <w:rsid w:val="00F8216C"/>
    <w:rsid w:val="00F82198"/>
    <w:rsid w:val="00F82377"/>
    <w:rsid w:val="00F830BF"/>
    <w:rsid w:val="00F830D7"/>
    <w:rsid w:val="00F83258"/>
    <w:rsid w:val="00F837D8"/>
    <w:rsid w:val="00F83801"/>
    <w:rsid w:val="00F83949"/>
    <w:rsid w:val="00F839BA"/>
    <w:rsid w:val="00F83BBF"/>
    <w:rsid w:val="00F83C1D"/>
    <w:rsid w:val="00F83E75"/>
    <w:rsid w:val="00F84143"/>
    <w:rsid w:val="00F841FE"/>
    <w:rsid w:val="00F84875"/>
    <w:rsid w:val="00F84994"/>
    <w:rsid w:val="00F84ADE"/>
    <w:rsid w:val="00F84C2C"/>
    <w:rsid w:val="00F84E78"/>
    <w:rsid w:val="00F84FE6"/>
    <w:rsid w:val="00F852BC"/>
    <w:rsid w:val="00F85A38"/>
    <w:rsid w:val="00F85C40"/>
    <w:rsid w:val="00F85CBB"/>
    <w:rsid w:val="00F85F1E"/>
    <w:rsid w:val="00F86043"/>
    <w:rsid w:val="00F8636F"/>
    <w:rsid w:val="00F86BE5"/>
    <w:rsid w:val="00F87307"/>
    <w:rsid w:val="00F876D3"/>
    <w:rsid w:val="00F87754"/>
    <w:rsid w:val="00F87982"/>
    <w:rsid w:val="00F87B7C"/>
    <w:rsid w:val="00F87C26"/>
    <w:rsid w:val="00F87D09"/>
    <w:rsid w:val="00F87DF4"/>
    <w:rsid w:val="00F87F0B"/>
    <w:rsid w:val="00F87FA0"/>
    <w:rsid w:val="00F87FE0"/>
    <w:rsid w:val="00F9005F"/>
    <w:rsid w:val="00F9040E"/>
    <w:rsid w:val="00F9042A"/>
    <w:rsid w:val="00F90484"/>
    <w:rsid w:val="00F90B60"/>
    <w:rsid w:val="00F90BDD"/>
    <w:rsid w:val="00F90C1A"/>
    <w:rsid w:val="00F90C91"/>
    <w:rsid w:val="00F90E52"/>
    <w:rsid w:val="00F9146D"/>
    <w:rsid w:val="00F915D1"/>
    <w:rsid w:val="00F915EE"/>
    <w:rsid w:val="00F917FC"/>
    <w:rsid w:val="00F9191A"/>
    <w:rsid w:val="00F91A59"/>
    <w:rsid w:val="00F927FE"/>
    <w:rsid w:val="00F9286D"/>
    <w:rsid w:val="00F928F8"/>
    <w:rsid w:val="00F92934"/>
    <w:rsid w:val="00F92D71"/>
    <w:rsid w:val="00F9308A"/>
    <w:rsid w:val="00F9316A"/>
    <w:rsid w:val="00F93278"/>
    <w:rsid w:val="00F9370F"/>
    <w:rsid w:val="00F937AA"/>
    <w:rsid w:val="00F93939"/>
    <w:rsid w:val="00F93988"/>
    <w:rsid w:val="00F93A83"/>
    <w:rsid w:val="00F93AB0"/>
    <w:rsid w:val="00F93C79"/>
    <w:rsid w:val="00F93E2A"/>
    <w:rsid w:val="00F93E3A"/>
    <w:rsid w:val="00F93F46"/>
    <w:rsid w:val="00F9405A"/>
    <w:rsid w:val="00F94417"/>
    <w:rsid w:val="00F94440"/>
    <w:rsid w:val="00F94803"/>
    <w:rsid w:val="00F949C4"/>
    <w:rsid w:val="00F94C47"/>
    <w:rsid w:val="00F95135"/>
    <w:rsid w:val="00F953B1"/>
    <w:rsid w:val="00F95525"/>
    <w:rsid w:val="00F955BF"/>
    <w:rsid w:val="00F95763"/>
    <w:rsid w:val="00F95865"/>
    <w:rsid w:val="00F9596E"/>
    <w:rsid w:val="00F959AC"/>
    <w:rsid w:val="00F95D61"/>
    <w:rsid w:val="00F95F69"/>
    <w:rsid w:val="00F9610B"/>
    <w:rsid w:val="00F96121"/>
    <w:rsid w:val="00F962E4"/>
    <w:rsid w:val="00F969FC"/>
    <w:rsid w:val="00F97193"/>
    <w:rsid w:val="00F9753C"/>
    <w:rsid w:val="00F9780B"/>
    <w:rsid w:val="00F978AC"/>
    <w:rsid w:val="00F97C8C"/>
    <w:rsid w:val="00F97CEE"/>
    <w:rsid w:val="00F97DEC"/>
    <w:rsid w:val="00F97F13"/>
    <w:rsid w:val="00F97F50"/>
    <w:rsid w:val="00FA0153"/>
    <w:rsid w:val="00FA0744"/>
    <w:rsid w:val="00FA0D96"/>
    <w:rsid w:val="00FA0F59"/>
    <w:rsid w:val="00FA12BC"/>
    <w:rsid w:val="00FA13BB"/>
    <w:rsid w:val="00FA15A6"/>
    <w:rsid w:val="00FA171C"/>
    <w:rsid w:val="00FA1A01"/>
    <w:rsid w:val="00FA1C09"/>
    <w:rsid w:val="00FA1C6B"/>
    <w:rsid w:val="00FA1EBE"/>
    <w:rsid w:val="00FA1F87"/>
    <w:rsid w:val="00FA2794"/>
    <w:rsid w:val="00FA2EBD"/>
    <w:rsid w:val="00FA33AF"/>
    <w:rsid w:val="00FA33F7"/>
    <w:rsid w:val="00FA37A6"/>
    <w:rsid w:val="00FA3A9D"/>
    <w:rsid w:val="00FA3CC8"/>
    <w:rsid w:val="00FA3CF0"/>
    <w:rsid w:val="00FA3FBC"/>
    <w:rsid w:val="00FA4698"/>
    <w:rsid w:val="00FA4715"/>
    <w:rsid w:val="00FA4CCC"/>
    <w:rsid w:val="00FA5203"/>
    <w:rsid w:val="00FA5237"/>
    <w:rsid w:val="00FA571B"/>
    <w:rsid w:val="00FA58B6"/>
    <w:rsid w:val="00FA5DA3"/>
    <w:rsid w:val="00FA5F64"/>
    <w:rsid w:val="00FA64EE"/>
    <w:rsid w:val="00FA6503"/>
    <w:rsid w:val="00FA6A2A"/>
    <w:rsid w:val="00FA75B4"/>
    <w:rsid w:val="00FA7AD6"/>
    <w:rsid w:val="00FA7FAC"/>
    <w:rsid w:val="00FA7FBB"/>
    <w:rsid w:val="00FB02E9"/>
    <w:rsid w:val="00FB03C0"/>
    <w:rsid w:val="00FB0B08"/>
    <w:rsid w:val="00FB0FA3"/>
    <w:rsid w:val="00FB0FC4"/>
    <w:rsid w:val="00FB1123"/>
    <w:rsid w:val="00FB1308"/>
    <w:rsid w:val="00FB13EC"/>
    <w:rsid w:val="00FB16AC"/>
    <w:rsid w:val="00FB1BA9"/>
    <w:rsid w:val="00FB1CF4"/>
    <w:rsid w:val="00FB1DEC"/>
    <w:rsid w:val="00FB2156"/>
    <w:rsid w:val="00FB2504"/>
    <w:rsid w:val="00FB27A4"/>
    <w:rsid w:val="00FB286D"/>
    <w:rsid w:val="00FB2B32"/>
    <w:rsid w:val="00FB2BFA"/>
    <w:rsid w:val="00FB2D35"/>
    <w:rsid w:val="00FB3323"/>
    <w:rsid w:val="00FB34CF"/>
    <w:rsid w:val="00FB34D8"/>
    <w:rsid w:val="00FB369D"/>
    <w:rsid w:val="00FB3756"/>
    <w:rsid w:val="00FB45FF"/>
    <w:rsid w:val="00FB462E"/>
    <w:rsid w:val="00FB484E"/>
    <w:rsid w:val="00FB485C"/>
    <w:rsid w:val="00FB49F5"/>
    <w:rsid w:val="00FB4A38"/>
    <w:rsid w:val="00FB4BEF"/>
    <w:rsid w:val="00FB4C90"/>
    <w:rsid w:val="00FB4CD5"/>
    <w:rsid w:val="00FB4D64"/>
    <w:rsid w:val="00FB4FC6"/>
    <w:rsid w:val="00FB54B4"/>
    <w:rsid w:val="00FB5BA5"/>
    <w:rsid w:val="00FB5BDB"/>
    <w:rsid w:val="00FB5C03"/>
    <w:rsid w:val="00FB5CF5"/>
    <w:rsid w:val="00FB5D3D"/>
    <w:rsid w:val="00FB609D"/>
    <w:rsid w:val="00FB61B8"/>
    <w:rsid w:val="00FB62A6"/>
    <w:rsid w:val="00FB646D"/>
    <w:rsid w:val="00FB66F1"/>
    <w:rsid w:val="00FB6CDB"/>
    <w:rsid w:val="00FB7405"/>
    <w:rsid w:val="00FB76A5"/>
    <w:rsid w:val="00FB786B"/>
    <w:rsid w:val="00FB798D"/>
    <w:rsid w:val="00FB7A73"/>
    <w:rsid w:val="00FB7AB0"/>
    <w:rsid w:val="00FB7AB5"/>
    <w:rsid w:val="00FB7C25"/>
    <w:rsid w:val="00FB7C39"/>
    <w:rsid w:val="00FB7D74"/>
    <w:rsid w:val="00FB7FA6"/>
    <w:rsid w:val="00FC00B0"/>
    <w:rsid w:val="00FC09AB"/>
    <w:rsid w:val="00FC10AD"/>
    <w:rsid w:val="00FC10DF"/>
    <w:rsid w:val="00FC11F4"/>
    <w:rsid w:val="00FC1350"/>
    <w:rsid w:val="00FC1392"/>
    <w:rsid w:val="00FC1738"/>
    <w:rsid w:val="00FC1829"/>
    <w:rsid w:val="00FC19C4"/>
    <w:rsid w:val="00FC1F10"/>
    <w:rsid w:val="00FC1F86"/>
    <w:rsid w:val="00FC2004"/>
    <w:rsid w:val="00FC20A1"/>
    <w:rsid w:val="00FC2111"/>
    <w:rsid w:val="00FC24DA"/>
    <w:rsid w:val="00FC2578"/>
    <w:rsid w:val="00FC271B"/>
    <w:rsid w:val="00FC2D2B"/>
    <w:rsid w:val="00FC2F4F"/>
    <w:rsid w:val="00FC3039"/>
    <w:rsid w:val="00FC32A0"/>
    <w:rsid w:val="00FC3484"/>
    <w:rsid w:val="00FC352C"/>
    <w:rsid w:val="00FC3891"/>
    <w:rsid w:val="00FC3B29"/>
    <w:rsid w:val="00FC3C06"/>
    <w:rsid w:val="00FC47E2"/>
    <w:rsid w:val="00FC4ABE"/>
    <w:rsid w:val="00FC4B37"/>
    <w:rsid w:val="00FC4C1F"/>
    <w:rsid w:val="00FC4DB7"/>
    <w:rsid w:val="00FC51B1"/>
    <w:rsid w:val="00FC540B"/>
    <w:rsid w:val="00FC5A2F"/>
    <w:rsid w:val="00FC5B09"/>
    <w:rsid w:val="00FC5D15"/>
    <w:rsid w:val="00FC68D9"/>
    <w:rsid w:val="00FC6969"/>
    <w:rsid w:val="00FC6DA8"/>
    <w:rsid w:val="00FC6EFE"/>
    <w:rsid w:val="00FC6FA8"/>
    <w:rsid w:val="00FC71EC"/>
    <w:rsid w:val="00FC742F"/>
    <w:rsid w:val="00FC74F6"/>
    <w:rsid w:val="00FC7AFC"/>
    <w:rsid w:val="00FC7D4A"/>
    <w:rsid w:val="00FC7DBA"/>
    <w:rsid w:val="00FC7F88"/>
    <w:rsid w:val="00FD0356"/>
    <w:rsid w:val="00FD03BC"/>
    <w:rsid w:val="00FD04EE"/>
    <w:rsid w:val="00FD0A0D"/>
    <w:rsid w:val="00FD1299"/>
    <w:rsid w:val="00FD15C9"/>
    <w:rsid w:val="00FD1842"/>
    <w:rsid w:val="00FD1870"/>
    <w:rsid w:val="00FD231B"/>
    <w:rsid w:val="00FD240E"/>
    <w:rsid w:val="00FD2484"/>
    <w:rsid w:val="00FD282E"/>
    <w:rsid w:val="00FD2B01"/>
    <w:rsid w:val="00FD2D43"/>
    <w:rsid w:val="00FD3183"/>
    <w:rsid w:val="00FD3227"/>
    <w:rsid w:val="00FD32E7"/>
    <w:rsid w:val="00FD33A7"/>
    <w:rsid w:val="00FD352E"/>
    <w:rsid w:val="00FD3731"/>
    <w:rsid w:val="00FD3861"/>
    <w:rsid w:val="00FD3B07"/>
    <w:rsid w:val="00FD4014"/>
    <w:rsid w:val="00FD445E"/>
    <w:rsid w:val="00FD44BC"/>
    <w:rsid w:val="00FD4A7F"/>
    <w:rsid w:val="00FD4C50"/>
    <w:rsid w:val="00FD4CD4"/>
    <w:rsid w:val="00FD5051"/>
    <w:rsid w:val="00FD5288"/>
    <w:rsid w:val="00FD5335"/>
    <w:rsid w:val="00FD5677"/>
    <w:rsid w:val="00FD5A69"/>
    <w:rsid w:val="00FD5F73"/>
    <w:rsid w:val="00FD5FBE"/>
    <w:rsid w:val="00FD6522"/>
    <w:rsid w:val="00FD6586"/>
    <w:rsid w:val="00FD65D9"/>
    <w:rsid w:val="00FD6668"/>
    <w:rsid w:val="00FD67B4"/>
    <w:rsid w:val="00FD763F"/>
    <w:rsid w:val="00FD7AC0"/>
    <w:rsid w:val="00FD7DF5"/>
    <w:rsid w:val="00FE0328"/>
    <w:rsid w:val="00FE033B"/>
    <w:rsid w:val="00FE048D"/>
    <w:rsid w:val="00FE0962"/>
    <w:rsid w:val="00FE0A9F"/>
    <w:rsid w:val="00FE0AE3"/>
    <w:rsid w:val="00FE1095"/>
    <w:rsid w:val="00FE1318"/>
    <w:rsid w:val="00FE13F2"/>
    <w:rsid w:val="00FE1755"/>
    <w:rsid w:val="00FE1797"/>
    <w:rsid w:val="00FE1799"/>
    <w:rsid w:val="00FE1C40"/>
    <w:rsid w:val="00FE1D41"/>
    <w:rsid w:val="00FE213E"/>
    <w:rsid w:val="00FE21A7"/>
    <w:rsid w:val="00FE22CD"/>
    <w:rsid w:val="00FE22F2"/>
    <w:rsid w:val="00FE2345"/>
    <w:rsid w:val="00FE2666"/>
    <w:rsid w:val="00FE26E4"/>
    <w:rsid w:val="00FE2B1F"/>
    <w:rsid w:val="00FE2B75"/>
    <w:rsid w:val="00FE2E9F"/>
    <w:rsid w:val="00FE32A9"/>
    <w:rsid w:val="00FE35E4"/>
    <w:rsid w:val="00FE38DE"/>
    <w:rsid w:val="00FE3A58"/>
    <w:rsid w:val="00FE3A90"/>
    <w:rsid w:val="00FE3C6D"/>
    <w:rsid w:val="00FE3CAC"/>
    <w:rsid w:val="00FE3E0C"/>
    <w:rsid w:val="00FE3F47"/>
    <w:rsid w:val="00FE400A"/>
    <w:rsid w:val="00FE406B"/>
    <w:rsid w:val="00FE4275"/>
    <w:rsid w:val="00FE46C3"/>
    <w:rsid w:val="00FE46C9"/>
    <w:rsid w:val="00FE46F7"/>
    <w:rsid w:val="00FE4CB8"/>
    <w:rsid w:val="00FE4DC6"/>
    <w:rsid w:val="00FE4F74"/>
    <w:rsid w:val="00FE4F97"/>
    <w:rsid w:val="00FE50ED"/>
    <w:rsid w:val="00FE5985"/>
    <w:rsid w:val="00FE639D"/>
    <w:rsid w:val="00FE6A55"/>
    <w:rsid w:val="00FE6ACC"/>
    <w:rsid w:val="00FE6C13"/>
    <w:rsid w:val="00FE7467"/>
    <w:rsid w:val="00FE7595"/>
    <w:rsid w:val="00FE7A4D"/>
    <w:rsid w:val="00FE7E0D"/>
    <w:rsid w:val="00FE7EDB"/>
    <w:rsid w:val="00FE7F39"/>
    <w:rsid w:val="00FF0054"/>
    <w:rsid w:val="00FF039F"/>
    <w:rsid w:val="00FF046D"/>
    <w:rsid w:val="00FF0551"/>
    <w:rsid w:val="00FF05B1"/>
    <w:rsid w:val="00FF0ED8"/>
    <w:rsid w:val="00FF0FD8"/>
    <w:rsid w:val="00FF12AC"/>
    <w:rsid w:val="00FF12B6"/>
    <w:rsid w:val="00FF1698"/>
    <w:rsid w:val="00FF1B0A"/>
    <w:rsid w:val="00FF1BF3"/>
    <w:rsid w:val="00FF1C5F"/>
    <w:rsid w:val="00FF2952"/>
    <w:rsid w:val="00FF3673"/>
    <w:rsid w:val="00FF374D"/>
    <w:rsid w:val="00FF3D6F"/>
    <w:rsid w:val="00FF4265"/>
    <w:rsid w:val="00FF4496"/>
    <w:rsid w:val="00FF44B1"/>
    <w:rsid w:val="00FF47FE"/>
    <w:rsid w:val="00FF4AF1"/>
    <w:rsid w:val="00FF4CFB"/>
    <w:rsid w:val="00FF4DCE"/>
    <w:rsid w:val="00FF4E74"/>
    <w:rsid w:val="00FF507C"/>
    <w:rsid w:val="00FF50BF"/>
    <w:rsid w:val="00FF52DF"/>
    <w:rsid w:val="00FF564E"/>
    <w:rsid w:val="00FF5685"/>
    <w:rsid w:val="00FF570F"/>
    <w:rsid w:val="00FF57D4"/>
    <w:rsid w:val="00FF58DF"/>
    <w:rsid w:val="00FF5A18"/>
    <w:rsid w:val="00FF5B3C"/>
    <w:rsid w:val="00FF5C51"/>
    <w:rsid w:val="00FF5CF5"/>
    <w:rsid w:val="00FF613F"/>
    <w:rsid w:val="00FF6603"/>
    <w:rsid w:val="00FF66E2"/>
    <w:rsid w:val="00FF67FD"/>
    <w:rsid w:val="00FF6AA5"/>
    <w:rsid w:val="00FF6AC6"/>
    <w:rsid w:val="00FF6CA9"/>
    <w:rsid w:val="00FF6DE7"/>
    <w:rsid w:val="00FF6F56"/>
    <w:rsid w:val="00FF7BB7"/>
    <w:rsid w:val="00FF7DB1"/>
    <w:rsid w:val="1943BA89"/>
    <w:rsid w:val="2133F903"/>
    <w:rsid w:val="262CDF54"/>
    <w:rsid w:val="335EA91F"/>
    <w:rsid w:val="37298793"/>
    <w:rsid w:val="3D64A972"/>
    <w:rsid w:val="731D8FA4"/>
    <w:rsid w:val="7CE864B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5228D"/>
  <w15:chartTrackingRefBased/>
  <w15:docId w15:val="{E5B2A14E-D55A-4C37-A35A-D24798D73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Calibr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8"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locked="1" w:uiPriority="46"/>
    <w:lsdException w:name="Grid Table 2" w:locked="1" w:uiPriority="47"/>
    <w:lsdException w:name="Grid Table 3" w:locked="1" w:uiPriority="48"/>
    <w:lsdException w:name="Grid Table 4" w:locked="1" w:uiPriority="49"/>
    <w:lsdException w:name="Grid Table 5 Dark" w:locked="1" w:uiPriority="50"/>
    <w:lsdException w:name="Grid Table 6 Colorful" w:locked="1" w:uiPriority="51"/>
    <w:lsdException w:name="Grid Table 7 Colorful" w:locked="1" w:uiPriority="52"/>
    <w:lsdException w:name="Grid Table 1 Light Accent 1" w:locked="1" w:uiPriority="46"/>
    <w:lsdException w:name="Grid Table 2 Accent 1" w:locked="1" w:uiPriority="47"/>
    <w:lsdException w:name="Grid Table 3 Accent 1" w:locked="1" w:uiPriority="48"/>
    <w:lsdException w:name="Grid Table 4 Accent 1" w:locked="1" w:uiPriority="49"/>
    <w:lsdException w:name="Grid Table 5 Dark Accent 1" w:locked="1" w:uiPriority="50"/>
    <w:lsdException w:name="Grid Table 6 Colorful Accent 1" w:locked="1" w:uiPriority="51"/>
    <w:lsdException w:name="Grid Table 7 Colorful Accent 1" w:locked="1" w:uiPriority="52"/>
    <w:lsdException w:name="Grid Table 1 Light Accent 2" w:locked="1"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locked="1"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locked="1"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locked="1" w:uiPriority="46"/>
    <w:lsdException w:name="Grid Table 2 Accent 5" w:locked="1" w:uiPriority="47"/>
    <w:lsdException w:name="Grid Table 3 Accent 5" w:locked="1" w:uiPriority="48"/>
    <w:lsdException w:name="Grid Table 4 Accent 5" w:locked="1" w:uiPriority="49"/>
    <w:lsdException w:name="Grid Table 5 Dark Accent 5" w:locked="1" w:uiPriority="50"/>
    <w:lsdException w:name="Grid Table 6 Colorful Accent 5" w:locked="1" w:uiPriority="51"/>
    <w:lsdException w:name="Grid Table 7 Colorful Accent 5" w:locked="1" w:uiPriority="52"/>
    <w:lsdException w:name="Grid Table 1 Light Accent 6" w:locked="1"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locked="1" w:uiPriority="46"/>
    <w:lsdException w:name="List Table 2" w:locked="1" w:uiPriority="47"/>
    <w:lsdException w:name="List Table 3" w:locked="1" w:uiPriority="48"/>
    <w:lsdException w:name="List Table 4" w:locked="1" w:uiPriority="49"/>
    <w:lsdException w:name="List Table 5 Dark" w:locked="1" w:uiPriority="50"/>
    <w:lsdException w:name="List Table 6 Colorful" w:locked="1" w:uiPriority="51"/>
    <w:lsdException w:name="List Table 7 Colorful" w:locked="1" w:uiPriority="52"/>
    <w:lsdException w:name="List Table 1 Light Accent 1" w:locked="1" w:uiPriority="46"/>
    <w:lsdException w:name="List Table 2 Accent 1" w:locked="1" w:uiPriority="47"/>
    <w:lsdException w:name="List Table 3 Accent 1" w:locked="1" w:uiPriority="48"/>
    <w:lsdException w:name="List Table 4 Accent 1" w:locked="1" w:uiPriority="49"/>
    <w:lsdException w:name="List Table 5 Dark Accent 1" w:locked="1" w:uiPriority="50"/>
    <w:lsdException w:name="List Table 6 Colorful Accent 1" w:locked="1" w:uiPriority="51"/>
    <w:lsdException w:name="List Table 7 Colorful Accent 1" w:locked="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locked="1" w:uiPriority="46"/>
    <w:lsdException w:name="List Table 2 Accent 5" w:locked="1" w:uiPriority="47"/>
    <w:lsdException w:name="List Table 3 Accent 5" w:locked="1" w:uiPriority="48"/>
    <w:lsdException w:name="List Table 4 Accent 5" w:locked="1" w:uiPriority="49"/>
    <w:lsdException w:name="List Table 5 Dark Accent 5" w:locked="1" w:uiPriority="50"/>
    <w:lsdException w:name="List Table 6 Colorful Accent 5" w:locked="1" w:uiPriority="51"/>
    <w:lsdException w:name="List Table 7 Colorful Accent 5" w:locked="1"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BodyText"/>
    <w:qFormat/>
    <w:rsid w:val="00F14022"/>
    <w:pPr>
      <w:spacing w:after="120"/>
    </w:pPr>
    <w:rPr>
      <w:rFonts w:ascii="Montserrat" w:hAnsi="Montserrat" w:cs="Calibri"/>
      <w:sz w:val="18"/>
      <w:szCs w:val="20"/>
      <w:lang w:val="en-AU"/>
    </w:rPr>
  </w:style>
  <w:style w:type="paragraph" w:styleId="Heading1">
    <w:name w:val="heading 1"/>
    <w:basedOn w:val="BodyText"/>
    <w:next w:val="BodyText"/>
    <w:link w:val="Heading1Char"/>
    <w:uiPriority w:val="1"/>
    <w:qFormat/>
    <w:rsid w:val="00982575"/>
    <w:pPr>
      <w:keepNext/>
      <w:pageBreakBefore/>
      <w:numPr>
        <w:numId w:val="7"/>
      </w:numPr>
      <w:spacing w:before="360"/>
      <w:outlineLvl w:val="0"/>
    </w:pPr>
    <w:rPr>
      <w:rFonts w:eastAsia="Times New Roman"/>
      <w:bCs/>
      <w:color w:val="053341"/>
      <w:sz w:val="32"/>
      <w:szCs w:val="28"/>
    </w:rPr>
  </w:style>
  <w:style w:type="paragraph" w:styleId="Heading2">
    <w:name w:val="heading 2"/>
    <w:basedOn w:val="BodyText"/>
    <w:next w:val="BodyText"/>
    <w:link w:val="Heading2Char"/>
    <w:uiPriority w:val="1"/>
    <w:qFormat/>
    <w:rsid w:val="006D7D18"/>
    <w:pPr>
      <w:keepNext/>
      <w:numPr>
        <w:ilvl w:val="1"/>
        <w:numId w:val="7"/>
      </w:numPr>
      <w:spacing w:before="360" w:after="0"/>
      <w:outlineLvl w:val="1"/>
    </w:pPr>
    <w:rPr>
      <w:rFonts w:eastAsia="Times New Roman"/>
      <w:bCs/>
      <w:color w:val="006579"/>
      <w:sz w:val="28"/>
      <w:szCs w:val="26"/>
    </w:rPr>
  </w:style>
  <w:style w:type="paragraph" w:styleId="Heading3">
    <w:name w:val="heading 3"/>
    <w:basedOn w:val="BodyText"/>
    <w:next w:val="BodyText"/>
    <w:link w:val="Heading3Char"/>
    <w:uiPriority w:val="1"/>
    <w:qFormat/>
    <w:rsid w:val="003A0563"/>
    <w:pPr>
      <w:keepNext/>
      <w:numPr>
        <w:ilvl w:val="2"/>
        <w:numId w:val="7"/>
      </w:numPr>
      <w:spacing w:before="240" w:after="0"/>
      <w:outlineLvl w:val="2"/>
    </w:pPr>
    <w:rPr>
      <w:rFonts w:eastAsia="Times New Roman"/>
      <w:bCs/>
      <w:color w:val="00968F"/>
      <w:sz w:val="24"/>
    </w:rPr>
  </w:style>
  <w:style w:type="paragraph" w:styleId="Heading4">
    <w:name w:val="heading 4"/>
    <w:basedOn w:val="BodyText"/>
    <w:next w:val="BodyText"/>
    <w:link w:val="Heading4Char"/>
    <w:uiPriority w:val="1"/>
    <w:qFormat/>
    <w:rsid w:val="006D7D18"/>
    <w:pPr>
      <w:keepNext/>
      <w:numPr>
        <w:ilvl w:val="3"/>
        <w:numId w:val="7"/>
      </w:numPr>
      <w:spacing w:before="200" w:after="0"/>
      <w:outlineLvl w:val="3"/>
    </w:pPr>
    <w:rPr>
      <w:rFonts w:eastAsia="Times New Roman"/>
      <w:bCs/>
      <w:iCs/>
      <w:color w:val="595959"/>
      <w:sz w:val="22"/>
    </w:rPr>
  </w:style>
  <w:style w:type="paragraph" w:styleId="Heading5">
    <w:name w:val="heading 5"/>
    <w:basedOn w:val="BodyText"/>
    <w:next w:val="BodyText"/>
    <w:link w:val="Heading5Char"/>
    <w:uiPriority w:val="1"/>
    <w:qFormat/>
    <w:rsid w:val="002703C6"/>
    <w:pPr>
      <w:keepNext/>
      <w:numPr>
        <w:ilvl w:val="4"/>
        <w:numId w:val="7"/>
      </w:numPr>
      <w:spacing w:before="120" w:after="0"/>
      <w:outlineLvl w:val="4"/>
    </w:pPr>
    <w:rPr>
      <w:bCs/>
      <w:i/>
      <w:iCs/>
      <w:color w:val="053341" w:themeColor="text2"/>
      <w:sz w:val="20"/>
      <w:szCs w:val="22"/>
      <w:lang w:val="en"/>
    </w:rPr>
  </w:style>
  <w:style w:type="paragraph" w:styleId="Heading6">
    <w:name w:val="heading 6"/>
    <w:basedOn w:val="BodyText"/>
    <w:next w:val="BodyText"/>
    <w:link w:val="Heading6Char"/>
    <w:uiPriority w:val="1"/>
    <w:qFormat/>
    <w:rsid w:val="00982575"/>
    <w:pPr>
      <w:keepNext/>
      <w:numPr>
        <w:ilvl w:val="5"/>
        <w:numId w:val="7"/>
      </w:numPr>
      <w:spacing w:before="200"/>
      <w:outlineLvl w:val="5"/>
    </w:pPr>
    <w:rPr>
      <w:rFonts w:ascii="Calibri Light" w:eastAsia="Times New Roman" w:hAnsi="Calibri Light"/>
      <w:i/>
      <w:iCs/>
      <w:color w:val="3F878A" w:themeColor="accent4" w:themeShade="80"/>
    </w:rPr>
  </w:style>
  <w:style w:type="paragraph" w:styleId="Heading7">
    <w:name w:val="heading 7"/>
    <w:basedOn w:val="BodyText"/>
    <w:next w:val="BodyText"/>
    <w:link w:val="Heading7Char"/>
    <w:uiPriority w:val="1"/>
    <w:qFormat/>
    <w:rsid w:val="00982575"/>
    <w:pPr>
      <w:keepNext/>
      <w:numPr>
        <w:ilvl w:val="6"/>
        <w:numId w:val="7"/>
      </w:numPr>
      <w:spacing w:before="200"/>
      <w:outlineLvl w:val="6"/>
    </w:pPr>
    <w:rPr>
      <w:rFonts w:ascii="Cambria" w:eastAsia="Times New Roman" w:hAnsi="Cambria"/>
      <w:i/>
      <w:iCs/>
      <w:color w:val="404040"/>
    </w:rPr>
  </w:style>
  <w:style w:type="paragraph" w:styleId="Heading8">
    <w:name w:val="heading 8"/>
    <w:basedOn w:val="BodyText"/>
    <w:next w:val="BodyText"/>
    <w:link w:val="Heading8Char"/>
    <w:uiPriority w:val="1"/>
    <w:qFormat/>
    <w:rsid w:val="00982575"/>
    <w:pPr>
      <w:keepNext/>
      <w:numPr>
        <w:ilvl w:val="7"/>
        <w:numId w:val="7"/>
      </w:numPr>
      <w:spacing w:before="200"/>
      <w:outlineLvl w:val="7"/>
    </w:pPr>
    <w:rPr>
      <w:rFonts w:ascii="Cambria" w:eastAsia="Times New Roman" w:hAnsi="Cambria"/>
      <w:color w:val="404040"/>
    </w:rPr>
  </w:style>
  <w:style w:type="paragraph" w:styleId="Heading9">
    <w:name w:val="heading 9"/>
    <w:basedOn w:val="BodyText"/>
    <w:next w:val="BodyText"/>
    <w:link w:val="Heading9Char"/>
    <w:uiPriority w:val="1"/>
    <w:qFormat/>
    <w:rsid w:val="00982575"/>
    <w:pPr>
      <w:keepNext/>
      <w:numPr>
        <w:ilvl w:val="8"/>
        <w:numId w:val="7"/>
      </w:numPr>
      <w:spacing w:before="200"/>
      <w:outlineLvl w:val="8"/>
    </w:pPr>
    <w:rPr>
      <w:rFonts w:ascii="Cambria" w:eastAsia="Times New Roman" w:hAnsi="Cambria"/>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982575"/>
    <w:rPr>
      <w:rFonts w:ascii="Montserrat" w:eastAsia="Times New Roman" w:hAnsi="Montserrat" w:cs="Calibri"/>
      <w:bCs/>
      <w:color w:val="053341"/>
      <w:sz w:val="32"/>
      <w:szCs w:val="28"/>
      <w:lang w:val="en-AU"/>
    </w:rPr>
  </w:style>
  <w:style w:type="character" w:customStyle="1" w:styleId="Heading2Char">
    <w:name w:val="Heading 2 Char"/>
    <w:basedOn w:val="DefaultParagraphFont"/>
    <w:link w:val="Heading2"/>
    <w:uiPriority w:val="1"/>
    <w:rsid w:val="006D7D18"/>
    <w:rPr>
      <w:rFonts w:ascii="Montserrat" w:eastAsia="Times New Roman" w:hAnsi="Montserrat" w:cs="Calibri"/>
      <w:bCs/>
      <w:color w:val="006579"/>
      <w:sz w:val="28"/>
      <w:szCs w:val="26"/>
      <w:lang w:val="en-AU"/>
    </w:rPr>
  </w:style>
  <w:style w:type="character" w:customStyle="1" w:styleId="Heading3Char">
    <w:name w:val="Heading 3 Char"/>
    <w:basedOn w:val="DefaultParagraphFont"/>
    <w:link w:val="Heading3"/>
    <w:uiPriority w:val="1"/>
    <w:rsid w:val="003A0563"/>
    <w:rPr>
      <w:rFonts w:ascii="Montserrat" w:eastAsia="Times New Roman" w:hAnsi="Montserrat" w:cs="Calibri"/>
      <w:bCs/>
      <w:color w:val="00968F"/>
      <w:sz w:val="24"/>
      <w:szCs w:val="20"/>
      <w:lang w:val="en-AU"/>
    </w:rPr>
  </w:style>
  <w:style w:type="character" w:customStyle="1" w:styleId="Heading4Char">
    <w:name w:val="Heading 4 Char"/>
    <w:basedOn w:val="DefaultParagraphFont"/>
    <w:link w:val="Heading4"/>
    <w:uiPriority w:val="1"/>
    <w:rsid w:val="006D7D18"/>
    <w:rPr>
      <w:rFonts w:ascii="Montserrat" w:eastAsia="Times New Roman" w:hAnsi="Montserrat" w:cs="Calibri"/>
      <w:bCs/>
      <w:iCs/>
      <w:color w:val="595959"/>
      <w:szCs w:val="20"/>
      <w:lang w:val="en-AU"/>
    </w:rPr>
  </w:style>
  <w:style w:type="character" w:customStyle="1" w:styleId="Heading5Char">
    <w:name w:val="Heading 5 Char"/>
    <w:basedOn w:val="DefaultParagraphFont"/>
    <w:link w:val="Heading5"/>
    <w:uiPriority w:val="1"/>
    <w:rsid w:val="002703C6"/>
    <w:rPr>
      <w:rFonts w:ascii="Montserrat" w:hAnsi="Montserrat" w:cs="Calibri"/>
      <w:bCs/>
      <w:i/>
      <w:iCs/>
      <w:color w:val="053341" w:themeColor="text2"/>
      <w:sz w:val="20"/>
      <w:lang w:val="en"/>
    </w:rPr>
  </w:style>
  <w:style w:type="character" w:customStyle="1" w:styleId="Heading6Char">
    <w:name w:val="Heading 6 Char"/>
    <w:basedOn w:val="DefaultParagraphFont"/>
    <w:link w:val="Heading6"/>
    <w:uiPriority w:val="1"/>
    <w:rsid w:val="00982575"/>
    <w:rPr>
      <w:rFonts w:ascii="Calibri Light" w:eastAsia="Times New Roman" w:hAnsi="Calibri Light" w:cs="Calibri"/>
      <w:i/>
      <w:iCs/>
      <w:color w:val="3F878A" w:themeColor="accent4" w:themeShade="80"/>
      <w:sz w:val="19"/>
      <w:szCs w:val="20"/>
      <w:lang w:val="en-AU"/>
    </w:rPr>
  </w:style>
  <w:style w:type="character" w:customStyle="1" w:styleId="Heading7Char">
    <w:name w:val="Heading 7 Char"/>
    <w:basedOn w:val="DefaultParagraphFont"/>
    <w:link w:val="Heading7"/>
    <w:uiPriority w:val="1"/>
    <w:rsid w:val="00982575"/>
    <w:rPr>
      <w:rFonts w:ascii="Cambria" w:eastAsia="Times New Roman" w:hAnsi="Cambria" w:cs="Calibri"/>
      <w:i/>
      <w:iCs/>
      <w:color w:val="404040"/>
      <w:sz w:val="19"/>
      <w:szCs w:val="20"/>
      <w:lang w:val="en-AU"/>
    </w:rPr>
  </w:style>
  <w:style w:type="character" w:customStyle="1" w:styleId="Heading8Char">
    <w:name w:val="Heading 8 Char"/>
    <w:basedOn w:val="DefaultParagraphFont"/>
    <w:link w:val="Heading8"/>
    <w:uiPriority w:val="1"/>
    <w:rsid w:val="00982575"/>
    <w:rPr>
      <w:rFonts w:ascii="Cambria" w:eastAsia="Times New Roman" w:hAnsi="Cambria" w:cs="Calibri"/>
      <w:color w:val="404040"/>
      <w:sz w:val="19"/>
      <w:szCs w:val="20"/>
      <w:lang w:val="en-AU"/>
    </w:rPr>
  </w:style>
  <w:style w:type="character" w:customStyle="1" w:styleId="Heading9Char">
    <w:name w:val="Heading 9 Char"/>
    <w:basedOn w:val="DefaultParagraphFont"/>
    <w:link w:val="Heading9"/>
    <w:uiPriority w:val="1"/>
    <w:rsid w:val="00982575"/>
    <w:rPr>
      <w:rFonts w:ascii="Cambria" w:eastAsia="Times New Roman" w:hAnsi="Cambria" w:cs="Calibri"/>
      <w:i/>
      <w:iCs/>
      <w:color w:val="404040"/>
      <w:sz w:val="19"/>
      <w:szCs w:val="20"/>
      <w:lang w:val="en-AU"/>
    </w:rPr>
  </w:style>
  <w:style w:type="paragraph" w:customStyle="1" w:styleId="Checklist">
    <w:name w:val="Checklist"/>
    <w:basedOn w:val="Normal"/>
    <w:qFormat/>
    <w:rsid w:val="00982575"/>
    <w:pPr>
      <w:spacing w:line="240" w:lineRule="auto"/>
      <w:ind w:left="709" w:hanging="709"/>
    </w:pPr>
    <w:rPr>
      <w:rFonts w:ascii="Arial" w:eastAsia="Times New Roman" w:hAnsi="Arial" w:cs="Times New Roman"/>
      <w:color w:val="333333"/>
      <w:szCs w:val="24"/>
    </w:rPr>
  </w:style>
  <w:style w:type="paragraph" w:styleId="DocumentMap">
    <w:name w:val="Document Map"/>
    <w:basedOn w:val="Normal"/>
    <w:link w:val="DocumentMapChar"/>
    <w:uiPriority w:val="99"/>
    <w:semiHidden/>
    <w:rsid w:val="00982575"/>
    <w:rPr>
      <w:rFonts w:ascii="Tahoma" w:hAnsi="Tahoma" w:cs="Tahoma"/>
      <w:sz w:val="20"/>
      <w:szCs w:val="16"/>
    </w:rPr>
  </w:style>
  <w:style w:type="character" w:customStyle="1" w:styleId="DocumentMapChar">
    <w:name w:val="Document Map Char"/>
    <w:basedOn w:val="DefaultParagraphFont"/>
    <w:link w:val="DocumentMap"/>
    <w:uiPriority w:val="99"/>
    <w:semiHidden/>
    <w:rsid w:val="00982575"/>
    <w:rPr>
      <w:rFonts w:ascii="Tahoma" w:hAnsi="Tahoma" w:cs="Tahoma"/>
      <w:sz w:val="20"/>
      <w:szCs w:val="16"/>
      <w:lang w:val="en-AU"/>
    </w:rPr>
  </w:style>
  <w:style w:type="paragraph" w:styleId="Caption">
    <w:name w:val="caption"/>
    <w:aliases w:val="Table and Figure Name"/>
    <w:next w:val="Pic"/>
    <w:link w:val="CaptionChar"/>
    <w:uiPriority w:val="99"/>
    <w:qFormat/>
    <w:rsid w:val="004F3376"/>
    <w:pPr>
      <w:keepNext/>
      <w:keepLines/>
      <w:spacing w:before="240" w:after="120" w:line="288" w:lineRule="auto"/>
      <w:ind w:left="1134" w:hanging="1134"/>
    </w:pPr>
    <w:rPr>
      <w:rFonts w:ascii="Montserrat" w:hAnsi="Montserrat" w:cs="Calibri"/>
      <w:b/>
      <w:bCs/>
      <w:sz w:val="18"/>
      <w:szCs w:val="18"/>
      <w:lang w:val="en-AU"/>
    </w:rPr>
  </w:style>
  <w:style w:type="paragraph" w:customStyle="1" w:styleId="Pic">
    <w:name w:val="Pic"/>
    <w:next w:val="TableFigNotes18"/>
    <w:uiPriority w:val="9"/>
    <w:qFormat/>
    <w:rsid w:val="00982575"/>
    <w:pPr>
      <w:keepNext/>
      <w:spacing w:after="0" w:line="240" w:lineRule="auto"/>
      <w:jc w:val="center"/>
    </w:pPr>
    <w:rPr>
      <w:rFonts w:ascii="Calibri" w:hAnsi="Calibri" w:cs="Calibri"/>
      <w:sz w:val="20"/>
      <w:szCs w:val="20"/>
      <w:lang w:val="en-AU"/>
    </w:rPr>
  </w:style>
  <w:style w:type="paragraph" w:customStyle="1" w:styleId="Footnote">
    <w:name w:val="Footnote"/>
    <w:basedOn w:val="FootnoteText"/>
    <w:uiPriority w:val="99"/>
    <w:rsid w:val="00180EC8"/>
    <w:pPr>
      <w:spacing w:after="40" w:line="276" w:lineRule="auto"/>
    </w:pPr>
  </w:style>
  <w:style w:type="paragraph" w:styleId="FootnoteText">
    <w:name w:val="footnote text"/>
    <w:basedOn w:val="Normal"/>
    <w:link w:val="FootnoteTextChar"/>
    <w:uiPriority w:val="99"/>
    <w:rsid w:val="00982575"/>
    <w:pPr>
      <w:spacing w:line="240" w:lineRule="auto"/>
      <w:ind w:left="284" w:hanging="284"/>
    </w:pPr>
    <w:rPr>
      <w:sz w:val="16"/>
    </w:rPr>
  </w:style>
  <w:style w:type="character" w:customStyle="1" w:styleId="FootnoteTextChar">
    <w:name w:val="Footnote Text Char"/>
    <w:basedOn w:val="DefaultParagraphFont"/>
    <w:link w:val="FootnoteText"/>
    <w:uiPriority w:val="99"/>
    <w:rsid w:val="00982575"/>
    <w:rPr>
      <w:rFonts w:ascii="Montserrat" w:hAnsi="Montserrat" w:cs="Calibri"/>
      <w:sz w:val="16"/>
      <w:szCs w:val="20"/>
      <w:lang w:val="en-AU"/>
    </w:rPr>
  </w:style>
  <w:style w:type="character" w:customStyle="1" w:styleId="CaptionChar">
    <w:name w:val="Caption Char"/>
    <w:aliases w:val="Table and Figure Name Char"/>
    <w:basedOn w:val="DefaultParagraphFont"/>
    <w:link w:val="Caption"/>
    <w:uiPriority w:val="99"/>
    <w:locked/>
    <w:rsid w:val="004F3376"/>
    <w:rPr>
      <w:rFonts w:ascii="Montserrat" w:hAnsi="Montserrat" w:cs="Calibri"/>
      <w:b/>
      <w:bCs/>
      <w:sz w:val="18"/>
      <w:szCs w:val="18"/>
      <w:lang w:val="en-AU"/>
    </w:rPr>
  </w:style>
  <w:style w:type="character" w:styleId="CommentReference">
    <w:name w:val="annotation reference"/>
    <w:basedOn w:val="DefaultParagraphFont"/>
    <w:uiPriority w:val="99"/>
    <w:rsid w:val="00982575"/>
    <w:rPr>
      <w:rFonts w:cs="Times New Roman"/>
      <w:sz w:val="16"/>
    </w:rPr>
  </w:style>
  <w:style w:type="paragraph" w:styleId="CommentText">
    <w:name w:val="annotation text"/>
    <w:basedOn w:val="Normal"/>
    <w:link w:val="CommentTextChar"/>
    <w:uiPriority w:val="99"/>
    <w:rsid w:val="00982575"/>
    <w:rPr>
      <w:sz w:val="20"/>
    </w:rPr>
  </w:style>
  <w:style w:type="character" w:customStyle="1" w:styleId="CommentTextChar">
    <w:name w:val="Comment Text Char"/>
    <w:basedOn w:val="DefaultParagraphFont"/>
    <w:link w:val="CommentText"/>
    <w:uiPriority w:val="99"/>
    <w:rsid w:val="00982575"/>
    <w:rPr>
      <w:rFonts w:ascii="Montserrat" w:hAnsi="Montserrat" w:cs="Calibri"/>
      <w:sz w:val="20"/>
      <w:szCs w:val="20"/>
      <w:lang w:val="en-AU"/>
    </w:rPr>
  </w:style>
  <w:style w:type="paragraph" w:styleId="CommentSubject">
    <w:name w:val="annotation subject"/>
    <w:basedOn w:val="CommentText"/>
    <w:next w:val="CommentText"/>
    <w:link w:val="CommentSubjectChar"/>
    <w:uiPriority w:val="99"/>
    <w:semiHidden/>
    <w:rsid w:val="00982575"/>
    <w:rPr>
      <w:b/>
      <w:bCs/>
    </w:rPr>
  </w:style>
  <w:style w:type="character" w:customStyle="1" w:styleId="CommentSubjectChar">
    <w:name w:val="Comment Subject Char"/>
    <w:basedOn w:val="CommentTextChar"/>
    <w:link w:val="CommentSubject"/>
    <w:uiPriority w:val="99"/>
    <w:semiHidden/>
    <w:rsid w:val="00982575"/>
    <w:rPr>
      <w:rFonts w:ascii="Montserrat" w:hAnsi="Montserrat" w:cs="Calibri"/>
      <w:b/>
      <w:bCs/>
      <w:sz w:val="20"/>
      <w:szCs w:val="20"/>
      <w:lang w:val="en-AU"/>
    </w:rPr>
  </w:style>
  <w:style w:type="paragraph" w:styleId="BalloonText">
    <w:name w:val="Balloon Text"/>
    <w:basedOn w:val="Normal"/>
    <w:link w:val="BalloonTextChar"/>
    <w:uiPriority w:val="99"/>
    <w:semiHidden/>
    <w:rsid w:val="00982575"/>
    <w:rPr>
      <w:rFonts w:ascii="Tahoma" w:hAnsi="Tahoma" w:cs="Tahoma"/>
      <w:szCs w:val="16"/>
    </w:rPr>
  </w:style>
  <w:style w:type="character" w:customStyle="1" w:styleId="BalloonTextChar">
    <w:name w:val="Balloon Text Char"/>
    <w:basedOn w:val="DefaultParagraphFont"/>
    <w:link w:val="BalloonText"/>
    <w:uiPriority w:val="99"/>
    <w:semiHidden/>
    <w:rsid w:val="00982575"/>
    <w:rPr>
      <w:rFonts w:ascii="Tahoma" w:hAnsi="Tahoma" w:cs="Tahoma"/>
      <w:sz w:val="18"/>
      <w:szCs w:val="16"/>
      <w:lang w:val="en-AU"/>
    </w:rPr>
  </w:style>
  <w:style w:type="paragraph" w:styleId="Header">
    <w:name w:val="header"/>
    <w:basedOn w:val="BodyText"/>
    <w:link w:val="HeaderChar"/>
    <w:uiPriority w:val="99"/>
    <w:rsid w:val="00982575"/>
    <w:pPr>
      <w:tabs>
        <w:tab w:val="center" w:pos="4513"/>
        <w:tab w:val="right" w:pos="9026"/>
      </w:tabs>
      <w:jc w:val="right"/>
    </w:pPr>
    <w:rPr>
      <w:color w:val="7C7C7C" w:themeColor="background1" w:themeShade="80"/>
      <w:sz w:val="16"/>
      <w:szCs w:val="16"/>
    </w:rPr>
  </w:style>
  <w:style w:type="character" w:customStyle="1" w:styleId="HeaderChar">
    <w:name w:val="Header Char"/>
    <w:basedOn w:val="DefaultParagraphFont"/>
    <w:link w:val="Header"/>
    <w:uiPriority w:val="99"/>
    <w:rsid w:val="00982575"/>
    <w:rPr>
      <w:rFonts w:ascii="Montserrat" w:hAnsi="Montserrat" w:cs="Calibri"/>
      <w:color w:val="7C7C7C" w:themeColor="background1" w:themeShade="80"/>
      <w:sz w:val="16"/>
      <w:szCs w:val="16"/>
      <w:lang w:val="en-AU"/>
    </w:rPr>
  </w:style>
  <w:style w:type="paragraph" w:styleId="Footer">
    <w:name w:val="footer"/>
    <w:basedOn w:val="BodyText"/>
    <w:link w:val="FooterChar"/>
    <w:uiPriority w:val="99"/>
    <w:qFormat/>
    <w:rsid w:val="00982575"/>
    <w:pPr>
      <w:tabs>
        <w:tab w:val="center" w:pos="4513"/>
        <w:tab w:val="right" w:pos="9026"/>
      </w:tabs>
    </w:pPr>
    <w:rPr>
      <w:caps/>
      <w:color w:val="7C7C7C" w:themeColor="background1" w:themeShade="80"/>
      <w:sz w:val="15"/>
    </w:rPr>
  </w:style>
  <w:style w:type="character" w:customStyle="1" w:styleId="FooterChar">
    <w:name w:val="Footer Char"/>
    <w:basedOn w:val="DefaultParagraphFont"/>
    <w:link w:val="Footer"/>
    <w:uiPriority w:val="99"/>
    <w:rsid w:val="00982575"/>
    <w:rPr>
      <w:rFonts w:ascii="Montserrat" w:hAnsi="Montserrat" w:cs="Calibri"/>
      <w:caps/>
      <w:color w:val="7C7C7C" w:themeColor="background1" w:themeShade="80"/>
      <w:sz w:val="15"/>
      <w:szCs w:val="20"/>
      <w:lang w:val="en-AU"/>
    </w:rPr>
  </w:style>
  <w:style w:type="character" w:styleId="Hyperlink">
    <w:name w:val="Hyperlink"/>
    <w:uiPriority w:val="99"/>
    <w:rsid w:val="00735984"/>
    <w:rPr>
      <w:rFonts w:ascii="Montserrat" w:hAnsi="Montserrat" w:cs="Times New Roman"/>
      <w:color w:val="006579"/>
      <w:u w:val="single"/>
    </w:rPr>
  </w:style>
  <w:style w:type="paragraph" w:customStyle="1" w:styleId="Tabletext">
    <w:name w:val="Table text"/>
    <w:basedOn w:val="BodyText"/>
    <w:link w:val="TabletextChar"/>
    <w:uiPriority w:val="4"/>
    <w:qFormat/>
    <w:rsid w:val="00982575"/>
    <w:pPr>
      <w:keepNext/>
      <w:spacing w:before="40" w:after="40" w:line="240" w:lineRule="auto"/>
    </w:pPr>
    <w:rPr>
      <w:sz w:val="18"/>
      <w:szCs w:val="16"/>
    </w:rPr>
  </w:style>
  <w:style w:type="paragraph" w:styleId="TOCHeading">
    <w:name w:val="TOC Heading"/>
    <w:basedOn w:val="Heading1"/>
    <w:next w:val="Normal"/>
    <w:uiPriority w:val="39"/>
    <w:qFormat/>
    <w:rsid w:val="00982575"/>
    <w:pPr>
      <w:numPr>
        <w:numId w:val="0"/>
      </w:numPr>
      <w:outlineLvl w:val="9"/>
    </w:pPr>
    <w:rPr>
      <w:rFonts w:cs="Times New Roman"/>
      <w:color w:val="00968F" w:themeColor="accent3"/>
      <w:lang w:val="en-US"/>
    </w:rPr>
  </w:style>
  <w:style w:type="paragraph" w:styleId="TOC1">
    <w:name w:val="toc 1"/>
    <w:basedOn w:val="BodyText"/>
    <w:next w:val="BodyText"/>
    <w:uiPriority w:val="39"/>
    <w:qFormat/>
    <w:rsid w:val="00982575"/>
    <w:pPr>
      <w:tabs>
        <w:tab w:val="left" w:pos="397"/>
        <w:tab w:val="right" w:leader="dot" w:pos="9016"/>
      </w:tabs>
    </w:pPr>
    <w:rPr>
      <w:b/>
      <w:noProof/>
    </w:rPr>
  </w:style>
  <w:style w:type="paragraph" w:styleId="TOC2">
    <w:name w:val="toc 2"/>
    <w:basedOn w:val="BodyText"/>
    <w:next w:val="BodyText"/>
    <w:uiPriority w:val="39"/>
    <w:qFormat/>
    <w:rsid w:val="00982575"/>
    <w:pPr>
      <w:tabs>
        <w:tab w:val="left" w:pos="992"/>
        <w:tab w:val="right" w:leader="dot" w:pos="9015"/>
      </w:tabs>
      <w:ind w:left="567"/>
    </w:pPr>
    <w:rPr>
      <w:sz w:val="17"/>
    </w:rPr>
  </w:style>
  <w:style w:type="paragraph" w:styleId="TOC3">
    <w:name w:val="toc 3"/>
    <w:basedOn w:val="BodyText"/>
    <w:next w:val="BodyText"/>
    <w:uiPriority w:val="39"/>
    <w:qFormat/>
    <w:rsid w:val="00982575"/>
    <w:pPr>
      <w:tabs>
        <w:tab w:val="left" w:pos="1701"/>
        <w:tab w:val="right" w:leader="dot" w:pos="9015"/>
      </w:tabs>
      <w:ind w:left="1134"/>
    </w:pPr>
    <w:rPr>
      <w:sz w:val="16"/>
    </w:rPr>
  </w:style>
  <w:style w:type="paragraph" w:styleId="TOC4">
    <w:name w:val="toc 4"/>
    <w:basedOn w:val="BodyText"/>
    <w:next w:val="BodyText"/>
    <w:uiPriority w:val="39"/>
    <w:rsid w:val="00982575"/>
    <w:pPr>
      <w:tabs>
        <w:tab w:val="left" w:pos="2552"/>
        <w:tab w:val="right" w:leader="dot" w:pos="9015"/>
      </w:tabs>
      <w:ind w:left="1928"/>
    </w:pPr>
    <w:rPr>
      <w:i/>
      <w:sz w:val="17"/>
    </w:rPr>
  </w:style>
  <w:style w:type="character" w:styleId="FootnoteReference">
    <w:name w:val="footnote reference"/>
    <w:basedOn w:val="DefaultParagraphFont"/>
    <w:uiPriority w:val="99"/>
    <w:rsid w:val="00982575"/>
    <w:rPr>
      <w:caps w:val="0"/>
      <w:smallCaps w:val="0"/>
      <w:strike w:val="0"/>
      <w:dstrike w:val="0"/>
      <w:vanish w:val="0"/>
      <w:vertAlign w:val="superscript"/>
    </w:rPr>
  </w:style>
  <w:style w:type="paragraph" w:customStyle="1" w:styleId="Tablebullet">
    <w:name w:val="Table bullet"/>
    <w:uiPriority w:val="4"/>
    <w:rsid w:val="00982575"/>
    <w:pPr>
      <w:spacing w:before="40" w:after="60" w:line="240" w:lineRule="auto"/>
      <w:ind w:left="426" w:hanging="357"/>
    </w:pPr>
    <w:rPr>
      <w:rFonts w:ascii="Calibri" w:eastAsia="Times New Roman" w:hAnsi="Calibri" w:cs="Calibri"/>
      <w:bCs/>
      <w:color w:val="000000"/>
      <w:sz w:val="18"/>
      <w:szCs w:val="26"/>
      <w:lang w:val="en-AU"/>
    </w:rPr>
  </w:style>
  <w:style w:type="paragraph" w:styleId="BodyText">
    <w:name w:val="Body Text"/>
    <w:link w:val="BodyTextChar"/>
    <w:uiPriority w:val="99"/>
    <w:rsid w:val="00765B85"/>
    <w:pPr>
      <w:keepLines/>
      <w:spacing w:after="120" w:line="288" w:lineRule="auto"/>
    </w:pPr>
    <w:rPr>
      <w:rFonts w:ascii="Montserrat" w:hAnsi="Montserrat" w:cs="Calibri"/>
      <w:color w:val="000000" w:themeColor="text1"/>
      <w:sz w:val="19"/>
      <w:szCs w:val="20"/>
      <w:lang w:val="en-AU"/>
    </w:rPr>
  </w:style>
  <w:style w:type="character" w:customStyle="1" w:styleId="BodyTextChar">
    <w:name w:val="Body Text Char"/>
    <w:basedOn w:val="DefaultParagraphFont"/>
    <w:link w:val="BodyText"/>
    <w:uiPriority w:val="99"/>
    <w:rsid w:val="00765B85"/>
    <w:rPr>
      <w:rFonts w:ascii="Montserrat" w:hAnsi="Montserrat" w:cs="Calibri"/>
      <w:color w:val="000000" w:themeColor="text1"/>
      <w:sz w:val="19"/>
      <w:szCs w:val="20"/>
      <w:lang w:val="en-AU"/>
    </w:rPr>
  </w:style>
  <w:style w:type="paragraph" w:styleId="TOC5">
    <w:name w:val="toc 5"/>
    <w:basedOn w:val="BodyText"/>
    <w:next w:val="BodyText"/>
    <w:uiPriority w:val="39"/>
    <w:rsid w:val="00982575"/>
    <w:pPr>
      <w:spacing w:after="100"/>
      <w:ind w:left="880"/>
    </w:pPr>
    <w:rPr>
      <w:rFonts w:eastAsia="Times New Roman"/>
      <w:lang w:eastAsia="en-AU"/>
    </w:rPr>
  </w:style>
  <w:style w:type="paragraph" w:styleId="TOC6">
    <w:name w:val="toc 6"/>
    <w:basedOn w:val="BodyText"/>
    <w:next w:val="BodyText"/>
    <w:uiPriority w:val="39"/>
    <w:rsid w:val="00982575"/>
    <w:pPr>
      <w:spacing w:after="100"/>
      <w:ind w:left="1100"/>
    </w:pPr>
    <w:rPr>
      <w:rFonts w:eastAsia="Times New Roman"/>
      <w:lang w:eastAsia="en-AU"/>
    </w:rPr>
  </w:style>
  <w:style w:type="paragraph" w:styleId="TOC7">
    <w:name w:val="toc 7"/>
    <w:basedOn w:val="BodyText"/>
    <w:next w:val="BodyText"/>
    <w:uiPriority w:val="39"/>
    <w:rsid w:val="00982575"/>
    <w:pPr>
      <w:spacing w:after="100"/>
      <w:ind w:left="720" w:hanging="360"/>
    </w:pPr>
    <w:rPr>
      <w:rFonts w:eastAsia="Times New Roman"/>
      <w:lang w:eastAsia="en-AU"/>
    </w:rPr>
  </w:style>
  <w:style w:type="paragraph" w:styleId="TOC8">
    <w:name w:val="toc 8"/>
    <w:basedOn w:val="BodyText"/>
    <w:next w:val="BodyText"/>
    <w:uiPriority w:val="39"/>
    <w:rsid w:val="00982575"/>
    <w:pPr>
      <w:spacing w:after="100"/>
      <w:ind w:left="1540"/>
    </w:pPr>
    <w:rPr>
      <w:rFonts w:eastAsia="Times New Roman"/>
      <w:lang w:eastAsia="en-AU"/>
    </w:rPr>
  </w:style>
  <w:style w:type="paragraph" w:styleId="TOC9">
    <w:name w:val="toc 9"/>
    <w:basedOn w:val="BodyText"/>
    <w:next w:val="BodyText"/>
    <w:uiPriority w:val="39"/>
    <w:rsid w:val="00982575"/>
    <w:pPr>
      <w:spacing w:after="100"/>
      <w:ind w:left="1760"/>
    </w:pPr>
    <w:rPr>
      <w:rFonts w:eastAsia="Times New Roman"/>
      <w:lang w:eastAsia="en-AU"/>
    </w:rPr>
  </w:style>
  <w:style w:type="paragraph" w:styleId="Revision">
    <w:name w:val="Revision"/>
    <w:hidden/>
    <w:uiPriority w:val="99"/>
    <w:semiHidden/>
    <w:rsid w:val="00982575"/>
    <w:pPr>
      <w:spacing w:before="20" w:after="240" w:line="240" w:lineRule="auto"/>
    </w:pPr>
    <w:rPr>
      <w:rFonts w:ascii="Calibri" w:hAnsi="Calibri" w:cs="Times New Roman"/>
      <w:lang w:val="en-AU"/>
    </w:rPr>
  </w:style>
  <w:style w:type="character" w:styleId="PlaceholderText">
    <w:name w:val="Placeholder Text"/>
    <w:basedOn w:val="DefaultParagraphFont"/>
    <w:uiPriority w:val="99"/>
    <w:semiHidden/>
    <w:rsid w:val="00982575"/>
    <w:rPr>
      <w:rFonts w:cs="Times New Roman"/>
      <w:color w:val="808080"/>
    </w:rPr>
  </w:style>
  <w:style w:type="character" w:styleId="FollowedHyperlink">
    <w:name w:val="FollowedHyperlink"/>
    <w:basedOn w:val="DefaultParagraphFont"/>
    <w:uiPriority w:val="99"/>
    <w:semiHidden/>
    <w:unhideWhenUsed/>
    <w:rsid w:val="00982575"/>
    <w:rPr>
      <w:color w:val="000000" w:themeColor="followedHyperlink"/>
      <w:u w:val="single"/>
    </w:rPr>
  </w:style>
  <w:style w:type="paragraph" w:customStyle="1" w:styleId="References">
    <w:name w:val="References"/>
    <w:uiPriority w:val="9"/>
    <w:qFormat/>
    <w:rsid w:val="00982575"/>
    <w:pPr>
      <w:spacing w:before="120" w:after="0" w:line="240" w:lineRule="auto"/>
      <w:ind w:left="425" w:hanging="425"/>
    </w:pPr>
    <w:rPr>
      <w:rFonts w:ascii="Calibri" w:hAnsi="Calibri" w:cs="Calibri"/>
      <w:sz w:val="20"/>
      <w:szCs w:val="16"/>
      <w:lang w:val="en-AU"/>
    </w:rPr>
  </w:style>
  <w:style w:type="paragraph" w:customStyle="1" w:styleId="1Tablelist">
    <w:name w:val="1. Table list"/>
    <w:basedOn w:val="BodyText"/>
    <w:qFormat/>
    <w:rsid w:val="00982575"/>
    <w:pPr>
      <w:spacing w:before="20" w:line="240" w:lineRule="auto"/>
      <w:ind w:left="522" w:right="113" w:hanging="360"/>
    </w:pPr>
  </w:style>
  <w:style w:type="paragraph" w:styleId="TableofFigures">
    <w:name w:val="table of figures"/>
    <w:basedOn w:val="BodyText"/>
    <w:next w:val="BodyText"/>
    <w:uiPriority w:val="99"/>
    <w:unhideWhenUsed/>
    <w:rsid w:val="00982575"/>
    <w:pPr>
      <w:ind w:left="1134" w:hanging="1134"/>
    </w:pPr>
  </w:style>
  <w:style w:type="paragraph" w:customStyle="1" w:styleId="AbbreviationsList">
    <w:name w:val="Abbreviations List"/>
    <w:uiPriority w:val="9"/>
    <w:qFormat/>
    <w:rsid w:val="00982575"/>
    <w:pPr>
      <w:tabs>
        <w:tab w:val="left" w:pos="2268"/>
      </w:tabs>
      <w:spacing w:before="2" w:after="0" w:line="240" w:lineRule="auto"/>
      <w:ind w:left="851"/>
    </w:pPr>
    <w:rPr>
      <w:rFonts w:ascii="Montserrat" w:hAnsi="Montserrat" w:cs="Calibri"/>
      <w:sz w:val="18"/>
      <w:szCs w:val="20"/>
      <w:lang w:val="en-AU"/>
    </w:rPr>
  </w:style>
  <w:style w:type="paragraph" w:styleId="Title">
    <w:name w:val="Title"/>
    <w:basedOn w:val="BodyText"/>
    <w:next w:val="BodyText"/>
    <w:link w:val="TitleChar"/>
    <w:uiPriority w:val="10"/>
    <w:qFormat/>
    <w:rsid w:val="00982575"/>
    <w:pPr>
      <w:jc w:val="right"/>
    </w:pPr>
    <w:rPr>
      <w:rFonts w:cs="Tahoma"/>
      <w:caps/>
      <w:color w:val="auto"/>
      <w:sz w:val="40"/>
      <w:szCs w:val="36"/>
      <w:lang w:val="en-US"/>
    </w:rPr>
  </w:style>
  <w:style w:type="character" w:customStyle="1" w:styleId="TitleChar">
    <w:name w:val="Title Char"/>
    <w:basedOn w:val="DefaultParagraphFont"/>
    <w:link w:val="Title"/>
    <w:uiPriority w:val="10"/>
    <w:rsid w:val="00982575"/>
    <w:rPr>
      <w:rFonts w:ascii="Montserrat" w:hAnsi="Montserrat" w:cs="Tahoma"/>
      <w:caps/>
      <w:sz w:val="40"/>
      <w:szCs w:val="36"/>
      <w:lang w:val="en-US"/>
    </w:rPr>
  </w:style>
  <w:style w:type="paragraph" w:styleId="Date">
    <w:name w:val="Date"/>
    <w:aliases w:val="Front page text"/>
    <w:basedOn w:val="Normal"/>
    <w:next w:val="BodyText"/>
    <w:link w:val="DateChar"/>
    <w:uiPriority w:val="99"/>
    <w:unhideWhenUsed/>
    <w:rsid w:val="00982575"/>
    <w:pPr>
      <w:keepNext/>
      <w:numPr>
        <w:numId w:val="2"/>
      </w:numPr>
      <w:spacing w:after="240"/>
      <w:jc w:val="right"/>
    </w:pPr>
    <w:rPr>
      <w:rFonts w:cs="Tahoma"/>
      <w:smallCaps/>
      <w:sz w:val="32"/>
      <w:szCs w:val="28"/>
    </w:rPr>
  </w:style>
  <w:style w:type="character" w:customStyle="1" w:styleId="DateChar">
    <w:name w:val="Date Char"/>
    <w:aliases w:val="Front page text Char"/>
    <w:basedOn w:val="DefaultParagraphFont"/>
    <w:link w:val="Date"/>
    <w:uiPriority w:val="99"/>
    <w:rsid w:val="00982575"/>
    <w:rPr>
      <w:rFonts w:ascii="Montserrat" w:hAnsi="Montserrat" w:cs="Tahoma"/>
      <w:smallCaps/>
      <w:sz w:val="32"/>
      <w:szCs w:val="28"/>
      <w:lang w:val="en-AU"/>
    </w:rPr>
  </w:style>
  <w:style w:type="paragraph" w:customStyle="1" w:styleId="BoxHeading">
    <w:name w:val="BoxHeading"/>
    <w:basedOn w:val="BodyText"/>
    <w:uiPriority w:val="3"/>
    <w:rsid w:val="00982575"/>
    <w:pPr>
      <w:pBdr>
        <w:top w:val="single" w:sz="6" w:space="1" w:color="000000"/>
        <w:left w:val="single" w:sz="6" w:space="4" w:color="000000"/>
        <w:bottom w:val="single" w:sz="6" w:space="1" w:color="000000"/>
        <w:right w:val="single" w:sz="6" w:space="4" w:color="000000"/>
      </w:pBdr>
      <w:tabs>
        <w:tab w:val="left" w:pos="1418"/>
      </w:tabs>
      <w:spacing w:line="240" w:lineRule="auto"/>
    </w:pPr>
    <w:rPr>
      <w:rFonts w:eastAsia="Times New Roman"/>
      <w:b/>
      <w:bCs/>
      <w:lang w:val="en-US"/>
    </w:rPr>
  </w:style>
  <w:style w:type="paragraph" w:customStyle="1" w:styleId="BoxText">
    <w:name w:val="BoxText"/>
    <w:basedOn w:val="BodyText"/>
    <w:uiPriority w:val="3"/>
    <w:rsid w:val="00982575"/>
    <w:pPr>
      <w:pBdr>
        <w:top w:val="single" w:sz="6" w:space="1" w:color="000000"/>
        <w:left w:val="single" w:sz="6" w:space="4" w:color="000000"/>
        <w:bottom w:val="single" w:sz="6" w:space="1" w:color="000000"/>
        <w:right w:val="single" w:sz="6" w:space="4" w:color="000000"/>
      </w:pBdr>
      <w:spacing w:after="240" w:line="240" w:lineRule="auto"/>
    </w:pPr>
    <w:rPr>
      <w:rFonts w:eastAsia="Times New Roman"/>
      <w:szCs w:val="24"/>
      <w:lang w:val="en-US"/>
    </w:rPr>
  </w:style>
  <w:style w:type="paragraph" w:customStyle="1" w:styleId="BoxName">
    <w:name w:val="BoxName"/>
    <w:basedOn w:val="BoxText"/>
    <w:uiPriority w:val="3"/>
    <w:rsid w:val="00982575"/>
    <w:pPr>
      <w:keepNext/>
      <w:pBdr>
        <w:top w:val="none" w:sz="0" w:space="0" w:color="auto"/>
        <w:left w:val="none" w:sz="0" w:space="0" w:color="auto"/>
        <w:bottom w:val="none" w:sz="0" w:space="0" w:color="auto"/>
        <w:right w:val="none" w:sz="0" w:space="0" w:color="auto"/>
      </w:pBdr>
      <w:spacing w:before="180"/>
      <w:ind w:left="1886" w:hanging="1080"/>
    </w:pPr>
    <w:rPr>
      <w:rFonts w:asciiTheme="minorHAnsi" w:hAnsiTheme="minorHAnsi"/>
      <w:b/>
      <w:bCs/>
    </w:rPr>
  </w:style>
  <w:style w:type="paragraph" w:customStyle="1" w:styleId="Bulletintro">
    <w:name w:val="Bullet intro"/>
    <w:basedOn w:val="BodyText"/>
    <w:next w:val="Bullet12"/>
    <w:link w:val="BulletintroChar"/>
    <w:uiPriority w:val="2"/>
    <w:qFormat/>
    <w:rsid w:val="00982575"/>
    <w:pPr>
      <w:keepNext/>
      <w:spacing w:after="60"/>
    </w:pPr>
    <w:rPr>
      <w:rFonts w:eastAsia="Times New Roman" w:cs="Arial"/>
      <w:szCs w:val="24"/>
      <w:lang w:val="en-US"/>
    </w:rPr>
  </w:style>
  <w:style w:type="paragraph" w:customStyle="1" w:styleId="Bullet12">
    <w:name w:val="Bullet+12"/>
    <w:basedOn w:val="Normal"/>
    <w:next w:val="BodyText"/>
    <w:uiPriority w:val="2"/>
    <w:qFormat/>
    <w:rsid w:val="00447C31"/>
    <w:pPr>
      <w:keepLines/>
      <w:numPr>
        <w:numId w:val="11"/>
      </w:numPr>
      <w:tabs>
        <w:tab w:val="left" w:pos="437"/>
        <w:tab w:val="left" w:pos="765"/>
      </w:tabs>
      <w:spacing w:after="240" w:line="288" w:lineRule="auto"/>
      <w:contextualSpacing/>
    </w:pPr>
    <w:rPr>
      <w:sz w:val="19"/>
      <w:lang w:val="en-US"/>
    </w:rPr>
  </w:style>
  <w:style w:type="paragraph" w:customStyle="1" w:styleId="Company">
    <w:name w:val="Company"/>
    <w:basedOn w:val="Clientname"/>
    <w:uiPriority w:val="8"/>
    <w:qFormat/>
    <w:rsid w:val="00982575"/>
    <w:pPr>
      <w:numPr>
        <w:numId w:val="5"/>
      </w:numPr>
    </w:pPr>
    <w:rPr>
      <w:color w:val="auto"/>
    </w:rPr>
  </w:style>
  <w:style w:type="paragraph" w:styleId="Subtitle">
    <w:name w:val="Subtitle"/>
    <w:basedOn w:val="Normal"/>
    <w:next w:val="BodyText"/>
    <w:link w:val="SubtitleChar"/>
    <w:uiPriority w:val="11"/>
    <w:qFormat/>
    <w:rsid w:val="00982575"/>
    <w:pPr>
      <w:spacing w:after="0" w:line="271" w:lineRule="auto"/>
      <w:jc w:val="right"/>
    </w:pPr>
    <w:rPr>
      <w:rFonts w:cs="Tahoma"/>
      <w:bCs/>
      <w:smallCaps/>
      <w:sz w:val="36"/>
      <w:szCs w:val="22"/>
      <w:lang w:val="en-US"/>
    </w:rPr>
  </w:style>
  <w:style w:type="character" w:customStyle="1" w:styleId="SubtitleChar">
    <w:name w:val="Subtitle Char"/>
    <w:basedOn w:val="DefaultParagraphFont"/>
    <w:link w:val="Subtitle"/>
    <w:uiPriority w:val="11"/>
    <w:rsid w:val="00982575"/>
    <w:rPr>
      <w:rFonts w:ascii="Montserrat" w:hAnsi="Montserrat" w:cs="Tahoma"/>
      <w:bCs/>
      <w:smallCaps/>
      <w:sz w:val="36"/>
      <w:lang w:val="en-US"/>
    </w:rPr>
  </w:style>
  <w:style w:type="paragraph" w:customStyle="1" w:styleId="CompanyAddress">
    <w:name w:val="CompanyAddress"/>
    <w:basedOn w:val="Normal"/>
    <w:uiPriority w:val="8"/>
    <w:qFormat/>
    <w:rsid w:val="00982575"/>
    <w:pPr>
      <w:spacing w:after="0" w:line="240" w:lineRule="auto"/>
      <w:jc w:val="right"/>
      <w:textDirection w:val="btLr"/>
    </w:pPr>
    <w:rPr>
      <w:rFonts w:eastAsia="Tahoma" w:cs="Tahoma"/>
      <w:color w:val="FFFFFF"/>
      <w:sz w:val="22"/>
    </w:rPr>
  </w:style>
  <w:style w:type="paragraph" w:customStyle="1" w:styleId="Dash12">
    <w:name w:val="Dash+12"/>
    <w:basedOn w:val="Normal"/>
    <w:uiPriority w:val="2"/>
    <w:rsid w:val="00982575"/>
    <w:pPr>
      <w:keepLines/>
      <w:tabs>
        <w:tab w:val="num" w:pos="720"/>
        <w:tab w:val="left" w:pos="765"/>
      </w:tabs>
      <w:spacing w:after="240" w:line="288" w:lineRule="auto"/>
      <w:ind w:left="720" w:hanging="360"/>
    </w:pPr>
    <w:rPr>
      <w:sz w:val="20"/>
    </w:rPr>
  </w:style>
  <w:style w:type="paragraph" w:customStyle="1" w:styleId="Drugname">
    <w:name w:val="Drug name"/>
    <w:basedOn w:val="Normal"/>
    <w:next w:val="Normal"/>
    <w:semiHidden/>
    <w:qFormat/>
    <w:rsid w:val="00982575"/>
    <w:pPr>
      <w:spacing w:after="0" w:line="240" w:lineRule="auto"/>
      <w:jc w:val="right"/>
    </w:pPr>
    <w:rPr>
      <w:rFonts w:ascii="Helvetica" w:eastAsia="Times New Roman" w:hAnsi="Helvetica"/>
      <w:b/>
      <w:bCs/>
      <w:caps/>
      <w:sz w:val="36"/>
      <w:szCs w:val="36"/>
      <w:lang w:eastAsia="en-GB"/>
    </w:rPr>
  </w:style>
  <w:style w:type="paragraph" w:customStyle="1" w:styleId="Figurename">
    <w:name w:val="Figure name"/>
    <w:basedOn w:val="BodyText"/>
    <w:next w:val="BodyText"/>
    <w:uiPriority w:val="5"/>
    <w:qFormat/>
    <w:rsid w:val="00982575"/>
    <w:pPr>
      <w:keepNext/>
      <w:tabs>
        <w:tab w:val="left" w:pos="1418"/>
      </w:tabs>
      <w:spacing w:line="240" w:lineRule="auto"/>
      <w:ind w:left="1418" w:hanging="1418"/>
    </w:pPr>
    <w:rPr>
      <w:rFonts w:eastAsia="Times New Roman"/>
      <w:b/>
      <w:bCs/>
      <w:lang w:val="en-US"/>
    </w:rPr>
  </w:style>
  <w:style w:type="paragraph" w:customStyle="1" w:styleId="H1no">
    <w:name w:val="H1 no#"/>
    <w:basedOn w:val="Heading1"/>
    <w:next w:val="BodyText"/>
    <w:uiPriority w:val="1"/>
    <w:rsid w:val="00982575"/>
    <w:pPr>
      <w:numPr>
        <w:numId w:val="0"/>
      </w:numPr>
    </w:pPr>
    <w:rPr>
      <w:rFonts w:eastAsiaTheme="majorEastAsia"/>
    </w:rPr>
  </w:style>
  <w:style w:type="paragraph" w:customStyle="1" w:styleId="H1notoc">
    <w:name w:val="H1 no toc"/>
    <w:basedOn w:val="Heading1"/>
    <w:next w:val="BodyText"/>
    <w:uiPriority w:val="1"/>
    <w:rsid w:val="00982575"/>
    <w:pPr>
      <w:numPr>
        <w:numId w:val="0"/>
      </w:numPr>
      <w:spacing w:before="20" w:after="20"/>
      <w:ind w:left="431" w:hanging="431"/>
    </w:pPr>
    <w:rPr>
      <w:rFonts w:eastAsiaTheme="majorEastAsia" w:cstheme="minorHAnsi"/>
    </w:rPr>
  </w:style>
  <w:style w:type="paragraph" w:customStyle="1" w:styleId="H2notoc">
    <w:name w:val="H2 no toc"/>
    <w:basedOn w:val="Heading2"/>
    <w:next w:val="BodyText"/>
    <w:link w:val="H2notocChar"/>
    <w:uiPriority w:val="1"/>
    <w:qFormat/>
    <w:rsid w:val="00982575"/>
    <w:pPr>
      <w:numPr>
        <w:ilvl w:val="0"/>
        <w:numId w:val="0"/>
      </w:numPr>
      <w:outlineLvl w:val="9"/>
    </w:pPr>
  </w:style>
  <w:style w:type="paragraph" w:customStyle="1" w:styleId="H3notoc">
    <w:name w:val="H3 no toc"/>
    <w:basedOn w:val="Heading3"/>
    <w:next w:val="BodyText"/>
    <w:link w:val="H3notocChar"/>
    <w:uiPriority w:val="1"/>
    <w:qFormat/>
    <w:rsid w:val="00982575"/>
    <w:pPr>
      <w:numPr>
        <w:ilvl w:val="0"/>
        <w:numId w:val="0"/>
      </w:numPr>
      <w:outlineLvl w:val="9"/>
    </w:pPr>
  </w:style>
  <w:style w:type="paragraph" w:customStyle="1" w:styleId="QuoteBodyText">
    <w:name w:val="QuoteBodyText"/>
    <w:basedOn w:val="BodyText"/>
    <w:next w:val="BodyText"/>
    <w:uiPriority w:val="6"/>
    <w:qFormat/>
    <w:rsid w:val="00982575"/>
    <w:pPr>
      <w:spacing w:after="0" w:line="240" w:lineRule="auto"/>
      <w:ind w:left="567" w:right="662"/>
    </w:pPr>
    <w:rPr>
      <w:i/>
      <w:szCs w:val="18"/>
    </w:rPr>
  </w:style>
  <w:style w:type="paragraph" w:customStyle="1" w:styleId="QuoteSmallText">
    <w:name w:val="QuoteSmallText"/>
    <w:basedOn w:val="QuoteBodyText"/>
    <w:next w:val="BodyText"/>
    <w:uiPriority w:val="6"/>
    <w:qFormat/>
    <w:rsid w:val="00982575"/>
    <w:pPr>
      <w:spacing w:before="120"/>
    </w:pPr>
  </w:style>
  <w:style w:type="paragraph" w:customStyle="1" w:styleId="Tabledash">
    <w:name w:val="Table dash"/>
    <w:basedOn w:val="BodyText"/>
    <w:uiPriority w:val="4"/>
    <w:qFormat/>
    <w:rsid w:val="00982575"/>
    <w:pPr>
      <w:keepNext/>
      <w:tabs>
        <w:tab w:val="left" w:pos="303"/>
      </w:tabs>
      <w:spacing w:before="20" w:after="20" w:line="240" w:lineRule="auto"/>
      <w:ind w:left="445" w:right="113" w:hanging="283"/>
    </w:pPr>
    <w:rPr>
      <w:rFonts w:eastAsia="Times New Roman"/>
      <w:bCs/>
      <w:szCs w:val="26"/>
    </w:rPr>
  </w:style>
  <w:style w:type="paragraph" w:customStyle="1" w:styleId="TableH1">
    <w:name w:val="Table H1"/>
    <w:basedOn w:val="BodyText"/>
    <w:uiPriority w:val="4"/>
    <w:qFormat/>
    <w:rsid w:val="00982575"/>
    <w:pPr>
      <w:keepNext/>
      <w:spacing w:before="20" w:after="20" w:line="240" w:lineRule="auto"/>
    </w:pPr>
    <w:rPr>
      <w:b/>
      <w:sz w:val="18"/>
      <w:szCs w:val="16"/>
      <w:lang w:val="en-US"/>
    </w:rPr>
  </w:style>
  <w:style w:type="paragraph" w:customStyle="1" w:styleId="TableH29pt">
    <w:name w:val="Table H2 9pt"/>
    <w:basedOn w:val="BodyText"/>
    <w:next w:val="Tabletext"/>
    <w:uiPriority w:val="4"/>
    <w:qFormat/>
    <w:rsid w:val="00982575"/>
    <w:pPr>
      <w:keepNext/>
      <w:spacing w:before="20" w:after="20" w:line="240" w:lineRule="auto"/>
      <w:contextualSpacing/>
    </w:pPr>
    <w:rPr>
      <w:b/>
    </w:rPr>
  </w:style>
  <w:style w:type="paragraph" w:customStyle="1" w:styleId="TableH3italic">
    <w:name w:val="Table H3 italic"/>
    <w:basedOn w:val="TableH29pt"/>
    <w:next w:val="Tabletext"/>
    <w:uiPriority w:val="4"/>
    <w:qFormat/>
    <w:rsid w:val="00982575"/>
    <w:rPr>
      <w:i/>
      <w:color w:val="595959" w:themeColor="text1" w:themeTint="A6"/>
      <w:sz w:val="16"/>
      <w:szCs w:val="16"/>
    </w:rPr>
  </w:style>
  <w:style w:type="paragraph" w:customStyle="1" w:styleId="TableFigNotes18">
    <w:name w:val="TableFigNotes+18"/>
    <w:basedOn w:val="Normal"/>
    <w:next w:val="BodyText"/>
    <w:link w:val="TableFigNotes18Char"/>
    <w:uiPriority w:val="4"/>
    <w:qFormat/>
    <w:rsid w:val="000A1756"/>
    <w:pPr>
      <w:pBdr>
        <w:top w:val="nil"/>
        <w:left w:val="nil"/>
        <w:bottom w:val="nil"/>
        <w:right w:val="nil"/>
        <w:between w:val="nil"/>
      </w:pBdr>
      <w:spacing w:after="360"/>
      <w:contextualSpacing/>
    </w:pPr>
    <w:rPr>
      <w:color w:val="000000"/>
      <w:sz w:val="15"/>
      <w:szCs w:val="16"/>
    </w:rPr>
  </w:style>
  <w:style w:type="paragraph" w:customStyle="1" w:styleId="H2no">
    <w:name w:val="H2 no#"/>
    <w:basedOn w:val="H2notoc"/>
    <w:rsid w:val="00982575"/>
  </w:style>
  <w:style w:type="paragraph" w:customStyle="1" w:styleId="ListNos12">
    <w:name w:val="ListNos+12"/>
    <w:basedOn w:val="Normal"/>
    <w:next w:val="BodyText"/>
    <w:uiPriority w:val="2"/>
    <w:qFormat/>
    <w:rsid w:val="00982575"/>
    <w:pPr>
      <w:keepLines/>
      <w:numPr>
        <w:numId w:val="8"/>
      </w:numPr>
      <w:spacing w:after="240" w:line="288" w:lineRule="auto"/>
    </w:pPr>
  </w:style>
  <w:style w:type="paragraph" w:customStyle="1" w:styleId="Notes">
    <w:name w:val="Notes"/>
    <w:next w:val="BodyText"/>
    <w:uiPriority w:val="6"/>
    <w:qFormat/>
    <w:rsid w:val="00982575"/>
    <w:pPr>
      <w:spacing w:after="120" w:line="240" w:lineRule="auto"/>
      <w:ind w:left="786" w:hanging="360"/>
    </w:pPr>
    <w:rPr>
      <w:rFonts w:ascii="Calibri" w:eastAsia="Times New Roman" w:hAnsi="Calibri" w:cs="Times New Roman"/>
      <w:color w:val="C00000"/>
      <w:szCs w:val="24"/>
      <w:lang w:val="en-AU"/>
    </w:rPr>
  </w:style>
  <w:style w:type="character" w:styleId="PageNumber">
    <w:name w:val="page number"/>
    <w:basedOn w:val="DefaultParagraphFont"/>
    <w:uiPriority w:val="8"/>
    <w:rsid w:val="00982575"/>
    <w:rPr>
      <w:rFonts w:ascii="Calibri" w:hAnsi="Calibri"/>
      <w:b w:val="0"/>
      <w:color w:val="7C7C7C" w:themeColor="background1" w:themeShade="80"/>
      <w:sz w:val="18"/>
    </w:rPr>
  </w:style>
  <w:style w:type="character" w:styleId="Emphasis">
    <w:name w:val="Emphasis"/>
    <w:uiPriority w:val="20"/>
    <w:qFormat/>
    <w:rsid w:val="00982575"/>
    <w:rPr>
      <w:i/>
      <w:iCs/>
    </w:rPr>
  </w:style>
  <w:style w:type="table" w:customStyle="1" w:styleId="StandardTable">
    <w:name w:val="Standard Table"/>
    <w:basedOn w:val="TableNormal"/>
    <w:semiHidden/>
    <w:rsid w:val="00982575"/>
    <w:pPr>
      <w:spacing w:after="0" w:line="240" w:lineRule="auto"/>
    </w:pPr>
    <w:rPr>
      <w:rFonts w:ascii="Garamond" w:eastAsia="Times New Roman" w:hAnsi="Garamond" w:cs="Times New Roman"/>
      <w:sz w:val="18"/>
      <w:szCs w:val="20"/>
      <w:lang w:val="en-AU" w:eastAsia="en-AU"/>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cPr>
      <w:vAlign w:val="center"/>
    </w:tcPr>
    <w:tblStylePr w:type="firstRow">
      <w:pPr>
        <w:wordWrap/>
        <w:spacing w:beforeLines="0" w:beforeAutospacing="0" w:afterLines="0" w:afterAutospacing="0" w:line="240" w:lineRule="auto"/>
        <w:contextualSpacing w:val="0"/>
      </w:pPr>
      <w:rPr>
        <w:rFonts w:ascii="Arial Unicode MS" w:hAnsi="Arial Unicode MS"/>
        <w:b/>
        <w:sz w:val="18"/>
      </w:rPr>
      <w:tblPr/>
      <w:tcPr>
        <w:tcBorders>
          <w:top w:val="single" w:sz="12" w:space="0" w:color="auto"/>
          <w:bottom w:val="single" w:sz="12" w:space="0" w:color="auto"/>
        </w:tcBorders>
      </w:tcPr>
    </w:tblStylePr>
  </w:style>
  <w:style w:type="paragraph" w:customStyle="1" w:styleId="Table-columnheadings">
    <w:name w:val="Table - column headings"/>
    <w:basedOn w:val="Normal"/>
    <w:semiHidden/>
    <w:unhideWhenUsed/>
    <w:rsid w:val="00982575"/>
    <w:pPr>
      <w:spacing w:after="240" w:line="240" w:lineRule="auto"/>
      <w:ind w:left="720"/>
      <w:jc w:val="center"/>
    </w:pPr>
    <w:rPr>
      <w:rFonts w:eastAsia="Times New Roman" w:cs="Arial"/>
      <w:b/>
      <w:color w:val="000000"/>
      <w:sz w:val="20"/>
      <w:szCs w:val="24"/>
      <w:lang w:val="en-US" w:eastAsia="en-AU"/>
    </w:rPr>
  </w:style>
  <w:style w:type="table" w:customStyle="1" w:styleId="TableNoBorders">
    <w:name w:val="Table No Borders"/>
    <w:basedOn w:val="TableNormal"/>
    <w:rsid w:val="00982575"/>
    <w:pPr>
      <w:spacing w:before="40" w:after="20" w:line="240" w:lineRule="auto"/>
    </w:pPr>
    <w:rPr>
      <w:rFonts w:ascii="Garamond" w:eastAsia="Times New Roman" w:hAnsi="Garamond" w:cs="Times New Roman"/>
      <w:lang w:val="en-AU" w:eastAsia="en-AU"/>
    </w:rPr>
    <w:tblPr/>
  </w:style>
  <w:style w:type="table" w:customStyle="1" w:styleId="TableHTAStandard">
    <w:name w:val="Table HTA Standard"/>
    <w:basedOn w:val="TableNoBorders"/>
    <w:rsid w:val="00982575"/>
    <w:pPr>
      <w:tabs>
        <w:tab w:val="left" w:pos="416"/>
        <w:tab w:val="left" w:pos="582"/>
      </w:tabs>
    </w:pPr>
    <w:rPr>
      <w:sz w:val="18"/>
      <w:szCs w:val="18"/>
      <w:lang w:val="en-US" w:eastAsia="ja-JP"/>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cPr>
      <w:shd w:val="clear" w:color="auto" w:fill="auto"/>
      <w:vAlign w:val="center"/>
    </w:tcPr>
    <w:tblStylePr w:type="firstRow">
      <w:pPr>
        <w:wordWrap/>
        <w:spacing w:beforeLines="0" w:beforeAutospacing="0" w:afterLines="0" w:afterAutospacing="0" w:line="240" w:lineRule="auto"/>
        <w:contextualSpacing w:val="0"/>
        <w:outlineLvl w:val="9"/>
      </w:pPr>
      <w:tblPr/>
      <w:tcPr>
        <w:tcBorders>
          <w:top w:val="single" w:sz="12" w:space="0" w:color="auto"/>
          <w:left w:val="single" w:sz="2" w:space="0" w:color="auto"/>
          <w:bottom w:val="single" w:sz="12" w:space="0" w:color="auto"/>
          <w:right w:val="single" w:sz="2" w:space="0" w:color="auto"/>
          <w:insideH w:val="single" w:sz="2" w:space="0" w:color="auto"/>
          <w:insideV w:val="single" w:sz="2" w:space="0" w:color="auto"/>
          <w:tl2br w:val="nil"/>
          <w:tr2bl w:val="nil"/>
        </w:tcBorders>
        <w:shd w:val="clear" w:color="auto" w:fill="auto"/>
      </w:tcPr>
    </w:tblStylePr>
    <w:tblStylePr w:type="band1Horz">
      <w:tblPr/>
      <w:tcPr>
        <w:tcBorders>
          <w:tl2br w:val="none" w:sz="0" w:space="0" w:color="auto"/>
          <w:tr2bl w:val="none" w:sz="0" w:space="0" w:color="auto"/>
        </w:tcBorders>
        <w:shd w:val="pct5" w:color="000000" w:fill="FFFFFF"/>
      </w:tcPr>
    </w:tblStylePr>
    <w:tblStylePr w:type="band2Horz">
      <w:tblPr/>
      <w:tcPr>
        <w:tcBorders>
          <w:tl2br w:val="none" w:sz="0" w:space="0" w:color="auto"/>
          <w:tr2bl w:val="none" w:sz="0" w:space="0" w:color="auto"/>
        </w:tcBorders>
        <w:shd w:val="pct20" w:color="000000" w:fill="FFFFFF"/>
      </w:tcPr>
    </w:tblStylePr>
  </w:style>
  <w:style w:type="paragraph" w:customStyle="1" w:styleId="TableListNos">
    <w:name w:val="Table ListNos"/>
    <w:basedOn w:val="BodyText"/>
    <w:uiPriority w:val="4"/>
    <w:qFormat/>
    <w:rsid w:val="00982575"/>
    <w:pPr>
      <w:numPr>
        <w:numId w:val="1"/>
      </w:numPr>
    </w:pPr>
  </w:style>
  <w:style w:type="table" w:styleId="TableSimple1">
    <w:name w:val="Table Simple 1"/>
    <w:basedOn w:val="TableNormal"/>
    <w:locked/>
    <w:rsid w:val="00982575"/>
    <w:pPr>
      <w:spacing w:after="0" w:line="240" w:lineRule="auto"/>
    </w:pPr>
    <w:rPr>
      <w:rFonts w:ascii="Arial Narrow" w:eastAsia="MS Mincho" w:hAnsi="Arial Narrow" w:cs="Times New Roman"/>
      <w:sz w:val="18"/>
      <w:szCs w:val="20"/>
      <w:lang w:val="en-AU" w:eastAsia="en-AU"/>
    </w:rPr>
    <w:tblPr>
      <w:tblBorders>
        <w:top w:val="single" w:sz="4" w:space="0" w:color="auto"/>
        <w:bottom w:val="single" w:sz="4" w:space="0" w:color="auto"/>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textindent">
    <w:name w:val="Table text indent"/>
    <w:basedOn w:val="Tabletext"/>
    <w:uiPriority w:val="4"/>
    <w:qFormat/>
    <w:rsid w:val="00982575"/>
    <w:pPr>
      <w:ind w:left="284"/>
    </w:pPr>
  </w:style>
  <w:style w:type="table" w:styleId="TableTheme">
    <w:name w:val="Table Theme"/>
    <w:basedOn w:val="TableNormal"/>
    <w:semiHidden/>
    <w:rsid w:val="00982575"/>
    <w:pPr>
      <w:numPr>
        <w:numId w:val="21"/>
      </w:numPr>
      <w:spacing w:after="0" w:line="240" w:lineRule="auto"/>
    </w:pPr>
    <w:rPr>
      <w:rFonts w:ascii="Garamond" w:eastAsia="Times New Roman" w:hAnsi="Garamond"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2nonocol">
    <w:name w:val="H2 no#nocol"/>
    <w:basedOn w:val="Heading2"/>
    <w:next w:val="BodyText"/>
    <w:link w:val="H2nonocolChar"/>
    <w:uiPriority w:val="1"/>
    <w:qFormat/>
    <w:rsid w:val="00982575"/>
    <w:pPr>
      <w:numPr>
        <w:ilvl w:val="0"/>
        <w:numId w:val="0"/>
      </w:numPr>
    </w:pPr>
    <w:rPr>
      <w:color w:val="7F7F7F" w:themeColor="text1" w:themeTint="80"/>
    </w:rPr>
  </w:style>
  <w:style w:type="paragraph" w:customStyle="1" w:styleId="H3-nonocol">
    <w:name w:val="H3-no#nocol"/>
    <w:basedOn w:val="Heading3"/>
    <w:next w:val="BodyText"/>
    <w:link w:val="H3-nonocolChar"/>
    <w:uiPriority w:val="1"/>
    <w:qFormat/>
    <w:rsid w:val="00982575"/>
    <w:pPr>
      <w:numPr>
        <w:ilvl w:val="0"/>
        <w:numId w:val="0"/>
      </w:numPr>
    </w:pPr>
    <w:rPr>
      <w:color w:val="7C7C7C" w:themeColor="background1" w:themeShade="80"/>
    </w:rPr>
  </w:style>
  <w:style w:type="paragraph" w:customStyle="1" w:styleId="H4-nonocol">
    <w:name w:val="H4-no#nocol"/>
    <w:basedOn w:val="Heading4"/>
    <w:next w:val="BodyText"/>
    <w:uiPriority w:val="1"/>
    <w:qFormat/>
    <w:rsid w:val="00982575"/>
    <w:pPr>
      <w:numPr>
        <w:ilvl w:val="0"/>
        <w:numId w:val="0"/>
      </w:numPr>
    </w:pPr>
    <w:rPr>
      <w:color w:val="BABABA" w:themeColor="background1" w:themeShade="BF"/>
    </w:rPr>
  </w:style>
  <w:style w:type="character" w:styleId="IntenseEmphasis">
    <w:name w:val="Intense Emphasis"/>
    <w:basedOn w:val="DefaultParagraphFont"/>
    <w:uiPriority w:val="21"/>
    <w:qFormat/>
    <w:rsid w:val="00982575"/>
    <w:rPr>
      <w:i/>
      <w:iCs/>
      <w:color w:val="595959" w:themeColor="text1" w:themeTint="A6"/>
    </w:rPr>
  </w:style>
  <w:style w:type="character" w:customStyle="1" w:styleId="H2notocChar">
    <w:name w:val="H2 no toc Char"/>
    <w:basedOn w:val="Heading2Char"/>
    <w:link w:val="H2notoc"/>
    <w:uiPriority w:val="1"/>
    <w:rsid w:val="00982575"/>
    <w:rPr>
      <w:rFonts w:ascii="Montserrat" w:eastAsia="Times New Roman" w:hAnsi="Montserrat" w:cs="Calibri"/>
      <w:bCs/>
      <w:color w:val="006579"/>
      <w:sz w:val="28"/>
      <w:szCs w:val="26"/>
      <w:lang w:val="en-AU"/>
    </w:rPr>
  </w:style>
  <w:style w:type="character" w:customStyle="1" w:styleId="H2nonocolChar">
    <w:name w:val="H2 no#nocol Char"/>
    <w:basedOn w:val="Heading2Char"/>
    <w:link w:val="H2nonocol"/>
    <w:uiPriority w:val="1"/>
    <w:rsid w:val="00982575"/>
    <w:rPr>
      <w:rFonts w:ascii="Montserrat" w:eastAsia="Times New Roman" w:hAnsi="Montserrat" w:cs="Calibri"/>
      <w:bCs/>
      <w:color w:val="7F7F7F" w:themeColor="text1" w:themeTint="80"/>
      <w:sz w:val="28"/>
      <w:szCs w:val="26"/>
      <w:lang w:val="en-AU"/>
    </w:rPr>
  </w:style>
  <w:style w:type="character" w:customStyle="1" w:styleId="H3notocChar">
    <w:name w:val="H3 no toc Char"/>
    <w:basedOn w:val="Heading3Char"/>
    <w:link w:val="H3notoc"/>
    <w:uiPriority w:val="1"/>
    <w:rsid w:val="00982575"/>
    <w:rPr>
      <w:rFonts w:ascii="Montserrat" w:eastAsia="Times New Roman" w:hAnsi="Montserrat" w:cs="Calibri"/>
      <w:bCs/>
      <w:color w:val="00968F"/>
      <w:sz w:val="24"/>
      <w:szCs w:val="20"/>
      <w:lang w:val="en-AU"/>
    </w:rPr>
  </w:style>
  <w:style w:type="character" w:customStyle="1" w:styleId="H3-nonocolChar">
    <w:name w:val="H3-no#nocol Char"/>
    <w:basedOn w:val="Heading3Char"/>
    <w:link w:val="H3-nonocol"/>
    <w:uiPriority w:val="1"/>
    <w:rsid w:val="00982575"/>
    <w:rPr>
      <w:rFonts w:ascii="Montserrat" w:eastAsia="Times New Roman" w:hAnsi="Montserrat" w:cs="Calibri"/>
      <w:bCs/>
      <w:color w:val="7C7C7C" w:themeColor="background1" w:themeShade="80"/>
      <w:sz w:val="24"/>
      <w:szCs w:val="20"/>
      <w:lang w:val="en-AU"/>
    </w:rPr>
  </w:style>
  <w:style w:type="character" w:styleId="SubtleEmphasis">
    <w:name w:val="Subtle Emphasis"/>
    <w:basedOn w:val="DefaultParagraphFont"/>
    <w:uiPriority w:val="19"/>
    <w:qFormat/>
    <w:rsid w:val="00982575"/>
    <w:rPr>
      <w:rFonts w:ascii="Montserrat" w:hAnsi="Montserrat"/>
      <w:i/>
      <w:iCs/>
      <w:color w:val="404040" w:themeColor="text1" w:themeTint="BF"/>
      <w:sz w:val="18"/>
    </w:rPr>
  </w:style>
  <w:style w:type="character" w:styleId="Strong">
    <w:name w:val="Strong"/>
    <w:uiPriority w:val="22"/>
    <w:qFormat/>
    <w:rsid w:val="00C51BE8"/>
    <w:rPr>
      <w:b/>
      <w:bCs/>
    </w:rPr>
  </w:style>
  <w:style w:type="paragraph" w:customStyle="1" w:styleId="H1nonocol">
    <w:name w:val="H1 no#nocol"/>
    <w:basedOn w:val="H1no"/>
    <w:qFormat/>
    <w:rsid w:val="00982575"/>
    <w:rPr>
      <w:color w:val="404040" w:themeColor="text1" w:themeTint="BF"/>
    </w:rPr>
  </w:style>
  <w:style w:type="paragraph" w:customStyle="1" w:styleId="TableH29ptCentered">
    <w:name w:val="Table H2 9pt + Centered"/>
    <w:basedOn w:val="TableH29pt"/>
    <w:qFormat/>
    <w:rsid w:val="00982575"/>
    <w:pPr>
      <w:jc w:val="center"/>
    </w:pPr>
  </w:style>
  <w:style w:type="paragraph" w:styleId="IntenseQuote">
    <w:name w:val="Intense Quote"/>
    <w:basedOn w:val="Normal"/>
    <w:next w:val="Normal"/>
    <w:link w:val="IntenseQuoteChar"/>
    <w:uiPriority w:val="30"/>
    <w:qFormat/>
    <w:rsid w:val="00982575"/>
    <w:pPr>
      <w:numPr>
        <w:numId w:val="4"/>
      </w:numPr>
      <w:pBdr>
        <w:top w:val="single" w:sz="4" w:space="10" w:color="053341" w:themeColor="accent1"/>
        <w:bottom w:val="single" w:sz="4" w:space="10" w:color="053341" w:themeColor="accent1"/>
      </w:pBdr>
      <w:spacing w:before="360" w:after="360"/>
      <w:ind w:right="864"/>
      <w:jc w:val="center"/>
    </w:pPr>
    <w:rPr>
      <w:i/>
      <w:iCs/>
      <w:color w:val="053341" w:themeColor="accent1"/>
    </w:rPr>
  </w:style>
  <w:style w:type="paragraph" w:customStyle="1" w:styleId="Tabletext9pt">
    <w:name w:val="Table text 9pt"/>
    <w:basedOn w:val="Tabletext"/>
    <w:link w:val="Tabletext9ptChar"/>
    <w:qFormat/>
    <w:rsid w:val="00982575"/>
  </w:style>
  <w:style w:type="character" w:customStyle="1" w:styleId="TableFigNotes18Char">
    <w:name w:val="TableFigNotes+18 Char"/>
    <w:basedOn w:val="DefaultParagraphFont"/>
    <w:link w:val="TableFigNotes18"/>
    <w:uiPriority w:val="4"/>
    <w:locked/>
    <w:rsid w:val="00982575"/>
    <w:rPr>
      <w:rFonts w:ascii="Montserrat" w:hAnsi="Montserrat" w:cs="Calibri"/>
      <w:color w:val="000000"/>
      <w:sz w:val="15"/>
      <w:szCs w:val="16"/>
      <w:lang w:val="en-AU"/>
    </w:rPr>
  </w:style>
  <w:style w:type="character" w:customStyle="1" w:styleId="TabletextChar">
    <w:name w:val="Table text Char"/>
    <w:basedOn w:val="DefaultParagraphFont"/>
    <w:link w:val="Tabletext"/>
    <w:uiPriority w:val="4"/>
    <w:locked/>
    <w:rsid w:val="00982575"/>
    <w:rPr>
      <w:rFonts w:ascii="Montserrat" w:hAnsi="Montserrat" w:cs="Calibri"/>
      <w:color w:val="000000" w:themeColor="text1"/>
      <w:sz w:val="18"/>
      <w:szCs w:val="16"/>
      <w:lang w:val="en-AU"/>
    </w:rPr>
  </w:style>
  <w:style w:type="table" w:styleId="PlainTable1">
    <w:name w:val="Plain Table 1"/>
    <w:basedOn w:val="TableNormal"/>
    <w:uiPriority w:val="41"/>
    <w:rsid w:val="00982575"/>
    <w:pPr>
      <w:spacing w:after="0" w:line="240" w:lineRule="auto"/>
    </w:pPr>
    <w:tblPr>
      <w:tblStyleRowBandSize w:val="1"/>
      <w:tblStyleColBandSize w:val="1"/>
      <w:tblBorders>
        <w:top w:val="single" w:sz="4" w:space="0" w:color="BABABA" w:themeColor="background1" w:themeShade="BF"/>
        <w:left w:val="single" w:sz="4" w:space="0" w:color="BABABA" w:themeColor="background1" w:themeShade="BF"/>
        <w:bottom w:val="single" w:sz="4" w:space="0" w:color="BABABA" w:themeColor="background1" w:themeShade="BF"/>
        <w:right w:val="single" w:sz="4" w:space="0" w:color="BABABA" w:themeColor="background1" w:themeShade="BF"/>
        <w:insideH w:val="single" w:sz="4" w:space="0" w:color="BABABA" w:themeColor="background1" w:themeShade="BF"/>
        <w:insideV w:val="single" w:sz="4" w:space="0" w:color="BABABA" w:themeColor="background1" w:themeShade="BF"/>
      </w:tblBorders>
    </w:tblPr>
    <w:tblStylePr w:type="firstRow">
      <w:rPr>
        <w:b/>
        <w:bCs/>
      </w:rPr>
    </w:tblStylePr>
    <w:tblStylePr w:type="lastRow">
      <w:rPr>
        <w:b/>
        <w:bCs/>
      </w:rPr>
      <w:tblPr/>
      <w:tcPr>
        <w:tcBorders>
          <w:top w:val="double" w:sz="4" w:space="0" w:color="BABABA" w:themeColor="background1" w:themeShade="BF"/>
        </w:tcBorders>
      </w:tcPr>
    </w:tblStylePr>
    <w:tblStylePr w:type="firstCol">
      <w:rPr>
        <w:b w:val="0"/>
        <w:bCs/>
      </w:rPr>
    </w:tblStylePr>
    <w:tblStylePr w:type="lastCol">
      <w:rPr>
        <w:b/>
        <w:bCs/>
      </w:rPr>
    </w:tblStylePr>
    <w:tblStylePr w:type="band1Vert">
      <w:tblPr/>
      <w:tcPr>
        <w:shd w:val="clear" w:color="auto" w:fill="ECECEC" w:themeFill="background1" w:themeFillShade="F2"/>
      </w:tcPr>
    </w:tblStylePr>
    <w:tblStylePr w:type="band1Horz">
      <w:tblPr/>
      <w:tcPr>
        <w:shd w:val="clear" w:color="auto" w:fill="ECECEC" w:themeFill="background1" w:themeFillShade="F2"/>
      </w:tcPr>
    </w:tblStylePr>
  </w:style>
  <w:style w:type="table" w:styleId="TableGridLight">
    <w:name w:val="Grid Table Light"/>
    <w:basedOn w:val="TableNormal"/>
    <w:uiPriority w:val="40"/>
    <w:rsid w:val="00982575"/>
    <w:pPr>
      <w:spacing w:after="0" w:line="240" w:lineRule="auto"/>
    </w:pPr>
    <w:rPr>
      <w:rFonts w:ascii="Montserrat" w:hAnsi="Montserrat"/>
      <w:sz w:val="16"/>
    </w:rPr>
    <w:tblPr>
      <w:tblBorders>
        <w:top w:val="single" w:sz="4" w:space="0" w:color="BABABA" w:themeColor="background1" w:themeShade="BF"/>
        <w:left w:val="single" w:sz="4" w:space="0" w:color="BABABA" w:themeColor="background1" w:themeShade="BF"/>
        <w:bottom w:val="single" w:sz="4" w:space="0" w:color="BABABA" w:themeColor="background1" w:themeShade="BF"/>
        <w:right w:val="single" w:sz="4" w:space="0" w:color="BABABA" w:themeColor="background1" w:themeShade="BF"/>
        <w:insideH w:val="single" w:sz="4" w:space="0" w:color="BABABA" w:themeColor="background1" w:themeShade="BF"/>
        <w:insideV w:val="single" w:sz="4" w:space="0" w:color="BABABA" w:themeColor="background1" w:themeShade="BF"/>
      </w:tblBorders>
      <w:tblCellMar>
        <w:left w:w="85" w:type="dxa"/>
        <w:right w:w="85" w:type="dxa"/>
      </w:tblCellMar>
    </w:tblPr>
    <w:tcPr>
      <w:vAlign w:val="center"/>
    </w:tcPr>
    <w:tblStylePr w:type="firstRow">
      <w:rPr>
        <w:rFonts w:ascii="Segoe UI" w:hAnsi="Segoe UI"/>
        <w:b/>
        <w:sz w:val="16"/>
      </w:rPr>
    </w:tblStylePr>
    <w:tblStylePr w:type="firstCol">
      <w:rPr>
        <w:b/>
      </w:rPr>
    </w:tblStylePr>
  </w:style>
  <w:style w:type="table" w:styleId="PlainTable2">
    <w:name w:val="Plain Table 2"/>
    <w:basedOn w:val="TableNormal"/>
    <w:uiPriority w:val="42"/>
    <w:rsid w:val="0098257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8257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ECECEC" w:themeFill="background1" w:themeFillShade="F2"/>
      </w:tcPr>
    </w:tblStylePr>
    <w:tblStylePr w:type="band1Horz">
      <w:tblPr/>
      <w:tcPr>
        <w:shd w:val="clear" w:color="auto" w:fill="ECECEC"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Heading1caps">
    <w:name w:val="Heading 1 caps"/>
    <w:basedOn w:val="Heading1"/>
    <w:link w:val="Heading1capsChar"/>
    <w:qFormat/>
    <w:rsid w:val="00982575"/>
    <w:pPr>
      <w:numPr>
        <w:numId w:val="0"/>
      </w:numPr>
    </w:pPr>
    <w:rPr>
      <w:caps/>
    </w:rPr>
  </w:style>
  <w:style w:type="paragraph" w:customStyle="1" w:styleId="Heading2caps">
    <w:name w:val="Heading 2 caps"/>
    <w:basedOn w:val="Heading2"/>
    <w:qFormat/>
    <w:rsid w:val="00982575"/>
    <w:pPr>
      <w:numPr>
        <w:ilvl w:val="0"/>
        <w:numId w:val="0"/>
      </w:numPr>
    </w:pPr>
    <w:rPr>
      <w:caps/>
    </w:rPr>
  </w:style>
  <w:style w:type="character" w:customStyle="1" w:styleId="Heading1capsChar">
    <w:name w:val="Heading 1 caps Char"/>
    <w:basedOn w:val="Heading1Char"/>
    <w:link w:val="Heading1caps"/>
    <w:rsid w:val="00982575"/>
    <w:rPr>
      <w:rFonts w:ascii="Montserrat" w:eastAsia="Times New Roman" w:hAnsi="Montserrat" w:cs="Calibri"/>
      <w:bCs/>
      <w:caps/>
      <w:color w:val="053341"/>
      <w:sz w:val="32"/>
      <w:szCs w:val="28"/>
      <w:lang w:val="en-AU"/>
    </w:rPr>
  </w:style>
  <w:style w:type="paragraph" w:customStyle="1" w:styleId="Heading3caps">
    <w:name w:val="Heading 3 caps"/>
    <w:basedOn w:val="Heading3"/>
    <w:qFormat/>
    <w:rsid w:val="00982575"/>
    <w:pPr>
      <w:numPr>
        <w:ilvl w:val="0"/>
        <w:numId w:val="0"/>
      </w:numPr>
    </w:pPr>
    <w:rPr>
      <w:caps/>
    </w:rPr>
  </w:style>
  <w:style w:type="table" w:styleId="TableGrid">
    <w:name w:val="Table Grid"/>
    <w:aliases w:val="HTAtableplain"/>
    <w:basedOn w:val="TableNormal"/>
    <w:uiPriority w:val="59"/>
    <w:rsid w:val="009825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28ptCentered">
    <w:name w:val="Table H2 8pt + Centered"/>
    <w:basedOn w:val="TableH29pt"/>
    <w:qFormat/>
    <w:rsid w:val="00982575"/>
    <w:pPr>
      <w:jc w:val="center"/>
    </w:pPr>
    <w:rPr>
      <w:sz w:val="16"/>
    </w:rPr>
  </w:style>
  <w:style w:type="paragraph" w:customStyle="1" w:styleId="TableH28pt">
    <w:name w:val="Table H2 8pt"/>
    <w:basedOn w:val="Normal"/>
    <w:qFormat/>
    <w:rsid w:val="00982575"/>
    <w:pPr>
      <w:keepNext/>
      <w:keepLines/>
      <w:spacing w:before="20" w:after="20" w:line="240" w:lineRule="auto"/>
      <w:contextualSpacing/>
    </w:pPr>
    <w:rPr>
      <w:b/>
      <w:color w:val="000000"/>
      <w:sz w:val="16"/>
    </w:rPr>
  </w:style>
  <w:style w:type="paragraph" w:customStyle="1" w:styleId="Tabletext8pt">
    <w:name w:val="Table text 8pt"/>
    <w:basedOn w:val="Tabletext"/>
    <w:link w:val="Tabletext8ptChar"/>
    <w:qFormat/>
    <w:rsid w:val="00982575"/>
    <w:pPr>
      <w:keepNext w:val="0"/>
      <w:spacing w:line="276" w:lineRule="auto"/>
    </w:pPr>
    <w:rPr>
      <w:sz w:val="16"/>
    </w:rPr>
  </w:style>
  <w:style w:type="paragraph" w:customStyle="1" w:styleId="Tabletext8ptCentered">
    <w:name w:val="Table text 8pt + Centered"/>
    <w:basedOn w:val="Tabletext8pt"/>
    <w:qFormat/>
    <w:rsid w:val="00982575"/>
  </w:style>
  <w:style w:type="character" w:customStyle="1" w:styleId="IntenseQuoteChar">
    <w:name w:val="Intense Quote Char"/>
    <w:basedOn w:val="DefaultParagraphFont"/>
    <w:link w:val="IntenseQuote"/>
    <w:uiPriority w:val="30"/>
    <w:rsid w:val="00982575"/>
    <w:rPr>
      <w:rFonts w:ascii="Montserrat" w:hAnsi="Montserrat" w:cs="Calibri"/>
      <w:i/>
      <w:iCs/>
      <w:color w:val="053341" w:themeColor="accent1"/>
      <w:sz w:val="18"/>
      <w:szCs w:val="20"/>
      <w:lang w:val="en-AU"/>
    </w:rPr>
  </w:style>
  <w:style w:type="paragraph" w:styleId="Quote">
    <w:name w:val="Quote"/>
    <w:basedOn w:val="Normal"/>
    <w:next w:val="Normal"/>
    <w:link w:val="QuoteChar"/>
    <w:uiPriority w:val="29"/>
    <w:qFormat/>
    <w:rsid w:val="00982575"/>
    <w:pPr>
      <w:spacing w:before="200" w:after="160"/>
      <w:ind w:left="864" w:right="864"/>
      <w:jc w:val="center"/>
    </w:pPr>
    <w:rPr>
      <w:i/>
      <w:iCs/>
    </w:rPr>
  </w:style>
  <w:style w:type="character" w:customStyle="1" w:styleId="QuoteChar">
    <w:name w:val="Quote Char"/>
    <w:basedOn w:val="DefaultParagraphFont"/>
    <w:link w:val="Quote"/>
    <w:uiPriority w:val="29"/>
    <w:rsid w:val="00982575"/>
    <w:rPr>
      <w:rFonts w:ascii="Montserrat" w:hAnsi="Montserrat" w:cs="Calibri"/>
      <w:i/>
      <w:iCs/>
      <w:sz w:val="18"/>
      <w:szCs w:val="20"/>
      <w:lang w:val="en-AU"/>
    </w:rPr>
  </w:style>
  <w:style w:type="paragraph" w:styleId="ListParagraph">
    <w:name w:val="List Paragraph"/>
    <w:basedOn w:val="Normal"/>
    <w:uiPriority w:val="34"/>
    <w:qFormat/>
    <w:rsid w:val="00982575"/>
    <w:pPr>
      <w:ind w:left="720"/>
      <w:contextualSpacing/>
    </w:pPr>
  </w:style>
  <w:style w:type="character" w:styleId="IntenseReference">
    <w:name w:val="Intense Reference"/>
    <w:basedOn w:val="DefaultParagraphFont"/>
    <w:uiPriority w:val="32"/>
    <w:qFormat/>
    <w:rsid w:val="00982575"/>
    <w:rPr>
      <w:b/>
      <w:bCs/>
      <w:smallCaps/>
      <w:color w:val="053341" w:themeColor="accent1"/>
      <w:spacing w:val="5"/>
    </w:rPr>
  </w:style>
  <w:style w:type="character" w:styleId="SubtleReference">
    <w:name w:val="Subtle Reference"/>
    <w:basedOn w:val="DefaultParagraphFont"/>
    <w:uiPriority w:val="31"/>
    <w:rsid w:val="008E3D7E"/>
    <w:rPr>
      <w:smallCaps/>
      <w:color w:val="5A5A5A" w:themeColor="text1" w:themeTint="A5"/>
    </w:rPr>
  </w:style>
  <w:style w:type="character" w:styleId="UnresolvedMention">
    <w:name w:val="Unresolved Mention"/>
    <w:basedOn w:val="DefaultParagraphFont"/>
    <w:uiPriority w:val="99"/>
    <w:semiHidden/>
    <w:unhideWhenUsed/>
    <w:rsid w:val="00E60E9B"/>
    <w:rPr>
      <w:color w:val="605E5C"/>
      <w:shd w:val="clear" w:color="auto" w:fill="E1DFDD"/>
    </w:rPr>
  </w:style>
  <w:style w:type="paragraph" w:customStyle="1" w:styleId="H4-notoc">
    <w:name w:val="H4-notoc"/>
    <w:basedOn w:val="H4-NoNum"/>
    <w:next w:val="BodyText"/>
    <w:link w:val="H4-notocChar"/>
    <w:qFormat/>
    <w:rsid w:val="00982575"/>
  </w:style>
  <w:style w:type="character" w:customStyle="1" w:styleId="H4-NoNumChar">
    <w:name w:val="H4-NoNum Char"/>
    <w:basedOn w:val="Heading4Char"/>
    <w:link w:val="H4-NoNum"/>
    <w:uiPriority w:val="1"/>
    <w:rsid w:val="00982575"/>
    <w:rPr>
      <w:rFonts w:ascii="Montserrat" w:eastAsia="Times New Roman" w:hAnsi="Montserrat" w:cs="Calibri"/>
      <w:bCs/>
      <w:iCs/>
      <w:color w:val="595959"/>
      <w:szCs w:val="20"/>
      <w:lang w:val="en-AU"/>
    </w:rPr>
  </w:style>
  <w:style w:type="character" w:customStyle="1" w:styleId="H4-notocChar">
    <w:name w:val="H4-notoc Char"/>
    <w:basedOn w:val="H4-NoNumChar"/>
    <w:link w:val="H4-notoc"/>
    <w:rsid w:val="00982575"/>
    <w:rPr>
      <w:rFonts w:ascii="Montserrat" w:eastAsia="Times New Roman" w:hAnsi="Montserrat" w:cs="Calibri"/>
      <w:bCs/>
      <w:iCs/>
      <w:color w:val="595959"/>
      <w:szCs w:val="20"/>
      <w:lang w:val="en-AU"/>
    </w:rPr>
  </w:style>
  <w:style w:type="paragraph" w:customStyle="1" w:styleId="H1-NoNum">
    <w:name w:val="H1-NoNum"/>
    <w:basedOn w:val="Heading1"/>
    <w:next w:val="BodyText"/>
    <w:uiPriority w:val="1"/>
    <w:rsid w:val="00982575"/>
    <w:pPr>
      <w:numPr>
        <w:numId w:val="0"/>
      </w:numPr>
    </w:pPr>
    <w:rPr>
      <w:color w:val="00968F" w:themeColor="accent3"/>
    </w:rPr>
  </w:style>
  <w:style w:type="paragraph" w:customStyle="1" w:styleId="H1-nontoc">
    <w:name w:val="H1-nontoc"/>
    <w:basedOn w:val="Heading1"/>
    <w:next w:val="BodyText"/>
    <w:uiPriority w:val="1"/>
    <w:rsid w:val="00982575"/>
    <w:pPr>
      <w:numPr>
        <w:numId w:val="0"/>
      </w:numPr>
      <w:spacing w:before="20" w:after="20"/>
      <w:ind w:left="431" w:hanging="431"/>
      <w:outlineLvl w:val="9"/>
    </w:pPr>
    <w:rPr>
      <w:rFonts w:cstheme="minorHAnsi"/>
    </w:rPr>
  </w:style>
  <w:style w:type="paragraph" w:customStyle="1" w:styleId="H2-nontoc">
    <w:name w:val="H2-nontoc"/>
    <w:basedOn w:val="Heading2"/>
    <w:next w:val="BodyText"/>
    <w:link w:val="H2-nontocChar"/>
    <w:uiPriority w:val="1"/>
    <w:rsid w:val="00982575"/>
    <w:pPr>
      <w:numPr>
        <w:ilvl w:val="0"/>
        <w:numId w:val="0"/>
      </w:numPr>
      <w:outlineLvl w:val="9"/>
    </w:pPr>
  </w:style>
  <w:style w:type="paragraph" w:customStyle="1" w:styleId="H3-nontoc">
    <w:name w:val="H3-nontoc"/>
    <w:basedOn w:val="Heading3"/>
    <w:next w:val="BodyText"/>
    <w:link w:val="H3-nontocChar"/>
    <w:uiPriority w:val="1"/>
    <w:qFormat/>
    <w:rsid w:val="00982575"/>
    <w:pPr>
      <w:numPr>
        <w:ilvl w:val="0"/>
        <w:numId w:val="0"/>
      </w:numPr>
      <w:ind w:left="1074" w:hanging="360"/>
      <w:outlineLvl w:val="9"/>
    </w:pPr>
  </w:style>
  <w:style w:type="paragraph" w:customStyle="1" w:styleId="H2-NoNumColour">
    <w:name w:val="H2-NoNumColour"/>
    <w:basedOn w:val="H2-NoNum"/>
    <w:next w:val="BodyText"/>
    <w:qFormat/>
    <w:rsid w:val="00982575"/>
  </w:style>
  <w:style w:type="paragraph" w:customStyle="1" w:styleId="H2-NoNum">
    <w:name w:val="H2-NoNum"/>
    <w:basedOn w:val="Heading2"/>
    <w:next w:val="BodyText"/>
    <w:link w:val="H2-NoNumChar"/>
    <w:uiPriority w:val="1"/>
    <w:rsid w:val="00982575"/>
    <w:pPr>
      <w:numPr>
        <w:ilvl w:val="0"/>
        <w:numId w:val="0"/>
      </w:numPr>
      <w:outlineLvl w:val="9"/>
    </w:pPr>
    <w:rPr>
      <w:color w:val="000000" w:themeColor="text1"/>
    </w:rPr>
  </w:style>
  <w:style w:type="paragraph" w:customStyle="1" w:styleId="H3-NoNum">
    <w:name w:val="H3-NoNum"/>
    <w:basedOn w:val="Heading3"/>
    <w:next w:val="BodyText"/>
    <w:link w:val="H3-NoNumChar"/>
    <w:uiPriority w:val="1"/>
    <w:qFormat/>
    <w:rsid w:val="00982575"/>
    <w:pPr>
      <w:numPr>
        <w:ilvl w:val="0"/>
        <w:numId w:val="0"/>
      </w:numPr>
    </w:pPr>
  </w:style>
  <w:style w:type="paragraph" w:customStyle="1" w:styleId="H4-NoNum">
    <w:name w:val="H4-NoNum"/>
    <w:basedOn w:val="Heading4"/>
    <w:next w:val="BodyText"/>
    <w:link w:val="H4-NoNumChar"/>
    <w:uiPriority w:val="1"/>
    <w:qFormat/>
    <w:rsid w:val="00982575"/>
    <w:pPr>
      <w:ind w:left="964" w:hanging="964"/>
      <w:outlineLvl w:val="9"/>
    </w:pPr>
  </w:style>
  <w:style w:type="character" w:customStyle="1" w:styleId="H2-nontocChar">
    <w:name w:val="H2-nontoc Char"/>
    <w:basedOn w:val="Heading2Char"/>
    <w:link w:val="H2-nontoc"/>
    <w:uiPriority w:val="1"/>
    <w:rsid w:val="00982575"/>
    <w:rPr>
      <w:rFonts w:ascii="Montserrat" w:eastAsia="Times New Roman" w:hAnsi="Montserrat" w:cs="Calibri"/>
      <w:bCs/>
      <w:color w:val="006579"/>
      <w:sz w:val="28"/>
      <w:szCs w:val="26"/>
      <w:lang w:val="en-AU"/>
    </w:rPr>
  </w:style>
  <w:style w:type="character" w:customStyle="1" w:styleId="H2-NoNumChar">
    <w:name w:val="H2-NoNum Char"/>
    <w:basedOn w:val="Heading2Char"/>
    <w:link w:val="H2-NoNum"/>
    <w:uiPriority w:val="1"/>
    <w:rsid w:val="00982575"/>
    <w:rPr>
      <w:rFonts w:ascii="Montserrat" w:eastAsia="Times New Roman" w:hAnsi="Montserrat" w:cs="Calibri"/>
      <w:bCs/>
      <w:color w:val="000000" w:themeColor="text1"/>
      <w:sz w:val="28"/>
      <w:szCs w:val="26"/>
      <w:lang w:val="en-AU"/>
    </w:rPr>
  </w:style>
  <w:style w:type="character" w:customStyle="1" w:styleId="H3-nontocChar">
    <w:name w:val="H3-nontoc Char"/>
    <w:basedOn w:val="Heading3Char"/>
    <w:link w:val="H3-nontoc"/>
    <w:uiPriority w:val="1"/>
    <w:rsid w:val="00982575"/>
    <w:rPr>
      <w:rFonts w:ascii="Montserrat" w:eastAsia="Times New Roman" w:hAnsi="Montserrat" w:cs="Calibri"/>
      <w:bCs/>
      <w:color w:val="00968F"/>
      <w:sz w:val="24"/>
      <w:szCs w:val="20"/>
      <w:lang w:val="en-AU"/>
    </w:rPr>
  </w:style>
  <w:style w:type="character" w:customStyle="1" w:styleId="H3-NoNumChar">
    <w:name w:val="H3-NoNum Char"/>
    <w:basedOn w:val="Heading3Char"/>
    <w:link w:val="H3-NoNum"/>
    <w:uiPriority w:val="1"/>
    <w:rsid w:val="00982575"/>
    <w:rPr>
      <w:rFonts w:ascii="Montserrat" w:eastAsia="Times New Roman" w:hAnsi="Montserrat" w:cs="Calibri"/>
      <w:bCs/>
      <w:color w:val="00968F"/>
      <w:sz w:val="24"/>
      <w:szCs w:val="20"/>
      <w:lang w:val="en-AU"/>
    </w:rPr>
  </w:style>
  <w:style w:type="table" w:styleId="ListTable2-Accent1">
    <w:name w:val="List Table 2 Accent 1"/>
    <w:basedOn w:val="TableNormal"/>
    <w:uiPriority w:val="47"/>
    <w:locked/>
    <w:rsid w:val="00982575"/>
    <w:pPr>
      <w:spacing w:after="0" w:line="240" w:lineRule="auto"/>
    </w:pPr>
    <w:tblPr>
      <w:tblStyleRowBandSize w:val="1"/>
      <w:tblStyleColBandSize w:val="1"/>
      <w:tblBorders>
        <w:top w:val="single" w:sz="4" w:space="0" w:color="11B2E4" w:themeColor="accent1" w:themeTint="99"/>
        <w:bottom w:val="single" w:sz="4" w:space="0" w:color="11B2E4" w:themeColor="accent1" w:themeTint="99"/>
        <w:insideH w:val="single" w:sz="4" w:space="0" w:color="11B2E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DE7F8" w:themeFill="accent1" w:themeFillTint="33"/>
      </w:tcPr>
    </w:tblStylePr>
    <w:tblStylePr w:type="band1Horz">
      <w:tblPr/>
      <w:tcPr>
        <w:shd w:val="clear" w:color="auto" w:fill="ADE7F8" w:themeFill="accent1" w:themeFillTint="33"/>
      </w:tcPr>
    </w:tblStylePr>
  </w:style>
  <w:style w:type="table" w:styleId="ListTable3-Accent1">
    <w:name w:val="List Table 3 Accent 1"/>
    <w:basedOn w:val="TableNormal"/>
    <w:uiPriority w:val="48"/>
    <w:locked/>
    <w:rsid w:val="00982575"/>
    <w:pPr>
      <w:spacing w:after="0" w:line="240" w:lineRule="auto"/>
    </w:pPr>
    <w:tblPr>
      <w:tblStyleRowBandSize w:val="1"/>
      <w:tblStyleColBandSize w:val="1"/>
      <w:tblBorders>
        <w:top w:val="single" w:sz="4" w:space="0" w:color="053341" w:themeColor="accent1"/>
        <w:left w:val="single" w:sz="4" w:space="0" w:color="053341" w:themeColor="accent1"/>
        <w:bottom w:val="single" w:sz="4" w:space="0" w:color="053341" w:themeColor="accent1"/>
        <w:right w:val="single" w:sz="4" w:space="0" w:color="053341" w:themeColor="accent1"/>
      </w:tblBorders>
    </w:tblPr>
    <w:tblStylePr w:type="firstRow">
      <w:rPr>
        <w:b/>
        <w:bCs/>
        <w:color w:val="F9F9F9" w:themeColor="background1"/>
      </w:rPr>
      <w:tblPr/>
      <w:tcPr>
        <w:shd w:val="clear" w:color="auto" w:fill="053341" w:themeFill="accent1"/>
      </w:tcPr>
    </w:tblStylePr>
    <w:tblStylePr w:type="lastRow">
      <w:rPr>
        <w:b/>
        <w:bCs/>
      </w:rPr>
      <w:tblPr/>
      <w:tcPr>
        <w:tcBorders>
          <w:top w:val="double" w:sz="4" w:space="0" w:color="053341" w:themeColor="accent1"/>
        </w:tcBorders>
        <w:shd w:val="clear" w:color="auto" w:fill="F9F9F9" w:themeFill="background1"/>
      </w:tcPr>
    </w:tblStylePr>
    <w:tblStylePr w:type="firstCol">
      <w:rPr>
        <w:b/>
        <w:bCs/>
      </w:rPr>
      <w:tblPr/>
      <w:tcPr>
        <w:tcBorders>
          <w:right w:val="nil"/>
        </w:tcBorders>
        <w:shd w:val="clear" w:color="auto" w:fill="F9F9F9" w:themeFill="background1"/>
      </w:tcPr>
    </w:tblStylePr>
    <w:tblStylePr w:type="lastCol">
      <w:rPr>
        <w:b/>
        <w:bCs/>
      </w:rPr>
      <w:tblPr/>
      <w:tcPr>
        <w:tcBorders>
          <w:left w:val="nil"/>
        </w:tcBorders>
        <w:shd w:val="clear" w:color="auto" w:fill="F9F9F9" w:themeFill="background1"/>
      </w:tcPr>
    </w:tblStylePr>
    <w:tblStylePr w:type="band1Vert">
      <w:tblPr/>
      <w:tcPr>
        <w:tcBorders>
          <w:left w:val="single" w:sz="4" w:space="0" w:color="053341" w:themeColor="accent1"/>
          <w:right w:val="single" w:sz="4" w:space="0" w:color="053341" w:themeColor="accent1"/>
        </w:tcBorders>
      </w:tcPr>
    </w:tblStylePr>
    <w:tblStylePr w:type="band1Horz">
      <w:tblPr/>
      <w:tcPr>
        <w:tcBorders>
          <w:top w:val="single" w:sz="4" w:space="0" w:color="053341" w:themeColor="accent1"/>
          <w:bottom w:val="single" w:sz="4" w:space="0" w:color="0533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341" w:themeColor="accent1"/>
          <w:left w:val="nil"/>
        </w:tcBorders>
      </w:tcPr>
    </w:tblStylePr>
    <w:tblStylePr w:type="swCell">
      <w:tblPr/>
      <w:tcPr>
        <w:tcBorders>
          <w:top w:val="double" w:sz="4" w:space="0" w:color="053341" w:themeColor="accent1"/>
          <w:right w:val="nil"/>
        </w:tcBorders>
      </w:tcPr>
    </w:tblStylePr>
  </w:style>
  <w:style w:type="paragraph" w:customStyle="1" w:styleId="H2-notoccolour">
    <w:name w:val="H2-notoccolour"/>
    <w:basedOn w:val="H2-NoNumColour"/>
    <w:next w:val="BodyText"/>
    <w:qFormat/>
    <w:rsid w:val="00982575"/>
  </w:style>
  <w:style w:type="table" w:customStyle="1" w:styleId="TableHTAStd">
    <w:name w:val="Table HTA Std"/>
    <w:basedOn w:val="TableNormal"/>
    <w:rsid w:val="00982575"/>
    <w:pPr>
      <w:tabs>
        <w:tab w:val="left" w:pos="416"/>
        <w:tab w:val="left" w:pos="582"/>
      </w:tabs>
      <w:spacing w:before="20" w:after="20" w:line="240" w:lineRule="auto"/>
    </w:pPr>
    <w:rPr>
      <w:rFonts w:ascii="Calibri" w:eastAsia="Times New Roman" w:hAnsi="Calibri" w:cs="Times New Roman"/>
      <w:sz w:val="20"/>
      <w:szCs w:val="18"/>
      <w:lang w:val="en-AU" w:eastAsia="en-AU"/>
    </w:rPr>
    <w:tblPr>
      <w:tblStyleCol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pPr>
        <w:wordWrap/>
        <w:spacing w:beforeLines="0" w:beforeAutospacing="0" w:afterLines="0" w:afterAutospacing="0" w:line="240" w:lineRule="auto"/>
        <w:contextualSpacing w:val="0"/>
        <w:jc w:val="left"/>
        <w:outlineLvl w:val="9"/>
      </w:pPr>
      <w:tblPr/>
      <w:tcPr>
        <w:tcBorders>
          <w:top w:val="single" w:sz="12" w:space="0" w:color="auto"/>
          <w:left w:val="single" w:sz="2" w:space="0" w:color="auto"/>
          <w:bottom w:val="single" w:sz="12" w:space="0" w:color="auto"/>
          <w:right w:val="single" w:sz="2" w:space="0" w:color="auto"/>
          <w:insideH w:val="single" w:sz="2" w:space="0" w:color="auto"/>
          <w:insideV w:val="single" w:sz="2" w:space="0" w:color="auto"/>
          <w:tl2br w:val="nil"/>
          <w:tr2bl w:val="nil"/>
        </w:tcBorders>
        <w:shd w:val="clear" w:color="auto" w:fill="auto"/>
        <w:vAlign w:val="top"/>
      </w:tcPr>
    </w:tblStylePr>
    <w:tblStylePr w:type="lastRow">
      <w:rPr>
        <w:rFonts w:ascii="Calibri" w:hAnsi="Calibri"/>
        <w:b/>
        <w:bCs/>
        <w:sz w:val="22"/>
      </w:rPr>
    </w:tblStylePr>
    <w:tblStylePr w:type="firstCol">
      <w:pPr>
        <w:jc w:val="left"/>
      </w:pPr>
      <w:rPr>
        <w:b/>
        <w:bCs/>
      </w:rPr>
      <w:tblPr/>
      <w:tcPr>
        <w:shd w:val="clear" w:color="auto" w:fill="ADE7F8" w:themeFill="accent1" w:themeFillTint="33"/>
      </w:tcPr>
    </w:tblStylePr>
    <w:tblStylePr w:type="lastCol">
      <w:pPr>
        <w:jc w:val="center"/>
      </w:pPr>
      <w:rPr>
        <w:b w:val="0"/>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uto"/>
      </w:tcPr>
    </w:tblStylePr>
    <w:tblStylePr w:type="band1Horz">
      <w:tblPr/>
      <w:tcPr>
        <w:tcBorders>
          <w:tl2br w:val="none" w:sz="0" w:space="0" w:color="auto"/>
          <w:tr2bl w:val="none" w:sz="0" w:space="0" w:color="auto"/>
        </w:tcBorders>
        <w:shd w:val="pct5" w:color="000000" w:fill="FFFFFF"/>
      </w:tcPr>
    </w:tblStylePr>
    <w:tblStylePr w:type="band2Horz">
      <w:tblPr/>
      <w:tcPr>
        <w:tcBorders>
          <w:tl2br w:val="none" w:sz="0" w:space="0" w:color="auto"/>
          <w:tr2bl w:val="none" w:sz="0" w:space="0" w:color="auto"/>
        </w:tcBorders>
        <w:shd w:val="pct20" w:color="000000" w:fill="FFFFFF"/>
      </w:tcPr>
    </w:tblStylePr>
    <w:tblStylePr w:type="nwCell">
      <w:pPr>
        <w:jc w:val="left"/>
      </w:pPr>
      <w:tblPr/>
      <w:tcPr>
        <w:vAlign w:val="top"/>
      </w:tcPr>
    </w:tblStylePr>
  </w:style>
  <w:style w:type="paragraph" w:customStyle="1" w:styleId="Dash0">
    <w:name w:val="Dash+0"/>
    <w:basedOn w:val="Dash6"/>
    <w:uiPriority w:val="2"/>
    <w:rsid w:val="00982575"/>
    <w:pPr>
      <w:spacing w:after="0"/>
    </w:pPr>
  </w:style>
  <w:style w:type="paragraph" w:customStyle="1" w:styleId="Dash6">
    <w:name w:val="Dash+6"/>
    <w:basedOn w:val="BodyText"/>
    <w:uiPriority w:val="2"/>
    <w:rsid w:val="00982575"/>
    <w:pPr>
      <w:tabs>
        <w:tab w:val="left" w:pos="765"/>
      </w:tabs>
      <w:ind w:left="1074" w:hanging="360"/>
    </w:pPr>
  </w:style>
  <w:style w:type="paragraph" w:customStyle="1" w:styleId="TableFigNotes0">
    <w:name w:val="TableFigNotes+0"/>
    <w:basedOn w:val="TableFigNotes18"/>
    <w:uiPriority w:val="4"/>
    <w:rsid w:val="00982575"/>
    <w:pPr>
      <w:spacing w:after="0"/>
    </w:pPr>
  </w:style>
  <w:style w:type="paragraph" w:customStyle="1" w:styleId="TableFigNotes6">
    <w:name w:val="TableFigNotes+6"/>
    <w:basedOn w:val="TableFigNotes0"/>
    <w:uiPriority w:val="4"/>
    <w:rsid w:val="00982575"/>
    <w:pPr>
      <w:spacing w:after="120"/>
    </w:pPr>
  </w:style>
  <w:style w:type="table" w:styleId="GridTable1Light-Accent1">
    <w:name w:val="Grid Table 1 Light Accent 1"/>
    <w:basedOn w:val="TableNormal"/>
    <w:uiPriority w:val="46"/>
    <w:locked/>
    <w:rsid w:val="00982575"/>
    <w:pPr>
      <w:spacing w:after="0" w:line="240" w:lineRule="auto"/>
    </w:pPr>
    <w:tblPr>
      <w:tblStyleRowBandSize w:val="1"/>
      <w:tblStyleColBandSize w:val="1"/>
      <w:tblBorders>
        <w:top w:val="single" w:sz="4" w:space="0" w:color="5BCEF2" w:themeColor="accent1" w:themeTint="66"/>
        <w:left w:val="single" w:sz="4" w:space="0" w:color="5BCEF2" w:themeColor="accent1" w:themeTint="66"/>
        <w:bottom w:val="single" w:sz="4" w:space="0" w:color="5BCEF2" w:themeColor="accent1" w:themeTint="66"/>
        <w:right w:val="single" w:sz="4" w:space="0" w:color="5BCEF2" w:themeColor="accent1" w:themeTint="66"/>
        <w:insideH w:val="single" w:sz="4" w:space="0" w:color="5BCEF2" w:themeColor="accent1" w:themeTint="66"/>
        <w:insideV w:val="single" w:sz="4" w:space="0" w:color="5BCEF2" w:themeColor="accent1" w:themeTint="66"/>
      </w:tblBorders>
    </w:tblPr>
    <w:tblStylePr w:type="firstRow">
      <w:rPr>
        <w:b/>
        <w:bCs/>
      </w:rPr>
      <w:tblPr/>
      <w:tcPr>
        <w:tcBorders>
          <w:bottom w:val="single" w:sz="12" w:space="0" w:color="11B2E4" w:themeColor="accent1" w:themeTint="99"/>
        </w:tcBorders>
      </w:tcPr>
    </w:tblStylePr>
    <w:tblStylePr w:type="lastRow">
      <w:rPr>
        <w:b/>
        <w:bCs/>
      </w:rPr>
      <w:tblPr/>
      <w:tcPr>
        <w:tcBorders>
          <w:top w:val="double" w:sz="2" w:space="0" w:color="11B2E4" w:themeColor="accent1" w:themeTint="99"/>
        </w:tcBorders>
      </w:tcPr>
    </w:tblStylePr>
    <w:tblStylePr w:type="firstCol">
      <w:rPr>
        <w:b/>
        <w:bCs/>
      </w:rPr>
    </w:tblStylePr>
    <w:tblStylePr w:type="lastCol">
      <w:rPr>
        <w:b/>
        <w:bCs/>
      </w:rPr>
    </w:tblStylePr>
  </w:style>
  <w:style w:type="table" w:styleId="ListTable3-Accent2">
    <w:name w:val="List Table 3 Accent 2"/>
    <w:basedOn w:val="TableNormal"/>
    <w:uiPriority w:val="48"/>
    <w:locked/>
    <w:rsid w:val="00982575"/>
    <w:pPr>
      <w:numPr>
        <w:numId w:val="3"/>
      </w:numPr>
      <w:spacing w:after="0" w:line="240" w:lineRule="auto"/>
    </w:pPr>
    <w:tblPr>
      <w:tblStyleRowBandSize w:val="1"/>
      <w:tblStyleColBandSize w:val="1"/>
      <w:tblBorders>
        <w:top w:val="single" w:sz="4" w:space="0" w:color="006579" w:themeColor="accent2"/>
        <w:left w:val="single" w:sz="4" w:space="0" w:color="006579" w:themeColor="accent2"/>
        <w:bottom w:val="single" w:sz="4" w:space="0" w:color="006579" w:themeColor="accent2"/>
        <w:right w:val="single" w:sz="4" w:space="0" w:color="006579" w:themeColor="accent2"/>
      </w:tblBorders>
    </w:tblPr>
    <w:tblStylePr w:type="firstRow">
      <w:rPr>
        <w:b/>
        <w:bCs/>
        <w:color w:val="F9F9F9" w:themeColor="background1"/>
      </w:rPr>
      <w:tblPr/>
      <w:tcPr>
        <w:shd w:val="clear" w:color="auto" w:fill="006579" w:themeFill="accent2"/>
      </w:tcPr>
    </w:tblStylePr>
    <w:tblStylePr w:type="lastRow">
      <w:rPr>
        <w:b/>
        <w:bCs/>
      </w:rPr>
      <w:tblPr/>
      <w:tcPr>
        <w:tcBorders>
          <w:top w:val="double" w:sz="4" w:space="0" w:color="006579" w:themeColor="accent2"/>
        </w:tcBorders>
        <w:shd w:val="clear" w:color="auto" w:fill="F9F9F9" w:themeFill="background1"/>
      </w:tcPr>
    </w:tblStylePr>
    <w:tblStylePr w:type="firstCol">
      <w:rPr>
        <w:b/>
        <w:bCs/>
      </w:rPr>
      <w:tblPr/>
      <w:tcPr>
        <w:tcBorders>
          <w:right w:val="nil"/>
        </w:tcBorders>
        <w:shd w:val="clear" w:color="auto" w:fill="F9F9F9" w:themeFill="background1"/>
      </w:tcPr>
    </w:tblStylePr>
    <w:tblStylePr w:type="lastCol">
      <w:rPr>
        <w:b/>
        <w:bCs/>
      </w:rPr>
      <w:tblPr/>
      <w:tcPr>
        <w:tcBorders>
          <w:left w:val="nil"/>
        </w:tcBorders>
        <w:shd w:val="clear" w:color="auto" w:fill="F9F9F9" w:themeFill="background1"/>
      </w:tcPr>
    </w:tblStylePr>
    <w:tblStylePr w:type="band1Vert">
      <w:tblPr/>
      <w:tcPr>
        <w:tcBorders>
          <w:left w:val="single" w:sz="4" w:space="0" w:color="006579" w:themeColor="accent2"/>
          <w:right w:val="single" w:sz="4" w:space="0" w:color="006579" w:themeColor="accent2"/>
        </w:tcBorders>
      </w:tcPr>
    </w:tblStylePr>
    <w:tblStylePr w:type="band1Horz">
      <w:tblPr/>
      <w:tcPr>
        <w:tcBorders>
          <w:top w:val="single" w:sz="4" w:space="0" w:color="006579" w:themeColor="accent2"/>
          <w:bottom w:val="single" w:sz="4" w:space="0" w:color="00657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6579" w:themeColor="accent2"/>
          <w:left w:val="nil"/>
        </w:tcBorders>
      </w:tcPr>
    </w:tblStylePr>
    <w:tblStylePr w:type="swCell">
      <w:tblPr/>
      <w:tcPr>
        <w:tcBorders>
          <w:top w:val="double" w:sz="4" w:space="0" w:color="006579" w:themeColor="accent2"/>
          <w:right w:val="nil"/>
        </w:tcBorders>
      </w:tcPr>
    </w:tblStylePr>
  </w:style>
  <w:style w:type="paragraph" w:customStyle="1" w:styleId="H1-notoccolour">
    <w:name w:val="H1-notoccolour"/>
    <w:basedOn w:val="H1-NoNumColour"/>
    <w:next w:val="BodyText"/>
    <w:qFormat/>
    <w:rsid w:val="00982575"/>
    <w:pPr>
      <w:outlineLvl w:val="9"/>
    </w:pPr>
  </w:style>
  <w:style w:type="paragraph" w:customStyle="1" w:styleId="BoxText0">
    <w:name w:val="Box Text"/>
    <w:basedOn w:val="Normal"/>
    <w:link w:val="BoxTextChar"/>
    <w:qFormat/>
    <w:rsid w:val="00982575"/>
    <w:pPr>
      <w:pBdr>
        <w:top w:val="single" w:sz="4" w:space="1" w:color="auto"/>
        <w:left w:val="single" w:sz="4" w:space="4" w:color="auto"/>
        <w:bottom w:val="single" w:sz="4" w:space="1" w:color="auto"/>
        <w:right w:val="single" w:sz="4" w:space="4" w:color="auto"/>
      </w:pBdr>
    </w:pPr>
    <w:rPr>
      <w:rFonts w:eastAsia="Times New Roman" w:cs="Times New Roman"/>
      <w:lang w:eastAsia="en-AU"/>
    </w:rPr>
  </w:style>
  <w:style w:type="paragraph" w:customStyle="1" w:styleId="H1-NoNumColour">
    <w:name w:val="H1-NoNumColour"/>
    <w:basedOn w:val="H1-NoNum"/>
    <w:next w:val="BodyText"/>
    <w:qFormat/>
    <w:rsid w:val="00982575"/>
  </w:style>
  <w:style w:type="paragraph" w:customStyle="1" w:styleId="Clientname">
    <w:name w:val="Client name"/>
    <w:basedOn w:val="Normal"/>
    <w:rsid w:val="00982575"/>
    <w:pPr>
      <w:jc w:val="right"/>
    </w:pPr>
    <w:rPr>
      <w:rFonts w:eastAsia="Times New Roman" w:cs="Times New Roman"/>
      <w:color w:val="7F7F7F" w:themeColor="text1" w:themeTint="80"/>
      <w:sz w:val="28"/>
    </w:rPr>
  </w:style>
  <w:style w:type="character" w:customStyle="1" w:styleId="BoxTextChar">
    <w:name w:val="Box Text Char"/>
    <w:basedOn w:val="DefaultParagraphFont"/>
    <w:link w:val="BoxText0"/>
    <w:rsid w:val="00982575"/>
    <w:rPr>
      <w:rFonts w:ascii="Montserrat" w:eastAsia="Times New Roman" w:hAnsi="Montserrat" w:cs="Times New Roman"/>
      <w:sz w:val="18"/>
      <w:szCs w:val="20"/>
      <w:lang w:val="en-AU" w:eastAsia="en-AU"/>
    </w:rPr>
  </w:style>
  <w:style w:type="paragraph" w:customStyle="1" w:styleId="BoxTextBullet">
    <w:name w:val="Box Text Bullet"/>
    <w:basedOn w:val="BoxText0"/>
    <w:link w:val="BoxTextBulletChar"/>
    <w:qFormat/>
    <w:rsid w:val="00982575"/>
    <w:pPr>
      <w:spacing w:after="240"/>
      <w:contextualSpacing/>
    </w:pPr>
  </w:style>
  <w:style w:type="character" w:customStyle="1" w:styleId="BoxTextBulletChar">
    <w:name w:val="Box Text Bullet Char"/>
    <w:basedOn w:val="BoxTextChar"/>
    <w:link w:val="BoxTextBullet"/>
    <w:rsid w:val="00982575"/>
    <w:rPr>
      <w:rFonts w:ascii="Montserrat" w:eastAsia="Times New Roman" w:hAnsi="Montserrat" w:cs="Times New Roman"/>
      <w:sz w:val="18"/>
      <w:szCs w:val="20"/>
      <w:lang w:val="en-AU" w:eastAsia="en-AU"/>
    </w:rPr>
  </w:style>
  <w:style w:type="table" w:styleId="GridTable1Light-Accent3">
    <w:name w:val="Grid Table 1 Light Accent 3"/>
    <w:basedOn w:val="TableNormal"/>
    <w:uiPriority w:val="46"/>
    <w:locked/>
    <w:rsid w:val="00982575"/>
    <w:pPr>
      <w:numPr>
        <w:numId w:val="10"/>
      </w:numPr>
      <w:spacing w:after="0" w:line="240" w:lineRule="auto"/>
      <w:ind w:left="1080" w:hanging="360"/>
    </w:pPr>
    <w:tblPr>
      <w:tblStyleRowBandSize w:val="1"/>
      <w:tblStyleColBandSize w:val="1"/>
      <w:tblBorders>
        <w:top w:val="single" w:sz="4" w:space="0" w:color="6FFFF8" w:themeColor="accent3" w:themeTint="66"/>
        <w:left w:val="single" w:sz="4" w:space="0" w:color="6FFFF8" w:themeColor="accent3" w:themeTint="66"/>
        <w:bottom w:val="single" w:sz="4" w:space="0" w:color="6FFFF8" w:themeColor="accent3" w:themeTint="66"/>
        <w:right w:val="single" w:sz="4" w:space="0" w:color="6FFFF8" w:themeColor="accent3" w:themeTint="66"/>
        <w:insideH w:val="single" w:sz="4" w:space="0" w:color="6FFFF8" w:themeColor="accent3" w:themeTint="66"/>
        <w:insideV w:val="single" w:sz="4" w:space="0" w:color="6FFFF8" w:themeColor="accent3" w:themeTint="66"/>
      </w:tblBorders>
    </w:tblPr>
    <w:tblStylePr w:type="firstRow">
      <w:rPr>
        <w:b/>
        <w:bCs/>
      </w:rPr>
      <w:tblPr/>
      <w:tcPr>
        <w:tcBorders>
          <w:bottom w:val="single" w:sz="12" w:space="0" w:color="27FFF4" w:themeColor="accent3" w:themeTint="99"/>
        </w:tcBorders>
      </w:tcPr>
    </w:tblStylePr>
    <w:tblStylePr w:type="lastRow">
      <w:rPr>
        <w:b/>
        <w:bCs/>
      </w:rPr>
      <w:tblPr/>
      <w:tcPr>
        <w:tcBorders>
          <w:top w:val="double" w:sz="2" w:space="0" w:color="27FFF4" w:themeColor="accent3" w:themeTint="99"/>
        </w:tcBorders>
      </w:tcPr>
    </w:tblStylePr>
    <w:tblStylePr w:type="firstCol">
      <w:rPr>
        <w:b/>
        <w:bCs/>
      </w:rPr>
    </w:tblStylePr>
    <w:tblStylePr w:type="lastCol">
      <w:rPr>
        <w:b/>
        <w:bCs/>
      </w:rPr>
    </w:tblStylePr>
  </w:style>
  <w:style w:type="paragraph" w:customStyle="1" w:styleId="EndNoteBibliographyTitle">
    <w:name w:val="EndNote Bibliography Title"/>
    <w:basedOn w:val="Normal"/>
    <w:link w:val="EndNoteBibliographyTitleChar"/>
    <w:rsid w:val="00982575"/>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982575"/>
    <w:rPr>
      <w:rFonts w:ascii="Montserrat" w:hAnsi="Montserrat" w:cs="Calibri"/>
      <w:noProof/>
      <w:sz w:val="18"/>
      <w:szCs w:val="20"/>
      <w:lang w:val="en-US"/>
    </w:rPr>
  </w:style>
  <w:style w:type="paragraph" w:customStyle="1" w:styleId="EndNoteBibliography">
    <w:name w:val="EndNote Bibliography"/>
    <w:basedOn w:val="Normal"/>
    <w:link w:val="EndNoteBibliographyChar"/>
    <w:rsid w:val="00982575"/>
    <w:pPr>
      <w:spacing w:line="240" w:lineRule="auto"/>
      <w:ind w:left="709" w:hanging="709"/>
    </w:pPr>
    <w:rPr>
      <w:noProof/>
    </w:rPr>
  </w:style>
  <w:style w:type="character" w:customStyle="1" w:styleId="EndNoteBibliographyChar">
    <w:name w:val="EndNote Bibliography Char"/>
    <w:basedOn w:val="DefaultParagraphFont"/>
    <w:link w:val="EndNoteBibliography"/>
    <w:rsid w:val="00982575"/>
    <w:rPr>
      <w:rFonts w:ascii="Montserrat" w:hAnsi="Montserrat" w:cs="Calibri"/>
      <w:noProof/>
      <w:sz w:val="18"/>
      <w:szCs w:val="20"/>
      <w:lang w:val="en-AU"/>
    </w:rPr>
  </w:style>
  <w:style w:type="character" w:customStyle="1" w:styleId="BulletintroChar">
    <w:name w:val="Bullet intro Char"/>
    <w:basedOn w:val="BodyTextChar"/>
    <w:link w:val="Bulletintro"/>
    <w:uiPriority w:val="2"/>
    <w:rsid w:val="00982575"/>
    <w:rPr>
      <w:rFonts w:ascii="Montserrat" w:eastAsia="Times New Roman" w:hAnsi="Montserrat" w:cs="Arial"/>
      <w:color w:val="000000" w:themeColor="text1"/>
      <w:sz w:val="19"/>
      <w:szCs w:val="24"/>
      <w:lang w:val="en-US"/>
    </w:rPr>
  </w:style>
  <w:style w:type="table" w:customStyle="1" w:styleId="HTAtable2">
    <w:name w:val="HTA table 2"/>
    <w:basedOn w:val="TableHTAStandard"/>
    <w:uiPriority w:val="99"/>
    <w:rsid w:val="00982575"/>
    <w:pPr>
      <w:spacing w:after="0"/>
    </w:pPr>
    <w:rPr>
      <w:rFonts w:ascii="Calibri" w:hAnsi="Calibri"/>
      <w:sz w:val="20"/>
    </w:rPr>
    <w:tblPr/>
    <w:tcPr>
      <w:shd w:val="clear" w:color="auto" w:fill="auto"/>
      <w:vAlign w:val="top"/>
    </w:tcPr>
    <w:tblStylePr w:type="firstRow">
      <w:pPr>
        <w:wordWrap/>
        <w:spacing w:beforeLines="0" w:beforeAutospacing="0" w:afterLines="0" w:afterAutospacing="0" w:line="240" w:lineRule="auto"/>
        <w:contextualSpacing w:val="0"/>
        <w:outlineLvl w:val="9"/>
      </w:pPr>
      <w:tblPr/>
      <w:tcPr>
        <w:tcBorders>
          <w:top w:val="single" w:sz="12" w:space="0" w:color="auto"/>
          <w:left w:val="single" w:sz="2" w:space="0" w:color="auto"/>
          <w:bottom w:val="single" w:sz="12" w:space="0" w:color="auto"/>
          <w:right w:val="single" w:sz="2" w:space="0" w:color="auto"/>
          <w:insideH w:val="single" w:sz="2" w:space="0" w:color="auto"/>
          <w:insideV w:val="single" w:sz="2" w:space="0" w:color="auto"/>
          <w:tl2br w:val="nil"/>
          <w:tr2bl w:val="nil"/>
        </w:tcBorders>
        <w:shd w:val="clear" w:color="auto" w:fill="auto"/>
      </w:tcPr>
    </w:tblStylePr>
    <w:tblStylePr w:type="firstCol">
      <w:rPr>
        <w:rFonts w:ascii="Calibri" w:hAnsi="Calibri"/>
        <w:b/>
        <w:sz w:val="20"/>
      </w:rPr>
    </w:tblStylePr>
    <w:tblStylePr w:type="band1Horz">
      <w:tblPr/>
      <w:tcPr>
        <w:tcBorders>
          <w:tl2br w:val="none" w:sz="0" w:space="0" w:color="auto"/>
          <w:tr2bl w:val="none" w:sz="0" w:space="0" w:color="auto"/>
        </w:tcBorders>
        <w:shd w:val="pct5" w:color="000000" w:fill="FFFFFF"/>
      </w:tcPr>
    </w:tblStylePr>
    <w:tblStylePr w:type="band2Horz">
      <w:tblPr/>
      <w:tcPr>
        <w:tcBorders>
          <w:tl2br w:val="none" w:sz="0" w:space="0" w:color="auto"/>
          <w:tr2bl w:val="none" w:sz="0" w:space="0" w:color="auto"/>
        </w:tcBorders>
        <w:shd w:val="pct20" w:color="000000" w:fill="FFFFFF"/>
      </w:tcPr>
    </w:tblStylePr>
  </w:style>
  <w:style w:type="paragraph" w:customStyle="1" w:styleId="Bullet0">
    <w:name w:val="Bullet+0"/>
    <w:basedOn w:val="Bullet12"/>
    <w:uiPriority w:val="2"/>
    <w:qFormat/>
    <w:rsid w:val="00732DF5"/>
  </w:style>
  <w:style w:type="paragraph" w:customStyle="1" w:styleId="Bullet6">
    <w:name w:val="Bullet+6"/>
    <w:basedOn w:val="Bullet12"/>
    <w:uiPriority w:val="2"/>
    <w:qFormat/>
    <w:rsid w:val="00982575"/>
    <w:pPr>
      <w:spacing w:after="120"/>
    </w:pPr>
  </w:style>
  <w:style w:type="paragraph" w:customStyle="1" w:styleId="ListNos0">
    <w:name w:val="ListNos+0"/>
    <w:basedOn w:val="BodyText"/>
    <w:uiPriority w:val="2"/>
    <w:qFormat/>
    <w:rsid w:val="00900C67"/>
    <w:pPr>
      <w:numPr>
        <w:numId w:val="12"/>
      </w:numPr>
      <w:spacing w:after="0"/>
    </w:pPr>
  </w:style>
  <w:style w:type="paragraph" w:customStyle="1" w:styleId="ListNos6">
    <w:name w:val="ListNos+6"/>
    <w:basedOn w:val="ListNos12"/>
    <w:uiPriority w:val="2"/>
    <w:qFormat/>
    <w:rsid w:val="00982575"/>
    <w:pPr>
      <w:spacing w:after="120"/>
    </w:pPr>
  </w:style>
  <w:style w:type="paragraph" w:customStyle="1" w:styleId="TabletextMODERATE">
    <w:name w:val="Table text MODERATE"/>
    <w:basedOn w:val="Tabletext"/>
    <w:rsid w:val="00982575"/>
    <w:pPr>
      <w:ind w:left="113" w:right="113"/>
    </w:pPr>
    <w:rPr>
      <w:i/>
      <w:color w:val="9C5700"/>
    </w:rPr>
  </w:style>
  <w:style w:type="paragraph" w:customStyle="1" w:styleId="TabletextHIGH">
    <w:name w:val="Table text HIGH"/>
    <w:basedOn w:val="Tabletext"/>
    <w:rsid w:val="00982575"/>
    <w:pPr>
      <w:ind w:left="113" w:right="113"/>
    </w:pPr>
    <w:rPr>
      <w:bCs/>
      <w:i/>
      <w:color w:val="9C0006"/>
    </w:rPr>
  </w:style>
  <w:style w:type="table" w:customStyle="1" w:styleId="ListTable2-Accent11">
    <w:name w:val="List Table 2 - Accent 11"/>
    <w:basedOn w:val="TableNormal"/>
    <w:uiPriority w:val="47"/>
    <w:locked/>
    <w:rsid w:val="00982575"/>
    <w:pPr>
      <w:spacing w:after="0" w:line="240" w:lineRule="auto"/>
    </w:pPr>
    <w:tblPr>
      <w:tblStyleRowBandSize w:val="1"/>
      <w:tblStyleColBandSize w:val="1"/>
      <w:tblBorders>
        <w:top w:val="single" w:sz="4" w:space="0" w:color="11B2E4" w:themeColor="accent1" w:themeTint="99"/>
        <w:bottom w:val="single" w:sz="4" w:space="0" w:color="11B2E4" w:themeColor="accent1" w:themeTint="99"/>
        <w:insideH w:val="single" w:sz="4" w:space="0" w:color="11B2E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DE7F8" w:themeFill="accent1" w:themeFillTint="33"/>
      </w:tcPr>
    </w:tblStylePr>
    <w:tblStylePr w:type="band1Horz">
      <w:tblPr/>
      <w:tcPr>
        <w:shd w:val="clear" w:color="auto" w:fill="ADE7F8" w:themeFill="accent1" w:themeFillTint="33"/>
      </w:tcPr>
    </w:tblStylePr>
  </w:style>
  <w:style w:type="table" w:customStyle="1" w:styleId="ListTable3-Accent11">
    <w:name w:val="List Table 3 - Accent 11"/>
    <w:basedOn w:val="TableNormal"/>
    <w:uiPriority w:val="48"/>
    <w:locked/>
    <w:rsid w:val="00982575"/>
    <w:pPr>
      <w:spacing w:after="0" w:line="240" w:lineRule="auto"/>
    </w:pPr>
    <w:tblPr>
      <w:tblStyleRowBandSize w:val="1"/>
      <w:tblStyleColBandSize w:val="1"/>
      <w:tblBorders>
        <w:top w:val="single" w:sz="4" w:space="0" w:color="053341" w:themeColor="accent1"/>
        <w:left w:val="single" w:sz="4" w:space="0" w:color="053341" w:themeColor="accent1"/>
        <w:bottom w:val="single" w:sz="4" w:space="0" w:color="053341" w:themeColor="accent1"/>
        <w:right w:val="single" w:sz="4" w:space="0" w:color="053341" w:themeColor="accent1"/>
      </w:tblBorders>
    </w:tblPr>
    <w:tblStylePr w:type="firstRow">
      <w:rPr>
        <w:b/>
        <w:bCs/>
        <w:color w:val="F9F9F9" w:themeColor="background1"/>
      </w:rPr>
      <w:tblPr/>
      <w:tcPr>
        <w:shd w:val="clear" w:color="auto" w:fill="053341" w:themeFill="accent1"/>
      </w:tcPr>
    </w:tblStylePr>
    <w:tblStylePr w:type="lastRow">
      <w:rPr>
        <w:b/>
        <w:bCs/>
      </w:rPr>
      <w:tblPr/>
      <w:tcPr>
        <w:tcBorders>
          <w:top w:val="double" w:sz="4" w:space="0" w:color="053341" w:themeColor="accent1"/>
        </w:tcBorders>
        <w:shd w:val="clear" w:color="auto" w:fill="F9F9F9" w:themeFill="background1"/>
      </w:tcPr>
    </w:tblStylePr>
    <w:tblStylePr w:type="firstCol">
      <w:rPr>
        <w:b/>
        <w:bCs/>
      </w:rPr>
      <w:tblPr/>
      <w:tcPr>
        <w:tcBorders>
          <w:right w:val="nil"/>
        </w:tcBorders>
        <w:shd w:val="clear" w:color="auto" w:fill="F9F9F9" w:themeFill="background1"/>
      </w:tcPr>
    </w:tblStylePr>
    <w:tblStylePr w:type="lastCol">
      <w:rPr>
        <w:b/>
        <w:bCs/>
      </w:rPr>
      <w:tblPr/>
      <w:tcPr>
        <w:tcBorders>
          <w:left w:val="nil"/>
        </w:tcBorders>
        <w:shd w:val="clear" w:color="auto" w:fill="F9F9F9" w:themeFill="background1"/>
      </w:tcPr>
    </w:tblStylePr>
    <w:tblStylePr w:type="band1Vert">
      <w:tblPr/>
      <w:tcPr>
        <w:tcBorders>
          <w:left w:val="single" w:sz="4" w:space="0" w:color="053341" w:themeColor="accent1"/>
          <w:right w:val="single" w:sz="4" w:space="0" w:color="053341" w:themeColor="accent1"/>
        </w:tcBorders>
      </w:tcPr>
    </w:tblStylePr>
    <w:tblStylePr w:type="band1Horz">
      <w:tblPr/>
      <w:tcPr>
        <w:tcBorders>
          <w:top w:val="single" w:sz="4" w:space="0" w:color="053341" w:themeColor="accent1"/>
          <w:bottom w:val="single" w:sz="4" w:space="0" w:color="0533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341" w:themeColor="accent1"/>
          <w:left w:val="nil"/>
        </w:tcBorders>
      </w:tcPr>
    </w:tblStylePr>
    <w:tblStylePr w:type="swCell">
      <w:tblPr/>
      <w:tcPr>
        <w:tcBorders>
          <w:top w:val="double" w:sz="4" w:space="0" w:color="053341" w:themeColor="accent1"/>
          <w:right w:val="nil"/>
        </w:tcBorders>
      </w:tcPr>
    </w:tblStylePr>
  </w:style>
  <w:style w:type="table" w:customStyle="1" w:styleId="GridTable1Light-Accent11">
    <w:name w:val="Grid Table 1 Light - Accent 11"/>
    <w:basedOn w:val="TableNormal"/>
    <w:uiPriority w:val="46"/>
    <w:locked/>
    <w:rsid w:val="00982575"/>
    <w:pPr>
      <w:numPr>
        <w:numId w:val="22"/>
      </w:numPr>
      <w:spacing w:after="0" w:line="240" w:lineRule="auto"/>
    </w:pPr>
    <w:tblPr>
      <w:tblStyleRowBandSize w:val="1"/>
      <w:tblStyleColBandSize w:val="1"/>
      <w:tblBorders>
        <w:top w:val="single" w:sz="4" w:space="0" w:color="5BCEF2" w:themeColor="accent1" w:themeTint="66"/>
        <w:left w:val="single" w:sz="4" w:space="0" w:color="5BCEF2" w:themeColor="accent1" w:themeTint="66"/>
        <w:bottom w:val="single" w:sz="4" w:space="0" w:color="5BCEF2" w:themeColor="accent1" w:themeTint="66"/>
        <w:right w:val="single" w:sz="4" w:space="0" w:color="5BCEF2" w:themeColor="accent1" w:themeTint="66"/>
        <w:insideH w:val="single" w:sz="4" w:space="0" w:color="5BCEF2" w:themeColor="accent1" w:themeTint="66"/>
        <w:insideV w:val="single" w:sz="4" w:space="0" w:color="5BCEF2" w:themeColor="accent1" w:themeTint="66"/>
      </w:tblBorders>
    </w:tblPr>
    <w:tblStylePr w:type="firstRow">
      <w:rPr>
        <w:b/>
        <w:bCs/>
      </w:rPr>
      <w:tblPr/>
      <w:tcPr>
        <w:tcBorders>
          <w:bottom w:val="single" w:sz="12" w:space="0" w:color="11B2E4" w:themeColor="accent1" w:themeTint="99"/>
        </w:tcBorders>
      </w:tcPr>
    </w:tblStylePr>
    <w:tblStylePr w:type="lastRow">
      <w:rPr>
        <w:b/>
        <w:bCs/>
      </w:rPr>
      <w:tblPr/>
      <w:tcPr>
        <w:tcBorders>
          <w:top w:val="double" w:sz="2" w:space="0" w:color="11B2E4" w:themeColor="accent1" w:themeTint="99"/>
        </w:tcBorders>
      </w:tcPr>
    </w:tblStylePr>
    <w:tblStylePr w:type="firstCol">
      <w:rPr>
        <w:b/>
        <w:bCs/>
      </w:rPr>
    </w:tblStylePr>
    <w:tblStylePr w:type="lastCol">
      <w:rPr>
        <w:b/>
        <w:bCs/>
      </w:rPr>
    </w:tblStylePr>
  </w:style>
  <w:style w:type="table" w:customStyle="1" w:styleId="ListTable3-Accent21">
    <w:name w:val="List Table 3 - Accent 21"/>
    <w:basedOn w:val="TableNormal"/>
    <w:uiPriority w:val="48"/>
    <w:locked/>
    <w:rsid w:val="00982575"/>
    <w:pPr>
      <w:numPr>
        <w:numId w:val="11"/>
      </w:numPr>
      <w:spacing w:after="0" w:line="240" w:lineRule="auto"/>
      <w:ind w:left="705" w:hanging="705"/>
    </w:pPr>
    <w:tblPr>
      <w:tblStyleRowBandSize w:val="1"/>
      <w:tblStyleColBandSize w:val="1"/>
      <w:tblBorders>
        <w:top w:val="single" w:sz="4" w:space="0" w:color="006579" w:themeColor="accent2"/>
        <w:left w:val="single" w:sz="4" w:space="0" w:color="006579" w:themeColor="accent2"/>
        <w:bottom w:val="single" w:sz="4" w:space="0" w:color="006579" w:themeColor="accent2"/>
        <w:right w:val="single" w:sz="4" w:space="0" w:color="006579" w:themeColor="accent2"/>
      </w:tblBorders>
    </w:tblPr>
    <w:tblStylePr w:type="firstRow">
      <w:rPr>
        <w:b/>
        <w:bCs/>
        <w:color w:val="F9F9F9" w:themeColor="background1"/>
      </w:rPr>
      <w:tblPr/>
      <w:tcPr>
        <w:shd w:val="clear" w:color="auto" w:fill="006579" w:themeFill="accent2"/>
      </w:tcPr>
    </w:tblStylePr>
    <w:tblStylePr w:type="lastRow">
      <w:rPr>
        <w:b/>
        <w:bCs/>
      </w:rPr>
      <w:tblPr/>
      <w:tcPr>
        <w:tcBorders>
          <w:top w:val="double" w:sz="4" w:space="0" w:color="006579" w:themeColor="accent2"/>
        </w:tcBorders>
        <w:shd w:val="clear" w:color="auto" w:fill="F9F9F9" w:themeFill="background1"/>
      </w:tcPr>
    </w:tblStylePr>
    <w:tblStylePr w:type="firstCol">
      <w:rPr>
        <w:b/>
        <w:bCs/>
      </w:rPr>
      <w:tblPr/>
      <w:tcPr>
        <w:tcBorders>
          <w:right w:val="nil"/>
        </w:tcBorders>
        <w:shd w:val="clear" w:color="auto" w:fill="F9F9F9" w:themeFill="background1"/>
      </w:tcPr>
    </w:tblStylePr>
    <w:tblStylePr w:type="lastCol">
      <w:rPr>
        <w:b/>
        <w:bCs/>
      </w:rPr>
      <w:tblPr/>
      <w:tcPr>
        <w:tcBorders>
          <w:left w:val="nil"/>
        </w:tcBorders>
        <w:shd w:val="clear" w:color="auto" w:fill="F9F9F9" w:themeFill="background1"/>
      </w:tcPr>
    </w:tblStylePr>
    <w:tblStylePr w:type="band1Vert">
      <w:tblPr/>
      <w:tcPr>
        <w:tcBorders>
          <w:left w:val="single" w:sz="4" w:space="0" w:color="006579" w:themeColor="accent2"/>
          <w:right w:val="single" w:sz="4" w:space="0" w:color="006579" w:themeColor="accent2"/>
        </w:tcBorders>
      </w:tcPr>
    </w:tblStylePr>
    <w:tblStylePr w:type="band1Horz">
      <w:tblPr/>
      <w:tcPr>
        <w:tcBorders>
          <w:top w:val="single" w:sz="4" w:space="0" w:color="006579" w:themeColor="accent2"/>
          <w:bottom w:val="single" w:sz="4" w:space="0" w:color="00657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6579" w:themeColor="accent2"/>
          <w:left w:val="nil"/>
        </w:tcBorders>
      </w:tcPr>
    </w:tblStylePr>
    <w:tblStylePr w:type="swCell">
      <w:tblPr/>
      <w:tcPr>
        <w:tcBorders>
          <w:top w:val="double" w:sz="4" w:space="0" w:color="006579" w:themeColor="accent2"/>
          <w:right w:val="nil"/>
        </w:tcBorders>
      </w:tcPr>
    </w:tblStylePr>
  </w:style>
  <w:style w:type="table" w:customStyle="1" w:styleId="GridTable1Light-Accent31">
    <w:name w:val="Grid Table 1 Light - Accent 31"/>
    <w:basedOn w:val="TableNormal"/>
    <w:uiPriority w:val="46"/>
    <w:locked/>
    <w:rsid w:val="00982575"/>
    <w:pPr>
      <w:numPr>
        <w:numId w:val="14"/>
      </w:numPr>
      <w:spacing w:after="0" w:line="240" w:lineRule="auto"/>
    </w:pPr>
    <w:tblPr>
      <w:tblStyleRowBandSize w:val="1"/>
      <w:tblStyleColBandSize w:val="1"/>
      <w:tblBorders>
        <w:top w:val="single" w:sz="4" w:space="0" w:color="6FFFF8" w:themeColor="accent3" w:themeTint="66"/>
        <w:left w:val="single" w:sz="4" w:space="0" w:color="6FFFF8" w:themeColor="accent3" w:themeTint="66"/>
        <w:bottom w:val="single" w:sz="4" w:space="0" w:color="6FFFF8" w:themeColor="accent3" w:themeTint="66"/>
        <w:right w:val="single" w:sz="4" w:space="0" w:color="6FFFF8" w:themeColor="accent3" w:themeTint="66"/>
        <w:insideH w:val="single" w:sz="4" w:space="0" w:color="6FFFF8" w:themeColor="accent3" w:themeTint="66"/>
        <w:insideV w:val="single" w:sz="4" w:space="0" w:color="6FFFF8" w:themeColor="accent3" w:themeTint="66"/>
      </w:tblBorders>
    </w:tblPr>
    <w:tblStylePr w:type="firstRow">
      <w:rPr>
        <w:b/>
        <w:bCs/>
      </w:rPr>
      <w:tblPr/>
      <w:tcPr>
        <w:tcBorders>
          <w:bottom w:val="single" w:sz="12" w:space="0" w:color="27FFF4" w:themeColor="accent3" w:themeTint="99"/>
        </w:tcBorders>
      </w:tcPr>
    </w:tblStylePr>
    <w:tblStylePr w:type="lastRow">
      <w:rPr>
        <w:b/>
        <w:bCs/>
      </w:rPr>
      <w:tblPr/>
      <w:tcPr>
        <w:tcBorders>
          <w:top w:val="double" w:sz="2" w:space="0" w:color="27FFF4" w:themeColor="accent3"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982575"/>
    <w:pPr>
      <w:spacing w:after="0" w:line="240" w:lineRule="auto"/>
    </w:pPr>
    <w:rPr>
      <w:rFonts w:eastAsiaTheme="minorEastAsia"/>
      <w:sz w:val="20"/>
      <w:lang w:eastAsia="ko-KR"/>
    </w:rPr>
  </w:style>
  <w:style w:type="character" w:customStyle="1" w:styleId="EndnoteTextChar">
    <w:name w:val="Endnote Text Char"/>
    <w:basedOn w:val="DefaultParagraphFont"/>
    <w:link w:val="EndnoteText"/>
    <w:uiPriority w:val="99"/>
    <w:semiHidden/>
    <w:rsid w:val="00982575"/>
    <w:rPr>
      <w:rFonts w:ascii="Montserrat" w:eastAsiaTheme="minorEastAsia" w:hAnsi="Montserrat" w:cs="Calibri"/>
      <w:sz w:val="20"/>
      <w:szCs w:val="20"/>
      <w:lang w:val="en-AU" w:eastAsia="ko-KR"/>
    </w:rPr>
  </w:style>
  <w:style w:type="character" w:styleId="EndnoteReference">
    <w:name w:val="endnote reference"/>
    <w:basedOn w:val="DefaultParagraphFont"/>
    <w:uiPriority w:val="99"/>
    <w:semiHidden/>
    <w:unhideWhenUsed/>
    <w:rsid w:val="00982575"/>
    <w:rPr>
      <w:vertAlign w:val="superscript"/>
    </w:rPr>
  </w:style>
  <w:style w:type="paragraph" w:customStyle="1" w:styleId="AppHeading">
    <w:name w:val="App_Heading"/>
    <w:basedOn w:val="H2-NoNumColour"/>
    <w:qFormat/>
    <w:rsid w:val="00982575"/>
    <w:pPr>
      <w:numPr>
        <w:numId w:val="6"/>
      </w:numPr>
    </w:pPr>
  </w:style>
  <w:style w:type="character" w:customStyle="1" w:styleId="Tabletext9ptChar">
    <w:name w:val="Table text 9pt Char"/>
    <w:basedOn w:val="TabletextChar"/>
    <w:link w:val="Tabletext9pt"/>
    <w:rsid w:val="00982575"/>
    <w:rPr>
      <w:rFonts w:ascii="Montserrat" w:hAnsi="Montserrat" w:cs="Calibri"/>
      <w:color w:val="000000" w:themeColor="text1"/>
      <w:sz w:val="18"/>
      <w:szCs w:val="16"/>
      <w:lang w:val="en-AU"/>
    </w:rPr>
  </w:style>
  <w:style w:type="paragraph" w:customStyle="1" w:styleId="Heading4a">
    <w:name w:val="Heading 4a"/>
    <w:basedOn w:val="Heading4"/>
    <w:link w:val="Heading4aChar"/>
    <w:qFormat/>
    <w:rsid w:val="00982575"/>
    <w:pPr>
      <w:numPr>
        <w:ilvl w:val="0"/>
        <w:numId w:val="0"/>
      </w:numPr>
      <w:outlineLvl w:val="9"/>
    </w:pPr>
    <w:rPr>
      <w:i/>
      <w:sz w:val="18"/>
      <w:szCs w:val="18"/>
    </w:rPr>
  </w:style>
  <w:style w:type="character" w:customStyle="1" w:styleId="Heading4aChar">
    <w:name w:val="Heading 4a Char"/>
    <w:basedOn w:val="Heading4Char"/>
    <w:link w:val="Heading4a"/>
    <w:rsid w:val="00982575"/>
    <w:rPr>
      <w:rFonts w:ascii="Montserrat" w:eastAsia="Times New Roman" w:hAnsi="Montserrat" w:cs="Calibri"/>
      <w:bCs/>
      <w:i/>
      <w:iCs/>
      <w:color w:val="595959"/>
      <w:sz w:val="18"/>
      <w:szCs w:val="18"/>
      <w:lang w:val="en-AU"/>
    </w:rPr>
  </w:style>
  <w:style w:type="character" w:customStyle="1" w:styleId="quality-sign">
    <w:name w:val="quality-sign"/>
    <w:basedOn w:val="DefaultParagraphFont"/>
    <w:rsid w:val="00982575"/>
  </w:style>
  <w:style w:type="character" w:customStyle="1" w:styleId="quality-text">
    <w:name w:val="quality-text"/>
    <w:basedOn w:val="DefaultParagraphFont"/>
    <w:rsid w:val="00982575"/>
  </w:style>
  <w:style w:type="character" w:customStyle="1" w:styleId="short-name">
    <w:name w:val="short-name"/>
    <w:basedOn w:val="DefaultParagraphFont"/>
    <w:rsid w:val="00982575"/>
  </w:style>
  <w:style w:type="paragraph" w:customStyle="1" w:styleId="Qualitytext">
    <w:name w:val="Quality text"/>
    <w:basedOn w:val="Tabletext8pt"/>
    <w:link w:val="QualitytextChar"/>
    <w:qFormat/>
    <w:rsid w:val="00982575"/>
    <w:pPr>
      <w:jc w:val="center"/>
    </w:pPr>
    <w:rPr>
      <w:caps/>
    </w:rPr>
  </w:style>
  <w:style w:type="character" w:customStyle="1" w:styleId="Tabletext8ptChar">
    <w:name w:val="Table text 8pt Char"/>
    <w:basedOn w:val="TabletextChar"/>
    <w:link w:val="Tabletext8pt"/>
    <w:rsid w:val="00982575"/>
    <w:rPr>
      <w:rFonts w:ascii="Montserrat" w:hAnsi="Montserrat" w:cs="Calibri"/>
      <w:color w:val="000000" w:themeColor="text1"/>
      <w:sz w:val="16"/>
      <w:szCs w:val="16"/>
      <w:lang w:val="en-AU"/>
    </w:rPr>
  </w:style>
  <w:style w:type="character" w:customStyle="1" w:styleId="QualitytextChar">
    <w:name w:val="Quality text Char"/>
    <w:basedOn w:val="Tabletext8ptChar"/>
    <w:link w:val="Qualitytext"/>
    <w:rsid w:val="00982575"/>
    <w:rPr>
      <w:rFonts w:ascii="Montserrat" w:hAnsi="Montserrat" w:cs="Calibri"/>
      <w:caps/>
      <w:color w:val="000000" w:themeColor="text1"/>
      <w:sz w:val="16"/>
      <w:szCs w:val="16"/>
      <w:lang w:val="en-AU"/>
    </w:rPr>
  </w:style>
  <w:style w:type="table" w:styleId="PlainTable4">
    <w:name w:val="Plain Table 4"/>
    <w:basedOn w:val="TableNormal"/>
    <w:uiPriority w:val="44"/>
    <w:rsid w:val="0098257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ECEC" w:themeFill="background1" w:themeFillShade="F2"/>
      </w:tcPr>
    </w:tblStylePr>
    <w:tblStylePr w:type="band1Horz">
      <w:tblPr/>
      <w:tcPr>
        <w:shd w:val="clear" w:color="auto" w:fill="ECECEC" w:themeFill="background1" w:themeFillShade="F2"/>
      </w:tcPr>
    </w:tblStylePr>
  </w:style>
  <w:style w:type="character" w:customStyle="1" w:styleId="comma">
    <w:name w:val="comma"/>
    <w:basedOn w:val="DefaultParagraphFont"/>
    <w:rsid w:val="00982575"/>
  </w:style>
  <w:style w:type="table" w:styleId="GridTable5Dark-Accent1">
    <w:name w:val="Grid Table 5 Dark Accent 1"/>
    <w:basedOn w:val="TableNormal"/>
    <w:uiPriority w:val="50"/>
    <w:locked/>
    <w:rsid w:val="00DD505D"/>
    <w:pPr>
      <w:spacing w:after="0" w:line="240" w:lineRule="auto"/>
    </w:pPr>
    <w:tblPr>
      <w:tblStyleRowBandSize w:val="1"/>
      <w:tblStyleColBandSize w:val="1"/>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tblPr>
    <w:tcPr>
      <w:shd w:val="clear" w:color="auto" w:fill="ADE7F8" w:themeFill="accent1" w:themeFillTint="33"/>
    </w:tcPr>
    <w:tblStylePr w:type="firstRow">
      <w:rPr>
        <w:b/>
        <w:bCs/>
        <w:color w:val="F9F9F9" w:themeColor="background1"/>
      </w:rPr>
      <w:tblPr/>
      <w:tcPr>
        <w:tcBorders>
          <w:top w:val="single" w:sz="4" w:space="0" w:color="F9F9F9" w:themeColor="background1"/>
          <w:left w:val="single" w:sz="4" w:space="0" w:color="F9F9F9" w:themeColor="background1"/>
          <w:right w:val="single" w:sz="4" w:space="0" w:color="F9F9F9" w:themeColor="background1"/>
          <w:insideH w:val="nil"/>
          <w:insideV w:val="nil"/>
        </w:tcBorders>
        <w:shd w:val="clear" w:color="auto" w:fill="053341" w:themeFill="accent1"/>
      </w:tcPr>
    </w:tblStylePr>
    <w:tblStylePr w:type="lastRow">
      <w:rPr>
        <w:b/>
        <w:bCs/>
        <w:color w:val="F9F9F9" w:themeColor="background1"/>
      </w:rPr>
      <w:tblPr/>
      <w:tcPr>
        <w:tcBorders>
          <w:left w:val="single" w:sz="4" w:space="0" w:color="F9F9F9" w:themeColor="background1"/>
          <w:bottom w:val="single" w:sz="4" w:space="0" w:color="F9F9F9" w:themeColor="background1"/>
          <w:right w:val="single" w:sz="4" w:space="0" w:color="F9F9F9" w:themeColor="background1"/>
          <w:insideH w:val="nil"/>
          <w:insideV w:val="nil"/>
        </w:tcBorders>
        <w:shd w:val="clear" w:color="auto" w:fill="053341" w:themeFill="accent1"/>
      </w:tcPr>
    </w:tblStylePr>
    <w:tblStylePr w:type="firstCol">
      <w:rPr>
        <w:b/>
        <w:bCs/>
        <w:color w:val="F9F9F9" w:themeColor="background1"/>
      </w:rPr>
      <w:tblPr/>
      <w:tcPr>
        <w:tcBorders>
          <w:top w:val="single" w:sz="4" w:space="0" w:color="F9F9F9" w:themeColor="background1"/>
          <w:left w:val="single" w:sz="4" w:space="0" w:color="F9F9F9" w:themeColor="background1"/>
          <w:bottom w:val="single" w:sz="4" w:space="0" w:color="F9F9F9" w:themeColor="background1"/>
          <w:insideV w:val="nil"/>
        </w:tcBorders>
        <w:shd w:val="clear" w:color="auto" w:fill="053341" w:themeFill="accent1"/>
      </w:tcPr>
    </w:tblStylePr>
    <w:tblStylePr w:type="lastCol">
      <w:rPr>
        <w:b/>
        <w:bCs/>
        <w:color w:val="F9F9F9" w:themeColor="background1"/>
      </w:rPr>
      <w:tblPr/>
      <w:tcPr>
        <w:tcBorders>
          <w:top w:val="single" w:sz="4" w:space="0" w:color="F9F9F9" w:themeColor="background1"/>
          <w:bottom w:val="single" w:sz="4" w:space="0" w:color="F9F9F9" w:themeColor="background1"/>
          <w:right w:val="single" w:sz="4" w:space="0" w:color="F9F9F9" w:themeColor="background1"/>
          <w:insideV w:val="nil"/>
        </w:tcBorders>
        <w:shd w:val="clear" w:color="auto" w:fill="053341" w:themeFill="accent1"/>
      </w:tcPr>
    </w:tblStylePr>
    <w:tblStylePr w:type="band1Vert">
      <w:tblPr/>
      <w:tcPr>
        <w:shd w:val="clear" w:color="auto" w:fill="5BCEF2" w:themeFill="accent1" w:themeFillTint="66"/>
      </w:tcPr>
    </w:tblStylePr>
    <w:tblStylePr w:type="band1Horz">
      <w:tblPr/>
      <w:tcPr>
        <w:shd w:val="clear" w:color="auto" w:fill="5BCEF2" w:themeFill="accent1" w:themeFillTint="66"/>
      </w:tcPr>
    </w:tblStylePr>
  </w:style>
  <w:style w:type="paragraph" w:customStyle="1" w:styleId="sof-title">
    <w:name w:val="sof-title"/>
    <w:basedOn w:val="Normal"/>
    <w:rsid w:val="00982575"/>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block">
    <w:name w:val="block"/>
    <w:basedOn w:val="DefaultParagraphFont"/>
    <w:rsid w:val="00DD505D"/>
  </w:style>
  <w:style w:type="paragraph" w:customStyle="1" w:styleId="Default">
    <w:name w:val="Default"/>
    <w:rsid w:val="00982575"/>
    <w:pPr>
      <w:autoSpaceDE w:val="0"/>
      <w:autoSpaceDN w:val="0"/>
      <w:adjustRightInd w:val="0"/>
      <w:spacing w:after="0" w:line="240" w:lineRule="auto"/>
    </w:pPr>
    <w:rPr>
      <w:rFonts w:ascii="Calibri" w:hAnsi="Calibri" w:cs="Calibri"/>
      <w:color w:val="000000"/>
      <w:sz w:val="24"/>
      <w:szCs w:val="24"/>
      <w:lang w:val="en-AU"/>
    </w:rPr>
  </w:style>
  <w:style w:type="paragraph" w:customStyle="1" w:styleId="Heading5a">
    <w:name w:val="Heading 5a"/>
    <w:basedOn w:val="Heading5"/>
    <w:link w:val="Heading5aChar"/>
    <w:qFormat/>
    <w:rsid w:val="00982575"/>
    <w:pPr>
      <w:numPr>
        <w:ilvl w:val="0"/>
        <w:numId w:val="0"/>
      </w:numPr>
      <w:spacing w:before="240"/>
      <w:outlineLvl w:val="9"/>
    </w:pPr>
    <w:rPr>
      <w:rFonts w:eastAsia="Times New Roman"/>
      <w:bCs w:val="0"/>
      <w:color w:val="004B5A" w:themeColor="accent2" w:themeShade="BF"/>
      <w:sz w:val="18"/>
      <w:szCs w:val="20"/>
    </w:rPr>
  </w:style>
  <w:style w:type="character" w:customStyle="1" w:styleId="Heading5aChar">
    <w:name w:val="Heading 5a Char"/>
    <w:basedOn w:val="Heading6Char"/>
    <w:link w:val="Heading5a"/>
    <w:rsid w:val="00982575"/>
    <w:rPr>
      <w:rFonts w:ascii="Montserrat" w:eastAsia="Times New Roman" w:hAnsi="Montserrat" w:cs="Calibri"/>
      <w:i/>
      <w:iCs/>
      <w:color w:val="004B5A" w:themeColor="accent2" w:themeShade="BF"/>
      <w:sz w:val="18"/>
      <w:szCs w:val="20"/>
      <w:lang w:val="en"/>
    </w:rPr>
  </w:style>
  <w:style w:type="table" w:customStyle="1" w:styleId="PlainTable31">
    <w:name w:val="Plain Table 31"/>
    <w:basedOn w:val="TableNormal"/>
    <w:uiPriority w:val="43"/>
    <w:rsid w:val="00982575"/>
    <w:pPr>
      <w:spacing w:after="0" w:line="240" w:lineRule="auto"/>
    </w:pPr>
    <w:rPr>
      <w:rFonts w:ascii="Calibri" w:hAnsi="Calibri" w:cs="Calibri"/>
      <w:lang w:val="en-AU" w:eastAsia="zh-CN"/>
    </w:rPr>
    <w:tblPr>
      <w:tblStyleRowBandSize w:val="1"/>
      <w:tblStyleColBandSize w:val="1"/>
      <w:tblCellMar>
        <w:left w:w="57" w:type="dxa"/>
        <w:right w:w="57"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ECECEC" w:themeFill="background1" w:themeFillShade="F2"/>
      </w:tcPr>
    </w:tblStylePr>
    <w:tblStylePr w:type="band1Horz">
      <w:tblPr/>
      <w:tcPr>
        <w:shd w:val="clear" w:color="auto" w:fill="ECECEC"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ADE">
    <w:name w:val="GRADE"/>
    <w:basedOn w:val="TableNormal"/>
    <w:uiPriority w:val="99"/>
    <w:rsid w:val="00982575"/>
    <w:pPr>
      <w:spacing w:after="0" w:line="240" w:lineRule="auto"/>
    </w:pPr>
    <w:rPr>
      <w:rFonts w:ascii="Calibri" w:hAnsi="Calibri" w:cs="Calibri"/>
      <w:lang w:val="en-AU" w:eastAsia="zh-CN"/>
    </w:rPr>
    <w:tblPr/>
  </w:style>
  <w:style w:type="paragraph" w:customStyle="1" w:styleId="TableH2">
    <w:name w:val="Table H2"/>
    <w:basedOn w:val="BodyText"/>
    <w:next w:val="Tabletext"/>
    <w:uiPriority w:val="4"/>
    <w:qFormat/>
    <w:rsid w:val="00982575"/>
    <w:pPr>
      <w:keepNext/>
      <w:keepLines w:val="0"/>
      <w:spacing w:before="40" w:after="40" w:line="240" w:lineRule="auto"/>
    </w:pPr>
    <w:rPr>
      <w:b/>
      <w:sz w:val="16"/>
      <w:lang w:eastAsia="zh-CN"/>
    </w:rPr>
  </w:style>
  <w:style w:type="paragraph" w:customStyle="1" w:styleId="msonormal0">
    <w:name w:val="msonormal"/>
    <w:basedOn w:val="Normal"/>
    <w:rsid w:val="00A541C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font5">
    <w:name w:val="font5"/>
    <w:basedOn w:val="Normal"/>
    <w:rsid w:val="00A541CC"/>
    <w:pPr>
      <w:spacing w:before="100" w:beforeAutospacing="1" w:after="100" w:afterAutospacing="1" w:line="240" w:lineRule="auto"/>
    </w:pPr>
    <w:rPr>
      <w:rFonts w:ascii="Tahoma" w:eastAsia="Times New Roman" w:hAnsi="Tahoma" w:cs="Tahoma"/>
      <w:color w:val="000000"/>
      <w:szCs w:val="18"/>
      <w:lang w:eastAsia="en-AU"/>
    </w:rPr>
  </w:style>
  <w:style w:type="paragraph" w:customStyle="1" w:styleId="font6">
    <w:name w:val="font6"/>
    <w:basedOn w:val="Normal"/>
    <w:rsid w:val="00A541CC"/>
    <w:pPr>
      <w:spacing w:before="100" w:beforeAutospacing="1" w:after="100" w:afterAutospacing="1" w:line="240" w:lineRule="auto"/>
    </w:pPr>
    <w:rPr>
      <w:rFonts w:ascii="Tahoma" w:eastAsia="Times New Roman" w:hAnsi="Tahoma" w:cs="Tahoma"/>
      <w:b/>
      <w:bCs/>
      <w:color w:val="000000"/>
      <w:szCs w:val="18"/>
      <w:lang w:eastAsia="en-AU"/>
    </w:rPr>
  </w:style>
  <w:style w:type="paragraph" w:customStyle="1" w:styleId="xl68">
    <w:name w:val="xl68"/>
    <w:basedOn w:val="Normal"/>
    <w:rsid w:val="00A541C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9">
    <w:name w:val="xl69"/>
    <w:basedOn w:val="Normal"/>
    <w:rsid w:val="00E36A01"/>
    <w:pPr>
      <w:spacing w:before="100" w:beforeAutospacing="1" w:after="100" w:afterAutospacing="1" w:line="240" w:lineRule="auto"/>
      <w:ind w:firstLineChars="100" w:firstLine="100"/>
    </w:pPr>
    <w:rPr>
      <w:rFonts w:ascii="Times New Roman" w:eastAsia="Times New Roman" w:hAnsi="Times New Roman" w:cs="Times New Roman"/>
      <w:sz w:val="24"/>
      <w:szCs w:val="24"/>
      <w:lang w:eastAsia="en-AU"/>
    </w:rPr>
  </w:style>
  <w:style w:type="paragraph" w:customStyle="1" w:styleId="pf0">
    <w:name w:val="pf0"/>
    <w:basedOn w:val="Normal"/>
    <w:rsid w:val="00A541C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01">
    <w:name w:val="cf01"/>
    <w:basedOn w:val="DefaultParagraphFont"/>
    <w:rsid w:val="00A541CC"/>
    <w:rPr>
      <w:rFonts w:ascii="Segoe UI" w:hAnsi="Segoe UI" w:cs="Segoe UI" w:hint="default"/>
      <w:sz w:val="18"/>
      <w:szCs w:val="18"/>
    </w:rPr>
  </w:style>
  <w:style w:type="character" w:customStyle="1" w:styleId="cf21">
    <w:name w:val="cf21"/>
    <w:basedOn w:val="DefaultParagraphFont"/>
    <w:rsid w:val="00A541CC"/>
    <w:rPr>
      <w:rFonts w:ascii="Segoe UI" w:hAnsi="Segoe UI" w:cs="Segoe UI" w:hint="default"/>
      <w:sz w:val="18"/>
      <w:szCs w:val="18"/>
    </w:rPr>
  </w:style>
  <w:style w:type="paragraph" w:styleId="NormalWeb">
    <w:name w:val="Normal (Web)"/>
    <w:basedOn w:val="Normal"/>
    <w:uiPriority w:val="99"/>
    <w:semiHidden/>
    <w:unhideWhenUsed/>
    <w:rsid w:val="00AA7FAE"/>
    <w:pPr>
      <w:spacing w:before="100" w:beforeAutospacing="1" w:after="100" w:afterAutospacing="1" w:line="240" w:lineRule="auto"/>
    </w:pPr>
    <w:rPr>
      <w:rFonts w:ascii="Times New Roman" w:eastAsiaTheme="minorEastAsia" w:hAnsi="Times New Roman" w:cs="Times New Roman"/>
      <w:sz w:val="24"/>
      <w:szCs w:val="24"/>
      <w:lang w:eastAsia="en-AU"/>
      <w14:ligatures w14:val="standardContextual"/>
    </w:rPr>
  </w:style>
  <w:style w:type="paragraph" w:customStyle="1" w:styleId="first-letter">
    <w:name w:val="first-letter"/>
    <w:basedOn w:val="Normal"/>
    <w:rsid w:val="00AA7FAE"/>
    <w:pPr>
      <w:spacing w:before="100" w:beforeAutospacing="1" w:after="100" w:afterAutospacing="1" w:line="240" w:lineRule="auto"/>
    </w:pPr>
    <w:rPr>
      <w:rFonts w:ascii="Times New Roman" w:eastAsiaTheme="minorEastAsia" w:hAnsi="Times New Roman" w:cs="Times New Roman"/>
      <w:sz w:val="24"/>
      <w:szCs w:val="24"/>
      <w:lang w:eastAsia="en-AU"/>
      <w14:ligatures w14:val="standardContextual"/>
    </w:rPr>
  </w:style>
  <w:style w:type="character" w:customStyle="1" w:styleId="label">
    <w:name w:val="label"/>
    <w:basedOn w:val="DefaultParagraphFont"/>
    <w:rsid w:val="00AA7FAE"/>
  </w:style>
  <w:style w:type="character" w:customStyle="1" w:styleId="cell-value">
    <w:name w:val="cell-value"/>
    <w:basedOn w:val="DefaultParagraphFont"/>
    <w:rsid w:val="00AA7FAE"/>
  </w:style>
  <w:style w:type="character" w:customStyle="1" w:styleId="cell">
    <w:name w:val="cell"/>
    <w:basedOn w:val="DefaultParagraphFont"/>
    <w:rsid w:val="00AA7FAE"/>
  </w:style>
  <w:style w:type="character" w:styleId="Mention">
    <w:name w:val="Mention"/>
    <w:basedOn w:val="DefaultParagraphFont"/>
    <w:uiPriority w:val="99"/>
    <w:unhideWhenUsed/>
    <w:rsid w:val="0001419C"/>
    <w:rPr>
      <w:color w:val="2B579A"/>
      <w:shd w:val="clear" w:color="auto" w:fill="E1DFDD"/>
    </w:rPr>
  </w:style>
  <w:style w:type="character" w:customStyle="1" w:styleId="normaltextrun">
    <w:name w:val="normaltextrun"/>
    <w:basedOn w:val="DefaultParagraphFont"/>
    <w:rsid w:val="00CB77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455541">
      <w:bodyDiv w:val="1"/>
      <w:marLeft w:val="0"/>
      <w:marRight w:val="0"/>
      <w:marTop w:val="0"/>
      <w:marBottom w:val="0"/>
      <w:divBdr>
        <w:top w:val="none" w:sz="0" w:space="0" w:color="auto"/>
        <w:left w:val="none" w:sz="0" w:space="0" w:color="auto"/>
        <w:bottom w:val="none" w:sz="0" w:space="0" w:color="auto"/>
        <w:right w:val="none" w:sz="0" w:space="0" w:color="auto"/>
      </w:divBdr>
    </w:div>
    <w:div w:id="149448513">
      <w:bodyDiv w:val="1"/>
      <w:marLeft w:val="0"/>
      <w:marRight w:val="0"/>
      <w:marTop w:val="0"/>
      <w:marBottom w:val="0"/>
      <w:divBdr>
        <w:top w:val="none" w:sz="0" w:space="0" w:color="auto"/>
        <w:left w:val="none" w:sz="0" w:space="0" w:color="auto"/>
        <w:bottom w:val="none" w:sz="0" w:space="0" w:color="auto"/>
        <w:right w:val="none" w:sz="0" w:space="0" w:color="auto"/>
      </w:divBdr>
    </w:div>
    <w:div w:id="195001154">
      <w:bodyDiv w:val="1"/>
      <w:marLeft w:val="0"/>
      <w:marRight w:val="0"/>
      <w:marTop w:val="0"/>
      <w:marBottom w:val="0"/>
      <w:divBdr>
        <w:top w:val="none" w:sz="0" w:space="0" w:color="auto"/>
        <w:left w:val="none" w:sz="0" w:space="0" w:color="auto"/>
        <w:bottom w:val="none" w:sz="0" w:space="0" w:color="auto"/>
        <w:right w:val="none" w:sz="0" w:space="0" w:color="auto"/>
      </w:divBdr>
    </w:div>
    <w:div w:id="270940497">
      <w:bodyDiv w:val="1"/>
      <w:marLeft w:val="0"/>
      <w:marRight w:val="0"/>
      <w:marTop w:val="0"/>
      <w:marBottom w:val="0"/>
      <w:divBdr>
        <w:top w:val="none" w:sz="0" w:space="0" w:color="auto"/>
        <w:left w:val="none" w:sz="0" w:space="0" w:color="auto"/>
        <w:bottom w:val="none" w:sz="0" w:space="0" w:color="auto"/>
        <w:right w:val="none" w:sz="0" w:space="0" w:color="auto"/>
      </w:divBdr>
    </w:div>
    <w:div w:id="329874453">
      <w:bodyDiv w:val="1"/>
      <w:marLeft w:val="0"/>
      <w:marRight w:val="0"/>
      <w:marTop w:val="0"/>
      <w:marBottom w:val="0"/>
      <w:divBdr>
        <w:top w:val="none" w:sz="0" w:space="0" w:color="auto"/>
        <w:left w:val="none" w:sz="0" w:space="0" w:color="auto"/>
        <w:bottom w:val="none" w:sz="0" w:space="0" w:color="auto"/>
        <w:right w:val="none" w:sz="0" w:space="0" w:color="auto"/>
      </w:divBdr>
    </w:div>
    <w:div w:id="349796582">
      <w:bodyDiv w:val="1"/>
      <w:marLeft w:val="0"/>
      <w:marRight w:val="0"/>
      <w:marTop w:val="0"/>
      <w:marBottom w:val="0"/>
      <w:divBdr>
        <w:top w:val="none" w:sz="0" w:space="0" w:color="auto"/>
        <w:left w:val="none" w:sz="0" w:space="0" w:color="auto"/>
        <w:bottom w:val="none" w:sz="0" w:space="0" w:color="auto"/>
        <w:right w:val="none" w:sz="0" w:space="0" w:color="auto"/>
      </w:divBdr>
    </w:div>
    <w:div w:id="363794192">
      <w:bodyDiv w:val="1"/>
      <w:marLeft w:val="0"/>
      <w:marRight w:val="0"/>
      <w:marTop w:val="0"/>
      <w:marBottom w:val="0"/>
      <w:divBdr>
        <w:top w:val="none" w:sz="0" w:space="0" w:color="auto"/>
        <w:left w:val="none" w:sz="0" w:space="0" w:color="auto"/>
        <w:bottom w:val="none" w:sz="0" w:space="0" w:color="auto"/>
        <w:right w:val="none" w:sz="0" w:space="0" w:color="auto"/>
      </w:divBdr>
    </w:div>
    <w:div w:id="397098938">
      <w:bodyDiv w:val="1"/>
      <w:marLeft w:val="0"/>
      <w:marRight w:val="0"/>
      <w:marTop w:val="0"/>
      <w:marBottom w:val="0"/>
      <w:divBdr>
        <w:top w:val="none" w:sz="0" w:space="0" w:color="auto"/>
        <w:left w:val="none" w:sz="0" w:space="0" w:color="auto"/>
        <w:bottom w:val="none" w:sz="0" w:space="0" w:color="auto"/>
        <w:right w:val="none" w:sz="0" w:space="0" w:color="auto"/>
      </w:divBdr>
    </w:div>
    <w:div w:id="464471165">
      <w:bodyDiv w:val="1"/>
      <w:marLeft w:val="0"/>
      <w:marRight w:val="0"/>
      <w:marTop w:val="0"/>
      <w:marBottom w:val="0"/>
      <w:divBdr>
        <w:top w:val="none" w:sz="0" w:space="0" w:color="auto"/>
        <w:left w:val="none" w:sz="0" w:space="0" w:color="auto"/>
        <w:bottom w:val="none" w:sz="0" w:space="0" w:color="auto"/>
        <w:right w:val="none" w:sz="0" w:space="0" w:color="auto"/>
      </w:divBdr>
    </w:div>
    <w:div w:id="556626825">
      <w:bodyDiv w:val="1"/>
      <w:marLeft w:val="0"/>
      <w:marRight w:val="0"/>
      <w:marTop w:val="0"/>
      <w:marBottom w:val="0"/>
      <w:divBdr>
        <w:top w:val="none" w:sz="0" w:space="0" w:color="auto"/>
        <w:left w:val="none" w:sz="0" w:space="0" w:color="auto"/>
        <w:bottom w:val="none" w:sz="0" w:space="0" w:color="auto"/>
        <w:right w:val="none" w:sz="0" w:space="0" w:color="auto"/>
      </w:divBdr>
    </w:div>
    <w:div w:id="644437301">
      <w:bodyDiv w:val="1"/>
      <w:marLeft w:val="0"/>
      <w:marRight w:val="0"/>
      <w:marTop w:val="0"/>
      <w:marBottom w:val="0"/>
      <w:divBdr>
        <w:top w:val="none" w:sz="0" w:space="0" w:color="auto"/>
        <w:left w:val="none" w:sz="0" w:space="0" w:color="auto"/>
        <w:bottom w:val="none" w:sz="0" w:space="0" w:color="auto"/>
        <w:right w:val="none" w:sz="0" w:space="0" w:color="auto"/>
      </w:divBdr>
    </w:div>
    <w:div w:id="668482836">
      <w:bodyDiv w:val="1"/>
      <w:marLeft w:val="0"/>
      <w:marRight w:val="0"/>
      <w:marTop w:val="0"/>
      <w:marBottom w:val="0"/>
      <w:divBdr>
        <w:top w:val="none" w:sz="0" w:space="0" w:color="auto"/>
        <w:left w:val="none" w:sz="0" w:space="0" w:color="auto"/>
        <w:bottom w:val="none" w:sz="0" w:space="0" w:color="auto"/>
        <w:right w:val="none" w:sz="0" w:space="0" w:color="auto"/>
      </w:divBdr>
    </w:div>
    <w:div w:id="713314204">
      <w:bodyDiv w:val="1"/>
      <w:marLeft w:val="0"/>
      <w:marRight w:val="0"/>
      <w:marTop w:val="0"/>
      <w:marBottom w:val="0"/>
      <w:divBdr>
        <w:top w:val="none" w:sz="0" w:space="0" w:color="auto"/>
        <w:left w:val="none" w:sz="0" w:space="0" w:color="auto"/>
        <w:bottom w:val="none" w:sz="0" w:space="0" w:color="auto"/>
        <w:right w:val="none" w:sz="0" w:space="0" w:color="auto"/>
      </w:divBdr>
    </w:div>
    <w:div w:id="715356620">
      <w:bodyDiv w:val="1"/>
      <w:marLeft w:val="0"/>
      <w:marRight w:val="0"/>
      <w:marTop w:val="0"/>
      <w:marBottom w:val="0"/>
      <w:divBdr>
        <w:top w:val="none" w:sz="0" w:space="0" w:color="auto"/>
        <w:left w:val="none" w:sz="0" w:space="0" w:color="auto"/>
        <w:bottom w:val="none" w:sz="0" w:space="0" w:color="auto"/>
        <w:right w:val="none" w:sz="0" w:space="0" w:color="auto"/>
      </w:divBdr>
    </w:div>
    <w:div w:id="740442542">
      <w:bodyDiv w:val="1"/>
      <w:marLeft w:val="0"/>
      <w:marRight w:val="0"/>
      <w:marTop w:val="0"/>
      <w:marBottom w:val="0"/>
      <w:divBdr>
        <w:top w:val="none" w:sz="0" w:space="0" w:color="auto"/>
        <w:left w:val="none" w:sz="0" w:space="0" w:color="auto"/>
        <w:bottom w:val="none" w:sz="0" w:space="0" w:color="auto"/>
        <w:right w:val="none" w:sz="0" w:space="0" w:color="auto"/>
      </w:divBdr>
    </w:div>
    <w:div w:id="741487829">
      <w:bodyDiv w:val="1"/>
      <w:marLeft w:val="0"/>
      <w:marRight w:val="0"/>
      <w:marTop w:val="0"/>
      <w:marBottom w:val="0"/>
      <w:divBdr>
        <w:top w:val="none" w:sz="0" w:space="0" w:color="auto"/>
        <w:left w:val="none" w:sz="0" w:space="0" w:color="auto"/>
        <w:bottom w:val="none" w:sz="0" w:space="0" w:color="auto"/>
        <w:right w:val="none" w:sz="0" w:space="0" w:color="auto"/>
      </w:divBdr>
    </w:div>
    <w:div w:id="767967075">
      <w:bodyDiv w:val="1"/>
      <w:marLeft w:val="0"/>
      <w:marRight w:val="0"/>
      <w:marTop w:val="0"/>
      <w:marBottom w:val="0"/>
      <w:divBdr>
        <w:top w:val="none" w:sz="0" w:space="0" w:color="auto"/>
        <w:left w:val="none" w:sz="0" w:space="0" w:color="auto"/>
        <w:bottom w:val="none" w:sz="0" w:space="0" w:color="auto"/>
        <w:right w:val="none" w:sz="0" w:space="0" w:color="auto"/>
      </w:divBdr>
    </w:div>
    <w:div w:id="797380464">
      <w:bodyDiv w:val="1"/>
      <w:marLeft w:val="0"/>
      <w:marRight w:val="0"/>
      <w:marTop w:val="0"/>
      <w:marBottom w:val="0"/>
      <w:divBdr>
        <w:top w:val="none" w:sz="0" w:space="0" w:color="auto"/>
        <w:left w:val="none" w:sz="0" w:space="0" w:color="auto"/>
        <w:bottom w:val="none" w:sz="0" w:space="0" w:color="auto"/>
        <w:right w:val="none" w:sz="0" w:space="0" w:color="auto"/>
      </w:divBdr>
    </w:div>
    <w:div w:id="824785896">
      <w:bodyDiv w:val="1"/>
      <w:marLeft w:val="0"/>
      <w:marRight w:val="0"/>
      <w:marTop w:val="0"/>
      <w:marBottom w:val="0"/>
      <w:divBdr>
        <w:top w:val="none" w:sz="0" w:space="0" w:color="auto"/>
        <w:left w:val="none" w:sz="0" w:space="0" w:color="auto"/>
        <w:bottom w:val="none" w:sz="0" w:space="0" w:color="auto"/>
        <w:right w:val="none" w:sz="0" w:space="0" w:color="auto"/>
      </w:divBdr>
    </w:div>
    <w:div w:id="935091903">
      <w:bodyDiv w:val="1"/>
      <w:marLeft w:val="0"/>
      <w:marRight w:val="0"/>
      <w:marTop w:val="0"/>
      <w:marBottom w:val="0"/>
      <w:divBdr>
        <w:top w:val="none" w:sz="0" w:space="0" w:color="auto"/>
        <w:left w:val="none" w:sz="0" w:space="0" w:color="auto"/>
        <w:bottom w:val="none" w:sz="0" w:space="0" w:color="auto"/>
        <w:right w:val="none" w:sz="0" w:space="0" w:color="auto"/>
      </w:divBdr>
    </w:div>
    <w:div w:id="943921324">
      <w:bodyDiv w:val="1"/>
      <w:marLeft w:val="0"/>
      <w:marRight w:val="0"/>
      <w:marTop w:val="0"/>
      <w:marBottom w:val="0"/>
      <w:divBdr>
        <w:top w:val="none" w:sz="0" w:space="0" w:color="auto"/>
        <w:left w:val="none" w:sz="0" w:space="0" w:color="auto"/>
        <w:bottom w:val="none" w:sz="0" w:space="0" w:color="auto"/>
        <w:right w:val="none" w:sz="0" w:space="0" w:color="auto"/>
      </w:divBdr>
    </w:div>
    <w:div w:id="1067536688">
      <w:bodyDiv w:val="1"/>
      <w:marLeft w:val="0"/>
      <w:marRight w:val="0"/>
      <w:marTop w:val="0"/>
      <w:marBottom w:val="0"/>
      <w:divBdr>
        <w:top w:val="none" w:sz="0" w:space="0" w:color="auto"/>
        <w:left w:val="none" w:sz="0" w:space="0" w:color="auto"/>
        <w:bottom w:val="none" w:sz="0" w:space="0" w:color="auto"/>
        <w:right w:val="none" w:sz="0" w:space="0" w:color="auto"/>
      </w:divBdr>
    </w:div>
    <w:div w:id="1182159898">
      <w:bodyDiv w:val="1"/>
      <w:marLeft w:val="0"/>
      <w:marRight w:val="0"/>
      <w:marTop w:val="0"/>
      <w:marBottom w:val="0"/>
      <w:divBdr>
        <w:top w:val="none" w:sz="0" w:space="0" w:color="auto"/>
        <w:left w:val="none" w:sz="0" w:space="0" w:color="auto"/>
        <w:bottom w:val="none" w:sz="0" w:space="0" w:color="auto"/>
        <w:right w:val="none" w:sz="0" w:space="0" w:color="auto"/>
      </w:divBdr>
    </w:div>
    <w:div w:id="1184444708">
      <w:bodyDiv w:val="1"/>
      <w:marLeft w:val="0"/>
      <w:marRight w:val="0"/>
      <w:marTop w:val="0"/>
      <w:marBottom w:val="0"/>
      <w:divBdr>
        <w:top w:val="none" w:sz="0" w:space="0" w:color="auto"/>
        <w:left w:val="none" w:sz="0" w:space="0" w:color="auto"/>
        <w:bottom w:val="none" w:sz="0" w:space="0" w:color="auto"/>
        <w:right w:val="none" w:sz="0" w:space="0" w:color="auto"/>
      </w:divBdr>
    </w:div>
    <w:div w:id="1206256853">
      <w:bodyDiv w:val="1"/>
      <w:marLeft w:val="0"/>
      <w:marRight w:val="0"/>
      <w:marTop w:val="0"/>
      <w:marBottom w:val="0"/>
      <w:divBdr>
        <w:top w:val="none" w:sz="0" w:space="0" w:color="auto"/>
        <w:left w:val="none" w:sz="0" w:space="0" w:color="auto"/>
        <w:bottom w:val="none" w:sz="0" w:space="0" w:color="auto"/>
        <w:right w:val="none" w:sz="0" w:space="0" w:color="auto"/>
      </w:divBdr>
    </w:div>
    <w:div w:id="1255820508">
      <w:bodyDiv w:val="1"/>
      <w:marLeft w:val="0"/>
      <w:marRight w:val="0"/>
      <w:marTop w:val="0"/>
      <w:marBottom w:val="0"/>
      <w:divBdr>
        <w:top w:val="none" w:sz="0" w:space="0" w:color="auto"/>
        <w:left w:val="none" w:sz="0" w:space="0" w:color="auto"/>
        <w:bottom w:val="none" w:sz="0" w:space="0" w:color="auto"/>
        <w:right w:val="none" w:sz="0" w:space="0" w:color="auto"/>
      </w:divBdr>
    </w:div>
    <w:div w:id="1269240604">
      <w:bodyDiv w:val="1"/>
      <w:marLeft w:val="0"/>
      <w:marRight w:val="0"/>
      <w:marTop w:val="0"/>
      <w:marBottom w:val="0"/>
      <w:divBdr>
        <w:top w:val="none" w:sz="0" w:space="0" w:color="auto"/>
        <w:left w:val="none" w:sz="0" w:space="0" w:color="auto"/>
        <w:bottom w:val="none" w:sz="0" w:space="0" w:color="auto"/>
        <w:right w:val="none" w:sz="0" w:space="0" w:color="auto"/>
      </w:divBdr>
    </w:div>
    <w:div w:id="1341395764">
      <w:bodyDiv w:val="1"/>
      <w:marLeft w:val="0"/>
      <w:marRight w:val="0"/>
      <w:marTop w:val="0"/>
      <w:marBottom w:val="0"/>
      <w:divBdr>
        <w:top w:val="none" w:sz="0" w:space="0" w:color="auto"/>
        <w:left w:val="none" w:sz="0" w:space="0" w:color="auto"/>
        <w:bottom w:val="none" w:sz="0" w:space="0" w:color="auto"/>
        <w:right w:val="none" w:sz="0" w:space="0" w:color="auto"/>
      </w:divBdr>
    </w:div>
    <w:div w:id="1349141614">
      <w:bodyDiv w:val="1"/>
      <w:marLeft w:val="0"/>
      <w:marRight w:val="0"/>
      <w:marTop w:val="0"/>
      <w:marBottom w:val="0"/>
      <w:divBdr>
        <w:top w:val="none" w:sz="0" w:space="0" w:color="auto"/>
        <w:left w:val="none" w:sz="0" w:space="0" w:color="auto"/>
        <w:bottom w:val="none" w:sz="0" w:space="0" w:color="auto"/>
        <w:right w:val="none" w:sz="0" w:space="0" w:color="auto"/>
      </w:divBdr>
    </w:div>
    <w:div w:id="1425416217">
      <w:bodyDiv w:val="1"/>
      <w:marLeft w:val="0"/>
      <w:marRight w:val="0"/>
      <w:marTop w:val="0"/>
      <w:marBottom w:val="0"/>
      <w:divBdr>
        <w:top w:val="none" w:sz="0" w:space="0" w:color="auto"/>
        <w:left w:val="none" w:sz="0" w:space="0" w:color="auto"/>
        <w:bottom w:val="none" w:sz="0" w:space="0" w:color="auto"/>
        <w:right w:val="none" w:sz="0" w:space="0" w:color="auto"/>
      </w:divBdr>
    </w:div>
    <w:div w:id="1441872023">
      <w:bodyDiv w:val="1"/>
      <w:marLeft w:val="0"/>
      <w:marRight w:val="0"/>
      <w:marTop w:val="0"/>
      <w:marBottom w:val="0"/>
      <w:divBdr>
        <w:top w:val="none" w:sz="0" w:space="0" w:color="auto"/>
        <w:left w:val="none" w:sz="0" w:space="0" w:color="auto"/>
        <w:bottom w:val="none" w:sz="0" w:space="0" w:color="auto"/>
        <w:right w:val="none" w:sz="0" w:space="0" w:color="auto"/>
      </w:divBdr>
    </w:div>
    <w:div w:id="1446004700">
      <w:bodyDiv w:val="1"/>
      <w:marLeft w:val="0"/>
      <w:marRight w:val="0"/>
      <w:marTop w:val="0"/>
      <w:marBottom w:val="0"/>
      <w:divBdr>
        <w:top w:val="none" w:sz="0" w:space="0" w:color="auto"/>
        <w:left w:val="none" w:sz="0" w:space="0" w:color="auto"/>
        <w:bottom w:val="none" w:sz="0" w:space="0" w:color="auto"/>
        <w:right w:val="none" w:sz="0" w:space="0" w:color="auto"/>
      </w:divBdr>
    </w:div>
    <w:div w:id="1448742064">
      <w:bodyDiv w:val="1"/>
      <w:marLeft w:val="0"/>
      <w:marRight w:val="0"/>
      <w:marTop w:val="0"/>
      <w:marBottom w:val="0"/>
      <w:divBdr>
        <w:top w:val="none" w:sz="0" w:space="0" w:color="auto"/>
        <w:left w:val="none" w:sz="0" w:space="0" w:color="auto"/>
        <w:bottom w:val="none" w:sz="0" w:space="0" w:color="auto"/>
        <w:right w:val="none" w:sz="0" w:space="0" w:color="auto"/>
      </w:divBdr>
    </w:div>
    <w:div w:id="1540626641">
      <w:bodyDiv w:val="1"/>
      <w:marLeft w:val="0"/>
      <w:marRight w:val="0"/>
      <w:marTop w:val="0"/>
      <w:marBottom w:val="0"/>
      <w:divBdr>
        <w:top w:val="none" w:sz="0" w:space="0" w:color="auto"/>
        <w:left w:val="none" w:sz="0" w:space="0" w:color="auto"/>
        <w:bottom w:val="none" w:sz="0" w:space="0" w:color="auto"/>
        <w:right w:val="none" w:sz="0" w:space="0" w:color="auto"/>
      </w:divBdr>
    </w:div>
    <w:div w:id="1552688604">
      <w:bodyDiv w:val="1"/>
      <w:marLeft w:val="0"/>
      <w:marRight w:val="0"/>
      <w:marTop w:val="0"/>
      <w:marBottom w:val="0"/>
      <w:divBdr>
        <w:top w:val="none" w:sz="0" w:space="0" w:color="auto"/>
        <w:left w:val="none" w:sz="0" w:space="0" w:color="auto"/>
        <w:bottom w:val="none" w:sz="0" w:space="0" w:color="auto"/>
        <w:right w:val="none" w:sz="0" w:space="0" w:color="auto"/>
      </w:divBdr>
    </w:div>
    <w:div w:id="1572085670">
      <w:bodyDiv w:val="1"/>
      <w:marLeft w:val="0"/>
      <w:marRight w:val="0"/>
      <w:marTop w:val="0"/>
      <w:marBottom w:val="0"/>
      <w:divBdr>
        <w:top w:val="none" w:sz="0" w:space="0" w:color="auto"/>
        <w:left w:val="none" w:sz="0" w:space="0" w:color="auto"/>
        <w:bottom w:val="none" w:sz="0" w:space="0" w:color="auto"/>
        <w:right w:val="none" w:sz="0" w:space="0" w:color="auto"/>
      </w:divBdr>
    </w:div>
    <w:div w:id="1623225302">
      <w:bodyDiv w:val="1"/>
      <w:marLeft w:val="0"/>
      <w:marRight w:val="0"/>
      <w:marTop w:val="0"/>
      <w:marBottom w:val="0"/>
      <w:divBdr>
        <w:top w:val="none" w:sz="0" w:space="0" w:color="auto"/>
        <w:left w:val="none" w:sz="0" w:space="0" w:color="auto"/>
        <w:bottom w:val="none" w:sz="0" w:space="0" w:color="auto"/>
        <w:right w:val="none" w:sz="0" w:space="0" w:color="auto"/>
      </w:divBdr>
    </w:div>
    <w:div w:id="1663584697">
      <w:bodyDiv w:val="1"/>
      <w:marLeft w:val="0"/>
      <w:marRight w:val="0"/>
      <w:marTop w:val="0"/>
      <w:marBottom w:val="0"/>
      <w:divBdr>
        <w:top w:val="none" w:sz="0" w:space="0" w:color="auto"/>
        <w:left w:val="none" w:sz="0" w:space="0" w:color="auto"/>
        <w:bottom w:val="none" w:sz="0" w:space="0" w:color="auto"/>
        <w:right w:val="none" w:sz="0" w:space="0" w:color="auto"/>
      </w:divBdr>
    </w:div>
    <w:div w:id="1674255501">
      <w:bodyDiv w:val="1"/>
      <w:marLeft w:val="0"/>
      <w:marRight w:val="0"/>
      <w:marTop w:val="0"/>
      <w:marBottom w:val="0"/>
      <w:divBdr>
        <w:top w:val="none" w:sz="0" w:space="0" w:color="auto"/>
        <w:left w:val="none" w:sz="0" w:space="0" w:color="auto"/>
        <w:bottom w:val="none" w:sz="0" w:space="0" w:color="auto"/>
        <w:right w:val="none" w:sz="0" w:space="0" w:color="auto"/>
      </w:divBdr>
    </w:div>
    <w:div w:id="1696157069">
      <w:bodyDiv w:val="1"/>
      <w:marLeft w:val="0"/>
      <w:marRight w:val="0"/>
      <w:marTop w:val="0"/>
      <w:marBottom w:val="0"/>
      <w:divBdr>
        <w:top w:val="none" w:sz="0" w:space="0" w:color="auto"/>
        <w:left w:val="none" w:sz="0" w:space="0" w:color="auto"/>
        <w:bottom w:val="none" w:sz="0" w:space="0" w:color="auto"/>
        <w:right w:val="none" w:sz="0" w:space="0" w:color="auto"/>
      </w:divBdr>
    </w:div>
    <w:div w:id="1703747668">
      <w:bodyDiv w:val="1"/>
      <w:marLeft w:val="0"/>
      <w:marRight w:val="0"/>
      <w:marTop w:val="0"/>
      <w:marBottom w:val="0"/>
      <w:divBdr>
        <w:top w:val="none" w:sz="0" w:space="0" w:color="auto"/>
        <w:left w:val="none" w:sz="0" w:space="0" w:color="auto"/>
        <w:bottom w:val="none" w:sz="0" w:space="0" w:color="auto"/>
        <w:right w:val="none" w:sz="0" w:space="0" w:color="auto"/>
      </w:divBdr>
    </w:div>
    <w:div w:id="1789079074">
      <w:bodyDiv w:val="1"/>
      <w:marLeft w:val="0"/>
      <w:marRight w:val="0"/>
      <w:marTop w:val="0"/>
      <w:marBottom w:val="0"/>
      <w:divBdr>
        <w:top w:val="none" w:sz="0" w:space="0" w:color="auto"/>
        <w:left w:val="none" w:sz="0" w:space="0" w:color="auto"/>
        <w:bottom w:val="none" w:sz="0" w:space="0" w:color="auto"/>
        <w:right w:val="none" w:sz="0" w:space="0" w:color="auto"/>
      </w:divBdr>
    </w:div>
    <w:div w:id="1834251397">
      <w:bodyDiv w:val="1"/>
      <w:marLeft w:val="0"/>
      <w:marRight w:val="0"/>
      <w:marTop w:val="0"/>
      <w:marBottom w:val="0"/>
      <w:divBdr>
        <w:top w:val="none" w:sz="0" w:space="0" w:color="auto"/>
        <w:left w:val="none" w:sz="0" w:space="0" w:color="auto"/>
        <w:bottom w:val="none" w:sz="0" w:space="0" w:color="auto"/>
        <w:right w:val="none" w:sz="0" w:space="0" w:color="auto"/>
      </w:divBdr>
    </w:div>
    <w:div w:id="1850563172">
      <w:bodyDiv w:val="1"/>
      <w:marLeft w:val="0"/>
      <w:marRight w:val="0"/>
      <w:marTop w:val="0"/>
      <w:marBottom w:val="0"/>
      <w:divBdr>
        <w:top w:val="none" w:sz="0" w:space="0" w:color="auto"/>
        <w:left w:val="none" w:sz="0" w:space="0" w:color="auto"/>
        <w:bottom w:val="none" w:sz="0" w:space="0" w:color="auto"/>
        <w:right w:val="none" w:sz="0" w:space="0" w:color="auto"/>
      </w:divBdr>
    </w:div>
    <w:div w:id="1866871544">
      <w:bodyDiv w:val="1"/>
      <w:marLeft w:val="0"/>
      <w:marRight w:val="0"/>
      <w:marTop w:val="0"/>
      <w:marBottom w:val="0"/>
      <w:divBdr>
        <w:top w:val="none" w:sz="0" w:space="0" w:color="auto"/>
        <w:left w:val="none" w:sz="0" w:space="0" w:color="auto"/>
        <w:bottom w:val="none" w:sz="0" w:space="0" w:color="auto"/>
        <w:right w:val="none" w:sz="0" w:space="0" w:color="auto"/>
      </w:divBdr>
    </w:div>
    <w:div w:id="1868639876">
      <w:bodyDiv w:val="1"/>
      <w:marLeft w:val="0"/>
      <w:marRight w:val="0"/>
      <w:marTop w:val="0"/>
      <w:marBottom w:val="0"/>
      <w:divBdr>
        <w:top w:val="none" w:sz="0" w:space="0" w:color="auto"/>
        <w:left w:val="none" w:sz="0" w:space="0" w:color="auto"/>
        <w:bottom w:val="none" w:sz="0" w:space="0" w:color="auto"/>
        <w:right w:val="none" w:sz="0" w:space="0" w:color="auto"/>
      </w:divBdr>
    </w:div>
    <w:div w:id="1871333612">
      <w:bodyDiv w:val="1"/>
      <w:marLeft w:val="0"/>
      <w:marRight w:val="0"/>
      <w:marTop w:val="0"/>
      <w:marBottom w:val="0"/>
      <w:divBdr>
        <w:top w:val="none" w:sz="0" w:space="0" w:color="auto"/>
        <w:left w:val="none" w:sz="0" w:space="0" w:color="auto"/>
        <w:bottom w:val="none" w:sz="0" w:space="0" w:color="auto"/>
        <w:right w:val="none" w:sz="0" w:space="0" w:color="auto"/>
      </w:divBdr>
    </w:div>
    <w:div w:id="1877085469">
      <w:bodyDiv w:val="1"/>
      <w:marLeft w:val="0"/>
      <w:marRight w:val="0"/>
      <w:marTop w:val="0"/>
      <w:marBottom w:val="0"/>
      <w:divBdr>
        <w:top w:val="none" w:sz="0" w:space="0" w:color="auto"/>
        <w:left w:val="none" w:sz="0" w:space="0" w:color="auto"/>
        <w:bottom w:val="none" w:sz="0" w:space="0" w:color="auto"/>
        <w:right w:val="none" w:sz="0" w:space="0" w:color="auto"/>
      </w:divBdr>
    </w:div>
    <w:div w:id="1927377255">
      <w:bodyDiv w:val="1"/>
      <w:marLeft w:val="0"/>
      <w:marRight w:val="0"/>
      <w:marTop w:val="0"/>
      <w:marBottom w:val="0"/>
      <w:divBdr>
        <w:top w:val="none" w:sz="0" w:space="0" w:color="auto"/>
        <w:left w:val="none" w:sz="0" w:space="0" w:color="auto"/>
        <w:bottom w:val="none" w:sz="0" w:space="0" w:color="auto"/>
        <w:right w:val="none" w:sz="0" w:space="0" w:color="auto"/>
      </w:divBdr>
    </w:div>
    <w:div w:id="1947958291">
      <w:bodyDiv w:val="1"/>
      <w:marLeft w:val="0"/>
      <w:marRight w:val="0"/>
      <w:marTop w:val="0"/>
      <w:marBottom w:val="0"/>
      <w:divBdr>
        <w:top w:val="none" w:sz="0" w:space="0" w:color="auto"/>
        <w:left w:val="none" w:sz="0" w:space="0" w:color="auto"/>
        <w:bottom w:val="none" w:sz="0" w:space="0" w:color="auto"/>
        <w:right w:val="none" w:sz="0" w:space="0" w:color="auto"/>
      </w:divBdr>
    </w:div>
    <w:div w:id="1966425052">
      <w:bodyDiv w:val="1"/>
      <w:marLeft w:val="0"/>
      <w:marRight w:val="0"/>
      <w:marTop w:val="0"/>
      <w:marBottom w:val="0"/>
      <w:divBdr>
        <w:top w:val="none" w:sz="0" w:space="0" w:color="auto"/>
        <w:left w:val="none" w:sz="0" w:space="0" w:color="auto"/>
        <w:bottom w:val="none" w:sz="0" w:space="0" w:color="auto"/>
        <w:right w:val="none" w:sz="0" w:space="0" w:color="auto"/>
      </w:divBdr>
    </w:div>
    <w:div w:id="1988321254">
      <w:bodyDiv w:val="1"/>
      <w:marLeft w:val="0"/>
      <w:marRight w:val="0"/>
      <w:marTop w:val="0"/>
      <w:marBottom w:val="0"/>
      <w:divBdr>
        <w:top w:val="none" w:sz="0" w:space="0" w:color="auto"/>
        <w:left w:val="none" w:sz="0" w:space="0" w:color="auto"/>
        <w:bottom w:val="none" w:sz="0" w:space="0" w:color="auto"/>
        <w:right w:val="none" w:sz="0" w:space="0" w:color="auto"/>
      </w:divBdr>
    </w:div>
    <w:div w:id="2085685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emf"/><Relationship Id="rId21" Type="http://schemas.openxmlformats.org/officeDocument/2006/relationships/image" Target="media/image3.png"/><Relationship Id="rId42" Type="http://schemas.openxmlformats.org/officeDocument/2006/relationships/image" Target="media/image24.png"/><Relationship Id="rId63" Type="http://schemas.openxmlformats.org/officeDocument/2006/relationships/image" Target="media/image45.emf"/><Relationship Id="rId84" Type="http://schemas.openxmlformats.org/officeDocument/2006/relationships/image" Target="media/image66.png"/><Relationship Id="rId138" Type="http://schemas.openxmlformats.org/officeDocument/2006/relationships/hyperlink" Target="https://www.homeopathyoz.org/homoeopathy/homoeopathy" TargetMode="External"/><Relationship Id="rId159" Type="http://schemas.openxmlformats.org/officeDocument/2006/relationships/hyperlink" Target="https://www.ncbi.nlm.nih.gov/books/NBK538293/" TargetMode="External"/><Relationship Id="rId170" Type="http://schemas.openxmlformats.org/officeDocument/2006/relationships/hyperlink" Target="https://www.beyondblue.org.au/docs/default-source/resources/484150_0220_bl0762_acc.pdf" TargetMode="External"/><Relationship Id="rId191" Type="http://schemas.openxmlformats.org/officeDocument/2006/relationships/hyperlink" Target="https://www.sleephealthfoundation.org.au/pdfs/Special_Reports/SHF_Insomnia_Report_2019_Final_SHFlogo.pdf" TargetMode="External"/><Relationship Id="rId205" Type="http://schemas.openxmlformats.org/officeDocument/2006/relationships/hyperlink" Target="https://www.aihw.gov.au/reports/chronic-musculoskeletal-conditions/arthritis" TargetMode="External"/><Relationship Id="rId226" Type="http://schemas.openxmlformats.org/officeDocument/2006/relationships/hyperlink" Target="https://dx.doi.org/10.5812/ircmj.30902" TargetMode="External"/><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14.png"/><Relationship Id="rId53" Type="http://schemas.openxmlformats.org/officeDocument/2006/relationships/image" Target="media/image35.emf"/><Relationship Id="rId74" Type="http://schemas.openxmlformats.org/officeDocument/2006/relationships/image" Target="media/image56.emf"/><Relationship Id="rId128" Type="http://schemas.openxmlformats.org/officeDocument/2006/relationships/hyperlink" Target="https://gdt.gradepro.org/app/handbook/handbook.html" TargetMode="External"/><Relationship Id="rId149" Type="http://schemas.openxmlformats.org/officeDocument/2006/relationships/hyperlink" Target="https://www.allergy.org.au/patients/skin-allergy/eczema?highlight=WyJlY3plbWEiXQ" TargetMode="External"/><Relationship Id="rId5" Type="http://schemas.openxmlformats.org/officeDocument/2006/relationships/customXml" Target="../customXml/item5.xml"/><Relationship Id="rId95" Type="http://schemas.openxmlformats.org/officeDocument/2006/relationships/image" Target="media/image77.emf"/><Relationship Id="rId160" Type="http://schemas.openxmlformats.org/officeDocument/2006/relationships/hyperlink" Target="https://www.rch.org.au/clinicalguide/guideline_index/acute_otitis_media/" TargetMode="External"/><Relationship Id="rId181" Type="http://schemas.openxmlformats.org/officeDocument/2006/relationships/hyperlink" Target="https://www.aihw.gov.au/reports/children-youth/health-of-children" TargetMode="External"/><Relationship Id="rId216" Type="http://schemas.openxmlformats.org/officeDocument/2006/relationships/hyperlink" Target="https://www.aihw.gov.au/reports/chronic-musculoskeletal-conditions/osteoarthritis" TargetMode="External"/><Relationship Id="rId237" Type="http://schemas.openxmlformats.org/officeDocument/2006/relationships/hyperlink" Target="https://dx.doi.org/10.1080/00207450490475724" TargetMode="External"/><Relationship Id="rId22" Type="http://schemas.openxmlformats.org/officeDocument/2006/relationships/image" Target="media/image4.emf"/><Relationship Id="rId43" Type="http://schemas.openxmlformats.org/officeDocument/2006/relationships/image" Target="media/image25.emf"/><Relationship Id="rId64" Type="http://schemas.openxmlformats.org/officeDocument/2006/relationships/image" Target="media/image46.emf"/><Relationship Id="rId118" Type="http://schemas.openxmlformats.org/officeDocument/2006/relationships/image" Target="media/image100.emf"/><Relationship Id="rId139" Type="http://schemas.openxmlformats.org/officeDocument/2006/relationships/hyperlink" Target="https://www.tga.gov.au/resource/overview-regulation-listed-medicines-and-registered-complementary-medicines" TargetMode="External"/><Relationship Id="rId85" Type="http://schemas.openxmlformats.org/officeDocument/2006/relationships/image" Target="media/image67.emf"/><Relationship Id="rId150" Type="http://schemas.openxmlformats.org/officeDocument/2006/relationships/hyperlink" Target="http://dx.doi.org/10.1054/homp.1999.0440" TargetMode="External"/><Relationship Id="rId171" Type="http://schemas.openxmlformats.org/officeDocument/2006/relationships/hyperlink" Target="http://dx.doi.org/10.4088/JCP.v64n0309" TargetMode="External"/><Relationship Id="rId192" Type="http://schemas.openxmlformats.org/officeDocument/2006/relationships/hyperlink" Target="https://dx.doi.org/10.1016/j.ctim.2019.01.007" TargetMode="External"/><Relationship Id="rId206" Type="http://schemas.openxmlformats.org/officeDocument/2006/relationships/hyperlink" Target="https://www.aihw.gov.au/reports/burden-of-disease/australian-burden-of-disease-study-2022" TargetMode="External"/><Relationship Id="rId227" Type="http://schemas.openxmlformats.org/officeDocument/2006/relationships/hyperlink" Target="https://trialsearchwhoint/Trial2aspx?TrialID=IRCT201207063706N14" TargetMode="External"/><Relationship Id="rId201" Type="http://schemas.openxmlformats.org/officeDocument/2006/relationships/hyperlink" Target="https://dx.doi.org/10.1046/j.1468-2982.1997.1702119.x" TargetMode="External"/><Relationship Id="rId222" Type="http://schemas.openxmlformats.org/officeDocument/2006/relationships/hyperlink" Target="https://trialsearchwhoint/Trial2aspx?TrialID=CTRI/2011/12/002270" TargetMode="External"/><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image" Target="media/image15.emf"/><Relationship Id="rId38" Type="http://schemas.openxmlformats.org/officeDocument/2006/relationships/image" Target="media/image20.emf"/><Relationship Id="rId59" Type="http://schemas.openxmlformats.org/officeDocument/2006/relationships/image" Target="media/image41.png"/><Relationship Id="rId103" Type="http://schemas.openxmlformats.org/officeDocument/2006/relationships/image" Target="media/image85.emf"/><Relationship Id="rId108" Type="http://schemas.openxmlformats.org/officeDocument/2006/relationships/image" Target="media/image90.emf"/><Relationship Id="rId124" Type="http://schemas.openxmlformats.org/officeDocument/2006/relationships/image" Target="media/image106.emf"/><Relationship Id="rId129" Type="http://schemas.openxmlformats.org/officeDocument/2006/relationships/hyperlink" Target="http://dx.doi.org/10.1002/14651858.CD009710.pub3" TargetMode="External"/><Relationship Id="rId54" Type="http://schemas.openxmlformats.org/officeDocument/2006/relationships/image" Target="media/image36.emf"/><Relationship Id="rId70" Type="http://schemas.openxmlformats.org/officeDocument/2006/relationships/image" Target="media/image52.emf"/><Relationship Id="rId75" Type="http://schemas.openxmlformats.org/officeDocument/2006/relationships/image" Target="media/image57.emf"/><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hyperlink" Target="https://www.aroh.com.au/Resources/Documents/National%20Competency%20Standards%20for%20Homoeopathy.pdf" TargetMode="External"/><Relationship Id="rId145" Type="http://schemas.openxmlformats.org/officeDocument/2006/relationships/hyperlink" Target="../www.training.cochrane.org/handbook" TargetMode="External"/><Relationship Id="rId161" Type="http://schemas.openxmlformats.org/officeDocument/2006/relationships/hyperlink" Target="https://www.ncbi.nlm.nih.gov/books/NBK554592/" TargetMode="External"/><Relationship Id="rId166" Type="http://schemas.openxmlformats.org/officeDocument/2006/relationships/hyperlink" Target="https://dx.doi.org/10.1016/j.ctcp.2017.05.005" TargetMode="External"/><Relationship Id="rId182" Type="http://schemas.openxmlformats.org/officeDocument/2006/relationships/hyperlink" Target="https://adhdguideline.aadpa.com.au/about/about-adhd/" TargetMode="External"/><Relationship Id="rId187" Type="http://schemas.openxmlformats.org/officeDocument/2006/relationships/hyperlink" Target="https://dx.doi.org/10.1016/j.homp.2015.12.042" TargetMode="External"/><Relationship Id="rId217" Type="http://schemas.openxmlformats.org/officeDocument/2006/relationships/hyperlink" Target="https://arthritisaustralia.com.au/managing-arthritis/living-with-arthritis/complementary-treatments-and-therapies/" TargetMode="External"/><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hyperlink" Target="https://dx.doi.org/10.1016/j.aimed.2019.03.165" TargetMode="External"/><Relationship Id="rId233" Type="http://schemas.openxmlformats.org/officeDocument/2006/relationships/hyperlink" Target="https://doi.org/10.1111/j.1365-2796.2011.02428.x" TargetMode="External"/><Relationship Id="rId238" Type="http://schemas.openxmlformats.org/officeDocument/2006/relationships/hyperlink" Target="https://doi.org/10.1016/S0899-3467(07)60085-8" TargetMode="External"/><Relationship Id="rId23" Type="http://schemas.openxmlformats.org/officeDocument/2006/relationships/image" Target="media/image5.emf"/><Relationship Id="rId28" Type="http://schemas.openxmlformats.org/officeDocument/2006/relationships/image" Target="media/image10.emf"/><Relationship Id="rId49" Type="http://schemas.openxmlformats.org/officeDocument/2006/relationships/image" Target="media/image31.emf"/><Relationship Id="rId114" Type="http://schemas.openxmlformats.org/officeDocument/2006/relationships/image" Target="media/image96.emf"/><Relationship Id="rId119" Type="http://schemas.openxmlformats.org/officeDocument/2006/relationships/image" Target="media/image101.emf"/><Relationship Id="rId44" Type="http://schemas.openxmlformats.org/officeDocument/2006/relationships/image" Target="media/image26.png"/><Relationship Id="rId60" Type="http://schemas.openxmlformats.org/officeDocument/2006/relationships/image" Target="media/image42.emf"/><Relationship Id="rId65" Type="http://schemas.openxmlformats.org/officeDocument/2006/relationships/image" Target="media/image47.png"/><Relationship Id="rId81" Type="http://schemas.openxmlformats.org/officeDocument/2006/relationships/image" Target="media/image63.emf"/><Relationship Id="rId86" Type="http://schemas.openxmlformats.org/officeDocument/2006/relationships/image" Target="media/image68.emf"/><Relationship Id="rId130" Type="http://schemas.openxmlformats.org/officeDocument/2006/relationships/hyperlink" Target="http://dx.doi.org/10.1016/j.homp.2015.12.006" TargetMode="External"/><Relationship Id="rId135" Type="http://schemas.openxmlformats.org/officeDocument/2006/relationships/hyperlink" Target="https://www.healthdirect.gov.au/homeopathy" TargetMode="External"/><Relationship Id="rId151" Type="http://schemas.openxmlformats.org/officeDocument/2006/relationships/hyperlink" Target="http://dx.doi.org/10.1054/homp.1999.0430" TargetMode="External"/><Relationship Id="rId156" Type="http://schemas.openxmlformats.org/officeDocument/2006/relationships/hyperlink" Target="https://dx.doi.org/10.1054/homp.1999.0388" TargetMode="External"/><Relationship Id="rId177" Type="http://schemas.openxmlformats.org/officeDocument/2006/relationships/hyperlink" Target="https://www1.health.gov.au/internet/main/publishing.nsf/content/404ref.htm" TargetMode="External"/><Relationship Id="rId198" Type="http://schemas.openxmlformats.org/officeDocument/2006/relationships/hyperlink" Target="https://headacheaustralia.org.au/migraine/" TargetMode="External"/><Relationship Id="rId172" Type="http://schemas.openxmlformats.org/officeDocument/2006/relationships/hyperlink" Target="https://dx.doi.org/10.1016/S0965-2299%2803%2900059-1" TargetMode="External"/><Relationship Id="rId193" Type="http://schemas.openxmlformats.org/officeDocument/2006/relationships/hyperlink" Target="https://dx.doi.org/10.1155/2016/9539030" TargetMode="External"/><Relationship Id="rId202" Type="http://schemas.openxmlformats.org/officeDocument/2006/relationships/hyperlink" Target="https://dx.doi.org/10.1046/j.1468-2982.2000.00129.x" TargetMode="External"/><Relationship Id="rId207" Type="http://schemas.openxmlformats.org/officeDocument/2006/relationships/hyperlink" Target="https://dx.doi.org/10.1183/13993003.congress-2020.2620" TargetMode="External"/><Relationship Id="rId223" Type="http://schemas.openxmlformats.org/officeDocument/2006/relationships/hyperlink" Target="https://www.menopause.org.au/hp/management/treatment-options" TargetMode="External"/><Relationship Id="rId228" Type="http://schemas.openxmlformats.org/officeDocument/2006/relationships/hyperlink" Target="https://trialsearchwhoint/Trial2aspx?TrialID=CTRI/2018/07/014949" TargetMode="Externa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21.emf"/><Relationship Id="rId109" Type="http://schemas.openxmlformats.org/officeDocument/2006/relationships/image" Target="media/image91.emf"/><Relationship Id="rId34" Type="http://schemas.openxmlformats.org/officeDocument/2006/relationships/image" Target="media/image16.emf"/><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emf"/><Relationship Id="rId104" Type="http://schemas.openxmlformats.org/officeDocument/2006/relationships/image" Target="media/image86.emf"/><Relationship Id="rId120" Type="http://schemas.openxmlformats.org/officeDocument/2006/relationships/image" Target="media/image102.emf"/><Relationship Id="rId125" Type="http://schemas.openxmlformats.org/officeDocument/2006/relationships/hyperlink" Target="https://www.health.gov.au/internet/main/publishing.nsf/Content/phi-natural-therapies" TargetMode="External"/><Relationship Id="rId141" Type="http://schemas.openxmlformats.org/officeDocument/2006/relationships/hyperlink" Target="https://www.aroh.com.au/" TargetMode="External"/><Relationship Id="rId146" Type="http://schemas.openxmlformats.org/officeDocument/2006/relationships/hyperlink" Target="https://www.ncbi.nlm.nih.gov/books/NBK542187/" TargetMode="External"/><Relationship Id="rId167" Type="http://schemas.openxmlformats.org/officeDocument/2006/relationships/hyperlink" Target="https://www.ncbi.nlm.nih.gov/books/NBK459317/" TargetMode="External"/><Relationship Id="rId188" Type="http://schemas.openxmlformats.org/officeDocument/2006/relationships/hyperlink" Target="https://dx.doi.org/10.1055/s-0038-1632419" TargetMode="External"/><Relationship Id="rId7" Type="http://schemas.openxmlformats.org/officeDocument/2006/relationships/styles" Target="styles.xml"/><Relationship Id="rId71" Type="http://schemas.openxmlformats.org/officeDocument/2006/relationships/image" Target="media/image53.emf"/><Relationship Id="rId92" Type="http://schemas.openxmlformats.org/officeDocument/2006/relationships/image" Target="media/image74.emf"/><Relationship Id="rId162" Type="http://schemas.openxmlformats.org/officeDocument/2006/relationships/hyperlink" Target="https://dx.doi.org/10.1016/S0965-2299%2899%2980120-4" TargetMode="External"/><Relationship Id="rId183" Type="http://schemas.openxmlformats.org/officeDocument/2006/relationships/hyperlink" Target="https://www.ncbi.nlm.nih.gov/books/NBK441838/" TargetMode="External"/><Relationship Id="rId213" Type="http://schemas.openxmlformats.org/officeDocument/2006/relationships/hyperlink" Target="https://www.betterhealth.vic.gov.au/health/conditionsandtreatments/irritable-bowel-syndrome-ibs" TargetMode="External"/><Relationship Id="rId218" Type="http://schemas.openxmlformats.org/officeDocument/2006/relationships/hyperlink" Target="https://www.aihw.gov.au/reports/chronic-musculoskeletal-conditions/rheumatoid-arthritis" TargetMode="External"/><Relationship Id="rId234" Type="http://schemas.openxmlformats.org/officeDocument/2006/relationships/hyperlink" Target="https://www.racgp.org.au/clinical-resources/covid-19-resources/clinical-care/caring-for-patients-with-post-covid-19-conditions/the-most-common-scenario-non-specific-multisystem" TargetMode="External"/><Relationship Id="rId239"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emf"/><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emf"/><Relationship Id="rId87" Type="http://schemas.openxmlformats.org/officeDocument/2006/relationships/image" Target="media/image69.png"/><Relationship Id="rId110" Type="http://schemas.openxmlformats.org/officeDocument/2006/relationships/image" Target="media/image92.emf"/><Relationship Id="rId115" Type="http://schemas.openxmlformats.org/officeDocument/2006/relationships/image" Target="media/image97.emf"/><Relationship Id="rId131" Type="http://schemas.openxmlformats.org/officeDocument/2006/relationships/hyperlink" Target="https://www.homeopathyoz.org/homoeopathy/frequentlyaquestions" TargetMode="External"/><Relationship Id="rId136" Type="http://schemas.openxmlformats.org/officeDocument/2006/relationships/hyperlink" Target="http://dx.doi.org/10.1177/2164956118773837" TargetMode="External"/><Relationship Id="rId157" Type="http://schemas.openxmlformats.org/officeDocument/2006/relationships/hyperlink" Target="https://www.ncbi.nlm.nih.gov/books/NBK470332/" TargetMode="External"/><Relationship Id="rId178" Type="http://schemas.openxmlformats.org/officeDocument/2006/relationships/hyperlink" Target="https://dx.doi.org/10.1093/ecam/nep114" TargetMode="External"/><Relationship Id="rId61" Type="http://schemas.openxmlformats.org/officeDocument/2006/relationships/image" Target="media/image43.emf"/><Relationship Id="rId82" Type="http://schemas.openxmlformats.org/officeDocument/2006/relationships/image" Target="media/image64.emf"/><Relationship Id="rId152" Type="http://schemas.openxmlformats.org/officeDocument/2006/relationships/hyperlink" Target="http://dx.doi.org/10.1054/homp.1999.0471" TargetMode="External"/><Relationship Id="rId173" Type="http://schemas.openxmlformats.org/officeDocument/2006/relationships/hyperlink" Target="https://clinicaltrialsgov/show/NCT01658059" TargetMode="External"/><Relationship Id="rId194" Type="http://schemas.openxmlformats.org/officeDocument/2006/relationships/hyperlink" Target="https://dx.doi.org/10.1136/archdischild-2017-313273.260" TargetMode="External"/><Relationship Id="rId199" Type="http://schemas.openxmlformats.org/officeDocument/2006/relationships/hyperlink" Target="https://www.abs.gov.au/statistics/health/health-conditions-and-risks/national-health-survey-first-results/latest-release" TargetMode="External"/><Relationship Id="rId203" Type="http://schemas.openxmlformats.org/officeDocument/2006/relationships/hyperlink" Target="https://dx.doi.org/10.1046/j.1468-2982.1997.1705600.x" TargetMode="External"/><Relationship Id="rId208" Type="http://schemas.openxmlformats.org/officeDocument/2006/relationships/hyperlink" Target="https://doi.org/10.1016/j.ctim.2008.04.005" TargetMode="External"/><Relationship Id="rId229" Type="http://schemas.openxmlformats.org/officeDocument/2006/relationships/hyperlink" Target="https://dx.doi.org/10.1186/s12906-017-1783-3" TargetMode="External"/><Relationship Id="rId19" Type="http://schemas.openxmlformats.org/officeDocument/2006/relationships/image" Target="media/image1.jpg"/><Relationship Id="rId224" Type="http://schemas.openxmlformats.org/officeDocument/2006/relationships/hyperlink" Target="https://dx.doi.org/10.1007/s00404-010-1634-7" TargetMode="External"/><Relationship Id="rId240" Type="http://schemas.openxmlformats.org/officeDocument/2006/relationships/fontTable" Target="fontTable.xml"/><Relationship Id="rId14" Type="http://schemas.openxmlformats.org/officeDocument/2006/relationships/hyperlink" Target="https://www.health.gov.au/committees-and-groups/natural-therapies-review-expert-advisory-panel" TargetMode="External"/><Relationship Id="rId30" Type="http://schemas.openxmlformats.org/officeDocument/2006/relationships/image" Target="media/image12.emf"/><Relationship Id="rId35" Type="http://schemas.openxmlformats.org/officeDocument/2006/relationships/image" Target="media/image17.emf"/><Relationship Id="rId56" Type="http://schemas.openxmlformats.org/officeDocument/2006/relationships/image" Target="media/image38.emf"/><Relationship Id="rId77" Type="http://schemas.openxmlformats.org/officeDocument/2006/relationships/image" Target="media/image59.emf"/><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hyperlink" Target="https://community.cochrane.org/mecir-manual" TargetMode="External"/><Relationship Id="rId147" Type="http://schemas.openxmlformats.org/officeDocument/2006/relationships/hyperlink" Target="https://www.aihw.gov.au/reports/chronic-respiratory-conditions/allergic-rhinitis-hay-fever/contents" TargetMode="External"/><Relationship Id="rId168" Type="http://schemas.openxmlformats.org/officeDocument/2006/relationships/hyperlink" Target="https://www.beyondblue.org.au/the-facts/anxiety" TargetMode="External"/><Relationship Id="rId8" Type="http://schemas.openxmlformats.org/officeDocument/2006/relationships/settings" Target="settings.xml"/><Relationship Id="rId51" Type="http://schemas.openxmlformats.org/officeDocument/2006/relationships/image" Target="media/image33.emf"/><Relationship Id="rId72" Type="http://schemas.openxmlformats.org/officeDocument/2006/relationships/image" Target="media/image54.emf"/><Relationship Id="rId93" Type="http://schemas.openxmlformats.org/officeDocument/2006/relationships/image" Target="media/image75.emf"/><Relationship Id="rId98" Type="http://schemas.openxmlformats.org/officeDocument/2006/relationships/image" Target="media/image80.emf"/><Relationship Id="rId121" Type="http://schemas.openxmlformats.org/officeDocument/2006/relationships/image" Target="media/image103.emf"/><Relationship Id="rId142" Type="http://schemas.openxmlformats.org/officeDocument/2006/relationships/hyperlink" Target="https://www.aroh.com.au/resources/Documents/CREDENTIALING%20FOR%20HOMEOPATHIC%20PRACTIONERS_V1.1%20Jul%2018.pdf" TargetMode="External"/><Relationship Id="rId163" Type="http://schemas.openxmlformats.org/officeDocument/2006/relationships/hyperlink" Target="https://dx.doi.org/10.1097/00006454-200102000-00012" TargetMode="External"/><Relationship Id="rId184" Type="http://schemas.openxmlformats.org/officeDocument/2006/relationships/hyperlink" Target="https://www.health.nsw.gov.au/pharmaceutical/patients/Pages/faq-adhd-consumers.aspx" TargetMode="External"/><Relationship Id="rId189" Type="http://schemas.openxmlformats.org/officeDocument/2006/relationships/hyperlink" Target="https://dx.doi.org/10.1016/j.homp.2006.11.004" TargetMode="External"/><Relationship Id="rId219" Type="http://schemas.openxmlformats.org/officeDocument/2006/relationships/hyperlink" Target="http://dx.doi.org/10.1093/rheumatology/40.9.1052" TargetMode="External"/><Relationship Id="rId3" Type="http://schemas.openxmlformats.org/officeDocument/2006/relationships/customXml" Target="../customXml/item3.xml"/><Relationship Id="rId214" Type="http://schemas.openxmlformats.org/officeDocument/2006/relationships/hyperlink" Target="https://www.racgp.org.au/clinical-resources/clinical-guidelines/handi/handi-interventions/nutrition/low-fodmap-diets-for-irritable-bowel-syndrome-ibs" TargetMode="External"/><Relationship Id="rId230" Type="http://schemas.openxmlformats.org/officeDocument/2006/relationships/hyperlink" Target="https://dx.doi.org/10.1055/s-0038-1633295" TargetMode="External"/><Relationship Id="rId235" Type="http://schemas.openxmlformats.org/officeDocument/2006/relationships/hyperlink" Target="https://dx.doi.org/10.1016/S0022-3999%2803%2900377-5" TargetMode="External"/><Relationship Id="rId25" Type="http://schemas.openxmlformats.org/officeDocument/2006/relationships/image" Target="media/image7.emf"/><Relationship Id="rId46" Type="http://schemas.openxmlformats.org/officeDocument/2006/relationships/image" Target="media/image28.png"/><Relationship Id="rId67" Type="http://schemas.openxmlformats.org/officeDocument/2006/relationships/image" Target="media/image49.emf"/><Relationship Id="rId116" Type="http://schemas.openxmlformats.org/officeDocument/2006/relationships/image" Target="media/image98.png"/><Relationship Id="rId137" Type="http://schemas.openxmlformats.org/officeDocument/2006/relationships/hyperlink" Target="https://www.nccih.nih.gov/health/homeopathy" TargetMode="External"/><Relationship Id="rId158" Type="http://schemas.openxmlformats.org/officeDocument/2006/relationships/hyperlink" Target="https://www.rch.org.au/kidsinfo/fact_sheets/ear_infections_and_otitis_media/" TargetMode="External"/><Relationship Id="rId20" Type="http://schemas.openxmlformats.org/officeDocument/2006/relationships/image" Target="media/image2.png"/><Relationship Id="rId41" Type="http://schemas.openxmlformats.org/officeDocument/2006/relationships/image" Target="media/image23.emf"/><Relationship Id="rId62" Type="http://schemas.openxmlformats.org/officeDocument/2006/relationships/image" Target="media/image44.emf"/><Relationship Id="rId83" Type="http://schemas.openxmlformats.org/officeDocument/2006/relationships/image" Target="media/image65.emf"/><Relationship Id="rId88" Type="http://schemas.openxmlformats.org/officeDocument/2006/relationships/image" Target="media/image70.emf"/><Relationship Id="rId111" Type="http://schemas.openxmlformats.org/officeDocument/2006/relationships/image" Target="media/image93.emf"/><Relationship Id="rId132" Type="http://schemas.openxmlformats.org/officeDocument/2006/relationships/hyperlink" Target="https://www.nhmrc.gov.au/about-us/resources/homeopathy" TargetMode="External"/><Relationship Id="rId153" Type="http://schemas.openxmlformats.org/officeDocument/2006/relationships/hyperlink" Target="https://dx.doi.org/10.1345/aph.1E387" TargetMode="External"/><Relationship Id="rId174" Type="http://schemas.openxmlformats.org/officeDocument/2006/relationships/hyperlink" Target="https://www.aihw.gov.au/reports/australias-health/australias-health-2014/overview" TargetMode="External"/><Relationship Id="rId179" Type="http://schemas.openxmlformats.org/officeDocument/2006/relationships/hyperlink" Target="https://dx.doi.org/10.1016/j.homp.2015.12.006" TargetMode="External"/><Relationship Id="rId195" Type="http://schemas.openxmlformats.org/officeDocument/2006/relationships/hyperlink" Target="https://headacheaustralia.org.au/tension-headache/" TargetMode="External"/><Relationship Id="rId209" Type="http://schemas.openxmlformats.org/officeDocument/2006/relationships/hyperlink" Target="https://www.rch.org.au/clinicalguide/guideline_index/Gastroenteritis/" TargetMode="External"/><Relationship Id="rId190" Type="http://schemas.openxmlformats.org/officeDocument/2006/relationships/hyperlink" Target="https://dx.doi.org/10.1016/j.eujim.2012.07.645" TargetMode="External"/><Relationship Id="rId204" Type="http://schemas.openxmlformats.org/officeDocument/2006/relationships/hyperlink" Target="https://www.aihw.gov.au/reports/chronic-respiratory-conditions/chronic-respiratory-conditions" TargetMode="External"/><Relationship Id="rId220" Type="http://schemas.openxmlformats.org/officeDocument/2006/relationships/hyperlink" Target="https://www.aihw.gov.au/reports/chronic-musculoskeletal-conditions/back-problems" TargetMode="External"/><Relationship Id="rId225" Type="http://schemas.openxmlformats.org/officeDocument/2006/relationships/hyperlink" Target="https://www.betterhealth.vic.gov.au/health/conditionsandtreatments/premenstrual-syndrome-pms" TargetMode="External"/><Relationship Id="rId241" Type="http://schemas.openxmlformats.org/officeDocument/2006/relationships/theme" Target="theme/theme1.xml"/><Relationship Id="rId15" Type="http://schemas.openxmlformats.org/officeDocument/2006/relationships/hyperlink" Target="https://www.nhmrc.gov.au/about-us/leadership-and-governance/committees/natural-therapies-working-committee" TargetMode="External"/><Relationship Id="rId36" Type="http://schemas.openxmlformats.org/officeDocument/2006/relationships/image" Target="media/image18.emf"/><Relationship Id="rId57" Type="http://schemas.openxmlformats.org/officeDocument/2006/relationships/image" Target="media/image39.emf"/><Relationship Id="rId106" Type="http://schemas.openxmlformats.org/officeDocument/2006/relationships/image" Target="media/image88.emf"/><Relationship Id="rId127" Type="http://schemas.openxmlformats.org/officeDocument/2006/relationships/hyperlink" Target="https://community.cochrane.org/mecir-manual/standards-reporting-new-cochrane-intervention-reviews-r1-r109" TargetMode="External"/><Relationship Id="rId10" Type="http://schemas.openxmlformats.org/officeDocument/2006/relationships/footnotes" Target="footnotes.xml"/><Relationship Id="rId31" Type="http://schemas.openxmlformats.org/officeDocument/2006/relationships/image" Target="media/image13.emf"/><Relationship Id="rId52" Type="http://schemas.openxmlformats.org/officeDocument/2006/relationships/image" Target="media/image34.emf"/><Relationship Id="rId73" Type="http://schemas.openxmlformats.org/officeDocument/2006/relationships/image" Target="media/image55.emf"/><Relationship Id="rId78" Type="http://schemas.openxmlformats.org/officeDocument/2006/relationships/image" Target="media/image60.emf"/><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png"/><Relationship Id="rId122" Type="http://schemas.openxmlformats.org/officeDocument/2006/relationships/image" Target="media/image104.emf"/><Relationship Id="rId143" Type="http://schemas.openxmlformats.org/officeDocument/2006/relationships/hyperlink" Target="http://www.coaghealthcouncil.gov.au/NationalCodeOfConductForHealthCareWorkers" TargetMode="External"/><Relationship Id="rId148" Type="http://schemas.openxmlformats.org/officeDocument/2006/relationships/hyperlink" Target="https://allergyfacts.org.au/allergy-anaphylaxis/eczema-atopic-dermatitis?gclid=EAIaIQobChMIxIWD9pz5ggMVvA2DAx3VzQ3OEAAYASAAEgLsl_D_BwE" TargetMode="External"/><Relationship Id="rId164" Type="http://schemas.openxmlformats.org/officeDocument/2006/relationships/hyperlink" Target="https://dx.doi.org/10.1016/j.homp.2015.12.006" TargetMode="External"/><Relationship Id="rId169" Type="http://schemas.openxmlformats.org/officeDocument/2006/relationships/hyperlink" Target="https://www.aihw.gov.au/reports/burden-of-disease/burden-disease-study-illness-death-2015" TargetMode="External"/><Relationship Id="rId185" Type="http://schemas.openxmlformats.org/officeDocument/2006/relationships/hyperlink" Target="https://trialsearchwhoint/Trial2aspx?TrialID=CTRI/2011/12/002305"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www.ncbi.nlm.nih.gov/books/NBK409740/table/T25/" TargetMode="External"/><Relationship Id="rId210" Type="http://schemas.openxmlformats.org/officeDocument/2006/relationships/hyperlink" Target="https://dx.doi.org/10.1089/acm.2016.29003.abstracts" TargetMode="External"/><Relationship Id="rId215" Type="http://schemas.openxmlformats.org/officeDocument/2006/relationships/hyperlink" Target="https://dx.doi.org/10.1016/j.homp.2014.05.001" TargetMode="External"/><Relationship Id="rId236" Type="http://schemas.openxmlformats.org/officeDocument/2006/relationships/hyperlink" Target="https://doi.org/10.1016/j.ctim.2014.06.005" TargetMode="External"/><Relationship Id="rId26" Type="http://schemas.openxmlformats.org/officeDocument/2006/relationships/image" Target="media/image8.emf"/><Relationship Id="rId231" Type="http://schemas.openxmlformats.org/officeDocument/2006/relationships/hyperlink" Target="https://trialsearchwhoint/Trial2aspx?TrialID=NTR3560" TargetMode="External"/><Relationship Id="rId47" Type="http://schemas.openxmlformats.org/officeDocument/2006/relationships/image" Target="media/image29.emf"/><Relationship Id="rId68" Type="http://schemas.openxmlformats.org/officeDocument/2006/relationships/image" Target="media/image50.emf"/><Relationship Id="rId89" Type="http://schemas.openxmlformats.org/officeDocument/2006/relationships/image" Target="media/image71.emf"/><Relationship Id="rId112" Type="http://schemas.openxmlformats.org/officeDocument/2006/relationships/image" Target="media/image94.emf"/><Relationship Id="rId133" Type="http://schemas.openxmlformats.org/officeDocument/2006/relationships/hyperlink" Target="https://www.nhmrc.gov.au/about-us/resources/homeopathy" TargetMode="External"/><Relationship Id="rId154" Type="http://schemas.openxmlformats.org/officeDocument/2006/relationships/hyperlink" Target="https://dx.doi.org/10.1159/000516026" TargetMode="External"/><Relationship Id="rId175" Type="http://schemas.openxmlformats.org/officeDocument/2006/relationships/hyperlink" Target="https://www.abs.gov.au/statistics/health/mental-health/national-study-mental-health-and-wellbeing/2007" TargetMode="External"/><Relationship Id="rId196" Type="http://schemas.openxmlformats.org/officeDocument/2006/relationships/hyperlink" Target="https://www.migraine.org.au/burden" TargetMode="External"/><Relationship Id="rId200" Type="http://schemas.openxmlformats.org/officeDocument/2006/relationships/hyperlink" Target="http://dx.doi.org/10.1054/homp.1999.0332" TargetMode="External"/><Relationship Id="rId16" Type="http://schemas.openxmlformats.org/officeDocument/2006/relationships/header" Target="header2.xml"/><Relationship Id="rId221" Type="http://schemas.openxmlformats.org/officeDocument/2006/relationships/hyperlink" Target="https://doi.org/10.1016/j.berh.2017.05.001" TargetMode="External"/><Relationship Id="rId37" Type="http://schemas.openxmlformats.org/officeDocument/2006/relationships/image" Target="media/image19.emf"/><Relationship Id="rId58" Type="http://schemas.openxmlformats.org/officeDocument/2006/relationships/image" Target="media/image40.emf"/><Relationship Id="rId79" Type="http://schemas.openxmlformats.org/officeDocument/2006/relationships/image" Target="media/image61.emf"/><Relationship Id="rId102" Type="http://schemas.openxmlformats.org/officeDocument/2006/relationships/image" Target="media/image84.emf"/><Relationship Id="rId123" Type="http://schemas.openxmlformats.org/officeDocument/2006/relationships/image" Target="media/image105.emf"/><Relationship Id="rId144" Type="http://schemas.openxmlformats.org/officeDocument/2006/relationships/hyperlink" Target="https://organonofmedicine.com/1920" TargetMode="External"/><Relationship Id="rId90" Type="http://schemas.openxmlformats.org/officeDocument/2006/relationships/image" Target="media/image72.emf"/><Relationship Id="rId165" Type="http://schemas.openxmlformats.org/officeDocument/2006/relationships/hyperlink" Target="https://www.ncbi.nlm.nih.gov/books/NBK532961/" TargetMode="External"/><Relationship Id="rId186" Type="http://schemas.openxmlformats.org/officeDocument/2006/relationships/hyperlink" Target="https://dx.doi.org/10.1007/s12402-015-0169-y" TargetMode="External"/><Relationship Id="rId211" Type="http://schemas.openxmlformats.org/officeDocument/2006/relationships/hyperlink" Target="https://dx.doi.org/10.1016/S0965-2299%2803%2900056-6" TargetMode="External"/><Relationship Id="rId232" Type="http://schemas.openxmlformats.org/officeDocument/2006/relationships/hyperlink" Target="https://dx.doi.org/10.1016/j.homp.2016.03.002" TargetMode="External"/><Relationship Id="rId27" Type="http://schemas.openxmlformats.org/officeDocument/2006/relationships/image" Target="media/image9.emf"/><Relationship Id="rId48" Type="http://schemas.openxmlformats.org/officeDocument/2006/relationships/image" Target="media/image30.emf"/><Relationship Id="rId69" Type="http://schemas.openxmlformats.org/officeDocument/2006/relationships/image" Target="media/image51.emf"/><Relationship Id="rId113" Type="http://schemas.openxmlformats.org/officeDocument/2006/relationships/image" Target="media/image95.png"/><Relationship Id="rId134" Type="http://schemas.openxmlformats.org/officeDocument/2006/relationships/hyperlink" Target="http://www.historyofhomeopathy.com.au/articles/item/190-history-homoeopathy-australia-brief-summary.html" TargetMode="External"/><Relationship Id="rId80" Type="http://schemas.openxmlformats.org/officeDocument/2006/relationships/image" Target="media/image62.png"/><Relationship Id="rId155" Type="http://schemas.openxmlformats.org/officeDocument/2006/relationships/hyperlink" Target="https://dx.doi.org/10.1016/j.homp.2006.07.006" TargetMode="External"/><Relationship Id="rId176" Type="http://schemas.openxmlformats.org/officeDocument/2006/relationships/hyperlink" Target="https://www.who.int/news-room/fact-sheets/detail/depression" TargetMode="External"/><Relationship Id="rId197" Type="http://schemas.openxmlformats.org/officeDocument/2006/relationships/hyperlink" Target="https://www.betterhealth.vic.gov.au/health/ConditionsAndTreatments/headach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https://www.health.gov.au/resources/publications/private-health-insurance-reforms-changing-coverage-for-some-natural-therapies" TargetMode="External"/></Relationships>
</file>

<file path=word/theme/theme1.xml><?xml version="1.0" encoding="utf-8"?>
<a:theme xmlns:a="http://schemas.openxmlformats.org/drawingml/2006/main" name="Larissa-Design">
  <a:themeElements>
    <a:clrScheme name="HTA colour palette">
      <a:dk1>
        <a:srgbClr val="000000"/>
      </a:dk1>
      <a:lt1>
        <a:srgbClr val="F9F9F9"/>
      </a:lt1>
      <a:dk2>
        <a:srgbClr val="053341"/>
      </a:dk2>
      <a:lt2>
        <a:srgbClr val="FFFFFF"/>
      </a:lt2>
      <a:accent1>
        <a:srgbClr val="053341"/>
      </a:accent1>
      <a:accent2>
        <a:srgbClr val="006579"/>
      </a:accent2>
      <a:accent3>
        <a:srgbClr val="00968F"/>
      </a:accent3>
      <a:accent4>
        <a:srgbClr val="B5DCDD"/>
      </a:accent4>
      <a:accent5>
        <a:srgbClr val="E1E4E5"/>
      </a:accent5>
      <a:accent6>
        <a:srgbClr val="606F76"/>
      </a:accent6>
      <a:hlink>
        <a:srgbClr val="000000"/>
      </a:hlink>
      <a:folHlink>
        <a:srgbClr val="00000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18030A58EFCB05439C4C109195641468" ma:contentTypeVersion="19" ma:contentTypeDescription="Create a new document." ma:contentTypeScope="" ma:versionID="ddd61097fb5eb938fd861c055afe7784">
  <xsd:schema xmlns:xsd="http://www.w3.org/2001/XMLSchema" xmlns:xs="http://www.w3.org/2001/XMLSchema" xmlns:p="http://schemas.microsoft.com/office/2006/metadata/properties" xmlns:ns2="ef8499da-f70f-48c9-a6de-e578977a26c0" xmlns:ns3="f4994564-c68c-4417-8c9c-13eb9ecde3d6" targetNamespace="http://schemas.microsoft.com/office/2006/metadata/properties" ma:root="true" ma:fieldsID="42567fc6bc3a8e10b0e8a227dd56b0fd" ns2:_="" ns3:_="">
    <xsd:import namespace="ef8499da-f70f-48c9-a6de-e578977a26c0"/>
    <xsd:import namespace="f4994564-c68c-4417-8c9c-13eb9ecde3d6"/>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2:SharedWithUsers" minOccurs="0"/>
                <xsd:element ref="ns2:SharedWithDetails" minOccurs="0"/>
                <xsd:element ref="ns3:lcf76f155ced4ddcb4097134ff3c332f" minOccurs="0"/>
                <xsd:element ref="ns2:TaxCatchAll" minOccurs="0"/>
                <xsd:element ref="ns3:MediaServiceOCR" minOccurs="0"/>
                <xsd:element ref="ns3:MediaServiceObjectDetectorVersions" minOccurs="0"/>
                <xsd:element ref="ns3:MediaServiceSearchProperties" minOccurs="0"/>
                <xsd:element ref="ns3:MediaServiceLocation" minOccurs="0"/>
                <xsd:element ref="ns3:pers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8499da-f70f-48c9-a6de-e578977a26c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eedc90cd-4b5d-4287-ade8-c7001a6f2aff}" ma:internalName="TaxCatchAll" ma:showField="CatchAllData" ma:web="ef8499da-f70f-48c9-a6de-e578977a26c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4994564-c68c-4417-8c9c-13eb9ecde3d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LengthInSeconds" ma:index="15" nillable="true" ma:displayName="MediaLengthInSeconds" ma:hidden="true" ma:internalName="MediaLengthInSeconds" ma:readOnly="true">
      <xsd:simpleType>
        <xsd:restriction base="dms:Unknown"/>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c482b5b-748e-4687-9c7b-3c897542f2f8" ma:termSetId="09814cd3-568e-fe90-9814-8d621ff8fb84" ma:anchorId="fba54fb3-c3e1-fe81-a776-ca4b69148c4d" ma:open="true" ma:isKeyword="false">
      <xsd:complexType>
        <xsd:sequence>
          <xsd:element ref="pc:Terms" minOccurs="0" maxOccurs="1"/>
        </xsd:sequence>
      </xsd:complexType>
    </xsd:element>
    <xsd:element name="MediaServiceOCR" ma:index="25" nillable="true" ma:displayName="Extracted Text" ma:internalName="MediaServiceOCR" ma:readOnly="true">
      <xsd:simpleType>
        <xsd:restriction base="dms:Note">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Location" ma:index="28" nillable="true" ma:displayName="Location" ma:description="" ma:indexed="true" ma:internalName="MediaServiceLocation" ma:readOnly="true">
      <xsd:simpleType>
        <xsd:restriction base="dms:Text"/>
      </xsd:simpleType>
    </xsd:element>
    <xsd:element name="person" ma:index="29" nillable="true" ma:displayName="person" ma:format="Dropdown" ma:list="UserInfo" ma:SharePointGroup="0" ma:internalName="person">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f4994564-c68c-4417-8c9c-13eb9ecde3d6">
      <Terms xmlns="http://schemas.microsoft.com/office/infopath/2007/PartnerControls"/>
    </lcf76f155ced4ddcb4097134ff3c332f>
    <TaxCatchAll xmlns="ef8499da-f70f-48c9-a6de-e578977a26c0" xsi:nil="true"/>
    <person xmlns="f4994564-c68c-4417-8c9c-13eb9ecde3d6">
      <UserInfo>
        <DisplayName/>
        <AccountId xsi:nil="true"/>
        <AccountType/>
      </UserInfo>
    </person>
    <_dlc_DocId xmlns="ef8499da-f70f-48c9-a6de-e578977a26c0">RESTRANS-1864802524-191588</_dlc_DocId>
    <_dlc_DocIdUrl xmlns="ef8499da-f70f-48c9-a6de-e578977a26c0">
      <Url>https://nhmrc.sharepoint.com/sites/restrans/_layouts/15/DocIdRedir.aspx?ID=RESTRANS-1864802524-191588</Url>
      <Description>RESTRANS-1864802524-191588</Description>
    </_dlc_DocIdUrl>
  </documentManagement>
</p:properties>
</file>

<file path=customXml/itemProps1.xml><?xml version="1.0" encoding="utf-8"?>
<ds:datastoreItem xmlns:ds="http://schemas.openxmlformats.org/officeDocument/2006/customXml" ds:itemID="{6BD6B0D7-F62B-49A8-887B-8E70B6C74DEA}">
  <ds:schemaRefs>
    <ds:schemaRef ds:uri="http://schemas.microsoft.com/sharepoint/v3/contenttype/forms"/>
  </ds:schemaRefs>
</ds:datastoreItem>
</file>

<file path=customXml/itemProps2.xml><?xml version="1.0" encoding="utf-8"?>
<ds:datastoreItem xmlns:ds="http://schemas.openxmlformats.org/officeDocument/2006/customXml" ds:itemID="{1BB27377-24AB-438B-ABDE-9C7F4A769B37}">
  <ds:schemaRefs>
    <ds:schemaRef ds:uri="http://schemas.microsoft.com/sharepoint/events"/>
  </ds:schemaRefs>
</ds:datastoreItem>
</file>

<file path=customXml/itemProps3.xml><?xml version="1.0" encoding="utf-8"?>
<ds:datastoreItem xmlns:ds="http://schemas.openxmlformats.org/officeDocument/2006/customXml" ds:itemID="{B3293DA5-E009-486A-A468-CA64F809F8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8499da-f70f-48c9-a6de-e578977a26c0"/>
    <ds:schemaRef ds:uri="f4994564-c68c-4417-8c9c-13eb9ecde3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A83B5C-DA72-4C95-9DE4-CBB011B471D5}">
  <ds:schemaRefs>
    <ds:schemaRef ds:uri="http://schemas.openxmlformats.org/officeDocument/2006/bibliography"/>
  </ds:schemaRefs>
</ds:datastoreItem>
</file>

<file path=customXml/itemProps5.xml><?xml version="1.0" encoding="utf-8"?>
<ds:datastoreItem xmlns:ds="http://schemas.openxmlformats.org/officeDocument/2006/customXml" ds:itemID="{CBF5E231-05FB-42CB-A784-83FC1A9374A3}">
  <ds:schemaRefs>
    <ds:schemaRef ds:uri="http://schemas.microsoft.com/office/2006/metadata/properties"/>
    <ds:schemaRef ds:uri="http://schemas.microsoft.com/office/infopath/2007/PartnerControls"/>
    <ds:schemaRef ds:uri="f4994564-c68c-4417-8c9c-13eb9ecde3d6"/>
    <ds:schemaRef ds:uri="ef8499da-f70f-48c9-a6de-e578977a26c0"/>
  </ds:schemaRefs>
</ds:datastoreItem>
</file>

<file path=docProps/app.xml><?xml version="1.0" encoding="utf-8"?>
<Properties xmlns="http://schemas.openxmlformats.org/officeDocument/2006/extended-properties" xmlns:vt="http://schemas.openxmlformats.org/officeDocument/2006/docPropsVTypes">
  <Template>Normal.dotm</Template>
  <TotalTime>12218</TotalTime>
  <Pages>221</Pages>
  <Words>121127</Words>
  <Characters>690428</Characters>
  <Application>Microsoft Office Word</Application>
  <DocSecurity>0</DocSecurity>
  <Lines>5753</Lines>
  <Paragraphs>1619</Paragraphs>
  <ScaleCrop>false</ScaleCrop>
  <HeadingPairs>
    <vt:vector size="2" baseType="variant">
      <vt:variant>
        <vt:lpstr>Title</vt:lpstr>
      </vt:variant>
      <vt:variant>
        <vt:i4>1</vt:i4>
      </vt:variant>
    </vt:vector>
  </HeadingPairs>
  <TitlesOfParts>
    <vt:vector size="1" baseType="lpstr">
      <vt:lpstr>Natural Therapies Review 2024 – Homeopathy evidence evaluation – Main report</vt:lpstr>
    </vt:vector>
  </TitlesOfParts>
  <Company/>
  <LinksUpToDate>false</LinksUpToDate>
  <CharactersWithSpaces>809936</CharactersWithSpaces>
  <SharedDoc>false</SharedDoc>
  <HLinks>
    <vt:vector size="5118" baseType="variant">
      <vt:variant>
        <vt:i4>589831</vt:i4>
      </vt:variant>
      <vt:variant>
        <vt:i4>5423</vt:i4>
      </vt:variant>
      <vt:variant>
        <vt:i4>0</vt:i4>
      </vt:variant>
      <vt:variant>
        <vt:i4>5</vt:i4>
      </vt:variant>
      <vt:variant>
        <vt:lpwstr>https://doi.org/10.1016/S0899-3467(07)60085-8</vt:lpwstr>
      </vt:variant>
      <vt:variant>
        <vt:lpwstr/>
      </vt:variant>
      <vt:variant>
        <vt:i4>4390926</vt:i4>
      </vt:variant>
      <vt:variant>
        <vt:i4>5420</vt:i4>
      </vt:variant>
      <vt:variant>
        <vt:i4>0</vt:i4>
      </vt:variant>
      <vt:variant>
        <vt:i4>5</vt:i4>
      </vt:variant>
      <vt:variant>
        <vt:lpwstr>https://dx.doi.org/10.1080/00207450490475724</vt:lpwstr>
      </vt:variant>
      <vt:variant>
        <vt:lpwstr/>
      </vt:variant>
      <vt:variant>
        <vt:i4>3866680</vt:i4>
      </vt:variant>
      <vt:variant>
        <vt:i4>5417</vt:i4>
      </vt:variant>
      <vt:variant>
        <vt:i4>0</vt:i4>
      </vt:variant>
      <vt:variant>
        <vt:i4>5</vt:i4>
      </vt:variant>
      <vt:variant>
        <vt:lpwstr>https://doi.org/10.1016/j.ctim.2014.06.005</vt:lpwstr>
      </vt:variant>
      <vt:variant>
        <vt:lpwstr/>
      </vt:variant>
      <vt:variant>
        <vt:i4>1245202</vt:i4>
      </vt:variant>
      <vt:variant>
        <vt:i4>5414</vt:i4>
      </vt:variant>
      <vt:variant>
        <vt:i4>0</vt:i4>
      </vt:variant>
      <vt:variant>
        <vt:i4>5</vt:i4>
      </vt:variant>
      <vt:variant>
        <vt:lpwstr>https://dx.doi.org/10.1016/S0022-3999%2803%2900377-5</vt:lpwstr>
      </vt:variant>
      <vt:variant>
        <vt:lpwstr/>
      </vt:variant>
      <vt:variant>
        <vt:i4>1441805</vt:i4>
      </vt:variant>
      <vt:variant>
        <vt:i4>5411</vt:i4>
      </vt:variant>
      <vt:variant>
        <vt:i4>0</vt:i4>
      </vt:variant>
      <vt:variant>
        <vt:i4>5</vt:i4>
      </vt:variant>
      <vt:variant>
        <vt:lpwstr>https://www.racgp.org.au/clinical-resources/covid-19-resources/clinical-care/caring-for-patients-with-post-covid-19-conditions/the-most-common-scenario-non-specific-multisystem</vt:lpwstr>
      </vt:variant>
      <vt:variant>
        <vt:lpwstr/>
      </vt:variant>
      <vt:variant>
        <vt:i4>5898264</vt:i4>
      </vt:variant>
      <vt:variant>
        <vt:i4>5408</vt:i4>
      </vt:variant>
      <vt:variant>
        <vt:i4>0</vt:i4>
      </vt:variant>
      <vt:variant>
        <vt:i4>5</vt:i4>
      </vt:variant>
      <vt:variant>
        <vt:lpwstr>https://doi.org/10.1111/j.1365-2796.2011.02428.x</vt:lpwstr>
      </vt:variant>
      <vt:variant>
        <vt:lpwstr/>
      </vt:variant>
      <vt:variant>
        <vt:i4>1835030</vt:i4>
      </vt:variant>
      <vt:variant>
        <vt:i4>5405</vt:i4>
      </vt:variant>
      <vt:variant>
        <vt:i4>0</vt:i4>
      </vt:variant>
      <vt:variant>
        <vt:i4>5</vt:i4>
      </vt:variant>
      <vt:variant>
        <vt:lpwstr>https://dx.doi.org/10.1016/j.homp.2016.03.002</vt:lpwstr>
      </vt:variant>
      <vt:variant>
        <vt:lpwstr/>
      </vt:variant>
      <vt:variant>
        <vt:i4>786514</vt:i4>
      </vt:variant>
      <vt:variant>
        <vt:i4>5402</vt:i4>
      </vt:variant>
      <vt:variant>
        <vt:i4>0</vt:i4>
      </vt:variant>
      <vt:variant>
        <vt:i4>5</vt:i4>
      </vt:variant>
      <vt:variant>
        <vt:lpwstr>https://trialsearchwhoint/Trial2aspx?TrialID=NTR3560</vt:lpwstr>
      </vt:variant>
      <vt:variant>
        <vt:lpwstr/>
      </vt:variant>
      <vt:variant>
        <vt:i4>1507352</vt:i4>
      </vt:variant>
      <vt:variant>
        <vt:i4>5399</vt:i4>
      </vt:variant>
      <vt:variant>
        <vt:i4>0</vt:i4>
      </vt:variant>
      <vt:variant>
        <vt:i4>5</vt:i4>
      </vt:variant>
      <vt:variant>
        <vt:lpwstr>https://dx.doi.org/10.1055/s-0038-1633295</vt:lpwstr>
      </vt:variant>
      <vt:variant>
        <vt:lpwstr/>
      </vt:variant>
      <vt:variant>
        <vt:i4>196637</vt:i4>
      </vt:variant>
      <vt:variant>
        <vt:i4>5396</vt:i4>
      </vt:variant>
      <vt:variant>
        <vt:i4>0</vt:i4>
      </vt:variant>
      <vt:variant>
        <vt:i4>5</vt:i4>
      </vt:variant>
      <vt:variant>
        <vt:lpwstr>https://dx.doi.org/10.1186/s12906-017-1783-3</vt:lpwstr>
      </vt:variant>
      <vt:variant>
        <vt:lpwstr/>
      </vt:variant>
      <vt:variant>
        <vt:i4>851989</vt:i4>
      </vt:variant>
      <vt:variant>
        <vt:i4>5393</vt:i4>
      </vt:variant>
      <vt:variant>
        <vt:i4>0</vt:i4>
      </vt:variant>
      <vt:variant>
        <vt:i4>5</vt:i4>
      </vt:variant>
      <vt:variant>
        <vt:lpwstr>https://trialsearchwhoint/Trial2aspx?TrialID=CTRI/2018/07/014949</vt:lpwstr>
      </vt:variant>
      <vt:variant>
        <vt:lpwstr/>
      </vt:variant>
      <vt:variant>
        <vt:i4>4522006</vt:i4>
      </vt:variant>
      <vt:variant>
        <vt:i4>5390</vt:i4>
      </vt:variant>
      <vt:variant>
        <vt:i4>0</vt:i4>
      </vt:variant>
      <vt:variant>
        <vt:i4>5</vt:i4>
      </vt:variant>
      <vt:variant>
        <vt:lpwstr>https://trialsearchwhoint/Trial2aspx?TrialID=IRCT201207063706N14</vt:lpwstr>
      </vt:variant>
      <vt:variant>
        <vt:lpwstr/>
      </vt:variant>
      <vt:variant>
        <vt:i4>2162748</vt:i4>
      </vt:variant>
      <vt:variant>
        <vt:i4>5387</vt:i4>
      </vt:variant>
      <vt:variant>
        <vt:i4>0</vt:i4>
      </vt:variant>
      <vt:variant>
        <vt:i4>5</vt:i4>
      </vt:variant>
      <vt:variant>
        <vt:lpwstr>https://dx.doi.org/10.5812/ircmj.30902</vt:lpwstr>
      </vt:variant>
      <vt:variant>
        <vt:lpwstr/>
      </vt:variant>
      <vt:variant>
        <vt:i4>5046345</vt:i4>
      </vt:variant>
      <vt:variant>
        <vt:i4>5384</vt:i4>
      </vt:variant>
      <vt:variant>
        <vt:i4>0</vt:i4>
      </vt:variant>
      <vt:variant>
        <vt:i4>5</vt:i4>
      </vt:variant>
      <vt:variant>
        <vt:lpwstr>https://www.betterhealth.vic.gov.au/health/conditionsandtreatments/premenstrual-syndrome-pms</vt:lpwstr>
      </vt:variant>
      <vt:variant>
        <vt:lpwstr/>
      </vt:variant>
      <vt:variant>
        <vt:i4>196631</vt:i4>
      </vt:variant>
      <vt:variant>
        <vt:i4>5381</vt:i4>
      </vt:variant>
      <vt:variant>
        <vt:i4>0</vt:i4>
      </vt:variant>
      <vt:variant>
        <vt:i4>5</vt:i4>
      </vt:variant>
      <vt:variant>
        <vt:lpwstr>https://dx.doi.org/10.1007/s00404-010-1634-7</vt:lpwstr>
      </vt:variant>
      <vt:variant>
        <vt:lpwstr/>
      </vt:variant>
      <vt:variant>
        <vt:i4>1507351</vt:i4>
      </vt:variant>
      <vt:variant>
        <vt:i4>5378</vt:i4>
      </vt:variant>
      <vt:variant>
        <vt:i4>0</vt:i4>
      </vt:variant>
      <vt:variant>
        <vt:i4>5</vt:i4>
      </vt:variant>
      <vt:variant>
        <vt:lpwstr>https://www.menopause.org.au/hp/management/treatment-options</vt:lpwstr>
      </vt:variant>
      <vt:variant>
        <vt:lpwstr/>
      </vt:variant>
      <vt:variant>
        <vt:i4>393237</vt:i4>
      </vt:variant>
      <vt:variant>
        <vt:i4>5375</vt:i4>
      </vt:variant>
      <vt:variant>
        <vt:i4>0</vt:i4>
      </vt:variant>
      <vt:variant>
        <vt:i4>5</vt:i4>
      </vt:variant>
      <vt:variant>
        <vt:lpwstr>https://trialsearchwhoint/Trial2aspx?TrialID=CTRI/2011/12/002270</vt:lpwstr>
      </vt:variant>
      <vt:variant>
        <vt:lpwstr/>
      </vt:variant>
      <vt:variant>
        <vt:i4>2621473</vt:i4>
      </vt:variant>
      <vt:variant>
        <vt:i4>5372</vt:i4>
      </vt:variant>
      <vt:variant>
        <vt:i4>0</vt:i4>
      </vt:variant>
      <vt:variant>
        <vt:i4>5</vt:i4>
      </vt:variant>
      <vt:variant>
        <vt:lpwstr>https://doi.org/10.1016/j.berh.2017.05.001</vt:lpwstr>
      </vt:variant>
      <vt:variant>
        <vt:lpwstr/>
      </vt:variant>
      <vt:variant>
        <vt:i4>1507343</vt:i4>
      </vt:variant>
      <vt:variant>
        <vt:i4>5369</vt:i4>
      </vt:variant>
      <vt:variant>
        <vt:i4>0</vt:i4>
      </vt:variant>
      <vt:variant>
        <vt:i4>5</vt:i4>
      </vt:variant>
      <vt:variant>
        <vt:lpwstr>https://www.aihw.gov.au/reports/chronic-musculoskeletal-conditions/back-problems</vt:lpwstr>
      </vt:variant>
      <vt:variant>
        <vt:lpwstr/>
      </vt:variant>
      <vt:variant>
        <vt:i4>5832783</vt:i4>
      </vt:variant>
      <vt:variant>
        <vt:i4>5366</vt:i4>
      </vt:variant>
      <vt:variant>
        <vt:i4>0</vt:i4>
      </vt:variant>
      <vt:variant>
        <vt:i4>5</vt:i4>
      </vt:variant>
      <vt:variant>
        <vt:lpwstr>http://dx.doi.org/10.1093/rheumatology/40.9.1052</vt:lpwstr>
      </vt:variant>
      <vt:variant>
        <vt:lpwstr/>
      </vt:variant>
      <vt:variant>
        <vt:i4>7143551</vt:i4>
      </vt:variant>
      <vt:variant>
        <vt:i4>5363</vt:i4>
      </vt:variant>
      <vt:variant>
        <vt:i4>0</vt:i4>
      </vt:variant>
      <vt:variant>
        <vt:i4>5</vt:i4>
      </vt:variant>
      <vt:variant>
        <vt:lpwstr>https://www.aihw.gov.au/reports/chronic-musculoskeletal-conditions/rheumatoid-arthritis</vt:lpwstr>
      </vt:variant>
      <vt:variant>
        <vt:lpwstr/>
      </vt:variant>
      <vt:variant>
        <vt:i4>3211379</vt:i4>
      </vt:variant>
      <vt:variant>
        <vt:i4>5360</vt:i4>
      </vt:variant>
      <vt:variant>
        <vt:i4>0</vt:i4>
      </vt:variant>
      <vt:variant>
        <vt:i4>5</vt:i4>
      </vt:variant>
      <vt:variant>
        <vt:lpwstr>https://arthritisaustralia.com.au/managing-arthritis/living-with-arthritis/complementary-treatments-and-therapies/</vt:lpwstr>
      </vt:variant>
      <vt:variant>
        <vt:lpwstr>:~:text=Examples%20of%20complementary%20therapies%20include,any%20treatments%20you%20are%20taking</vt:lpwstr>
      </vt:variant>
      <vt:variant>
        <vt:i4>5439518</vt:i4>
      </vt:variant>
      <vt:variant>
        <vt:i4>5357</vt:i4>
      </vt:variant>
      <vt:variant>
        <vt:i4>0</vt:i4>
      </vt:variant>
      <vt:variant>
        <vt:i4>5</vt:i4>
      </vt:variant>
      <vt:variant>
        <vt:lpwstr>https://www.aihw.gov.au/reports/chronic-musculoskeletal-conditions/osteoarthritis</vt:lpwstr>
      </vt:variant>
      <vt:variant>
        <vt:lpwstr/>
      </vt:variant>
      <vt:variant>
        <vt:i4>1966096</vt:i4>
      </vt:variant>
      <vt:variant>
        <vt:i4>5354</vt:i4>
      </vt:variant>
      <vt:variant>
        <vt:i4>0</vt:i4>
      </vt:variant>
      <vt:variant>
        <vt:i4>5</vt:i4>
      </vt:variant>
      <vt:variant>
        <vt:lpwstr>https://dx.doi.org/10.1016/j.homp.2014.05.001</vt:lpwstr>
      </vt:variant>
      <vt:variant>
        <vt:lpwstr/>
      </vt:variant>
      <vt:variant>
        <vt:i4>1114130</vt:i4>
      </vt:variant>
      <vt:variant>
        <vt:i4>5351</vt:i4>
      </vt:variant>
      <vt:variant>
        <vt:i4>0</vt:i4>
      </vt:variant>
      <vt:variant>
        <vt:i4>5</vt:i4>
      </vt:variant>
      <vt:variant>
        <vt:lpwstr>https://www.racgp.org.au/clinical-resources/clinical-guidelines/handi/handi-interventions/nutrition/low-fodmap-diets-for-irritable-bowel-syndrome-ibs</vt:lpwstr>
      </vt:variant>
      <vt:variant>
        <vt:lpwstr/>
      </vt:variant>
      <vt:variant>
        <vt:i4>3670133</vt:i4>
      </vt:variant>
      <vt:variant>
        <vt:i4>5348</vt:i4>
      </vt:variant>
      <vt:variant>
        <vt:i4>0</vt:i4>
      </vt:variant>
      <vt:variant>
        <vt:i4>5</vt:i4>
      </vt:variant>
      <vt:variant>
        <vt:lpwstr>https://www.betterhealth.vic.gov.au/health/conditionsandtreatments/irritable-bowel-syndrome-ibs</vt:lpwstr>
      </vt:variant>
      <vt:variant>
        <vt:lpwstr/>
      </vt:variant>
      <vt:variant>
        <vt:i4>7143460</vt:i4>
      </vt:variant>
      <vt:variant>
        <vt:i4>5345</vt:i4>
      </vt:variant>
      <vt:variant>
        <vt:i4>0</vt:i4>
      </vt:variant>
      <vt:variant>
        <vt:i4>5</vt:i4>
      </vt:variant>
      <vt:variant>
        <vt:lpwstr>https://dx.doi.org/10.1016/j.aimed.2019.03.165</vt:lpwstr>
      </vt:variant>
      <vt:variant>
        <vt:lpwstr/>
      </vt:variant>
      <vt:variant>
        <vt:i4>1900575</vt:i4>
      </vt:variant>
      <vt:variant>
        <vt:i4>5342</vt:i4>
      </vt:variant>
      <vt:variant>
        <vt:i4>0</vt:i4>
      </vt:variant>
      <vt:variant>
        <vt:i4>5</vt:i4>
      </vt:variant>
      <vt:variant>
        <vt:lpwstr>https://dx.doi.org/10.1016/S0965-2299%2803%2900056-6</vt:lpwstr>
      </vt:variant>
      <vt:variant>
        <vt:lpwstr/>
      </vt:variant>
      <vt:variant>
        <vt:i4>8323193</vt:i4>
      </vt:variant>
      <vt:variant>
        <vt:i4>5339</vt:i4>
      </vt:variant>
      <vt:variant>
        <vt:i4>0</vt:i4>
      </vt:variant>
      <vt:variant>
        <vt:i4>5</vt:i4>
      </vt:variant>
      <vt:variant>
        <vt:lpwstr>https://dx.doi.org/10.1089/acm.2016.29003.abstracts</vt:lpwstr>
      </vt:variant>
      <vt:variant>
        <vt:lpwstr/>
      </vt:variant>
      <vt:variant>
        <vt:i4>5570614</vt:i4>
      </vt:variant>
      <vt:variant>
        <vt:i4>5336</vt:i4>
      </vt:variant>
      <vt:variant>
        <vt:i4>0</vt:i4>
      </vt:variant>
      <vt:variant>
        <vt:i4>5</vt:i4>
      </vt:variant>
      <vt:variant>
        <vt:lpwstr>https://www.rch.org.au/clinicalguide/guideline_index/Gastroenteritis/</vt:lpwstr>
      </vt:variant>
      <vt:variant>
        <vt:lpwstr/>
      </vt:variant>
      <vt:variant>
        <vt:i4>3670068</vt:i4>
      </vt:variant>
      <vt:variant>
        <vt:i4>5333</vt:i4>
      </vt:variant>
      <vt:variant>
        <vt:i4>0</vt:i4>
      </vt:variant>
      <vt:variant>
        <vt:i4>5</vt:i4>
      </vt:variant>
      <vt:variant>
        <vt:lpwstr>https://doi.org/10.1016/j.ctim.2008.04.005</vt:lpwstr>
      </vt:variant>
      <vt:variant>
        <vt:lpwstr/>
      </vt:variant>
      <vt:variant>
        <vt:i4>6422568</vt:i4>
      </vt:variant>
      <vt:variant>
        <vt:i4>5330</vt:i4>
      </vt:variant>
      <vt:variant>
        <vt:i4>0</vt:i4>
      </vt:variant>
      <vt:variant>
        <vt:i4>5</vt:i4>
      </vt:variant>
      <vt:variant>
        <vt:lpwstr>https://dx.doi.org/10.1183/13993003.congress-2020.2620</vt:lpwstr>
      </vt:variant>
      <vt:variant>
        <vt:lpwstr/>
      </vt:variant>
      <vt:variant>
        <vt:i4>95</vt:i4>
      </vt:variant>
      <vt:variant>
        <vt:i4>5327</vt:i4>
      </vt:variant>
      <vt:variant>
        <vt:i4>0</vt:i4>
      </vt:variant>
      <vt:variant>
        <vt:i4>5</vt:i4>
      </vt:variant>
      <vt:variant>
        <vt:lpwstr>https://www.aihw.gov.au/reports/burden-of-disease/australian-burden-of-disease-study-2022</vt:lpwstr>
      </vt:variant>
      <vt:variant>
        <vt:lpwstr/>
      </vt:variant>
      <vt:variant>
        <vt:i4>6094849</vt:i4>
      </vt:variant>
      <vt:variant>
        <vt:i4>5324</vt:i4>
      </vt:variant>
      <vt:variant>
        <vt:i4>0</vt:i4>
      </vt:variant>
      <vt:variant>
        <vt:i4>5</vt:i4>
      </vt:variant>
      <vt:variant>
        <vt:lpwstr>https://www.aihw.gov.au/reports/chronic-musculoskeletal-conditions/arthritis</vt:lpwstr>
      </vt:variant>
      <vt:variant>
        <vt:lpwstr/>
      </vt:variant>
      <vt:variant>
        <vt:i4>5505024</vt:i4>
      </vt:variant>
      <vt:variant>
        <vt:i4>5321</vt:i4>
      </vt:variant>
      <vt:variant>
        <vt:i4>0</vt:i4>
      </vt:variant>
      <vt:variant>
        <vt:i4>5</vt:i4>
      </vt:variant>
      <vt:variant>
        <vt:lpwstr>https://www.aihw.gov.au/reports/chronic-respiratory-conditions/chronic-respiratory-conditions</vt:lpwstr>
      </vt:variant>
      <vt:variant>
        <vt:lpwstr/>
      </vt:variant>
      <vt:variant>
        <vt:i4>262147</vt:i4>
      </vt:variant>
      <vt:variant>
        <vt:i4>5318</vt:i4>
      </vt:variant>
      <vt:variant>
        <vt:i4>0</vt:i4>
      </vt:variant>
      <vt:variant>
        <vt:i4>5</vt:i4>
      </vt:variant>
      <vt:variant>
        <vt:lpwstr>https://dx.doi.org/10.1046/j.1468-2982.1997.1705600.x</vt:lpwstr>
      </vt:variant>
      <vt:variant>
        <vt:lpwstr/>
      </vt:variant>
      <vt:variant>
        <vt:i4>4063282</vt:i4>
      </vt:variant>
      <vt:variant>
        <vt:i4>5315</vt:i4>
      </vt:variant>
      <vt:variant>
        <vt:i4>0</vt:i4>
      </vt:variant>
      <vt:variant>
        <vt:i4>5</vt:i4>
      </vt:variant>
      <vt:variant>
        <vt:lpwstr>https://dx.doi.org/10.1046/j.1468-2982.2000.00129.x</vt:lpwstr>
      </vt:variant>
      <vt:variant>
        <vt:lpwstr/>
      </vt:variant>
      <vt:variant>
        <vt:i4>131085</vt:i4>
      </vt:variant>
      <vt:variant>
        <vt:i4>5312</vt:i4>
      </vt:variant>
      <vt:variant>
        <vt:i4>0</vt:i4>
      </vt:variant>
      <vt:variant>
        <vt:i4>5</vt:i4>
      </vt:variant>
      <vt:variant>
        <vt:lpwstr>https://dx.doi.org/10.1046/j.1468-2982.1997.1702119.x</vt:lpwstr>
      </vt:variant>
      <vt:variant>
        <vt:lpwstr/>
      </vt:variant>
      <vt:variant>
        <vt:i4>6160455</vt:i4>
      </vt:variant>
      <vt:variant>
        <vt:i4>5309</vt:i4>
      </vt:variant>
      <vt:variant>
        <vt:i4>0</vt:i4>
      </vt:variant>
      <vt:variant>
        <vt:i4>5</vt:i4>
      </vt:variant>
      <vt:variant>
        <vt:lpwstr>http://dx.doi.org/10.1054/homp.1999.0332</vt:lpwstr>
      </vt:variant>
      <vt:variant>
        <vt:lpwstr/>
      </vt:variant>
      <vt:variant>
        <vt:i4>5308444</vt:i4>
      </vt:variant>
      <vt:variant>
        <vt:i4>5306</vt:i4>
      </vt:variant>
      <vt:variant>
        <vt:i4>0</vt:i4>
      </vt:variant>
      <vt:variant>
        <vt:i4>5</vt:i4>
      </vt:variant>
      <vt:variant>
        <vt:lpwstr>https://www.abs.gov.au/statistics/health/health-conditions-and-risks/national-health-survey-first-results/latest-release</vt:lpwstr>
      </vt:variant>
      <vt:variant>
        <vt:lpwstr/>
      </vt:variant>
      <vt:variant>
        <vt:i4>3276924</vt:i4>
      </vt:variant>
      <vt:variant>
        <vt:i4>5303</vt:i4>
      </vt:variant>
      <vt:variant>
        <vt:i4>0</vt:i4>
      </vt:variant>
      <vt:variant>
        <vt:i4>5</vt:i4>
      </vt:variant>
      <vt:variant>
        <vt:lpwstr>https://headacheaustralia.org.au/migraine/</vt:lpwstr>
      </vt:variant>
      <vt:variant>
        <vt:lpwstr/>
      </vt:variant>
      <vt:variant>
        <vt:i4>6553717</vt:i4>
      </vt:variant>
      <vt:variant>
        <vt:i4>5300</vt:i4>
      </vt:variant>
      <vt:variant>
        <vt:i4>0</vt:i4>
      </vt:variant>
      <vt:variant>
        <vt:i4>5</vt:i4>
      </vt:variant>
      <vt:variant>
        <vt:lpwstr>https://www.betterhealth.vic.gov.au/health/ConditionsAndTreatments/headache</vt:lpwstr>
      </vt:variant>
      <vt:variant>
        <vt:lpwstr/>
      </vt:variant>
      <vt:variant>
        <vt:i4>6684727</vt:i4>
      </vt:variant>
      <vt:variant>
        <vt:i4>5297</vt:i4>
      </vt:variant>
      <vt:variant>
        <vt:i4>0</vt:i4>
      </vt:variant>
      <vt:variant>
        <vt:i4>5</vt:i4>
      </vt:variant>
      <vt:variant>
        <vt:lpwstr>https://www.migraine.org.au/burden</vt:lpwstr>
      </vt:variant>
      <vt:variant>
        <vt:lpwstr/>
      </vt:variant>
      <vt:variant>
        <vt:i4>2752568</vt:i4>
      </vt:variant>
      <vt:variant>
        <vt:i4>5294</vt:i4>
      </vt:variant>
      <vt:variant>
        <vt:i4>0</vt:i4>
      </vt:variant>
      <vt:variant>
        <vt:i4>5</vt:i4>
      </vt:variant>
      <vt:variant>
        <vt:lpwstr>https://headacheaustralia.org.au/tension-headache/</vt:lpwstr>
      </vt:variant>
      <vt:variant>
        <vt:lpwstr/>
      </vt:variant>
      <vt:variant>
        <vt:i4>6291514</vt:i4>
      </vt:variant>
      <vt:variant>
        <vt:i4>5291</vt:i4>
      </vt:variant>
      <vt:variant>
        <vt:i4>0</vt:i4>
      </vt:variant>
      <vt:variant>
        <vt:i4>5</vt:i4>
      </vt:variant>
      <vt:variant>
        <vt:lpwstr>https://dx.doi.org/10.1136/archdischild-2017-313273.260</vt:lpwstr>
      </vt:variant>
      <vt:variant>
        <vt:lpwstr/>
      </vt:variant>
      <vt:variant>
        <vt:i4>6553649</vt:i4>
      </vt:variant>
      <vt:variant>
        <vt:i4>5288</vt:i4>
      </vt:variant>
      <vt:variant>
        <vt:i4>0</vt:i4>
      </vt:variant>
      <vt:variant>
        <vt:i4>5</vt:i4>
      </vt:variant>
      <vt:variant>
        <vt:lpwstr>https://dx.doi.org/10.1155/2016/9539030</vt:lpwstr>
      </vt:variant>
      <vt:variant>
        <vt:lpwstr/>
      </vt:variant>
      <vt:variant>
        <vt:i4>1835026</vt:i4>
      </vt:variant>
      <vt:variant>
        <vt:i4>5285</vt:i4>
      </vt:variant>
      <vt:variant>
        <vt:i4>0</vt:i4>
      </vt:variant>
      <vt:variant>
        <vt:i4>5</vt:i4>
      </vt:variant>
      <vt:variant>
        <vt:lpwstr>https://dx.doi.org/10.1016/j.ctim.2019.01.007</vt:lpwstr>
      </vt:variant>
      <vt:variant>
        <vt:lpwstr/>
      </vt:variant>
      <vt:variant>
        <vt:i4>6946921</vt:i4>
      </vt:variant>
      <vt:variant>
        <vt:i4>5282</vt:i4>
      </vt:variant>
      <vt:variant>
        <vt:i4>0</vt:i4>
      </vt:variant>
      <vt:variant>
        <vt:i4>5</vt:i4>
      </vt:variant>
      <vt:variant>
        <vt:lpwstr>https://www.sleephealthfoundation.org.au/pdfs/Special_Reports/SHF_Insomnia_Report_2019_Final_SHFlogo.pdf</vt:lpwstr>
      </vt:variant>
      <vt:variant>
        <vt:lpwstr/>
      </vt:variant>
      <vt:variant>
        <vt:i4>6553661</vt:i4>
      </vt:variant>
      <vt:variant>
        <vt:i4>5279</vt:i4>
      </vt:variant>
      <vt:variant>
        <vt:i4>0</vt:i4>
      </vt:variant>
      <vt:variant>
        <vt:i4>5</vt:i4>
      </vt:variant>
      <vt:variant>
        <vt:lpwstr>https://dx.doi.org/10.1016/j.eujim.2012.07.645</vt:lpwstr>
      </vt:variant>
      <vt:variant>
        <vt:lpwstr/>
      </vt:variant>
      <vt:variant>
        <vt:i4>1900565</vt:i4>
      </vt:variant>
      <vt:variant>
        <vt:i4>5276</vt:i4>
      </vt:variant>
      <vt:variant>
        <vt:i4>0</vt:i4>
      </vt:variant>
      <vt:variant>
        <vt:i4>5</vt:i4>
      </vt:variant>
      <vt:variant>
        <vt:lpwstr>https://dx.doi.org/10.1016/j.homp.2006.11.004</vt:lpwstr>
      </vt:variant>
      <vt:variant>
        <vt:lpwstr/>
      </vt:variant>
      <vt:variant>
        <vt:i4>1966110</vt:i4>
      </vt:variant>
      <vt:variant>
        <vt:i4>5273</vt:i4>
      </vt:variant>
      <vt:variant>
        <vt:i4>0</vt:i4>
      </vt:variant>
      <vt:variant>
        <vt:i4>5</vt:i4>
      </vt:variant>
      <vt:variant>
        <vt:lpwstr>https://dx.doi.org/10.1055/s-0038-1632419</vt:lpwstr>
      </vt:variant>
      <vt:variant>
        <vt:lpwstr/>
      </vt:variant>
      <vt:variant>
        <vt:i4>1703959</vt:i4>
      </vt:variant>
      <vt:variant>
        <vt:i4>5270</vt:i4>
      </vt:variant>
      <vt:variant>
        <vt:i4>0</vt:i4>
      </vt:variant>
      <vt:variant>
        <vt:i4>5</vt:i4>
      </vt:variant>
      <vt:variant>
        <vt:lpwstr>https://dx.doi.org/10.1016/j.homp.2015.12.042</vt:lpwstr>
      </vt:variant>
      <vt:variant>
        <vt:lpwstr/>
      </vt:variant>
      <vt:variant>
        <vt:i4>4522001</vt:i4>
      </vt:variant>
      <vt:variant>
        <vt:i4>5267</vt:i4>
      </vt:variant>
      <vt:variant>
        <vt:i4>0</vt:i4>
      </vt:variant>
      <vt:variant>
        <vt:i4>5</vt:i4>
      </vt:variant>
      <vt:variant>
        <vt:lpwstr>https://dx.doi.org/10.1007/s12402-015-0169-y</vt:lpwstr>
      </vt:variant>
      <vt:variant>
        <vt:lpwstr/>
      </vt:variant>
      <vt:variant>
        <vt:i4>131090</vt:i4>
      </vt:variant>
      <vt:variant>
        <vt:i4>5264</vt:i4>
      </vt:variant>
      <vt:variant>
        <vt:i4>0</vt:i4>
      </vt:variant>
      <vt:variant>
        <vt:i4>5</vt:i4>
      </vt:variant>
      <vt:variant>
        <vt:lpwstr>https://trialsearchwhoint/Trial2aspx?TrialID=CTRI/2011/12/002305</vt:lpwstr>
      </vt:variant>
      <vt:variant>
        <vt:lpwstr/>
      </vt:variant>
      <vt:variant>
        <vt:i4>2621483</vt:i4>
      </vt:variant>
      <vt:variant>
        <vt:i4>5261</vt:i4>
      </vt:variant>
      <vt:variant>
        <vt:i4>0</vt:i4>
      </vt:variant>
      <vt:variant>
        <vt:i4>5</vt:i4>
      </vt:variant>
      <vt:variant>
        <vt:lpwstr>https://www.health.nsw.gov.au/pharmaceutical/patients/Pages/faq-adhd-consumers.aspx</vt:lpwstr>
      </vt:variant>
      <vt:variant>
        <vt:lpwstr/>
      </vt:variant>
      <vt:variant>
        <vt:i4>1638488</vt:i4>
      </vt:variant>
      <vt:variant>
        <vt:i4>5258</vt:i4>
      </vt:variant>
      <vt:variant>
        <vt:i4>0</vt:i4>
      </vt:variant>
      <vt:variant>
        <vt:i4>5</vt:i4>
      </vt:variant>
      <vt:variant>
        <vt:lpwstr>https://www.ncbi.nlm.nih.gov/books/NBK441838/</vt:lpwstr>
      </vt:variant>
      <vt:variant>
        <vt:lpwstr/>
      </vt:variant>
      <vt:variant>
        <vt:i4>65544</vt:i4>
      </vt:variant>
      <vt:variant>
        <vt:i4>5255</vt:i4>
      </vt:variant>
      <vt:variant>
        <vt:i4>0</vt:i4>
      </vt:variant>
      <vt:variant>
        <vt:i4>5</vt:i4>
      </vt:variant>
      <vt:variant>
        <vt:lpwstr>https://adhdguideline.aadpa.com.au/about/about-adhd/</vt:lpwstr>
      </vt:variant>
      <vt:variant>
        <vt:lpwstr/>
      </vt:variant>
      <vt:variant>
        <vt:i4>1638423</vt:i4>
      </vt:variant>
      <vt:variant>
        <vt:i4>5252</vt:i4>
      </vt:variant>
      <vt:variant>
        <vt:i4>0</vt:i4>
      </vt:variant>
      <vt:variant>
        <vt:i4>5</vt:i4>
      </vt:variant>
      <vt:variant>
        <vt:lpwstr>https://www.aihw.gov.au/reports/children-youth/health-of-children</vt:lpwstr>
      </vt:variant>
      <vt:variant>
        <vt:lpwstr/>
      </vt:variant>
      <vt:variant>
        <vt:i4>2621544</vt:i4>
      </vt:variant>
      <vt:variant>
        <vt:i4>5249</vt:i4>
      </vt:variant>
      <vt:variant>
        <vt:i4>0</vt:i4>
      </vt:variant>
      <vt:variant>
        <vt:i4>5</vt:i4>
      </vt:variant>
      <vt:variant>
        <vt:lpwstr>https://www.ncbi.nlm.nih.gov/books/NBK409740/table/T25/</vt:lpwstr>
      </vt:variant>
      <vt:variant>
        <vt:lpwstr/>
      </vt:variant>
      <vt:variant>
        <vt:i4>1966103</vt:i4>
      </vt:variant>
      <vt:variant>
        <vt:i4>5246</vt:i4>
      </vt:variant>
      <vt:variant>
        <vt:i4>0</vt:i4>
      </vt:variant>
      <vt:variant>
        <vt:i4>5</vt:i4>
      </vt:variant>
      <vt:variant>
        <vt:lpwstr>https://dx.doi.org/10.1016/j.homp.2015.12.006</vt:lpwstr>
      </vt:variant>
      <vt:variant>
        <vt:lpwstr/>
      </vt:variant>
      <vt:variant>
        <vt:i4>3866656</vt:i4>
      </vt:variant>
      <vt:variant>
        <vt:i4>5243</vt:i4>
      </vt:variant>
      <vt:variant>
        <vt:i4>0</vt:i4>
      </vt:variant>
      <vt:variant>
        <vt:i4>5</vt:i4>
      </vt:variant>
      <vt:variant>
        <vt:lpwstr>https://dx.doi.org/10.1093/ecam/nep114</vt:lpwstr>
      </vt:variant>
      <vt:variant>
        <vt:lpwstr/>
      </vt:variant>
      <vt:variant>
        <vt:i4>7208997</vt:i4>
      </vt:variant>
      <vt:variant>
        <vt:i4>5240</vt:i4>
      </vt:variant>
      <vt:variant>
        <vt:i4>0</vt:i4>
      </vt:variant>
      <vt:variant>
        <vt:i4>5</vt:i4>
      </vt:variant>
      <vt:variant>
        <vt:lpwstr>https://www1.health.gov.au/internet/main/publishing.nsf/content/404ref.htm</vt:lpwstr>
      </vt:variant>
      <vt:variant>
        <vt:lpwstr/>
      </vt:variant>
      <vt:variant>
        <vt:i4>3539070</vt:i4>
      </vt:variant>
      <vt:variant>
        <vt:i4>5237</vt:i4>
      </vt:variant>
      <vt:variant>
        <vt:i4>0</vt:i4>
      </vt:variant>
      <vt:variant>
        <vt:i4>5</vt:i4>
      </vt:variant>
      <vt:variant>
        <vt:lpwstr>https://www.who.int/news-room/fact-sheets/detail/depression</vt:lpwstr>
      </vt:variant>
      <vt:variant>
        <vt:lpwstr/>
      </vt:variant>
      <vt:variant>
        <vt:i4>8126514</vt:i4>
      </vt:variant>
      <vt:variant>
        <vt:i4>5234</vt:i4>
      </vt:variant>
      <vt:variant>
        <vt:i4>0</vt:i4>
      </vt:variant>
      <vt:variant>
        <vt:i4>5</vt:i4>
      </vt:variant>
      <vt:variant>
        <vt:lpwstr>https://www.abs.gov.au/statistics/health/mental-health/national-study-mental-health-and-wellbeing/2007</vt:lpwstr>
      </vt:variant>
      <vt:variant>
        <vt:lpwstr/>
      </vt:variant>
      <vt:variant>
        <vt:i4>4653073</vt:i4>
      </vt:variant>
      <vt:variant>
        <vt:i4>5231</vt:i4>
      </vt:variant>
      <vt:variant>
        <vt:i4>0</vt:i4>
      </vt:variant>
      <vt:variant>
        <vt:i4>5</vt:i4>
      </vt:variant>
      <vt:variant>
        <vt:lpwstr>https://www.aihw.gov.au/reports/australias-health/australias-health-2014/overview</vt:lpwstr>
      </vt:variant>
      <vt:variant>
        <vt:lpwstr/>
      </vt:variant>
      <vt:variant>
        <vt:i4>3407993</vt:i4>
      </vt:variant>
      <vt:variant>
        <vt:i4>5228</vt:i4>
      </vt:variant>
      <vt:variant>
        <vt:i4>0</vt:i4>
      </vt:variant>
      <vt:variant>
        <vt:i4>5</vt:i4>
      </vt:variant>
      <vt:variant>
        <vt:lpwstr>https://clinicaltrialsgov/show/NCT01658059</vt:lpwstr>
      </vt:variant>
      <vt:variant>
        <vt:lpwstr/>
      </vt:variant>
      <vt:variant>
        <vt:i4>1376287</vt:i4>
      </vt:variant>
      <vt:variant>
        <vt:i4>5225</vt:i4>
      </vt:variant>
      <vt:variant>
        <vt:i4>0</vt:i4>
      </vt:variant>
      <vt:variant>
        <vt:i4>5</vt:i4>
      </vt:variant>
      <vt:variant>
        <vt:lpwstr>https://dx.doi.org/10.1016/S0965-2299%2803%2900059-1</vt:lpwstr>
      </vt:variant>
      <vt:variant>
        <vt:lpwstr/>
      </vt:variant>
      <vt:variant>
        <vt:i4>7405627</vt:i4>
      </vt:variant>
      <vt:variant>
        <vt:i4>5222</vt:i4>
      </vt:variant>
      <vt:variant>
        <vt:i4>0</vt:i4>
      </vt:variant>
      <vt:variant>
        <vt:i4>5</vt:i4>
      </vt:variant>
      <vt:variant>
        <vt:lpwstr>http://dx.doi.org/10.4088/JCP.v64n0309</vt:lpwstr>
      </vt:variant>
      <vt:variant>
        <vt:lpwstr/>
      </vt:variant>
      <vt:variant>
        <vt:i4>1507374</vt:i4>
      </vt:variant>
      <vt:variant>
        <vt:i4>5219</vt:i4>
      </vt:variant>
      <vt:variant>
        <vt:i4>0</vt:i4>
      </vt:variant>
      <vt:variant>
        <vt:i4>5</vt:i4>
      </vt:variant>
      <vt:variant>
        <vt:lpwstr>https://www.beyondblue.org.au/docs/default-source/resources/484150_0220_bl0762_acc.pdf</vt:lpwstr>
      </vt:variant>
      <vt:variant>
        <vt:lpwstr/>
      </vt:variant>
      <vt:variant>
        <vt:i4>5963802</vt:i4>
      </vt:variant>
      <vt:variant>
        <vt:i4>5216</vt:i4>
      </vt:variant>
      <vt:variant>
        <vt:i4>0</vt:i4>
      </vt:variant>
      <vt:variant>
        <vt:i4>5</vt:i4>
      </vt:variant>
      <vt:variant>
        <vt:lpwstr>https://www.aihw.gov.au/reports/burden-of-disease/burden-disease-study-illness-death-2015</vt:lpwstr>
      </vt:variant>
      <vt:variant>
        <vt:lpwstr/>
      </vt:variant>
      <vt:variant>
        <vt:i4>6619198</vt:i4>
      </vt:variant>
      <vt:variant>
        <vt:i4>5213</vt:i4>
      </vt:variant>
      <vt:variant>
        <vt:i4>0</vt:i4>
      </vt:variant>
      <vt:variant>
        <vt:i4>5</vt:i4>
      </vt:variant>
      <vt:variant>
        <vt:lpwstr>https://www.beyondblue.org.au/the-facts/anxiety</vt:lpwstr>
      </vt:variant>
      <vt:variant>
        <vt:lpwstr/>
      </vt:variant>
      <vt:variant>
        <vt:i4>1835090</vt:i4>
      </vt:variant>
      <vt:variant>
        <vt:i4>5210</vt:i4>
      </vt:variant>
      <vt:variant>
        <vt:i4>0</vt:i4>
      </vt:variant>
      <vt:variant>
        <vt:i4>5</vt:i4>
      </vt:variant>
      <vt:variant>
        <vt:lpwstr>https://www.ncbi.nlm.nih.gov/books/NBK459317/</vt:lpwstr>
      </vt:variant>
      <vt:variant>
        <vt:lpwstr/>
      </vt:variant>
      <vt:variant>
        <vt:i4>1572875</vt:i4>
      </vt:variant>
      <vt:variant>
        <vt:i4>5207</vt:i4>
      </vt:variant>
      <vt:variant>
        <vt:i4>0</vt:i4>
      </vt:variant>
      <vt:variant>
        <vt:i4>5</vt:i4>
      </vt:variant>
      <vt:variant>
        <vt:lpwstr>https://dx.doi.org/10.1016/j.ctcp.2017.05.005</vt:lpwstr>
      </vt:variant>
      <vt:variant>
        <vt:lpwstr/>
      </vt:variant>
      <vt:variant>
        <vt:i4>1441887</vt:i4>
      </vt:variant>
      <vt:variant>
        <vt:i4>5204</vt:i4>
      </vt:variant>
      <vt:variant>
        <vt:i4>0</vt:i4>
      </vt:variant>
      <vt:variant>
        <vt:i4>5</vt:i4>
      </vt:variant>
      <vt:variant>
        <vt:lpwstr>https://www.ncbi.nlm.nih.gov/books/NBK532961/</vt:lpwstr>
      </vt:variant>
      <vt:variant>
        <vt:lpwstr/>
      </vt:variant>
      <vt:variant>
        <vt:i4>1966103</vt:i4>
      </vt:variant>
      <vt:variant>
        <vt:i4>5201</vt:i4>
      </vt:variant>
      <vt:variant>
        <vt:i4>0</vt:i4>
      </vt:variant>
      <vt:variant>
        <vt:i4>5</vt:i4>
      </vt:variant>
      <vt:variant>
        <vt:lpwstr>https://dx.doi.org/10.1016/j.homp.2015.12.006</vt:lpwstr>
      </vt:variant>
      <vt:variant>
        <vt:lpwstr/>
      </vt:variant>
      <vt:variant>
        <vt:i4>7667763</vt:i4>
      </vt:variant>
      <vt:variant>
        <vt:i4>5198</vt:i4>
      </vt:variant>
      <vt:variant>
        <vt:i4>0</vt:i4>
      </vt:variant>
      <vt:variant>
        <vt:i4>5</vt:i4>
      </vt:variant>
      <vt:variant>
        <vt:lpwstr>https://dx.doi.org/10.1097/00006454-200102000-00012</vt:lpwstr>
      </vt:variant>
      <vt:variant>
        <vt:lpwstr/>
      </vt:variant>
      <vt:variant>
        <vt:i4>1703953</vt:i4>
      </vt:variant>
      <vt:variant>
        <vt:i4>5195</vt:i4>
      </vt:variant>
      <vt:variant>
        <vt:i4>0</vt:i4>
      </vt:variant>
      <vt:variant>
        <vt:i4>5</vt:i4>
      </vt:variant>
      <vt:variant>
        <vt:lpwstr>https://dx.doi.org/10.1016/S0965-2299%2899%2980120-4</vt:lpwstr>
      </vt:variant>
      <vt:variant>
        <vt:lpwstr/>
      </vt:variant>
      <vt:variant>
        <vt:i4>2031702</vt:i4>
      </vt:variant>
      <vt:variant>
        <vt:i4>5192</vt:i4>
      </vt:variant>
      <vt:variant>
        <vt:i4>0</vt:i4>
      </vt:variant>
      <vt:variant>
        <vt:i4>5</vt:i4>
      </vt:variant>
      <vt:variant>
        <vt:lpwstr>https://www.ncbi.nlm.nih.gov/books/NBK554592/</vt:lpwstr>
      </vt:variant>
      <vt:variant>
        <vt:lpwstr/>
      </vt:variant>
      <vt:variant>
        <vt:i4>3473428</vt:i4>
      </vt:variant>
      <vt:variant>
        <vt:i4>5189</vt:i4>
      </vt:variant>
      <vt:variant>
        <vt:i4>0</vt:i4>
      </vt:variant>
      <vt:variant>
        <vt:i4>5</vt:i4>
      </vt:variant>
      <vt:variant>
        <vt:lpwstr>https://www.rch.org.au/clinicalguide/guideline_index/acute_otitis_media/</vt:lpwstr>
      </vt:variant>
      <vt:variant>
        <vt:lpwstr/>
      </vt:variant>
      <vt:variant>
        <vt:i4>2031706</vt:i4>
      </vt:variant>
      <vt:variant>
        <vt:i4>5186</vt:i4>
      </vt:variant>
      <vt:variant>
        <vt:i4>0</vt:i4>
      </vt:variant>
      <vt:variant>
        <vt:i4>5</vt:i4>
      </vt:variant>
      <vt:variant>
        <vt:lpwstr>https://www.ncbi.nlm.nih.gov/books/NBK538293/</vt:lpwstr>
      </vt:variant>
      <vt:variant>
        <vt:lpwstr/>
      </vt:variant>
      <vt:variant>
        <vt:i4>1048618</vt:i4>
      </vt:variant>
      <vt:variant>
        <vt:i4>5183</vt:i4>
      </vt:variant>
      <vt:variant>
        <vt:i4>0</vt:i4>
      </vt:variant>
      <vt:variant>
        <vt:i4>5</vt:i4>
      </vt:variant>
      <vt:variant>
        <vt:lpwstr>https://www.rch.org.au/kidsinfo/fact_sheets/ear_infections_and_otitis_media/</vt:lpwstr>
      </vt:variant>
      <vt:variant>
        <vt:lpwstr/>
      </vt:variant>
      <vt:variant>
        <vt:i4>1769561</vt:i4>
      </vt:variant>
      <vt:variant>
        <vt:i4>5180</vt:i4>
      </vt:variant>
      <vt:variant>
        <vt:i4>0</vt:i4>
      </vt:variant>
      <vt:variant>
        <vt:i4>5</vt:i4>
      </vt:variant>
      <vt:variant>
        <vt:lpwstr>https://www.ncbi.nlm.nih.gov/books/NBK470332/</vt:lpwstr>
      </vt:variant>
      <vt:variant>
        <vt:lpwstr/>
      </vt:variant>
      <vt:variant>
        <vt:i4>5505031</vt:i4>
      </vt:variant>
      <vt:variant>
        <vt:i4>5177</vt:i4>
      </vt:variant>
      <vt:variant>
        <vt:i4>0</vt:i4>
      </vt:variant>
      <vt:variant>
        <vt:i4>5</vt:i4>
      </vt:variant>
      <vt:variant>
        <vt:lpwstr>https://dx.doi.org/10.1054/homp.1999.0388</vt:lpwstr>
      </vt:variant>
      <vt:variant>
        <vt:lpwstr/>
      </vt:variant>
      <vt:variant>
        <vt:i4>1835027</vt:i4>
      </vt:variant>
      <vt:variant>
        <vt:i4>5174</vt:i4>
      </vt:variant>
      <vt:variant>
        <vt:i4>0</vt:i4>
      </vt:variant>
      <vt:variant>
        <vt:i4>5</vt:i4>
      </vt:variant>
      <vt:variant>
        <vt:lpwstr>https://dx.doi.org/10.1016/j.homp.2006.07.006</vt:lpwstr>
      </vt:variant>
      <vt:variant>
        <vt:lpwstr/>
      </vt:variant>
      <vt:variant>
        <vt:i4>4980748</vt:i4>
      </vt:variant>
      <vt:variant>
        <vt:i4>5171</vt:i4>
      </vt:variant>
      <vt:variant>
        <vt:i4>0</vt:i4>
      </vt:variant>
      <vt:variant>
        <vt:i4>5</vt:i4>
      </vt:variant>
      <vt:variant>
        <vt:lpwstr>https://dx.doi.org/10.1159/000516026</vt:lpwstr>
      </vt:variant>
      <vt:variant>
        <vt:lpwstr/>
      </vt:variant>
      <vt:variant>
        <vt:i4>4784143</vt:i4>
      </vt:variant>
      <vt:variant>
        <vt:i4>5168</vt:i4>
      </vt:variant>
      <vt:variant>
        <vt:i4>0</vt:i4>
      </vt:variant>
      <vt:variant>
        <vt:i4>5</vt:i4>
      </vt:variant>
      <vt:variant>
        <vt:lpwstr>https://dx.doi.org/10.1345/aph.1E387</vt:lpwstr>
      </vt:variant>
      <vt:variant>
        <vt:lpwstr/>
      </vt:variant>
      <vt:variant>
        <vt:i4>5898307</vt:i4>
      </vt:variant>
      <vt:variant>
        <vt:i4>5165</vt:i4>
      </vt:variant>
      <vt:variant>
        <vt:i4>0</vt:i4>
      </vt:variant>
      <vt:variant>
        <vt:i4>5</vt:i4>
      </vt:variant>
      <vt:variant>
        <vt:lpwstr>http://dx.doi.org/10.1054/homp.1999.0471</vt:lpwstr>
      </vt:variant>
      <vt:variant>
        <vt:lpwstr/>
      </vt:variant>
      <vt:variant>
        <vt:i4>5963847</vt:i4>
      </vt:variant>
      <vt:variant>
        <vt:i4>5162</vt:i4>
      </vt:variant>
      <vt:variant>
        <vt:i4>0</vt:i4>
      </vt:variant>
      <vt:variant>
        <vt:i4>5</vt:i4>
      </vt:variant>
      <vt:variant>
        <vt:lpwstr>http://dx.doi.org/10.1054/homp.1999.0430</vt:lpwstr>
      </vt:variant>
      <vt:variant>
        <vt:lpwstr/>
      </vt:variant>
      <vt:variant>
        <vt:i4>5963840</vt:i4>
      </vt:variant>
      <vt:variant>
        <vt:i4>5159</vt:i4>
      </vt:variant>
      <vt:variant>
        <vt:i4>0</vt:i4>
      </vt:variant>
      <vt:variant>
        <vt:i4>5</vt:i4>
      </vt:variant>
      <vt:variant>
        <vt:lpwstr>http://dx.doi.org/10.1054/homp.1999.0440</vt:lpwstr>
      </vt:variant>
      <vt:variant>
        <vt:lpwstr/>
      </vt:variant>
      <vt:variant>
        <vt:i4>5046303</vt:i4>
      </vt:variant>
      <vt:variant>
        <vt:i4>5156</vt:i4>
      </vt:variant>
      <vt:variant>
        <vt:i4>0</vt:i4>
      </vt:variant>
      <vt:variant>
        <vt:i4>5</vt:i4>
      </vt:variant>
      <vt:variant>
        <vt:lpwstr>https://www.allergy.org.au/patients/skin-allergy/eczema?highlight=WyJlY3plbWEiXQ</vt:lpwstr>
      </vt:variant>
      <vt:variant>
        <vt:lpwstr/>
      </vt:variant>
      <vt:variant>
        <vt:i4>6946861</vt:i4>
      </vt:variant>
      <vt:variant>
        <vt:i4>5153</vt:i4>
      </vt:variant>
      <vt:variant>
        <vt:i4>0</vt:i4>
      </vt:variant>
      <vt:variant>
        <vt:i4>5</vt:i4>
      </vt:variant>
      <vt:variant>
        <vt:lpwstr>https://allergyfacts.org.au/allergy-anaphylaxis/eczema-atopic-dermatitis?gclid=EAIaIQobChMIxIWD9pz5ggMVvA2DAx3VzQ3OEAAYASAAEgLsl_D_BwE</vt:lpwstr>
      </vt:variant>
      <vt:variant>
        <vt:lpwstr/>
      </vt:variant>
      <vt:variant>
        <vt:i4>6357042</vt:i4>
      </vt:variant>
      <vt:variant>
        <vt:i4>5150</vt:i4>
      </vt:variant>
      <vt:variant>
        <vt:i4>0</vt:i4>
      </vt:variant>
      <vt:variant>
        <vt:i4>5</vt:i4>
      </vt:variant>
      <vt:variant>
        <vt:lpwstr>https://www.aihw.gov.au/reports/chronic-respiratory-conditions/allergic-rhinitis-hay-fever/contents</vt:lpwstr>
      </vt:variant>
      <vt:variant>
        <vt:lpwstr/>
      </vt:variant>
      <vt:variant>
        <vt:i4>2031697</vt:i4>
      </vt:variant>
      <vt:variant>
        <vt:i4>5147</vt:i4>
      </vt:variant>
      <vt:variant>
        <vt:i4>0</vt:i4>
      </vt:variant>
      <vt:variant>
        <vt:i4>5</vt:i4>
      </vt:variant>
      <vt:variant>
        <vt:lpwstr>https://www.ncbi.nlm.nih.gov/books/NBK542187/</vt:lpwstr>
      </vt:variant>
      <vt:variant>
        <vt:lpwstr/>
      </vt:variant>
      <vt:variant>
        <vt:i4>1376328</vt:i4>
      </vt:variant>
      <vt:variant>
        <vt:i4>5144</vt:i4>
      </vt:variant>
      <vt:variant>
        <vt:i4>0</vt:i4>
      </vt:variant>
      <vt:variant>
        <vt:i4>5</vt:i4>
      </vt:variant>
      <vt:variant>
        <vt:lpwstr>../www.training.cochrane.org/handbook</vt:lpwstr>
      </vt:variant>
      <vt:variant>
        <vt:lpwstr/>
      </vt:variant>
      <vt:variant>
        <vt:i4>6357027</vt:i4>
      </vt:variant>
      <vt:variant>
        <vt:i4>5141</vt:i4>
      </vt:variant>
      <vt:variant>
        <vt:i4>0</vt:i4>
      </vt:variant>
      <vt:variant>
        <vt:i4>5</vt:i4>
      </vt:variant>
      <vt:variant>
        <vt:lpwstr>https://organonofmedicine.com/1920</vt:lpwstr>
      </vt:variant>
      <vt:variant>
        <vt:lpwstr/>
      </vt:variant>
      <vt:variant>
        <vt:i4>1769560</vt:i4>
      </vt:variant>
      <vt:variant>
        <vt:i4>5138</vt:i4>
      </vt:variant>
      <vt:variant>
        <vt:i4>0</vt:i4>
      </vt:variant>
      <vt:variant>
        <vt:i4>5</vt:i4>
      </vt:variant>
      <vt:variant>
        <vt:lpwstr>http://www.coaghealthcouncil.gov.au/NationalCodeOfConductForHealthCareWorkers</vt:lpwstr>
      </vt:variant>
      <vt:variant>
        <vt:lpwstr/>
      </vt:variant>
      <vt:variant>
        <vt:i4>7929938</vt:i4>
      </vt:variant>
      <vt:variant>
        <vt:i4>5135</vt:i4>
      </vt:variant>
      <vt:variant>
        <vt:i4>0</vt:i4>
      </vt:variant>
      <vt:variant>
        <vt:i4>5</vt:i4>
      </vt:variant>
      <vt:variant>
        <vt:lpwstr>https://www.aroh.com.au/resources/Documents/CREDENTIALING FOR HOMEOPATHIC PRACTIONERS_V1.1 Jul 18.pdf</vt:lpwstr>
      </vt:variant>
      <vt:variant>
        <vt:lpwstr/>
      </vt:variant>
      <vt:variant>
        <vt:i4>1179732</vt:i4>
      </vt:variant>
      <vt:variant>
        <vt:i4>5132</vt:i4>
      </vt:variant>
      <vt:variant>
        <vt:i4>0</vt:i4>
      </vt:variant>
      <vt:variant>
        <vt:i4>5</vt:i4>
      </vt:variant>
      <vt:variant>
        <vt:lpwstr>https://www.aroh.com.au/</vt:lpwstr>
      </vt:variant>
      <vt:variant>
        <vt:lpwstr/>
      </vt:variant>
      <vt:variant>
        <vt:i4>2031617</vt:i4>
      </vt:variant>
      <vt:variant>
        <vt:i4>5129</vt:i4>
      </vt:variant>
      <vt:variant>
        <vt:i4>0</vt:i4>
      </vt:variant>
      <vt:variant>
        <vt:i4>5</vt:i4>
      </vt:variant>
      <vt:variant>
        <vt:lpwstr>https://www.aroh.com.au/Resources/Documents/National Competency Standards for Homoeopathy.pdf</vt:lpwstr>
      </vt:variant>
      <vt:variant>
        <vt:lpwstr/>
      </vt:variant>
      <vt:variant>
        <vt:i4>2883711</vt:i4>
      </vt:variant>
      <vt:variant>
        <vt:i4>5126</vt:i4>
      </vt:variant>
      <vt:variant>
        <vt:i4>0</vt:i4>
      </vt:variant>
      <vt:variant>
        <vt:i4>5</vt:i4>
      </vt:variant>
      <vt:variant>
        <vt:lpwstr>https://www.tga.gov.au/resource/overview-regulation-listed-medicines-and-registered-complementary-medicines</vt:lpwstr>
      </vt:variant>
      <vt:variant>
        <vt:lpwstr/>
      </vt:variant>
      <vt:variant>
        <vt:i4>5046288</vt:i4>
      </vt:variant>
      <vt:variant>
        <vt:i4>5123</vt:i4>
      </vt:variant>
      <vt:variant>
        <vt:i4>0</vt:i4>
      </vt:variant>
      <vt:variant>
        <vt:i4>5</vt:i4>
      </vt:variant>
      <vt:variant>
        <vt:lpwstr>https://www.homeopathyoz.org/homoeopathy/homoeopathy</vt:lpwstr>
      </vt:variant>
      <vt:variant>
        <vt:lpwstr/>
      </vt:variant>
      <vt:variant>
        <vt:i4>6291554</vt:i4>
      </vt:variant>
      <vt:variant>
        <vt:i4>5120</vt:i4>
      </vt:variant>
      <vt:variant>
        <vt:i4>0</vt:i4>
      </vt:variant>
      <vt:variant>
        <vt:i4>5</vt:i4>
      </vt:variant>
      <vt:variant>
        <vt:lpwstr>https://www.nccih.nih.gov/health/homeopathy</vt:lpwstr>
      </vt:variant>
      <vt:variant>
        <vt:lpwstr>hedl</vt:lpwstr>
      </vt:variant>
      <vt:variant>
        <vt:i4>6619232</vt:i4>
      </vt:variant>
      <vt:variant>
        <vt:i4>5117</vt:i4>
      </vt:variant>
      <vt:variant>
        <vt:i4>0</vt:i4>
      </vt:variant>
      <vt:variant>
        <vt:i4>5</vt:i4>
      </vt:variant>
      <vt:variant>
        <vt:lpwstr>http://dx.doi.org/10.1177/2164956118773837</vt:lpwstr>
      </vt:variant>
      <vt:variant>
        <vt:lpwstr/>
      </vt:variant>
      <vt:variant>
        <vt:i4>7929905</vt:i4>
      </vt:variant>
      <vt:variant>
        <vt:i4>5114</vt:i4>
      </vt:variant>
      <vt:variant>
        <vt:i4>0</vt:i4>
      </vt:variant>
      <vt:variant>
        <vt:i4>5</vt:i4>
      </vt:variant>
      <vt:variant>
        <vt:lpwstr>https://www.healthdirect.gov.au/homeopathy</vt:lpwstr>
      </vt:variant>
      <vt:variant>
        <vt:lpwstr/>
      </vt:variant>
      <vt:variant>
        <vt:i4>983070</vt:i4>
      </vt:variant>
      <vt:variant>
        <vt:i4>5111</vt:i4>
      </vt:variant>
      <vt:variant>
        <vt:i4>0</vt:i4>
      </vt:variant>
      <vt:variant>
        <vt:i4>5</vt:i4>
      </vt:variant>
      <vt:variant>
        <vt:lpwstr>http://www.historyofhomeopathy.com.au/articles/item/190-history-homoeopathy-australia-brief-summary.html</vt:lpwstr>
      </vt:variant>
      <vt:variant>
        <vt:lpwstr/>
      </vt:variant>
      <vt:variant>
        <vt:i4>2949169</vt:i4>
      </vt:variant>
      <vt:variant>
        <vt:i4>5108</vt:i4>
      </vt:variant>
      <vt:variant>
        <vt:i4>0</vt:i4>
      </vt:variant>
      <vt:variant>
        <vt:i4>5</vt:i4>
      </vt:variant>
      <vt:variant>
        <vt:lpwstr>https://www.nhmrc.gov.au/about-us/resources/homeopathy</vt:lpwstr>
      </vt:variant>
      <vt:variant>
        <vt:lpwstr/>
      </vt:variant>
      <vt:variant>
        <vt:i4>2949169</vt:i4>
      </vt:variant>
      <vt:variant>
        <vt:i4>5105</vt:i4>
      </vt:variant>
      <vt:variant>
        <vt:i4>0</vt:i4>
      </vt:variant>
      <vt:variant>
        <vt:i4>5</vt:i4>
      </vt:variant>
      <vt:variant>
        <vt:lpwstr>https://www.nhmrc.gov.au/about-us/resources/homeopathy</vt:lpwstr>
      </vt:variant>
      <vt:variant>
        <vt:lpwstr/>
      </vt:variant>
      <vt:variant>
        <vt:i4>4456466</vt:i4>
      </vt:variant>
      <vt:variant>
        <vt:i4>5102</vt:i4>
      </vt:variant>
      <vt:variant>
        <vt:i4>0</vt:i4>
      </vt:variant>
      <vt:variant>
        <vt:i4>5</vt:i4>
      </vt:variant>
      <vt:variant>
        <vt:lpwstr>https://www.homeopathyoz.org/homoeopathy/frequentlyaquestions</vt:lpwstr>
      </vt:variant>
      <vt:variant>
        <vt:lpwstr/>
      </vt:variant>
      <vt:variant>
        <vt:i4>4849670</vt:i4>
      </vt:variant>
      <vt:variant>
        <vt:i4>5099</vt:i4>
      </vt:variant>
      <vt:variant>
        <vt:i4>0</vt:i4>
      </vt:variant>
      <vt:variant>
        <vt:i4>5</vt:i4>
      </vt:variant>
      <vt:variant>
        <vt:lpwstr>http://dx.doi.org/10.1016/j.homp.2015.12.006</vt:lpwstr>
      </vt:variant>
      <vt:variant>
        <vt:lpwstr/>
      </vt:variant>
      <vt:variant>
        <vt:i4>5308421</vt:i4>
      </vt:variant>
      <vt:variant>
        <vt:i4>5096</vt:i4>
      </vt:variant>
      <vt:variant>
        <vt:i4>0</vt:i4>
      </vt:variant>
      <vt:variant>
        <vt:i4>5</vt:i4>
      </vt:variant>
      <vt:variant>
        <vt:lpwstr>http://dx.doi.org/10.1002/14651858.CD009710.pub3</vt:lpwstr>
      </vt:variant>
      <vt:variant>
        <vt:lpwstr/>
      </vt:variant>
      <vt:variant>
        <vt:i4>7012414</vt:i4>
      </vt:variant>
      <vt:variant>
        <vt:i4>5093</vt:i4>
      </vt:variant>
      <vt:variant>
        <vt:i4>0</vt:i4>
      </vt:variant>
      <vt:variant>
        <vt:i4>5</vt:i4>
      </vt:variant>
      <vt:variant>
        <vt:lpwstr>https://gdt.gradepro.org/app/handbook/handbook.html</vt:lpwstr>
      </vt:variant>
      <vt:variant>
        <vt:lpwstr/>
      </vt:variant>
      <vt:variant>
        <vt:i4>4194388</vt:i4>
      </vt:variant>
      <vt:variant>
        <vt:i4>5090</vt:i4>
      </vt:variant>
      <vt:variant>
        <vt:i4>0</vt:i4>
      </vt:variant>
      <vt:variant>
        <vt:i4>5</vt:i4>
      </vt:variant>
      <vt:variant>
        <vt:lpwstr>https://community.cochrane.org/mecir-manual/standards-reporting-new-cochrane-intervention-reviews-r1-r109</vt:lpwstr>
      </vt:variant>
      <vt:variant>
        <vt:lpwstr/>
      </vt:variant>
      <vt:variant>
        <vt:i4>3276913</vt:i4>
      </vt:variant>
      <vt:variant>
        <vt:i4>5087</vt:i4>
      </vt:variant>
      <vt:variant>
        <vt:i4>0</vt:i4>
      </vt:variant>
      <vt:variant>
        <vt:i4>5</vt:i4>
      </vt:variant>
      <vt:variant>
        <vt:lpwstr>https://community.cochrane.org/mecir-manual</vt:lpwstr>
      </vt:variant>
      <vt:variant>
        <vt:lpwstr/>
      </vt:variant>
      <vt:variant>
        <vt:i4>4915274</vt:i4>
      </vt:variant>
      <vt:variant>
        <vt:i4>5084</vt:i4>
      </vt:variant>
      <vt:variant>
        <vt:i4>0</vt:i4>
      </vt:variant>
      <vt:variant>
        <vt:i4>5</vt:i4>
      </vt:variant>
      <vt:variant>
        <vt:lpwstr>https://www.health.gov.au/internet/main/publishing.nsf/Content/phi-natural-therapies</vt:lpwstr>
      </vt:variant>
      <vt:variant>
        <vt:lpwstr/>
      </vt:variant>
      <vt:variant>
        <vt:i4>4194315</vt:i4>
      </vt:variant>
      <vt:variant>
        <vt:i4>5078</vt:i4>
      </vt:variant>
      <vt:variant>
        <vt:i4>0</vt:i4>
      </vt:variant>
      <vt:variant>
        <vt:i4>5</vt:i4>
      </vt:variant>
      <vt:variant>
        <vt:lpwstr/>
      </vt:variant>
      <vt:variant>
        <vt:lpwstr>_ENREF_1</vt:lpwstr>
      </vt:variant>
      <vt:variant>
        <vt:i4>7471155</vt:i4>
      </vt:variant>
      <vt:variant>
        <vt:i4>5072</vt:i4>
      </vt:variant>
      <vt:variant>
        <vt:i4>0</vt:i4>
      </vt:variant>
      <vt:variant>
        <vt:i4>5</vt:i4>
      </vt:variant>
      <vt:variant>
        <vt:lpwstr/>
      </vt:variant>
      <vt:variant>
        <vt:lpwstr>_ENREF_380</vt:lpwstr>
      </vt:variant>
      <vt:variant>
        <vt:i4>8060988</vt:i4>
      </vt:variant>
      <vt:variant>
        <vt:i4>5069</vt:i4>
      </vt:variant>
      <vt:variant>
        <vt:i4>0</vt:i4>
      </vt:variant>
      <vt:variant>
        <vt:i4>5</vt:i4>
      </vt:variant>
      <vt:variant>
        <vt:lpwstr/>
      </vt:variant>
      <vt:variant>
        <vt:lpwstr>_ENREF_379</vt:lpwstr>
      </vt:variant>
      <vt:variant>
        <vt:i4>7995452</vt:i4>
      </vt:variant>
      <vt:variant>
        <vt:i4>5061</vt:i4>
      </vt:variant>
      <vt:variant>
        <vt:i4>0</vt:i4>
      </vt:variant>
      <vt:variant>
        <vt:i4>5</vt:i4>
      </vt:variant>
      <vt:variant>
        <vt:lpwstr/>
      </vt:variant>
      <vt:variant>
        <vt:lpwstr>_ENREF_378</vt:lpwstr>
      </vt:variant>
      <vt:variant>
        <vt:i4>7667772</vt:i4>
      </vt:variant>
      <vt:variant>
        <vt:i4>5058</vt:i4>
      </vt:variant>
      <vt:variant>
        <vt:i4>0</vt:i4>
      </vt:variant>
      <vt:variant>
        <vt:i4>5</vt:i4>
      </vt:variant>
      <vt:variant>
        <vt:lpwstr/>
      </vt:variant>
      <vt:variant>
        <vt:lpwstr>_ENREF_377</vt:lpwstr>
      </vt:variant>
      <vt:variant>
        <vt:i4>7602236</vt:i4>
      </vt:variant>
      <vt:variant>
        <vt:i4>5052</vt:i4>
      </vt:variant>
      <vt:variant>
        <vt:i4>0</vt:i4>
      </vt:variant>
      <vt:variant>
        <vt:i4>5</vt:i4>
      </vt:variant>
      <vt:variant>
        <vt:lpwstr/>
      </vt:variant>
      <vt:variant>
        <vt:lpwstr>_ENREF_376</vt:lpwstr>
      </vt:variant>
      <vt:variant>
        <vt:i4>7798844</vt:i4>
      </vt:variant>
      <vt:variant>
        <vt:i4>5049</vt:i4>
      </vt:variant>
      <vt:variant>
        <vt:i4>0</vt:i4>
      </vt:variant>
      <vt:variant>
        <vt:i4>5</vt:i4>
      </vt:variant>
      <vt:variant>
        <vt:lpwstr/>
      </vt:variant>
      <vt:variant>
        <vt:lpwstr>_ENREF_375</vt:lpwstr>
      </vt:variant>
      <vt:variant>
        <vt:i4>7733308</vt:i4>
      </vt:variant>
      <vt:variant>
        <vt:i4>5041</vt:i4>
      </vt:variant>
      <vt:variant>
        <vt:i4>0</vt:i4>
      </vt:variant>
      <vt:variant>
        <vt:i4>5</vt:i4>
      </vt:variant>
      <vt:variant>
        <vt:lpwstr/>
      </vt:variant>
      <vt:variant>
        <vt:lpwstr>_ENREF_374</vt:lpwstr>
      </vt:variant>
      <vt:variant>
        <vt:i4>4718603</vt:i4>
      </vt:variant>
      <vt:variant>
        <vt:i4>5033</vt:i4>
      </vt:variant>
      <vt:variant>
        <vt:i4>0</vt:i4>
      </vt:variant>
      <vt:variant>
        <vt:i4>5</vt:i4>
      </vt:variant>
      <vt:variant>
        <vt:lpwstr/>
      </vt:variant>
      <vt:variant>
        <vt:lpwstr>_ENREF_9</vt:lpwstr>
      </vt:variant>
      <vt:variant>
        <vt:i4>7405628</vt:i4>
      </vt:variant>
      <vt:variant>
        <vt:i4>5025</vt:i4>
      </vt:variant>
      <vt:variant>
        <vt:i4>0</vt:i4>
      </vt:variant>
      <vt:variant>
        <vt:i4>5</vt:i4>
      </vt:variant>
      <vt:variant>
        <vt:lpwstr/>
      </vt:variant>
      <vt:variant>
        <vt:lpwstr>_ENREF_373</vt:lpwstr>
      </vt:variant>
      <vt:variant>
        <vt:i4>7405628</vt:i4>
      </vt:variant>
      <vt:variant>
        <vt:i4>5019</vt:i4>
      </vt:variant>
      <vt:variant>
        <vt:i4>0</vt:i4>
      </vt:variant>
      <vt:variant>
        <vt:i4>5</vt:i4>
      </vt:variant>
      <vt:variant>
        <vt:lpwstr/>
      </vt:variant>
      <vt:variant>
        <vt:lpwstr>_ENREF_373</vt:lpwstr>
      </vt:variant>
      <vt:variant>
        <vt:i4>7405628</vt:i4>
      </vt:variant>
      <vt:variant>
        <vt:i4>5013</vt:i4>
      </vt:variant>
      <vt:variant>
        <vt:i4>0</vt:i4>
      </vt:variant>
      <vt:variant>
        <vt:i4>5</vt:i4>
      </vt:variant>
      <vt:variant>
        <vt:lpwstr/>
      </vt:variant>
      <vt:variant>
        <vt:lpwstr>_ENREF_373</vt:lpwstr>
      </vt:variant>
      <vt:variant>
        <vt:i4>4718603</vt:i4>
      </vt:variant>
      <vt:variant>
        <vt:i4>5010</vt:i4>
      </vt:variant>
      <vt:variant>
        <vt:i4>0</vt:i4>
      </vt:variant>
      <vt:variant>
        <vt:i4>5</vt:i4>
      </vt:variant>
      <vt:variant>
        <vt:lpwstr/>
      </vt:variant>
      <vt:variant>
        <vt:lpwstr>_ENREF_9</vt:lpwstr>
      </vt:variant>
      <vt:variant>
        <vt:i4>7340092</vt:i4>
      </vt:variant>
      <vt:variant>
        <vt:i4>5002</vt:i4>
      </vt:variant>
      <vt:variant>
        <vt:i4>0</vt:i4>
      </vt:variant>
      <vt:variant>
        <vt:i4>5</vt:i4>
      </vt:variant>
      <vt:variant>
        <vt:lpwstr/>
      </vt:variant>
      <vt:variant>
        <vt:lpwstr>_ENREF_372</vt:lpwstr>
      </vt:variant>
      <vt:variant>
        <vt:i4>7536700</vt:i4>
      </vt:variant>
      <vt:variant>
        <vt:i4>4996</vt:i4>
      </vt:variant>
      <vt:variant>
        <vt:i4>0</vt:i4>
      </vt:variant>
      <vt:variant>
        <vt:i4>5</vt:i4>
      </vt:variant>
      <vt:variant>
        <vt:lpwstr/>
      </vt:variant>
      <vt:variant>
        <vt:lpwstr>_ENREF_371</vt:lpwstr>
      </vt:variant>
      <vt:variant>
        <vt:i4>7471164</vt:i4>
      </vt:variant>
      <vt:variant>
        <vt:i4>4990</vt:i4>
      </vt:variant>
      <vt:variant>
        <vt:i4>0</vt:i4>
      </vt:variant>
      <vt:variant>
        <vt:i4>5</vt:i4>
      </vt:variant>
      <vt:variant>
        <vt:lpwstr/>
      </vt:variant>
      <vt:variant>
        <vt:lpwstr>_ENREF_370</vt:lpwstr>
      </vt:variant>
      <vt:variant>
        <vt:i4>7471164</vt:i4>
      </vt:variant>
      <vt:variant>
        <vt:i4>4984</vt:i4>
      </vt:variant>
      <vt:variant>
        <vt:i4>0</vt:i4>
      </vt:variant>
      <vt:variant>
        <vt:i4>5</vt:i4>
      </vt:variant>
      <vt:variant>
        <vt:lpwstr/>
      </vt:variant>
      <vt:variant>
        <vt:lpwstr>_ENREF_370</vt:lpwstr>
      </vt:variant>
      <vt:variant>
        <vt:i4>8060989</vt:i4>
      </vt:variant>
      <vt:variant>
        <vt:i4>4978</vt:i4>
      </vt:variant>
      <vt:variant>
        <vt:i4>0</vt:i4>
      </vt:variant>
      <vt:variant>
        <vt:i4>5</vt:i4>
      </vt:variant>
      <vt:variant>
        <vt:lpwstr/>
      </vt:variant>
      <vt:variant>
        <vt:lpwstr>_ENREF_369</vt:lpwstr>
      </vt:variant>
      <vt:variant>
        <vt:i4>7995453</vt:i4>
      </vt:variant>
      <vt:variant>
        <vt:i4>4972</vt:i4>
      </vt:variant>
      <vt:variant>
        <vt:i4>0</vt:i4>
      </vt:variant>
      <vt:variant>
        <vt:i4>5</vt:i4>
      </vt:variant>
      <vt:variant>
        <vt:lpwstr/>
      </vt:variant>
      <vt:variant>
        <vt:lpwstr>_ENREF_368</vt:lpwstr>
      </vt:variant>
      <vt:variant>
        <vt:i4>7667773</vt:i4>
      </vt:variant>
      <vt:variant>
        <vt:i4>4966</vt:i4>
      </vt:variant>
      <vt:variant>
        <vt:i4>0</vt:i4>
      </vt:variant>
      <vt:variant>
        <vt:i4>5</vt:i4>
      </vt:variant>
      <vt:variant>
        <vt:lpwstr/>
      </vt:variant>
      <vt:variant>
        <vt:lpwstr>_ENREF_367</vt:lpwstr>
      </vt:variant>
      <vt:variant>
        <vt:i4>7929915</vt:i4>
      </vt:variant>
      <vt:variant>
        <vt:i4>4960</vt:i4>
      </vt:variant>
      <vt:variant>
        <vt:i4>0</vt:i4>
      </vt:variant>
      <vt:variant>
        <vt:i4>5</vt:i4>
      </vt:variant>
      <vt:variant>
        <vt:lpwstr/>
      </vt:variant>
      <vt:variant>
        <vt:lpwstr>_ENREF_109</vt:lpwstr>
      </vt:variant>
      <vt:variant>
        <vt:i4>7929915</vt:i4>
      </vt:variant>
      <vt:variant>
        <vt:i4>4952</vt:i4>
      </vt:variant>
      <vt:variant>
        <vt:i4>0</vt:i4>
      </vt:variant>
      <vt:variant>
        <vt:i4>5</vt:i4>
      </vt:variant>
      <vt:variant>
        <vt:lpwstr/>
      </vt:variant>
      <vt:variant>
        <vt:lpwstr>_ENREF_109</vt:lpwstr>
      </vt:variant>
      <vt:variant>
        <vt:i4>7602237</vt:i4>
      </vt:variant>
      <vt:variant>
        <vt:i4>4944</vt:i4>
      </vt:variant>
      <vt:variant>
        <vt:i4>0</vt:i4>
      </vt:variant>
      <vt:variant>
        <vt:i4>5</vt:i4>
      </vt:variant>
      <vt:variant>
        <vt:lpwstr/>
      </vt:variant>
      <vt:variant>
        <vt:lpwstr>_ENREF_366</vt:lpwstr>
      </vt:variant>
      <vt:variant>
        <vt:i4>7602237</vt:i4>
      </vt:variant>
      <vt:variant>
        <vt:i4>4938</vt:i4>
      </vt:variant>
      <vt:variant>
        <vt:i4>0</vt:i4>
      </vt:variant>
      <vt:variant>
        <vt:i4>5</vt:i4>
      </vt:variant>
      <vt:variant>
        <vt:lpwstr/>
      </vt:variant>
      <vt:variant>
        <vt:lpwstr>_ENREF_366</vt:lpwstr>
      </vt:variant>
      <vt:variant>
        <vt:i4>7798845</vt:i4>
      </vt:variant>
      <vt:variant>
        <vt:i4>4932</vt:i4>
      </vt:variant>
      <vt:variant>
        <vt:i4>0</vt:i4>
      </vt:variant>
      <vt:variant>
        <vt:i4>5</vt:i4>
      </vt:variant>
      <vt:variant>
        <vt:lpwstr/>
      </vt:variant>
      <vt:variant>
        <vt:lpwstr>_ENREF_365</vt:lpwstr>
      </vt:variant>
      <vt:variant>
        <vt:i4>4194315</vt:i4>
      </vt:variant>
      <vt:variant>
        <vt:i4>4926</vt:i4>
      </vt:variant>
      <vt:variant>
        <vt:i4>0</vt:i4>
      </vt:variant>
      <vt:variant>
        <vt:i4>5</vt:i4>
      </vt:variant>
      <vt:variant>
        <vt:lpwstr/>
      </vt:variant>
      <vt:variant>
        <vt:lpwstr>_ENREF_12</vt:lpwstr>
      </vt:variant>
      <vt:variant>
        <vt:i4>7733309</vt:i4>
      </vt:variant>
      <vt:variant>
        <vt:i4>4870</vt:i4>
      </vt:variant>
      <vt:variant>
        <vt:i4>0</vt:i4>
      </vt:variant>
      <vt:variant>
        <vt:i4>5</vt:i4>
      </vt:variant>
      <vt:variant>
        <vt:lpwstr/>
      </vt:variant>
      <vt:variant>
        <vt:lpwstr>_ENREF_364</vt:lpwstr>
      </vt:variant>
      <vt:variant>
        <vt:i4>2097162</vt:i4>
      </vt:variant>
      <vt:variant>
        <vt:i4>4854</vt:i4>
      </vt:variant>
      <vt:variant>
        <vt:i4>0</vt:i4>
      </vt:variant>
      <vt:variant>
        <vt:i4>5</vt:i4>
      </vt:variant>
      <vt:variant>
        <vt:lpwstr/>
      </vt:variant>
      <vt:variant>
        <vt:lpwstr>_Studies_awaiting_classification</vt:lpwstr>
      </vt:variant>
      <vt:variant>
        <vt:i4>1703962</vt:i4>
      </vt:variant>
      <vt:variant>
        <vt:i4>4851</vt:i4>
      </vt:variant>
      <vt:variant>
        <vt:i4>0</vt:i4>
      </vt:variant>
      <vt:variant>
        <vt:i4>5</vt:i4>
      </vt:variant>
      <vt:variant>
        <vt:lpwstr/>
      </vt:variant>
      <vt:variant>
        <vt:lpwstr>_Ongoing_studies</vt:lpwstr>
      </vt:variant>
      <vt:variant>
        <vt:i4>7667774</vt:i4>
      </vt:variant>
      <vt:variant>
        <vt:i4>4847</vt:i4>
      </vt:variant>
      <vt:variant>
        <vt:i4>0</vt:i4>
      </vt:variant>
      <vt:variant>
        <vt:i4>5</vt:i4>
      </vt:variant>
      <vt:variant>
        <vt:lpwstr/>
      </vt:variant>
      <vt:variant>
        <vt:lpwstr>_ENREF_357</vt:lpwstr>
      </vt:variant>
      <vt:variant>
        <vt:i4>7667774</vt:i4>
      </vt:variant>
      <vt:variant>
        <vt:i4>4839</vt:i4>
      </vt:variant>
      <vt:variant>
        <vt:i4>0</vt:i4>
      </vt:variant>
      <vt:variant>
        <vt:i4>5</vt:i4>
      </vt:variant>
      <vt:variant>
        <vt:lpwstr/>
      </vt:variant>
      <vt:variant>
        <vt:lpwstr>_ENREF_357</vt:lpwstr>
      </vt:variant>
      <vt:variant>
        <vt:i4>7602238</vt:i4>
      </vt:variant>
      <vt:variant>
        <vt:i4>4827</vt:i4>
      </vt:variant>
      <vt:variant>
        <vt:i4>0</vt:i4>
      </vt:variant>
      <vt:variant>
        <vt:i4>5</vt:i4>
      </vt:variant>
      <vt:variant>
        <vt:lpwstr/>
      </vt:variant>
      <vt:variant>
        <vt:lpwstr>_ENREF_356</vt:lpwstr>
      </vt:variant>
      <vt:variant>
        <vt:i4>7798846</vt:i4>
      </vt:variant>
      <vt:variant>
        <vt:i4>4821</vt:i4>
      </vt:variant>
      <vt:variant>
        <vt:i4>0</vt:i4>
      </vt:variant>
      <vt:variant>
        <vt:i4>5</vt:i4>
      </vt:variant>
      <vt:variant>
        <vt:lpwstr/>
      </vt:variant>
      <vt:variant>
        <vt:lpwstr>_ENREF_355</vt:lpwstr>
      </vt:variant>
      <vt:variant>
        <vt:i4>7733310</vt:i4>
      </vt:variant>
      <vt:variant>
        <vt:i4>4815</vt:i4>
      </vt:variant>
      <vt:variant>
        <vt:i4>0</vt:i4>
      </vt:variant>
      <vt:variant>
        <vt:i4>5</vt:i4>
      </vt:variant>
      <vt:variant>
        <vt:lpwstr/>
      </vt:variant>
      <vt:variant>
        <vt:lpwstr>_ENREF_354</vt:lpwstr>
      </vt:variant>
      <vt:variant>
        <vt:i4>7405630</vt:i4>
      </vt:variant>
      <vt:variant>
        <vt:i4>4809</vt:i4>
      </vt:variant>
      <vt:variant>
        <vt:i4>0</vt:i4>
      </vt:variant>
      <vt:variant>
        <vt:i4>5</vt:i4>
      </vt:variant>
      <vt:variant>
        <vt:lpwstr/>
      </vt:variant>
      <vt:variant>
        <vt:lpwstr>_ENREF_353</vt:lpwstr>
      </vt:variant>
      <vt:variant>
        <vt:i4>7340094</vt:i4>
      </vt:variant>
      <vt:variant>
        <vt:i4>4803</vt:i4>
      </vt:variant>
      <vt:variant>
        <vt:i4>0</vt:i4>
      </vt:variant>
      <vt:variant>
        <vt:i4>5</vt:i4>
      </vt:variant>
      <vt:variant>
        <vt:lpwstr/>
      </vt:variant>
      <vt:variant>
        <vt:lpwstr>_ENREF_352</vt:lpwstr>
      </vt:variant>
      <vt:variant>
        <vt:i4>7536702</vt:i4>
      </vt:variant>
      <vt:variant>
        <vt:i4>4797</vt:i4>
      </vt:variant>
      <vt:variant>
        <vt:i4>0</vt:i4>
      </vt:variant>
      <vt:variant>
        <vt:i4>5</vt:i4>
      </vt:variant>
      <vt:variant>
        <vt:lpwstr/>
      </vt:variant>
      <vt:variant>
        <vt:lpwstr>_ENREF_351</vt:lpwstr>
      </vt:variant>
      <vt:variant>
        <vt:i4>7471166</vt:i4>
      </vt:variant>
      <vt:variant>
        <vt:i4>4791</vt:i4>
      </vt:variant>
      <vt:variant>
        <vt:i4>0</vt:i4>
      </vt:variant>
      <vt:variant>
        <vt:i4>5</vt:i4>
      </vt:variant>
      <vt:variant>
        <vt:lpwstr/>
      </vt:variant>
      <vt:variant>
        <vt:lpwstr>_ENREF_350</vt:lpwstr>
      </vt:variant>
      <vt:variant>
        <vt:i4>2097162</vt:i4>
      </vt:variant>
      <vt:variant>
        <vt:i4>4768</vt:i4>
      </vt:variant>
      <vt:variant>
        <vt:i4>0</vt:i4>
      </vt:variant>
      <vt:variant>
        <vt:i4>5</vt:i4>
      </vt:variant>
      <vt:variant>
        <vt:lpwstr/>
      </vt:variant>
      <vt:variant>
        <vt:lpwstr>_Studies_awaiting_classification</vt:lpwstr>
      </vt:variant>
      <vt:variant>
        <vt:i4>1703962</vt:i4>
      </vt:variant>
      <vt:variant>
        <vt:i4>4765</vt:i4>
      </vt:variant>
      <vt:variant>
        <vt:i4>0</vt:i4>
      </vt:variant>
      <vt:variant>
        <vt:i4>5</vt:i4>
      </vt:variant>
      <vt:variant>
        <vt:lpwstr/>
      </vt:variant>
      <vt:variant>
        <vt:lpwstr>_Ongoing_studies</vt:lpwstr>
      </vt:variant>
      <vt:variant>
        <vt:i4>7602239</vt:i4>
      </vt:variant>
      <vt:variant>
        <vt:i4>4761</vt:i4>
      </vt:variant>
      <vt:variant>
        <vt:i4>0</vt:i4>
      </vt:variant>
      <vt:variant>
        <vt:i4>5</vt:i4>
      </vt:variant>
      <vt:variant>
        <vt:lpwstr/>
      </vt:variant>
      <vt:variant>
        <vt:lpwstr>_ENREF_346</vt:lpwstr>
      </vt:variant>
      <vt:variant>
        <vt:i4>7798847</vt:i4>
      </vt:variant>
      <vt:variant>
        <vt:i4>4753</vt:i4>
      </vt:variant>
      <vt:variant>
        <vt:i4>0</vt:i4>
      </vt:variant>
      <vt:variant>
        <vt:i4>5</vt:i4>
      </vt:variant>
      <vt:variant>
        <vt:lpwstr/>
      </vt:variant>
      <vt:variant>
        <vt:lpwstr>_ENREF_345</vt:lpwstr>
      </vt:variant>
      <vt:variant>
        <vt:i4>7405631</vt:i4>
      </vt:variant>
      <vt:variant>
        <vt:i4>4747</vt:i4>
      </vt:variant>
      <vt:variant>
        <vt:i4>0</vt:i4>
      </vt:variant>
      <vt:variant>
        <vt:i4>5</vt:i4>
      </vt:variant>
      <vt:variant>
        <vt:lpwstr/>
      </vt:variant>
      <vt:variant>
        <vt:lpwstr>_ENREF_343</vt:lpwstr>
      </vt:variant>
      <vt:variant>
        <vt:i4>7733311</vt:i4>
      </vt:variant>
      <vt:variant>
        <vt:i4>4741</vt:i4>
      </vt:variant>
      <vt:variant>
        <vt:i4>0</vt:i4>
      </vt:variant>
      <vt:variant>
        <vt:i4>5</vt:i4>
      </vt:variant>
      <vt:variant>
        <vt:lpwstr/>
      </vt:variant>
      <vt:variant>
        <vt:lpwstr>_ENREF_344</vt:lpwstr>
      </vt:variant>
      <vt:variant>
        <vt:i4>7405631</vt:i4>
      </vt:variant>
      <vt:variant>
        <vt:i4>4735</vt:i4>
      </vt:variant>
      <vt:variant>
        <vt:i4>0</vt:i4>
      </vt:variant>
      <vt:variant>
        <vt:i4>5</vt:i4>
      </vt:variant>
      <vt:variant>
        <vt:lpwstr/>
      </vt:variant>
      <vt:variant>
        <vt:lpwstr>_ENREF_343</vt:lpwstr>
      </vt:variant>
      <vt:variant>
        <vt:i4>7340095</vt:i4>
      </vt:variant>
      <vt:variant>
        <vt:i4>4729</vt:i4>
      </vt:variant>
      <vt:variant>
        <vt:i4>0</vt:i4>
      </vt:variant>
      <vt:variant>
        <vt:i4>5</vt:i4>
      </vt:variant>
      <vt:variant>
        <vt:lpwstr/>
      </vt:variant>
      <vt:variant>
        <vt:lpwstr>_ENREF_342</vt:lpwstr>
      </vt:variant>
      <vt:variant>
        <vt:i4>7536703</vt:i4>
      </vt:variant>
      <vt:variant>
        <vt:i4>4726</vt:i4>
      </vt:variant>
      <vt:variant>
        <vt:i4>0</vt:i4>
      </vt:variant>
      <vt:variant>
        <vt:i4>5</vt:i4>
      </vt:variant>
      <vt:variant>
        <vt:lpwstr/>
      </vt:variant>
      <vt:variant>
        <vt:lpwstr>_ENREF_341</vt:lpwstr>
      </vt:variant>
      <vt:variant>
        <vt:i4>7471167</vt:i4>
      </vt:variant>
      <vt:variant>
        <vt:i4>4718</vt:i4>
      </vt:variant>
      <vt:variant>
        <vt:i4>0</vt:i4>
      </vt:variant>
      <vt:variant>
        <vt:i4>5</vt:i4>
      </vt:variant>
      <vt:variant>
        <vt:lpwstr/>
      </vt:variant>
      <vt:variant>
        <vt:lpwstr>_ENREF_340</vt:lpwstr>
      </vt:variant>
      <vt:variant>
        <vt:i4>8060984</vt:i4>
      </vt:variant>
      <vt:variant>
        <vt:i4>4682</vt:i4>
      </vt:variant>
      <vt:variant>
        <vt:i4>0</vt:i4>
      </vt:variant>
      <vt:variant>
        <vt:i4>5</vt:i4>
      </vt:variant>
      <vt:variant>
        <vt:lpwstr/>
      </vt:variant>
      <vt:variant>
        <vt:lpwstr>_ENREF_339</vt:lpwstr>
      </vt:variant>
      <vt:variant>
        <vt:i4>7471154</vt:i4>
      </vt:variant>
      <vt:variant>
        <vt:i4>4676</vt:i4>
      </vt:variant>
      <vt:variant>
        <vt:i4>0</vt:i4>
      </vt:variant>
      <vt:variant>
        <vt:i4>5</vt:i4>
      </vt:variant>
      <vt:variant>
        <vt:lpwstr/>
      </vt:variant>
      <vt:variant>
        <vt:lpwstr>_ENREF_291</vt:lpwstr>
      </vt:variant>
      <vt:variant>
        <vt:i4>4784139</vt:i4>
      </vt:variant>
      <vt:variant>
        <vt:i4>4668</vt:i4>
      </vt:variant>
      <vt:variant>
        <vt:i4>0</vt:i4>
      </vt:variant>
      <vt:variant>
        <vt:i4>5</vt:i4>
      </vt:variant>
      <vt:variant>
        <vt:lpwstr/>
      </vt:variant>
      <vt:variant>
        <vt:lpwstr>_ENREF_83</vt:lpwstr>
      </vt:variant>
      <vt:variant>
        <vt:i4>2097162</vt:i4>
      </vt:variant>
      <vt:variant>
        <vt:i4>4654</vt:i4>
      </vt:variant>
      <vt:variant>
        <vt:i4>0</vt:i4>
      </vt:variant>
      <vt:variant>
        <vt:i4>5</vt:i4>
      </vt:variant>
      <vt:variant>
        <vt:lpwstr/>
      </vt:variant>
      <vt:variant>
        <vt:lpwstr>_Studies_awaiting_classification</vt:lpwstr>
      </vt:variant>
      <vt:variant>
        <vt:i4>1703962</vt:i4>
      </vt:variant>
      <vt:variant>
        <vt:i4>4651</vt:i4>
      </vt:variant>
      <vt:variant>
        <vt:i4>0</vt:i4>
      </vt:variant>
      <vt:variant>
        <vt:i4>5</vt:i4>
      </vt:variant>
      <vt:variant>
        <vt:lpwstr/>
      </vt:variant>
      <vt:variant>
        <vt:lpwstr>_Ongoing_studies</vt:lpwstr>
      </vt:variant>
      <vt:variant>
        <vt:i4>7602233</vt:i4>
      </vt:variant>
      <vt:variant>
        <vt:i4>4647</vt:i4>
      </vt:variant>
      <vt:variant>
        <vt:i4>0</vt:i4>
      </vt:variant>
      <vt:variant>
        <vt:i4>5</vt:i4>
      </vt:variant>
      <vt:variant>
        <vt:lpwstr/>
      </vt:variant>
      <vt:variant>
        <vt:lpwstr>_ENREF_326</vt:lpwstr>
      </vt:variant>
      <vt:variant>
        <vt:i4>8060986</vt:i4>
      </vt:variant>
      <vt:variant>
        <vt:i4>4637</vt:i4>
      </vt:variant>
      <vt:variant>
        <vt:i4>0</vt:i4>
      </vt:variant>
      <vt:variant>
        <vt:i4>5</vt:i4>
      </vt:variant>
      <vt:variant>
        <vt:lpwstr/>
      </vt:variant>
      <vt:variant>
        <vt:lpwstr>_ENREF_319</vt:lpwstr>
      </vt:variant>
      <vt:variant>
        <vt:i4>7733305</vt:i4>
      </vt:variant>
      <vt:variant>
        <vt:i4>4631</vt:i4>
      </vt:variant>
      <vt:variant>
        <vt:i4>0</vt:i4>
      </vt:variant>
      <vt:variant>
        <vt:i4>5</vt:i4>
      </vt:variant>
      <vt:variant>
        <vt:lpwstr/>
      </vt:variant>
      <vt:variant>
        <vt:lpwstr>_ENREF_324</vt:lpwstr>
      </vt:variant>
      <vt:variant>
        <vt:i4>8060986</vt:i4>
      </vt:variant>
      <vt:variant>
        <vt:i4>4625</vt:i4>
      </vt:variant>
      <vt:variant>
        <vt:i4>0</vt:i4>
      </vt:variant>
      <vt:variant>
        <vt:i4>5</vt:i4>
      </vt:variant>
      <vt:variant>
        <vt:lpwstr/>
      </vt:variant>
      <vt:variant>
        <vt:lpwstr>_ENREF_319</vt:lpwstr>
      </vt:variant>
      <vt:variant>
        <vt:i4>7798841</vt:i4>
      </vt:variant>
      <vt:variant>
        <vt:i4>4619</vt:i4>
      </vt:variant>
      <vt:variant>
        <vt:i4>0</vt:i4>
      </vt:variant>
      <vt:variant>
        <vt:i4>5</vt:i4>
      </vt:variant>
      <vt:variant>
        <vt:lpwstr/>
      </vt:variant>
      <vt:variant>
        <vt:lpwstr>_ENREF_325</vt:lpwstr>
      </vt:variant>
      <vt:variant>
        <vt:i4>7733305</vt:i4>
      </vt:variant>
      <vt:variant>
        <vt:i4>4613</vt:i4>
      </vt:variant>
      <vt:variant>
        <vt:i4>0</vt:i4>
      </vt:variant>
      <vt:variant>
        <vt:i4>5</vt:i4>
      </vt:variant>
      <vt:variant>
        <vt:lpwstr/>
      </vt:variant>
      <vt:variant>
        <vt:lpwstr>_ENREF_324</vt:lpwstr>
      </vt:variant>
      <vt:variant>
        <vt:i4>7405625</vt:i4>
      </vt:variant>
      <vt:variant>
        <vt:i4>4607</vt:i4>
      </vt:variant>
      <vt:variant>
        <vt:i4>0</vt:i4>
      </vt:variant>
      <vt:variant>
        <vt:i4>5</vt:i4>
      </vt:variant>
      <vt:variant>
        <vt:lpwstr/>
      </vt:variant>
      <vt:variant>
        <vt:lpwstr>_ENREF_323</vt:lpwstr>
      </vt:variant>
      <vt:variant>
        <vt:i4>7340089</vt:i4>
      </vt:variant>
      <vt:variant>
        <vt:i4>4601</vt:i4>
      </vt:variant>
      <vt:variant>
        <vt:i4>0</vt:i4>
      </vt:variant>
      <vt:variant>
        <vt:i4>5</vt:i4>
      </vt:variant>
      <vt:variant>
        <vt:lpwstr/>
      </vt:variant>
      <vt:variant>
        <vt:lpwstr>_ENREF_322</vt:lpwstr>
      </vt:variant>
      <vt:variant>
        <vt:i4>7536697</vt:i4>
      </vt:variant>
      <vt:variant>
        <vt:i4>4593</vt:i4>
      </vt:variant>
      <vt:variant>
        <vt:i4>0</vt:i4>
      </vt:variant>
      <vt:variant>
        <vt:i4>5</vt:i4>
      </vt:variant>
      <vt:variant>
        <vt:lpwstr/>
      </vt:variant>
      <vt:variant>
        <vt:lpwstr>_ENREF_321</vt:lpwstr>
      </vt:variant>
      <vt:variant>
        <vt:i4>7471161</vt:i4>
      </vt:variant>
      <vt:variant>
        <vt:i4>4587</vt:i4>
      </vt:variant>
      <vt:variant>
        <vt:i4>0</vt:i4>
      </vt:variant>
      <vt:variant>
        <vt:i4>5</vt:i4>
      </vt:variant>
      <vt:variant>
        <vt:lpwstr/>
      </vt:variant>
      <vt:variant>
        <vt:lpwstr>_ENREF_320</vt:lpwstr>
      </vt:variant>
      <vt:variant>
        <vt:i4>8060986</vt:i4>
      </vt:variant>
      <vt:variant>
        <vt:i4>4581</vt:i4>
      </vt:variant>
      <vt:variant>
        <vt:i4>0</vt:i4>
      </vt:variant>
      <vt:variant>
        <vt:i4>5</vt:i4>
      </vt:variant>
      <vt:variant>
        <vt:lpwstr/>
      </vt:variant>
      <vt:variant>
        <vt:lpwstr>_ENREF_319</vt:lpwstr>
      </vt:variant>
      <vt:variant>
        <vt:i4>7995450</vt:i4>
      </vt:variant>
      <vt:variant>
        <vt:i4>4575</vt:i4>
      </vt:variant>
      <vt:variant>
        <vt:i4>0</vt:i4>
      </vt:variant>
      <vt:variant>
        <vt:i4>5</vt:i4>
      </vt:variant>
      <vt:variant>
        <vt:lpwstr/>
      </vt:variant>
      <vt:variant>
        <vt:lpwstr>_ENREF_318</vt:lpwstr>
      </vt:variant>
      <vt:variant>
        <vt:i4>7667770</vt:i4>
      </vt:variant>
      <vt:variant>
        <vt:i4>4537</vt:i4>
      </vt:variant>
      <vt:variant>
        <vt:i4>0</vt:i4>
      </vt:variant>
      <vt:variant>
        <vt:i4>5</vt:i4>
      </vt:variant>
      <vt:variant>
        <vt:lpwstr/>
      </vt:variant>
      <vt:variant>
        <vt:lpwstr>_ENREF_317</vt:lpwstr>
      </vt:variant>
      <vt:variant>
        <vt:i4>7602234</vt:i4>
      </vt:variant>
      <vt:variant>
        <vt:i4>4529</vt:i4>
      </vt:variant>
      <vt:variant>
        <vt:i4>0</vt:i4>
      </vt:variant>
      <vt:variant>
        <vt:i4>5</vt:i4>
      </vt:variant>
      <vt:variant>
        <vt:lpwstr/>
      </vt:variant>
      <vt:variant>
        <vt:lpwstr>_ENREF_316</vt:lpwstr>
      </vt:variant>
      <vt:variant>
        <vt:i4>4784139</vt:i4>
      </vt:variant>
      <vt:variant>
        <vt:i4>4521</vt:i4>
      </vt:variant>
      <vt:variant>
        <vt:i4>0</vt:i4>
      </vt:variant>
      <vt:variant>
        <vt:i4>5</vt:i4>
      </vt:variant>
      <vt:variant>
        <vt:lpwstr/>
      </vt:variant>
      <vt:variant>
        <vt:lpwstr>_ENREF_83</vt:lpwstr>
      </vt:variant>
      <vt:variant>
        <vt:i4>2097162</vt:i4>
      </vt:variant>
      <vt:variant>
        <vt:i4>4507</vt:i4>
      </vt:variant>
      <vt:variant>
        <vt:i4>0</vt:i4>
      </vt:variant>
      <vt:variant>
        <vt:i4>5</vt:i4>
      </vt:variant>
      <vt:variant>
        <vt:lpwstr/>
      </vt:variant>
      <vt:variant>
        <vt:lpwstr>_Studies_awaiting_classification</vt:lpwstr>
      </vt:variant>
      <vt:variant>
        <vt:i4>1703962</vt:i4>
      </vt:variant>
      <vt:variant>
        <vt:i4>4504</vt:i4>
      </vt:variant>
      <vt:variant>
        <vt:i4>0</vt:i4>
      </vt:variant>
      <vt:variant>
        <vt:i4>5</vt:i4>
      </vt:variant>
      <vt:variant>
        <vt:lpwstr/>
      </vt:variant>
      <vt:variant>
        <vt:lpwstr>_Ongoing_studies</vt:lpwstr>
      </vt:variant>
      <vt:variant>
        <vt:i4>7798842</vt:i4>
      </vt:variant>
      <vt:variant>
        <vt:i4>4500</vt:i4>
      </vt:variant>
      <vt:variant>
        <vt:i4>0</vt:i4>
      </vt:variant>
      <vt:variant>
        <vt:i4>5</vt:i4>
      </vt:variant>
      <vt:variant>
        <vt:lpwstr/>
      </vt:variant>
      <vt:variant>
        <vt:lpwstr>_ENREF_315</vt:lpwstr>
      </vt:variant>
      <vt:variant>
        <vt:i4>7667771</vt:i4>
      </vt:variant>
      <vt:variant>
        <vt:i4>4494</vt:i4>
      </vt:variant>
      <vt:variant>
        <vt:i4>0</vt:i4>
      </vt:variant>
      <vt:variant>
        <vt:i4>5</vt:i4>
      </vt:variant>
      <vt:variant>
        <vt:lpwstr/>
      </vt:variant>
      <vt:variant>
        <vt:lpwstr>_ENREF_307</vt:lpwstr>
      </vt:variant>
      <vt:variant>
        <vt:i4>7602235</vt:i4>
      </vt:variant>
      <vt:variant>
        <vt:i4>4486</vt:i4>
      </vt:variant>
      <vt:variant>
        <vt:i4>0</vt:i4>
      </vt:variant>
      <vt:variant>
        <vt:i4>5</vt:i4>
      </vt:variant>
      <vt:variant>
        <vt:lpwstr/>
      </vt:variant>
      <vt:variant>
        <vt:lpwstr>_ENREF_306</vt:lpwstr>
      </vt:variant>
      <vt:variant>
        <vt:i4>7405627</vt:i4>
      </vt:variant>
      <vt:variant>
        <vt:i4>4483</vt:i4>
      </vt:variant>
      <vt:variant>
        <vt:i4>0</vt:i4>
      </vt:variant>
      <vt:variant>
        <vt:i4>5</vt:i4>
      </vt:variant>
      <vt:variant>
        <vt:lpwstr/>
      </vt:variant>
      <vt:variant>
        <vt:lpwstr>_ENREF_303</vt:lpwstr>
      </vt:variant>
      <vt:variant>
        <vt:i4>7536699</vt:i4>
      </vt:variant>
      <vt:variant>
        <vt:i4>4480</vt:i4>
      </vt:variant>
      <vt:variant>
        <vt:i4>0</vt:i4>
      </vt:variant>
      <vt:variant>
        <vt:i4>5</vt:i4>
      </vt:variant>
      <vt:variant>
        <vt:lpwstr/>
      </vt:variant>
      <vt:variant>
        <vt:lpwstr>_ENREF_301</vt:lpwstr>
      </vt:variant>
      <vt:variant>
        <vt:i4>7733298</vt:i4>
      </vt:variant>
      <vt:variant>
        <vt:i4>4477</vt:i4>
      </vt:variant>
      <vt:variant>
        <vt:i4>0</vt:i4>
      </vt:variant>
      <vt:variant>
        <vt:i4>5</vt:i4>
      </vt:variant>
      <vt:variant>
        <vt:lpwstr/>
      </vt:variant>
      <vt:variant>
        <vt:lpwstr>_ENREF_295</vt:lpwstr>
      </vt:variant>
      <vt:variant>
        <vt:i4>7405627</vt:i4>
      </vt:variant>
      <vt:variant>
        <vt:i4>4469</vt:i4>
      </vt:variant>
      <vt:variant>
        <vt:i4>0</vt:i4>
      </vt:variant>
      <vt:variant>
        <vt:i4>5</vt:i4>
      </vt:variant>
      <vt:variant>
        <vt:lpwstr/>
      </vt:variant>
      <vt:variant>
        <vt:lpwstr>_ENREF_303</vt:lpwstr>
      </vt:variant>
      <vt:variant>
        <vt:i4>7536699</vt:i4>
      </vt:variant>
      <vt:variant>
        <vt:i4>4466</vt:i4>
      </vt:variant>
      <vt:variant>
        <vt:i4>0</vt:i4>
      </vt:variant>
      <vt:variant>
        <vt:i4>5</vt:i4>
      </vt:variant>
      <vt:variant>
        <vt:lpwstr/>
      </vt:variant>
      <vt:variant>
        <vt:lpwstr>_ENREF_301</vt:lpwstr>
      </vt:variant>
      <vt:variant>
        <vt:i4>7536699</vt:i4>
      </vt:variant>
      <vt:variant>
        <vt:i4>4458</vt:i4>
      </vt:variant>
      <vt:variant>
        <vt:i4>0</vt:i4>
      </vt:variant>
      <vt:variant>
        <vt:i4>5</vt:i4>
      </vt:variant>
      <vt:variant>
        <vt:lpwstr/>
      </vt:variant>
      <vt:variant>
        <vt:lpwstr>_ENREF_301</vt:lpwstr>
      </vt:variant>
      <vt:variant>
        <vt:i4>7667762</vt:i4>
      </vt:variant>
      <vt:variant>
        <vt:i4>4455</vt:i4>
      </vt:variant>
      <vt:variant>
        <vt:i4>0</vt:i4>
      </vt:variant>
      <vt:variant>
        <vt:i4>5</vt:i4>
      </vt:variant>
      <vt:variant>
        <vt:lpwstr/>
      </vt:variant>
      <vt:variant>
        <vt:lpwstr>_ENREF_296</vt:lpwstr>
      </vt:variant>
      <vt:variant>
        <vt:i4>7995442</vt:i4>
      </vt:variant>
      <vt:variant>
        <vt:i4>4447</vt:i4>
      </vt:variant>
      <vt:variant>
        <vt:i4>0</vt:i4>
      </vt:variant>
      <vt:variant>
        <vt:i4>5</vt:i4>
      </vt:variant>
      <vt:variant>
        <vt:lpwstr/>
      </vt:variant>
      <vt:variant>
        <vt:lpwstr>_ENREF_299</vt:lpwstr>
      </vt:variant>
      <vt:variant>
        <vt:i4>8060978</vt:i4>
      </vt:variant>
      <vt:variant>
        <vt:i4>4439</vt:i4>
      </vt:variant>
      <vt:variant>
        <vt:i4>0</vt:i4>
      </vt:variant>
      <vt:variant>
        <vt:i4>5</vt:i4>
      </vt:variant>
      <vt:variant>
        <vt:lpwstr/>
      </vt:variant>
      <vt:variant>
        <vt:lpwstr>_ENREF_298</vt:lpwstr>
      </vt:variant>
      <vt:variant>
        <vt:i4>7471163</vt:i4>
      </vt:variant>
      <vt:variant>
        <vt:i4>4431</vt:i4>
      </vt:variant>
      <vt:variant>
        <vt:i4>0</vt:i4>
      </vt:variant>
      <vt:variant>
        <vt:i4>5</vt:i4>
      </vt:variant>
      <vt:variant>
        <vt:lpwstr/>
      </vt:variant>
      <vt:variant>
        <vt:lpwstr>_ENREF_300</vt:lpwstr>
      </vt:variant>
      <vt:variant>
        <vt:i4>7995442</vt:i4>
      </vt:variant>
      <vt:variant>
        <vt:i4>4428</vt:i4>
      </vt:variant>
      <vt:variant>
        <vt:i4>0</vt:i4>
      </vt:variant>
      <vt:variant>
        <vt:i4>5</vt:i4>
      </vt:variant>
      <vt:variant>
        <vt:lpwstr/>
      </vt:variant>
      <vt:variant>
        <vt:lpwstr>_ENREF_299</vt:lpwstr>
      </vt:variant>
      <vt:variant>
        <vt:i4>7602226</vt:i4>
      </vt:variant>
      <vt:variant>
        <vt:i4>4420</vt:i4>
      </vt:variant>
      <vt:variant>
        <vt:i4>0</vt:i4>
      </vt:variant>
      <vt:variant>
        <vt:i4>5</vt:i4>
      </vt:variant>
      <vt:variant>
        <vt:lpwstr/>
      </vt:variant>
      <vt:variant>
        <vt:lpwstr>_ENREF_297</vt:lpwstr>
      </vt:variant>
      <vt:variant>
        <vt:i4>7602226</vt:i4>
      </vt:variant>
      <vt:variant>
        <vt:i4>4412</vt:i4>
      </vt:variant>
      <vt:variant>
        <vt:i4>0</vt:i4>
      </vt:variant>
      <vt:variant>
        <vt:i4>5</vt:i4>
      </vt:variant>
      <vt:variant>
        <vt:lpwstr/>
      </vt:variant>
      <vt:variant>
        <vt:lpwstr>_ENREF_297</vt:lpwstr>
      </vt:variant>
      <vt:variant>
        <vt:i4>7733298</vt:i4>
      </vt:variant>
      <vt:variant>
        <vt:i4>4406</vt:i4>
      </vt:variant>
      <vt:variant>
        <vt:i4>0</vt:i4>
      </vt:variant>
      <vt:variant>
        <vt:i4>5</vt:i4>
      </vt:variant>
      <vt:variant>
        <vt:lpwstr/>
      </vt:variant>
      <vt:variant>
        <vt:lpwstr>_ENREF_295</vt:lpwstr>
      </vt:variant>
      <vt:variant>
        <vt:i4>7798834</vt:i4>
      </vt:variant>
      <vt:variant>
        <vt:i4>4400</vt:i4>
      </vt:variant>
      <vt:variant>
        <vt:i4>0</vt:i4>
      </vt:variant>
      <vt:variant>
        <vt:i4>5</vt:i4>
      </vt:variant>
      <vt:variant>
        <vt:lpwstr/>
      </vt:variant>
      <vt:variant>
        <vt:lpwstr>_ENREF_294</vt:lpwstr>
      </vt:variant>
      <vt:variant>
        <vt:i4>7733298</vt:i4>
      </vt:variant>
      <vt:variant>
        <vt:i4>4394</vt:i4>
      </vt:variant>
      <vt:variant>
        <vt:i4>0</vt:i4>
      </vt:variant>
      <vt:variant>
        <vt:i4>5</vt:i4>
      </vt:variant>
      <vt:variant>
        <vt:lpwstr/>
      </vt:variant>
      <vt:variant>
        <vt:lpwstr>_ENREF_295</vt:lpwstr>
      </vt:variant>
      <vt:variant>
        <vt:i4>7798834</vt:i4>
      </vt:variant>
      <vt:variant>
        <vt:i4>4386</vt:i4>
      </vt:variant>
      <vt:variant>
        <vt:i4>0</vt:i4>
      </vt:variant>
      <vt:variant>
        <vt:i4>5</vt:i4>
      </vt:variant>
      <vt:variant>
        <vt:lpwstr/>
      </vt:variant>
      <vt:variant>
        <vt:lpwstr>_ENREF_294</vt:lpwstr>
      </vt:variant>
      <vt:variant>
        <vt:i4>7471154</vt:i4>
      </vt:variant>
      <vt:variant>
        <vt:i4>4354</vt:i4>
      </vt:variant>
      <vt:variant>
        <vt:i4>0</vt:i4>
      </vt:variant>
      <vt:variant>
        <vt:i4>5</vt:i4>
      </vt:variant>
      <vt:variant>
        <vt:lpwstr/>
      </vt:variant>
      <vt:variant>
        <vt:lpwstr>_ENREF_291</vt:lpwstr>
      </vt:variant>
      <vt:variant>
        <vt:i4>2097162</vt:i4>
      </vt:variant>
      <vt:variant>
        <vt:i4>4338</vt:i4>
      </vt:variant>
      <vt:variant>
        <vt:i4>0</vt:i4>
      </vt:variant>
      <vt:variant>
        <vt:i4>5</vt:i4>
      </vt:variant>
      <vt:variant>
        <vt:lpwstr/>
      </vt:variant>
      <vt:variant>
        <vt:lpwstr>_Studies_awaiting_classification</vt:lpwstr>
      </vt:variant>
      <vt:variant>
        <vt:i4>1703962</vt:i4>
      </vt:variant>
      <vt:variant>
        <vt:i4>4335</vt:i4>
      </vt:variant>
      <vt:variant>
        <vt:i4>0</vt:i4>
      </vt:variant>
      <vt:variant>
        <vt:i4>5</vt:i4>
      </vt:variant>
      <vt:variant>
        <vt:lpwstr/>
      </vt:variant>
      <vt:variant>
        <vt:lpwstr>_Ongoing_studies</vt:lpwstr>
      </vt:variant>
      <vt:variant>
        <vt:i4>8060979</vt:i4>
      </vt:variant>
      <vt:variant>
        <vt:i4>4331</vt:i4>
      </vt:variant>
      <vt:variant>
        <vt:i4>0</vt:i4>
      </vt:variant>
      <vt:variant>
        <vt:i4>5</vt:i4>
      </vt:variant>
      <vt:variant>
        <vt:lpwstr/>
      </vt:variant>
      <vt:variant>
        <vt:lpwstr>_ENREF_288</vt:lpwstr>
      </vt:variant>
      <vt:variant>
        <vt:i4>7602227</vt:i4>
      </vt:variant>
      <vt:variant>
        <vt:i4>4323</vt:i4>
      </vt:variant>
      <vt:variant>
        <vt:i4>0</vt:i4>
      </vt:variant>
      <vt:variant>
        <vt:i4>5</vt:i4>
      </vt:variant>
      <vt:variant>
        <vt:lpwstr/>
      </vt:variant>
      <vt:variant>
        <vt:lpwstr>_ENREF_287</vt:lpwstr>
      </vt:variant>
      <vt:variant>
        <vt:i4>7667763</vt:i4>
      </vt:variant>
      <vt:variant>
        <vt:i4>4317</vt:i4>
      </vt:variant>
      <vt:variant>
        <vt:i4>0</vt:i4>
      </vt:variant>
      <vt:variant>
        <vt:i4>5</vt:i4>
      </vt:variant>
      <vt:variant>
        <vt:lpwstr/>
      </vt:variant>
      <vt:variant>
        <vt:lpwstr>_ENREF_286</vt:lpwstr>
      </vt:variant>
      <vt:variant>
        <vt:i4>7471155</vt:i4>
      </vt:variant>
      <vt:variant>
        <vt:i4>4311</vt:i4>
      </vt:variant>
      <vt:variant>
        <vt:i4>0</vt:i4>
      </vt:variant>
      <vt:variant>
        <vt:i4>5</vt:i4>
      </vt:variant>
      <vt:variant>
        <vt:lpwstr/>
      </vt:variant>
      <vt:variant>
        <vt:lpwstr>_ENREF_281</vt:lpwstr>
      </vt:variant>
      <vt:variant>
        <vt:i4>7798835</vt:i4>
      </vt:variant>
      <vt:variant>
        <vt:i4>4305</vt:i4>
      </vt:variant>
      <vt:variant>
        <vt:i4>0</vt:i4>
      </vt:variant>
      <vt:variant>
        <vt:i4>5</vt:i4>
      </vt:variant>
      <vt:variant>
        <vt:lpwstr/>
      </vt:variant>
      <vt:variant>
        <vt:lpwstr>_ENREF_284</vt:lpwstr>
      </vt:variant>
      <vt:variant>
        <vt:i4>7405619</vt:i4>
      </vt:variant>
      <vt:variant>
        <vt:i4>4297</vt:i4>
      </vt:variant>
      <vt:variant>
        <vt:i4>0</vt:i4>
      </vt:variant>
      <vt:variant>
        <vt:i4>5</vt:i4>
      </vt:variant>
      <vt:variant>
        <vt:lpwstr/>
      </vt:variant>
      <vt:variant>
        <vt:lpwstr>_ENREF_282</vt:lpwstr>
      </vt:variant>
      <vt:variant>
        <vt:i4>7471155</vt:i4>
      </vt:variant>
      <vt:variant>
        <vt:i4>4294</vt:i4>
      </vt:variant>
      <vt:variant>
        <vt:i4>0</vt:i4>
      </vt:variant>
      <vt:variant>
        <vt:i4>5</vt:i4>
      </vt:variant>
      <vt:variant>
        <vt:lpwstr/>
      </vt:variant>
      <vt:variant>
        <vt:lpwstr>_ENREF_281</vt:lpwstr>
      </vt:variant>
      <vt:variant>
        <vt:i4>7995452</vt:i4>
      </vt:variant>
      <vt:variant>
        <vt:i4>4286</vt:i4>
      </vt:variant>
      <vt:variant>
        <vt:i4>0</vt:i4>
      </vt:variant>
      <vt:variant>
        <vt:i4>5</vt:i4>
      </vt:variant>
      <vt:variant>
        <vt:lpwstr/>
      </vt:variant>
      <vt:variant>
        <vt:lpwstr>_ENREF_279</vt:lpwstr>
      </vt:variant>
      <vt:variant>
        <vt:i4>7733299</vt:i4>
      </vt:variant>
      <vt:variant>
        <vt:i4>4280</vt:i4>
      </vt:variant>
      <vt:variant>
        <vt:i4>0</vt:i4>
      </vt:variant>
      <vt:variant>
        <vt:i4>5</vt:i4>
      </vt:variant>
      <vt:variant>
        <vt:lpwstr/>
      </vt:variant>
      <vt:variant>
        <vt:lpwstr>_ENREF_285</vt:lpwstr>
      </vt:variant>
      <vt:variant>
        <vt:i4>7405619</vt:i4>
      </vt:variant>
      <vt:variant>
        <vt:i4>4274</vt:i4>
      </vt:variant>
      <vt:variant>
        <vt:i4>0</vt:i4>
      </vt:variant>
      <vt:variant>
        <vt:i4>5</vt:i4>
      </vt:variant>
      <vt:variant>
        <vt:lpwstr/>
      </vt:variant>
      <vt:variant>
        <vt:lpwstr>_ENREF_282</vt:lpwstr>
      </vt:variant>
      <vt:variant>
        <vt:i4>7798835</vt:i4>
      </vt:variant>
      <vt:variant>
        <vt:i4>4268</vt:i4>
      </vt:variant>
      <vt:variant>
        <vt:i4>0</vt:i4>
      </vt:variant>
      <vt:variant>
        <vt:i4>5</vt:i4>
      </vt:variant>
      <vt:variant>
        <vt:lpwstr/>
      </vt:variant>
      <vt:variant>
        <vt:lpwstr>_ENREF_284</vt:lpwstr>
      </vt:variant>
      <vt:variant>
        <vt:i4>7471155</vt:i4>
      </vt:variant>
      <vt:variant>
        <vt:i4>4260</vt:i4>
      </vt:variant>
      <vt:variant>
        <vt:i4>0</vt:i4>
      </vt:variant>
      <vt:variant>
        <vt:i4>5</vt:i4>
      </vt:variant>
      <vt:variant>
        <vt:lpwstr/>
      </vt:variant>
      <vt:variant>
        <vt:lpwstr>_ENREF_281</vt:lpwstr>
      </vt:variant>
      <vt:variant>
        <vt:i4>7536691</vt:i4>
      </vt:variant>
      <vt:variant>
        <vt:i4>4252</vt:i4>
      </vt:variant>
      <vt:variant>
        <vt:i4>0</vt:i4>
      </vt:variant>
      <vt:variant>
        <vt:i4>5</vt:i4>
      </vt:variant>
      <vt:variant>
        <vt:lpwstr/>
      </vt:variant>
      <vt:variant>
        <vt:lpwstr>_ENREF_280</vt:lpwstr>
      </vt:variant>
      <vt:variant>
        <vt:i4>7995452</vt:i4>
      </vt:variant>
      <vt:variant>
        <vt:i4>4249</vt:i4>
      </vt:variant>
      <vt:variant>
        <vt:i4>0</vt:i4>
      </vt:variant>
      <vt:variant>
        <vt:i4>5</vt:i4>
      </vt:variant>
      <vt:variant>
        <vt:lpwstr/>
      </vt:variant>
      <vt:variant>
        <vt:lpwstr>_ENREF_279</vt:lpwstr>
      </vt:variant>
      <vt:variant>
        <vt:i4>7536691</vt:i4>
      </vt:variant>
      <vt:variant>
        <vt:i4>4241</vt:i4>
      </vt:variant>
      <vt:variant>
        <vt:i4>0</vt:i4>
      </vt:variant>
      <vt:variant>
        <vt:i4>5</vt:i4>
      </vt:variant>
      <vt:variant>
        <vt:lpwstr/>
      </vt:variant>
      <vt:variant>
        <vt:lpwstr>_ENREF_280</vt:lpwstr>
      </vt:variant>
      <vt:variant>
        <vt:i4>7995452</vt:i4>
      </vt:variant>
      <vt:variant>
        <vt:i4>4238</vt:i4>
      </vt:variant>
      <vt:variant>
        <vt:i4>0</vt:i4>
      </vt:variant>
      <vt:variant>
        <vt:i4>5</vt:i4>
      </vt:variant>
      <vt:variant>
        <vt:lpwstr/>
      </vt:variant>
      <vt:variant>
        <vt:lpwstr>_ENREF_279</vt:lpwstr>
      </vt:variant>
      <vt:variant>
        <vt:i4>7995452</vt:i4>
      </vt:variant>
      <vt:variant>
        <vt:i4>4230</vt:i4>
      </vt:variant>
      <vt:variant>
        <vt:i4>0</vt:i4>
      </vt:variant>
      <vt:variant>
        <vt:i4>5</vt:i4>
      </vt:variant>
      <vt:variant>
        <vt:lpwstr/>
      </vt:variant>
      <vt:variant>
        <vt:lpwstr>_ENREF_279</vt:lpwstr>
      </vt:variant>
      <vt:variant>
        <vt:i4>8060988</vt:i4>
      </vt:variant>
      <vt:variant>
        <vt:i4>4200</vt:i4>
      </vt:variant>
      <vt:variant>
        <vt:i4>0</vt:i4>
      </vt:variant>
      <vt:variant>
        <vt:i4>5</vt:i4>
      </vt:variant>
      <vt:variant>
        <vt:lpwstr/>
      </vt:variant>
      <vt:variant>
        <vt:lpwstr>_ENREF_278</vt:lpwstr>
      </vt:variant>
      <vt:variant>
        <vt:i4>4784139</vt:i4>
      </vt:variant>
      <vt:variant>
        <vt:i4>4194</vt:i4>
      </vt:variant>
      <vt:variant>
        <vt:i4>0</vt:i4>
      </vt:variant>
      <vt:variant>
        <vt:i4>5</vt:i4>
      </vt:variant>
      <vt:variant>
        <vt:lpwstr/>
      </vt:variant>
      <vt:variant>
        <vt:lpwstr>_ENREF_83</vt:lpwstr>
      </vt:variant>
      <vt:variant>
        <vt:i4>2097162</vt:i4>
      </vt:variant>
      <vt:variant>
        <vt:i4>4180</vt:i4>
      </vt:variant>
      <vt:variant>
        <vt:i4>0</vt:i4>
      </vt:variant>
      <vt:variant>
        <vt:i4>5</vt:i4>
      </vt:variant>
      <vt:variant>
        <vt:lpwstr/>
      </vt:variant>
      <vt:variant>
        <vt:lpwstr>_Studies_awaiting_classification</vt:lpwstr>
      </vt:variant>
      <vt:variant>
        <vt:i4>1703962</vt:i4>
      </vt:variant>
      <vt:variant>
        <vt:i4>4177</vt:i4>
      </vt:variant>
      <vt:variant>
        <vt:i4>0</vt:i4>
      </vt:variant>
      <vt:variant>
        <vt:i4>5</vt:i4>
      </vt:variant>
      <vt:variant>
        <vt:lpwstr/>
      </vt:variant>
      <vt:variant>
        <vt:lpwstr>_Ongoing_studies</vt:lpwstr>
      </vt:variant>
      <vt:variant>
        <vt:i4>7733308</vt:i4>
      </vt:variant>
      <vt:variant>
        <vt:i4>4173</vt:i4>
      </vt:variant>
      <vt:variant>
        <vt:i4>0</vt:i4>
      </vt:variant>
      <vt:variant>
        <vt:i4>5</vt:i4>
      </vt:variant>
      <vt:variant>
        <vt:lpwstr/>
      </vt:variant>
      <vt:variant>
        <vt:lpwstr>_ENREF_275</vt:lpwstr>
      </vt:variant>
      <vt:variant>
        <vt:i4>7602237</vt:i4>
      </vt:variant>
      <vt:variant>
        <vt:i4>4165</vt:i4>
      </vt:variant>
      <vt:variant>
        <vt:i4>0</vt:i4>
      </vt:variant>
      <vt:variant>
        <vt:i4>5</vt:i4>
      </vt:variant>
      <vt:variant>
        <vt:lpwstr/>
      </vt:variant>
      <vt:variant>
        <vt:lpwstr>_ENREF_267</vt:lpwstr>
      </vt:variant>
      <vt:variant>
        <vt:i4>4194315</vt:i4>
      </vt:variant>
      <vt:variant>
        <vt:i4>4162</vt:i4>
      </vt:variant>
      <vt:variant>
        <vt:i4>0</vt:i4>
      </vt:variant>
      <vt:variant>
        <vt:i4>5</vt:i4>
      </vt:variant>
      <vt:variant>
        <vt:lpwstr/>
      </vt:variant>
      <vt:variant>
        <vt:lpwstr>_ENREF_15</vt:lpwstr>
      </vt:variant>
      <vt:variant>
        <vt:i4>7667773</vt:i4>
      </vt:variant>
      <vt:variant>
        <vt:i4>4154</vt:i4>
      </vt:variant>
      <vt:variant>
        <vt:i4>0</vt:i4>
      </vt:variant>
      <vt:variant>
        <vt:i4>5</vt:i4>
      </vt:variant>
      <vt:variant>
        <vt:lpwstr/>
      </vt:variant>
      <vt:variant>
        <vt:lpwstr>_ENREF_266</vt:lpwstr>
      </vt:variant>
      <vt:variant>
        <vt:i4>7340093</vt:i4>
      </vt:variant>
      <vt:variant>
        <vt:i4>4151</vt:i4>
      </vt:variant>
      <vt:variant>
        <vt:i4>0</vt:i4>
      </vt:variant>
      <vt:variant>
        <vt:i4>5</vt:i4>
      </vt:variant>
      <vt:variant>
        <vt:lpwstr/>
      </vt:variant>
      <vt:variant>
        <vt:lpwstr>_ENREF_263</vt:lpwstr>
      </vt:variant>
      <vt:variant>
        <vt:i4>7733309</vt:i4>
      </vt:variant>
      <vt:variant>
        <vt:i4>4143</vt:i4>
      </vt:variant>
      <vt:variant>
        <vt:i4>0</vt:i4>
      </vt:variant>
      <vt:variant>
        <vt:i4>5</vt:i4>
      </vt:variant>
      <vt:variant>
        <vt:lpwstr/>
      </vt:variant>
      <vt:variant>
        <vt:lpwstr>_ENREF_265</vt:lpwstr>
      </vt:variant>
      <vt:variant>
        <vt:i4>7733309</vt:i4>
      </vt:variant>
      <vt:variant>
        <vt:i4>4137</vt:i4>
      </vt:variant>
      <vt:variant>
        <vt:i4>0</vt:i4>
      </vt:variant>
      <vt:variant>
        <vt:i4>5</vt:i4>
      </vt:variant>
      <vt:variant>
        <vt:lpwstr/>
      </vt:variant>
      <vt:variant>
        <vt:lpwstr>_ENREF_265</vt:lpwstr>
      </vt:variant>
      <vt:variant>
        <vt:i4>7733309</vt:i4>
      </vt:variant>
      <vt:variant>
        <vt:i4>4131</vt:i4>
      </vt:variant>
      <vt:variant>
        <vt:i4>0</vt:i4>
      </vt:variant>
      <vt:variant>
        <vt:i4>5</vt:i4>
      </vt:variant>
      <vt:variant>
        <vt:lpwstr/>
      </vt:variant>
      <vt:variant>
        <vt:lpwstr>_ENREF_265</vt:lpwstr>
      </vt:variant>
      <vt:variant>
        <vt:i4>7733309</vt:i4>
      </vt:variant>
      <vt:variant>
        <vt:i4>4125</vt:i4>
      </vt:variant>
      <vt:variant>
        <vt:i4>0</vt:i4>
      </vt:variant>
      <vt:variant>
        <vt:i4>5</vt:i4>
      </vt:variant>
      <vt:variant>
        <vt:lpwstr/>
      </vt:variant>
      <vt:variant>
        <vt:lpwstr>_ENREF_265</vt:lpwstr>
      </vt:variant>
      <vt:variant>
        <vt:i4>7733309</vt:i4>
      </vt:variant>
      <vt:variant>
        <vt:i4>4119</vt:i4>
      </vt:variant>
      <vt:variant>
        <vt:i4>0</vt:i4>
      </vt:variant>
      <vt:variant>
        <vt:i4>5</vt:i4>
      </vt:variant>
      <vt:variant>
        <vt:lpwstr/>
      </vt:variant>
      <vt:variant>
        <vt:lpwstr>_ENREF_265</vt:lpwstr>
      </vt:variant>
      <vt:variant>
        <vt:i4>7733309</vt:i4>
      </vt:variant>
      <vt:variant>
        <vt:i4>4113</vt:i4>
      </vt:variant>
      <vt:variant>
        <vt:i4>0</vt:i4>
      </vt:variant>
      <vt:variant>
        <vt:i4>5</vt:i4>
      </vt:variant>
      <vt:variant>
        <vt:lpwstr/>
      </vt:variant>
      <vt:variant>
        <vt:lpwstr>_ENREF_265</vt:lpwstr>
      </vt:variant>
      <vt:variant>
        <vt:i4>7733309</vt:i4>
      </vt:variant>
      <vt:variant>
        <vt:i4>4107</vt:i4>
      </vt:variant>
      <vt:variant>
        <vt:i4>0</vt:i4>
      </vt:variant>
      <vt:variant>
        <vt:i4>5</vt:i4>
      </vt:variant>
      <vt:variant>
        <vt:lpwstr/>
      </vt:variant>
      <vt:variant>
        <vt:lpwstr>_ENREF_265</vt:lpwstr>
      </vt:variant>
      <vt:variant>
        <vt:i4>7798845</vt:i4>
      </vt:variant>
      <vt:variant>
        <vt:i4>4101</vt:i4>
      </vt:variant>
      <vt:variant>
        <vt:i4>0</vt:i4>
      </vt:variant>
      <vt:variant>
        <vt:i4>5</vt:i4>
      </vt:variant>
      <vt:variant>
        <vt:lpwstr/>
      </vt:variant>
      <vt:variant>
        <vt:lpwstr>_ENREF_264</vt:lpwstr>
      </vt:variant>
      <vt:variant>
        <vt:i4>7340091</vt:i4>
      </vt:variant>
      <vt:variant>
        <vt:i4>4095</vt:i4>
      </vt:variant>
      <vt:variant>
        <vt:i4>0</vt:i4>
      </vt:variant>
      <vt:variant>
        <vt:i4>5</vt:i4>
      </vt:variant>
      <vt:variant>
        <vt:lpwstr/>
      </vt:variant>
      <vt:variant>
        <vt:lpwstr>_ENREF_203</vt:lpwstr>
      </vt:variant>
      <vt:variant>
        <vt:i4>7340091</vt:i4>
      </vt:variant>
      <vt:variant>
        <vt:i4>4089</vt:i4>
      </vt:variant>
      <vt:variant>
        <vt:i4>0</vt:i4>
      </vt:variant>
      <vt:variant>
        <vt:i4>5</vt:i4>
      </vt:variant>
      <vt:variant>
        <vt:lpwstr/>
      </vt:variant>
      <vt:variant>
        <vt:lpwstr>_ENREF_203</vt:lpwstr>
      </vt:variant>
      <vt:variant>
        <vt:i4>7340093</vt:i4>
      </vt:variant>
      <vt:variant>
        <vt:i4>4083</vt:i4>
      </vt:variant>
      <vt:variant>
        <vt:i4>0</vt:i4>
      </vt:variant>
      <vt:variant>
        <vt:i4>5</vt:i4>
      </vt:variant>
      <vt:variant>
        <vt:lpwstr/>
      </vt:variant>
      <vt:variant>
        <vt:lpwstr>_ENREF_263</vt:lpwstr>
      </vt:variant>
      <vt:variant>
        <vt:i4>7405629</vt:i4>
      </vt:variant>
      <vt:variant>
        <vt:i4>4080</vt:i4>
      </vt:variant>
      <vt:variant>
        <vt:i4>0</vt:i4>
      </vt:variant>
      <vt:variant>
        <vt:i4>5</vt:i4>
      </vt:variant>
      <vt:variant>
        <vt:lpwstr/>
      </vt:variant>
      <vt:variant>
        <vt:lpwstr>_ENREF_262</vt:lpwstr>
      </vt:variant>
      <vt:variant>
        <vt:i4>7536701</vt:i4>
      </vt:variant>
      <vt:variant>
        <vt:i4>4074</vt:i4>
      </vt:variant>
      <vt:variant>
        <vt:i4>0</vt:i4>
      </vt:variant>
      <vt:variant>
        <vt:i4>5</vt:i4>
      </vt:variant>
      <vt:variant>
        <vt:lpwstr/>
      </vt:variant>
      <vt:variant>
        <vt:lpwstr>_ENREF_260</vt:lpwstr>
      </vt:variant>
      <vt:variant>
        <vt:i4>7471165</vt:i4>
      </vt:variant>
      <vt:variant>
        <vt:i4>4068</vt:i4>
      </vt:variant>
      <vt:variant>
        <vt:i4>0</vt:i4>
      </vt:variant>
      <vt:variant>
        <vt:i4>5</vt:i4>
      </vt:variant>
      <vt:variant>
        <vt:lpwstr/>
      </vt:variant>
      <vt:variant>
        <vt:lpwstr>_ENREF_261</vt:lpwstr>
      </vt:variant>
      <vt:variant>
        <vt:i4>7471165</vt:i4>
      </vt:variant>
      <vt:variant>
        <vt:i4>4062</vt:i4>
      </vt:variant>
      <vt:variant>
        <vt:i4>0</vt:i4>
      </vt:variant>
      <vt:variant>
        <vt:i4>5</vt:i4>
      </vt:variant>
      <vt:variant>
        <vt:lpwstr/>
      </vt:variant>
      <vt:variant>
        <vt:lpwstr>_ENREF_261</vt:lpwstr>
      </vt:variant>
      <vt:variant>
        <vt:i4>7536701</vt:i4>
      </vt:variant>
      <vt:variant>
        <vt:i4>4059</vt:i4>
      </vt:variant>
      <vt:variant>
        <vt:i4>0</vt:i4>
      </vt:variant>
      <vt:variant>
        <vt:i4>5</vt:i4>
      </vt:variant>
      <vt:variant>
        <vt:lpwstr/>
      </vt:variant>
      <vt:variant>
        <vt:lpwstr>_ENREF_260</vt:lpwstr>
      </vt:variant>
      <vt:variant>
        <vt:i4>7995454</vt:i4>
      </vt:variant>
      <vt:variant>
        <vt:i4>4053</vt:i4>
      </vt:variant>
      <vt:variant>
        <vt:i4>0</vt:i4>
      </vt:variant>
      <vt:variant>
        <vt:i4>5</vt:i4>
      </vt:variant>
      <vt:variant>
        <vt:lpwstr/>
      </vt:variant>
      <vt:variant>
        <vt:lpwstr>_ENREF_259</vt:lpwstr>
      </vt:variant>
      <vt:variant>
        <vt:i4>7536701</vt:i4>
      </vt:variant>
      <vt:variant>
        <vt:i4>4045</vt:i4>
      </vt:variant>
      <vt:variant>
        <vt:i4>0</vt:i4>
      </vt:variant>
      <vt:variant>
        <vt:i4>5</vt:i4>
      </vt:variant>
      <vt:variant>
        <vt:lpwstr/>
      </vt:variant>
      <vt:variant>
        <vt:lpwstr>_ENREF_260</vt:lpwstr>
      </vt:variant>
      <vt:variant>
        <vt:i4>7536701</vt:i4>
      </vt:variant>
      <vt:variant>
        <vt:i4>4039</vt:i4>
      </vt:variant>
      <vt:variant>
        <vt:i4>0</vt:i4>
      </vt:variant>
      <vt:variant>
        <vt:i4>5</vt:i4>
      </vt:variant>
      <vt:variant>
        <vt:lpwstr/>
      </vt:variant>
      <vt:variant>
        <vt:lpwstr>_ENREF_260</vt:lpwstr>
      </vt:variant>
      <vt:variant>
        <vt:i4>7995454</vt:i4>
      </vt:variant>
      <vt:variant>
        <vt:i4>4033</vt:i4>
      </vt:variant>
      <vt:variant>
        <vt:i4>0</vt:i4>
      </vt:variant>
      <vt:variant>
        <vt:i4>5</vt:i4>
      </vt:variant>
      <vt:variant>
        <vt:lpwstr/>
      </vt:variant>
      <vt:variant>
        <vt:lpwstr>_ENREF_259</vt:lpwstr>
      </vt:variant>
      <vt:variant>
        <vt:i4>8060990</vt:i4>
      </vt:variant>
      <vt:variant>
        <vt:i4>4007</vt:i4>
      </vt:variant>
      <vt:variant>
        <vt:i4>0</vt:i4>
      </vt:variant>
      <vt:variant>
        <vt:i4>5</vt:i4>
      </vt:variant>
      <vt:variant>
        <vt:lpwstr/>
      </vt:variant>
      <vt:variant>
        <vt:lpwstr>_ENREF_258</vt:lpwstr>
      </vt:variant>
      <vt:variant>
        <vt:i4>2097162</vt:i4>
      </vt:variant>
      <vt:variant>
        <vt:i4>3993</vt:i4>
      </vt:variant>
      <vt:variant>
        <vt:i4>0</vt:i4>
      </vt:variant>
      <vt:variant>
        <vt:i4>5</vt:i4>
      </vt:variant>
      <vt:variant>
        <vt:lpwstr/>
      </vt:variant>
      <vt:variant>
        <vt:lpwstr>_Studies_awaiting_classification</vt:lpwstr>
      </vt:variant>
      <vt:variant>
        <vt:i4>1703962</vt:i4>
      </vt:variant>
      <vt:variant>
        <vt:i4>3990</vt:i4>
      </vt:variant>
      <vt:variant>
        <vt:i4>0</vt:i4>
      </vt:variant>
      <vt:variant>
        <vt:i4>5</vt:i4>
      </vt:variant>
      <vt:variant>
        <vt:lpwstr/>
      </vt:variant>
      <vt:variant>
        <vt:lpwstr>_Ongoing_studies</vt:lpwstr>
      </vt:variant>
      <vt:variant>
        <vt:i4>7602238</vt:i4>
      </vt:variant>
      <vt:variant>
        <vt:i4>3986</vt:i4>
      </vt:variant>
      <vt:variant>
        <vt:i4>0</vt:i4>
      </vt:variant>
      <vt:variant>
        <vt:i4>5</vt:i4>
      </vt:variant>
      <vt:variant>
        <vt:lpwstr/>
      </vt:variant>
      <vt:variant>
        <vt:lpwstr>_ENREF_257</vt:lpwstr>
      </vt:variant>
      <vt:variant>
        <vt:i4>7667774</vt:i4>
      </vt:variant>
      <vt:variant>
        <vt:i4>3983</vt:i4>
      </vt:variant>
      <vt:variant>
        <vt:i4>0</vt:i4>
      </vt:variant>
      <vt:variant>
        <vt:i4>5</vt:i4>
      </vt:variant>
      <vt:variant>
        <vt:lpwstr/>
      </vt:variant>
      <vt:variant>
        <vt:lpwstr>_ENREF_256</vt:lpwstr>
      </vt:variant>
      <vt:variant>
        <vt:i4>7733310</vt:i4>
      </vt:variant>
      <vt:variant>
        <vt:i4>3975</vt:i4>
      </vt:variant>
      <vt:variant>
        <vt:i4>0</vt:i4>
      </vt:variant>
      <vt:variant>
        <vt:i4>5</vt:i4>
      </vt:variant>
      <vt:variant>
        <vt:lpwstr/>
      </vt:variant>
      <vt:variant>
        <vt:lpwstr>_ENREF_255</vt:lpwstr>
      </vt:variant>
      <vt:variant>
        <vt:i4>7405630</vt:i4>
      </vt:variant>
      <vt:variant>
        <vt:i4>3969</vt:i4>
      </vt:variant>
      <vt:variant>
        <vt:i4>0</vt:i4>
      </vt:variant>
      <vt:variant>
        <vt:i4>5</vt:i4>
      </vt:variant>
      <vt:variant>
        <vt:lpwstr/>
      </vt:variant>
      <vt:variant>
        <vt:lpwstr>_ENREF_252</vt:lpwstr>
      </vt:variant>
      <vt:variant>
        <vt:i4>7340094</vt:i4>
      </vt:variant>
      <vt:variant>
        <vt:i4>3963</vt:i4>
      </vt:variant>
      <vt:variant>
        <vt:i4>0</vt:i4>
      </vt:variant>
      <vt:variant>
        <vt:i4>5</vt:i4>
      </vt:variant>
      <vt:variant>
        <vt:lpwstr/>
      </vt:variant>
      <vt:variant>
        <vt:lpwstr>_ENREF_253</vt:lpwstr>
      </vt:variant>
      <vt:variant>
        <vt:i4>7798846</vt:i4>
      </vt:variant>
      <vt:variant>
        <vt:i4>3957</vt:i4>
      </vt:variant>
      <vt:variant>
        <vt:i4>0</vt:i4>
      </vt:variant>
      <vt:variant>
        <vt:i4>5</vt:i4>
      </vt:variant>
      <vt:variant>
        <vt:lpwstr/>
      </vt:variant>
      <vt:variant>
        <vt:lpwstr>_ENREF_254</vt:lpwstr>
      </vt:variant>
      <vt:variant>
        <vt:i4>7405630</vt:i4>
      </vt:variant>
      <vt:variant>
        <vt:i4>3951</vt:i4>
      </vt:variant>
      <vt:variant>
        <vt:i4>0</vt:i4>
      </vt:variant>
      <vt:variant>
        <vt:i4>5</vt:i4>
      </vt:variant>
      <vt:variant>
        <vt:lpwstr/>
      </vt:variant>
      <vt:variant>
        <vt:lpwstr>_ENREF_252</vt:lpwstr>
      </vt:variant>
      <vt:variant>
        <vt:i4>7340094</vt:i4>
      </vt:variant>
      <vt:variant>
        <vt:i4>3945</vt:i4>
      </vt:variant>
      <vt:variant>
        <vt:i4>0</vt:i4>
      </vt:variant>
      <vt:variant>
        <vt:i4>5</vt:i4>
      </vt:variant>
      <vt:variant>
        <vt:lpwstr/>
      </vt:variant>
      <vt:variant>
        <vt:lpwstr>_ENREF_253</vt:lpwstr>
      </vt:variant>
      <vt:variant>
        <vt:i4>7405630</vt:i4>
      </vt:variant>
      <vt:variant>
        <vt:i4>3939</vt:i4>
      </vt:variant>
      <vt:variant>
        <vt:i4>0</vt:i4>
      </vt:variant>
      <vt:variant>
        <vt:i4>5</vt:i4>
      </vt:variant>
      <vt:variant>
        <vt:lpwstr/>
      </vt:variant>
      <vt:variant>
        <vt:lpwstr>_ENREF_252</vt:lpwstr>
      </vt:variant>
      <vt:variant>
        <vt:i4>7471166</vt:i4>
      </vt:variant>
      <vt:variant>
        <vt:i4>3936</vt:i4>
      </vt:variant>
      <vt:variant>
        <vt:i4>0</vt:i4>
      </vt:variant>
      <vt:variant>
        <vt:i4>5</vt:i4>
      </vt:variant>
      <vt:variant>
        <vt:lpwstr/>
      </vt:variant>
      <vt:variant>
        <vt:lpwstr>_ENREF_251</vt:lpwstr>
      </vt:variant>
      <vt:variant>
        <vt:i4>7536702</vt:i4>
      </vt:variant>
      <vt:variant>
        <vt:i4>3916</vt:i4>
      </vt:variant>
      <vt:variant>
        <vt:i4>0</vt:i4>
      </vt:variant>
      <vt:variant>
        <vt:i4>5</vt:i4>
      </vt:variant>
      <vt:variant>
        <vt:lpwstr/>
      </vt:variant>
      <vt:variant>
        <vt:lpwstr>_ENREF_250</vt:lpwstr>
      </vt:variant>
      <vt:variant>
        <vt:i4>7995455</vt:i4>
      </vt:variant>
      <vt:variant>
        <vt:i4>3910</vt:i4>
      </vt:variant>
      <vt:variant>
        <vt:i4>0</vt:i4>
      </vt:variant>
      <vt:variant>
        <vt:i4>5</vt:i4>
      </vt:variant>
      <vt:variant>
        <vt:lpwstr/>
      </vt:variant>
      <vt:variant>
        <vt:lpwstr>_ENREF_249</vt:lpwstr>
      </vt:variant>
      <vt:variant>
        <vt:i4>2097162</vt:i4>
      </vt:variant>
      <vt:variant>
        <vt:i4>3894</vt:i4>
      </vt:variant>
      <vt:variant>
        <vt:i4>0</vt:i4>
      </vt:variant>
      <vt:variant>
        <vt:i4>5</vt:i4>
      </vt:variant>
      <vt:variant>
        <vt:lpwstr/>
      </vt:variant>
      <vt:variant>
        <vt:lpwstr>_Studies_awaiting_classification</vt:lpwstr>
      </vt:variant>
      <vt:variant>
        <vt:i4>1703962</vt:i4>
      </vt:variant>
      <vt:variant>
        <vt:i4>3891</vt:i4>
      </vt:variant>
      <vt:variant>
        <vt:i4>0</vt:i4>
      </vt:variant>
      <vt:variant>
        <vt:i4>5</vt:i4>
      </vt:variant>
      <vt:variant>
        <vt:lpwstr/>
      </vt:variant>
      <vt:variant>
        <vt:lpwstr>_Ongoing_studies</vt:lpwstr>
      </vt:variant>
      <vt:variant>
        <vt:i4>8060991</vt:i4>
      </vt:variant>
      <vt:variant>
        <vt:i4>3887</vt:i4>
      </vt:variant>
      <vt:variant>
        <vt:i4>0</vt:i4>
      </vt:variant>
      <vt:variant>
        <vt:i4>5</vt:i4>
      </vt:variant>
      <vt:variant>
        <vt:lpwstr/>
      </vt:variant>
      <vt:variant>
        <vt:lpwstr>_ENREF_248</vt:lpwstr>
      </vt:variant>
      <vt:variant>
        <vt:i4>7602239</vt:i4>
      </vt:variant>
      <vt:variant>
        <vt:i4>3884</vt:i4>
      </vt:variant>
      <vt:variant>
        <vt:i4>0</vt:i4>
      </vt:variant>
      <vt:variant>
        <vt:i4>5</vt:i4>
      </vt:variant>
      <vt:variant>
        <vt:lpwstr/>
      </vt:variant>
      <vt:variant>
        <vt:lpwstr>_ENREF_247</vt:lpwstr>
      </vt:variant>
      <vt:variant>
        <vt:i4>7667775</vt:i4>
      </vt:variant>
      <vt:variant>
        <vt:i4>3876</vt:i4>
      </vt:variant>
      <vt:variant>
        <vt:i4>0</vt:i4>
      </vt:variant>
      <vt:variant>
        <vt:i4>5</vt:i4>
      </vt:variant>
      <vt:variant>
        <vt:lpwstr/>
      </vt:variant>
      <vt:variant>
        <vt:lpwstr>_ENREF_246</vt:lpwstr>
      </vt:variant>
      <vt:variant>
        <vt:i4>7733311</vt:i4>
      </vt:variant>
      <vt:variant>
        <vt:i4>3873</vt:i4>
      </vt:variant>
      <vt:variant>
        <vt:i4>0</vt:i4>
      </vt:variant>
      <vt:variant>
        <vt:i4>5</vt:i4>
      </vt:variant>
      <vt:variant>
        <vt:lpwstr/>
      </vt:variant>
      <vt:variant>
        <vt:lpwstr>_ENREF_245</vt:lpwstr>
      </vt:variant>
      <vt:variant>
        <vt:i4>7733311</vt:i4>
      </vt:variant>
      <vt:variant>
        <vt:i4>3865</vt:i4>
      </vt:variant>
      <vt:variant>
        <vt:i4>0</vt:i4>
      </vt:variant>
      <vt:variant>
        <vt:i4>5</vt:i4>
      </vt:variant>
      <vt:variant>
        <vt:lpwstr/>
      </vt:variant>
      <vt:variant>
        <vt:lpwstr>_ENREF_245</vt:lpwstr>
      </vt:variant>
      <vt:variant>
        <vt:i4>7798847</vt:i4>
      </vt:variant>
      <vt:variant>
        <vt:i4>3859</vt:i4>
      </vt:variant>
      <vt:variant>
        <vt:i4>0</vt:i4>
      </vt:variant>
      <vt:variant>
        <vt:i4>5</vt:i4>
      </vt:variant>
      <vt:variant>
        <vt:lpwstr/>
      </vt:variant>
      <vt:variant>
        <vt:lpwstr>_ENREF_244</vt:lpwstr>
      </vt:variant>
      <vt:variant>
        <vt:i4>7340095</vt:i4>
      </vt:variant>
      <vt:variant>
        <vt:i4>3853</vt:i4>
      </vt:variant>
      <vt:variant>
        <vt:i4>0</vt:i4>
      </vt:variant>
      <vt:variant>
        <vt:i4>5</vt:i4>
      </vt:variant>
      <vt:variant>
        <vt:lpwstr/>
      </vt:variant>
      <vt:variant>
        <vt:lpwstr>_ENREF_243</vt:lpwstr>
      </vt:variant>
      <vt:variant>
        <vt:i4>7405631</vt:i4>
      </vt:variant>
      <vt:variant>
        <vt:i4>3847</vt:i4>
      </vt:variant>
      <vt:variant>
        <vt:i4>0</vt:i4>
      </vt:variant>
      <vt:variant>
        <vt:i4>5</vt:i4>
      </vt:variant>
      <vt:variant>
        <vt:lpwstr/>
      </vt:variant>
      <vt:variant>
        <vt:lpwstr>_ENREF_242</vt:lpwstr>
      </vt:variant>
      <vt:variant>
        <vt:i4>7471167</vt:i4>
      </vt:variant>
      <vt:variant>
        <vt:i4>3844</vt:i4>
      </vt:variant>
      <vt:variant>
        <vt:i4>0</vt:i4>
      </vt:variant>
      <vt:variant>
        <vt:i4>5</vt:i4>
      </vt:variant>
      <vt:variant>
        <vt:lpwstr/>
      </vt:variant>
      <vt:variant>
        <vt:lpwstr>_ENREF_241</vt:lpwstr>
      </vt:variant>
      <vt:variant>
        <vt:i4>7405631</vt:i4>
      </vt:variant>
      <vt:variant>
        <vt:i4>3836</vt:i4>
      </vt:variant>
      <vt:variant>
        <vt:i4>0</vt:i4>
      </vt:variant>
      <vt:variant>
        <vt:i4>5</vt:i4>
      </vt:variant>
      <vt:variant>
        <vt:lpwstr/>
      </vt:variant>
      <vt:variant>
        <vt:lpwstr>_ENREF_242</vt:lpwstr>
      </vt:variant>
      <vt:variant>
        <vt:i4>7471167</vt:i4>
      </vt:variant>
      <vt:variant>
        <vt:i4>3833</vt:i4>
      </vt:variant>
      <vt:variant>
        <vt:i4>0</vt:i4>
      </vt:variant>
      <vt:variant>
        <vt:i4>5</vt:i4>
      </vt:variant>
      <vt:variant>
        <vt:lpwstr/>
      </vt:variant>
      <vt:variant>
        <vt:lpwstr>_ENREF_241</vt:lpwstr>
      </vt:variant>
      <vt:variant>
        <vt:i4>7471167</vt:i4>
      </vt:variant>
      <vt:variant>
        <vt:i4>3825</vt:i4>
      </vt:variant>
      <vt:variant>
        <vt:i4>0</vt:i4>
      </vt:variant>
      <vt:variant>
        <vt:i4>5</vt:i4>
      </vt:variant>
      <vt:variant>
        <vt:lpwstr/>
      </vt:variant>
      <vt:variant>
        <vt:lpwstr>_ENREF_241</vt:lpwstr>
      </vt:variant>
      <vt:variant>
        <vt:i4>2097162</vt:i4>
      </vt:variant>
      <vt:variant>
        <vt:i4>3793</vt:i4>
      </vt:variant>
      <vt:variant>
        <vt:i4>0</vt:i4>
      </vt:variant>
      <vt:variant>
        <vt:i4>5</vt:i4>
      </vt:variant>
      <vt:variant>
        <vt:lpwstr/>
      </vt:variant>
      <vt:variant>
        <vt:lpwstr>_Studies_awaiting_classification</vt:lpwstr>
      </vt:variant>
      <vt:variant>
        <vt:i4>2818117</vt:i4>
      </vt:variant>
      <vt:variant>
        <vt:i4>3790</vt:i4>
      </vt:variant>
      <vt:variant>
        <vt:i4>0</vt:i4>
      </vt:variant>
      <vt:variant>
        <vt:i4>5</vt:i4>
      </vt:variant>
      <vt:variant>
        <vt:lpwstr/>
      </vt:variant>
      <vt:variant>
        <vt:lpwstr>_Ongoing_studies_1</vt:lpwstr>
      </vt:variant>
      <vt:variant>
        <vt:i4>7602232</vt:i4>
      </vt:variant>
      <vt:variant>
        <vt:i4>3786</vt:i4>
      </vt:variant>
      <vt:variant>
        <vt:i4>0</vt:i4>
      </vt:variant>
      <vt:variant>
        <vt:i4>5</vt:i4>
      </vt:variant>
      <vt:variant>
        <vt:lpwstr/>
      </vt:variant>
      <vt:variant>
        <vt:lpwstr>_ENREF_237</vt:lpwstr>
      </vt:variant>
      <vt:variant>
        <vt:i4>7667768</vt:i4>
      </vt:variant>
      <vt:variant>
        <vt:i4>3778</vt:i4>
      </vt:variant>
      <vt:variant>
        <vt:i4>0</vt:i4>
      </vt:variant>
      <vt:variant>
        <vt:i4>5</vt:i4>
      </vt:variant>
      <vt:variant>
        <vt:lpwstr/>
      </vt:variant>
      <vt:variant>
        <vt:lpwstr>_ENREF_236</vt:lpwstr>
      </vt:variant>
      <vt:variant>
        <vt:i4>7733304</vt:i4>
      </vt:variant>
      <vt:variant>
        <vt:i4>3775</vt:i4>
      </vt:variant>
      <vt:variant>
        <vt:i4>0</vt:i4>
      </vt:variant>
      <vt:variant>
        <vt:i4>5</vt:i4>
      </vt:variant>
      <vt:variant>
        <vt:lpwstr/>
      </vt:variant>
      <vt:variant>
        <vt:lpwstr>_ENREF_235</vt:lpwstr>
      </vt:variant>
      <vt:variant>
        <vt:i4>7340088</vt:i4>
      </vt:variant>
      <vt:variant>
        <vt:i4>3767</vt:i4>
      </vt:variant>
      <vt:variant>
        <vt:i4>0</vt:i4>
      </vt:variant>
      <vt:variant>
        <vt:i4>5</vt:i4>
      </vt:variant>
      <vt:variant>
        <vt:lpwstr/>
      </vt:variant>
      <vt:variant>
        <vt:lpwstr>_ENREF_233</vt:lpwstr>
      </vt:variant>
      <vt:variant>
        <vt:i4>7798840</vt:i4>
      </vt:variant>
      <vt:variant>
        <vt:i4>3761</vt:i4>
      </vt:variant>
      <vt:variant>
        <vt:i4>0</vt:i4>
      </vt:variant>
      <vt:variant>
        <vt:i4>5</vt:i4>
      </vt:variant>
      <vt:variant>
        <vt:lpwstr/>
      </vt:variant>
      <vt:variant>
        <vt:lpwstr>_ENREF_234</vt:lpwstr>
      </vt:variant>
      <vt:variant>
        <vt:i4>7340088</vt:i4>
      </vt:variant>
      <vt:variant>
        <vt:i4>3758</vt:i4>
      </vt:variant>
      <vt:variant>
        <vt:i4>0</vt:i4>
      </vt:variant>
      <vt:variant>
        <vt:i4>5</vt:i4>
      </vt:variant>
      <vt:variant>
        <vt:lpwstr/>
      </vt:variant>
      <vt:variant>
        <vt:lpwstr>_ENREF_233</vt:lpwstr>
      </vt:variant>
      <vt:variant>
        <vt:i4>7340088</vt:i4>
      </vt:variant>
      <vt:variant>
        <vt:i4>3750</vt:i4>
      </vt:variant>
      <vt:variant>
        <vt:i4>0</vt:i4>
      </vt:variant>
      <vt:variant>
        <vt:i4>5</vt:i4>
      </vt:variant>
      <vt:variant>
        <vt:lpwstr/>
      </vt:variant>
      <vt:variant>
        <vt:lpwstr>_ENREF_233</vt:lpwstr>
      </vt:variant>
      <vt:variant>
        <vt:i4>7340088</vt:i4>
      </vt:variant>
      <vt:variant>
        <vt:i4>3744</vt:i4>
      </vt:variant>
      <vt:variant>
        <vt:i4>0</vt:i4>
      </vt:variant>
      <vt:variant>
        <vt:i4>5</vt:i4>
      </vt:variant>
      <vt:variant>
        <vt:lpwstr/>
      </vt:variant>
      <vt:variant>
        <vt:lpwstr>_ENREF_233</vt:lpwstr>
      </vt:variant>
      <vt:variant>
        <vt:i4>7405624</vt:i4>
      </vt:variant>
      <vt:variant>
        <vt:i4>3738</vt:i4>
      </vt:variant>
      <vt:variant>
        <vt:i4>0</vt:i4>
      </vt:variant>
      <vt:variant>
        <vt:i4>5</vt:i4>
      </vt:variant>
      <vt:variant>
        <vt:lpwstr/>
      </vt:variant>
      <vt:variant>
        <vt:lpwstr>_ENREF_232</vt:lpwstr>
      </vt:variant>
      <vt:variant>
        <vt:i4>7471160</vt:i4>
      </vt:variant>
      <vt:variant>
        <vt:i4>3730</vt:i4>
      </vt:variant>
      <vt:variant>
        <vt:i4>0</vt:i4>
      </vt:variant>
      <vt:variant>
        <vt:i4>5</vt:i4>
      </vt:variant>
      <vt:variant>
        <vt:lpwstr/>
      </vt:variant>
      <vt:variant>
        <vt:lpwstr>_ENREF_231</vt:lpwstr>
      </vt:variant>
      <vt:variant>
        <vt:i4>7471160</vt:i4>
      </vt:variant>
      <vt:variant>
        <vt:i4>3724</vt:i4>
      </vt:variant>
      <vt:variant>
        <vt:i4>0</vt:i4>
      </vt:variant>
      <vt:variant>
        <vt:i4>5</vt:i4>
      </vt:variant>
      <vt:variant>
        <vt:lpwstr/>
      </vt:variant>
      <vt:variant>
        <vt:lpwstr>_ENREF_231</vt:lpwstr>
      </vt:variant>
      <vt:variant>
        <vt:i4>7471160</vt:i4>
      </vt:variant>
      <vt:variant>
        <vt:i4>3718</vt:i4>
      </vt:variant>
      <vt:variant>
        <vt:i4>0</vt:i4>
      </vt:variant>
      <vt:variant>
        <vt:i4>5</vt:i4>
      </vt:variant>
      <vt:variant>
        <vt:lpwstr/>
      </vt:variant>
      <vt:variant>
        <vt:lpwstr>_ENREF_231</vt:lpwstr>
      </vt:variant>
      <vt:variant>
        <vt:i4>7471160</vt:i4>
      </vt:variant>
      <vt:variant>
        <vt:i4>3712</vt:i4>
      </vt:variant>
      <vt:variant>
        <vt:i4>0</vt:i4>
      </vt:variant>
      <vt:variant>
        <vt:i4>5</vt:i4>
      </vt:variant>
      <vt:variant>
        <vt:lpwstr/>
      </vt:variant>
      <vt:variant>
        <vt:lpwstr>_ENREF_231</vt:lpwstr>
      </vt:variant>
      <vt:variant>
        <vt:i4>7471160</vt:i4>
      </vt:variant>
      <vt:variant>
        <vt:i4>3706</vt:i4>
      </vt:variant>
      <vt:variant>
        <vt:i4>0</vt:i4>
      </vt:variant>
      <vt:variant>
        <vt:i4>5</vt:i4>
      </vt:variant>
      <vt:variant>
        <vt:lpwstr/>
      </vt:variant>
      <vt:variant>
        <vt:lpwstr>_ENREF_231</vt:lpwstr>
      </vt:variant>
      <vt:variant>
        <vt:i4>7471160</vt:i4>
      </vt:variant>
      <vt:variant>
        <vt:i4>3700</vt:i4>
      </vt:variant>
      <vt:variant>
        <vt:i4>0</vt:i4>
      </vt:variant>
      <vt:variant>
        <vt:i4>5</vt:i4>
      </vt:variant>
      <vt:variant>
        <vt:lpwstr/>
      </vt:variant>
      <vt:variant>
        <vt:lpwstr>_ENREF_231</vt:lpwstr>
      </vt:variant>
      <vt:variant>
        <vt:i4>7995449</vt:i4>
      </vt:variant>
      <vt:variant>
        <vt:i4>3694</vt:i4>
      </vt:variant>
      <vt:variant>
        <vt:i4>0</vt:i4>
      </vt:variant>
      <vt:variant>
        <vt:i4>5</vt:i4>
      </vt:variant>
      <vt:variant>
        <vt:lpwstr/>
      </vt:variant>
      <vt:variant>
        <vt:lpwstr>_ENREF_229</vt:lpwstr>
      </vt:variant>
      <vt:variant>
        <vt:i4>7536696</vt:i4>
      </vt:variant>
      <vt:variant>
        <vt:i4>3688</vt:i4>
      </vt:variant>
      <vt:variant>
        <vt:i4>0</vt:i4>
      </vt:variant>
      <vt:variant>
        <vt:i4>5</vt:i4>
      </vt:variant>
      <vt:variant>
        <vt:lpwstr/>
      </vt:variant>
      <vt:variant>
        <vt:lpwstr>_ENREF_230</vt:lpwstr>
      </vt:variant>
      <vt:variant>
        <vt:i4>7995449</vt:i4>
      </vt:variant>
      <vt:variant>
        <vt:i4>3685</vt:i4>
      </vt:variant>
      <vt:variant>
        <vt:i4>0</vt:i4>
      </vt:variant>
      <vt:variant>
        <vt:i4>5</vt:i4>
      </vt:variant>
      <vt:variant>
        <vt:lpwstr/>
      </vt:variant>
      <vt:variant>
        <vt:lpwstr>_ENREF_229</vt:lpwstr>
      </vt:variant>
      <vt:variant>
        <vt:i4>7995449</vt:i4>
      </vt:variant>
      <vt:variant>
        <vt:i4>3677</vt:i4>
      </vt:variant>
      <vt:variant>
        <vt:i4>0</vt:i4>
      </vt:variant>
      <vt:variant>
        <vt:i4>5</vt:i4>
      </vt:variant>
      <vt:variant>
        <vt:lpwstr/>
      </vt:variant>
      <vt:variant>
        <vt:lpwstr>_ENREF_229</vt:lpwstr>
      </vt:variant>
      <vt:variant>
        <vt:i4>7536696</vt:i4>
      </vt:variant>
      <vt:variant>
        <vt:i4>3671</vt:i4>
      </vt:variant>
      <vt:variant>
        <vt:i4>0</vt:i4>
      </vt:variant>
      <vt:variant>
        <vt:i4>5</vt:i4>
      </vt:variant>
      <vt:variant>
        <vt:lpwstr/>
      </vt:variant>
      <vt:variant>
        <vt:lpwstr>_ENREF_230</vt:lpwstr>
      </vt:variant>
      <vt:variant>
        <vt:i4>7995449</vt:i4>
      </vt:variant>
      <vt:variant>
        <vt:i4>3668</vt:i4>
      </vt:variant>
      <vt:variant>
        <vt:i4>0</vt:i4>
      </vt:variant>
      <vt:variant>
        <vt:i4>5</vt:i4>
      </vt:variant>
      <vt:variant>
        <vt:lpwstr/>
      </vt:variant>
      <vt:variant>
        <vt:lpwstr>_ENREF_229</vt:lpwstr>
      </vt:variant>
      <vt:variant>
        <vt:i4>7536696</vt:i4>
      </vt:variant>
      <vt:variant>
        <vt:i4>3660</vt:i4>
      </vt:variant>
      <vt:variant>
        <vt:i4>0</vt:i4>
      </vt:variant>
      <vt:variant>
        <vt:i4>5</vt:i4>
      </vt:variant>
      <vt:variant>
        <vt:lpwstr/>
      </vt:variant>
      <vt:variant>
        <vt:lpwstr>_ENREF_230</vt:lpwstr>
      </vt:variant>
      <vt:variant>
        <vt:i4>7995449</vt:i4>
      </vt:variant>
      <vt:variant>
        <vt:i4>3657</vt:i4>
      </vt:variant>
      <vt:variant>
        <vt:i4>0</vt:i4>
      </vt:variant>
      <vt:variant>
        <vt:i4>5</vt:i4>
      </vt:variant>
      <vt:variant>
        <vt:lpwstr/>
      </vt:variant>
      <vt:variant>
        <vt:lpwstr>_ENREF_229</vt:lpwstr>
      </vt:variant>
      <vt:variant>
        <vt:i4>7995449</vt:i4>
      </vt:variant>
      <vt:variant>
        <vt:i4>3649</vt:i4>
      </vt:variant>
      <vt:variant>
        <vt:i4>0</vt:i4>
      </vt:variant>
      <vt:variant>
        <vt:i4>5</vt:i4>
      </vt:variant>
      <vt:variant>
        <vt:lpwstr/>
      </vt:variant>
      <vt:variant>
        <vt:lpwstr>_ENREF_229</vt:lpwstr>
      </vt:variant>
      <vt:variant>
        <vt:i4>4784139</vt:i4>
      </vt:variant>
      <vt:variant>
        <vt:i4>3625</vt:i4>
      </vt:variant>
      <vt:variant>
        <vt:i4>0</vt:i4>
      </vt:variant>
      <vt:variant>
        <vt:i4>5</vt:i4>
      </vt:variant>
      <vt:variant>
        <vt:lpwstr/>
      </vt:variant>
      <vt:variant>
        <vt:lpwstr>_ENREF_83</vt:lpwstr>
      </vt:variant>
      <vt:variant>
        <vt:i4>2097162</vt:i4>
      </vt:variant>
      <vt:variant>
        <vt:i4>3611</vt:i4>
      </vt:variant>
      <vt:variant>
        <vt:i4>0</vt:i4>
      </vt:variant>
      <vt:variant>
        <vt:i4>5</vt:i4>
      </vt:variant>
      <vt:variant>
        <vt:lpwstr/>
      </vt:variant>
      <vt:variant>
        <vt:lpwstr>_Studies_awaiting_classification</vt:lpwstr>
      </vt:variant>
      <vt:variant>
        <vt:i4>2818117</vt:i4>
      </vt:variant>
      <vt:variant>
        <vt:i4>3608</vt:i4>
      </vt:variant>
      <vt:variant>
        <vt:i4>0</vt:i4>
      </vt:variant>
      <vt:variant>
        <vt:i4>5</vt:i4>
      </vt:variant>
      <vt:variant>
        <vt:lpwstr/>
      </vt:variant>
      <vt:variant>
        <vt:lpwstr>_Ongoing_studies_1</vt:lpwstr>
      </vt:variant>
      <vt:variant>
        <vt:i4>8060985</vt:i4>
      </vt:variant>
      <vt:variant>
        <vt:i4>3604</vt:i4>
      </vt:variant>
      <vt:variant>
        <vt:i4>0</vt:i4>
      </vt:variant>
      <vt:variant>
        <vt:i4>5</vt:i4>
      </vt:variant>
      <vt:variant>
        <vt:lpwstr/>
      </vt:variant>
      <vt:variant>
        <vt:lpwstr>_ENREF_228</vt:lpwstr>
      </vt:variant>
      <vt:variant>
        <vt:i4>7733305</vt:i4>
      </vt:variant>
      <vt:variant>
        <vt:i4>3598</vt:i4>
      </vt:variant>
      <vt:variant>
        <vt:i4>0</vt:i4>
      </vt:variant>
      <vt:variant>
        <vt:i4>5</vt:i4>
      </vt:variant>
      <vt:variant>
        <vt:lpwstr/>
      </vt:variant>
      <vt:variant>
        <vt:lpwstr>_ENREF_225</vt:lpwstr>
      </vt:variant>
      <vt:variant>
        <vt:i4>7798841</vt:i4>
      </vt:variant>
      <vt:variant>
        <vt:i4>3590</vt:i4>
      </vt:variant>
      <vt:variant>
        <vt:i4>0</vt:i4>
      </vt:variant>
      <vt:variant>
        <vt:i4>5</vt:i4>
      </vt:variant>
      <vt:variant>
        <vt:lpwstr/>
      </vt:variant>
      <vt:variant>
        <vt:lpwstr>_ENREF_224</vt:lpwstr>
      </vt:variant>
      <vt:variant>
        <vt:i4>7471161</vt:i4>
      </vt:variant>
      <vt:variant>
        <vt:i4>3582</vt:i4>
      </vt:variant>
      <vt:variant>
        <vt:i4>0</vt:i4>
      </vt:variant>
      <vt:variant>
        <vt:i4>5</vt:i4>
      </vt:variant>
      <vt:variant>
        <vt:lpwstr/>
      </vt:variant>
      <vt:variant>
        <vt:lpwstr>_ENREF_221</vt:lpwstr>
      </vt:variant>
      <vt:variant>
        <vt:i4>7995450</vt:i4>
      </vt:variant>
      <vt:variant>
        <vt:i4>3579</vt:i4>
      </vt:variant>
      <vt:variant>
        <vt:i4>0</vt:i4>
      </vt:variant>
      <vt:variant>
        <vt:i4>5</vt:i4>
      </vt:variant>
      <vt:variant>
        <vt:lpwstr/>
      </vt:variant>
      <vt:variant>
        <vt:lpwstr>_ENREF_219</vt:lpwstr>
      </vt:variant>
      <vt:variant>
        <vt:i4>7798841</vt:i4>
      </vt:variant>
      <vt:variant>
        <vt:i4>3571</vt:i4>
      </vt:variant>
      <vt:variant>
        <vt:i4>0</vt:i4>
      </vt:variant>
      <vt:variant>
        <vt:i4>5</vt:i4>
      </vt:variant>
      <vt:variant>
        <vt:lpwstr/>
      </vt:variant>
      <vt:variant>
        <vt:lpwstr>_ENREF_224</vt:lpwstr>
      </vt:variant>
      <vt:variant>
        <vt:i4>7340089</vt:i4>
      </vt:variant>
      <vt:variant>
        <vt:i4>3568</vt:i4>
      </vt:variant>
      <vt:variant>
        <vt:i4>0</vt:i4>
      </vt:variant>
      <vt:variant>
        <vt:i4>5</vt:i4>
      </vt:variant>
      <vt:variant>
        <vt:lpwstr/>
      </vt:variant>
      <vt:variant>
        <vt:lpwstr>_ENREF_223</vt:lpwstr>
      </vt:variant>
      <vt:variant>
        <vt:i4>7471161</vt:i4>
      </vt:variant>
      <vt:variant>
        <vt:i4>3565</vt:i4>
      </vt:variant>
      <vt:variant>
        <vt:i4>0</vt:i4>
      </vt:variant>
      <vt:variant>
        <vt:i4>5</vt:i4>
      </vt:variant>
      <vt:variant>
        <vt:lpwstr/>
      </vt:variant>
      <vt:variant>
        <vt:lpwstr>_ENREF_221</vt:lpwstr>
      </vt:variant>
      <vt:variant>
        <vt:i4>7536697</vt:i4>
      </vt:variant>
      <vt:variant>
        <vt:i4>3557</vt:i4>
      </vt:variant>
      <vt:variant>
        <vt:i4>0</vt:i4>
      </vt:variant>
      <vt:variant>
        <vt:i4>5</vt:i4>
      </vt:variant>
      <vt:variant>
        <vt:lpwstr/>
      </vt:variant>
      <vt:variant>
        <vt:lpwstr>_ENREF_220</vt:lpwstr>
      </vt:variant>
      <vt:variant>
        <vt:i4>7405625</vt:i4>
      </vt:variant>
      <vt:variant>
        <vt:i4>3551</vt:i4>
      </vt:variant>
      <vt:variant>
        <vt:i4>0</vt:i4>
      </vt:variant>
      <vt:variant>
        <vt:i4>5</vt:i4>
      </vt:variant>
      <vt:variant>
        <vt:lpwstr/>
      </vt:variant>
      <vt:variant>
        <vt:lpwstr>_ENREF_222</vt:lpwstr>
      </vt:variant>
      <vt:variant>
        <vt:i4>7471161</vt:i4>
      </vt:variant>
      <vt:variant>
        <vt:i4>3543</vt:i4>
      </vt:variant>
      <vt:variant>
        <vt:i4>0</vt:i4>
      </vt:variant>
      <vt:variant>
        <vt:i4>5</vt:i4>
      </vt:variant>
      <vt:variant>
        <vt:lpwstr/>
      </vt:variant>
      <vt:variant>
        <vt:lpwstr>_ENREF_221</vt:lpwstr>
      </vt:variant>
      <vt:variant>
        <vt:i4>7995450</vt:i4>
      </vt:variant>
      <vt:variant>
        <vt:i4>3540</vt:i4>
      </vt:variant>
      <vt:variant>
        <vt:i4>0</vt:i4>
      </vt:variant>
      <vt:variant>
        <vt:i4>5</vt:i4>
      </vt:variant>
      <vt:variant>
        <vt:lpwstr/>
      </vt:variant>
      <vt:variant>
        <vt:lpwstr>_ENREF_219</vt:lpwstr>
      </vt:variant>
      <vt:variant>
        <vt:i4>7536697</vt:i4>
      </vt:variant>
      <vt:variant>
        <vt:i4>3532</vt:i4>
      </vt:variant>
      <vt:variant>
        <vt:i4>0</vt:i4>
      </vt:variant>
      <vt:variant>
        <vt:i4>5</vt:i4>
      </vt:variant>
      <vt:variant>
        <vt:lpwstr/>
      </vt:variant>
      <vt:variant>
        <vt:lpwstr>_ENREF_220</vt:lpwstr>
      </vt:variant>
      <vt:variant>
        <vt:i4>7995450</vt:i4>
      </vt:variant>
      <vt:variant>
        <vt:i4>3529</vt:i4>
      </vt:variant>
      <vt:variant>
        <vt:i4>0</vt:i4>
      </vt:variant>
      <vt:variant>
        <vt:i4>5</vt:i4>
      </vt:variant>
      <vt:variant>
        <vt:lpwstr/>
      </vt:variant>
      <vt:variant>
        <vt:lpwstr>_ENREF_219</vt:lpwstr>
      </vt:variant>
      <vt:variant>
        <vt:i4>7995450</vt:i4>
      </vt:variant>
      <vt:variant>
        <vt:i4>3521</vt:i4>
      </vt:variant>
      <vt:variant>
        <vt:i4>0</vt:i4>
      </vt:variant>
      <vt:variant>
        <vt:i4>5</vt:i4>
      </vt:variant>
      <vt:variant>
        <vt:lpwstr/>
      </vt:variant>
      <vt:variant>
        <vt:lpwstr>_ENREF_219</vt:lpwstr>
      </vt:variant>
      <vt:variant>
        <vt:i4>8060986</vt:i4>
      </vt:variant>
      <vt:variant>
        <vt:i4>3455</vt:i4>
      </vt:variant>
      <vt:variant>
        <vt:i4>0</vt:i4>
      </vt:variant>
      <vt:variant>
        <vt:i4>5</vt:i4>
      </vt:variant>
      <vt:variant>
        <vt:lpwstr/>
      </vt:variant>
      <vt:variant>
        <vt:lpwstr>_ENREF_218</vt:lpwstr>
      </vt:variant>
      <vt:variant>
        <vt:i4>4784139</vt:i4>
      </vt:variant>
      <vt:variant>
        <vt:i4>3449</vt:i4>
      </vt:variant>
      <vt:variant>
        <vt:i4>0</vt:i4>
      </vt:variant>
      <vt:variant>
        <vt:i4>5</vt:i4>
      </vt:variant>
      <vt:variant>
        <vt:lpwstr/>
      </vt:variant>
      <vt:variant>
        <vt:lpwstr>_ENREF_83</vt:lpwstr>
      </vt:variant>
      <vt:variant>
        <vt:i4>7602234</vt:i4>
      </vt:variant>
      <vt:variant>
        <vt:i4>3443</vt:i4>
      </vt:variant>
      <vt:variant>
        <vt:i4>0</vt:i4>
      </vt:variant>
      <vt:variant>
        <vt:i4>5</vt:i4>
      </vt:variant>
      <vt:variant>
        <vt:lpwstr/>
      </vt:variant>
      <vt:variant>
        <vt:lpwstr>_ENREF_217</vt:lpwstr>
      </vt:variant>
      <vt:variant>
        <vt:i4>7602234</vt:i4>
      </vt:variant>
      <vt:variant>
        <vt:i4>3435</vt:i4>
      </vt:variant>
      <vt:variant>
        <vt:i4>0</vt:i4>
      </vt:variant>
      <vt:variant>
        <vt:i4>5</vt:i4>
      </vt:variant>
      <vt:variant>
        <vt:lpwstr/>
      </vt:variant>
      <vt:variant>
        <vt:lpwstr>_ENREF_217</vt:lpwstr>
      </vt:variant>
      <vt:variant>
        <vt:i4>4784139</vt:i4>
      </vt:variant>
      <vt:variant>
        <vt:i4>3427</vt:i4>
      </vt:variant>
      <vt:variant>
        <vt:i4>0</vt:i4>
      </vt:variant>
      <vt:variant>
        <vt:i4>5</vt:i4>
      </vt:variant>
      <vt:variant>
        <vt:lpwstr/>
      </vt:variant>
      <vt:variant>
        <vt:lpwstr>_ENREF_83</vt:lpwstr>
      </vt:variant>
      <vt:variant>
        <vt:i4>2097162</vt:i4>
      </vt:variant>
      <vt:variant>
        <vt:i4>3413</vt:i4>
      </vt:variant>
      <vt:variant>
        <vt:i4>0</vt:i4>
      </vt:variant>
      <vt:variant>
        <vt:i4>5</vt:i4>
      </vt:variant>
      <vt:variant>
        <vt:lpwstr/>
      </vt:variant>
      <vt:variant>
        <vt:lpwstr>_Studies_awaiting_classification</vt:lpwstr>
      </vt:variant>
      <vt:variant>
        <vt:i4>1703962</vt:i4>
      </vt:variant>
      <vt:variant>
        <vt:i4>3410</vt:i4>
      </vt:variant>
      <vt:variant>
        <vt:i4>0</vt:i4>
      </vt:variant>
      <vt:variant>
        <vt:i4>5</vt:i4>
      </vt:variant>
      <vt:variant>
        <vt:lpwstr/>
      </vt:variant>
      <vt:variant>
        <vt:lpwstr>_Ongoing_studies</vt:lpwstr>
      </vt:variant>
      <vt:variant>
        <vt:i4>7667771</vt:i4>
      </vt:variant>
      <vt:variant>
        <vt:i4>3406</vt:i4>
      </vt:variant>
      <vt:variant>
        <vt:i4>0</vt:i4>
      </vt:variant>
      <vt:variant>
        <vt:i4>5</vt:i4>
      </vt:variant>
      <vt:variant>
        <vt:lpwstr/>
      </vt:variant>
      <vt:variant>
        <vt:lpwstr>_ENREF_206</vt:lpwstr>
      </vt:variant>
      <vt:variant>
        <vt:i4>7536702</vt:i4>
      </vt:variant>
      <vt:variant>
        <vt:i4>3403</vt:i4>
      </vt:variant>
      <vt:variant>
        <vt:i4>0</vt:i4>
      </vt:variant>
      <vt:variant>
        <vt:i4>5</vt:i4>
      </vt:variant>
      <vt:variant>
        <vt:lpwstr/>
      </vt:variant>
      <vt:variant>
        <vt:lpwstr>_ENREF_153</vt:lpwstr>
      </vt:variant>
      <vt:variant>
        <vt:i4>7667771</vt:i4>
      </vt:variant>
      <vt:variant>
        <vt:i4>3395</vt:i4>
      </vt:variant>
      <vt:variant>
        <vt:i4>0</vt:i4>
      </vt:variant>
      <vt:variant>
        <vt:i4>5</vt:i4>
      </vt:variant>
      <vt:variant>
        <vt:lpwstr/>
      </vt:variant>
      <vt:variant>
        <vt:lpwstr>_ENREF_206</vt:lpwstr>
      </vt:variant>
      <vt:variant>
        <vt:i4>7667771</vt:i4>
      </vt:variant>
      <vt:variant>
        <vt:i4>3389</vt:i4>
      </vt:variant>
      <vt:variant>
        <vt:i4>0</vt:i4>
      </vt:variant>
      <vt:variant>
        <vt:i4>5</vt:i4>
      </vt:variant>
      <vt:variant>
        <vt:lpwstr/>
      </vt:variant>
      <vt:variant>
        <vt:lpwstr>_ENREF_206</vt:lpwstr>
      </vt:variant>
      <vt:variant>
        <vt:i4>7733307</vt:i4>
      </vt:variant>
      <vt:variant>
        <vt:i4>3383</vt:i4>
      </vt:variant>
      <vt:variant>
        <vt:i4>0</vt:i4>
      </vt:variant>
      <vt:variant>
        <vt:i4>5</vt:i4>
      </vt:variant>
      <vt:variant>
        <vt:lpwstr/>
      </vt:variant>
      <vt:variant>
        <vt:lpwstr>_ENREF_205</vt:lpwstr>
      </vt:variant>
      <vt:variant>
        <vt:i4>7798843</vt:i4>
      </vt:variant>
      <vt:variant>
        <vt:i4>3377</vt:i4>
      </vt:variant>
      <vt:variant>
        <vt:i4>0</vt:i4>
      </vt:variant>
      <vt:variant>
        <vt:i4>5</vt:i4>
      </vt:variant>
      <vt:variant>
        <vt:lpwstr/>
      </vt:variant>
      <vt:variant>
        <vt:lpwstr>_ENREF_204</vt:lpwstr>
      </vt:variant>
      <vt:variant>
        <vt:i4>7798843</vt:i4>
      </vt:variant>
      <vt:variant>
        <vt:i4>3371</vt:i4>
      </vt:variant>
      <vt:variant>
        <vt:i4>0</vt:i4>
      </vt:variant>
      <vt:variant>
        <vt:i4>5</vt:i4>
      </vt:variant>
      <vt:variant>
        <vt:lpwstr/>
      </vt:variant>
      <vt:variant>
        <vt:lpwstr>_ENREF_204</vt:lpwstr>
      </vt:variant>
      <vt:variant>
        <vt:i4>7602226</vt:i4>
      </vt:variant>
      <vt:variant>
        <vt:i4>3365</vt:i4>
      </vt:variant>
      <vt:variant>
        <vt:i4>0</vt:i4>
      </vt:variant>
      <vt:variant>
        <vt:i4>5</vt:i4>
      </vt:variant>
      <vt:variant>
        <vt:lpwstr/>
      </vt:variant>
      <vt:variant>
        <vt:lpwstr>_ENREF_194</vt:lpwstr>
      </vt:variant>
      <vt:variant>
        <vt:i4>7405627</vt:i4>
      </vt:variant>
      <vt:variant>
        <vt:i4>3359</vt:i4>
      </vt:variant>
      <vt:variant>
        <vt:i4>0</vt:i4>
      </vt:variant>
      <vt:variant>
        <vt:i4>5</vt:i4>
      </vt:variant>
      <vt:variant>
        <vt:lpwstr/>
      </vt:variant>
      <vt:variant>
        <vt:lpwstr>_ENREF_202</vt:lpwstr>
      </vt:variant>
      <vt:variant>
        <vt:i4>7340091</vt:i4>
      </vt:variant>
      <vt:variant>
        <vt:i4>3353</vt:i4>
      </vt:variant>
      <vt:variant>
        <vt:i4>0</vt:i4>
      </vt:variant>
      <vt:variant>
        <vt:i4>5</vt:i4>
      </vt:variant>
      <vt:variant>
        <vt:lpwstr/>
      </vt:variant>
      <vt:variant>
        <vt:lpwstr>_ENREF_203</vt:lpwstr>
      </vt:variant>
      <vt:variant>
        <vt:i4>7405627</vt:i4>
      </vt:variant>
      <vt:variant>
        <vt:i4>3347</vt:i4>
      </vt:variant>
      <vt:variant>
        <vt:i4>0</vt:i4>
      </vt:variant>
      <vt:variant>
        <vt:i4>5</vt:i4>
      </vt:variant>
      <vt:variant>
        <vt:lpwstr/>
      </vt:variant>
      <vt:variant>
        <vt:lpwstr>_ENREF_202</vt:lpwstr>
      </vt:variant>
      <vt:variant>
        <vt:i4>7405627</vt:i4>
      </vt:variant>
      <vt:variant>
        <vt:i4>3341</vt:i4>
      </vt:variant>
      <vt:variant>
        <vt:i4>0</vt:i4>
      </vt:variant>
      <vt:variant>
        <vt:i4>5</vt:i4>
      </vt:variant>
      <vt:variant>
        <vt:lpwstr/>
      </vt:variant>
      <vt:variant>
        <vt:lpwstr>_ENREF_202</vt:lpwstr>
      </vt:variant>
      <vt:variant>
        <vt:i4>7405627</vt:i4>
      </vt:variant>
      <vt:variant>
        <vt:i4>3335</vt:i4>
      </vt:variant>
      <vt:variant>
        <vt:i4>0</vt:i4>
      </vt:variant>
      <vt:variant>
        <vt:i4>5</vt:i4>
      </vt:variant>
      <vt:variant>
        <vt:lpwstr/>
      </vt:variant>
      <vt:variant>
        <vt:lpwstr>_ENREF_202</vt:lpwstr>
      </vt:variant>
      <vt:variant>
        <vt:i4>2097162</vt:i4>
      </vt:variant>
      <vt:variant>
        <vt:i4>3291</vt:i4>
      </vt:variant>
      <vt:variant>
        <vt:i4>0</vt:i4>
      </vt:variant>
      <vt:variant>
        <vt:i4>5</vt:i4>
      </vt:variant>
      <vt:variant>
        <vt:lpwstr/>
      </vt:variant>
      <vt:variant>
        <vt:lpwstr>_Studies_awaiting_classification</vt:lpwstr>
      </vt:variant>
      <vt:variant>
        <vt:i4>2818117</vt:i4>
      </vt:variant>
      <vt:variant>
        <vt:i4>3288</vt:i4>
      </vt:variant>
      <vt:variant>
        <vt:i4>0</vt:i4>
      </vt:variant>
      <vt:variant>
        <vt:i4>5</vt:i4>
      </vt:variant>
      <vt:variant>
        <vt:lpwstr/>
      </vt:variant>
      <vt:variant>
        <vt:lpwstr>_Ongoing_studies_1</vt:lpwstr>
      </vt:variant>
      <vt:variant>
        <vt:i4>7667762</vt:i4>
      </vt:variant>
      <vt:variant>
        <vt:i4>3284</vt:i4>
      </vt:variant>
      <vt:variant>
        <vt:i4>0</vt:i4>
      </vt:variant>
      <vt:variant>
        <vt:i4>5</vt:i4>
      </vt:variant>
      <vt:variant>
        <vt:lpwstr/>
      </vt:variant>
      <vt:variant>
        <vt:lpwstr>_ENREF_195</vt:lpwstr>
      </vt:variant>
      <vt:variant>
        <vt:i4>7536690</vt:i4>
      </vt:variant>
      <vt:variant>
        <vt:i4>3276</vt:i4>
      </vt:variant>
      <vt:variant>
        <vt:i4>0</vt:i4>
      </vt:variant>
      <vt:variant>
        <vt:i4>5</vt:i4>
      </vt:variant>
      <vt:variant>
        <vt:lpwstr/>
      </vt:variant>
      <vt:variant>
        <vt:lpwstr>_ENREF_193</vt:lpwstr>
      </vt:variant>
      <vt:variant>
        <vt:i4>7405618</vt:i4>
      </vt:variant>
      <vt:variant>
        <vt:i4>3273</vt:i4>
      </vt:variant>
      <vt:variant>
        <vt:i4>0</vt:i4>
      </vt:variant>
      <vt:variant>
        <vt:i4>5</vt:i4>
      </vt:variant>
      <vt:variant>
        <vt:lpwstr/>
      </vt:variant>
      <vt:variant>
        <vt:lpwstr>_ENREF_191</vt:lpwstr>
      </vt:variant>
      <vt:variant>
        <vt:i4>7536690</vt:i4>
      </vt:variant>
      <vt:variant>
        <vt:i4>3267</vt:i4>
      </vt:variant>
      <vt:variant>
        <vt:i4>0</vt:i4>
      </vt:variant>
      <vt:variant>
        <vt:i4>5</vt:i4>
      </vt:variant>
      <vt:variant>
        <vt:lpwstr/>
      </vt:variant>
      <vt:variant>
        <vt:lpwstr>_ENREF_193</vt:lpwstr>
      </vt:variant>
      <vt:variant>
        <vt:i4>7405618</vt:i4>
      </vt:variant>
      <vt:variant>
        <vt:i4>3264</vt:i4>
      </vt:variant>
      <vt:variant>
        <vt:i4>0</vt:i4>
      </vt:variant>
      <vt:variant>
        <vt:i4>5</vt:i4>
      </vt:variant>
      <vt:variant>
        <vt:lpwstr/>
      </vt:variant>
      <vt:variant>
        <vt:lpwstr>_ENREF_191</vt:lpwstr>
      </vt:variant>
      <vt:variant>
        <vt:i4>7471154</vt:i4>
      </vt:variant>
      <vt:variant>
        <vt:i4>3258</vt:i4>
      </vt:variant>
      <vt:variant>
        <vt:i4>0</vt:i4>
      </vt:variant>
      <vt:variant>
        <vt:i4>5</vt:i4>
      </vt:variant>
      <vt:variant>
        <vt:lpwstr/>
      </vt:variant>
      <vt:variant>
        <vt:lpwstr>_ENREF_192</vt:lpwstr>
      </vt:variant>
      <vt:variant>
        <vt:i4>7602233</vt:i4>
      </vt:variant>
      <vt:variant>
        <vt:i4>3250</vt:i4>
      </vt:variant>
      <vt:variant>
        <vt:i4>0</vt:i4>
      </vt:variant>
      <vt:variant>
        <vt:i4>5</vt:i4>
      </vt:variant>
      <vt:variant>
        <vt:lpwstr/>
      </vt:variant>
      <vt:variant>
        <vt:lpwstr>_ENREF_124</vt:lpwstr>
      </vt:variant>
      <vt:variant>
        <vt:i4>7602226</vt:i4>
      </vt:variant>
      <vt:variant>
        <vt:i4>3244</vt:i4>
      </vt:variant>
      <vt:variant>
        <vt:i4>0</vt:i4>
      </vt:variant>
      <vt:variant>
        <vt:i4>5</vt:i4>
      </vt:variant>
      <vt:variant>
        <vt:lpwstr/>
      </vt:variant>
      <vt:variant>
        <vt:lpwstr>_ENREF_194</vt:lpwstr>
      </vt:variant>
      <vt:variant>
        <vt:i4>7536690</vt:i4>
      </vt:variant>
      <vt:variant>
        <vt:i4>3241</vt:i4>
      </vt:variant>
      <vt:variant>
        <vt:i4>0</vt:i4>
      </vt:variant>
      <vt:variant>
        <vt:i4>5</vt:i4>
      </vt:variant>
      <vt:variant>
        <vt:lpwstr/>
      </vt:variant>
      <vt:variant>
        <vt:lpwstr>_ENREF_193</vt:lpwstr>
      </vt:variant>
      <vt:variant>
        <vt:i4>7929907</vt:i4>
      </vt:variant>
      <vt:variant>
        <vt:i4>3235</vt:i4>
      </vt:variant>
      <vt:variant>
        <vt:i4>0</vt:i4>
      </vt:variant>
      <vt:variant>
        <vt:i4>5</vt:i4>
      </vt:variant>
      <vt:variant>
        <vt:lpwstr/>
      </vt:variant>
      <vt:variant>
        <vt:lpwstr>_ENREF_189</vt:lpwstr>
      </vt:variant>
      <vt:variant>
        <vt:i4>7471154</vt:i4>
      </vt:variant>
      <vt:variant>
        <vt:i4>3229</vt:i4>
      </vt:variant>
      <vt:variant>
        <vt:i4>0</vt:i4>
      </vt:variant>
      <vt:variant>
        <vt:i4>5</vt:i4>
      </vt:variant>
      <vt:variant>
        <vt:lpwstr/>
      </vt:variant>
      <vt:variant>
        <vt:lpwstr>_ENREF_192</vt:lpwstr>
      </vt:variant>
      <vt:variant>
        <vt:i4>7340082</vt:i4>
      </vt:variant>
      <vt:variant>
        <vt:i4>3226</vt:i4>
      </vt:variant>
      <vt:variant>
        <vt:i4>0</vt:i4>
      </vt:variant>
      <vt:variant>
        <vt:i4>5</vt:i4>
      </vt:variant>
      <vt:variant>
        <vt:lpwstr/>
      </vt:variant>
      <vt:variant>
        <vt:lpwstr>_ENREF_190</vt:lpwstr>
      </vt:variant>
      <vt:variant>
        <vt:i4>7405618</vt:i4>
      </vt:variant>
      <vt:variant>
        <vt:i4>3218</vt:i4>
      </vt:variant>
      <vt:variant>
        <vt:i4>0</vt:i4>
      </vt:variant>
      <vt:variant>
        <vt:i4>5</vt:i4>
      </vt:variant>
      <vt:variant>
        <vt:lpwstr/>
      </vt:variant>
      <vt:variant>
        <vt:lpwstr>_ENREF_191</vt:lpwstr>
      </vt:variant>
      <vt:variant>
        <vt:i4>7340082</vt:i4>
      </vt:variant>
      <vt:variant>
        <vt:i4>3215</vt:i4>
      </vt:variant>
      <vt:variant>
        <vt:i4>0</vt:i4>
      </vt:variant>
      <vt:variant>
        <vt:i4>5</vt:i4>
      </vt:variant>
      <vt:variant>
        <vt:lpwstr/>
      </vt:variant>
      <vt:variant>
        <vt:lpwstr>_ENREF_190</vt:lpwstr>
      </vt:variant>
      <vt:variant>
        <vt:i4>7929907</vt:i4>
      </vt:variant>
      <vt:variant>
        <vt:i4>3209</vt:i4>
      </vt:variant>
      <vt:variant>
        <vt:i4>0</vt:i4>
      </vt:variant>
      <vt:variant>
        <vt:i4>5</vt:i4>
      </vt:variant>
      <vt:variant>
        <vt:lpwstr/>
      </vt:variant>
      <vt:variant>
        <vt:lpwstr>_ENREF_189</vt:lpwstr>
      </vt:variant>
      <vt:variant>
        <vt:i4>7929907</vt:i4>
      </vt:variant>
      <vt:variant>
        <vt:i4>3203</vt:i4>
      </vt:variant>
      <vt:variant>
        <vt:i4>0</vt:i4>
      </vt:variant>
      <vt:variant>
        <vt:i4>5</vt:i4>
      </vt:variant>
      <vt:variant>
        <vt:lpwstr/>
      </vt:variant>
      <vt:variant>
        <vt:lpwstr>_ENREF_189</vt:lpwstr>
      </vt:variant>
      <vt:variant>
        <vt:i4>7864371</vt:i4>
      </vt:variant>
      <vt:variant>
        <vt:i4>3179</vt:i4>
      </vt:variant>
      <vt:variant>
        <vt:i4>0</vt:i4>
      </vt:variant>
      <vt:variant>
        <vt:i4>5</vt:i4>
      </vt:variant>
      <vt:variant>
        <vt:lpwstr/>
      </vt:variant>
      <vt:variant>
        <vt:lpwstr>_ENREF_188</vt:lpwstr>
      </vt:variant>
      <vt:variant>
        <vt:i4>7864371</vt:i4>
      </vt:variant>
      <vt:variant>
        <vt:i4>3173</vt:i4>
      </vt:variant>
      <vt:variant>
        <vt:i4>0</vt:i4>
      </vt:variant>
      <vt:variant>
        <vt:i4>5</vt:i4>
      </vt:variant>
      <vt:variant>
        <vt:lpwstr/>
      </vt:variant>
      <vt:variant>
        <vt:lpwstr>_ENREF_188</vt:lpwstr>
      </vt:variant>
      <vt:variant>
        <vt:i4>7798835</vt:i4>
      </vt:variant>
      <vt:variant>
        <vt:i4>3167</vt:i4>
      </vt:variant>
      <vt:variant>
        <vt:i4>0</vt:i4>
      </vt:variant>
      <vt:variant>
        <vt:i4>5</vt:i4>
      </vt:variant>
      <vt:variant>
        <vt:lpwstr/>
      </vt:variant>
      <vt:variant>
        <vt:lpwstr>_ENREF_187</vt:lpwstr>
      </vt:variant>
      <vt:variant>
        <vt:i4>2097162</vt:i4>
      </vt:variant>
      <vt:variant>
        <vt:i4>3153</vt:i4>
      </vt:variant>
      <vt:variant>
        <vt:i4>0</vt:i4>
      </vt:variant>
      <vt:variant>
        <vt:i4>5</vt:i4>
      </vt:variant>
      <vt:variant>
        <vt:lpwstr/>
      </vt:variant>
      <vt:variant>
        <vt:lpwstr>_Studies_awaiting_classification</vt:lpwstr>
      </vt:variant>
      <vt:variant>
        <vt:i4>1703962</vt:i4>
      </vt:variant>
      <vt:variant>
        <vt:i4>3150</vt:i4>
      </vt:variant>
      <vt:variant>
        <vt:i4>0</vt:i4>
      </vt:variant>
      <vt:variant>
        <vt:i4>5</vt:i4>
      </vt:variant>
      <vt:variant>
        <vt:lpwstr/>
      </vt:variant>
      <vt:variant>
        <vt:lpwstr>_Ongoing_studies</vt:lpwstr>
      </vt:variant>
      <vt:variant>
        <vt:i4>7405619</vt:i4>
      </vt:variant>
      <vt:variant>
        <vt:i4>3146</vt:i4>
      </vt:variant>
      <vt:variant>
        <vt:i4>0</vt:i4>
      </vt:variant>
      <vt:variant>
        <vt:i4>5</vt:i4>
      </vt:variant>
      <vt:variant>
        <vt:lpwstr/>
      </vt:variant>
      <vt:variant>
        <vt:lpwstr>_ENREF_181</vt:lpwstr>
      </vt:variant>
      <vt:variant>
        <vt:i4>7340083</vt:i4>
      </vt:variant>
      <vt:variant>
        <vt:i4>3138</vt:i4>
      </vt:variant>
      <vt:variant>
        <vt:i4>0</vt:i4>
      </vt:variant>
      <vt:variant>
        <vt:i4>5</vt:i4>
      </vt:variant>
      <vt:variant>
        <vt:lpwstr/>
      </vt:variant>
      <vt:variant>
        <vt:lpwstr>_ENREF_180</vt:lpwstr>
      </vt:variant>
      <vt:variant>
        <vt:i4>7798844</vt:i4>
      </vt:variant>
      <vt:variant>
        <vt:i4>3132</vt:i4>
      </vt:variant>
      <vt:variant>
        <vt:i4>0</vt:i4>
      </vt:variant>
      <vt:variant>
        <vt:i4>5</vt:i4>
      </vt:variant>
      <vt:variant>
        <vt:lpwstr/>
      </vt:variant>
      <vt:variant>
        <vt:lpwstr>_ENREF_177</vt:lpwstr>
      </vt:variant>
      <vt:variant>
        <vt:i4>7798844</vt:i4>
      </vt:variant>
      <vt:variant>
        <vt:i4>3124</vt:i4>
      </vt:variant>
      <vt:variant>
        <vt:i4>0</vt:i4>
      </vt:variant>
      <vt:variant>
        <vt:i4>5</vt:i4>
      </vt:variant>
      <vt:variant>
        <vt:lpwstr/>
      </vt:variant>
      <vt:variant>
        <vt:lpwstr>_ENREF_177</vt:lpwstr>
      </vt:variant>
      <vt:variant>
        <vt:i4>7864380</vt:i4>
      </vt:variant>
      <vt:variant>
        <vt:i4>3116</vt:i4>
      </vt:variant>
      <vt:variant>
        <vt:i4>0</vt:i4>
      </vt:variant>
      <vt:variant>
        <vt:i4>5</vt:i4>
      </vt:variant>
      <vt:variant>
        <vt:lpwstr/>
      </vt:variant>
      <vt:variant>
        <vt:lpwstr>_ENREF_178</vt:lpwstr>
      </vt:variant>
      <vt:variant>
        <vt:i4>7798844</vt:i4>
      </vt:variant>
      <vt:variant>
        <vt:i4>3110</vt:i4>
      </vt:variant>
      <vt:variant>
        <vt:i4>0</vt:i4>
      </vt:variant>
      <vt:variant>
        <vt:i4>5</vt:i4>
      </vt:variant>
      <vt:variant>
        <vt:lpwstr/>
      </vt:variant>
      <vt:variant>
        <vt:lpwstr>_ENREF_177</vt:lpwstr>
      </vt:variant>
      <vt:variant>
        <vt:i4>7798844</vt:i4>
      </vt:variant>
      <vt:variant>
        <vt:i4>3102</vt:i4>
      </vt:variant>
      <vt:variant>
        <vt:i4>0</vt:i4>
      </vt:variant>
      <vt:variant>
        <vt:i4>5</vt:i4>
      </vt:variant>
      <vt:variant>
        <vt:lpwstr/>
      </vt:variant>
      <vt:variant>
        <vt:lpwstr>_ENREF_177</vt:lpwstr>
      </vt:variant>
      <vt:variant>
        <vt:i4>7733308</vt:i4>
      </vt:variant>
      <vt:variant>
        <vt:i4>3094</vt:i4>
      </vt:variant>
      <vt:variant>
        <vt:i4>0</vt:i4>
      </vt:variant>
      <vt:variant>
        <vt:i4>5</vt:i4>
      </vt:variant>
      <vt:variant>
        <vt:lpwstr/>
      </vt:variant>
      <vt:variant>
        <vt:lpwstr>_ENREF_176</vt:lpwstr>
      </vt:variant>
      <vt:variant>
        <vt:i4>2097162</vt:i4>
      </vt:variant>
      <vt:variant>
        <vt:i4>3056</vt:i4>
      </vt:variant>
      <vt:variant>
        <vt:i4>0</vt:i4>
      </vt:variant>
      <vt:variant>
        <vt:i4>5</vt:i4>
      </vt:variant>
      <vt:variant>
        <vt:lpwstr/>
      </vt:variant>
      <vt:variant>
        <vt:lpwstr>_Studies_awaiting_classification</vt:lpwstr>
      </vt:variant>
      <vt:variant>
        <vt:i4>1703962</vt:i4>
      </vt:variant>
      <vt:variant>
        <vt:i4>3053</vt:i4>
      </vt:variant>
      <vt:variant>
        <vt:i4>0</vt:i4>
      </vt:variant>
      <vt:variant>
        <vt:i4>5</vt:i4>
      </vt:variant>
      <vt:variant>
        <vt:lpwstr/>
      </vt:variant>
      <vt:variant>
        <vt:lpwstr>_Ongoing_studies</vt:lpwstr>
      </vt:variant>
      <vt:variant>
        <vt:i4>7667772</vt:i4>
      </vt:variant>
      <vt:variant>
        <vt:i4>3049</vt:i4>
      </vt:variant>
      <vt:variant>
        <vt:i4>0</vt:i4>
      </vt:variant>
      <vt:variant>
        <vt:i4>5</vt:i4>
      </vt:variant>
      <vt:variant>
        <vt:lpwstr/>
      </vt:variant>
      <vt:variant>
        <vt:lpwstr>_ENREF_175</vt:lpwstr>
      </vt:variant>
      <vt:variant>
        <vt:i4>7340093</vt:i4>
      </vt:variant>
      <vt:variant>
        <vt:i4>3043</vt:i4>
      </vt:variant>
      <vt:variant>
        <vt:i4>0</vt:i4>
      </vt:variant>
      <vt:variant>
        <vt:i4>5</vt:i4>
      </vt:variant>
      <vt:variant>
        <vt:lpwstr/>
      </vt:variant>
      <vt:variant>
        <vt:lpwstr>_ENREF_160</vt:lpwstr>
      </vt:variant>
      <vt:variant>
        <vt:i4>7929918</vt:i4>
      </vt:variant>
      <vt:variant>
        <vt:i4>3033</vt:i4>
      </vt:variant>
      <vt:variant>
        <vt:i4>0</vt:i4>
      </vt:variant>
      <vt:variant>
        <vt:i4>5</vt:i4>
      </vt:variant>
      <vt:variant>
        <vt:lpwstr/>
      </vt:variant>
      <vt:variant>
        <vt:lpwstr>_ENREF_159</vt:lpwstr>
      </vt:variant>
      <vt:variant>
        <vt:i4>7929918</vt:i4>
      </vt:variant>
      <vt:variant>
        <vt:i4>3027</vt:i4>
      </vt:variant>
      <vt:variant>
        <vt:i4>0</vt:i4>
      </vt:variant>
      <vt:variant>
        <vt:i4>5</vt:i4>
      </vt:variant>
      <vt:variant>
        <vt:lpwstr/>
      </vt:variant>
      <vt:variant>
        <vt:lpwstr>_ENREF_159</vt:lpwstr>
      </vt:variant>
      <vt:variant>
        <vt:i4>7864382</vt:i4>
      </vt:variant>
      <vt:variant>
        <vt:i4>3021</vt:i4>
      </vt:variant>
      <vt:variant>
        <vt:i4>0</vt:i4>
      </vt:variant>
      <vt:variant>
        <vt:i4>5</vt:i4>
      </vt:variant>
      <vt:variant>
        <vt:lpwstr/>
      </vt:variant>
      <vt:variant>
        <vt:lpwstr>_ENREF_158</vt:lpwstr>
      </vt:variant>
      <vt:variant>
        <vt:i4>7798846</vt:i4>
      </vt:variant>
      <vt:variant>
        <vt:i4>3013</vt:i4>
      </vt:variant>
      <vt:variant>
        <vt:i4>0</vt:i4>
      </vt:variant>
      <vt:variant>
        <vt:i4>5</vt:i4>
      </vt:variant>
      <vt:variant>
        <vt:lpwstr/>
      </vt:variant>
      <vt:variant>
        <vt:lpwstr>_ENREF_157</vt:lpwstr>
      </vt:variant>
      <vt:variant>
        <vt:i4>7733310</vt:i4>
      </vt:variant>
      <vt:variant>
        <vt:i4>3005</vt:i4>
      </vt:variant>
      <vt:variant>
        <vt:i4>0</vt:i4>
      </vt:variant>
      <vt:variant>
        <vt:i4>5</vt:i4>
      </vt:variant>
      <vt:variant>
        <vt:lpwstr/>
      </vt:variant>
      <vt:variant>
        <vt:lpwstr>_ENREF_156</vt:lpwstr>
      </vt:variant>
      <vt:variant>
        <vt:i4>7733310</vt:i4>
      </vt:variant>
      <vt:variant>
        <vt:i4>2999</vt:i4>
      </vt:variant>
      <vt:variant>
        <vt:i4>0</vt:i4>
      </vt:variant>
      <vt:variant>
        <vt:i4>5</vt:i4>
      </vt:variant>
      <vt:variant>
        <vt:lpwstr/>
      </vt:variant>
      <vt:variant>
        <vt:lpwstr>_ENREF_156</vt:lpwstr>
      </vt:variant>
      <vt:variant>
        <vt:i4>7602238</vt:i4>
      </vt:variant>
      <vt:variant>
        <vt:i4>2993</vt:i4>
      </vt:variant>
      <vt:variant>
        <vt:i4>0</vt:i4>
      </vt:variant>
      <vt:variant>
        <vt:i4>5</vt:i4>
      </vt:variant>
      <vt:variant>
        <vt:lpwstr/>
      </vt:variant>
      <vt:variant>
        <vt:lpwstr>_ENREF_154</vt:lpwstr>
      </vt:variant>
      <vt:variant>
        <vt:i4>7602238</vt:i4>
      </vt:variant>
      <vt:variant>
        <vt:i4>2987</vt:i4>
      </vt:variant>
      <vt:variant>
        <vt:i4>0</vt:i4>
      </vt:variant>
      <vt:variant>
        <vt:i4>5</vt:i4>
      </vt:variant>
      <vt:variant>
        <vt:lpwstr/>
      </vt:variant>
      <vt:variant>
        <vt:lpwstr>_ENREF_154</vt:lpwstr>
      </vt:variant>
      <vt:variant>
        <vt:i4>7667774</vt:i4>
      </vt:variant>
      <vt:variant>
        <vt:i4>2981</vt:i4>
      </vt:variant>
      <vt:variant>
        <vt:i4>0</vt:i4>
      </vt:variant>
      <vt:variant>
        <vt:i4>5</vt:i4>
      </vt:variant>
      <vt:variant>
        <vt:lpwstr/>
      </vt:variant>
      <vt:variant>
        <vt:lpwstr>_ENREF_155</vt:lpwstr>
      </vt:variant>
      <vt:variant>
        <vt:i4>7602238</vt:i4>
      </vt:variant>
      <vt:variant>
        <vt:i4>2975</vt:i4>
      </vt:variant>
      <vt:variant>
        <vt:i4>0</vt:i4>
      </vt:variant>
      <vt:variant>
        <vt:i4>5</vt:i4>
      </vt:variant>
      <vt:variant>
        <vt:lpwstr/>
      </vt:variant>
      <vt:variant>
        <vt:lpwstr>_ENREF_154</vt:lpwstr>
      </vt:variant>
      <vt:variant>
        <vt:i4>7536702</vt:i4>
      </vt:variant>
      <vt:variant>
        <vt:i4>2969</vt:i4>
      </vt:variant>
      <vt:variant>
        <vt:i4>0</vt:i4>
      </vt:variant>
      <vt:variant>
        <vt:i4>5</vt:i4>
      </vt:variant>
      <vt:variant>
        <vt:lpwstr/>
      </vt:variant>
      <vt:variant>
        <vt:lpwstr>_ENREF_153</vt:lpwstr>
      </vt:variant>
      <vt:variant>
        <vt:i4>7471166</vt:i4>
      </vt:variant>
      <vt:variant>
        <vt:i4>2945</vt:i4>
      </vt:variant>
      <vt:variant>
        <vt:i4>0</vt:i4>
      </vt:variant>
      <vt:variant>
        <vt:i4>5</vt:i4>
      </vt:variant>
      <vt:variant>
        <vt:lpwstr/>
      </vt:variant>
      <vt:variant>
        <vt:lpwstr>_ENREF_152</vt:lpwstr>
      </vt:variant>
      <vt:variant>
        <vt:i4>7405630</vt:i4>
      </vt:variant>
      <vt:variant>
        <vt:i4>2939</vt:i4>
      </vt:variant>
      <vt:variant>
        <vt:i4>0</vt:i4>
      </vt:variant>
      <vt:variant>
        <vt:i4>5</vt:i4>
      </vt:variant>
      <vt:variant>
        <vt:lpwstr/>
      </vt:variant>
      <vt:variant>
        <vt:lpwstr>_ENREF_151</vt:lpwstr>
      </vt:variant>
      <vt:variant>
        <vt:i4>7340094</vt:i4>
      </vt:variant>
      <vt:variant>
        <vt:i4>2933</vt:i4>
      </vt:variant>
      <vt:variant>
        <vt:i4>0</vt:i4>
      </vt:variant>
      <vt:variant>
        <vt:i4>5</vt:i4>
      </vt:variant>
      <vt:variant>
        <vt:lpwstr/>
      </vt:variant>
      <vt:variant>
        <vt:lpwstr>_ENREF_150</vt:lpwstr>
      </vt:variant>
      <vt:variant>
        <vt:i4>7929919</vt:i4>
      </vt:variant>
      <vt:variant>
        <vt:i4>2930</vt:i4>
      </vt:variant>
      <vt:variant>
        <vt:i4>0</vt:i4>
      </vt:variant>
      <vt:variant>
        <vt:i4>5</vt:i4>
      </vt:variant>
      <vt:variant>
        <vt:lpwstr/>
      </vt:variant>
      <vt:variant>
        <vt:lpwstr>_ENREF_149</vt:lpwstr>
      </vt:variant>
      <vt:variant>
        <vt:i4>2097162</vt:i4>
      </vt:variant>
      <vt:variant>
        <vt:i4>2916</vt:i4>
      </vt:variant>
      <vt:variant>
        <vt:i4>0</vt:i4>
      </vt:variant>
      <vt:variant>
        <vt:i4>5</vt:i4>
      </vt:variant>
      <vt:variant>
        <vt:lpwstr/>
      </vt:variant>
      <vt:variant>
        <vt:lpwstr>_Studies_awaiting_classification</vt:lpwstr>
      </vt:variant>
      <vt:variant>
        <vt:i4>1703962</vt:i4>
      </vt:variant>
      <vt:variant>
        <vt:i4>2913</vt:i4>
      </vt:variant>
      <vt:variant>
        <vt:i4>0</vt:i4>
      </vt:variant>
      <vt:variant>
        <vt:i4>5</vt:i4>
      </vt:variant>
      <vt:variant>
        <vt:lpwstr/>
      </vt:variant>
      <vt:variant>
        <vt:lpwstr>_Ongoing_studies</vt:lpwstr>
      </vt:variant>
      <vt:variant>
        <vt:i4>7340095</vt:i4>
      </vt:variant>
      <vt:variant>
        <vt:i4>2909</vt:i4>
      </vt:variant>
      <vt:variant>
        <vt:i4>0</vt:i4>
      </vt:variant>
      <vt:variant>
        <vt:i4>5</vt:i4>
      </vt:variant>
      <vt:variant>
        <vt:lpwstr/>
      </vt:variant>
      <vt:variant>
        <vt:lpwstr>_ENREF_140</vt:lpwstr>
      </vt:variant>
      <vt:variant>
        <vt:i4>7929912</vt:i4>
      </vt:variant>
      <vt:variant>
        <vt:i4>2901</vt:i4>
      </vt:variant>
      <vt:variant>
        <vt:i4>0</vt:i4>
      </vt:variant>
      <vt:variant>
        <vt:i4>5</vt:i4>
      </vt:variant>
      <vt:variant>
        <vt:lpwstr/>
      </vt:variant>
      <vt:variant>
        <vt:lpwstr>_ENREF_139</vt:lpwstr>
      </vt:variant>
      <vt:variant>
        <vt:i4>7667768</vt:i4>
      </vt:variant>
      <vt:variant>
        <vt:i4>2893</vt:i4>
      </vt:variant>
      <vt:variant>
        <vt:i4>0</vt:i4>
      </vt:variant>
      <vt:variant>
        <vt:i4>5</vt:i4>
      </vt:variant>
      <vt:variant>
        <vt:lpwstr/>
      </vt:variant>
      <vt:variant>
        <vt:lpwstr>_ENREF_135</vt:lpwstr>
      </vt:variant>
      <vt:variant>
        <vt:i4>7602232</vt:i4>
      </vt:variant>
      <vt:variant>
        <vt:i4>2887</vt:i4>
      </vt:variant>
      <vt:variant>
        <vt:i4>0</vt:i4>
      </vt:variant>
      <vt:variant>
        <vt:i4>5</vt:i4>
      </vt:variant>
      <vt:variant>
        <vt:lpwstr/>
      </vt:variant>
      <vt:variant>
        <vt:lpwstr>_ENREF_134</vt:lpwstr>
      </vt:variant>
      <vt:variant>
        <vt:i4>7864376</vt:i4>
      </vt:variant>
      <vt:variant>
        <vt:i4>2881</vt:i4>
      </vt:variant>
      <vt:variant>
        <vt:i4>0</vt:i4>
      </vt:variant>
      <vt:variant>
        <vt:i4>5</vt:i4>
      </vt:variant>
      <vt:variant>
        <vt:lpwstr/>
      </vt:variant>
      <vt:variant>
        <vt:lpwstr>_ENREF_138</vt:lpwstr>
      </vt:variant>
      <vt:variant>
        <vt:i4>7798840</vt:i4>
      </vt:variant>
      <vt:variant>
        <vt:i4>2875</vt:i4>
      </vt:variant>
      <vt:variant>
        <vt:i4>0</vt:i4>
      </vt:variant>
      <vt:variant>
        <vt:i4>5</vt:i4>
      </vt:variant>
      <vt:variant>
        <vt:lpwstr/>
      </vt:variant>
      <vt:variant>
        <vt:lpwstr>_ENREF_137</vt:lpwstr>
      </vt:variant>
      <vt:variant>
        <vt:i4>7733304</vt:i4>
      </vt:variant>
      <vt:variant>
        <vt:i4>2869</vt:i4>
      </vt:variant>
      <vt:variant>
        <vt:i4>0</vt:i4>
      </vt:variant>
      <vt:variant>
        <vt:i4>5</vt:i4>
      </vt:variant>
      <vt:variant>
        <vt:lpwstr/>
      </vt:variant>
      <vt:variant>
        <vt:lpwstr>_ENREF_136</vt:lpwstr>
      </vt:variant>
      <vt:variant>
        <vt:i4>7667768</vt:i4>
      </vt:variant>
      <vt:variant>
        <vt:i4>2863</vt:i4>
      </vt:variant>
      <vt:variant>
        <vt:i4>0</vt:i4>
      </vt:variant>
      <vt:variant>
        <vt:i4>5</vt:i4>
      </vt:variant>
      <vt:variant>
        <vt:lpwstr/>
      </vt:variant>
      <vt:variant>
        <vt:lpwstr>_ENREF_135</vt:lpwstr>
      </vt:variant>
      <vt:variant>
        <vt:i4>7602232</vt:i4>
      </vt:variant>
      <vt:variant>
        <vt:i4>2857</vt:i4>
      </vt:variant>
      <vt:variant>
        <vt:i4>0</vt:i4>
      </vt:variant>
      <vt:variant>
        <vt:i4>5</vt:i4>
      </vt:variant>
      <vt:variant>
        <vt:lpwstr/>
      </vt:variant>
      <vt:variant>
        <vt:lpwstr>_ENREF_134</vt:lpwstr>
      </vt:variant>
      <vt:variant>
        <vt:i4>7536696</vt:i4>
      </vt:variant>
      <vt:variant>
        <vt:i4>2851</vt:i4>
      </vt:variant>
      <vt:variant>
        <vt:i4>0</vt:i4>
      </vt:variant>
      <vt:variant>
        <vt:i4>5</vt:i4>
      </vt:variant>
      <vt:variant>
        <vt:lpwstr/>
      </vt:variant>
      <vt:variant>
        <vt:lpwstr>_ENREF_133</vt:lpwstr>
      </vt:variant>
      <vt:variant>
        <vt:i4>4784139</vt:i4>
      </vt:variant>
      <vt:variant>
        <vt:i4>2827</vt:i4>
      </vt:variant>
      <vt:variant>
        <vt:i4>0</vt:i4>
      </vt:variant>
      <vt:variant>
        <vt:i4>5</vt:i4>
      </vt:variant>
      <vt:variant>
        <vt:lpwstr/>
      </vt:variant>
      <vt:variant>
        <vt:lpwstr>_ENREF_83</vt:lpwstr>
      </vt:variant>
      <vt:variant>
        <vt:i4>2097162</vt:i4>
      </vt:variant>
      <vt:variant>
        <vt:i4>2813</vt:i4>
      </vt:variant>
      <vt:variant>
        <vt:i4>0</vt:i4>
      </vt:variant>
      <vt:variant>
        <vt:i4>5</vt:i4>
      </vt:variant>
      <vt:variant>
        <vt:lpwstr/>
      </vt:variant>
      <vt:variant>
        <vt:lpwstr>_Studies_awaiting_classification</vt:lpwstr>
      </vt:variant>
      <vt:variant>
        <vt:i4>1703962</vt:i4>
      </vt:variant>
      <vt:variant>
        <vt:i4>2810</vt:i4>
      </vt:variant>
      <vt:variant>
        <vt:i4>0</vt:i4>
      </vt:variant>
      <vt:variant>
        <vt:i4>5</vt:i4>
      </vt:variant>
      <vt:variant>
        <vt:lpwstr/>
      </vt:variant>
      <vt:variant>
        <vt:lpwstr>_Ongoing_studies</vt:lpwstr>
      </vt:variant>
      <vt:variant>
        <vt:i4>7471160</vt:i4>
      </vt:variant>
      <vt:variant>
        <vt:i4>2806</vt:i4>
      </vt:variant>
      <vt:variant>
        <vt:i4>0</vt:i4>
      </vt:variant>
      <vt:variant>
        <vt:i4>5</vt:i4>
      </vt:variant>
      <vt:variant>
        <vt:lpwstr/>
      </vt:variant>
      <vt:variant>
        <vt:lpwstr>_ENREF_132</vt:lpwstr>
      </vt:variant>
      <vt:variant>
        <vt:i4>7864377</vt:i4>
      </vt:variant>
      <vt:variant>
        <vt:i4>2800</vt:i4>
      </vt:variant>
      <vt:variant>
        <vt:i4>0</vt:i4>
      </vt:variant>
      <vt:variant>
        <vt:i4>5</vt:i4>
      </vt:variant>
      <vt:variant>
        <vt:lpwstr/>
      </vt:variant>
      <vt:variant>
        <vt:lpwstr>_ENREF_128</vt:lpwstr>
      </vt:variant>
      <vt:variant>
        <vt:i4>7798841</vt:i4>
      </vt:variant>
      <vt:variant>
        <vt:i4>2792</vt:i4>
      </vt:variant>
      <vt:variant>
        <vt:i4>0</vt:i4>
      </vt:variant>
      <vt:variant>
        <vt:i4>5</vt:i4>
      </vt:variant>
      <vt:variant>
        <vt:lpwstr/>
      </vt:variant>
      <vt:variant>
        <vt:lpwstr>_ENREF_127</vt:lpwstr>
      </vt:variant>
      <vt:variant>
        <vt:i4>7536697</vt:i4>
      </vt:variant>
      <vt:variant>
        <vt:i4>2786</vt:i4>
      </vt:variant>
      <vt:variant>
        <vt:i4>0</vt:i4>
      </vt:variant>
      <vt:variant>
        <vt:i4>5</vt:i4>
      </vt:variant>
      <vt:variant>
        <vt:lpwstr/>
      </vt:variant>
      <vt:variant>
        <vt:lpwstr>_ENREF_123</vt:lpwstr>
      </vt:variant>
      <vt:variant>
        <vt:i4>7733305</vt:i4>
      </vt:variant>
      <vt:variant>
        <vt:i4>2780</vt:i4>
      </vt:variant>
      <vt:variant>
        <vt:i4>0</vt:i4>
      </vt:variant>
      <vt:variant>
        <vt:i4>5</vt:i4>
      </vt:variant>
      <vt:variant>
        <vt:lpwstr/>
      </vt:variant>
      <vt:variant>
        <vt:lpwstr>_ENREF_126</vt:lpwstr>
      </vt:variant>
      <vt:variant>
        <vt:i4>7667769</vt:i4>
      </vt:variant>
      <vt:variant>
        <vt:i4>2774</vt:i4>
      </vt:variant>
      <vt:variant>
        <vt:i4>0</vt:i4>
      </vt:variant>
      <vt:variant>
        <vt:i4>5</vt:i4>
      </vt:variant>
      <vt:variant>
        <vt:lpwstr/>
      </vt:variant>
      <vt:variant>
        <vt:lpwstr>_ENREF_125</vt:lpwstr>
      </vt:variant>
      <vt:variant>
        <vt:i4>7536697</vt:i4>
      </vt:variant>
      <vt:variant>
        <vt:i4>2768</vt:i4>
      </vt:variant>
      <vt:variant>
        <vt:i4>0</vt:i4>
      </vt:variant>
      <vt:variant>
        <vt:i4>5</vt:i4>
      </vt:variant>
      <vt:variant>
        <vt:lpwstr/>
      </vt:variant>
      <vt:variant>
        <vt:lpwstr>_ENREF_123</vt:lpwstr>
      </vt:variant>
      <vt:variant>
        <vt:i4>7602233</vt:i4>
      </vt:variant>
      <vt:variant>
        <vt:i4>2762</vt:i4>
      </vt:variant>
      <vt:variant>
        <vt:i4>0</vt:i4>
      </vt:variant>
      <vt:variant>
        <vt:i4>5</vt:i4>
      </vt:variant>
      <vt:variant>
        <vt:lpwstr/>
      </vt:variant>
      <vt:variant>
        <vt:lpwstr>_ENREF_124</vt:lpwstr>
      </vt:variant>
      <vt:variant>
        <vt:i4>7536697</vt:i4>
      </vt:variant>
      <vt:variant>
        <vt:i4>2759</vt:i4>
      </vt:variant>
      <vt:variant>
        <vt:i4>0</vt:i4>
      </vt:variant>
      <vt:variant>
        <vt:i4>5</vt:i4>
      </vt:variant>
      <vt:variant>
        <vt:lpwstr/>
      </vt:variant>
      <vt:variant>
        <vt:lpwstr>_ENREF_123</vt:lpwstr>
      </vt:variant>
      <vt:variant>
        <vt:i4>2097162</vt:i4>
      </vt:variant>
      <vt:variant>
        <vt:i4>2739</vt:i4>
      </vt:variant>
      <vt:variant>
        <vt:i4>0</vt:i4>
      </vt:variant>
      <vt:variant>
        <vt:i4>5</vt:i4>
      </vt:variant>
      <vt:variant>
        <vt:lpwstr/>
      </vt:variant>
      <vt:variant>
        <vt:lpwstr>_Studies_awaiting_classification</vt:lpwstr>
      </vt:variant>
      <vt:variant>
        <vt:i4>1703962</vt:i4>
      </vt:variant>
      <vt:variant>
        <vt:i4>2736</vt:i4>
      </vt:variant>
      <vt:variant>
        <vt:i4>0</vt:i4>
      </vt:variant>
      <vt:variant>
        <vt:i4>5</vt:i4>
      </vt:variant>
      <vt:variant>
        <vt:lpwstr/>
      </vt:variant>
      <vt:variant>
        <vt:lpwstr>_Ongoing_studies</vt:lpwstr>
      </vt:variant>
      <vt:variant>
        <vt:i4>7471161</vt:i4>
      </vt:variant>
      <vt:variant>
        <vt:i4>2732</vt:i4>
      </vt:variant>
      <vt:variant>
        <vt:i4>0</vt:i4>
      </vt:variant>
      <vt:variant>
        <vt:i4>5</vt:i4>
      </vt:variant>
      <vt:variant>
        <vt:lpwstr/>
      </vt:variant>
      <vt:variant>
        <vt:lpwstr>_ENREF_122</vt:lpwstr>
      </vt:variant>
      <vt:variant>
        <vt:i4>7405625</vt:i4>
      </vt:variant>
      <vt:variant>
        <vt:i4>2729</vt:i4>
      </vt:variant>
      <vt:variant>
        <vt:i4>0</vt:i4>
      </vt:variant>
      <vt:variant>
        <vt:i4>5</vt:i4>
      </vt:variant>
      <vt:variant>
        <vt:lpwstr/>
      </vt:variant>
      <vt:variant>
        <vt:lpwstr>_ENREF_121</vt:lpwstr>
      </vt:variant>
      <vt:variant>
        <vt:i4>7340089</vt:i4>
      </vt:variant>
      <vt:variant>
        <vt:i4>2721</vt:i4>
      </vt:variant>
      <vt:variant>
        <vt:i4>0</vt:i4>
      </vt:variant>
      <vt:variant>
        <vt:i4>5</vt:i4>
      </vt:variant>
      <vt:variant>
        <vt:lpwstr/>
      </vt:variant>
      <vt:variant>
        <vt:lpwstr>_ENREF_120</vt:lpwstr>
      </vt:variant>
      <vt:variant>
        <vt:i4>7340089</vt:i4>
      </vt:variant>
      <vt:variant>
        <vt:i4>2715</vt:i4>
      </vt:variant>
      <vt:variant>
        <vt:i4>0</vt:i4>
      </vt:variant>
      <vt:variant>
        <vt:i4>5</vt:i4>
      </vt:variant>
      <vt:variant>
        <vt:lpwstr/>
      </vt:variant>
      <vt:variant>
        <vt:lpwstr>_ENREF_120</vt:lpwstr>
      </vt:variant>
      <vt:variant>
        <vt:i4>7340089</vt:i4>
      </vt:variant>
      <vt:variant>
        <vt:i4>2709</vt:i4>
      </vt:variant>
      <vt:variant>
        <vt:i4>0</vt:i4>
      </vt:variant>
      <vt:variant>
        <vt:i4>5</vt:i4>
      </vt:variant>
      <vt:variant>
        <vt:lpwstr/>
      </vt:variant>
      <vt:variant>
        <vt:lpwstr>_ENREF_120</vt:lpwstr>
      </vt:variant>
      <vt:variant>
        <vt:i4>7340089</vt:i4>
      </vt:variant>
      <vt:variant>
        <vt:i4>2703</vt:i4>
      </vt:variant>
      <vt:variant>
        <vt:i4>0</vt:i4>
      </vt:variant>
      <vt:variant>
        <vt:i4>5</vt:i4>
      </vt:variant>
      <vt:variant>
        <vt:lpwstr/>
      </vt:variant>
      <vt:variant>
        <vt:lpwstr>_ENREF_120</vt:lpwstr>
      </vt:variant>
      <vt:variant>
        <vt:i4>7929914</vt:i4>
      </vt:variant>
      <vt:variant>
        <vt:i4>2697</vt:i4>
      </vt:variant>
      <vt:variant>
        <vt:i4>0</vt:i4>
      </vt:variant>
      <vt:variant>
        <vt:i4>5</vt:i4>
      </vt:variant>
      <vt:variant>
        <vt:lpwstr/>
      </vt:variant>
      <vt:variant>
        <vt:lpwstr>_ENREF_119</vt:lpwstr>
      </vt:variant>
      <vt:variant>
        <vt:i4>7929914</vt:i4>
      </vt:variant>
      <vt:variant>
        <vt:i4>2691</vt:i4>
      </vt:variant>
      <vt:variant>
        <vt:i4>0</vt:i4>
      </vt:variant>
      <vt:variant>
        <vt:i4>5</vt:i4>
      </vt:variant>
      <vt:variant>
        <vt:lpwstr/>
      </vt:variant>
      <vt:variant>
        <vt:lpwstr>_ENREF_119</vt:lpwstr>
      </vt:variant>
      <vt:variant>
        <vt:i4>4521995</vt:i4>
      </vt:variant>
      <vt:variant>
        <vt:i4>2685</vt:i4>
      </vt:variant>
      <vt:variant>
        <vt:i4>0</vt:i4>
      </vt:variant>
      <vt:variant>
        <vt:i4>5</vt:i4>
      </vt:variant>
      <vt:variant>
        <vt:lpwstr/>
      </vt:variant>
      <vt:variant>
        <vt:lpwstr>_ENREF_45</vt:lpwstr>
      </vt:variant>
      <vt:variant>
        <vt:i4>7929914</vt:i4>
      </vt:variant>
      <vt:variant>
        <vt:i4>2679</vt:i4>
      </vt:variant>
      <vt:variant>
        <vt:i4>0</vt:i4>
      </vt:variant>
      <vt:variant>
        <vt:i4>5</vt:i4>
      </vt:variant>
      <vt:variant>
        <vt:lpwstr/>
      </vt:variant>
      <vt:variant>
        <vt:lpwstr>_ENREF_119</vt:lpwstr>
      </vt:variant>
      <vt:variant>
        <vt:i4>4784139</vt:i4>
      </vt:variant>
      <vt:variant>
        <vt:i4>2631</vt:i4>
      </vt:variant>
      <vt:variant>
        <vt:i4>0</vt:i4>
      </vt:variant>
      <vt:variant>
        <vt:i4>5</vt:i4>
      </vt:variant>
      <vt:variant>
        <vt:lpwstr/>
      </vt:variant>
      <vt:variant>
        <vt:lpwstr>_ENREF_83</vt:lpwstr>
      </vt:variant>
      <vt:variant>
        <vt:i4>2097162</vt:i4>
      </vt:variant>
      <vt:variant>
        <vt:i4>2617</vt:i4>
      </vt:variant>
      <vt:variant>
        <vt:i4>0</vt:i4>
      </vt:variant>
      <vt:variant>
        <vt:i4>5</vt:i4>
      </vt:variant>
      <vt:variant>
        <vt:lpwstr/>
      </vt:variant>
      <vt:variant>
        <vt:lpwstr>_Studies_awaiting_classification</vt:lpwstr>
      </vt:variant>
      <vt:variant>
        <vt:i4>1703962</vt:i4>
      </vt:variant>
      <vt:variant>
        <vt:i4>2614</vt:i4>
      </vt:variant>
      <vt:variant>
        <vt:i4>0</vt:i4>
      </vt:variant>
      <vt:variant>
        <vt:i4>5</vt:i4>
      </vt:variant>
      <vt:variant>
        <vt:lpwstr/>
      </vt:variant>
      <vt:variant>
        <vt:lpwstr>_Ongoing_studies</vt:lpwstr>
      </vt:variant>
      <vt:variant>
        <vt:i4>7340090</vt:i4>
      </vt:variant>
      <vt:variant>
        <vt:i4>2610</vt:i4>
      </vt:variant>
      <vt:variant>
        <vt:i4>0</vt:i4>
      </vt:variant>
      <vt:variant>
        <vt:i4>5</vt:i4>
      </vt:variant>
      <vt:variant>
        <vt:lpwstr/>
      </vt:variant>
      <vt:variant>
        <vt:lpwstr>_ENREF_110</vt:lpwstr>
      </vt:variant>
      <vt:variant>
        <vt:i4>7929915</vt:i4>
      </vt:variant>
      <vt:variant>
        <vt:i4>2602</vt:i4>
      </vt:variant>
      <vt:variant>
        <vt:i4>0</vt:i4>
      </vt:variant>
      <vt:variant>
        <vt:i4>5</vt:i4>
      </vt:variant>
      <vt:variant>
        <vt:lpwstr/>
      </vt:variant>
      <vt:variant>
        <vt:lpwstr>_ENREF_109</vt:lpwstr>
      </vt:variant>
      <vt:variant>
        <vt:i4>7864379</vt:i4>
      </vt:variant>
      <vt:variant>
        <vt:i4>2594</vt:i4>
      </vt:variant>
      <vt:variant>
        <vt:i4>0</vt:i4>
      </vt:variant>
      <vt:variant>
        <vt:i4>5</vt:i4>
      </vt:variant>
      <vt:variant>
        <vt:lpwstr/>
      </vt:variant>
      <vt:variant>
        <vt:lpwstr>_ENREF_108</vt:lpwstr>
      </vt:variant>
      <vt:variant>
        <vt:i4>7471163</vt:i4>
      </vt:variant>
      <vt:variant>
        <vt:i4>2588</vt:i4>
      </vt:variant>
      <vt:variant>
        <vt:i4>0</vt:i4>
      </vt:variant>
      <vt:variant>
        <vt:i4>5</vt:i4>
      </vt:variant>
      <vt:variant>
        <vt:lpwstr/>
      </vt:variant>
      <vt:variant>
        <vt:lpwstr>_ENREF_102</vt:lpwstr>
      </vt:variant>
      <vt:variant>
        <vt:i4>7471163</vt:i4>
      </vt:variant>
      <vt:variant>
        <vt:i4>2582</vt:i4>
      </vt:variant>
      <vt:variant>
        <vt:i4>0</vt:i4>
      </vt:variant>
      <vt:variant>
        <vt:i4>5</vt:i4>
      </vt:variant>
      <vt:variant>
        <vt:lpwstr/>
      </vt:variant>
      <vt:variant>
        <vt:lpwstr>_ENREF_102</vt:lpwstr>
      </vt:variant>
      <vt:variant>
        <vt:i4>7667771</vt:i4>
      </vt:variant>
      <vt:variant>
        <vt:i4>2576</vt:i4>
      </vt:variant>
      <vt:variant>
        <vt:i4>0</vt:i4>
      </vt:variant>
      <vt:variant>
        <vt:i4>5</vt:i4>
      </vt:variant>
      <vt:variant>
        <vt:lpwstr/>
      </vt:variant>
      <vt:variant>
        <vt:lpwstr>_ENREF_105</vt:lpwstr>
      </vt:variant>
      <vt:variant>
        <vt:i4>7602235</vt:i4>
      </vt:variant>
      <vt:variant>
        <vt:i4>2568</vt:i4>
      </vt:variant>
      <vt:variant>
        <vt:i4>0</vt:i4>
      </vt:variant>
      <vt:variant>
        <vt:i4>5</vt:i4>
      </vt:variant>
      <vt:variant>
        <vt:lpwstr/>
      </vt:variant>
      <vt:variant>
        <vt:lpwstr>_ENREF_104</vt:lpwstr>
      </vt:variant>
      <vt:variant>
        <vt:i4>7602235</vt:i4>
      </vt:variant>
      <vt:variant>
        <vt:i4>2560</vt:i4>
      </vt:variant>
      <vt:variant>
        <vt:i4>0</vt:i4>
      </vt:variant>
      <vt:variant>
        <vt:i4>5</vt:i4>
      </vt:variant>
      <vt:variant>
        <vt:lpwstr/>
      </vt:variant>
      <vt:variant>
        <vt:lpwstr>_ENREF_104</vt:lpwstr>
      </vt:variant>
      <vt:variant>
        <vt:i4>7536699</vt:i4>
      </vt:variant>
      <vt:variant>
        <vt:i4>2552</vt:i4>
      </vt:variant>
      <vt:variant>
        <vt:i4>0</vt:i4>
      </vt:variant>
      <vt:variant>
        <vt:i4>5</vt:i4>
      </vt:variant>
      <vt:variant>
        <vt:lpwstr/>
      </vt:variant>
      <vt:variant>
        <vt:lpwstr>_ENREF_103</vt:lpwstr>
      </vt:variant>
      <vt:variant>
        <vt:i4>7471163</vt:i4>
      </vt:variant>
      <vt:variant>
        <vt:i4>2546</vt:i4>
      </vt:variant>
      <vt:variant>
        <vt:i4>0</vt:i4>
      </vt:variant>
      <vt:variant>
        <vt:i4>5</vt:i4>
      </vt:variant>
      <vt:variant>
        <vt:lpwstr/>
      </vt:variant>
      <vt:variant>
        <vt:lpwstr>_ENREF_102</vt:lpwstr>
      </vt:variant>
      <vt:variant>
        <vt:i4>7471163</vt:i4>
      </vt:variant>
      <vt:variant>
        <vt:i4>2540</vt:i4>
      </vt:variant>
      <vt:variant>
        <vt:i4>0</vt:i4>
      </vt:variant>
      <vt:variant>
        <vt:i4>5</vt:i4>
      </vt:variant>
      <vt:variant>
        <vt:lpwstr/>
      </vt:variant>
      <vt:variant>
        <vt:lpwstr>_ENREF_102</vt:lpwstr>
      </vt:variant>
      <vt:variant>
        <vt:i4>7471163</vt:i4>
      </vt:variant>
      <vt:variant>
        <vt:i4>2534</vt:i4>
      </vt:variant>
      <vt:variant>
        <vt:i4>0</vt:i4>
      </vt:variant>
      <vt:variant>
        <vt:i4>5</vt:i4>
      </vt:variant>
      <vt:variant>
        <vt:lpwstr/>
      </vt:variant>
      <vt:variant>
        <vt:lpwstr>_ENREF_102</vt:lpwstr>
      </vt:variant>
      <vt:variant>
        <vt:i4>7471163</vt:i4>
      </vt:variant>
      <vt:variant>
        <vt:i4>2528</vt:i4>
      </vt:variant>
      <vt:variant>
        <vt:i4>0</vt:i4>
      </vt:variant>
      <vt:variant>
        <vt:i4>5</vt:i4>
      </vt:variant>
      <vt:variant>
        <vt:lpwstr/>
      </vt:variant>
      <vt:variant>
        <vt:lpwstr>_ENREF_102</vt:lpwstr>
      </vt:variant>
      <vt:variant>
        <vt:i4>2097162</vt:i4>
      </vt:variant>
      <vt:variant>
        <vt:i4>2502</vt:i4>
      </vt:variant>
      <vt:variant>
        <vt:i4>0</vt:i4>
      </vt:variant>
      <vt:variant>
        <vt:i4>5</vt:i4>
      </vt:variant>
      <vt:variant>
        <vt:lpwstr/>
      </vt:variant>
      <vt:variant>
        <vt:lpwstr>_Studies_awaiting_classification</vt:lpwstr>
      </vt:variant>
      <vt:variant>
        <vt:i4>1703962</vt:i4>
      </vt:variant>
      <vt:variant>
        <vt:i4>2499</vt:i4>
      </vt:variant>
      <vt:variant>
        <vt:i4>0</vt:i4>
      </vt:variant>
      <vt:variant>
        <vt:i4>5</vt:i4>
      </vt:variant>
      <vt:variant>
        <vt:lpwstr/>
      </vt:variant>
      <vt:variant>
        <vt:lpwstr>_Ongoing_studies</vt:lpwstr>
      </vt:variant>
      <vt:variant>
        <vt:i4>4718603</vt:i4>
      </vt:variant>
      <vt:variant>
        <vt:i4>2495</vt:i4>
      </vt:variant>
      <vt:variant>
        <vt:i4>0</vt:i4>
      </vt:variant>
      <vt:variant>
        <vt:i4>5</vt:i4>
      </vt:variant>
      <vt:variant>
        <vt:lpwstr/>
      </vt:variant>
      <vt:variant>
        <vt:lpwstr>_ENREF_94</vt:lpwstr>
      </vt:variant>
      <vt:variant>
        <vt:i4>4718603</vt:i4>
      </vt:variant>
      <vt:variant>
        <vt:i4>2487</vt:i4>
      </vt:variant>
      <vt:variant>
        <vt:i4>0</vt:i4>
      </vt:variant>
      <vt:variant>
        <vt:i4>5</vt:i4>
      </vt:variant>
      <vt:variant>
        <vt:lpwstr/>
      </vt:variant>
      <vt:variant>
        <vt:lpwstr>_ENREF_93</vt:lpwstr>
      </vt:variant>
      <vt:variant>
        <vt:i4>4718603</vt:i4>
      </vt:variant>
      <vt:variant>
        <vt:i4>2481</vt:i4>
      </vt:variant>
      <vt:variant>
        <vt:i4>0</vt:i4>
      </vt:variant>
      <vt:variant>
        <vt:i4>5</vt:i4>
      </vt:variant>
      <vt:variant>
        <vt:lpwstr/>
      </vt:variant>
      <vt:variant>
        <vt:lpwstr>_ENREF_92</vt:lpwstr>
      </vt:variant>
      <vt:variant>
        <vt:i4>4718603</vt:i4>
      </vt:variant>
      <vt:variant>
        <vt:i4>2475</vt:i4>
      </vt:variant>
      <vt:variant>
        <vt:i4>0</vt:i4>
      </vt:variant>
      <vt:variant>
        <vt:i4>5</vt:i4>
      </vt:variant>
      <vt:variant>
        <vt:lpwstr/>
      </vt:variant>
      <vt:variant>
        <vt:lpwstr>_ENREF_91</vt:lpwstr>
      </vt:variant>
      <vt:variant>
        <vt:i4>4718603</vt:i4>
      </vt:variant>
      <vt:variant>
        <vt:i4>2469</vt:i4>
      </vt:variant>
      <vt:variant>
        <vt:i4>0</vt:i4>
      </vt:variant>
      <vt:variant>
        <vt:i4>5</vt:i4>
      </vt:variant>
      <vt:variant>
        <vt:lpwstr/>
      </vt:variant>
      <vt:variant>
        <vt:lpwstr>_ENREF_90</vt:lpwstr>
      </vt:variant>
      <vt:variant>
        <vt:i4>4784139</vt:i4>
      </vt:variant>
      <vt:variant>
        <vt:i4>2463</vt:i4>
      </vt:variant>
      <vt:variant>
        <vt:i4>0</vt:i4>
      </vt:variant>
      <vt:variant>
        <vt:i4>5</vt:i4>
      </vt:variant>
      <vt:variant>
        <vt:lpwstr/>
      </vt:variant>
      <vt:variant>
        <vt:lpwstr>_ENREF_89</vt:lpwstr>
      </vt:variant>
      <vt:variant>
        <vt:i4>4784139</vt:i4>
      </vt:variant>
      <vt:variant>
        <vt:i4>2457</vt:i4>
      </vt:variant>
      <vt:variant>
        <vt:i4>0</vt:i4>
      </vt:variant>
      <vt:variant>
        <vt:i4>5</vt:i4>
      </vt:variant>
      <vt:variant>
        <vt:lpwstr/>
      </vt:variant>
      <vt:variant>
        <vt:lpwstr>_ENREF_89</vt:lpwstr>
      </vt:variant>
      <vt:variant>
        <vt:i4>4784139</vt:i4>
      </vt:variant>
      <vt:variant>
        <vt:i4>2451</vt:i4>
      </vt:variant>
      <vt:variant>
        <vt:i4>0</vt:i4>
      </vt:variant>
      <vt:variant>
        <vt:i4>5</vt:i4>
      </vt:variant>
      <vt:variant>
        <vt:lpwstr/>
      </vt:variant>
      <vt:variant>
        <vt:lpwstr>_ENREF_88</vt:lpwstr>
      </vt:variant>
      <vt:variant>
        <vt:i4>4784139</vt:i4>
      </vt:variant>
      <vt:variant>
        <vt:i4>2445</vt:i4>
      </vt:variant>
      <vt:variant>
        <vt:i4>0</vt:i4>
      </vt:variant>
      <vt:variant>
        <vt:i4>5</vt:i4>
      </vt:variant>
      <vt:variant>
        <vt:lpwstr/>
      </vt:variant>
      <vt:variant>
        <vt:lpwstr>_ENREF_87</vt:lpwstr>
      </vt:variant>
      <vt:variant>
        <vt:i4>4784139</vt:i4>
      </vt:variant>
      <vt:variant>
        <vt:i4>2439</vt:i4>
      </vt:variant>
      <vt:variant>
        <vt:i4>0</vt:i4>
      </vt:variant>
      <vt:variant>
        <vt:i4>5</vt:i4>
      </vt:variant>
      <vt:variant>
        <vt:lpwstr/>
      </vt:variant>
      <vt:variant>
        <vt:lpwstr>_ENREF_87</vt:lpwstr>
      </vt:variant>
      <vt:variant>
        <vt:i4>4784139</vt:i4>
      </vt:variant>
      <vt:variant>
        <vt:i4>2433</vt:i4>
      </vt:variant>
      <vt:variant>
        <vt:i4>0</vt:i4>
      </vt:variant>
      <vt:variant>
        <vt:i4>5</vt:i4>
      </vt:variant>
      <vt:variant>
        <vt:lpwstr/>
      </vt:variant>
      <vt:variant>
        <vt:lpwstr>_ENREF_86</vt:lpwstr>
      </vt:variant>
      <vt:variant>
        <vt:i4>4784139</vt:i4>
      </vt:variant>
      <vt:variant>
        <vt:i4>2427</vt:i4>
      </vt:variant>
      <vt:variant>
        <vt:i4>0</vt:i4>
      </vt:variant>
      <vt:variant>
        <vt:i4>5</vt:i4>
      </vt:variant>
      <vt:variant>
        <vt:lpwstr/>
      </vt:variant>
      <vt:variant>
        <vt:lpwstr>_ENREF_86</vt:lpwstr>
      </vt:variant>
      <vt:variant>
        <vt:i4>4784139</vt:i4>
      </vt:variant>
      <vt:variant>
        <vt:i4>2421</vt:i4>
      </vt:variant>
      <vt:variant>
        <vt:i4>0</vt:i4>
      </vt:variant>
      <vt:variant>
        <vt:i4>5</vt:i4>
      </vt:variant>
      <vt:variant>
        <vt:lpwstr/>
      </vt:variant>
      <vt:variant>
        <vt:lpwstr>_ENREF_85</vt:lpwstr>
      </vt:variant>
      <vt:variant>
        <vt:i4>4784139</vt:i4>
      </vt:variant>
      <vt:variant>
        <vt:i4>2379</vt:i4>
      </vt:variant>
      <vt:variant>
        <vt:i4>0</vt:i4>
      </vt:variant>
      <vt:variant>
        <vt:i4>5</vt:i4>
      </vt:variant>
      <vt:variant>
        <vt:lpwstr/>
      </vt:variant>
      <vt:variant>
        <vt:lpwstr>_ENREF_84</vt:lpwstr>
      </vt:variant>
      <vt:variant>
        <vt:i4>4784139</vt:i4>
      </vt:variant>
      <vt:variant>
        <vt:i4>2373</vt:i4>
      </vt:variant>
      <vt:variant>
        <vt:i4>0</vt:i4>
      </vt:variant>
      <vt:variant>
        <vt:i4>5</vt:i4>
      </vt:variant>
      <vt:variant>
        <vt:lpwstr/>
      </vt:variant>
      <vt:variant>
        <vt:lpwstr>_ENREF_83</vt:lpwstr>
      </vt:variant>
      <vt:variant>
        <vt:i4>4784139</vt:i4>
      </vt:variant>
      <vt:variant>
        <vt:i4>2367</vt:i4>
      </vt:variant>
      <vt:variant>
        <vt:i4>0</vt:i4>
      </vt:variant>
      <vt:variant>
        <vt:i4>5</vt:i4>
      </vt:variant>
      <vt:variant>
        <vt:lpwstr/>
      </vt:variant>
      <vt:variant>
        <vt:lpwstr>_ENREF_83</vt:lpwstr>
      </vt:variant>
      <vt:variant>
        <vt:i4>2097162</vt:i4>
      </vt:variant>
      <vt:variant>
        <vt:i4>2347</vt:i4>
      </vt:variant>
      <vt:variant>
        <vt:i4>0</vt:i4>
      </vt:variant>
      <vt:variant>
        <vt:i4>5</vt:i4>
      </vt:variant>
      <vt:variant>
        <vt:lpwstr/>
      </vt:variant>
      <vt:variant>
        <vt:lpwstr>_Studies_awaiting_classification</vt:lpwstr>
      </vt:variant>
      <vt:variant>
        <vt:i4>1703962</vt:i4>
      </vt:variant>
      <vt:variant>
        <vt:i4>2344</vt:i4>
      </vt:variant>
      <vt:variant>
        <vt:i4>0</vt:i4>
      </vt:variant>
      <vt:variant>
        <vt:i4>5</vt:i4>
      </vt:variant>
      <vt:variant>
        <vt:lpwstr/>
      </vt:variant>
      <vt:variant>
        <vt:lpwstr>_Ongoing_studies</vt:lpwstr>
      </vt:variant>
      <vt:variant>
        <vt:i4>4784139</vt:i4>
      </vt:variant>
      <vt:variant>
        <vt:i4>2340</vt:i4>
      </vt:variant>
      <vt:variant>
        <vt:i4>0</vt:i4>
      </vt:variant>
      <vt:variant>
        <vt:i4>5</vt:i4>
      </vt:variant>
      <vt:variant>
        <vt:lpwstr/>
      </vt:variant>
      <vt:variant>
        <vt:lpwstr>_ENREF_82</vt:lpwstr>
      </vt:variant>
      <vt:variant>
        <vt:i4>4784139</vt:i4>
      </vt:variant>
      <vt:variant>
        <vt:i4>2337</vt:i4>
      </vt:variant>
      <vt:variant>
        <vt:i4>0</vt:i4>
      </vt:variant>
      <vt:variant>
        <vt:i4>5</vt:i4>
      </vt:variant>
      <vt:variant>
        <vt:lpwstr/>
      </vt:variant>
      <vt:variant>
        <vt:lpwstr>_ENREF_81</vt:lpwstr>
      </vt:variant>
      <vt:variant>
        <vt:i4>4653067</vt:i4>
      </vt:variant>
      <vt:variant>
        <vt:i4>2329</vt:i4>
      </vt:variant>
      <vt:variant>
        <vt:i4>0</vt:i4>
      </vt:variant>
      <vt:variant>
        <vt:i4>5</vt:i4>
      </vt:variant>
      <vt:variant>
        <vt:lpwstr/>
      </vt:variant>
      <vt:variant>
        <vt:lpwstr>_ENREF_67</vt:lpwstr>
      </vt:variant>
      <vt:variant>
        <vt:i4>4653067</vt:i4>
      </vt:variant>
      <vt:variant>
        <vt:i4>2319</vt:i4>
      </vt:variant>
      <vt:variant>
        <vt:i4>0</vt:i4>
      </vt:variant>
      <vt:variant>
        <vt:i4>5</vt:i4>
      </vt:variant>
      <vt:variant>
        <vt:lpwstr/>
      </vt:variant>
      <vt:variant>
        <vt:lpwstr>_ENREF_66</vt:lpwstr>
      </vt:variant>
      <vt:variant>
        <vt:i4>4653067</vt:i4>
      </vt:variant>
      <vt:variant>
        <vt:i4>2313</vt:i4>
      </vt:variant>
      <vt:variant>
        <vt:i4>0</vt:i4>
      </vt:variant>
      <vt:variant>
        <vt:i4>5</vt:i4>
      </vt:variant>
      <vt:variant>
        <vt:lpwstr/>
      </vt:variant>
      <vt:variant>
        <vt:lpwstr>_ENREF_66</vt:lpwstr>
      </vt:variant>
      <vt:variant>
        <vt:i4>4653067</vt:i4>
      </vt:variant>
      <vt:variant>
        <vt:i4>2307</vt:i4>
      </vt:variant>
      <vt:variant>
        <vt:i4>0</vt:i4>
      </vt:variant>
      <vt:variant>
        <vt:i4>5</vt:i4>
      </vt:variant>
      <vt:variant>
        <vt:lpwstr/>
      </vt:variant>
      <vt:variant>
        <vt:lpwstr>_ENREF_65</vt:lpwstr>
      </vt:variant>
      <vt:variant>
        <vt:i4>4653067</vt:i4>
      </vt:variant>
      <vt:variant>
        <vt:i4>2301</vt:i4>
      </vt:variant>
      <vt:variant>
        <vt:i4>0</vt:i4>
      </vt:variant>
      <vt:variant>
        <vt:i4>5</vt:i4>
      </vt:variant>
      <vt:variant>
        <vt:lpwstr/>
      </vt:variant>
      <vt:variant>
        <vt:lpwstr>_ENREF_65</vt:lpwstr>
      </vt:variant>
      <vt:variant>
        <vt:i4>4653067</vt:i4>
      </vt:variant>
      <vt:variant>
        <vt:i4>2295</vt:i4>
      </vt:variant>
      <vt:variant>
        <vt:i4>0</vt:i4>
      </vt:variant>
      <vt:variant>
        <vt:i4>5</vt:i4>
      </vt:variant>
      <vt:variant>
        <vt:lpwstr/>
      </vt:variant>
      <vt:variant>
        <vt:lpwstr>_ENREF_66</vt:lpwstr>
      </vt:variant>
      <vt:variant>
        <vt:i4>4653067</vt:i4>
      </vt:variant>
      <vt:variant>
        <vt:i4>2289</vt:i4>
      </vt:variant>
      <vt:variant>
        <vt:i4>0</vt:i4>
      </vt:variant>
      <vt:variant>
        <vt:i4>5</vt:i4>
      </vt:variant>
      <vt:variant>
        <vt:lpwstr/>
      </vt:variant>
      <vt:variant>
        <vt:lpwstr>_ENREF_65</vt:lpwstr>
      </vt:variant>
      <vt:variant>
        <vt:i4>4653067</vt:i4>
      </vt:variant>
      <vt:variant>
        <vt:i4>2283</vt:i4>
      </vt:variant>
      <vt:variant>
        <vt:i4>0</vt:i4>
      </vt:variant>
      <vt:variant>
        <vt:i4>5</vt:i4>
      </vt:variant>
      <vt:variant>
        <vt:lpwstr/>
      </vt:variant>
      <vt:variant>
        <vt:lpwstr>_ENREF_64</vt:lpwstr>
      </vt:variant>
      <vt:variant>
        <vt:i4>4653067</vt:i4>
      </vt:variant>
      <vt:variant>
        <vt:i4>2277</vt:i4>
      </vt:variant>
      <vt:variant>
        <vt:i4>0</vt:i4>
      </vt:variant>
      <vt:variant>
        <vt:i4>5</vt:i4>
      </vt:variant>
      <vt:variant>
        <vt:lpwstr/>
      </vt:variant>
      <vt:variant>
        <vt:lpwstr>_ENREF_64</vt:lpwstr>
      </vt:variant>
      <vt:variant>
        <vt:i4>4653067</vt:i4>
      </vt:variant>
      <vt:variant>
        <vt:i4>2271</vt:i4>
      </vt:variant>
      <vt:variant>
        <vt:i4>0</vt:i4>
      </vt:variant>
      <vt:variant>
        <vt:i4>5</vt:i4>
      </vt:variant>
      <vt:variant>
        <vt:lpwstr/>
      </vt:variant>
      <vt:variant>
        <vt:lpwstr>_ENREF_63</vt:lpwstr>
      </vt:variant>
      <vt:variant>
        <vt:i4>4653067</vt:i4>
      </vt:variant>
      <vt:variant>
        <vt:i4>2263</vt:i4>
      </vt:variant>
      <vt:variant>
        <vt:i4>0</vt:i4>
      </vt:variant>
      <vt:variant>
        <vt:i4>5</vt:i4>
      </vt:variant>
      <vt:variant>
        <vt:lpwstr/>
      </vt:variant>
      <vt:variant>
        <vt:lpwstr>_ENREF_62</vt:lpwstr>
      </vt:variant>
      <vt:variant>
        <vt:i4>4653067</vt:i4>
      </vt:variant>
      <vt:variant>
        <vt:i4>2257</vt:i4>
      </vt:variant>
      <vt:variant>
        <vt:i4>0</vt:i4>
      </vt:variant>
      <vt:variant>
        <vt:i4>5</vt:i4>
      </vt:variant>
      <vt:variant>
        <vt:lpwstr/>
      </vt:variant>
      <vt:variant>
        <vt:lpwstr>_ENREF_62</vt:lpwstr>
      </vt:variant>
      <vt:variant>
        <vt:i4>4653067</vt:i4>
      </vt:variant>
      <vt:variant>
        <vt:i4>2251</vt:i4>
      </vt:variant>
      <vt:variant>
        <vt:i4>0</vt:i4>
      </vt:variant>
      <vt:variant>
        <vt:i4>5</vt:i4>
      </vt:variant>
      <vt:variant>
        <vt:lpwstr/>
      </vt:variant>
      <vt:variant>
        <vt:lpwstr>_ENREF_61</vt:lpwstr>
      </vt:variant>
      <vt:variant>
        <vt:i4>4653067</vt:i4>
      </vt:variant>
      <vt:variant>
        <vt:i4>2243</vt:i4>
      </vt:variant>
      <vt:variant>
        <vt:i4>0</vt:i4>
      </vt:variant>
      <vt:variant>
        <vt:i4>5</vt:i4>
      </vt:variant>
      <vt:variant>
        <vt:lpwstr/>
      </vt:variant>
      <vt:variant>
        <vt:lpwstr>_ENREF_60</vt:lpwstr>
      </vt:variant>
      <vt:variant>
        <vt:i4>4456459</vt:i4>
      </vt:variant>
      <vt:variant>
        <vt:i4>2237</vt:i4>
      </vt:variant>
      <vt:variant>
        <vt:i4>0</vt:i4>
      </vt:variant>
      <vt:variant>
        <vt:i4>5</vt:i4>
      </vt:variant>
      <vt:variant>
        <vt:lpwstr/>
      </vt:variant>
      <vt:variant>
        <vt:lpwstr>_ENREF_59</vt:lpwstr>
      </vt:variant>
      <vt:variant>
        <vt:i4>4456459</vt:i4>
      </vt:variant>
      <vt:variant>
        <vt:i4>2231</vt:i4>
      </vt:variant>
      <vt:variant>
        <vt:i4>0</vt:i4>
      </vt:variant>
      <vt:variant>
        <vt:i4>5</vt:i4>
      </vt:variant>
      <vt:variant>
        <vt:lpwstr/>
      </vt:variant>
      <vt:variant>
        <vt:lpwstr>_ENREF_59</vt:lpwstr>
      </vt:variant>
      <vt:variant>
        <vt:i4>1703962</vt:i4>
      </vt:variant>
      <vt:variant>
        <vt:i4>2214</vt:i4>
      </vt:variant>
      <vt:variant>
        <vt:i4>0</vt:i4>
      </vt:variant>
      <vt:variant>
        <vt:i4>5</vt:i4>
      </vt:variant>
      <vt:variant>
        <vt:lpwstr/>
      </vt:variant>
      <vt:variant>
        <vt:lpwstr>_Ongoing_studies</vt:lpwstr>
      </vt:variant>
      <vt:variant>
        <vt:i4>2097162</vt:i4>
      </vt:variant>
      <vt:variant>
        <vt:i4>2211</vt:i4>
      </vt:variant>
      <vt:variant>
        <vt:i4>0</vt:i4>
      </vt:variant>
      <vt:variant>
        <vt:i4>5</vt:i4>
      </vt:variant>
      <vt:variant>
        <vt:lpwstr/>
      </vt:variant>
      <vt:variant>
        <vt:lpwstr>_Studies_awaiting_classification</vt:lpwstr>
      </vt:variant>
      <vt:variant>
        <vt:i4>3145778</vt:i4>
      </vt:variant>
      <vt:variant>
        <vt:i4>2208</vt:i4>
      </vt:variant>
      <vt:variant>
        <vt:i4>0</vt:i4>
      </vt:variant>
      <vt:variant>
        <vt:i4>5</vt:i4>
      </vt:variant>
      <vt:variant>
        <vt:lpwstr/>
      </vt:variant>
      <vt:variant>
        <vt:lpwstr>_Included_studies</vt:lpwstr>
      </vt:variant>
      <vt:variant>
        <vt:i4>4456459</vt:i4>
      </vt:variant>
      <vt:variant>
        <vt:i4>2201</vt:i4>
      </vt:variant>
      <vt:variant>
        <vt:i4>0</vt:i4>
      </vt:variant>
      <vt:variant>
        <vt:i4>5</vt:i4>
      </vt:variant>
      <vt:variant>
        <vt:lpwstr/>
      </vt:variant>
      <vt:variant>
        <vt:lpwstr>_ENREF_5</vt:lpwstr>
      </vt:variant>
      <vt:variant>
        <vt:i4>4456459</vt:i4>
      </vt:variant>
      <vt:variant>
        <vt:i4>2195</vt:i4>
      </vt:variant>
      <vt:variant>
        <vt:i4>0</vt:i4>
      </vt:variant>
      <vt:variant>
        <vt:i4>5</vt:i4>
      </vt:variant>
      <vt:variant>
        <vt:lpwstr/>
      </vt:variant>
      <vt:variant>
        <vt:lpwstr>_ENREF_58</vt:lpwstr>
      </vt:variant>
      <vt:variant>
        <vt:i4>4456459</vt:i4>
      </vt:variant>
      <vt:variant>
        <vt:i4>2189</vt:i4>
      </vt:variant>
      <vt:variant>
        <vt:i4>0</vt:i4>
      </vt:variant>
      <vt:variant>
        <vt:i4>5</vt:i4>
      </vt:variant>
      <vt:variant>
        <vt:lpwstr/>
      </vt:variant>
      <vt:variant>
        <vt:lpwstr>_ENREF_57</vt:lpwstr>
      </vt:variant>
      <vt:variant>
        <vt:i4>4390923</vt:i4>
      </vt:variant>
      <vt:variant>
        <vt:i4>2180</vt:i4>
      </vt:variant>
      <vt:variant>
        <vt:i4>0</vt:i4>
      </vt:variant>
      <vt:variant>
        <vt:i4>5</vt:i4>
      </vt:variant>
      <vt:variant>
        <vt:lpwstr/>
      </vt:variant>
      <vt:variant>
        <vt:lpwstr>_ENREF_29</vt:lpwstr>
      </vt:variant>
      <vt:variant>
        <vt:i4>4390923</vt:i4>
      </vt:variant>
      <vt:variant>
        <vt:i4>2177</vt:i4>
      </vt:variant>
      <vt:variant>
        <vt:i4>0</vt:i4>
      </vt:variant>
      <vt:variant>
        <vt:i4>5</vt:i4>
      </vt:variant>
      <vt:variant>
        <vt:lpwstr/>
      </vt:variant>
      <vt:variant>
        <vt:lpwstr>_ENREF_28</vt:lpwstr>
      </vt:variant>
      <vt:variant>
        <vt:i4>4587531</vt:i4>
      </vt:variant>
      <vt:variant>
        <vt:i4>2171</vt:i4>
      </vt:variant>
      <vt:variant>
        <vt:i4>0</vt:i4>
      </vt:variant>
      <vt:variant>
        <vt:i4>5</vt:i4>
      </vt:variant>
      <vt:variant>
        <vt:lpwstr/>
      </vt:variant>
      <vt:variant>
        <vt:lpwstr>_ENREF_7</vt:lpwstr>
      </vt:variant>
      <vt:variant>
        <vt:i4>4456459</vt:i4>
      </vt:variant>
      <vt:variant>
        <vt:i4>2163</vt:i4>
      </vt:variant>
      <vt:variant>
        <vt:i4>0</vt:i4>
      </vt:variant>
      <vt:variant>
        <vt:i4>5</vt:i4>
      </vt:variant>
      <vt:variant>
        <vt:lpwstr/>
      </vt:variant>
      <vt:variant>
        <vt:lpwstr>_ENREF_56</vt:lpwstr>
      </vt:variant>
      <vt:variant>
        <vt:i4>4456459</vt:i4>
      </vt:variant>
      <vt:variant>
        <vt:i4>2155</vt:i4>
      </vt:variant>
      <vt:variant>
        <vt:i4>0</vt:i4>
      </vt:variant>
      <vt:variant>
        <vt:i4>5</vt:i4>
      </vt:variant>
      <vt:variant>
        <vt:lpwstr/>
      </vt:variant>
      <vt:variant>
        <vt:lpwstr>_ENREF_55</vt:lpwstr>
      </vt:variant>
      <vt:variant>
        <vt:i4>4456459</vt:i4>
      </vt:variant>
      <vt:variant>
        <vt:i4>2147</vt:i4>
      </vt:variant>
      <vt:variant>
        <vt:i4>0</vt:i4>
      </vt:variant>
      <vt:variant>
        <vt:i4>5</vt:i4>
      </vt:variant>
      <vt:variant>
        <vt:lpwstr/>
      </vt:variant>
      <vt:variant>
        <vt:lpwstr>_ENREF_52</vt:lpwstr>
      </vt:variant>
      <vt:variant>
        <vt:i4>4325387</vt:i4>
      </vt:variant>
      <vt:variant>
        <vt:i4>2139</vt:i4>
      </vt:variant>
      <vt:variant>
        <vt:i4>0</vt:i4>
      </vt:variant>
      <vt:variant>
        <vt:i4>5</vt:i4>
      </vt:variant>
      <vt:variant>
        <vt:lpwstr/>
      </vt:variant>
      <vt:variant>
        <vt:lpwstr>_ENREF_39</vt:lpwstr>
      </vt:variant>
      <vt:variant>
        <vt:i4>4456459</vt:i4>
      </vt:variant>
      <vt:variant>
        <vt:i4>2133</vt:i4>
      </vt:variant>
      <vt:variant>
        <vt:i4>0</vt:i4>
      </vt:variant>
      <vt:variant>
        <vt:i4>5</vt:i4>
      </vt:variant>
      <vt:variant>
        <vt:lpwstr/>
      </vt:variant>
      <vt:variant>
        <vt:lpwstr>_ENREF_51</vt:lpwstr>
      </vt:variant>
      <vt:variant>
        <vt:i4>4456459</vt:i4>
      </vt:variant>
      <vt:variant>
        <vt:i4>2127</vt:i4>
      </vt:variant>
      <vt:variant>
        <vt:i4>0</vt:i4>
      </vt:variant>
      <vt:variant>
        <vt:i4>5</vt:i4>
      </vt:variant>
      <vt:variant>
        <vt:lpwstr/>
      </vt:variant>
      <vt:variant>
        <vt:lpwstr>_ENREF_50</vt:lpwstr>
      </vt:variant>
      <vt:variant>
        <vt:i4>4521995</vt:i4>
      </vt:variant>
      <vt:variant>
        <vt:i4>2119</vt:i4>
      </vt:variant>
      <vt:variant>
        <vt:i4>0</vt:i4>
      </vt:variant>
      <vt:variant>
        <vt:i4>5</vt:i4>
      </vt:variant>
      <vt:variant>
        <vt:lpwstr/>
      </vt:variant>
      <vt:variant>
        <vt:lpwstr>_ENREF_49</vt:lpwstr>
      </vt:variant>
      <vt:variant>
        <vt:i4>4521995</vt:i4>
      </vt:variant>
      <vt:variant>
        <vt:i4>2113</vt:i4>
      </vt:variant>
      <vt:variant>
        <vt:i4>0</vt:i4>
      </vt:variant>
      <vt:variant>
        <vt:i4>5</vt:i4>
      </vt:variant>
      <vt:variant>
        <vt:lpwstr/>
      </vt:variant>
      <vt:variant>
        <vt:lpwstr>_ENREF_48</vt:lpwstr>
      </vt:variant>
      <vt:variant>
        <vt:i4>4521995</vt:i4>
      </vt:variant>
      <vt:variant>
        <vt:i4>2105</vt:i4>
      </vt:variant>
      <vt:variant>
        <vt:i4>0</vt:i4>
      </vt:variant>
      <vt:variant>
        <vt:i4>5</vt:i4>
      </vt:variant>
      <vt:variant>
        <vt:lpwstr/>
      </vt:variant>
      <vt:variant>
        <vt:lpwstr>_ENREF_47</vt:lpwstr>
      </vt:variant>
      <vt:variant>
        <vt:i4>4521995</vt:i4>
      </vt:variant>
      <vt:variant>
        <vt:i4>2099</vt:i4>
      </vt:variant>
      <vt:variant>
        <vt:i4>0</vt:i4>
      </vt:variant>
      <vt:variant>
        <vt:i4>5</vt:i4>
      </vt:variant>
      <vt:variant>
        <vt:lpwstr/>
      </vt:variant>
      <vt:variant>
        <vt:lpwstr>_ENREF_42</vt:lpwstr>
      </vt:variant>
      <vt:variant>
        <vt:i4>4521995</vt:i4>
      </vt:variant>
      <vt:variant>
        <vt:i4>2093</vt:i4>
      </vt:variant>
      <vt:variant>
        <vt:i4>0</vt:i4>
      </vt:variant>
      <vt:variant>
        <vt:i4>5</vt:i4>
      </vt:variant>
      <vt:variant>
        <vt:lpwstr/>
      </vt:variant>
      <vt:variant>
        <vt:lpwstr>_ENREF_42</vt:lpwstr>
      </vt:variant>
      <vt:variant>
        <vt:i4>4521995</vt:i4>
      </vt:variant>
      <vt:variant>
        <vt:i4>2087</vt:i4>
      </vt:variant>
      <vt:variant>
        <vt:i4>0</vt:i4>
      </vt:variant>
      <vt:variant>
        <vt:i4>5</vt:i4>
      </vt:variant>
      <vt:variant>
        <vt:lpwstr/>
      </vt:variant>
      <vt:variant>
        <vt:lpwstr>_ENREF_42</vt:lpwstr>
      </vt:variant>
      <vt:variant>
        <vt:i4>4521995</vt:i4>
      </vt:variant>
      <vt:variant>
        <vt:i4>2081</vt:i4>
      </vt:variant>
      <vt:variant>
        <vt:i4>0</vt:i4>
      </vt:variant>
      <vt:variant>
        <vt:i4>5</vt:i4>
      </vt:variant>
      <vt:variant>
        <vt:lpwstr/>
      </vt:variant>
      <vt:variant>
        <vt:lpwstr>_ENREF_45</vt:lpwstr>
      </vt:variant>
      <vt:variant>
        <vt:i4>4521995</vt:i4>
      </vt:variant>
      <vt:variant>
        <vt:i4>2075</vt:i4>
      </vt:variant>
      <vt:variant>
        <vt:i4>0</vt:i4>
      </vt:variant>
      <vt:variant>
        <vt:i4>5</vt:i4>
      </vt:variant>
      <vt:variant>
        <vt:lpwstr/>
      </vt:variant>
      <vt:variant>
        <vt:lpwstr>_ENREF_46</vt:lpwstr>
      </vt:variant>
      <vt:variant>
        <vt:i4>4521995</vt:i4>
      </vt:variant>
      <vt:variant>
        <vt:i4>2069</vt:i4>
      </vt:variant>
      <vt:variant>
        <vt:i4>0</vt:i4>
      </vt:variant>
      <vt:variant>
        <vt:i4>5</vt:i4>
      </vt:variant>
      <vt:variant>
        <vt:lpwstr/>
      </vt:variant>
      <vt:variant>
        <vt:lpwstr>_ENREF_46</vt:lpwstr>
      </vt:variant>
      <vt:variant>
        <vt:i4>4521995</vt:i4>
      </vt:variant>
      <vt:variant>
        <vt:i4>2063</vt:i4>
      </vt:variant>
      <vt:variant>
        <vt:i4>0</vt:i4>
      </vt:variant>
      <vt:variant>
        <vt:i4>5</vt:i4>
      </vt:variant>
      <vt:variant>
        <vt:lpwstr/>
      </vt:variant>
      <vt:variant>
        <vt:lpwstr>_ENREF_45</vt:lpwstr>
      </vt:variant>
      <vt:variant>
        <vt:i4>4521995</vt:i4>
      </vt:variant>
      <vt:variant>
        <vt:i4>2057</vt:i4>
      </vt:variant>
      <vt:variant>
        <vt:i4>0</vt:i4>
      </vt:variant>
      <vt:variant>
        <vt:i4>5</vt:i4>
      </vt:variant>
      <vt:variant>
        <vt:lpwstr/>
      </vt:variant>
      <vt:variant>
        <vt:lpwstr>_ENREF_45</vt:lpwstr>
      </vt:variant>
      <vt:variant>
        <vt:i4>4521995</vt:i4>
      </vt:variant>
      <vt:variant>
        <vt:i4>2051</vt:i4>
      </vt:variant>
      <vt:variant>
        <vt:i4>0</vt:i4>
      </vt:variant>
      <vt:variant>
        <vt:i4>5</vt:i4>
      </vt:variant>
      <vt:variant>
        <vt:lpwstr/>
      </vt:variant>
      <vt:variant>
        <vt:lpwstr>_ENREF_44</vt:lpwstr>
      </vt:variant>
      <vt:variant>
        <vt:i4>4521995</vt:i4>
      </vt:variant>
      <vt:variant>
        <vt:i4>2045</vt:i4>
      </vt:variant>
      <vt:variant>
        <vt:i4>0</vt:i4>
      </vt:variant>
      <vt:variant>
        <vt:i4>5</vt:i4>
      </vt:variant>
      <vt:variant>
        <vt:lpwstr/>
      </vt:variant>
      <vt:variant>
        <vt:lpwstr>_ENREF_43</vt:lpwstr>
      </vt:variant>
      <vt:variant>
        <vt:i4>4521995</vt:i4>
      </vt:variant>
      <vt:variant>
        <vt:i4>2039</vt:i4>
      </vt:variant>
      <vt:variant>
        <vt:i4>0</vt:i4>
      </vt:variant>
      <vt:variant>
        <vt:i4>5</vt:i4>
      </vt:variant>
      <vt:variant>
        <vt:lpwstr/>
      </vt:variant>
      <vt:variant>
        <vt:lpwstr>_ENREF_43</vt:lpwstr>
      </vt:variant>
      <vt:variant>
        <vt:i4>4521995</vt:i4>
      </vt:variant>
      <vt:variant>
        <vt:i4>2033</vt:i4>
      </vt:variant>
      <vt:variant>
        <vt:i4>0</vt:i4>
      </vt:variant>
      <vt:variant>
        <vt:i4>5</vt:i4>
      </vt:variant>
      <vt:variant>
        <vt:lpwstr/>
      </vt:variant>
      <vt:variant>
        <vt:lpwstr>_ENREF_42</vt:lpwstr>
      </vt:variant>
      <vt:variant>
        <vt:i4>4521995</vt:i4>
      </vt:variant>
      <vt:variant>
        <vt:i4>2027</vt:i4>
      </vt:variant>
      <vt:variant>
        <vt:i4>0</vt:i4>
      </vt:variant>
      <vt:variant>
        <vt:i4>5</vt:i4>
      </vt:variant>
      <vt:variant>
        <vt:lpwstr/>
      </vt:variant>
      <vt:variant>
        <vt:lpwstr>_ENREF_40</vt:lpwstr>
      </vt:variant>
      <vt:variant>
        <vt:i4>4521995</vt:i4>
      </vt:variant>
      <vt:variant>
        <vt:i4>2021</vt:i4>
      </vt:variant>
      <vt:variant>
        <vt:i4>0</vt:i4>
      </vt:variant>
      <vt:variant>
        <vt:i4>5</vt:i4>
      </vt:variant>
      <vt:variant>
        <vt:lpwstr/>
      </vt:variant>
      <vt:variant>
        <vt:lpwstr>_ENREF_41</vt:lpwstr>
      </vt:variant>
      <vt:variant>
        <vt:i4>4521995</vt:i4>
      </vt:variant>
      <vt:variant>
        <vt:i4>2015</vt:i4>
      </vt:variant>
      <vt:variant>
        <vt:i4>0</vt:i4>
      </vt:variant>
      <vt:variant>
        <vt:i4>5</vt:i4>
      </vt:variant>
      <vt:variant>
        <vt:lpwstr/>
      </vt:variant>
      <vt:variant>
        <vt:lpwstr>_ENREF_41</vt:lpwstr>
      </vt:variant>
      <vt:variant>
        <vt:i4>4390923</vt:i4>
      </vt:variant>
      <vt:variant>
        <vt:i4>2009</vt:i4>
      </vt:variant>
      <vt:variant>
        <vt:i4>0</vt:i4>
      </vt:variant>
      <vt:variant>
        <vt:i4>5</vt:i4>
      </vt:variant>
      <vt:variant>
        <vt:lpwstr/>
      </vt:variant>
      <vt:variant>
        <vt:lpwstr>_ENREF_25</vt:lpwstr>
      </vt:variant>
      <vt:variant>
        <vt:i4>4390923</vt:i4>
      </vt:variant>
      <vt:variant>
        <vt:i4>2003</vt:i4>
      </vt:variant>
      <vt:variant>
        <vt:i4>0</vt:i4>
      </vt:variant>
      <vt:variant>
        <vt:i4>5</vt:i4>
      </vt:variant>
      <vt:variant>
        <vt:lpwstr/>
      </vt:variant>
      <vt:variant>
        <vt:lpwstr>_ENREF_24</vt:lpwstr>
      </vt:variant>
      <vt:variant>
        <vt:i4>4325387</vt:i4>
      </vt:variant>
      <vt:variant>
        <vt:i4>1997</vt:i4>
      </vt:variant>
      <vt:variant>
        <vt:i4>0</vt:i4>
      </vt:variant>
      <vt:variant>
        <vt:i4>5</vt:i4>
      </vt:variant>
      <vt:variant>
        <vt:lpwstr/>
      </vt:variant>
      <vt:variant>
        <vt:lpwstr>_ENREF_39</vt:lpwstr>
      </vt:variant>
      <vt:variant>
        <vt:i4>4325387</vt:i4>
      </vt:variant>
      <vt:variant>
        <vt:i4>1991</vt:i4>
      </vt:variant>
      <vt:variant>
        <vt:i4>0</vt:i4>
      </vt:variant>
      <vt:variant>
        <vt:i4>5</vt:i4>
      </vt:variant>
      <vt:variant>
        <vt:lpwstr/>
      </vt:variant>
      <vt:variant>
        <vt:lpwstr>_ENREF_38</vt:lpwstr>
      </vt:variant>
      <vt:variant>
        <vt:i4>4390923</vt:i4>
      </vt:variant>
      <vt:variant>
        <vt:i4>1985</vt:i4>
      </vt:variant>
      <vt:variant>
        <vt:i4>0</vt:i4>
      </vt:variant>
      <vt:variant>
        <vt:i4>5</vt:i4>
      </vt:variant>
      <vt:variant>
        <vt:lpwstr/>
      </vt:variant>
      <vt:variant>
        <vt:lpwstr>_ENREF_26</vt:lpwstr>
      </vt:variant>
      <vt:variant>
        <vt:i4>4390923</vt:i4>
      </vt:variant>
      <vt:variant>
        <vt:i4>1982</vt:i4>
      </vt:variant>
      <vt:variant>
        <vt:i4>0</vt:i4>
      </vt:variant>
      <vt:variant>
        <vt:i4>5</vt:i4>
      </vt:variant>
      <vt:variant>
        <vt:lpwstr/>
      </vt:variant>
      <vt:variant>
        <vt:lpwstr>_ENREF_23</vt:lpwstr>
      </vt:variant>
      <vt:variant>
        <vt:i4>4521995</vt:i4>
      </vt:variant>
      <vt:variant>
        <vt:i4>1974</vt:i4>
      </vt:variant>
      <vt:variant>
        <vt:i4>0</vt:i4>
      </vt:variant>
      <vt:variant>
        <vt:i4>5</vt:i4>
      </vt:variant>
      <vt:variant>
        <vt:lpwstr/>
      </vt:variant>
      <vt:variant>
        <vt:lpwstr>_ENREF_40</vt:lpwstr>
      </vt:variant>
      <vt:variant>
        <vt:i4>4390923</vt:i4>
      </vt:variant>
      <vt:variant>
        <vt:i4>1968</vt:i4>
      </vt:variant>
      <vt:variant>
        <vt:i4>0</vt:i4>
      </vt:variant>
      <vt:variant>
        <vt:i4>5</vt:i4>
      </vt:variant>
      <vt:variant>
        <vt:lpwstr/>
      </vt:variant>
      <vt:variant>
        <vt:lpwstr>_ENREF_23</vt:lpwstr>
      </vt:variant>
      <vt:variant>
        <vt:i4>4390923</vt:i4>
      </vt:variant>
      <vt:variant>
        <vt:i4>1962</vt:i4>
      </vt:variant>
      <vt:variant>
        <vt:i4>0</vt:i4>
      </vt:variant>
      <vt:variant>
        <vt:i4>5</vt:i4>
      </vt:variant>
      <vt:variant>
        <vt:lpwstr/>
      </vt:variant>
      <vt:variant>
        <vt:lpwstr>_ENREF_23</vt:lpwstr>
      </vt:variant>
      <vt:variant>
        <vt:i4>4390923</vt:i4>
      </vt:variant>
      <vt:variant>
        <vt:i4>1956</vt:i4>
      </vt:variant>
      <vt:variant>
        <vt:i4>0</vt:i4>
      </vt:variant>
      <vt:variant>
        <vt:i4>5</vt:i4>
      </vt:variant>
      <vt:variant>
        <vt:lpwstr/>
      </vt:variant>
      <vt:variant>
        <vt:lpwstr>_ENREF_22</vt:lpwstr>
      </vt:variant>
      <vt:variant>
        <vt:i4>4390923</vt:i4>
      </vt:variant>
      <vt:variant>
        <vt:i4>1950</vt:i4>
      </vt:variant>
      <vt:variant>
        <vt:i4>0</vt:i4>
      </vt:variant>
      <vt:variant>
        <vt:i4>5</vt:i4>
      </vt:variant>
      <vt:variant>
        <vt:lpwstr/>
      </vt:variant>
      <vt:variant>
        <vt:lpwstr>_ENREF_23</vt:lpwstr>
      </vt:variant>
      <vt:variant>
        <vt:i4>4325387</vt:i4>
      </vt:variant>
      <vt:variant>
        <vt:i4>1944</vt:i4>
      </vt:variant>
      <vt:variant>
        <vt:i4>0</vt:i4>
      </vt:variant>
      <vt:variant>
        <vt:i4>5</vt:i4>
      </vt:variant>
      <vt:variant>
        <vt:lpwstr/>
      </vt:variant>
      <vt:variant>
        <vt:lpwstr>_ENREF_39</vt:lpwstr>
      </vt:variant>
      <vt:variant>
        <vt:i4>4325387</vt:i4>
      </vt:variant>
      <vt:variant>
        <vt:i4>1938</vt:i4>
      </vt:variant>
      <vt:variant>
        <vt:i4>0</vt:i4>
      </vt:variant>
      <vt:variant>
        <vt:i4>5</vt:i4>
      </vt:variant>
      <vt:variant>
        <vt:lpwstr/>
      </vt:variant>
      <vt:variant>
        <vt:lpwstr>_ENREF_39</vt:lpwstr>
      </vt:variant>
      <vt:variant>
        <vt:i4>4325387</vt:i4>
      </vt:variant>
      <vt:variant>
        <vt:i4>1932</vt:i4>
      </vt:variant>
      <vt:variant>
        <vt:i4>0</vt:i4>
      </vt:variant>
      <vt:variant>
        <vt:i4>5</vt:i4>
      </vt:variant>
      <vt:variant>
        <vt:lpwstr/>
      </vt:variant>
      <vt:variant>
        <vt:lpwstr>_ENREF_38</vt:lpwstr>
      </vt:variant>
      <vt:variant>
        <vt:i4>4390923</vt:i4>
      </vt:variant>
      <vt:variant>
        <vt:i4>1926</vt:i4>
      </vt:variant>
      <vt:variant>
        <vt:i4>0</vt:i4>
      </vt:variant>
      <vt:variant>
        <vt:i4>5</vt:i4>
      </vt:variant>
      <vt:variant>
        <vt:lpwstr/>
      </vt:variant>
      <vt:variant>
        <vt:lpwstr>_ENREF_21</vt:lpwstr>
      </vt:variant>
      <vt:variant>
        <vt:i4>4325387</vt:i4>
      </vt:variant>
      <vt:variant>
        <vt:i4>1920</vt:i4>
      </vt:variant>
      <vt:variant>
        <vt:i4>0</vt:i4>
      </vt:variant>
      <vt:variant>
        <vt:i4>5</vt:i4>
      </vt:variant>
      <vt:variant>
        <vt:lpwstr/>
      </vt:variant>
      <vt:variant>
        <vt:lpwstr>_ENREF_37</vt:lpwstr>
      </vt:variant>
      <vt:variant>
        <vt:i4>4390923</vt:i4>
      </vt:variant>
      <vt:variant>
        <vt:i4>1908</vt:i4>
      </vt:variant>
      <vt:variant>
        <vt:i4>0</vt:i4>
      </vt:variant>
      <vt:variant>
        <vt:i4>5</vt:i4>
      </vt:variant>
      <vt:variant>
        <vt:lpwstr/>
      </vt:variant>
      <vt:variant>
        <vt:lpwstr>_ENREF_20</vt:lpwstr>
      </vt:variant>
      <vt:variant>
        <vt:i4>4194315</vt:i4>
      </vt:variant>
      <vt:variant>
        <vt:i4>1905</vt:i4>
      </vt:variant>
      <vt:variant>
        <vt:i4>0</vt:i4>
      </vt:variant>
      <vt:variant>
        <vt:i4>5</vt:i4>
      </vt:variant>
      <vt:variant>
        <vt:lpwstr/>
      </vt:variant>
      <vt:variant>
        <vt:lpwstr>_ENREF_19</vt:lpwstr>
      </vt:variant>
      <vt:variant>
        <vt:i4>4194315</vt:i4>
      </vt:variant>
      <vt:variant>
        <vt:i4>1897</vt:i4>
      </vt:variant>
      <vt:variant>
        <vt:i4>0</vt:i4>
      </vt:variant>
      <vt:variant>
        <vt:i4>5</vt:i4>
      </vt:variant>
      <vt:variant>
        <vt:lpwstr/>
      </vt:variant>
      <vt:variant>
        <vt:lpwstr>_ENREF_16</vt:lpwstr>
      </vt:variant>
      <vt:variant>
        <vt:i4>4194315</vt:i4>
      </vt:variant>
      <vt:variant>
        <vt:i4>1889</vt:i4>
      </vt:variant>
      <vt:variant>
        <vt:i4>0</vt:i4>
      </vt:variant>
      <vt:variant>
        <vt:i4>5</vt:i4>
      </vt:variant>
      <vt:variant>
        <vt:lpwstr/>
      </vt:variant>
      <vt:variant>
        <vt:lpwstr>_ENREF_15</vt:lpwstr>
      </vt:variant>
      <vt:variant>
        <vt:i4>4194315</vt:i4>
      </vt:variant>
      <vt:variant>
        <vt:i4>1886</vt:i4>
      </vt:variant>
      <vt:variant>
        <vt:i4>0</vt:i4>
      </vt:variant>
      <vt:variant>
        <vt:i4>5</vt:i4>
      </vt:variant>
      <vt:variant>
        <vt:lpwstr/>
      </vt:variant>
      <vt:variant>
        <vt:lpwstr>_ENREF_14</vt:lpwstr>
      </vt:variant>
      <vt:variant>
        <vt:i4>4718603</vt:i4>
      </vt:variant>
      <vt:variant>
        <vt:i4>1878</vt:i4>
      </vt:variant>
      <vt:variant>
        <vt:i4>0</vt:i4>
      </vt:variant>
      <vt:variant>
        <vt:i4>5</vt:i4>
      </vt:variant>
      <vt:variant>
        <vt:lpwstr/>
      </vt:variant>
      <vt:variant>
        <vt:lpwstr>_ENREF_9</vt:lpwstr>
      </vt:variant>
      <vt:variant>
        <vt:i4>4653067</vt:i4>
      </vt:variant>
      <vt:variant>
        <vt:i4>1870</vt:i4>
      </vt:variant>
      <vt:variant>
        <vt:i4>0</vt:i4>
      </vt:variant>
      <vt:variant>
        <vt:i4>5</vt:i4>
      </vt:variant>
      <vt:variant>
        <vt:lpwstr/>
      </vt:variant>
      <vt:variant>
        <vt:lpwstr>_ENREF_6</vt:lpwstr>
      </vt:variant>
      <vt:variant>
        <vt:i4>4325387</vt:i4>
      </vt:variant>
      <vt:variant>
        <vt:i4>1862</vt:i4>
      </vt:variant>
      <vt:variant>
        <vt:i4>0</vt:i4>
      </vt:variant>
      <vt:variant>
        <vt:i4>5</vt:i4>
      </vt:variant>
      <vt:variant>
        <vt:lpwstr/>
      </vt:variant>
      <vt:variant>
        <vt:lpwstr>_ENREF_36</vt:lpwstr>
      </vt:variant>
      <vt:variant>
        <vt:i4>4325387</vt:i4>
      </vt:variant>
      <vt:variant>
        <vt:i4>1859</vt:i4>
      </vt:variant>
      <vt:variant>
        <vt:i4>0</vt:i4>
      </vt:variant>
      <vt:variant>
        <vt:i4>5</vt:i4>
      </vt:variant>
      <vt:variant>
        <vt:lpwstr/>
      </vt:variant>
      <vt:variant>
        <vt:lpwstr>_ENREF_35</vt:lpwstr>
      </vt:variant>
      <vt:variant>
        <vt:i4>4653067</vt:i4>
      </vt:variant>
      <vt:variant>
        <vt:i4>1851</vt:i4>
      </vt:variant>
      <vt:variant>
        <vt:i4>0</vt:i4>
      </vt:variant>
      <vt:variant>
        <vt:i4>5</vt:i4>
      </vt:variant>
      <vt:variant>
        <vt:lpwstr/>
      </vt:variant>
      <vt:variant>
        <vt:lpwstr>_ENREF_6</vt:lpwstr>
      </vt:variant>
      <vt:variant>
        <vt:i4>4653067</vt:i4>
      </vt:variant>
      <vt:variant>
        <vt:i4>1843</vt:i4>
      </vt:variant>
      <vt:variant>
        <vt:i4>0</vt:i4>
      </vt:variant>
      <vt:variant>
        <vt:i4>5</vt:i4>
      </vt:variant>
      <vt:variant>
        <vt:lpwstr/>
      </vt:variant>
      <vt:variant>
        <vt:lpwstr>_ENREF_6</vt:lpwstr>
      </vt:variant>
      <vt:variant>
        <vt:i4>4325387</vt:i4>
      </vt:variant>
      <vt:variant>
        <vt:i4>1835</vt:i4>
      </vt:variant>
      <vt:variant>
        <vt:i4>0</vt:i4>
      </vt:variant>
      <vt:variant>
        <vt:i4>5</vt:i4>
      </vt:variant>
      <vt:variant>
        <vt:lpwstr/>
      </vt:variant>
      <vt:variant>
        <vt:lpwstr>_ENREF_32</vt:lpwstr>
      </vt:variant>
      <vt:variant>
        <vt:i4>4653067</vt:i4>
      </vt:variant>
      <vt:variant>
        <vt:i4>1832</vt:i4>
      </vt:variant>
      <vt:variant>
        <vt:i4>0</vt:i4>
      </vt:variant>
      <vt:variant>
        <vt:i4>5</vt:i4>
      </vt:variant>
      <vt:variant>
        <vt:lpwstr/>
      </vt:variant>
      <vt:variant>
        <vt:lpwstr>_ENREF_6</vt:lpwstr>
      </vt:variant>
      <vt:variant>
        <vt:i4>4325387</vt:i4>
      </vt:variant>
      <vt:variant>
        <vt:i4>1824</vt:i4>
      </vt:variant>
      <vt:variant>
        <vt:i4>0</vt:i4>
      </vt:variant>
      <vt:variant>
        <vt:i4>5</vt:i4>
      </vt:variant>
      <vt:variant>
        <vt:lpwstr/>
      </vt:variant>
      <vt:variant>
        <vt:lpwstr>_ENREF_31</vt:lpwstr>
      </vt:variant>
      <vt:variant>
        <vt:i4>4325387</vt:i4>
      </vt:variant>
      <vt:variant>
        <vt:i4>1821</vt:i4>
      </vt:variant>
      <vt:variant>
        <vt:i4>0</vt:i4>
      </vt:variant>
      <vt:variant>
        <vt:i4>5</vt:i4>
      </vt:variant>
      <vt:variant>
        <vt:lpwstr/>
      </vt:variant>
      <vt:variant>
        <vt:lpwstr>_ENREF_30</vt:lpwstr>
      </vt:variant>
      <vt:variant>
        <vt:i4>4325387</vt:i4>
      </vt:variant>
      <vt:variant>
        <vt:i4>1813</vt:i4>
      </vt:variant>
      <vt:variant>
        <vt:i4>0</vt:i4>
      </vt:variant>
      <vt:variant>
        <vt:i4>5</vt:i4>
      </vt:variant>
      <vt:variant>
        <vt:lpwstr/>
      </vt:variant>
      <vt:variant>
        <vt:lpwstr>_ENREF_30</vt:lpwstr>
      </vt:variant>
      <vt:variant>
        <vt:i4>4456459</vt:i4>
      </vt:variant>
      <vt:variant>
        <vt:i4>1807</vt:i4>
      </vt:variant>
      <vt:variant>
        <vt:i4>0</vt:i4>
      </vt:variant>
      <vt:variant>
        <vt:i4>5</vt:i4>
      </vt:variant>
      <vt:variant>
        <vt:lpwstr/>
      </vt:variant>
      <vt:variant>
        <vt:lpwstr>_ENREF_5</vt:lpwstr>
      </vt:variant>
      <vt:variant>
        <vt:i4>4390923</vt:i4>
      </vt:variant>
      <vt:variant>
        <vt:i4>1801</vt:i4>
      </vt:variant>
      <vt:variant>
        <vt:i4>0</vt:i4>
      </vt:variant>
      <vt:variant>
        <vt:i4>5</vt:i4>
      </vt:variant>
      <vt:variant>
        <vt:lpwstr/>
      </vt:variant>
      <vt:variant>
        <vt:lpwstr>_ENREF_29</vt:lpwstr>
      </vt:variant>
      <vt:variant>
        <vt:i4>4390923</vt:i4>
      </vt:variant>
      <vt:variant>
        <vt:i4>1798</vt:i4>
      </vt:variant>
      <vt:variant>
        <vt:i4>0</vt:i4>
      </vt:variant>
      <vt:variant>
        <vt:i4>5</vt:i4>
      </vt:variant>
      <vt:variant>
        <vt:lpwstr/>
      </vt:variant>
      <vt:variant>
        <vt:lpwstr>_ENREF_28</vt:lpwstr>
      </vt:variant>
      <vt:variant>
        <vt:i4>4390923</vt:i4>
      </vt:variant>
      <vt:variant>
        <vt:i4>1792</vt:i4>
      </vt:variant>
      <vt:variant>
        <vt:i4>0</vt:i4>
      </vt:variant>
      <vt:variant>
        <vt:i4>5</vt:i4>
      </vt:variant>
      <vt:variant>
        <vt:lpwstr/>
      </vt:variant>
      <vt:variant>
        <vt:lpwstr>_ENREF_27</vt:lpwstr>
      </vt:variant>
      <vt:variant>
        <vt:i4>4390923</vt:i4>
      </vt:variant>
      <vt:variant>
        <vt:i4>1786</vt:i4>
      </vt:variant>
      <vt:variant>
        <vt:i4>0</vt:i4>
      </vt:variant>
      <vt:variant>
        <vt:i4>5</vt:i4>
      </vt:variant>
      <vt:variant>
        <vt:lpwstr/>
      </vt:variant>
      <vt:variant>
        <vt:lpwstr>_ENREF_26</vt:lpwstr>
      </vt:variant>
      <vt:variant>
        <vt:i4>4390923</vt:i4>
      </vt:variant>
      <vt:variant>
        <vt:i4>1783</vt:i4>
      </vt:variant>
      <vt:variant>
        <vt:i4>0</vt:i4>
      </vt:variant>
      <vt:variant>
        <vt:i4>5</vt:i4>
      </vt:variant>
      <vt:variant>
        <vt:lpwstr/>
      </vt:variant>
      <vt:variant>
        <vt:lpwstr>_ENREF_23</vt:lpwstr>
      </vt:variant>
      <vt:variant>
        <vt:i4>4390923</vt:i4>
      </vt:variant>
      <vt:variant>
        <vt:i4>1775</vt:i4>
      </vt:variant>
      <vt:variant>
        <vt:i4>0</vt:i4>
      </vt:variant>
      <vt:variant>
        <vt:i4>5</vt:i4>
      </vt:variant>
      <vt:variant>
        <vt:lpwstr/>
      </vt:variant>
      <vt:variant>
        <vt:lpwstr>_ENREF_25</vt:lpwstr>
      </vt:variant>
      <vt:variant>
        <vt:i4>4390923</vt:i4>
      </vt:variant>
      <vt:variant>
        <vt:i4>1769</vt:i4>
      </vt:variant>
      <vt:variant>
        <vt:i4>0</vt:i4>
      </vt:variant>
      <vt:variant>
        <vt:i4>5</vt:i4>
      </vt:variant>
      <vt:variant>
        <vt:lpwstr/>
      </vt:variant>
      <vt:variant>
        <vt:lpwstr>_ENREF_24</vt:lpwstr>
      </vt:variant>
      <vt:variant>
        <vt:i4>4390923</vt:i4>
      </vt:variant>
      <vt:variant>
        <vt:i4>1763</vt:i4>
      </vt:variant>
      <vt:variant>
        <vt:i4>0</vt:i4>
      </vt:variant>
      <vt:variant>
        <vt:i4>5</vt:i4>
      </vt:variant>
      <vt:variant>
        <vt:lpwstr/>
      </vt:variant>
      <vt:variant>
        <vt:lpwstr>_ENREF_23</vt:lpwstr>
      </vt:variant>
      <vt:variant>
        <vt:i4>4390923</vt:i4>
      </vt:variant>
      <vt:variant>
        <vt:i4>1757</vt:i4>
      </vt:variant>
      <vt:variant>
        <vt:i4>0</vt:i4>
      </vt:variant>
      <vt:variant>
        <vt:i4>5</vt:i4>
      </vt:variant>
      <vt:variant>
        <vt:lpwstr/>
      </vt:variant>
      <vt:variant>
        <vt:lpwstr>_ENREF_22</vt:lpwstr>
      </vt:variant>
      <vt:variant>
        <vt:i4>4390923</vt:i4>
      </vt:variant>
      <vt:variant>
        <vt:i4>1751</vt:i4>
      </vt:variant>
      <vt:variant>
        <vt:i4>0</vt:i4>
      </vt:variant>
      <vt:variant>
        <vt:i4>5</vt:i4>
      </vt:variant>
      <vt:variant>
        <vt:lpwstr/>
      </vt:variant>
      <vt:variant>
        <vt:lpwstr>_ENREF_21</vt:lpwstr>
      </vt:variant>
      <vt:variant>
        <vt:i4>4390923</vt:i4>
      </vt:variant>
      <vt:variant>
        <vt:i4>1745</vt:i4>
      </vt:variant>
      <vt:variant>
        <vt:i4>0</vt:i4>
      </vt:variant>
      <vt:variant>
        <vt:i4>5</vt:i4>
      </vt:variant>
      <vt:variant>
        <vt:lpwstr/>
      </vt:variant>
      <vt:variant>
        <vt:lpwstr>_ENREF_20</vt:lpwstr>
      </vt:variant>
      <vt:variant>
        <vt:i4>4194315</vt:i4>
      </vt:variant>
      <vt:variant>
        <vt:i4>1742</vt:i4>
      </vt:variant>
      <vt:variant>
        <vt:i4>0</vt:i4>
      </vt:variant>
      <vt:variant>
        <vt:i4>5</vt:i4>
      </vt:variant>
      <vt:variant>
        <vt:lpwstr/>
      </vt:variant>
      <vt:variant>
        <vt:lpwstr>_ENREF_19</vt:lpwstr>
      </vt:variant>
      <vt:variant>
        <vt:i4>4194315</vt:i4>
      </vt:variant>
      <vt:variant>
        <vt:i4>1734</vt:i4>
      </vt:variant>
      <vt:variant>
        <vt:i4>0</vt:i4>
      </vt:variant>
      <vt:variant>
        <vt:i4>5</vt:i4>
      </vt:variant>
      <vt:variant>
        <vt:lpwstr/>
      </vt:variant>
      <vt:variant>
        <vt:lpwstr>_ENREF_16</vt:lpwstr>
      </vt:variant>
      <vt:variant>
        <vt:i4>4194315</vt:i4>
      </vt:variant>
      <vt:variant>
        <vt:i4>1726</vt:i4>
      </vt:variant>
      <vt:variant>
        <vt:i4>0</vt:i4>
      </vt:variant>
      <vt:variant>
        <vt:i4>5</vt:i4>
      </vt:variant>
      <vt:variant>
        <vt:lpwstr/>
      </vt:variant>
      <vt:variant>
        <vt:lpwstr>_ENREF_15</vt:lpwstr>
      </vt:variant>
      <vt:variant>
        <vt:i4>4194315</vt:i4>
      </vt:variant>
      <vt:variant>
        <vt:i4>1723</vt:i4>
      </vt:variant>
      <vt:variant>
        <vt:i4>0</vt:i4>
      </vt:variant>
      <vt:variant>
        <vt:i4>5</vt:i4>
      </vt:variant>
      <vt:variant>
        <vt:lpwstr/>
      </vt:variant>
      <vt:variant>
        <vt:lpwstr>_ENREF_14</vt:lpwstr>
      </vt:variant>
      <vt:variant>
        <vt:i4>4718603</vt:i4>
      </vt:variant>
      <vt:variant>
        <vt:i4>1715</vt:i4>
      </vt:variant>
      <vt:variant>
        <vt:i4>0</vt:i4>
      </vt:variant>
      <vt:variant>
        <vt:i4>5</vt:i4>
      </vt:variant>
      <vt:variant>
        <vt:lpwstr/>
      </vt:variant>
      <vt:variant>
        <vt:lpwstr>_ENREF_9</vt:lpwstr>
      </vt:variant>
      <vt:variant>
        <vt:i4>4653067</vt:i4>
      </vt:variant>
      <vt:variant>
        <vt:i4>1707</vt:i4>
      </vt:variant>
      <vt:variant>
        <vt:i4>0</vt:i4>
      </vt:variant>
      <vt:variant>
        <vt:i4>5</vt:i4>
      </vt:variant>
      <vt:variant>
        <vt:lpwstr/>
      </vt:variant>
      <vt:variant>
        <vt:lpwstr>_ENREF_6</vt:lpwstr>
      </vt:variant>
      <vt:variant>
        <vt:i4>1900595</vt:i4>
      </vt:variant>
      <vt:variant>
        <vt:i4>1696</vt:i4>
      </vt:variant>
      <vt:variant>
        <vt:i4>0</vt:i4>
      </vt:variant>
      <vt:variant>
        <vt:i4>5</vt:i4>
      </vt:variant>
      <vt:variant>
        <vt:lpwstr/>
      </vt:variant>
      <vt:variant>
        <vt:lpwstr>_Toc183520378</vt:lpwstr>
      </vt:variant>
      <vt:variant>
        <vt:i4>1900595</vt:i4>
      </vt:variant>
      <vt:variant>
        <vt:i4>1690</vt:i4>
      </vt:variant>
      <vt:variant>
        <vt:i4>0</vt:i4>
      </vt:variant>
      <vt:variant>
        <vt:i4>5</vt:i4>
      </vt:variant>
      <vt:variant>
        <vt:lpwstr/>
      </vt:variant>
      <vt:variant>
        <vt:lpwstr>_Toc183520377</vt:lpwstr>
      </vt:variant>
      <vt:variant>
        <vt:i4>1900595</vt:i4>
      </vt:variant>
      <vt:variant>
        <vt:i4>1684</vt:i4>
      </vt:variant>
      <vt:variant>
        <vt:i4>0</vt:i4>
      </vt:variant>
      <vt:variant>
        <vt:i4>5</vt:i4>
      </vt:variant>
      <vt:variant>
        <vt:lpwstr/>
      </vt:variant>
      <vt:variant>
        <vt:lpwstr>_Toc183520376</vt:lpwstr>
      </vt:variant>
      <vt:variant>
        <vt:i4>1900595</vt:i4>
      </vt:variant>
      <vt:variant>
        <vt:i4>1678</vt:i4>
      </vt:variant>
      <vt:variant>
        <vt:i4>0</vt:i4>
      </vt:variant>
      <vt:variant>
        <vt:i4>5</vt:i4>
      </vt:variant>
      <vt:variant>
        <vt:lpwstr/>
      </vt:variant>
      <vt:variant>
        <vt:lpwstr>_Toc183520375</vt:lpwstr>
      </vt:variant>
      <vt:variant>
        <vt:i4>1900595</vt:i4>
      </vt:variant>
      <vt:variant>
        <vt:i4>1672</vt:i4>
      </vt:variant>
      <vt:variant>
        <vt:i4>0</vt:i4>
      </vt:variant>
      <vt:variant>
        <vt:i4>5</vt:i4>
      </vt:variant>
      <vt:variant>
        <vt:lpwstr/>
      </vt:variant>
      <vt:variant>
        <vt:lpwstr>_Toc183520374</vt:lpwstr>
      </vt:variant>
      <vt:variant>
        <vt:i4>1900595</vt:i4>
      </vt:variant>
      <vt:variant>
        <vt:i4>1666</vt:i4>
      </vt:variant>
      <vt:variant>
        <vt:i4>0</vt:i4>
      </vt:variant>
      <vt:variant>
        <vt:i4>5</vt:i4>
      </vt:variant>
      <vt:variant>
        <vt:lpwstr/>
      </vt:variant>
      <vt:variant>
        <vt:lpwstr>_Toc183520373</vt:lpwstr>
      </vt:variant>
      <vt:variant>
        <vt:i4>1900595</vt:i4>
      </vt:variant>
      <vt:variant>
        <vt:i4>1660</vt:i4>
      </vt:variant>
      <vt:variant>
        <vt:i4>0</vt:i4>
      </vt:variant>
      <vt:variant>
        <vt:i4>5</vt:i4>
      </vt:variant>
      <vt:variant>
        <vt:lpwstr/>
      </vt:variant>
      <vt:variant>
        <vt:lpwstr>_Toc183520372</vt:lpwstr>
      </vt:variant>
      <vt:variant>
        <vt:i4>1900595</vt:i4>
      </vt:variant>
      <vt:variant>
        <vt:i4>1654</vt:i4>
      </vt:variant>
      <vt:variant>
        <vt:i4>0</vt:i4>
      </vt:variant>
      <vt:variant>
        <vt:i4>5</vt:i4>
      </vt:variant>
      <vt:variant>
        <vt:lpwstr/>
      </vt:variant>
      <vt:variant>
        <vt:lpwstr>_Toc183520371</vt:lpwstr>
      </vt:variant>
      <vt:variant>
        <vt:i4>1900595</vt:i4>
      </vt:variant>
      <vt:variant>
        <vt:i4>1648</vt:i4>
      </vt:variant>
      <vt:variant>
        <vt:i4>0</vt:i4>
      </vt:variant>
      <vt:variant>
        <vt:i4>5</vt:i4>
      </vt:variant>
      <vt:variant>
        <vt:lpwstr/>
      </vt:variant>
      <vt:variant>
        <vt:lpwstr>_Toc183520370</vt:lpwstr>
      </vt:variant>
      <vt:variant>
        <vt:i4>1835059</vt:i4>
      </vt:variant>
      <vt:variant>
        <vt:i4>1642</vt:i4>
      </vt:variant>
      <vt:variant>
        <vt:i4>0</vt:i4>
      </vt:variant>
      <vt:variant>
        <vt:i4>5</vt:i4>
      </vt:variant>
      <vt:variant>
        <vt:lpwstr/>
      </vt:variant>
      <vt:variant>
        <vt:lpwstr>_Toc183520369</vt:lpwstr>
      </vt:variant>
      <vt:variant>
        <vt:i4>1835059</vt:i4>
      </vt:variant>
      <vt:variant>
        <vt:i4>1636</vt:i4>
      </vt:variant>
      <vt:variant>
        <vt:i4>0</vt:i4>
      </vt:variant>
      <vt:variant>
        <vt:i4>5</vt:i4>
      </vt:variant>
      <vt:variant>
        <vt:lpwstr/>
      </vt:variant>
      <vt:variant>
        <vt:lpwstr>_Toc183520368</vt:lpwstr>
      </vt:variant>
      <vt:variant>
        <vt:i4>1835059</vt:i4>
      </vt:variant>
      <vt:variant>
        <vt:i4>1630</vt:i4>
      </vt:variant>
      <vt:variant>
        <vt:i4>0</vt:i4>
      </vt:variant>
      <vt:variant>
        <vt:i4>5</vt:i4>
      </vt:variant>
      <vt:variant>
        <vt:lpwstr/>
      </vt:variant>
      <vt:variant>
        <vt:lpwstr>_Toc183520367</vt:lpwstr>
      </vt:variant>
      <vt:variant>
        <vt:i4>1835059</vt:i4>
      </vt:variant>
      <vt:variant>
        <vt:i4>1624</vt:i4>
      </vt:variant>
      <vt:variant>
        <vt:i4>0</vt:i4>
      </vt:variant>
      <vt:variant>
        <vt:i4>5</vt:i4>
      </vt:variant>
      <vt:variant>
        <vt:lpwstr/>
      </vt:variant>
      <vt:variant>
        <vt:lpwstr>_Toc183520366</vt:lpwstr>
      </vt:variant>
      <vt:variant>
        <vt:i4>1835059</vt:i4>
      </vt:variant>
      <vt:variant>
        <vt:i4>1618</vt:i4>
      </vt:variant>
      <vt:variant>
        <vt:i4>0</vt:i4>
      </vt:variant>
      <vt:variant>
        <vt:i4>5</vt:i4>
      </vt:variant>
      <vt:variant>
        <vt:lpwstr/>
      </vt:variant>
      <vt:variant>
        <vt:lpwstr>_Toc183520365</vt:lpwstr>
      </vt:variant>
      <vt:variant>
        <vt:i4>1835059</vt:i4>
      </vt:variant>
      <vt:variant>
        <vt:i4>1612</vt:i4>
      </vt:variant>
      <vt:variant>
        <vt:i4>0</vt:i4>
      </vt:variant>
      <vt:variant>
        <vt:i4>5</vt:i4>
      </vt:variant>
      <vt:variant>
        <vt:lpwstr/>
      </vt:variant>
      <vt:variant>
        <vt:lpwstr>_Toc183520364</vt:lpwstr>
      </vt:variant>
      <vt:variant>
        <vt:i4>1835059</vt:i4>
      </vt:variant>
      <vt:variant>
        <vt:i4>1606</vt:i4>
      </vt:variant>
      <vt:variant>
        <vt:i4>0</vt:i4>
      </vt:variant>
      <vt:variant>
        <vt:i4>5</vt:i4>
      </vt:variant>
      <vt:variant>
        <vt:lpwstr/>
      </vt:variant>
      <vt:variant>
        <vt:lpwstr>_Toc183520363</vt:lpwstr>
      </vt:variant>
      <vt:variant>
        <vt:i4>1835059</vt:i4>
      </vt:variant>
      <vt:variant>
        <vt:i4>1600</vt:i4>
      </vt:variant>
      <vt:variant>
        <vt:i4>0</vt:i4>
      </vt:variant>
      <vt:variant>
        <vt:i4>5</vt:i4>
      </vt:variant>
      <vt:variant>
        <vt:lpwstr/>
      </vt:variant>
      <vt:variant>
        <vt:lpwstr>_Toc183520362</vt:lpwstr>
      </vt:variant>
      <vt:variant>
        <vt:i4>1835059</vt:i4>
      </vt:variant>
      <vt:variant>
        <vt:i4>1594</vt:i4>
      </vt:variant>
      <vt:variant>
        <vt:i4>0</vt:i4>
      </vt:variant>
      <vt:variant>
        <vt:i4>5</vt:i4>
      </vt:variant>
      <vt:variant>
        <vt:lpwstr/>
      </vt:variant>
      <vt:variant>
        <vt:lpwstr>_Toc183520361</vt:lpwstr>
      </vt:variant>
      <vt:variant>
        <vt:i4>1835059</vt:i4>
      </vt:variant>
      <vt:variant>
        <vt:i4>1588</vt:i4>
      </vt:variant>
      <vt:variant>
        <vt:i4>0</vt:i4>
      </vt:variant>
      <vt:variant>
        <vt:i4>5</vt:i4>
      </vt:variant>
      <vt:variant>
        <vt:lpwstr/>
      </vt:variant>
      <vt:variant>
        <vt:lpwstr>_Toc183520360</vt:lpwstr>
      </vt:variant>
      <vt:variant>
        <vt:i4>2031667</vt:i4>
      </vt:variant>
      <vt:variant>
        <vt:i4>1582</vt:i4>
      </vt:variant>
      <vt:variant>
        <vt:i4>0</vt:i4>
      </vt:variant>
      <vt:variant>
        <vt:i4>5</vt:i4>
      </vt:variant>
      <vt:variant>
        <vt:lpwstr/>
      </vt:variant>
      <vt:variant>
        <vt:lpwstr>_Toc183520359</vt:lpwstr>
      </vt:variant>
      <vt:variant>
        <vt:i4>2031667</vt:i4>
      </vt:variant>
      <vt:variant>
        <vt:i4>1576</vt:i4>
      </vt:variant>
      <vt:variant>
        <vt:i4>0</vt:i4>
      </vt:variant>
      <vt:variant>
        <vt:i4>5</vt:i4>
      </vt:variant>
      <vt:variant>
        <vt:lpwstr/>
      </vt:variant>
      <vt:variant>
        <vt:lpwstr>_Toc183520358</vt:lpwstr>
      </vt:variant>
      <vt:variant>
        <vt:i4>2031667</vt:i4>
      </vt:variant>
      <vt:variant>
        <vt:i4>1570</vt:i4>
      </vt:variant>
      <vt:variant>
        <vt:i4>0</vt:i4>
      </vt:variant>
      <vt:variant>
        <vt:i4>5</vt:i4>
      </vt:variant>
      <vt:variant>
        <vt:lpwstr/>
      </vt:variant>
      <vt:variant>
        <vt:lpwstr>_Toc183520357</vt:lpwstr>
      </vt:variant>
      <vt:variant>
        <vt:i4>2031667</vt:i4>
      </vt:variant>
      <vt:variant>
        <vt:i4>1564</vt:i4>
      </vt:variant>
      <vt:variant>
        <vt:i4>0</vt:i4>
      </vt:variant>
      <vt:variant>
        <vt:i4>5</vt:i4>
      </vt:variant>
      <vt:variant>
        <vt:lpwstr/>
      </vt:variant>
      <vt:variant>
        <vt:lpwstr>_Toc183520356</vt:lpwstr>
      </vt:variant>
      <vt:variant>
        <vt:i4>2031667</vt:i4>
      </vt:variant>
      <vt:variant>
        <vt:i4>1558</vt:i4>
      </vt:variant>
      <vt:variant>
        <vt:i4>0</vt:i4>
      </vt:variant>
      <vt:variant>
        <vt:i4>5</vt:i4>
      </vt:variant>
      <vt:variant>
        <vt:lpwstr/>
      </vt:variant>
      <vt:variant>
        <vt:lpwstr>_Toc183520355</vt:lpwstr>
      </vt:variant>
      <vt:variant>
        <vt:i4>2031667</vt:i4>
      </vt:variant>
      <vt:variant>
        <vt:i4>1552</vt:i4>
      </vt:variant>
      <vt:variant>
        <vt:i4>0</vt:i4>
      </vt:variant>
      <vt:variant>
        <vt:i4>5</vt:i4>
      </vt:variant>
      <vt:variant>
        <vt:lpwstr/>
      </vt:variant>
      <vt:variant>
        <vt:lpwstr>_Toc183520354</vt:lpwstr>
      </vt:variant>
      <vt:variant>
        <vt:i4>2031667</vt:i4>
      </vt:variant>
      <vt:variant>
        <vt:i4>1546</vt:i4>
      </vt:variant>
      <vt:variant>
        <vt:i4>0</vt:i4>
      </vt:variant>
      <vt:variant>
        <vt:i4>5</vt:i4>
      </vt:variant>
      <vt:variant>
        <vt:lpwstr/>
      </vt:variant>
      <vt:variant>
        <vt:lpwstr>_Toc183520353</vt:lpwstr>
      </vt:variant>
      <vt:variant>
        <vt:i4>2031667</vt:i4>
      </vt:variant>
      <vt:variant>
        <vt:i4>1540</vt:i4>
      </vt:variant>
      <vt:variant>
        <vt:i4>0</vt:i4>
      </vt:variant>
      <vt:variant>
        <vt:i4>5</vt:i4>
      </vt:variant>
      <vt:variant>
        <vt:lpwstr/>
      </vt:variant>
      <vt:variant>
        <vt:lpwstr>_Toc183520352</vt:lpwstr>
      </vt:variant>
      <vt:variant>
        <vt:i4>2031667</vt:i4>
      </vt:variant>
      <vt:variant>
        <vt:i4>1534</vt:i4>
      </vt:variant>
      <vt:variant>
        <vt:i4>0</vt:i4>
      </vt:variant>
      <vt:variant>
        <vt:i4>5</vt:i4>
      </vt:variant>
      <vt:variant>
        <vt:lpwstr/>
      </vt:variant>
      <vt:variant>
        <vt:lpwstr>_Toc183520351</vt:lpwstr>
      </vt:variant>
      <vt:variant>
        <vt:i4>2031667</vt:i4>
      </vt:variant>
      <vt:variant>
        <vt:i4>1528</vt:i4>
      </vt:variant>
      <vt:variant>
        <vt:i4>0</vt:i4>
      </vt:variant>
      <vt:variant>
        <vt:i4>5</vt:i4>
      </vt:variant>
      <vt:variant>
        <vt:lpwstr/>
      </vt:variant>
      <vt:variant>
        <vt:lpwstr>_Toc183520350</vt:lpwstr>
      </vt:variant>
      <vt:variant>
        <vt:i4>1966131</vt:i4>
      </vt:variant>
      <vt:variant>
        <vt:i4>1522</vt:i4>
      </vt:variant>
      <vt:variant>
        <vt:i4>0</vt:i4>
      </vt:variant>
      <vt:variant>
        <vt:i4>5</vt:i4>
      </vt:variant>
      <vt:variant>
        <vt:lpwstr/>
      </vt:variant>
      <vt:variant>
        <vt:lpwstr>_Toc183520349</vt:lpwstr>
      </vt:variant>
      <vt:variant>
        <vt:i4>1966131</vt:i4>
      </vt:variant>
      <vt:variant>
        <vt:i4>1516</vt:i4>
      </vt:variant>
      <vt:variant>
        <vt:i4>0</vt:i4>
      </vt:variant>
      <vt:variant>
        <vt:i4>5</vt:i4>
      </vt:variant>
      <vt:variant>
        <vt:lpwstr/>
      </vt:variant>
      <vt:variant>
        <vt:lpwstr>_Toc183520348</vt:lpwstr>
      </vt:variant>
      <vt:variant>
        <vt:i4>1966131</vt:i4>
      </vt:variant>
      <vt:variant>
        <vt:i4>1510</vt:i4>
      </vt:variant>
      <vt:variant>
        <vt:i4>0</vt:i4>
      </vt:variant>
      <vt:variant>
        <vt:i4>5</vt:i4>
      </vt:variant>
      <vt:variant>
        <vt:lpwstr/>
      </vt:variant>
      <vt:variant>
        <vt:lpwstr>_Toc183520347</vt:lpwstr>
      </vt:variant>
      <vt:variant>
        <vt:i4>1966131</vt:i4>
      </vt:variant>
      <vt:variant>
        <vt:i4>1504</vt:i4>
      </vt:variant>
      <vt:variant>
        <vt:i4>0</vt:i4>
      </vt:variant>
      <vt:variant>
        <vt:i4>5</vt:i4>
      </vt:variant>
      <vt:variant>
        <vt:lpwstr/>
      </vt:variant>
      <vt:variant>
        <vt:lpwstr>_Toc183520346</vt:lpwstr>
      </vt:variant>
      <vt:variant>
        <vt:i4>1966131</vt:i4>
      </vt:variant>
      <vt:variant>
        <vt:i4>1498</vt:i4>
      </vt:variant>
      <vt:variant>
        <vt:i4>0</vt:i4>
      </vt:variant>
      <vt:variant>
        <vt:i4>5</vt:i4>
      </vt:variant>
      <vt:variant>
        <vt:lpwstr/>
      </vt:variant>
      <vt:variant>
        <vt:lpwstr>_Toc183520345</vt:lpwstr>
      </vt:variant>
      <vt:variant>
        <vt:i4>1966131</vt:i4>
      </vt:variant>
      <vt:variant>
        <vt:i4>1492</vt:i4>
      </vt:variant>
      <vt:variant>
        <vt:i4>0</vt:i4>
      </vt:variant>
      <vt:variant>
        <vt:i4>5</vt:i4>
      </vt:variant>
      <vt:variant>
        <vt:lpwstr/>
      </vt:variant>
      <vt:variant>
        <vt:lpwstr>_Toc183520344</vt:lpwstr>
      </vt:variant>
      <vt:variant>
        <vt:i4>1966131</vt:i4>
      </vt:variant>
      <vt:variant>
        <vt:i4>1486</vt:i4>
      </vt:variant>
      <vt:variant>
        <vt:i4>0</vt:i4>
      </vt:variant>
      <vt:variant>
        <vt:i4>5</vt:i4>
      </vt:variant>
      <vt:variant>
        <vt:lpwstr/>
      </vt:variant>
      <vt:variant>
        <vt:lpwstr>_Toc183520343</vt:lpwstr>
      </vt:variant>
      <vt:variant>
        <vt:i4>1966131</vt:i4>
      </vt:variant>
      <vt:variant>
        <vt:i4>1480</vt:i4>
      </vt:variant>
      <vt:variant>
        <vt:i4>0</vt:i4>
      </vt:variant>
      <vt:variant>
        <vt:i4>5</vt:i4>
      </vt:variant>
      <vt:variant>
        <vt:lpwstr/>
      </vt:variant>
      <vt:variant>
        <vt:lpwstr>_Toc183520342</vt:lpwstr>
      </vt:variant>
      <vt:variant>
        <vt:i4>1966131</vt:i4>
      </vt:variant>
      <vt:variant>
        <vt:i4>1474</vt:i4>
      </vt:variant>
      <vt:variant>
        <vt:i4>0</vt:i4>
      </vt:variant>
      <vt:variant>
        <vt:i4>5</vt:i4>
      </vt:variant>
      <vt:variant>
        <vt:lpwstr/>
      </vt:variant>
      <vt:variant>
        <vt:lpwstr>_Toc183520341</vt:lpwstr>
      </vt:variant>
      <vt:variant>
        <vt:i4>1966131</vt:i4>
      </vt:variant>
      <vt:variant>
        <vt:i4>1468</vt:i4>
      </vt:variant>
      <vt:variant>
        <vt:i4>0</vt:i4>
      </vt:variant>
      <vt:variant>
        <vt:i4>5</vt:i4>
      </vt:variant>
      <vt:variant>
        <vt:lpwstr/>
      </vt:variant>
      <vt:variant>
        <vt:lpwstr>_Toc183520340</vt:lpwstr>
      </vt:variant>
      <vt:variant>
        <vt:i4>1638451</vt:i4>
      </vt:variant>
      <vt:variant>
        <vt:i4>1462</vt:i4>
      </vt:variant>
      <vt:variant>
        <vt:i4>0</vt:i4>
      </vt:variant>
      <vt:variant>
        <vt:i4>5</vt:i4>
      </vt:variant>
      <vt:variant>
        <vt:lpwstr/>
      </vt:variant>
      <vt:variant>
        <vt:lpwstr>_Toc183520339</vt:lpwstr>
      </vt:variant>
      <vt:variant>
        <vt:i4>1638451</vt:i4>
      </vt:variant>
      <vt:variant>
        <vt:i4>1456</vt:i4>
      </vt:variant>
      <vt:variant>
        <vt:i4>0</vt:i4>
      </vt:variant>
      <vt:variant>
        <vt:i4>5</vt:i4>
      </vt:variant>
      <vt:variant>
        <vt:lpwstr/>
      </vt:variant>
      <vt:variant>
        <vt:lpwstr>_Toc183520338</vt:lpwstr>
      </vt:variant>
      <vt:variant>
        <vt:i4>1638451</vt:i4>
      </vt:variant>
      <vt:variant>
        <vt:i4>1450</vt:i4>
      </vt:variant>
      <vt:variant>
        <vt:i4>0</vt:i4>
      </vt:variant>
      <vt:variant>
        <vt:i4>5</vt:i4>
      </vt:variant>
      <vt:variant>
        <vt:lpwstr/>
      </vt:variant>
      <vt:variant>
        <vt:lpwstr>_Toc183520337</vt:lpwstr>
      </vt:variant>
      <vt:variant>
        <vt:i4>1638451</vt:i4>
      </vt:variant>
      <vt:variant>
        <vt:i4>1444</vt:i4>
      </vt:variant>
      <vt:variant>
        <vt:i4>0</vt:i4>
      </vt:variant>
      <vt:variant>
        <vt:i4>5</vt:i4>
      </vt:variant>
      <vt:variant>
        <vt:lpwstr/>
      </vt:variant>
      <vt:variant>
        <vt:lpwstr>_Toc183520336</vt:lpwstr>
      </vt:variant>
      <vt:variant>
        <vt:i4>1638451</vt:i4>
      </vt:variant>
      <vt:variant>
        <vt:i4>1438</vt:i4>
      </vt:variant>
      <vt:variant>
        <vt:i4>0</vt:i4>
      </vt:variant>
      <vt:variant>
        <vt:i4>5</vt:i4>
      </vt:variant>
      <vt:variant>
        <vt:lpwstr/>
      </vt:variant>
      <vt:variant>
        <vt:lpwstr>_Toc183520335</vt:lpwstr>
      </vt:variant>
      <vt:variant>
        <vt:i4>1638451</vt:i4>
      </vt:variant>
      <vt:variant>
        <vt:i4>1432</vt:i4>
      </vt:variant>
      <vt:variant>
        <vt:i4>0</vt:i4>
      </vt:variant>
      <vt:variant>
        <vt:i4>5</vt:i4>
      </vt:variant>
      <vt:variant>
        <vt:lpwstr/>
      </vt:variant>
      <vt:variant>
        <vt:lpwstr>_Toc183520334</vt:lpwstr>
      </vt:variant>
      <vt:variant>
        <vt:i4>1638451</vt:i4>
      </vt:variant>
      <vt:variant>
        <vt:i4>1426</vt:i4>
      </vt:variant>
      <vt:variant>
        <vt:i4>0</vt:i4>
      </vt:variant>
      <vt:variant>
        <vt:i4>5</vt:i4>
      </vt:variant>
      <vt:variant>
        <vt:lpwstr/>
      </vt:variant>
      <vt:variant>
        <vt:lpwstr>_Toc183520333</vt:lpwstr>
      </vt:variant>
      <vt:variant>
        <vt:i4>1638451</vt:i4>
      </vt:variant>
      <vt:variant>
        <vt:i4>1420</vt:i4>
      </vt:variant>
      <vt:variant>
        <vt:i4>0</vt:i4>
      </vt:variant>
      <vt:variant>
        <vt:i4>5</vt:i4>
      </vt:variant>
      <vt:variant>
        <vt:lpwstr/>
      </vt:variant>
      <vt:variant>
        <vt:lpwstr>_Toc183520332</vt:lpwstr>
      </vt:variant>
      <vt:variant>
        <vt:i4>1638451</vt:i4>
      </vt:variant>
      <vt:variant>
        <vt:i4>1414</vt:i4>
      </vt:variant>
      <vt:variant>
        <vt:i4>0</vt:i4>
      </vt:variant>
      <vt:variant>
        <vt:i4>5</vt:i4>
      </vt:variant>
      <vt:variant>
        <vt:lpwstr/>
      </vt:variant>
      <vt:variant>
        <vt:lpwstr>_Toc183520331</vt:lpwstr>
      </vt:variant>
      <vt:variant>
        <vt:i4>1638451</vt:i4>
      </vt:variant>
      <vt:variant>
        <vt:i4>1408</vt:i4>
      </vt:variant>
      <vt:variant>
        <vt:i4>0</vt:i4>
      </vt:variant>
      <vt:variant>
        <vt:i4>5</vt:i4>
      </vt:variant>
      <vt:variant>
        <vt:lpwstr/>
      </vt:variant>
      <vt:variant>
        <vt:lpwstr>_Toc183520330</vt:lpwstr>
      </vt:variant>
      <vt:variant>
        <vt:i4>1572915</vt:i4>
      </vt:variant>
      <vt:variant>
        <vt:i4>1402</vt:i4>
      </vt:variant>
      <vt:variant>
        <vt:i4>0</vt:i4>
      </vt:variant>
      <vt:variant>
        <vt:i4>5</vt:i4>
      </vt:variant>
      <vt:variant>
        <vt:lpwstr/>
      </vt:variant>
      <vt:variant>
        <vt:lpwstr>_Toc183520329</vt:lpwstr>
      </vt:variant>
      <vt:variant>
        <vt:i4>1572915</vt:i4>
      </vt:variant>
      <vt:variant>
        <vt:i4>1396</vt:i4>
      </vt:variant>
      <vt:variant>
        <vt:i4>0</vt:i4>
      </vt:variant>
      <vt:variant>
        <vt:i4>5</vt:i4>
      </vt:variant>
      <vt:variant>
        <vt:lpwstr/>
      </vt:variant>
      <vt:variant>
        <vt:lpwstr>_Toc183520328</vt:lpwstr>
      </vt:variant>
      <vt:variant>
        <vt:i4>1572915</vt:i4>
      </vt:variant>
      <vt:variant>
        <vt:i4>1390</vt:i4>
      </vt:variant>
      <vt:variant>
        <vt:i4>0</vt:i4>
      </vt:variant>
      <vt:variant>
        <vt:i4>5</vt:i4>
      </vt:variant>
      <vt:variant>
        <vt:lpwstr/>
      </vt:variant>
      <vt:variant>
        <vt:lpwstr>_Toc183520327</vt:lpwstr>
      </vt:variant>
      <vt:variant>
        <vt:i4>1572915</vt:i4>
      </vt:variant>
      <vt:variant>
        <vt:i4>1384</vt:i4>
      </vt:variant>
      <vt:variant>
        <vt:i4>0</vt:i4>
      </vt:variant>
      <vt:variant>
        <vt:i4>5</vt:i4>
      </vt:variant>
      <vt:variant>
        <vt:lpwstr/>
      </vt:variant>
      <vt:variant>
        <vt:lpwstr>_Toc183520326</vt:lpwstr>
      </vt:variant>
      <vt:variant>
        <vt:i4>1572915</vt:i4>
      </vt:variant>
      <vt:variant>
        <vt:i4>1378</vt:i4>
      </vt:variant>
      <vt:variant>
        <vt:i4>0</vt:i4>
      </vt:variant>
      <vt:variant>
        <vt:i4>5</vt:i4>
      </vt:variant>
      <vt:variant>
        <vt:lpwstr/>
      </vt:variant>
      <vt:variant>
        <vt:lpwstr>_Toc183520325</vt:lpwstr>
      </vt:variant>
      <vt:variant>
        <vt:i4>1572915</vt:i4>
      </vt:variant>
      <vt:variant>
        <vt:i4>1372</vt:i4>
      </vt:variant>
      <vt:variant>
        <vt:i4>0</vt:i4>
      </vt:variant>
      <vt:variant>
        <vt:i4>5</vt:i4>
      </vt:variant>
      <vt:variant>
        <vt:lpwstr/>
      </vt:variant>
      <vt:variant>
        <vt:lpwstr>_Toc183520324</vt:lpwstr>
      </vt:variant>
      <vt:variant>
        <vt:i4>1572915</vt:i4>
      </vt:variant>
      <vt:variant>
        <vt:i4>1366</vt:i4>
      </vt:variant>
      <vt:variant>
        <vt:i4>0</vt:i4>
      </vt:variant>
      <vt:variant>
        <vt:i4>5</vt:i4>
      </vt:variant>
      <vt:variant>
        <vt:lpwstr/>
      </vt:variant>
      <vt:variant>
        <vt:lpwstr>_Toc183520323</vt:lpwstr>
      </vt:variant>
      <vt:variant>
        <vt:i4>1572915</vt:i4>
      </vt:variant>
      <vt:variant>
        <vt:i4>1360</vt:i4>
      </vt:variant>
      <vt:variant>
        <vt:i4>0</vt:i4>
      </vt:variant>
      <vt:variant>
        <vt:i4>5</vt:i4>
      </vt:variant>
      <vt:variant>
        <vt:lpwstr/>
      </vt:variant>
      <vt:variant>
        <vt:lpwstr>_Toc183520322</vt:lpwstr>
      </vt:variant>
      <vt:variant>
        <vt:i4>1572915</vt:i4>
      </vt:variant>
      <vt:variant>
        <vt:i4>1354</vt:i4>
      </vt:variant>
      <vt:variant>
        <vt:i4>0</vt:i4>
      </vt:variant>
      <vt:variant>
        <vt:i4>5</vt:i4>
      </vt:variant>
      <vt:variant>
        <vt:lpwstr/>
      </vt:variant>
      <vt:variant>
        <vt:lpwstr>_Toc183520321</vt:lpwstr>
      </vt:variant>
      <vt:variant>
        <vt:i4>1572915</vt:i4>
      </vt:variant>
      <vt:variant>
        <vt:i4>1348</vt:i4>
      </vt:variant>
      <vt:variant>
        <vt:i4>0</vt:i4>
      </vt:variant>
      <vt:variant>
        <vt:i4>5</vt:i4>
      </vt:variant>
      <vt:variant>
        <vt:lpwstr/>
      </vt:variant>
      <vt:variant>
        <vt:lpwstr>_Toc183520320</vt:lpwstr>
      </vt:variant>
      <vt:variant>
        <vt:i4>1769523</vt:i4>
      </vt:variant>
      <vt:variant>
        <vt:i4>1342</vt:i4>
      </vt:variant>
      <vt:variant>
        <vt:i4>0</vt:i4>
      </vt:variant>
      <vt:variant>
        <vt:i4>5</vt:i4>
      </vt:variant>
      <vt:variant>
        <vt:lpwstr/>
      </vt:variant>
      <vt:variant>
        <vt:lpwstr>_Toc183520319</vt:lpwstr>
      </vt:variant>
      <vt:variant>
        <vt:i4>1769523</vt:i4>
      </vt:variant>
      <vt:variant>
        <vt:i4>1336</vt:i4>
      </vt:variant>
      <vt:variant>
        <vt:i4>0</vt:i4>
      </vt:variant>
      <vt:variant>
        <vt:i4>5</vt:i4>
      </vt:variant>
      <vt:variant>
        <vt:lpwstr/>
      </vt:variant>
      <vt:variant>
        <vt:lpwstr>_Toc183520318</vt:lpwstr>
      </vt:variant>
      <vt:variant>
        <vt:i4>1769523</vt:i4>
      </vt:variant>
      <vt:variant>
        <vt:i4>1330</vt:i4>
      </vt:variant>
      <vt:variant>
        <vt:i4>0</vt:i4>
      </vt:variant>
      <vt:variant>
        <vt:i4>5</vt:i4>
      </vt:variant>
      <vt:variant>
        <vt:lpwstr/>
      </vt:variant>
      <vt:variant>
        <vt:lpwstr>_Toc183520317</vt:lpwstr>
      </vt:variant>
      <vt:variant>
        <vt:i4>1769523</vt:i4>
      </vt:variant>
      <vt:variant>
        <vt:i4>1324</vt:i4>
      </vt:variant>
      <vt:variant>
        <vt:i4>0</vt:i4>
      </vt:variant>
      <vt:variant>
        <vt:i4>5</vt:i4>
      </vt:variant>
      <vt:variant>
        <vt:lpwstr/>
      </vt:variant>
      <vt:variant>
        <vt:lpwstr>_Toc183520316</vt:lpwstr>
      </vt:variant>
      <vt:variant>
        <vt:i4>1769523</vt:i4>
      </vt:variant>
      <vt:variant>
        <vt:i4>1318</vt:i4>
      </vt:variant>
      <vt:variant>
        <vt:i4>0</vt:i4>
      </vt:variant>
      <vt:variant>
        <vt:i4>5</vt:i4>
      </vt:variant>
      <vt:variant>
        <vt:lpwstr/>
      </vt:variant>
      <vt:variant>
        <vt:lpwstr>_Toc183520315</vt:lpwstr>
      </vt:variant>
      <vt:variant>
        <vt:i4>1769523</vt:i4>
      </vt:variant>
      <vt:variant>
        <vt:i4>1312</vt:i4>
      </vt:variant>
      <vt:variant>
        <vt:i4>0</vt:i4>
      </vt:variant>
      <vt:variant>
        <vt:i4>5</vt:i4>
      </vt:variant>
      <vt:variant>
        <vt:lpwstr/>
      </vt:variant>
      <vt:variant>
        <vt:lpwstr>_Toc183520314</vt:lpwstr>
      </vt:variant>
      <vt:variant>
        <vt:i4>1769523</vt:i4>
      </vt:variant>
      <vt:variant>
        <vt:i4>1306</vt:i4>
      </vt:variant>
      <vt:variant>
        <vt:i4>0</vt:i4>
      </vt:variant>
      <vt:variant>
        <vt:i4>5</vt:i4>
      </vt:variant>
      <vt:variant>
        <vt:lpwstr/>
      </vt:variant>
      <vt:variant>
        <vt:lpwstr>_Toc183520313</vt:lpwstr>
      </vt:variant>
      <vt:variant>
        <vt:i4>1769523</vt:i4>
      </vt:variant>
      <vt:variant>
        <vt:i4>1300</vt:i4>
      </vt:variant>
      <vt:variant>
        <vt:i4>0</vt:i4>
      </vt:variant>
      <vt:variant>
        <vt:i4>5</vt:i4>
      </vt:variant>
      <vt:variant>
        <vt:lpwstr/>
      </vt:variant>
      <vt:variant>
        <vt:lpwstr>_Toc183520312</vt:lpwstr>
      </vt:variant>
      <vt:variant>
        <vt:i4>1769523</vt:i4>
      </vt:variant>
      <vt:variant>
        <vt:i4>1294</vt:i4>
      </vt:variant>
      <vt:variant>
        <vt:i4>0</vt:i4>
      </vt:variant>
      <vt:variant>
        <vt:i4>5</vt:i4>
      </vt:variant>
      <vt:variant>
        <vt:lpwstr/>
      </vt:variant>
      <vt:variant>
        <vt:lpwstr>_Toc183520311</vt:lpwstr>
      </vt:variant>
      <vt:variant>
        <vt:i4>1769523</vt:i4>
      </vt:variant>
      <vt:variant>
        <vt:i4>1288</vt:i4>
      </vt:variant>
      <vt:variant>
        <vt:i4>0</vt:i4>
      </vt:variant>
      <vt:variant>
        <vt:i4>5</vt:i4>
      </vt:variant>
      <vt:variant>
        <vt:lpwstr/>
      </vt:variant>
      <vt:variant>
        <vt:lpwstr>_Toc183520310</vt:lpwstr>
      </vt:variant>
      <vt:variant>
        <vt:i4>1703987</vt:i4>
      </vt:variant>
      <vt:variant>
        <vt:i4>1282</vt:i4>
      </vt:variant>
      <vt:variant>
        <vt:i4>0</vt:i4>
      </vt:variant>
      <vt:variant>
        <vt:i4>5</vt:i4>
      </vt:variant>
      <vt:variant>
        <vt:lpwstr/>
      </vt:variant>
      <vt:variant>
        <vt:lpwstr>_Toc183520309</vt:lpwstr>
      </vt:variant>
      <vt:variant>
        <vt:i4>1703987</vt:i4>
      </vt:variant>
      <vt:variant>
        <vt:i4>1276</vt:i4>
      </vt:variant>
      <vt:variant>
        <vt:i4>0</vt:i4>
      </vt:variant>
      <vt:variant>
        <vt:i4>5</vt:i4>
      </vt:variant>
      <vt:variant>
        <vt:lpwstr/>
      </vt:variant>
      <vt:variant>
        <vt:lpwstr>_Toc183520308</vt:lpwstr>
      </vt:variant>
      <vt:variant>
        <vt:i4>1703987</vt:i4>
      </vt:variant>
      <vt:variant>
        <vt:i4>1270</vt:i4>
      </vt:variant>
      <vt:variant>
        <vt:i4>0</vt:i4>
      </vt:variant>
      <vt:variant>
        <vt:i4>5</vt:i4>
      </vt:variant>
      <vt:variant>
        <vt:lpwstr/>
      </vt:variant>
      <vt:variant>
        <vt:lpwstr>_Toc183520307</vt:lpwstr>
      </vt:variant>
      <vt:variant>
        <vt:i4>1703987</vt:i4>
      </vt:variant>
      <vt:variant>
        <vt:i4>1264</vt:i4>
      </vt:variant>
      <vt:variant>
        <vt:i4>0</vt:i4>
      </vt:variant>
      <vt:variant>
        <vt:i4>5</vt:i4>
      </vt:variant>
      <vt:variant>
        <vt:lpwstr/>
      </vt:variant>
      <vt:variant>
        <vt:lpwstr>_Toc183520306</vt:lpwstr>
      </vt:variant>
      <vt:variant>
        <vt:i4>1703987</vt:i4>
      </vt:variant>
      <vt:variant>
        <vt:i4>1258</vt:i4>
      </vt:variant>
      <vt:variant>
        <vt:i4>0</vt:i4>
      </vt:variant>
      <vt:variant>
        <vt:i4>5</vt:i4>
      </vt:variant>
      <vt:variant>
        <vt:lpwstr/>
      </vt:variant>
      <vt:variant>
        <vt:lpwstr>_Toc183520305</vt:lpwstr>
      </vt:variant>
      <vt:variant>
        <vt:i4>1703987</vt:i4>
      </vt:variant>
      <vt:variant>
        <vt:i4>1252</vt:i4>
      </vt:variant>
      <vt:variant>
        <vt:i4>0</vt:i4>
      </vt:variant>
      <vt:variant>
        <vt:i4>5</vt:i4>
      </vt:variant>
      <vt:variant>
        <vt:lpwstr/>
      </vt:variant>
      <vt:variant>
        <vt:lpwstr>_Toc183520304</vt:lpwstr>
      </vt:variant>
      <vt:variant>
        <vt:i4>1703987</vt:i4>
      </vt:variant>
      <vt:variant>
        <vt:i4>1246</vt:i4>
      </vt:variant>
      <vt:variant>
        <vt:i4>0</vt:i4>
      </vt:variant>
      <vt:variant>
        <vt:i4>5</vt:i4>
      </vt:variant>
      <vt:variant>
        <vt:lpwstr/>
      </vt:variant>
      <vt:variant>
        <vt:lpwstr>_Toc183520303</vt:lpwstr>
      </vt:variant>
      <vt:variant>
        <vt:i4>1703987</vt:i4>
      </vt:variant>
      <vt:variant>
        <vt:i4>1240</vt:i4>
      </vt:variant>
      <vt:variant>
        <vt:i4>0</vt:i4>
      </vt:variant>
      <vt:variant>
        <vt:i4>5</vt:i4>
      </vt:variant>
      <vt:variant>
        <vt:lpwstr/>
      </vt:variant>
      <vt:variant>
        <vt:lpwstr>_Toc183520302</vt:lpwstr>
      </vt:variant>
      <vt:variant>
        <vt:i4>1703987</vt:i4>
      </vt:variant>
      <vt:variant>
        <vt:i4>1234</vt:i4>
      </vt:variant>
      <vt:variant>
        <vt:i4>0</vt:i4>
      </vt:variant>
      <vt:variant>
        <vt:i4>5</vt:i4>
      </vt:variant>
      <vt:variant>
        <vt:lpwstr/>
      </vt:variant>
      <vt:variant>
        <vt:lpwstr>_Toc183520301</vt:lpwstr>
      </vt:variant>
      <vt:variant>
        <vt:i4>1703987</vt:i4>
      </vt:variant>
      <vt:variant>
        <vt:i4>1228</vt:i4>
      </vt:variant>
      <vt:variant>
        <vt:i4>0</vt:i4>
      </vt:variant>
      <vt:variant>
        <vt:i4>5</vt:i4>
      </vt:variant>
      <vt:variant>
        <vt:lpwstr/>
      </vt:variant>
      <vt:variant>
        <vt:lpwstr>_Toc183520300</vt:lpwstr>
      </vt:variant>
      <vt:variant>
        <vt:i4>1245234</vt:i4>
      </vt:variant>
      <vt:variant>
        <vt:i4>1222</vt:i4>
      </vt:variant>
      <vt:variant>
        <vt:i4>0</vt:i4>
      </vt:variant>
      <vt:variant>
        <vt:i4>5</vt:i4>
      </vt:variant>
      <vt:variant>
        <vt:lpwstr/>
      </vt:variant>
      <vt:variant>
        <vt:lpwstr>_Toc183520299</vt:lpwstr>
      </vt:variant>
      <vt:variant>
        <vt:i4>1245234</vt:i4>
      </vt:variant>
      <vt:variant>
        <vt:i4>1216</vt:i4>
      </vt:variant>
      <vt:variant>
        <vt:i4>0</vt:i4>
      </vt:variant>
      <vt:variant>
        <vt:i4>5</vt:i4>
      </vt:variant>
      <vt:variant>
        <vt:lpwstr/>
      </vt:variant>
      <vt:variant>
        <vt:lpwstr>_Toc183520298</vt:lpwstr>
      </vt:variant>
      <vt:variant>
        <vt:i4>1245234</vt:i4>
      </vt:variant>
      <vt:variant>
        <vt:i4>1210</vt:i4>
      </vt:variant>
      <vt:variant>
        <vt:i4>0</vt:i4>
      </vt:variant>
      <vt:variant>
        <vt:i4>5</vt:i4>
      </vt:variant>
      <vt:variant>
        <vt:lpwstr/>
      </vt:variant>
      <vt:variant>
        <vt:lpwstr>_Toc183520297</vt:lpwstr>
      </vt:variant>
      <vt:variant>
        <vt:i4>1245234</vt:i4>
      </vt:variant>
      <vt:variant>
        <vt:i4>1204</vt:i4>
      </vt:variant>
      <vt:variant>
        <vt:i4>0</vt:i4>
      </vt:variant>
      <vt:variant>
        <vt:i4>5</vt:i4>
      </vt:variant>
      <vt:variant>
        <vt:lpwstr/>
      </vt:variant>
      <vt:variant>
        <vt:lpwstr>_Toc183520296</vt:lpwstr>
      </vt:variant>
      <vt:variant>
        <vt:i4>1245234</vt:i4>
      </vt:variant>
      <vt:variant>
        <vt:i4>1198</vt:i4>
      </vt:variant>
      <vt:variant>
        <vt:i4>0</vt:i4>
      </vt:variant>
      <vt:variant>
        <vt:i4>5</vt:i4>
      </vt:variant>
      <vt:variant>
        <vt:lpwstr/>
      </vt:variant>
      <vt:variant>
        <vt:lpwstr>_Toc183520295</vt:lpwstr>
      </vt:variant>
      <vt:variant>
        <vt:i4>1245234</vt:i4>
      </vt:variant>
      <vt:variant>
        <vt:i4>1192</vt:i4>
      </vt:variant>
      <vt:variant>
        <vt:i4>0</vt:i4>
      </vt:variant>
      <vt:variant>
        <vt:i4>5</vt:i4>
      </vt:variant>
      <vt:variant>
        <vt:lpwstr/>
      </vt:variant>
      <vt:variant>
        <vt:lpwstr>_Toc183520294</vt:lpwstr>
      </vt:variant>
      <vt:variant>
        <vt:i4>1245234</vt:i4>
      </vt:variant>
      <vt:variant>
        <vt:i4>1186</vt:i4>
      </vt:variant>
      <vt:variant>
        <vt:i4>0</vt:i4>
      </vt:variant>
      <vt:variant>
        <vt:i4>5</vt:i4>
      </vt:variant>
      <vt:variant>
        <vt:lpwstr/>
      </vt:variant>
      <vt:variant>
        <vt:lpwstr>_Toc183520293</vt:lpwstr>
      </vt:variant>
      <vt:variant>
        <vt:i4>1245234</vt:i4>
      </vt:variant>
      <vt:variant>
        <vt:i4>1180</vt:i4>
      </vt:variant>
      <vt:variant>
        <vt:i4>0</vt:i4>
      </vt:variant>
      <vt:variant>
        <vt:i4>5</vt:i4>
      </vt:variant>
      <vt:variant>
        <vt:lpwstr/>
      </vt:variant>
      <vt:variant>
        <vt:lpwstr>_Toc183520292</vt:lpwstr>
      </vt:variant>
      <vt:variant>
        <vt:i4>1245234</vt:i4>
      </vt:variant>
      <vt:variant>
        <vt:i4>1174</vt:i4>
      </vt:variant>
      <vt:variant>
        <vt:i4>0</vt:i4>
      </vt:variant>
      <vt:variant>
        <vt:i4>5</vt:i4>
      </vt:variant>
      <vt:variant>
        <vt:lpwstr/>
      </vt:variant>
      <vt:variant>
        <vt:lpwstr>_Toc183520291</vt:lpwstr>
      </vt:variant>
      <vt:variant>
        <vt:i4>1245234</vt:i4>
      </vt:variant>
      <vt:variant>
        <vt:i4>1168</vt:i4>
      </vt:variant>
      <vt:variant>
        <vt:i4>0</vt:i4>
      </vt:variant>
      <vt:variant>
        <vt:i4>5</vt:i4>
      </vt:variant>
      <vt:variant>
        <vt:lpwstr/>
      </vt:variant>
      <vt:variant>
        <vt:lpwstr>_Toc183520290</vt:lpwstr>
      </vt:variant>
      <vt:variant>
        <vt:i4>1179698</vt:i4>
      </vt:variant>
      <vt:variant>
        <vt:i4>1162</vt:i4>
      </vt:variant>
      <vt:variant>
        <vt:i4>0</vt:i4>
      </vt:variant>
      <vt:variant>
        <vt:i4>5</vt:i4>
      </vt:variant>
      <vt:variant>
        <vt:lpwstr/>
      </vt:variant>
      <vt:variant>
        <vt:lpwstr>_Toc183520289</vt:lpwstr>
      </vt:variant>
      <vt:variant>
        <vt:i4>1179698</vt:i4>
      </vt:variant>
      <vt:variant>
        <vt:i4>1156</vt:i4>
      </vt:variant>
      <vt:variant>
        <vt:i4>0</vt:i4>
      </vt:variant>
      <vt:variant>
        <vt:i4>5</vt:i4>
      </vt:variant>
      <vt:variant>
        <vt:lpwstr/>
      </vt:variant>
      <vt:variant>
        <vt:lpwstr>_Toc183520288</vt:lpwstr>
      </vt:variant>
      <vt:variant>
        <vt:i4>1179698</vt:i4>
      </vt:variant>
      <vt:variant>
        <vt:i4>1150</vt:i4>
      </vt:variant>
      <vt:variant>
        <vt:i4>0</vt:i4>
      </vt:variant>
      <vt:variant>
        <vt:i4>5</vt:i4>
      </vt:variant>
      <vt:variant>
        <vt:lpwstr/>
      </vt:variant>
      <vt:variant>
        <vt:lpwstr>_Toc183520287</vt:lpwstr>
      </vt:variant>
      <vt:variant>
        <vt:i4>1179698</vt:i4>
      </vt:variant>
      <vt:variant>
        <vt:i4>1144</vt:i4>
      </vt:variant>
      <vt:variant>
        <vt:i4>0</vt:i4>
      </vt:variant>
      <vt:variant>
        <vt:i4>5</vt:i4>
      </vt:variant>
      <vt:variant>
        <vt:lpwstr/>
      </vt:variant>
      <vt:variant>
        <vt:lpwstr>_Toc183520286</vt:lpwstr>
      </vt:variant>
      <vt:variant>
        <vt:i4>1179698</vt:i4>
      </vt:variant>
      <vt:variant>
        <vt:i4>1138</vt:i4>
      </vt:variant>
      <vt:variant>
        <vt:i4>0</vt:i4>
      </vt:variant>
      <vt:variant>
        <vt:i4>5</vt:i4>
      </vt:variant>
      <vt:variant>
        <vt:lpwstr/>
      </vt:variant>
      <vt:variant>
        <vt:lpwstr>_Toc183520285</vt:lpwstr>
      </vt:variant>
      <vt:variant>
        <vt:i4>1179698</vt:i4>
      </vt:variant>
      <vt:variant>
        <vt:i4>1132</vt:i4>
      </vt:variant>
      <vt:variant>
        <vt:i4>0</vt:i4>
      </vt:variant>
      <vt:variant>
        <vt:i4>5</vt:i4>
      </vt:variant>
      <vt:variant>
        <vt:lpwstr/>
      </vt:variant>
      <vt:variant>
        <vt:lpwstr>_Toc183520284</vt:lpwstr>
      </vt:variant>
      <vt:variant>
        <vt:i4>1179698</vt:i4>
      </vt:variant>
      <vt:variant>
        <vt:i4>1126</vt:i4>
      </vt:variant>
      <vt:variant>
        <vt:i4>0</vt:i4>
      </vt:variant>
      <vt:variant>
        <vt:i4>5</vt:i4>
      </vt:variant>
      <vt:variant>
        <vt:lpwstr/>
      </vt:variant>
      <vt:variant>
        <vt:lpwstr>_Toc183520283</vt:lpwstr>
      </vt:variant>
      <vt:variant>
        <vt:i4>1179698</vt:i4>
      </vt:variant>
      <vt:variant>
        <vt:i4>1120</vt:i4>
      </vt:variant>
      <vt:variant>
        <vt:i4>0</vt:i4>
      </vt:variant>
      <vt:variant>
        <vt:i4>5</vt:i4>
      </vt:variant>
      <vt:variant>
        <vt:lpwstr/>
      </vt:variant>
      <vt:variant>
        <vt:lpwstr>_Toc183520282</vt:lpwstr>
      </vt:variant>
      <vt:variant>
        <vt:i4>1179698</vt:i4>
      </vt:variant>
      <vt:variant>
        <vt:i4>1114</vt:i4>
      </vt:variant>
      <vt:variant>
        <vt:i4>0</vt:i4>
      </vt:variant>
      <vt:variant>
        <vt:i4>5</vt:i4>
      </vt:variant>
      <vt:variant>
        <vt:lpwstr/>
      </vt:variant>
      <vt:variant>
        <vt:lpwstr>_Toc183520281</vt:lpwstr>
      </vt:variant>
      <vt:variant>
        <vt:i4>1179698</vt:i4>
      </vt:variant>
      <vt:variant>
        <vt:i4>1108</vt:i4>
      </vt:variant>
      <vt:variant>
        <vt:i4>0</vt:i4>
      </vt:variant>
      <vt:variant>
        <vt:i4>5</vt:i4>
      </vt:variant>
      <vt:variant>
        <vt:lpwstr/>
      </vt:variant>
      <vt:variant>
        <vt:lpwstr>_Toc183520280</vt:lpwstr>
      </vt:variant>
      <vt:variant>
        <vt:i4>1900594</vt:i4>
      </vt:variant>
      <vt:variant>
        <vt:i4>1102</vt:i4>
      </vt:variant>
      <vt:variant>
        <vt:i4>0</vt:i4>
      </vt:variant>
      <vt:variant>
        <vt:i4>5</vt:i4>
      </vt:variant>
      <vt:variant>
        <vt:lpwstr/>
      </vt:variant>
      <vt:variant>
        <vt:lpwstr>_Toc183520279</vt:lpwstr>
      </vt:variant>
      <vt:variant>
        <vt:i4>1900594</vt:i4>
      </vt:variant>
      <vt:variant>
        <vt:i4>1096</vt:i4>
      </vt:variant>
      <vt:variant>
        <vt:i4>0</vt:i4>
      </vt:variant>
      <vt:variant>
        <vt:i4>5</vt:i4>
      </vt:variant>
      <vt:variant>
        <vt:lpwstr/>
      </vt:variant>
      <vt:variant>
        <vt:lpwstr>_Toc183520278</vt:lpwstr>
      </vt:variant>
      <vt:variant>
        <vt:i4>1900594</vt:i4>
      </vt:variant>
      <vt:variant>
        <vt:i4>1090</vt:i4>
      </vt:variant>
      <vt:variant>
        <vt:i4>0</vt:i4>
      </vt:variant>
      <vt:variant>
        <vt:i4>5</vt:i4>
      </vt:variant>
      <vt:variant>
        <vt:lpwstr/>
      </vt:variant>
      <vt:variant>
        <vt:lpwstr>_Toc183520277</vt:lpwstr>
      </vt:variant>
      <vt:variant>
        <vt:i4>1900594</vt:i4>
      </vt:variant>
      <vt:variant>
        <vt:i4>1084</vt:i4>
      </vt:variant>
      <vt:variant>
        <vt:i4>0</vt:i4>
      </vt:variant>
      <vt:variant>
        <vt:i4>5</vt:i4>
      </vt:variant>
      <vt:variant>
        <vt:lpwstr/>
      </vt:variant>
      <vt:variant>
        <vt:lpwstr>_Toc183520276</vt:lpwstr>
      </vt:variant>
      <vt:variant>
        <vt:i4>1900594</vt:i4>
      </vt:variant>
      <vt:variant>
        <vt:i4>1078</vt:i4>
      </vt:variant>
      <vt:variant>
        <vt:i4>0</vt:i4>
      </vt:variant>
      <vt:variant>
        <vt:i4>5</vt:i4>
      </vt:variant>
      <vt:variant>
        <vt:lpwstr/>
      </vt:variant>
      <vt:variant>
        <vt:lpwstr>_Toc183520275</vt:lpwstr>
      </vt:variant>
      <vt:variant>
        <vt:i4>1900594</vt:i4>
      </vt:variant>
      <vt:variant>
        <vt:i4>1072</vt:i4>
      </vt:variant>
      <vt:variant>
        <vt:i4>0</vt:i4>
      </vt:variant>
      <vt:variant>
        <vt:i4>5</vt:i4>
      </vt:variant>
      <vt:variant>
        <vt:lpwstr/>
      </vt:variant>
      <vt:variant>
        <vt:lpwstr>_Toc183520274</vt:lpwstr>
      </vt:variant>
      <vt:variant>
        <vt:i4>2031666</vt:i4>
      </vt:variant>
      <vt:variant>
        <vt:i4>1063</vt:i4>
      </vt:variant>
      <vt:variant>
        <vt:i4>0</vt:i4>
      </vt:variant>
      <vt:variant>
        <vt:i4>5</vt:i4>
      </vt:variant>
      <vt:variant>
        <vt:lpwstr/>
      </vt:variant>
      <vt:variant>
        <vt:lpwstr>_Toc183441456</vt:lpwstr>
      </vt:variant>
      <vt:variant>
        <vt:i4>2031666</vt:i4>
      </vt:variant>
      <vt:variant>
        <vt:i4>1054</vt:i4>
      </vt:variant>
      <vt:variant>
        <vt:i4>0</vt:i4>
      </vt:variant>
      <vt:variant>
        <vt:i4>5</vt:i4>
      </vt:variant>
      <vt:variant>
        <vt:lpwstr/>
      </vt:variant>
      <vt:variant>
        <vt:lpwstr>_Toc183441455</vt:lpwstr>
      </vt:variant>
      <vt:variant>
        <vt:i4>2031666</vt:i4>
      </vt:variant>
      <vt:variant>
        <vt:i4>1048</vt:i4>
      </vt:variant>
      <vt:variant>
        <vt:i4>0</vt:i4>
      </vt:variant>
      <vt:variant>
        <vt:i4>5</vt:i4>
      </vt:variant>
      <vt:variant>
        <vt:lpwstr/>
      </vt:variant>
      <vt:variant>
        <vt:lpwstr>_Toc183441454</vt:lpwstr>
      </vt:variant>
      <vt:variant>
        <vt:i4>2031666</vt:i4>
      </vt:variant>
      <vt:variant>
        <vt:i4>1042</vt:i4>
      </vt:variant>
      <vt:variant>
        <vt:i4>0</vt:i4>
      </vt:variant>
      <vt:variant>
        <vt:i4>5</vt:i4>
      </vt:variant>
      <vt:variant>
        <vt:lpwstr/>
      </vt:variant>
      <vt:variant>
        <vt:lpwstr>_Toc183441453</vt:lpwstr>
      </vt:variant>
      <vt:variant>
        <vt:i4>2031666</vt:i4>
      </vt:variant>
      <vt:variant>
        <vt:i4>1036</vt:i4>
      </vt:variant>
      <vt:variant>
        <vt:i4>0</vt:i4>
      </vt:variant>
      <vt:variant>
        <vt:i4>5</vt:i4>
      </vt:variant>
      <vt:variant>
        <vt:lpwstr/>
      </vt:variant>
      <vt:variant>
        <vt:lpwstr>_Toc183441452</vt:lpwstr>
      </vt:variant>
      <vt:variant>
        <vt:i4>2031666</vt:i4>
      </vt:variant>
      <vt:variant>
        <vt:i4>1030</vt:i4>
      </vt:variant>
      <vt:variant>
        <vt:i4>0</vt:i4>
      </vt:variant>
      <vt:variant>
        <vt:i4>5</vt:i4>
      </vt:variant>
      <vt:variant>
        <vt:lpwstr/>
      </vt:variant>
      <vt:variant>
        <vt:lpwstr>_Toc183441451</vt:lpwstr>
      </vt:variant>
      <vt:variant>
        <vt:i4>2031666</vt:i4>
      </vt:variant>
      <vt:variant>
        <vt:i4>1024</vt:i4>
      </vt:variant>
      <vt:variant>
        <vt:i4>0</vt:i4>
      </vt:variant>
      <vt:variant>
        <vt:i4>5</vt:i4>
      </vt:variant>
      <vt:variant>
        <vt:lpwstr/>
      </vt:variant>
      <vt:variant>
        <vt:lpwstr>_Toc183441450</vt:lpwstr>
      </vt:variant>
      <vt:variant>
        <vt:i4>1966130</vt:i4>
      </vt:variant>
      <vt:variant>
        <vt:i4>1018</vt:i4>
      </vt:variant>
      <vt:variant>
        <vt:i4>0</vt:i4>
      </vt:variant>
      <vt:variant>
        <vt:i4>5</vt:i4>
      </vt:variant>
      <vt:variant>
        <vt:lpwstr/>
      </vt:variant>
      <vt:variant>
        <vt:lpwstr>_Toc183441449</vt:lpwstr>
      </vt:variant>
      <vt:variant>
        <vt:i4>1966130</vt:i4>
      </vt:variant>
      <vt:variant>
        <vt:i4>1012</vt:i4>
      </vt:variant>
      <vt:variant>
        <vt:i4>0</vt:i4>
      </vt:variant>
      <vt:variant>
        <vt:i4>5</vt:i4>
      </vt:variant>
      <vt:variant>
        <vt:lpwstr/>
      </vt:variant>
      <vt:variant>
        <vt:lpwstr>_Toc183441448</vt:lpwstr>
      </vt:variant>
      <vt:variant>
        <vt:i4>1966130</vt:i4>
      </vt:variant>
      <vt:variant>
        <vt:i4>1006</vt:i4>
      </vt:variant>
      <vt:variant>
        <vt:i4>0</vt:i4>
      </vt:variant>
      <vt:variant>
        <vt:i4>5</vt:i4>
      </vt:variant>
      <vt:variant>
        <vt:lpwstr/>
      </vt:variant>
      <vt:variant>
        <vt:lpwstr>_Toc183441447</vt:lpwstr>
      </vt:variant>
      <vt:variant>
        <vt:i4>1966130</vt:i4>
      </vt:variant>
      <vt:variant>
        <vt:i4>1000</vt:i4>
      </vt:variant>
      <vt:variant>
        <vt:i4>0</vt:i4>
      </vt:variant>
      <vt:variant>
        <vt:i4>5</vt:i4>
      </vt:variant>
      <vt:variant>
        <vt:lpwstr/>
      </vt:variant>
      <vt:variant>
        <vt:lpwstr>_Toc183441446</vt:lpwstr>
      </vt:variant>
      <vt:variant>
        <vt:i4>1966130</vt:i4>
      </vt:variant>
      <vt:variant>
        <vt:i4>994</vt:i4>
      </vt:variant>
      <vt:variant>
        <vt:i4>0</vt:i4>
      </vt:variant>
      <vt:variant>
        <vt:i4>5</vt:i4>
      </vt:variant>
      <vt:variant>
        <vt:lpwstr/>
      </vt:variant>
      <vt:variant>
        <vt:lpwstr>_Toc183441445</vt:lpwstr>
      </vt:variant>
      <vt:variant>
        <vt:i4>1966130</vt:i4>
      </vt:variant>
      <vt:variant>
        <vt:i4>988</vt:i4>
      </vt:variant>
      <vt:variant>
        <vt:i4>0</vt:i4>
      </vt:variant>
      <vt:variant>
        <vt:i4>5</vt:i4>
      </vt:variant>
      <vt:variant>
        <vt:lpwstr/>
      </vt:variant>
      <vt:variant>
        <vt:lpwstr>_Toc183441444</vt:lpwstr>
      </vt:variant>
      <vt:variant>
        <vt:i4>1966130</vt:i4>
      </vt:variant>
      <vt:variant>
        <vt:i4>982</vt:i4>
      </vt:variant>
      <vt:variant>
        <vt:i4>0</vt:i4>
      </vt:variant>
      <vt:variant>
        <vt:i4>5</vt:i4>
      </vt:variant>
      <vt:variant>
        <vt:lpwstr/>
      </vt:variant>
      <vt:variant>
        <vt:lpwstr>_Toc183441443</vt:lpwstr>
      </vt:variant>
      <vt:variant>
        <vt:i4>1966130</vt:i4>
      </vt:variant>
      <vt:variant>
        <vt:i4>976</vt:i4>
      </vt:variant>
      <vt:variant>
        <vt:i4>0</vt:i4>
      </vt:variant>
      <vt:variant>
        <vt:i4>5</vt:i4>
      </vt:variant>
      <vt:variant>
        <vt:lpwstr/>
      </vt:variant>
      <vt:variant>
        <vt:lpwstr>_Toc183441442</vt:lpwstr>
      </vt:variant>
      <vt:variant>
        <vt:i4>1966130</vt:i4>
      </vt:variant>
      <vt:variant>
        <vt:i4>970</vt:i4>
      </vt:variant>
      <vt:variant>
        <vt:i4>0</vt:i4>
      </vt:variant>
      <vt:variant>
        <vt:i4>5</vt:i4>
      </vt:variant>
      <vt:variant>
        <vt:lpwstr/>
      </vt:variant>
      <vt:variant>
        <vt:lpwstr>_Toc183441441</vt:lpwstr>
      </vt:variant>
      <vt:variant>
        <vt:i4>1966130</vt:i4>
      </vt:variant>
      <vt:variant>
        <vt:i4>964</vt:i4>
      </vt:variant>
      <vt:variant>
        <vt:i4>0</vt:i4>
      </vt:variant>
      <vt:variant>
        <vt:i4>5</vt:i4>
      </vt:variant>
      <vt:variant>
        <vt:lpwstr/>
      </vt:variant>
      <vt:variant>
        <vt:lpwstr>_Toc183441440</vt:lpwstr>
      </vt:variant>
      <vt:variant>
        <vt:i4>1638450</vt:i4>
      </vt:variant>
      <vt:variant>
        <vt:i4>958</vt:i4>
      </vt:variant>
      <vt:variant>
        <vt:i4>0</vt:i4>
      </vt:variant>
      <vt:variant>
        <vt:i4>5</vt:i4>
      </vt:variant>
      <vt:variant>
        <vt:lpwstr/>
      </vt:variant>
      <vt:variant>
        <vt:lpwstr>_Toc183441439</vt:lpwstr>
      </vt:variant>
      <vt:variant>
        <vt:i4>1638450</vt:i4>
      </vt:variant>
      <vt:variant>
        <vt:i4>952</vt:i4>
      </vt:variant>
      <vt:variant>
        <vt:i4>0</vt:i4>
      </vt:variant>
      <vt:variant>
        <vt:i4>5</vt:i4>
      </vt:variant>
      <vt:variant>
        <vt:lpwstr/>
      </vt:variant>
      <vt:variant>
        <vt:lpwstr>_Toc183441438</vt:lpwstr>
      </vt:variant>
      <vt:variant>
        <vt:i4>1638450</vt:i4>
      </vt:variant>
      <vt:variant>
        <vt:i4>946</vt:i4>
      </vt:variant>
      <vt:variant>
        <vt:i4>0</vt:i4>
      </vt:variant>
      <vt:variant>
        <vt:i4>5</vt:i4>
      </vt:variant>
      <vt:variant>
        <vt:lpwstr/>
      </vt:variant>
      <vt:variant>
        <vt:lpwstr>_Toc183441437</vt:lpwstr>
      </vt:variant>
      <vt:variant>
        <vt:i4>1638450</vt:i4>
      </vt:variant>
      <vt:variant>
        <vt:i4>940</vt:i4>
      </vt:variant>
      <vt:variant>
        <vt:i4>0</vt:i4>
      </vt:variant>
      <vt:variant>
        <vt:i4>5</vt:i4>
      </vt:variant>
      <vt:variant>
        <vt:lpwstr/>
      </vt:variant>
      <vt:variant>
        <vt:lpwstr>_Toc183441436</vt:lpwstr>
      </vt:variant>
      <vt:variant>
        <vt:i4>1638450</vt:i4>
      </vt:variant>
      <vt:variant>
        <vt:i4>934</vt:i4>
      </vt:variant>
      <vt:variant>
        <vt:i4>0</vt:i4>
      </vt:variant>
      <vt:variant>
        <vt:i4>5</vt:i4>
      </vt:variant>
      <vt:variant>
        <vt:lpwstr/>
      </vt:variant>
      <vt:variant>
        <vt:lpwstr>_Toc183441435</vt:lpwstr>
      </vt:variant>
      <vt:variant>
        <vt:i4>1638450</vt:i4>
      </vt:variant>
      <vt:variant>
        <vt:i4>928</vt:i4>
      </vt:variant>
      <vt:variant>
        <vt:i4>0</vt:i4>
      </vt:variant>
      <vt:variant>
        <vt:i4>5</vt:i4>
      </vt:variant>
      <vt:variant>
        <vt:lpwstr/>
      </vt:variant>
      <vt:variant>
        <vt:lpwstr>_Toc183441434</vt:lpwstr>
      </vt:variant>
      <vt:variant>
        <vt:i4>1638450</vt:i4>
      </vt:variant>
      <vt:variant>
        <vt:i4>922</vt:i4>
      </vt:variant>
      <vt:variant>
        <vt:i4>0</vt:i4>
      </vt:variant>
      <vt:variant>
        <vt:i4>5</vt:i4>
      </vt:variant>
      <vt:variant>
        <vt:lpwstr/>
      </vt:variant>
      <vt:variant>
        <vt:lpwstr>_Toc183441433</vt:lpwstr>
      </vt:variant>
      <vt:variant>
        <vt:i4>1638450</vt:i4>
      </vt:variant>
      <vt:variant>
        <vt:i4>916</vt:i4>
      </vt:variant>
      <vt:variant>
        <vt:i4>0</vt:i4>
      </vt:variant>
      <vt:variant>
        <vt:i4>5</vt:i4>
      </vt:variant>
      <vt:variant>
        <vt:lpwstr/>
      </vt:variant>
      <vt:variant>
        <vt:lpwstr>_Toc183441432</vt:lpwstr>
      </vt:variant>
      <vt:variant>
        <vt:i4>1638450</vt:i4>
      </vt:variant>
      <vt:variant>
        <vt:i4>910</vt:i4>
      </vt:variant>
      <vt:variant>
        <vt:i4>0</vt:i4>
      </vt:variant>
      <vt:variant>
        <vt:i4>5</vt:i4>
      </vt:variant>
      <vt:variant>
        <vt:lpwstr/>
      </vt:variant>
      <vt:variant>
        <vt:lpwstr>_Toc183441431</vt:lpwstr>
      </vt:variant>
      <vt:variant>
        <vt:i4>1638450</vt:i4>
      </vt:variant>
      <vt:variant>
        <vt:i4>904</vt:i4>
      </vt:variant>
      <vt:variant>
        <vt:i4>0</vt:i4>
      </vt:variant>
      <vt:variant>
        <vt:i4>5</vt:i4>
      </vt:variant>
      <vt:variant>
        <vt:lpwstr/>
      </vt:variant>
      <vt:variant>
        <vt:lpwstr>_Toc183441430</vt:lpwstr>
      </vt:variant>
      <vt:variant>
        <vt:i4>1572914</vt:i4>
      </vt:variant>
      <vt:variant>
        <vt:i4>898</vt:i4>
      </vt:variant>
      <vt:variant>
        <vt:i4>0</vt:i4>
      </vt:variant>
      <vt:variant>
        <vt:i4>5</vt:i4>
      </vt:variant>
      <vt:variant>
        <vt:lpwstr/>
      </vt:variant>
      <vt:variant>
        <vt:lpwstr>_Toc183441429</vt:lpwstr>
      </vt:variant>
      <vt:variant>
        <vt:i4>1572914</vt:i4>
      </vt:variant>
      <vt:variant>
        <vt:i4>892</vt:i4>
      </vt:variant>
      <vt:variant>
        <vt:i4>0</vt:i4>
      </vt:variant>
      <vt:variant>
        <vt:i4>5</vt:i4>
      </vt:variant>
      <vt:variant>
        <vt:lpwstr/>
      </vt:variant>
      <vt:variant>
        <vt:lpwstr>_Toc183441428</vt:lpwstr>
      </vt:variant>
      <vt:variant>
        <vt:i4>1572914</vt:i4>
      </vt:variant>
      <vt:variant>
        <vt:i4>886</vt:i4>
      </vt:variant>
      <vt:variant>
        <vt:i4>0</vt:i4>
      </vt:variant>
      <vt:variant>
        <vt:i4>5</vt:i4>
      </vt:variant>
      <vt:variant>
        <vt:lpwstr/>
      </vt:variant>
      <vt:variant>
        <vt:lpwstr>_Toc183441427</vt:lpwstr>
      </vt:variant>
      <vt:variant>
        <vt:i4>1572914</vt:i4>
      </vt:variant>
      <vt:variant>
        <vt:i4>880</vt:i4>
      </vt:variant>
      <vt:variant>
        <vt:i4>0</vt:i4>
      </vt:variant>
      <vt:variant>
        <vt:i4>5</vt:i4>
      </vt:variant>
      <vt:variant>
        <vt:lpwstr/>
      </vt:variant>
      <vt:variant>
        <vt:lpwstr>_Toc183441426</vt:lpwstr>
      </vt:variant>
      <vt:variant>
        <vt:i4>1572914</vt:i4>
      </vt:variant>
      <vt:variant>
        <vt:i4>874</vt:i4>
      </vt:variant>
      <vt:variant>
        <vt:i4>0</vt:i4>
      </vt:variant>
      <vt:variant>
        <vt:i4>5</vt:i4>
      </vt:variant>
      <vt:variant>
        <vt:lpwstr/>
      </vt:variant>
      <vt:variant>
        <vt:lpwstr>_Toc183441425</vt:lpwstr>
      </vt:variant>
      <vt:variant>
        <vt:i4>1572914</vt:i4>
      </vt:variant>
      <vt:variant>
        <vt:i4>868</vt:i4>
      </vt:variant>
      <vt:variant>
        <vt:i4>0</vt:i4>
      </vt:variant>
      <vt:variant>
        <vt:i4>5</vt:i4>
      </vt:variant>
      <vt:variant>
        <vt:lpwstr/>
      </vt:variant>
      <vt:variant>
        <vt:lpwstr>_Toc183441424</vt:lpwstr>
      </vt:variant>
      <vt:variant>
        <vt:i4>1572914</vt:i4>
      </vt:variant>
      <vt:variant>
        <vt:i4>862</vt:i4>
      </vt:variant>
      <vt:variant>
        <vt:i4>0</vt:i4>
      </vt:variant>
      <vt:variant>
        <vt:i4>5</vt:i4>
      </vt:variant>
      <vt:variant>
        <vt:lpwstr/>
      </vt:variant>
      <vt:variant>
        <vt:lpwstr>_Toc183441423</vt:lpwstr>
      </vt:variant>
      <vt:variant>
        <vt:i4>1572914</vt:i4>
      </vt:variant>
      <vt:variant>
        <vt:i4>856</vt:i4>
      </vt:variant>
      <vt:variant>
        <vt:i4>0</vt:i4>
      </vt:variant>
      <vt:variant>
        <vt:i4>5</vt:i4>
      </vt:variant>
      <vt:variant>
        <vt:lpwstr/>
      </vt:variant>
      <vt:variant>
        <vt:lpwstr>_Toc183441422</vt:lpwstr>
      </vt:variant>
      <vt:variant>
        <vt:i4>1572914</vt:i4>
      </vt:variant>
      <vt:variant>
        <vt:i4>850</vt:i4>
      </vt:variant>
      <vt:variant>
        <vt:i4>0</vt:i4>
      </vt:variant>
      <vt:variant>
        <vt:i4>5</vt:i4>
      </vt:variant>
      <vt:variant>
        <vt:lpwstr/>
      </vt:variant>
      <vt:variant>
        <vt:lpwstr>_Toc183441421</vt:lpwstr>
      </vt:variant>
      <vt:variant>
        <vt:i4>1572914</vt:i4>
      </vt:variant>
      <vt:variant>
        <vt:i4>844</vt:i4>
      </vt:variant>
      <vt:variant>
        <vt:i4>0</vt:i4>
      </vt:variant>
      <vt:variant>
        <vt:i4>5</vt:i4>
      </vt:variant>
      <vt:variant>
        <vt:lpwstr/>
      </vt:variant>
      <vt:variant>
        <vt:lpwstr>_Toc183441420</vt:lpwstr>
      </vt:variant>
      <vt:variant>
        <vt:i4>1769522</vt:i4>
      </vt:variant>
      <vt:variant>
        <vt:i4>838</vt:i4>
      </vt:variant>
      <vt:variant>
        <vt:i4>0</vt:i4>
      </vt:variant>
      <vt:variant>
        <vt:i4>5</vt:i4>
      </vt:variant>
      <vt:variant>
        <vt:lpwstr/>
      </vt:variant>
      <vt:variant>
        <vt:lpwstr>_Toc183441419</vt:lpwstr>
      </vt:variant>
      <vt:variant>
        <vt:i4>1769522</vt:i4>
      </vt:variant>
      <vt:variant>
        <vt:i4>832</vt:i4>
      </vt:variant>
      <vt:variant>
        <vt:i4>0</vt:i4>
      </vt:variant>
      <vt:variant>
        <vt:i4>5</vt:i4>
      </vt:variant>
      <vt:variant>
        <vt:lpwstr/>
      </vt:variant>
      <vt:variant>
        <vt:lpwstr>_Toc183441418</vt:lpwstr>
      </vt:variant>
      <vt:variant>
        <vt:i4>1769522</vt:i4>
      </vt:variant>
      <vt:variant>
        <vt:i4>826</vt:i4>
      </vt:variant>
      <vt:variant>
        <vt:i4>0</vt:i4>
      </vt:variant>
      <vt:variant>
        <vt:i4>5</vt:i4>
      </vt:variant>
      <vt:variant>
        <vt:lpwstr/>
      </vt:variant>
      <vt:variant>
        <vt:lpwstr>_Toc183441417</vt:lpwstr>
      </vt:variant>
      <vt:variant>
        <vt:i4>1769522</vt:i4>
      </vt:variant>
      <vt:variant>
        <vt:i4>820</vt:i4>
      </vt:variant>
      <vt:variant>
        <vt:i4>0</vt:i4>
      </vt:variant>
      <vt:variant>
        <vt:i4>5</vt:i4>
      </vt:variant>
      <vt:variant>
        <vt:lpwstr/>
      </vt:variant>
      <vt:variant>
        <vt:lpwstr>_Toc183441416</vt:lpwstr>
      </vt:variant>
      <vt:variant>
        <vt:i4>1769522</vt:i4>
      </vt:variant>
      <vt:variant>
        <vt:i4>814</vt:i4>
      </vt:variant>
      <vt:variant>
        <vt:i4>0</vt:i4>
      </vt:variant>
      <vt:variant>
        <vt:i4>5</vt:i4>
      </vt:variant>
      <vt:variant>
        <vt:lpwstr/>
      </vt:variant>
      <vt:variant>
        <vt:lpwstr>_Toc183441415</vt:lpwstr>
      </vt:variant>
      <vt:variant>
        <vt:i4>1769522</vt:i4>
      </vt:variant>
      <vt:variant>
        <vt:i4>808</vt:i4>
      </vt:variant>
      <vt:variant>
        <vt:i4>0</vt:i4>
      </vt:variant>
      <vt:variant>
        <vt:i4>5</vt:i4>
      </vt:variant>
      <vt:variant>
        <vt:lpwstr/>
      </vt:variant>
      <vt:variant>
        <vt:lpwstr>_Toc183441414</vt:lpwstr>
      </vt:variant>
      <vt:variant>
        <vt:i4>1769522</vt:i4>
      </vt:variant>
      <vt:variant>
        <vt:i4>802</vt:i4>
      </vt:variant>
      <vt:variant>
        <vt:i4>0</vt:i4>
      </vt:variant>
      <vt:variant>
        <vt:i4>5</vt:i4>
      </vt:variant>
      <vt:variant>
        <vt:lpwstr/>
      </vt:variant>
      <vt:variant>
        <vt:lpwstr>_Toc183441413</vt:lpwstr>
      </vt:variant>
      <vt:variant>
        <vt:i4>1769522</vt:i4>
      </vt:variant>
      <vt:variant>
        <vt:i4>796</vt:i4>
      </vt:variant>
      <vt:variant>
        <vt:i4>0</vt:i4>
      </vt:variant>
      <vt:variant>
        <vt:i4>5</vt:i4>
      </vt:variant>
      <vt:variant>
        <vt:lpwstr/>
      </vt:variant>
      <vt:variant>
        <vt:lpwstr>_Toc183441412</vt:lpwstr>
      </vt:variant>
      <vt:variant>
        <vt:i4>1769522</vt:i4>
      </vt:variant>
      <vt:variant>
        <vt:i4>790</vt:i4>
      </vt:variant>
      <vt:variant>
        <vt:i4>0</vt:i4>
      </vt:variant>
      <vt:variant>
        <vt:i4>5</vt:i4>
      </vt:variant>
      <vt:variant>
        <vt:lpwstr/>
      </vt:variant>
      <vt:variant>
        <vt:lpwstr>_Toc183441411</vt:lpwstr>
      </vt:variant>
      <vt:variant>
        <vt:i4>1769522</vt:i4>
      </vt:variant>
      <vt:variant>
        <vt:i4>784</vt:i4>
      </vt:variant>
      <vt:variant>
        <vt:i4>0</vt:i4>
      </vt:variant>
      <vt:variant>
        <vt:i4>5</vt:i4>
      </vt:variant>
      <vt:variant>
        <vt:lpwstr/>
      </vt:variant>
      <vt:variant>
        <vt:lpwstr>_Toc183441410</vt:lpwstr>
      </vt:variant>
      <vt:variant>
        <vt:i4>1703986</vt:i4>
      </vt:variant>
      <vt:variant>
        <vt:i4>778</vt:i4>
      </vt:variant>
      <vt:variant>
        <vt:i4>0</vt:i4>
      </vt:variant>
      <vt:variant>
        <vt:i4>5</vt:i4>
      </vt:variant>
      <vt:variant>
        <vt:lpwstr/>
      </vt:variant>
      <vt:variant>
        <vt:lpwstr>_Toc183441409</vt:lpwstr>
      </vt:variant>
      <vt:variant>
        <vt:i4>1703986</vt:i4>
      </vt:variant>
      <vt:variant>
        <vt:i4>772</vt:i4>
      </vt:variant>
      <vt:variant>
        <vt:i4>0</vt:i4>
      </vt:variant>
      <vt:variant>
        <vt:i4>5</vt:i4>
      </vt:variant>
      <vt:variant>
        <vt:lpwstr/>
      </vt:variant>
      <vt:variant>
        <vt:lpwstr>_Toc183441408</vt:lpwstr>
      </vt:variant>
      <vt:variant>
        <vt:i4>1703986</vt:i4>
      </vt:variant>
      <vt:variant>
        <vt:i4>766</vt:i4>
      </vt:variant>
      <vt:variant>
        <vt:i4>0</vt:i4>
      </vt:variant>
      <vt:variant>
        <vt:i4>5</vt:i4>
      </vt:variant>
      <vt:variant>
        <vt:lpwstr/>
      </vt:variant>
      <vt:variant>
        <vt:lpwstr>_Toc183441407</vt:lpwstr>
      </vt:variant>
      <vt:variant>
        <vt:i4>1703986</vt:i4>
      </vt:variant>
      <vt:variant>
        <vt:i4>760</vt:i4>
      </vt:variant>
      <vt:variant>
        <vt:i4>0</vt:i4>
      </vt:variant>
      <vt:variant>
        <vt:i4>5</vt:i4>
      </vt:variant>
      <vt:variant>
        <vt:lpwstr/>
      </vt:variant>
      <vt:variant>
        <vt:lpwstr>_Toc183441406</vt:lpwstr>
      </vt:variant>
      <vt:variant>
        <vt:i4>1703986</vt:i4>
      </vt:variant>
      <vt:variant>
        <vt:i4>754</vt:i4>
      </vt:variant>
      <vt:variant>
        <vt:i4>0</vt:i4>
      </vt:variant>
      <vt:variant>
        <vt:i4>5</vt:i4>
      </vt:variant>
      <vt:variant>
        <vt:lpwstr/>
      </vt:variant>
      <vt:variant>
        <vt:lpwstr>_Toc183441405</vt:lpwstr>
      </vt:variant>
      <vt:variant>
        <vt:i4>1703986</vt:i4>
      </vt:variant>
      <vt:variant>
        <vt:i4>748</vt:i4>
      </vt:variant>
      <vt:variant>
        <vt:i4>0</vt:i4>
      </vt:variant>
      <vt:variant>
        <vt:i4>5</vt:i4>
      </vt:variant>
      <vt:variant>
        <vt:lpwstr/>
      </vt:variant>
      <vt:variant>
        <vt:lpwstr>_Toc183441404</vt:lpwstr>
      </vt:variant>
      <vt:variant>
        <vt:i4>1703986</vt:i4>
      </vt:variant>
      <vt:variant>
        <vt:i4>742</vt:i4>
      </vt:variant>
      <vt:variant>
        <vt:i4>0</vt:i4>
      </vt:variant>
      <vt:variant>
        <vt:i4>5</vt:i4>
      </vt:variant>
      <vt:variant>
        <vt:lpwstr/>
      </vt:variant>
      <vt:variant>
        <vt:lpwstr>_Toc183441403</vt:lpwstr>
      </vt:variant>
      <vt:variant>
        <vt:i4>1703986</vt:i4>
      </vt:variant>
      <vt:variant>
        <vt:i4>736</vt:i4>
      </vt:variant>
      <vt:variant>
        <vt:i4>0</vt:i4>
      </vt:variant>
      <vt:variant>
        <vt:i4>5</vt:i4>
      </vt:variant>
      <vt:variant>
        <vt:lpwstr/>
      </vt:variant>
      <vt:variant>
        <vt:lpwstr>_Toc183441402</vt:lpwstr>
      </vt:variant>
      <vt:variant>
        <vt:i4>1703986</vt:i4>
      </vt:variant>
      <vt:variant>
        <vt:i4>730</vt:i4>
      </vt:variant>
      <vt:variant>
        <vt:i4>0</vt:i4>
      </vt:variant>
      <vt:variant>
        <vt:i4>5</vt:i4>
      </vt:variant>
      <vt:variant>
        <vt:lpwstr/>
      </vt:variant>
      <vt:variant>
        <vt:lpwstr>_Toc183441401</vt:lpwstr>
      </vt:variant>
      <vt:variant>
        <vt:i4>1703986</vt:i4>
      </vt:variant>
      <vt:variant>
        <vt:i4>724</vt:i4>
      </vt:variant>
      <vt:variant>
        <vt:i4>0</vt:i4>
      </vt:variant>
      <vt:variant>
        <vt:i4>5</vt:i4>
      </vt:variant>
      <vt:variant>
        <vt:lpwstr/>
      </vt:variant>
      <vt:variant>
        <vt:lpwstr>_Toc183441400</vt:lpwstr>
      </vt:variant>
      <vt:variant>
        <vt:i4>1245237</vt:i4>
      </vt:variant>
      <vt:variant>
        <vt:i4>718</vt:i4>
      </vt:variant>
      <vt:variant>
        <vt:i4>0</vt:i4>
      </vt:variant>
      <vt:variant>
        <vt:i4>5</vt:i4>
      </vt:variant>
      <vt:variant>
        <vt:lpwstr/>
      </vt:variant>
      <vt:variant>
        <vt:lpwstr>_Toc183441399</vt:lpwstr>
      </vt:variant>
      <vt:variant>
        <vt:i4>1245237</vt:i4>
      </vt:variant>
      <vt:variant>
        <vt:i4>712</vt:i4>
      </vt:variant>
      <vt:variant>
        <vt:i4>0</vt:i4>
      </vt:variant>
      <vt:variant>
        <vt:i4>5</vt:i4>
      </vt:variant>
      <vt:variant>
        <vt:lpwstr/>
      </vt:variant>
      <vt:variant>
        <vt:lpwstr>_Toc183441398</vt:lpwstr>
      </vt:variant>
      <vt:variant>
        <vt:i4>1245237</vt:i4>
      </vt:variant>
      <vt:variant>
        <vt:i4>706</vt:i4>
      </vt:variant>
      <vt:variant>
        <vt:i4>0</vt:i4>
      </vt:variant>
      <vt:variant>
        <vt:i4>5</vt:i4>
      </vt:variant>
      <vt:variant>
        <vt:lpwstr/>
      </vt:variant>
      <vt:variant>
        <vt:lpwstr>_Toc183441397</vt:lpwstr>
      </vt:variant>
      <vt:variant>
        <vt:i4>1245237</vt:i4>
      </vt:variant>
      <vt:variant>
        <vt:i4>700</vt:i4>
      </vt:variant>
      <vt:variant>
        <vt:i4>0</vt:i4>
      </vt:variant>
      <vt:variant>
        <vt:i4>5</vt:i4>
      </vt:variant>
      <vt:variant>
        <vt:lpwstr/>
      </vt:variant>
      <vt:variant>
        <vt:lpwstr>_Toc183441396</vt:lpwstr>
      </vt:variant>
      <vt:variant>
        <vt:i4>1245237</vt:i4>
      </vt:variant>
      <vt:variant>
        <vt:i4>694</vt:i4>
      </vt:variant>
      <vt:variant>
        <vt:i4>0</vt:i4>
      </vt:variant>
      <vt:variant>
        <vt:i4>5</vt:i4>
      </vt:variant>
      <vt:variant>
        <vt:lpwstr/>
      </vt:variant>
      <vt:variant>
        <vt:lpwstr>_Toc183441395</vt:lpwstr>
      </vt:variant>
      <vt:variant>
        <vt:i4>1245237</vt:i4>
      </vt:variant>
      <vt:variant>
        <vt:i4>688</vt:i4>
      </vt:variant>
      <vt:variant>
        <vt:i4>0</vt:i4>
      </vt:variant>
      <vt:variant>
        <vt:i4>5</vt:i4>
      </vt:variant>
      <vt:variant>
        <vt:lpwstr/>
      </vt:variant>
      <vt:variant>
        <vt:lpwstr>_Toc183441394</vt:lpwstr>
      </vt:variant>
      <vt:variant>
        <vt:i4>1245237</vt:i4>
      </vt:variant>
      <vt:variant>
        <vt:i4>682</vt:i4>
      </vt:variant>
      <vt:variant>
        <vt:i4>0</vt:i4>
      </vt:variant>
      <vt:variant>
        <vt:i4>5</vt:i4>
      </vt:variant>
      <vt:variant>
        <vt:lpwstr/>
      </vt:variant>
      <vt:variant>
        <vt:lpwstr>_Toc183441393</vt:lpwstr>
      </vt:variant>
      <vt:variant>
        <vt:i4>1245237</vt:i4>
      </vt:variant>
      <vt:variant>
        <vt:i4>676</vt:i4>
      </vt:variant>
      <vt:variant>
        <vt:i4>0</vt:i4>
      </vt:variant>
      <vt:variant>
        <vt:i4>5</vt:i4>
      </vt:variant>
      <vt:variant>
        <vt:lpwstr/>
      </vt:variant>
      <vt:variant>
        <vt:lpwstr>_Toc183441392</vt:lpwstr>
      </vt:variant>
      <vt:variant>
        <vt:i4>1245237</vt:i4>
      </vt:variant>
      <vt:variant>
        <vt:i4>670</vt:i4>
      </vt:variant>
      <vt:variant>
        <vt:i4>0</vt:i4>
      </vt:variant>
      <vt:variant>
        <vt:i4>5</vt:i4>
      </vt:variant>
      <vt:variant>
        <vt:lpwstr/>
      </vt:variant>
      <vt:variant>
        <vt:lpwstr>_Toc183441391</vt:lpwstr>
      </vt:variant>
      <vt:variant>
        <vt:i4>1245237</vt:i4>
      </vt:variant>
      <vt:variant>
        <vt:i4>664</vt:i4>
      </vt:variant>
      <vt:variant>
        <vt:i4>0</vt:i4>
      </vt:variant>
      <vt:variant>
        <vt:i4>5</vt:i4>
      </vt:variant>
      <vt:variant>
        <vt:lpwstr/>
      </vt:variant>
      <vt:variant>
        <vt:lpwstr>_Toc183441390</vt:lpwstr>
      </vt:variant>
      <vt:variant>
        <vt:i4>1179701</vt:i4>
      </vt:variant>
      <vt:variant>
        <vt:i4>658</vt:i4>
      </vt:variant>
      <vt:variant>
        <vt:i4>0</vt:i4>
      </vt:variant>
      <vt:variant>
        <vt:i4>5</vt:i4>
      </vt:variant>
      <vt:variant>
        <vt:lpwstr/>
      </vt:variant>
      <vt:variant>
        <vt:lpwstr>_Toc183441389</vt:lpwstr>
      </vt:variant>
      <vt:variant>
        <vt:i4>1179701</vt:i4>
      </vt:variant>
      <vt:variant>
        <vt:i4>652</vt:i4>
      </vt:variant>
      <vt:variant>
        <vt:i4>0</vt:i4>
      </vt:variant>
      <vt:variant>
        <vt:i4>5</vt:i4>
      </vt:variant>
      <vt:variant>
        <vt:lpwstr/>
      </vt:variant>
      <vt:variant>
        <vt:lpwstr>_Toc183441388</vt:lpwstr>
      </vt:variant>
      <vt:variant>
        <vt:i4>1179701</vt:i4>
      </vt:variant>
      <vt:variant>
        <vt:i4>646</vt:i4>
      </vt:variant>
      <vt:variant>
        <vt:i4>0</vt:i4>
      </vt:variant>
      <vt:variant>
        <vt:i4>5</vt:i4>
      </vt:variant>
      <vt:variant>
        <vt:lpwstr/>
      </vt:variant>
      <vt:variant>
        <vt:lpwstr>_Toc183441387</vt:lpwstr>
      </vt:variant>
      <vt:variant>
        <vt:i4>1179701</vt:i4>
      </vt:variant>
      <vt:variant>
        <vt:i4>640</vt:i4>
      </vt:variant>
      <vt:variant>
        <vt:i4>0</vt:i4>
      </vt:variant>
      <vt:variant>
        <vt:i4>5</vt:i4>
      </vt:variant>
      <vt:variant>
        <vt:lpwstr/>
      </vt:variant>
      <vt:variant>
        <vt:lpwstr>_Toc183441386</vt:lpwstr>
      </vt:variant>
      <vt:variant>
        <vt:i4>1179701</vt:i4>
      </vt:variant>
      <vt:variant>
        <vt:i4>634</vt:i4>
      </vt:variant>
      <vt:variant>
        <vt:i4>0</vt:i4>
      </vt:variant>
      <vt:variant>
        <vt:i4>5</vt:i4>
      </vt:variant>
      <vt:variant>
        <vt:lpwstr/>
      </vt:variant>
      <vt:variant>
        <vt:lpwstr>_Toc183441385</vt:lpwstr>
      </vt:variant>
      <vt:variant>
        <vt:i4>1179701</vt:i4>
      </vt:variant>
      <vt:variant>
        <vt:i4>628</vt:i4>
      </vt:variant>
      <vt:variant>
        <vt:i4>0</vt:i4>
      </vt:variant>
      <vt:variant>
        <vt:i4>5</vt:i4>
      </vt:variant>
      <vt:variant>
        <vt:lpwstr/>
      </vt:variant>
      <vt:variant>
        <vt:lpwstr>_Toc183441384</vt:lpwstr>
      </vt:variant>
      <vt:variant>
        <vt:i4>1179701</vt:i4>
      </vt:variant>
      <vt:variant>
        <vt:i4>622</vt:i4>
      </vt:variant>
      <vt:variant>
        <vt:i4>0</vt:i4>
      </vt:variant>
      <vt:variant>
        <vt:i4>5</vt:i4>
      </vt:variant>
      <vt:variant>
        <vt:lpwstr/>
      </vt:variant>
      <vt:variant>
        <vt:lpwstr>_Toc183441383</vt:lpwstr>
      </vt:variant>
      <vt:variant>
        <vt:i4>1179701</vt:i4>
      </vt:variant>
      <vt:variant>
        <vt:i4>616</vt:i4>
      </vt:variant>
      <vt:variant>
        <vt:i4>0</vt:i4>
      </vt:variant>
      <vt:variant>
        <vt:i4>5</vt:i4>
      </vt:variant>
      <vt:variant>
        <vt:lpwstr/>
      </vt:variant>
      <vt:variant>
        <vt:lpwstr>_Toc183441382</vt:lpwstr>
      </vt:variant>
      <vt:variant>
        <vt:i4>1179701</vt:i4>
      </vt:variant>
      <vt:variant>
        <vt:i4>610</vt:i4>
      </vt:variant>
      <vt:variant>
        <vt:i4>0</vt:i4>
      </vt:variant>
      <vt:variant>
        <vt:i4>5</vt:i4>
      </vt:variant>
      <vt:variant>
        <vt:lpwstr/>
      </vt:variant>
      <vt:variant>
        <vt:lpwstr>_Toc183441381</vt:lpwstr>
      </vt:variant>
      <vt:variant>
        <vt:i4>1179701</vt:i4>
      </vt:variant>
      <vt:variant>
        <vt:i4>604</vt:i4>
      </vt:variant>
      <vt:variant>
        <vt:i4>0</vt:i4>
      </vt:variant>
      <vt:variant>
        <vt:i4>5</vt:i4>
      </vt:variant>
      <vt:variant>
        <vt:lpwstr/>
      </vt:variant>
      <vt:variant>
        <vt:lpwstr>_Toc183441380</vt:lpwstr>
      </vt:variant>
      <vt:variant>
        <vt:i4>1900597</vt:i4>
      </vt:variant>
      <vt:variant>
        <vt:i4>598</vt:i4>
      </vt:variant>
      <vt:variant>
        <vt:i4>0</vt:i4>
      </vt:variant>
      <vt:variant>
        <vt:i4>5</vt:i4>
      </vt:variant>
      <vt:variant>
        <vt:lpwstr/>
      </vt:variant>
      <vt:variant>
        <vt:lpwstr>_Toc183441379</vt:lpwstr>
      </vt:variant>
      <vt:variant>
        <vt:i4>1900597</vt:i4>
      </vt:variant>
      <vt:variant>
        <vt:i4>592</vt:i4>
      </vt:variant>
      <vt:variant>
        <vt:i4>0</vt:i4>
      </vt:variant>
      <vt:variant>
        <vt:i4>5</vt:i4>
      </vt:variant>
      <vt:variant>
        <vt:lpwstr/>
      </vt:variant>
      <vt:variant>
        <vt:lpwstr>_Toc183441378</vt:lpwstr>
      </vt:variant>
      <vt:variant>
        <vt:i4>1900597</vt:i4>
      </vt:variant>
      <vt:variant>
        <vt:i4>586</vt:i4>
      </vt:variant>
      <vt:variant>
        <vt:i4>0</vt:i4>
      </vt:variant>
      <vt:variant>
        <vt:i4>5</vt:i4>
      </vt:variant>
      <vt:variant>
        <vt:lpwstr/>
      </vt:variant>
      <vt:variant>
        <vt:lpwstr>_Toc183441377</vt:lpwstr>
      </vt:variant>
      <vt:variant>
        <vt:i4>1900597</vt:i4>
      </vt:variant>
      <vt:variant>
        <vt:i4>580</vt:i4>
      </vt:variant>
      <vt:variant>
        <vt:i4>0</vt:i4>
      </vt:variant>
      <vt:variant>
        <vt:i4>5</vt:i4>
      </vt:variant>
      <vt:variant>
        <vt:lpwstr/>
      </vt:variant>
      <vt:variant>
        <vt:lpwstr>_Toc183441376</vt:lpwstr>
      </vt:variant>
      <vt:variant>
        <vt:i4>1900597</vt:i4>
      </vt:variant>
      <vt:variant>
        <vt:i4>574</vt:i4>
      </vt:variant>
      <vt:variant>
        <vt:i4>0</vt:i4>
      </vt:variant>
      <vt:variant>
        <vt:i4>5</vt:i4>
      </vt:variant>
      <vt:variant>
        <vt:lpwstr/>
      </vt:variant>
      <vt:variant>
        <vt:lpwstr>_Toc183441375</vt:lpwstr>
      </vt:variant>
      <vt:variant>
        <vt:i4>1900597</vt:i4>
      </vt:variant>
      <vt:variant>
        <vt:i4>568</vt:i4>
      </vt:variant>
      <vt:variant>
        <vt:i4>0</vt:i4>
      </vt:variant>
      <vt:variant>
        <vt:i4>5</vt:i4>
      </vt:variant>
      <vt:variant>
        <vt:lpwstr/>
      </vt:variant>
      <vt:variant>
        <vt:lpwstr>_Toc183441374</vt:lpwstr>
      </vt:variant>
      <vt:variant>
        <vt:i4>1900597</vt:i4>
      </vt:variant>
      <vt:variant>
        <vt:i4>562</vt:i4>
      </vt:variant>
      <vt:variant>
        <vt:i4>0</vt:i4>
      </vt:variant>
      <vt:variant>
        <vt:i4>5</vt:i4>
      </vt:variant>
      <vt:variant>
        <vt:lpwstr/>
      </vt:variant>
      <vt:variant>
        <vt:lpwstr>_Toc183441373</vt:lpwstr>
      </vt:variant>
      <vt:variant>
        <vt:i4>1900597</vt:i4>
      </vt:variant>
      <vt:variant>
        <vt:i4>556</vt:i4>
      </vt:variant>
      <vt:variant>
        <vt:i4>0</vt:i4>
      </vt:variant>
      <vt:variant>
        <vt:i4>5</vt:i4>
      </vt:variant>
      <vt:variant>
        <vt:lpwstr/>
      </vt:variant>
      <vt:variant>
        <vt:lpwstr>_Toc183441372</vt:lpwstr>
      </vt:variant>
      <vt:variant>
        <vt:i4>1900597</vt:i4>
      </vt:variant>
      <vt:variant>
        <vt:i4>550</vt:i4>
      </vt:variant>
      <vt:variant>
        <vt:i4>0</vt:i4>
      </vt:variant>
      <vt:variant>
        <vt:i4>5</vt:i4>
      </vt:variant>
      <vt:variant>
        <vt:lpwstr/>
      </vt:variant>
      <vt:variant>
        <vt:lpwstr>_Toc183441371</vt:lpwstr>
      </vt:variant>
      <vt:variant>
        <vt:i4>1900597</vt:i4>
      </vt:variant>
      <vt:variant>
        <vt:i4>544</vt:i4>
      </vt:variant>
      <vt:variant>
        <vt:i4>0</vt:i4>
      </vt:variant>
      <vt:variant>
        <vt:i4>5</vt:i4>
      </vt:variant>
      <vt:variant>
        <vt:lpwstr/>
      </vt:variant>
      <vt:variant>
        <vt:lpwstr>_Toc183441370</vt:lpwstr>
      </vt:variant>
      <vt:variant>
        <vt:i4>1835061</vt:i4>
      </vt:variant>
      <vt:variant>
        <vt:i4>538</vt:i4>
      </vt:variant>
      <vt:variant>
        <vt:i4>0</vt:i4>
      </vt:variant>
      <vt:variant>
        <vt:i4>5</vt:i4>
      </vt:variant>
      <vt:variant>
        <vt:lpwstr/>
      </vt:variant>
      <vt:variant>
        <vt:lpwstr>_Toc183441369</vt:lpwstr>
      </vt:variant>
      <vt:variant>
        <vt:i4>1835061</vt:i4>
      </vt:variant>
      <vt:variant>
        <vt:i4>532</vt:i4>
      </vt:variant>
      <vt:variant>
        <vt:i4>0</vt:i4>
      </vt:variant>
      <vt:variant>
        <vt:i4>5</vt:i4>
      </vt:variant>
      <vt:variant>
        <vt:lpwstr/>
      </vt:variant>
      <vt:variant>
        <vt:lpwstr>_Toc183441368</vt:lpwstr>
      </vt:variant>
      <vt:variant>
        <vt:i4>1835061</vt:i4>
      </vt:variant>
      <vt:variant>
        <vt:i4>526</vt:i4>
      </vt:variant>
      <vt:variant>
        <vt:i4>0</vt:i4>
      </vt:variant>
      <vt:variant>
        <vt:i4>5</vt:i4>
      </vt:variant>
      <vt:variant>
        <vt:lpwstr/>
      </vt:variant>
      <vt:variant>
        <vt:lpwstr>_Toc183441367</vt:lpwstr>
      </vt:variant>
      <vt:variant>
        <vt:i4>1835061</vt:i4>
      </vt:variant>
      <vt:variant>
        <vt:i4>520</vt:i4>
      </vt:variant>
      <vt:variant>
        <vt:i4>0</vt:i4>
      </vt:variant>
      <vt:variant>
        <vt:i4>5</vt:i4>
      </vt:variant>
      <vt:variant>
        <vt:lpwstr/>
      </vt:variant>
      <vt:variant>
        <vt:lpwstr>_Toc183441366</vt:lpwstr>
      </vt:variant>
      <vt:variant>
        <vt:i4>1835061</vt:i4>
      </vt:variant>
      <vt:variant>
        <vt:i4>514</vt:i4>
      </vt:variant>
      <vt:variant>
        <vt:i4>0</vt:i4>
      </vt:variant>
      <vt:variant>
        <vt:i4>5</vt:i4>
      </vt:variant>
      <vt:variant>
        <vt:lpwstr/>
      </vt:variant>
      <vt:variant>
        <vt:lpwstr>_Toc183441365</vt:lpwstr>
      </vt:variant>
      <vt:variant>
        <vt:i4>1835061</vt:i4>
      </vt:variant>
      <vt:variant>
        <vt:i4>508</vt:i4>
      </vt:variant>
      <vt:variant>
        <vt:i4>0</vt:i4>
      </vt:variant>
      <vt:variant>
        <vt:i4>5</vt:i4>
      </vt:variant>
      <vt:variant>
        <vt:lpwstr/>
      </vt:variant>
      <vt:variant>
        <vt:lpwstr>_Toc183441364</vt:lpwstr>
      </vt:variant>
      <vt:variant>
        <vt:i4>1835061</vt:i4>
      </vt:variant>
      <vt:variant>
        <vt:i4>502</vt:i4>
      </vt:variant>
      <vt:variant>
        <vt:i4>0</vt:i4>
      </vt:variant>
      <vt:variant>
        <vt:i4>5</vt:i4>
      </vt:variant>
      <vt:variant>
        <vt:lpwstr/>
      </vt:variant>
      <vt:variant>
        <vt:lpwstr>_Toc183441363</vt:lpwstr>
      </vt:variant>
      <vt:variant>
        <vt:i4>1835061</vt:i4>
      </vt:variant>
      <vt:variant>
        <vt:i4>496</vt:i4>
      </vt:variant>
      <vt:variant>
        <vt:i4>0</vt:i4>
      </vt:variant>
      <vt:variant>
        <vt:i4>5</vt:i4>
      </vt:variant>
      <vt:variant>
        <vt:lpwstr/>
      </vt:variant>
      <vt:variant>
        <vt:lpwstr>_Toc183441362</vt:lpwstr>
      </vt:variant>
      <vt:variant>
        <vt:i4>1835061</vt:i4>
      </vt:variant>
      <vt:variant>
        <vt:i4>490</vt:i4>
      </vt:variant>
      <vt:variant>
        <vt:i4>0</vt:i4>
      </vt:variant>
      <vt:variant>
        <vt:i4>5</vt:i4>
      </vt:variant>
      <vt:variant>
        <vt:lpwstr/>
      </vt:variant>
      <vt:variant>
        <vt:lpwstr>_Toc183441361</vt:lpwstr>
      </vt:variant>
      <vt:variant>
        <vt:i4>1835061</vt:i4>
      </vt:variant>
      <vt:variant>
        <vt:i4>484</vt:i4>
      </vt:variant>
      <vt:variant>
        <vt:i4>0</vt:i4>
      </vt:variant>
      <vt:variant>
        <vt:i4>5</vt:i4>
      </vt:variant>
      <vt:variant>
        <vt:lpwstr/>
      </vt:variant>
      <vt:variant>
        <vt:lpwstr>_Toc183441360</vt:lpwstr>
      </vt:variant>
      <vt:variant>
        <vt:i4>2031669</vt:i4>
      </vt:variant>
      <vt:variant>
        <vt:i4>478</vt:i4>
      </vt:variant>
      <vt:variant>
        <vt:i4>0</vt:i4>
      </vt:variant>
      <vt:variant>
        <vt:i4>5</vt:i4>
      </vt:variant>
      <vt:variant>
        <vt:lpwstr/>
      </vt:variant>
      <vt:variant>
        <vt:lpwstr>_Toc183441359</vt:lpwstr>
      </vt:variant>
      <vt:variant>
        <vt:i4>2031669</vt:i4>
      </vt:variant>
      <vt:variant>
        <vt:i4>472</vt:i4>
      </vt:variant>
      <vt:variant>
        <vt:i4>0</vt:i4>
      </vt:variant>
      <vt:variant>
        <vt:i4>5</vt:i4>
      </vt:variant>
      <vt:variant>
        <vt:lpwstr/>
      </vt:variant>
      <vt:variant>
        <vt:lpwstr>_Toc183441358</vt:lpwstr>
      </vt:variant>
      <vt:variant>
        <vt:i4>2031669</vt:i4>
      </vt:variant>
      <vt:variant>
        <vt:i4>466</vt:i4>
      </vt:variant>
      <vt:variant>
        <vt:i4>0</vt:i4>
      </vt:variant>
      <vt:variant>
        <vt:i4>5</vt:i4>
      </vt:variant>
      <vt:variant>
        <vt:lpwstr/>
      </vt:variant>
      <vt:variant>
        <vt:lpwstr>_Toc183441357</vt:lpwstr>
      </vt:variant>
      <vt:variant>
        <vt:i4>2031669</vt:i4>
      </vt:variant>
      <vt:variant>
        <vt:i4>460</vt:i4>
      </vt:variant>
      <vt:variant>
        <vt:i4>0</vt:i4>
      </vt:variant>
      <vt:variant>
        <vt:i4>5</vt:i4>
      </vt:variant>
      <vt:variant>
        <vt:lpwstr/>
      </vt:variant>
      <vt:variant>
        <vt:lpwstr>_Toc183441356</vt:lpwstr>
      </vt:variant>
      <vt:variant>
        <vt:i4>2031669</vt:i4>
      </vt:variant>
      <vt:variant>
        <vt:i4>454</vt:i4>
      </vt:variant>
      <vt:variant>
        <vt:i4>0</vt:i4>
      </vt:variant>
      <vt:variant>
        <vt:i4>5</vt:i4>
      </vt:variant>
      <vt:variant>
        <vt:lpwstr/>
      </vt:variant>
      <vt:variant>
        <vt:lpwstr>_Toc183441355</vt:lpwstr>
      </vt:variant>
      <vt:variant>
        <vt:i4>2031669</vt:i4>
      </vt:variant>
      <vt:variant>
        <vt:i4>448</vt:i4>
      </vt:variant>
      <vt:variant>
        <vt:i4>0</vt:i4>
      </vt:variant>
      <vt:variant>
        <vt:i4>5</vt:i4>
      </vt:variant>
      <vt:variant>
        <vt:lpwstr/>
      </vt:variant>
      <vt:variant>
        <vt:lpwstr>_Toc183441354</vt:lpwstr>
      </vt:variant>
      <vt:variant>
        <vt:i4>2031669</vt:i4>
      </vt:variant>
      <vt:variant>
        <vt:i4>442</vt:i4>
      </vt:variant>
      <vt:variant>
        <vt:i4>0</vt:i4>
      </vt:variant>
      <vt:variant>
        <vt:i4>5</vt:i4>
      </vt:variant>
      <vt:variant>
        <vt:lpwstr/>
      </vt:variant>
      <vt:variant>
        <vt:lpwstr>_Toc183441353</vt:lpwstr>
      </vt:variant>
      <vt:variant>
        <vt:i4>2031669</vt:i4>
      </vt:variant>
      <vt:variant>
        <vt:i4>436</vt:i4>
      </vt:variant>
      <vt:variant>
        <vt:i4>0</vt:i4>
      </vt:variant>
      <vt:variant>
        <vt:i4>5</vt:i4>
      </vt:variant>
      <vt:variant>
        <vt:lpwstr/>
      </vt:variant>
      <vt:variant>
        <vt:lpwstr>_Toc183441352</vt:lpwstr>
      </vt:variant>
      <vt:variant>
        <vt:i4>2031669</vt:i4>
      </vt:variant>
      <vt:variant>
        <vt:i4>430</vt:i4>
      </vt:variant>
      <vt:variant>
        <vt:i4>0</vt:i4>
      </vt:variant>
      <vt:variant>
        <vt:i4>5</vt:i4>
      </vt:variant>
      <vt:variant>
        <vt:lpwstr/>
      </vt:variant>
      <vt:variant>
        <vt:lpwstr>_Toc183441351</vt:lpwstr>
      </vt:variant>
      <vt:variant>
        <vt:i4>2031669</vt:i4>
      </vt:variant>
      <vt:variant>
        <vt:i4>424</vt:i4>
      </vt:variant>
      <vt:variant>
        <vt:i4>0</vt:i4>
      </vt:variant>
      <vt:variant>
        <vt:i4>5</vt:i4>
      </vt:variant>
      <vt:variant>
        <vt:lpwstr/>
      </vt:variant>
      <vt:variant>
        <vt:lpwstr>_Toc183441350</vt:lpwstr>
      </vt:variant>
      <vt:variant>
        <vt:i4>1966133</vt:i4>
      </vt:variant>
      <vt:variant>
        <vt:i4>418</vt:i4>
      </vt:variant>
      <vt:variant>
        <vt:i4>0</vt:i4>
      </vt:variant>
      <vt:variant>
        <vt:i4>5</vt:i4>
      </vt:variant>
      <vt:variant>
        <vt:lpwstr/>
      </vt:variant>
      <vt:variant>
        <vt:lpwstr>_Toc183441349</vt:lpwstr>
      </vt:variant>
      <vt:variant>
        <vt:i4>1966133</vt:i4>
      </vt:variant>
      <vt:variant>
        <vt:i4>412</vt:i4>
      </vt:variant>
      <vt:variant>
        <vt:i4>0</vt:i4>
      </vt:variant>
      <vt:variant>
        <vt:i4>5</vt:i4>
      </vt:variant>
      <vt:variant>
        <vt:lpwstr/>
      </vt:variant>
      <vt:variant>
        <vt:lpwstr>_Toc183441348</vt:lpwstr>
      </vt:variant>
      <vt:variant>
        <vt:i4>1966133</vt:i4>
      </vt:variant>
      <vt:variant>
        <vt:i4>406</vt:i4>
      </vt:variant>
      <vt:variant>
        <vt:i4>0</vt:i4>
      </vt:variant>
      <vt:variant>
        <vt:i4>5</vt:i4>
      </vt:variant>
      <vt:variant>
        <vt:lpwstr/>
      </vt:variant>
      <vt:variant>
        <vt:lpwstr>_Toc183441347</vt:lpwstr>
      </vt:variant>
      <vt:variant>
        <vt:i4>1966133</vt:i4>
      </vt:variant>
      <vt:variant>
        <vt:i4>400</vt:i4>
      </vt:variant>
      <vt:variant>
        <vt:i4>0</vt:i4>
      </vt:variant>
      <vt:variant>
        <vt:i4>5</vt:i4>
      </vt:variant>
      <vt:variant>
        <vt:lpwstr/>
      </vt:variant>
      <vt:variant>
        <vt:lpwstr>_Toc183441346</vt:lpwstr>
      </vt:variant>
      <vt:variant>
        <vt:i4>1966133</vt:i4>
      </vt:variant>
      <vt:variant>
        <vt:i4>394</vt:i4>
      </vt:variant>
      <vt:variant>
        <vt:i4>0</vt:i4>
      </vt:variant>
      <vt:variant>
        <vt:i4>5</vt:i4>
      </vt:variant>
      <vt:variant>
        <vt:lpwstr/>
      </vt:variant>
      <vt:variant>
        <vt:lpwstr>_Toc183441345</vt:lpwstr>
      </vt:variant>
      <vt:variant>
        <vt:i4>1966133</vt:i4>
      </vt:variant>
      <vt:variant>
        <vt:i4>388</vt:i4>
      </vt:variant>
      <vt:variant>
        <vt:i4>0</vt:i4>
      </vt:variant>
      <vt:variant>
        <vt:i4>5</vt:i4>
      </vt:variant>
      <vt:variant>
        <vt:lpwstr/>
      </vt:variant>
      <vt:variant>
        <vt:lpwstr>_Toc183441344</vt:lpwstr>
      </vt:variant>
      <vt:variant>
        <vt:i4>1966133</vt:i4>
      </vt:variant>
      <vt:variant>
        <vt:i4>382</vt:i4>
      </vt:variant>
      <vt:variant>
        <vt:i4>0</vt:i4>
      </vt:variant>
      <vt:variant>
        <vt:i4>5</vt:i4>
      </vt:variant>
      <vt:variant>
        <vt:lpwstr/>
      </vt:variant>
      <vt:variant>
        <vt:lpwstr>_Toc183441343</vt:lpwstr>
      </vt:variant>
      <vt:variant>
        <vt:i4>1966133</vt:i4>
      </vt:variant>
      <vt:variant>
        <vt:i4>376</vt:i4>
      </vt:variant>
      <vt:variant>
        <vt:i4>0</vt:i4>
      </vt:variant>
      <vt:variant>
        <vt:i4>5</vt:i4>
      </vt:variant>
      <vt:variant>
        <vt:lpwstr/>
      </vt:variant>
      <vt:variant>
        <vt:lpwstr>_Toc183441342</vt:lpwstr>
      </vt:variant>
      <vt:variant>
        <vt:i4>1966133</vt:i4>
      </vt:variant>
      <vt:variant>
        <vt:i4>370</vt:i4>
      </vt:variant>
      <vt:variant>
        <vt:i4>0</vt:i4>
      </vt:variant>
      <vt:variant>
        <vt:i4>5</vt:i4>
      </vt:variant>
      <vt:variant>
        <vt:lpwstr/>
      </vt:variant>
      <vt:variant>
        <vt:lpwstr>_Toc183441341</vt:lpwstr>
      </vt:variant>
      <vt:variant>
        <vt:i4>1966133</vt:i4>
      </vt:variant>
      <vt:variant>
        <vt:i4>364</vt:i4>
      </vt:variant>
      <vt:variant>
        <vt:i4>0</vt:i4>
      </vt:variant>
      <vt:variant>
        <vt:i4>5</vt:i4>
      </vt:variant>
      <vt:variant>
        <vt:lpwstr/>
      </vt:variant>
      <vt:variant>
        <vt:lpwstr>_Toc183441340</vt:lpwstr>
      </vt:variant>
      <vt:variant>
        <vt:i4>1638453</vt:i4>
      </vt:variant>
      <vt:variant>
        <vt:i4>358</vt:i4>
      </vt:variant>
      <vt:variant>
        <vt:i4>0</vt:i4>
      </vt:variant>
      <vt:variant>
        <vt:i4>5</vt:i4>
      </vt:variant>
      <vt:variant>
        <vt:lpwstr/>
      </vt:variant>
      <vt:variant>
        <vt:lpwstr>_Toc183441339</vt:lpwstr>
      </vt:variant>
      <vt:variant>
        <vt:i4>1638453</vt:i4>
      </vt:variant>
      <vt:variant>
        <vt:i4>352</vt:i4>
      </vt:variant>
      <vt:variant>
        <vt:i4>0</vt:i4>
      </vt:variant>
      <vt:variant>
        <vt:i4>5</vt:i4>
      </vt:variant>
      <vt:variant>
        <vt:lpwstr/>
      </vt:variant>
      <vt:variant>
        <vt:lpwstr>_Toc183441338</vt:lpwstr>
      </vt:variant>
      <vt:variant>
        <vt:i4>1638453</vt:i4>
      </vt:variant>
      <vt:variant>
        <vt:i4>346</vt:i4>
      </vt:variant>
      <vt:variant>
        <vt:i4>0</vt:i4>
      </vt:variant>
      <vt:variant>
        <vt:i4>5</vt:i4>
      </vt:variant>
      <vt:variant>
        <vt:lpwstr/>
      </vt:variant>
      <vt:variant>
        <vt:lpwstr>_Toc183441337</vt:lpwstr>
      </vt:variant>
      <vt:variant>
        <vt:i4>1638453</vt:i4>
      </vt:variant>
      <vt:variant>
        <vt:i4>340</vt:i4>
      </vt:variant>
      <vt:variant>
        <vt:i4>0</vt:i4>
      </vt:variant>
      <vt:variant>
        <vt:i4>5</vt:i4>
      </vt:variant>
      <vt:variant>
        <vt:lpwstr/>
      </vt:variant>
      <vt:variant>
        <vt:lpwstr>_Toc183441336</vt:lpwstr>
      </vt:variant>
      <vt:variant>
        <vt:i4>1638453</vt:i4>
      </vt:variant>
      <vt:variant>
        <vt:i4>334</vt:i4>
      </vt:variant>
      <vt:variant>
        <vt:i4>0</vt:i4>
      </vt:variant>
      <vt:variant>
        <vt:i4>5</vt:i4>
      </vt:variant>
      <vt:variant>
        <vt:lpwstr/>
      </vt:variant>
      <vt:variant>
        <vt:lpwstr>_Toc183441335</vt:lpwstr>
      </vt:variant>
      <vt:variant>
        <vt:i4>1638453</vt:i4>
      </vt:variant>
      <vt:variant>
        <vt:i4>328</vt:i4>
      </vt:variant>
      <vt:variant>
        <vt:i4>0</vt:i4>
      </vt:variant>
      <vt:variant>
        <vt:i4>5</vt:i4>
      </vt:variant>
      <vt:variant>
        <vt:lpwstr/>
      </vt:variant>
      <vt:variant>
        <vt:lpwstr>_Toc183441334</vt:lpwstr>
      </vt:variant>
      <vt:variant>
        <vt:i4>1638453</vt:i4>
      </vt:variant>
      <vt:variant>
        <vt:i4>322</vt:i4>
      </vt:variant>
      <vt:variant>
        <vt:i4>0</vt:i4>
      </vt:variant>
      <vt:variant>
        <vt:i4>5</vt:i4>
      </vt:variant>
      <vt:variant>
        <vt:lpwstr/>
      </vt:variant>
      <vt:variant>
        <vt:lpwstr>_Toc183441333</vt:lpwstr>
      </vt:variant>
      <vt:variant>
        <vt:i4>1638453</vt:i4>
      </vt:variant>
      <vt:variant>
        <vt:i4>316</vt:i4>
      </vt:variant>
      <vt:variant>
        <vt:i4>0</vt:i4>
      </vt:variant>
      <vt:variant>
        <vt:i4>5</vt:i4>
      </vt:variant>
      <vt:variant>
        <vt:lpwstr/>
      </vt:variant>
      <vt:variant>
        <vt:lpwstr>_Toc183441332</vt:lpwstr>
      </vt:variant>
      <vt:variant>
        <vt:i4>1638453</vt:i4>
      </vt:variant>
      <vt:variant>
        <vt:i4>310</vt:i4>
      </vt:variant>
      <vt:variant>
        <vt:i4>0</vt:i4>
      </vt:variant>
      <vt:variant>
        <vt:i4>5</vt:i4>
      </vt:variant>
      <vt:variant>
        <vt:lpwstr/>
      </vt:variant>
      <vt:variant>
        <vt:lpwstr>_Toc183441331</vt:lpwstr>
      </vt:variant>
      <vt:variant>
        <vt:i4>1638453</vt:i4>
      </vt:variant>
      <vt:variant>
        <vt:i4>304</vt:i4>
      </vt:variant>
      <vt:variant>
        <vt:i4>0</vt:i4>
      </vt:variant>
      <vt:variant>
        <vt:i4>5</vt:i4>
      </vt:variant>
      <vt:variant>
        <vt:lpwstr/>
      </vt:variant>
      <vt:variant>
        <vt:lpwstr>_Toc183441330</vt:lpwstr>
      </vt:variant>
      <vt:variant>
        <vt:i4>1572917</vt:i4>
      </vt:variant>
      <vt:variant>
        <vt:i4>298</vt:i4>
      </vt:variant>
      <vt:variant>
        <vt:i4>0</vt:i4>
      </vt:variant>
      <vt:variant>
        <vt:i4>5</vt:i4>
      </vt:variant>
      <vt:variant>
        <vt:lpwstr/>
      </vt:variant>
      <vt:variant>
        <vt:lpwstr>_Toc183441329</vt:lpwstr>
      </vt:variant>
      <vt:variant>
        <vt:i4>1572917</vt:i4>
      </vt:variant>
      <vt:variant>
        <vt:i4>292</vt:i4>
      </vt:variant>
      <vt:variant>
        <vt:i4>0</vt:i4>
      </vt:variant>
      <vt:variant>
        <vt:i4>5</vt:i4>
      </vt:variant>
      <vt:variant>
        <vt:lpwstr/>
      </vt:variant>
      <vt:variant>
        <vt:lpwstr>_Toc183441328</vt:lpwstr>
      </vt:variant>
      <vt:variant>
        <vt:i4>1572917</vt:i4>
      </vt:variant>
      <vt:variant>
        <vt:i4>286</vt:i4>
      </vt:variant>
      <vt:variant>
        <vt:i4>0</vt:i4>
      </vt:variant>
      <vt:variant>
        <vt:i4>5</vt:i4>
      </vt:variant>
      <vt:variant>
        <vt:lpwstr/>
      </vt:variant>
      <vt:variant>
        <vt:lpwstr>_Toc183441327</vt:lpwstr>
      </vt:variant>
      <vt:variant>
        <vt:i4>1572917</vt:i4>
      </vt:variant>
      <vt:variant>
        <vt:i4>280</vt:i4>
      </vt:variant>
      <vt:variant>
        <vt:i4>0</vt:i4>
      </vt:variant>
      <vt:variant>
        <vt:i4>5</vt:i4>
      </vt:variant>
      <vt:variant>
        <vt:lpwstr/>
      </vt:variant>
      <vt:variant>
        <vt:lpwstr>_Toc183441326</vt:lpwstr>
      </vt:variant>
      <vt:variant>
        <vt:i4>1572917</vt:i4>
      </vt:variant>
      <vt:variant>
        <vt:i4>274</vt:i4>
      </vt:variant>
      <vt:variant>
        <vt:i4>0</vt:i4>
      </vt:variant>
      <vt:variant>
        <vt:i4>5</vt:i4>
      </vt:variant>
      <vt:variant>
        <vt:lpwstr/>
      </vt:variant>
      <vt:variant>
        <vt:lpwstr>_Toc183441325</vt:lpwstr>
      </vt:variant>
      <vt:variant>
        <vt:i4>1572917</vt:i4>
      </vt:variant>
      <vt:variant>
        <vt:i4>268</vt:i4>
      </vt:variant>
      <vt:variant>
        <vt:i4>0</vt:i4>
      </vt:variant>
      <vt:variant>
        <vt:i4>5</vt:i4>
      </vt:variant>
      <vt:variant>
        <vt:lpwstr/>
      </vt:variant>
      <vt:variant>
        <vt:lpwstr>_Toc183441324</vt:lpwstr>
      </vt:variant>
      <vt:variant>
        <vt:i4>1572917</vt:i4>
      </vt:variant>
      <vt:variant>
        <vt:i4>262</vt:i4>
      </vt:variant>
      <vt:variant>
        <vt:i4>0</vt:i4>
      </vt:variant>
      <vt:variant>
        <vt:i4>5</vt:i4>
      </vt:variant>
      <vt:variant>
        <vt:lpwstr/>
      </vt:variant>
      <vt:variant>
        <vt:lpwstr>_Toc183441323</vt:lpwstr>
      </vt:variant>
      <vt:variant>
        <vt:i4>1572917</vt:i4>
      </vt:variant>
      <vt:variant>
        <vt:i4>256</vt:i4>
      </vt:variant>
      <vt:variant>
        <vt:i4>0</vt:i4>
      </vt:variant>
      <vt:variant>
        <vt:i4>5</vt:i4>
      </vt:variant>
      <vt:variant>
        <vt:lpwstr/>
      </vt:variant>
      <vt:variant>
        <vt:lpwstr>_Toc183441322</vt:lpwstr>
      </vt:variant>
      <vt:variant>
        <vt:i4>1572917</vt:i4>
      </vt:variant>
      <vt:variant>
        <vt:i4>250</vt:i4>
      </vt:variant>
      <vt:variant>
        <vt:i4>0</vt:i4>
      </vt:variant>
      <vt:variant>
        <vt:i4>5</vt:i4>
      </vt:variant>
      <vt:variant>
        <vt:lpwstr/>
      </vt:variant>
      <vt:variant>
        <vt:lpwstr>_Toc183441321</vt:lpwstr>
      </vt:variant>
      <vt:variant>
        <vt:i4>1572917</vt:i4>
      </vt:variant>
      <vt:variant>
        <vt:i4>244</vt:i4>
      </vt:variant>
      <vt:variant>
        <vt:i4>0</vt:i4>
      </vt:variant>
      <vt:variant>
        <vt:i4>5</vt:i4>
      </vt:variant>
      <vt:variant>
        <vt:lpwstr/>
      </vt:variant>
      <vt:variant>
        <vt:lpwstr>_Toc183441320</vt:lpwstr>
      </vt:variant>
      <vt:variant>
        <vt:i4>1769525</vt:i4>
      </vt:variant>
      <vt:variant>
        <vt:i4>238</vt:i4>
      </vt:variant>
      <vt:variant>
        <vt:i4>0</vt:i4>
      </vt:variant>
      <vt:variant>
        <vt:i4>5</vt:i4>
      </vt:variant>
      <vt:variant>
        <vt:lpwstr/>
      </vt:variant>
      <vt:variant>
        <vt:lpwstr>_Toc183441319</vt:lpwstr>
      </vt:variant>
      <vt:variant>
        <vt:i4>1769525</vt:i4>
      </vt:variant>
      <vt:variant>
        <vt:i4>232</vt:i4>
      </vt:variant>
      <vt:variant>
        <vt:i4>0</vt:i4>
      </vt:variant>
      <vt:variant>
        <vt:i4>5</vt:i4>
      </vt:variant>
      <vt:variant>
        <vt:lpwstr/>
      </vt:variant>
      <vt:variant>
        <vt:lpwstr>_Toc183441318</vt:lpwstr>
      </vt:variant>
      <vt:variant>
        <vt:i4>1769525</vt:i4>
      </vt:variant>
      <vt:variant>
        <vt:i4>226</vt:i4>
      </vt:variant>
      <vt:variant>
        <vt:i4>0</vt:i4>
      </vt:variant>
      <vt:variant>
        <vt:i4>5</vt:i4>
      </vt:variant>
      <vt:variant>
        <vt:lpwstr/>
      </vt:variant>
      <vt:variant>
        <vt:lpwstr>_Toc183441317</vt:lpwstr>
      </vt:variant>
      <vt:variant>
        <vt:i4>1769525</vt:i4>
      </vt:variant>
      <vt:variant>
        <vt:i4>220</vt:i4>
      </vt:variant>
      <vt:variant>
        <vt:i4>0</vt:i4>
      </vt:variant>
      <vt:variant>
        <vt:i4>5</vt:i4>
      </vt:variant>
      <vt:variant>
        <vt:lpwstr/>
      </vt:variant>
      <vt:variant>
        <vt:lpwstr>_Toc183441316</vt:lpwstr>
      </vt:variant>
      <vt:variant>
        <vt:i4>1769525</vt:i4>
      </vt:variant>
      <vt:variant>
        <vt:i4>214</vt:i4>
      </vt:variant>
      <vt:variant>
        <vt:i4>0</vt:i4>
      </vt:variant>
      <vt:variant>
        <vt:i4>5</vt:i4>
      </vt:variant>
      <vt:variant>
        <vt:lpwstr/>
      </vt:variant>
      <vt:variant>
        <vt:lpwstr>_Toc183441315</vt:lpwstr>
      </vt:variant>
      <vt:variant>
        <vt:i4>1769525</vt:i4>
      </vt:variant>
      <vt:variant>
        <vt:i4>208</vt:i4>
      </vt:variant>
      <vt:variant>
        <vt:i4>0</vt:i4>
      </vt:variant>
      <vt:variant>
        <vt:i4>5</vt:i4>
      </vt:variant>
      <vt:variant>
        <vt:lpwstr/>
      </vt:variant>
      <vt:variant>
        <vt:lpwstr>_Toc183441314</vt:lpwstr>
      </vt:variant>
      <vt:variant>
        <vt:i4>1769525</vt:i4>
      </vt:variant>
      <vt:variant>
        <vt:i4>202</vt:i4>
      </vt:variant>
      <vt:variant>
        <vt:i4>0</vt:i4>
      </vt:variant>
      <vt:variant>
        <vt:i4>5</vt:i4>
      </vt:variant>
      <vt:variant>
        <vt:lpwstr/>
      </vt:variant>
      <vt:variant>
        <vt:lpwstr>_Toc183441313</vt:lpwstr>
      </vt:variant>
      <vt:variant>
        <vt:i4>1769525</vt:i4>
      </vt:variant>
      <vt:variant>
        <vt:i4>196</vt:i4>
      </vt:variant>
      <vt:variant>
        <vt:i4>0</vt:i4>
      </vt:variant>
      <vt:variant>
        <vt:i4>5</vt:i4>
      </vt:variant>
      <vt:variant>
        <vt:lpwstr/>
      </vt:variant>
      <vt:variant>
        <vt:lpwstr>_Toc183441312</vt:lpwstr>
      </vt:variant>
      <vt:variant>
        <vt:i4>1769525</vt:i4>
      </vt:variant>
      <vt:variant>
        <vt:i4>190</vt:i4>
      </vt:variant>
      <vt:variant>
        <vt:i4>0</vt:i4>
      </vt:variant>
      <vt:variant>
        <vt:i4>5</vt:i4>
      </vt:variant>
      <vt:variant>
        <vt:lpwstr/>
      </vt:variant>
      <vt:variant>
        <vt:lpwstr>_Toc183441311</vt:lpwstr>
      </vt:variant>
      <vt:variant>
        <vt:i4>1769525</vt:i4>
      </vt:variant>
      <vt:variant>
        <vt:i4>184</vt:i4>
      </vt:variant>
      <vt:variant>
        <vt:i4>0</vt:i4>
      </vt:variant>
      <vt:variant>
        <vt:i4>5</vt:i4>
      </vt:variant>
      <vt:variant>
        <vt:lpwstr/>
      </vt:variant>
      <vt:variant>
        <vt:lpwstr>_Toc183441310</vt:lpwstr>
      </vt:variant>
      <vt:variant>
        <vt:i4>1703989</vt:i4>
      </vt:variant>
      <vt:variant>
        <vt:i4>178</vt:i4>
      </vt:variant>
      <vt:variant>
        <vt:i4>0</vt:i4>
      </vt:variant>
      <vt:variant>
        <vt:i4>5</vt:i4>
      </vt:variant>
      <vt:variant>
        <vt:lpwstr/>
      </vt:variant>
      <vt:variant>
        <vt:lpwstr>_Toc183441309</vt:lpwstr>
      </vt:variant>
      <vt:variant>
        <vt:i4>1703989</vt:i4>
      </vt:variant>
      <vt:variant>
        <vt:i4>172</vt:i4>
      </vt:variant>
      <vt:variant>
        <vt:i4>0</vt:i4>
      </vt:variant>
      <vt:variant>
        <vt:i4>5</vt:i4>
      </vt:variant>
      <vt:variant>
        <vt:lpwstr/>
      </vt:variant>
      <vt:variant>
        <vt:lpwstr>_Toc183441308</vt:lpwstr>
      </vt:variant>
      <vt:variant>
        <vt:i4>1703989</vt:i4>
      </vt:variant>
      <vt:variant>
        <vt:i4>166</vt:i4>
      </vt:variant>
      <vt:variant>
        <vt:i4>0</vt:i4>
      </vt:variant>
      <vt:variant>
        <vt:i4>5</vt:i4>
      </vt:variant>
      <vt:variant>
        <vt:lpwstr/>
      </vt:variant>
      <vt:variant>
        <vt:lpwstr>_Toc183441307</vt:lpwstr>
      </vt:variant>
      <vt:variant>
        <vt:i4>1703989</vt:i4>
      </vt:variant>
      <vt:variant>
        <vt:i4>160</vt:i4>
      </vt:variant>
      <vt:variant>
        <vt:i4>0</vt:i4>
      </vt:variant>
      <vt:variant>
        <vt:i4>5</vt:i4>
      </vt:variant>
      <vt:variant>
        <vt:lpwstr/>
      </vt:variant>
      <vt:variant>
        <vt:lpwstr>_Toc183441306</vt:lpwstr>
      </vt:variant>
      <vt:variant>
        <vt:i4>1703989</vt:i4>
      </vt:variant>
      <vt:variant>
        <vt:i4>154</vt:i4>
      </vt:variant>
      <vt:variant>
        <vt:i4>0</vt:i4>
      </vt:variant>
      <vt:variant>
        <vt:i4>5</vt:i4>
      </vt:variant>
      <vt:variant>
        <vt:lpwstr/>
      </vt:variant>
      <vt:variant>
        <vt:lpwstr>_Toc183441305</vt:lpwstr>
      </vt:variant>
      <vt:variant>
        <vt:i4>1703989</vt:i4>
      </vt:variant>
      <vt:variant>
        <vt:i4>148</vt:i4>
      </vt:variant>
      <vt:variant>
        <vt:i4>0</vt:i4>
      </vt:variant>
      <vt:variant>
        <vt:i4>5</vt:i4>
      </vt:variant>
      <vt:variant>
        <vt:lpwstr/>
      </vt:variant>
      <vt:variant>
        <vt:lpwstr>_Toc183441304</vt:lpwstr>
      </vt:variant>
      <vt:variant>
        <vt:i4>1703989</vt:i4>
      </vt:variant>
      <vt:variant>
        <vt:i4>142</vt:i4>
      </vt:variant>
      <vt:variant>
        <vt:i4>0</vt:i4>
      </vt:variant>
      <vt:variant>
        <vt:i4>5</vt:i4>
      </vt:variant>
      <vt:variant>
        <vt:lpwstr/>
      </vt:variant>
      <vt:variant>
        <vt:lpwstr>_Toc183441303</vt:lpwstr>
      </vt:variant>
      <vt:variant>
        <vt:i4>1703989</vt:i4>
      </vt:variant>
      <vt:variant>
        <vt:i4>136</vt:i4>
      </vt:variant>
      <vt:variant>
        <vt:i4>0</vt:i4>
      </vt:variant>
      <vt:variant>
        <vt:i4>5</vt:i4>
      </vt:variant>
      <vt:variant>
        <vt:lpwstr/>
      </vt:variant>
      <vt:variant>
        <vt:lpwstr>_Toc183441302</vt:lpwstr>
      </vt:variant>
      <vt:variant>
        <vt:i4>1703989</vt:i4>
      </vt:variant>
      <vt:variant>
        <vt:i4>130</vt:i4>
      </vt:variant>
      <vt:variant>
        <vt:i4>0</vt:i4>
      </vt:variant>
      <vt:variant>
        <vt:i4>5</vt:i4>
      </vt:variant>
      <vt:variant>
        <vt:lpwstr/>
      </vt:variant>
      <vt:variant>
        <vt:lpwstr>_Toc183441301</vt:lpwstr>
      </vt:variant>
      <vt:variant>
        <vt:i4>1703989</vt:i4>
      </vt:variant>
      <vt:variant>
        <vt:i4>124</vt:i4>
      </vt:variant>
      <vt:variant>
        <vt:i4>0</vt:i4>
      </vt:variant>
      <vt:variant>
        <vt:i4>5</vt:i4>
      </vt:variant>
      <vt:variant>
        <vt:lpwstr/>
      </vt:variant>
      <vt:variant>
        <vt:lpwstr>_Toc183441300</vt:lpwstr>
      </vt:variant>
      <vt:variant>
        <vt:i4>1245236</vt:i4>
      </vt:variant>
      <vt:variant>
        <vt:i4>118</vt:i4>
      </vt:variant>
      <vt:variant>
        <vt:i4>0</vt:i4>
      </vt:variant>
      <vt:variant>
        <vt:i4>5</vt:i4>
      </vt:variant>
      <vt:variant>
        <vt:lpwstr/>
      </vt:variant>
      <vt:variant>
        <vt:lpwstr>_Toc183441299</vt:lpwstr>
      </vt:variant>
      <vt:variant>
        <vt:i4>1245236</vt:i4>
      </vt:variant>
      <vt:variant>
        <vt:i4>112</vt:i4>
      </vt:variant>
      <vt:variant>
        <vt:i4>0</vt:i4>
      </vt:variant>
      <vt:variant>
        <vt:i4>5</vt:i4>
      </vt:variant>
      <vt:variant>
        <vt:lpwstr/>
      </vt:variant>
      <vt:variant>
        <vt:lpwstr>_Toc183441298</vt:lpwstr>
      </vt:variant>
      <vt:variant>
        <vt:i4>1245236</vt:i4>
      </vt:variant>
      <vt:variant>
        <vt:i4>106</vt:i4>
      </vt:variant>
      <vt:variant>
        <vt:i4>0</vt:i4>
      </vt:variant>
      <vt:variant>
        <vt:i4>5</vt:i4>
      </vt:variant>
      <vt:variant>
        <vt:lpwstr/>
      </vt:variant>
      <vt:variant>
        <vt:lpwstr>_Toc183441297</vt:lpwstr>
      </vt:variant>
      <vt:variant>
        <vt:i4>1245236</vt:i4>
      </vt:variant>
      <vt:variant>
        <vt:i4>100</vt:i4>
      </vt:variant>
      <vt:variant>
        <vt:i4>0</vt:i4>
      </vt:variant>
      <vt:variant>
        <vt:i4>5</vt:i4>
      </vt:variant>
      <vt:variant>
        <vt:lpwstr/>
      </vt:variant>
      <vt:variant>
        <vt:lpwstr>_Toc183441296</vt:lpwstr>
      </vt:variant>
      <vt:variant>
        <vt:i4>1245236</vt:i4>
      </vt:variant>
      <vt:variant>
        <vt:i4>94</vt:i4>
      </vt:variant>
      <vt:variant>
        <vt:i4>0</vt:i4>
      </vt:variant>
      <vt:variant>
        <vt:i4>5</vt:i4>
      </vt:variant>
      <vt:variant>
        <vt:lpwstr/>
      </vt:variant>
      <vt:variant>
        <vt:lpwstr>_Toc183441295</vt:lpwstr>
      </vt:variant>
      <vt:variant>
        <vt:i4>1245236</vt:i4>
      </vt:variant>
      <vt:variant>
        <vt:i4>88</vt:i4>
      </vt:variant>
      <vt:variant>
        <vt:i4>0</vt:i4>
      </vt:variant>
      <vt:variant>
        <vt:i4>5</vt:i4>
      </vt:variant>
      <vt:variant>
        <vt:lpwstr/>
      </vt:variant>
      <vt:variant>
        <vt:lpwstr>_Toc183441294</vt:lpwstr>
      </vt:variant>
      <vt:variant>
        <vt:i4>1245236</vt:i4>
      </vt:variant>
      <vt:variant>
        <vt:i4>82</vt:i4>
      </vt:variant>
      <vt:variant>
        <vt:i4>0</vt:i4>
      </vt:variant>
      <vt:variant>
        <vt:i4>5</vt:i4>
      </vt:variant>
      <vt:variant>
        <vt:lpwstr/>
      </vt:variant>
      <vt:variant>
        <vt:lpwstr>_Toc183441293</vt:lpwstr>
      </vt:variant>
      <vt:variant>
        <vt:i4>1245236</vt:i4>
      </vt:variant>
      <vt:variant>
        <vt:i4>76</vt:i4>
      </vt:variant>
      <vt:variant>
        <vt:i4>0</vt:i4>
      </vt:variant>
      <vt:variant>
        <vt:i4>5</vt:i4>
      </vt:variant>
      <vt:variant>
        <vt:lpwstr/>
      </vt:variant>
      <vt:variant>
        <vt:lpwstr>_Toc183441292</vt:lpwstr>
      </vt:variant>
      <vt:variant>
        <vt:i4>1245236</vt:i4>
      </vt:variant>
      <vt:variant>
        <vt:i4>70</vt:i4>
      </vt:variant>
      <vt:variant>
        <vt:i4>0</vt:i4>
      </vt:variant>
      <vt:variant>
        <vt:i4>5</vt:i4>
      </vt:variant>
      <vt:variant>
        <vt:lpwstr/>
      </vt:variant>
      <vt:variant>
        <vt:lpwstr>_Toc183441291</vt:lpwstr>
      </vt:variant>
      <vt:variant>
        <vt:i4>1245236</vt:i4>
      </vt:variant>
      <vt:variant>
        <vt:i4>64</vt:i4>
      </vt:variant>
      <vt:variant>
        <vt:i4>0</vt:i4>
      </vt:variant>
      <vt:variant>
        <vt:i4>5</vt:i4>
      </vt:variant>
      <vt:variant>
        <vt:lpwstr/>
      </vt:variant>
      <vt:variant>
        <vt:lpwstr>_Toc183441290</vt:lpwstr>
      </vt:variant>
      <vt:variant>
        <vt:i4>1179700</vt:i4>
      </vt:variant>
      <vt:variant>
        <vt:i4>58</vt:i4>
      </vt:variant>
      <vt:variant>
        <vt:i4>0</vt:i4>
      </vt:variant>
      <vt:variant>
        <vt:i4>5</vt:i4>
      </vt:variant>
      <vt:variant>
        <vt:lpwstr/>
      </vt:variant>
      <vt:variant>
        <vt:lpwstr>_Toc183441289</vt:lpwstr>
      </vt:variant>
      <vt:variant>
        <vt:i4>1179700</vt:i4>
      </vt:variant>
      <vt:variant>
        <vt:i4>52</vt:i4>
      </vt:variant>
      <vt:variant>
        <vt:i4>0</vt:i4>
      </vt:variant>
      <vt:variant>
        <vt:i4>5</vt:i4>
      </vt:variant>
      <vt:variant>
        <vt:lpwstr/>
      </vt:variant>
      <vt:variant>
        <vt:lpwstr>_Toc183441288</vt:lpwstr>
      </vt:variant>
      <vt:variant>
        <vt:i4>1179700</vt:i4>
      </vt:variant>
      <vt:variant>
        <vt:i4>46</vt:i4>
      </vt:variant>
      <vt:variant>
        <vt:i4>0</vt:i4>
      </vt:variant>
      <vt:variant>
        <vt:i4>5</vt:i4>
      </vt:variant>
      <vt:variant>
        <vt:lpwstr/>
      </vt:variant>
      <vt:variant>
        <vt:lpwstr>_Toc183441287</vt:lpwstr>
      </vt:variant>
      <vt:variant>
        <vt:i4>1179700</vt:i4>
      </vt:variant>
      <vt:variant>
        <vt:i4>40</vt:i4>
      </vt:variant>
      <vt:variant>
        <vt:i4>0</vt:i4>
      </vt:variant>
      <vt:variant>
        <vt:i4>5</vt:i4>
      </vt:variant>
      <vt:variant>
        <vt:lpwstr/>
      </vt:variant>
      <vt:variant>
        <vt:lpwstr>_Toc183441286</vt:lpwstr>
      </vt:variant>
      <vt:variant>
        <vt:i4>1179700</vt:i4>
      </vt:variant>
      <vt:variant>
        <vt:i4>34</vt:i4>
      </vt:variant>
      <vt:variant>
        <vt:i4>0</vt:i4>
      </vt:variant>
      <vt:variant>
        <vt:i4>5</vt:i4>
      </vt:variant>
      <vt:variant>
        <vt:lpwstr/>
      </vt:variant>
      <vt:variant>
        <vt:lpwstr>_Toc183441285</vt:lpwstr>
      </vt:variant>
      <vt:variant>
        <vt:i4>1179700</vt:i4>
      </vt:variant>
      <vt:variant>
        <vt:i4>28</vt:i4>
      </vt:variant>
      <vt:variant>
        <vt:i4>0</vt:i4>
      </vt:variant>
      <vt:variant>
        <vt:i4>5</vt:i4>
      </vt:variant>
      <vt:variant>
        <vt:lpwstr/>
      </vt:variant>
      <vt:variant>
        <vt:lpwstr>_Toc183441284</vt:lpwstr>
      </vt:variant>
      <vt:variant>
        <vt:i4>1179700</vt:i4>
      </vt:variant>
      <vt:variant>
        <vt:i4>22</vt:i4>
      </vt:variant>
      <vt:variant>
        <vt:i4>0</vt:i4>
      </vt:variant>
      <vt:variant>
        <vt:i4>5</vt:i4>
      </vt:variant>
      <vt:variant>
        <vt:lpwstr/>
      </vt:variant>
      <vt:variant>
        <vt:lpwstr>_Toc183441283</vt:lpwstr>
      </vt:variant>
      <vt:variant>
        <vt:i4>3866674</vt:i4>
      </vt:variant>
      <vt:variant>
        <vt:i4>17</vt:i4>
      </vt:variant>
      <vt:variant>
        <vt:i4>0</vt:i4>
      </vt:variant>
      <vt:variant>
        <vt:i4>5</vt:i4>
      </vt:variant>
      <vt:variant>
        <vt:lpwstr>https://www.nhmrc.gov.au/about-us/leadership-and-governance/committees/natural-therapies-working-committee</vt:lpwstr>
      </vt:variant>
      <vt:variant>
        <vt:lpwstr/>
      </vt:variant>
      <vt:variant>
        <vt:i4>6684735</vt:i4>
      </vt:variant>
      <vt:variant>
        <vt:i4>14</vt:i4>
      </vt:variant>
      <vt:variant>
        <vt:i4>0</vt:i4>
      </vt:variant>
      <vt:variant>
        <vt:i4>5</vt:i4>
      </vt:variant>
      <vt:variant>
        <vt:lpwstr>https://www.health.gov.au/committees-and-groups/natural-therapies-review-expert-advisory-panel</vt:lpwstr>
      </vt:variant>
      <vt:variant>
        <vt:lpwstr/>
      </vt:variant>
      <vt:variant>
        <vt:i4>4390923</vt:i4>
      </vt:variant>
      <vt:variant>
        <vt:i4>10</vt:i4>
      </vt:variant>
      <vt:variant>
        <vt:i4>0</vt:i4>
      </vt:variant>
      <vt:variant>
        <vt:i4>5</vt:i4>
      </vt:variant>
      <vt:variant>
        <vt:lpwstr/>
      </vt:variant>
      <vt:variant>
        <vt:lpwstr>_ENREF_2</vt:lpwstr>
      </vt:variant>
      <vt:variant>
        <vt:i4>4194315</vt:i4>
      </vt:variant>
      <vt:variant>
        <vt:i4>2</vt:i4>
      </vt:variant>
      <vt:variant>
        <vt:i4>0</vt:i4>
      </vt:variant>
      <vt:variant>
        <vt:i4>5</vt:i4>
      </vt:variant>
      <vt:variant>
        <vt:lpwstr/>
      </vt:variant>
      <vt:variant>
        <vt:lpwstr>_ENREF_1</vt:lpwstr>
      </vt:variant>
      <vt:variant>
        <vt:i4>6684771</vt:i4>
      </vt:variant>
      <vt:variant>
        <vt:i4>0</vt:i4>
      </vt:variant>
      <vt:variant>
        <vt:i4>0</vt:i4>
      </vt:variant>
      <vt:variant>
        <vt:i4>5</vt:i4>
      </vt:variant>
      <vt:variant>
        <vt:lpwstr>https://www.health.gov.au/resources/publications/private-health-insurance-reforms-changing-coverage-for-some-natural-therapies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Natural Therapies Review 2024 – Homeopathy evidence evaluation – Main report</dc:title>
  <dc:subject>Private health insurance</dc:subject>
  <dc:creator>Australian Government Department of Health and Aged Care</dc:creator>
  <cp:keywords>PHI</cp:keywords>
  <dc:description/>
  <cp:lastModifiedBy>MCCAY, Meryl</cp:lastModifiedBy>
  <cp:revision>1066</cp:revision>
  <cp:lastPrinted>2024-09-22T13:30:00Z</cp:lastPrinted>
  <dcterms:created xsi:type="dcterms:W3CDTF">2024-08-28T10:15:00Z</dcterms:created>
  <dcterms:modified xsi:type="dcterms:W3CDTF">2025-03-31T01:03:00Z</dcterms:modified>
</cp:coreProperties>
</file>