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1AA28" w14:textId="491AB9A1" w:rsidR="00DE5380" w:rsidRPr="00454D17" w:rsidRDefault="00AB3C7A" w:rsidP="00314F78">
      <w:r w:rsidRPr="00454D17">
        <w:rPr>
          <w:noProof/>
        </w:rPr>
        <w:drawing>
          <wp:inline distT="0" distB="0" distL="0" distR="0" wp14:anchorId="0E1086EB" wp14:editId="69B1D224">
            <wp:extent cx="1695450" cy="771525"/>
            <wp:effectExtent l="0" t="0" r="0" b="9525"/>
            <wp:docPr id="6" name="Picture 6" descr="P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P1#yIS1"/>
                    <pic:cNvPicPr/>
                  </pic:nvPicPr>
                  <pic:blipFill>
                    <a:blip r:embed="rId11">
                      <a:extLst>
                        <a:ext uri="{28A0092B-C50C-407E-A947-70E740481C1C}">
                          <a14:useLocalDpi xmlns:a14="http://schemas.microsoft.com/office/drawing/2010/main" val="0"/>
                        </a:ext>
                      </a:extLst>
                    </a:blip>
                    <a:stretch>
                      <a:fillRect/>
                    </a:stretch>
                  </pic:blipFill>
                  <pic:spPr>
                    <a:xfrm>
                      <a:off x="0" y="0"/>
                      <a:ext cx="1695450" cy="771525"/>
                    </a:xfrm>
                    <a:prstGeom prst="rect">
                      <a:avLst/>
                    </a:prstGeom>
                  </pic:spPr>
                </pic:pic>
              </a:graphicData>
            </a:graphic>
          </wp:inline>
        </w:drawing>
      </w:r>
    </w:p>
    <w:p w14:paraId="6DC5EBF9" w14:textId="70CC940C" w:rsidR="00A27D58" w:rsidRPr="00AC7E48" w:rsidRDefault="002847CF" w:rsidP="00314F78">
      <w:pPr>
        <w:pStyle w:val="Title"/>
        <w:sectPr w:rsidR="00A27D58" w:rsidRPr="00AC7E48" w:rsidSect="00C10378">
          <w:headerReference w:type="even" r:id="rId12"/>
          <w:headerReference w:type="default" r:id="rId13"/>
          <w:footerReference w:type="even" r:id="rId14"/>
          <w:footerReference w:type="default" r:id="rId15"/>
          <w:headerReference w:type="first" r:id="rId16"/>
          <w:footerReference w:type="first" r:id="rId17"/>
          <w:pgSz w:w="11906" w:h="16838"/>
          <w:pgMar w:top="397" w:right="1077" w:bottom="1440" w:left="1077" w:header="709" w:footer="709" w:gutter="0"/>
          <w:cols w:space="708"/>
          <w:docGrid w:linePitch="360"/>
        </w:sectPr>
      </w:pPr>
      <w:r w:rsidRPr="00F21B43">
        <w:t>National Aged Care Mandatory Quality</w:t>
      </w:r>
      <w:r w:rsidR="0059348C">
        <w:t xml:space="preserve"> </w:t>
      </w:r>
      <w:r w:rsidRPr="00F21B43">
        <w:t>Indicator Program</w:t>
      </w:r>
      <w:r w:rsidR="0059348C">
        <w:t xml:space="preserve"> </w:t>
      </w:r>
      <w:r w:rsidRPr="00F21B43">
        <w:t>(QI Program)</w:t>
      </w:r>
      <w:r w:rsidR="0059348C">
        <w:t xml:space="preserve"> </w:t>
      </w:r>
      <w:r w:rsidRPr="00AC7E48">
        <w:t xml:space="preserve">Manual </w:t>
      </w:r>
      <w:r w:rsidR="000452D7" w:rsidRPr="00AC7E48">
        <w:t>4.0 – Part B</w:t>
      </w:r>
    </w:p>
    <w:p w14:paraId="2434DAAE" w14:textId="77777777" w:rsidR="001C4D9C" w:rsidRPr="00AD045C" w:rsidRDefault="001C4D9C" w:rsidP="00314F78">
      <w:pPr>
        <w:sectPr w:rsidR="001C4D9C" w:rsidRPr="00AD045C" w:rsidSect="00E162EE">
          <w:headerReference w:type="even" r:id="rId18"/>
          <w:headerReference w:type="default" r:id="rId19"/>
          <w:footerReference w:type="even" r:id="rId20"/>
          <w:footerReference w:type="default" r:id="rId21"/>
          <w:headerReference w:type="first" r:id="rId22"/>
          <w:endnotePr>
            <w:numFmt w:val="decimal"/>
          </w:endnotePr>
          <w:pgSz w:w="11906" w:h="16838" w:code="9"/>
          <w:pgMar w:top="1701" w:right="1134" w:bottom="1134" w:left="1134" w:header="567" w:footer="567" w:gutter="0"/>
          <w:pgNumType w:start="1"/>
          <w:cols w:space="708"/>
          <w:docGrid w:linePitch="360"/>
        </w:sectPr>
      </w:pPr>
    </w:p>
    <w:p w14:paraId="01A79946" w14:textId="5F62A641" w:rsidR="001F64AD" w:rsidRPr="00B42948" w:rsidRDefault="001F64AD" w:rsidP="005F2326">
      <w:pPr>
        <w:pStyle w:val="Normalwhite"/>
        <w:rPr>
          <w:rStyle w:val="Strong"/>
        </w:rPr>
      </w:pPr>
      <w:r w:rsidRPr="00B42948">
        <w:rPr>
          <w:rStyle w:val="Strong"/>
        </w:rPr>
        <w:t xml:space="preserve">National Aged Care Mandatory Quality Indicator Program Manual </w:t>
      </w:r>
      <w:r w:rsidR="006B58EC" w:rsidRPr="00B42948">
        <w:rPr>
          <w:rStyle w:val="Strong"/>
        </w:rPr>
        <w:t xml:space="preserve">Part B </w:t>
      </w:r>
      <w:r w:rsidR="00CC3574" w:rsidRPr="00B42948">
        <w:rPr>
          <w:rStyle w:val="Strong"/>
        </w:rPr>
        <w:t>–</w:t>
      </w:r>
      <w:r w:rsidR="006B58EC" w:rsidRPr="00B42948">
        <w:rPr>
          <w:rStyle w:val="Strong"/>
        </w:rPr>
        <w:t xml:space="preserve"> </w:t>
      </w:r>
      <w:r w:rsidR="00CC3574" w:rsidRPr="00B42948">
        <w:rPr>
          <w:rStyle w:val="Strong"/>
        </w:rPr>
        <w:t>4.0</w:t>
      </w:r>
    </w:p>
    <w:p w14:paraId="15AFB367" w14:textId="4E754718" w:rsidR="001F64AD" w:rsidRPr="00AD045C" w:rsidRDefault="001F64AD" w:rsidP="005F2326">
      <w:pPr>
        <w:pStyle w:val="Normalwhite"/>
      </w:pPr>
      <w:r w:rsidRPr="00AD045C">
        <w:t xml:space="preserve">This publication is published by the Australian Government Department of Health </w:t>
      </w:r>
      <w:r w:rsidR="00410517" w:rsidRPr="00AD045C">
        <w:t xml:space="preserve">and Aged Care </w:t>
      </w:r>
      <w:r w:rsidRPr="00AD045C">
        <w:t>as a manual to support the National Aged Care Mandatory Quality Indicator Program (QI Program).</w:t>
      </w:r>
    </w:p>
    <w:p w14:paraId="108226E7" w14:textId="04354115" w:rsidR="001F64AD" w:rsidRPr="00B42948" w:rsidRDefault="001F64AD" w:rsidP="005F2326">
      <w:pPr>
        <w:pStyle w:val="Normalwhite"/>
        <w:rPr>
          <w:rStyle w:val="Strong"/>
        </w:rPr>
      </w:pPr>
      <w:r w:rsidRPr="00B42948">
        <w:rPr>
          <w:rStyle w:val="Strong"/>
        </w:rPr>
        <w:t>Copyright Notice</w:t>
      </w:r>
    </w:p>
    <w:p w14:paraId="6C1B1889" w14:textId="12D51F54" w:rsidR="001F64AD" w:rsidRPr="00AD045C" w:rsidRDefault="001F64AD" w:rsidP="005F2326">
      <w:pPr>
        <w:pStyle w:val="Normalwhite"/>
      </w:pPr>
      <w:r w:rsidRPr="00AD045C">
        <w:t xml:space="preserve">© </w:t>
      </w:r>
      <w:r w:rsidR="002D5BF8" w:rsidRPr="00AD045C">
        <w:t xml:space="preserve">2022 </w:t>
      </w:r>
      <w:r w:rsidRPr="00AD045C">
        <w:t>Commonwealth of Australia as represented by the Department of Health</w:t>
      </w:r>
      <w:r w:rsidR="00410517" w:rsidRPr="00AD045C">
        <w:t xml:space="preserve"> and Aged Care</w:t>
      </w:r>
      <w:r w:rsidRPr="00AD045C">
        <w:t>.</w:t>
      </w:r>
    </w:p>
    <w:p w14:paraId="66893332" w14:textId="37BDF041" w:rsidR="001F64AD" w:rsidRPr="00AD045C" w:rsidRDefault="001F64AD" w:rsidP="005F2326">
      <w:pPr>
        <w:pStyle w:val="Normalwhite"/>
      </w:pPr>
      <w:r w:rsidRPr="00AD045C">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387DEB4B" w14:textId="0CB6D23F" w:rsidR="001F64AD" w:rsidRPr="00AD045C" w:rsidRDefault="001F64AD" w:rsidP="00B42948">
      <w:pPr>
        <w:pStyle w:val="ListBullet4"/>
      </w:pPr>
      <w:r w:rsidRPr="00AD045C">
        <w:t>do not use the copy or reproduction for any commercial purpose; and</w:t>
      </w:r>
    </w:p>
    <w:p w14:paraId="51B865D3" w14:textId="4CDD89FF" w:rsidR="001F64AD" w:rsidRPr="00AD045C" w:rsidRDefault="001F64AD" w:rsidP="00B42948">
      <w:pPr>
        <w:pStyle w:val="ListBullet4"/>
      </w:pPr>
      <w:r w:rsidRPr="00AD045C">
        <w:t>retain this copyright notice and disclaimer as part of that copy or reproduction.</w:t>
      </w:r>
    </w:p>
    <w:p w14:paraId="2A2737BB" w14:textId="6A03C789" w:rsidR="001F64AD" w:rsidRPr="00AD045C" w:rsidRDefault="38A4D64C" w:rsidP="005F2326">
      <w:pPr>
        <w:pStyle w:val="Normalwhite"/>
      </w:pPr>
      <w:r w:rsidRPr="00AD045C">
        <w:t>Apart from rights as permitted by the Copyright Act 1968 (Cth), or allowed by this copyright notice, all other rights are reserved, including (but not limited to) all commercial rights. Unauthorised use of a copy or reproduction is strictly prohibited.</w:t>
      </w:r>
    </w:p>
    <w:p w14:paraId="3D91BFE0" w14:textId="12C2DE69" w:rsidR="001F64AD" w:rsidRPr="00AD045C" w:rsidRDefault="001F64AD" w:rsidP="005F2326">
      <w:pPr>
        <w:pStyle w:val="Normalwhite"/>
      </w:pPr>
      <w:r w:rsidRPr="00AD045C">
        <w:t>This licence does not cover, and there is no permission given for, use of the Commonwealth Coat of Arms or any logos and trademarks (including the logo of the Department of Health</w:t>
      </w:r>
      <w:r w:rsidR="00410517" w:rsidRPr="00AD045C">
        <w:t xml:space="preserve"> and Aged Care</w:t>
      </w:r>
      <w:r w:rsidRPr="00AD045C">
        <w:t>)</w:t>
      </w:r>
      <w:r w:rsidR="006D6534" w:rsidRPr="00AD045C">
        <w:t xml:space="preserve"> contained within this publication</w:t>
      </w:r>
      <w:r w:rsidRPr="00AD045C">
        <w:t>.</w:t>
      </w:r>
    </w:p>
    <w:p w14:paraId="1B7ABE08" w14:textId="2E0AD30C" w:rsidR="001F64AD" w:rsidRPr="00B42948" w:rsidRDefault="001F64AD" w:rsidP="005F2326">
      <w:pPr>
        <w:pStyle w:val="Normalwhite"/>
        <w:rPr>
          <w:rStyle w:val="Strong"/>
        </w:rPr>
      </w:pPr>
      <w:r w:rsidRPr="00B42948">
        <w:rPr>
          <w:rStyle w:val="Strong"/>
        </w:rPr>
        <w:t>Disclaimer</w:t>
      </w:r>
    </w:p>
    <w:p w14:paraId="4ED90196" w14:textId="704F4BFF" w:rsidR="001F64AD" w:rsidRPr="00AD045C" w:rsidRDefault="38A4D64C" w:rsidP="005F2326">
      <w:pPr>
        <w:pStyle w:val="Normalwhite"/>
      </w:pPr>
      <w:r w:rsidRPr="00AD045C">
        <w:t>The information in this manual does not constitute, and must not be relied upon as, medical or clinical advice. Any medical questions must be referred to, and obtained from, an independent medical or clinical adviser.</w:t>
      </w:r>
    </w:p>
    <w:p w14:paraId="761EB8AC" w14:textId="2D237145" w:rsidR="001F64AD" w:rsidRPr="00B42948" w:rsidRDefault="38A4D64C" w:rsidP="005F2326">
      <w:pPr>
        <w:pStyle w:val="Normalwhite"/>
        <w:rPr>
          <w:rStyle w:val="Strong"/>
        </w:rPr>
      </w:pPr>
      <w:r w:rsidRPr="00B42948">
        <w:rPr>
          <w:rStyle w:val="Strong"/>
        </w:rPr>
        <w:t>Assistance</w:t>
      </w:r>
    </w:p>
    <w:p w14:paraId="139F8EE1" w14:textId="77777777" w:rsidR="001F64AD" w:rsidRPr="00AD045C" w:rsidRDefault="38A4D64C" w:rsidP="005F2326">
      <w:pPr>
        <w:pStyle w:val="Normalwhite"/>
      </w:pPr>
      <w:r w:rsidRPr="00AD045C">
        <w:t>For further assistance, please contact the My Aged Care provider and assessor helpline on 1800 836 799. The helpline will be available between 8am and 8pm Monday to Friday, and between 10am and 2pm on Saturday local time across Australia, except for public holidays.</w:t>
      </w:r>
    </w:p>
    <w:p w14:paraId="6B3912E5" w14:textId="77777777" w:rsidR="001F64AD" w:rsidRPr="00B42948" w:rsidRDefault="001F64AD" w:rsidP="005F2326">
      <w:pPr>
        <w:pStyle w:val="Normalwhite"/>
        <w:rPr>
          <w:rStyle w:val="Strong"/>
        </w:rPr>
      </w:pPr>
      <w:r w:rsidRPr="00B42948">
        <w:rPr>
          <w:rStyle w:val="Strong"/>
        </w:rPr>
        <w:t>Acknowledgements</w:t>
      </w:r>
    </w:p>
    <w:p w14:paraId="283DCE61" w14:textId="0796CE23" w:rsidR="001F64AD" w:rsidRPr="002765D3" w:rsidRDefault="38A4D64C" w:rsidP="005F2326">
      <w:pPr>
        <w:pStyle w:val="Normalwhite"/>
      </w:pPr>
      <w:r w:rsidRPr="00AD045C">
        <w:t xml:space="preserve">The Commonwealth would like to acknowledge the work undertaken by the Victorian Department of Health from 2006 to 2021 which assisted the Commonwealth to establish the National Aged Care Mandatory Quality Indicator Program. </w:t>
      </w:r>
      <w:r w:rsidR="001F64AD" w:rsidRPr="002765D3">
        <w:rPr>
          <w:noProof/>
          <w:lang w:eastAsia="en-AU"/>
        </w:rPr>
        <w:drawing>
          <wp:anchor distT="0" distB="0" distL="114300" distR="114300" simplePos="0" relativeHeight="251658243" behindDoc="1" locked="1" layoutInCell="1" allowOverlap="1" wp14:anchorId="49F9C2B8" wp14:editId="67975E5E">
            <wp:simplePos x="0" y="0"/>
            <wp:positionH relativeFrom="page">
              <wp:align>left</wp:align>
            </wp:positionH>
            <wp:positionV relativeFrom="page">
              <wp:posOffset>-1369060</wp:posOffset>
            </wp:positionV>
            <wp:extent cx="7559675" cy="12630150"/>
            <wp:effectExtent l="0" t="0" r="3175" b="0"/>
            <wp:wrapNone/>
            <wp:docPr id="2121" name="Picture 3" descr="P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 name="Picture 3" descr="P18#y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59675" cy="12630150"/>
                    </a:xfrm>
                    <a:prstGeom prst="rect">
                      <a:avLst/>
                    </a:prstGeom>
                  </pic:spPr>
                </pic:pic>
              </a:graphicData>
            </a:graphic>
            <wp14:sizeRelH relativeFrom="margin">
              <wp14:pctWidth>0</wp14:pctWidth>
            </wp14:sizeRelH>
            <wp14:sizeRelV relativeFrom="margin">
              <wp14:pctHeight>0</wp14:pctHeight>
            </wp14:sizeRelV>
          </wp:anchor>
        </w:drawing>
      </w:r>
      <w:r w:rsidR="001F64AD" w:rsidRPr="189D3658">
        <w:br w:type="page"/>
      </w:r>
    </w:p>
    <w:p w14:paraId="1F801838" w14:textId="6690EFB7" w:rsidR="00631469" w:rsidRPr="00524825" w:rsidRDefault="00C21D47" w:rsidP="00524825">
      <w:pPr>
        <w:pStyle w:val="TOAHeading"/>
      </w:pPr>
      <w:r w:rsidRPr="00524825">
        <w:lastRenderedPageBreak/>
        <w:t>Contents</w:t>
      </w:r>
    </w:p>
    <w:p w14:paraId="0E7EC2A7" w14:textId="737A3EE2" w:rsidR="00C21D47" w:rsidRPr="002765D3" w:rsidRDefault="00917E16" w:rsidP="00314F78">
      <w:pPr>
        <w:pStyle w:val="GraphicLine"/>
        <w:rPr>
          <w:noProof w:val="0"/>
        </w:rPr>
      </w:pPr>
      <w:r w:rsidRPr="002765D3">
        <w:drawing>
          <wp:inline distT="0" distB="0" distL="0" distR="0" wp14:anchorId="7B457AAE" wp14:editId="1FA8F9CF">
            <wp:extent cx="7560000" cy="107955"/>
            <wp:effectExtent l="0" t="0" r="3175" b="6350"/>
            <wp:docPr id="2122" name="Picture 4" descr="P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Picture 4" descr="P20#yIS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254E2636" w14:textId="5FBC9B8C" w:rsidR="007B43B1" w:rsidRDefault="00C21D47">
      <w:pPr>
        <w:pStyle w:val="TOC1"/>
        <w:rPr>
          <w:rFonts w:asciiTheme="minorHAnsi" w:hAnsiTheme="minorHAnsi" w:cstheme="minorBidi"/>
          <w:color w:val="auto"/>
          <w:kern w:val="2"/>
          <w:sz w:val="24"/>
          <w:szCs w:val="24"/>
          <w:lang w:eastAsia="ja-JP"/>
          <w14:ligatures w14:val="standardContextual"/>
        </w:rPr>
      </w:pPr>
      <w:r w:rsidRPr="00D51A3F">
        <w:rPr>
          <w:rFonts w:cs="Arial"/>
          <w:noProof w:val="0"/>
          <w:sz w:val="22"/>
          <w:szCs w:val="22"/>
        </w:rPr>
        <w:fldChar w:fldCharType="begin"/>
      </w:r>
      <w:r w:rsidRPr="00D51A3F">
        <w:rPr>
          <w:rFonts w:cs="Arial"/>
          <w:noProof w:val="0"/>
          <w:sz w:val="22"/>
          <w:szCs w:val="22"/>
        </w:rPr>
        <w:instrText xml:space="preserve"> TOC \h \z \t "Heading 1,1" </w:instrText>
      </w:r>
      <w:r w:rsidRPr="00D51A3F">
        <w:rPr>
          <w:rFonts w:cs="Arial"/>
          <w:noProof w:val="0"/>
          <w:sz w:val="22"/>
          <w:szCs w:val="22"/>
        </w:rPr>
        <w:fldChar w:fldCharType="separate"/>
      </w:r>
      <w:hyperlink w:anchor="_Toc193889887" w:history="1">
        <w:r w:rsidR="007B43B1" w:rsidRPr="00C32935">
          <w:rPr>
            <w:rStyle w:val="Hyperlink"/>
          </w:rPr>
          <w:t>1.0</w:t>
        </w:r>
        <w:r w:rsidR="007B43B1">
          <w:rPr>
            <w:rFonts w:asciiTheme="minorHAnsi" w:hAnsiTheme="minorHAnsi" w:cstheme="minorBidi"/>
            <w:color w:val="auto"/>
            <w:kern w:val="2"/>
            <w:sz w:val="24"/>
            <w:szCs w:val="24"/>
            <w:lang w:eastAsia="ja-JP"/>
            <w14:ligatures w14:val="standardContextual"/>
          </w:rPr>
          <w:tab/>
        </w:r>
        <w:r w:rsidR="007B43B1" w:rsidRPr="00C32935">
          <w:rPr>
            <w:rStyle w:val="Hyperlink"/>
          </w:rPr>
          <w:t>Introduction to the National Aged Care Mandatory Quality Indicator Program</w:t>
        </w:r>
        <w:r w:rsidR="007B43B1">
          <w:rPr>
            <w:webHidden/>
          </w:rPr>
          <w:tab/>
        </w:r>
        <w:r w:rsidR="007B43B1">
          <w:rPr>
            <w:webHidden/>
          </w:rPr>
          <w:fldChar w:fldCharType="begin"/>
        </w:r>
        <w:r w:rsidR="007B43B1">
          <w:rPr>
            <w:webHidden/>
          </w:rPr>
          <w:instrText xml:space="preserve"> PAGEREF _Toc193889887 \h </w:instrText>
        </w:r>
        <w:r w:rsidR="007B43B1">
          <w:rPr>
            <w:webHidden/>
          </w:rPr>
        </w:r>
        <w:r w:rsidR="007B43B1">
          <w:rPr>
            <w:webHidden/>
          </w:rPr>
          <w:fldChar w:fldCharType="separate"/>
        </w:r>
        <w:r w:rsidR="003A30D7">
          <w:rPr>
            <w:webHidden/>
          </w:rPr>
          <w:t>3</w:t>
        </w:r>
        <w:r w:rsidR="007B43B1">
          <w:rPr>
            <w:webHidden/>
          </w:rPr>
          <w:fldChar w:fldCharType="end"/>
        </w:r>
      </w:hyperlink>
    </w:p>
    <w:p w14:paraId="421CB6D7" w14:textId="1107346F"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88" w:history="1">
        <w:r w:rsidRPr="00C32935">
          <w:rPr>
            <w:rStyle w:val="Hyperlink"/>
          </w:rPr>
          <w:t>2.0</w:t>
        </w:r>
        <w:r>
          <w:rPr>
            <w:rFonts w:asciiTheme="minorHAnsi" w:hAnsiTheme="minorHAnsi" w:cstheme="minorBidi"/>
            <w:color w:val="auto"/>
            <w:kern w:val="2"/>
            <w:sz w:val="24"/>
            <w:szCs w:val="24"/>
            <w:lang w:eastAsia="ja-JP"/>
            <w14:ligatures w14:val="standardContextual"/>
          </w:rPr>
          <w:tab/>
        </w:r>
        <w:r w:rsidRPr="00C32935">
          <w:rPr>
            <w:rStyle w:val="Hyperlink"/>
          </w:rPr>
          <w:t>Introduction to quality improvement</w:t>
        </w:r>
        <w:r>
          <w:rPr>
            <w:webHidden/>
          </w:rPr>
          <w:tab/>
        </w:r>
        <w:r>
          <w:rPr>
            <w:webHidden/>
          </w:rPr>
          <w:fldChar w:fldCharType="begin"/>
        </w:r>
        <w:r>
          <w:rPr>
            <w:webHidden/>
          </w:rPr>
          <w:instrText xml:space="preserve"> PAGEREF _Toc193889888 \h </w:instrText>
        </w:r>
        <w:r>
          <w:rPr>
            <w:webHidden/>
          </w:rPr>
        </w:r>
        <w:r>
          <w:rPr>
            <w:webHidden/>
          </w:rPr>
          <w:fldChar w:fldCharType="separate"/>
        </w:r>
        <w:r w:rsidR="003A30D7">
          <w:rPr>
            <w:webHidden/>
          </w:rPr>
          <w:t>7</w:t>
        </w:r>
        <w:r>
          <w:rPr>
            <w:webHidden/>
          </w:rPr>
          <w:fldChar w:fldCharType="end"/>
        </w:r>
      </w:hyperlink>
    </w:p>
    <w:p w14:paraId="629F2C0C" w14:textId="4BA85D34"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89" w:history="1">
        <w:r w:rsidRPr="00C32935">
          <w:rPr>
            <w:rStyle w:val="Hyperlink"/>
          </w:rPr>
          <w:t>3.0</w:t>
        </w:r>
        <w:r>
          <w:rPr>
            <w:rFonts w:asciiTheme="minorHAnsi" w:hAnsiTheme="minorHAnsi" w:cstheme="minorBidi"/>
            <w:color w:val="auto"/>
            <w:kern w:val="2"/>
            <w:sz w:val="24"/>
            <w:szCs w:val="24"/>
            <w:lang w:eastAsia="ja-JP"/>
            <w14:ligatures w14:val="standardContextual"/>
          </w:rPr>
          <w:tab/>
        </w:r>
        <w:r w:rsidRPr="00C32935">
          <w:rPr>
            <w:rStyle w:val="Hyperlink"/>
          </w:rPr>
          <w:t>Pressure injuries</w:t>
        </w:r>
        <w:r>
          <w:rPr>
            <w:webHidden/>
          </w:rPr>
          <w:tab/>
        </w:r>
        <w:r>
          <w:rPr>
            <w:webHidden/>
          </w:rPr>
          <w:fldChar w:fldCharType="begin"/>
        </w:r>
        <w:r>
          <w:rPr>
            <w:webHidden/>
          </w:rPr>
          <w:instrText xml:space="preserve"> PAGEREF _Toc193889889 \h </w:instrText>
        </w:r>
        <w:r>
          <w:rPr>
            <w:webHidden/>
          </w:rPr>
        </w:r>
        <w:r>
          <w:rPr>
            <w:webHidden/>
          </w:rPr>
          <w:fldChar w:fldCharType="separate"/>
        </w:r>
        <w:r w:rsidR="003A30D7">
          <w:rPr>
            <w:webHidden/>
          </w:rPr>
          <w:t>12</w:t>
        </w:r>
        <w:r>
          <w:rPr>
            <w:webHidden/>
          </w:rPr>
          <w:fldChar w:fldCharType="end"/>
        </w:r>
      </w:hyperlink>
    </w:p>
    <w:p w14:paraId="0F69AF50" w14:textId="1B0537A6"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0" w:history="1">
        <w:r w:rsidRPr="00C32935">
          <w:rPr>
            <w:rStyle w:val="Hyperlink"/>
          </w:rPr>
          <w:t>4.0</w:t>
        </w:r>
        <w:r>
          <w:rPr>
            <w:rFonts w:asciiTheme="minorHAnsi" w:hAnsiTheme="minorHAnsi" w:cstheme="minorBidi"/>
            <w:color w:val="auto"/>
            <w:kern w:val="2"/>
            <w:sz w:val="24"/>
            <w:szCs w:val="24"/>
            <w:lang w:eastAsia="ja-JP"/>
            <w14:ligatures w14:val="standardContextual"/>
          </w:rPr>
          <w:tab/>
        </w:r>
        <w:r w:rsidRPr="00C32935">
          <w:rPr>
            <w:rStyle w:val="Hyperlink"/>
          </w:rPr>
          <w:t>Restrictive Practices (formerly physical restraint)</w:t>
        </w:r>
        <w:r>
          <w:rPr>
            <w:webHidden/>
          </w:rPr>
          <w:tab/>
        </w:r>
        <w:r>
          <w:rPr>
            <w:webHidden/>
          </w:rPr>
          <w:fldChar w:fldCharType="begin"/>
        </w:r>
        <w:r>
          <w:rPr>
            <w:webHidden/>
          </w:rPr>
          <w:instrText xml:space="preserve"> PAGEREF _Toc193889890 \h </w:instrText>
        </w:r>
        <w:r>
          <w:rPr>
            <w:webHidden/>
          </w:rPr>
        </w:r>
        <w:r>
          <w:rPr>
            <w:webHidden/>
          </w:rPr>
          <w:fldChar w:fldCharType="separate"/>
        </w:r>
        <w:r w:rsidR="003A30D7">
          <w:rPr>
            <w:webHidden/>
          </w:rPr>
          <w:t>19</w:t>
        </w:r>
        <w:r>
          <w:rPr>
            <w:webHidden/>
          </w:rPr>
          <w:fldChar w:fldCharType="end"/>
        </w:r>
      </w:hyperlink>
    </w:p>
    <w:p w14:paraId="64775991" w14:textId="26CEEF63"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1" w:history="1">
        <w:r w:rsidRPr="00C32935">
          <w:rPr>
            <w:rStyle w:val="Hyperlink"/>
          </w:rPr>
          <w:t>5.0</w:t>
        </w:r>
        <w:r>
          <w:rPr>
            <w:rFonts w:asciiTheme="minorHAnsi" w:hAnsiTheme="minorHAnsi" w:cstheme="minorBidi"/>
            <w:color w:val="auto"/>
            <w:kern w:val="2"/>
            <w:sz w:val="24"/>
            <w:szCs w:val="24"/>
            <w:lang w:eastAsia="ja-JP"/>
            <w14:ligatures w14:val="standardContextual"/>
          </w:rPr>
          <w:tab/>
        </w:r>
        <w:r w:rsidRPr="00C32935">
          <w:rPr>
            <w:rStyle w:val="Hyperlink"/>
          </w:rPr>
          <w:t>Unplanned weight loss</w:t>
        </w:r>
        <w:r>
          <w:rPr>
            <w:webHidden/>
          </w:rPr>
          <w:tab/>
        </w:r>
        <w:r>
          <w:rPr>
            <w:webHidden/>
          </w:rPr>
          <w:fldChar w:fldCharType="begin"/>
        </w:r>
        <w:r>
          <w:rPr>
            <w:webHidden/>
          </w:rPr>
          <w:instrText xml:space="preserve"> PAGEREF _Toc193889891 \h </w:instrText>
        </w:r>
        <w:r>
          <w:rPr>
            <w:webHidden/>
          </w:rPr>
        </w:r>
        <w:r>
          <w:rPr>
            <w:webHidden/>
          </w:rPr>
          <w:fldChar w:fldCharType="separate"/>
        </w:r>
        <w:r w:rsidR="003A30D7">
          <w:rPr>
            <w:webHidden/>
          </w:rPr>
          <w:t>25</w:t>
        </w:r>
        <w:r>
          <w:rPr>
            <w:webHidden/>
          </w:rPr>
          <w:fldChar w:fldCharType="end"/>
        </w:r>
      </w:hyperlink>
    </w:p>
    <w:p w14:paraId="51B3F0C8" w14:textId="1FA55012"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2" w:history="1">
        <w:r w:rsidRPr="00C32935">
          <w:rPr>
            <w:rStyle w:val="Hyperlink"/>
          </w:rPr>
          <w:t>6.0</w:t>
        </w:r>
        <w:r>
          <w:rPr>
            <w:rFonts w:asciiTheme="minorHAnsi" w:hAnsiTheme="minorHAnsi" w:cstheme="minorBidi"/>
            <w:color w:val="auto"/>
            <w:kern w:val="2"/>
            <w:sz w:val="24"/>
            <w:szCs w:val="24"/>
            <w:lang w:eastAsia="ja-JP"/>
            <w14:ligatures w14:val="standardContextual"/>
          </w:rPr>
          <w:tab/>
        </w:r>
        <w:r w:rsidRPr="00C32935">
          <w:rPr>
            <w:rStyle w:val="Hyperlink"/>
          </w:rPr>
          <w:t>Falls and major injury</w:t>
        </w:r>
        <w:r>
          <w:rPr>
            <w:webHidden/>
          </w:rPr>
          <w:tab/>
        </w:r>
        <w:r>
          <w:rPr>
            <w:webHidden/>
          </w:rPr>
          <w:fldChar w:fldCharType="begin"/>
        </w:r>
        <w:r>
          <w:rPr>
            <w:webHidden/>
          </w:rPr>
          <w:instrText xml:space="preserve"> PAGEREF _Toc193889892 \h </w:instrText>
        </w:r>
        <w:r>
          <w:rPr>
            <w:webHidden/>
          </w:rPr>
        </w:r>
        <w:r>
          <w:rPr>
            <w:webHidden/>
          </w:rPr>
          <w:fldChar w:fldCharType="separate"/>
        </w:r>
        <w:r w:rsidR="003A30D7">
          <w:rPr>
            <w:webHidden/>
          </w:rPr>
          <w:t>33</w:t>
        </w:r>
        <w:r>
          <w:rPr>
            <w:webHidden/>
          </w:rPr>
          <w:fldChar w:fldCharType="end"/>
        </w:r>
      </w:hyperlink>
    </w:p>
    <w:p w14:paraId="7F291214" w14:textId="512620C6"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3" w:history="1">
        <w:r w:rsidRPr="00C32935">
          <w:rPr>
            <w:rStyle w:val="Hyperlink"/>
          </w:rPr>
          <w:t>7.0</w:t>
        </w:r>
        <w:r>
          <w:rPr>
            <w:rFonts w:asciiTheme="minorHAnsi" w:hAnsiTheme="minorHAnsi" w:cstheme="minorBidi"/>
            <w:color w:val="auto"/>
            <w:kern w:val="2"/>
            <w:sz w:val="24"/>
            <w:szCs w:val="24"/>
            <w:lang w:eastAsia="ja-JP"/>
            <w14:ligatures w14:val="standardContextual"/>
          </w:rPr>
          <w:tab/>
        </w:r>
        <w:r w:rsidRPr="00C32935">
          <w:rPr>
            <w:rStyle w:val="Hyperlink"/>
          </w:rPr>
          <w:t>Medication management — polypharmacy</w:t>
        </w:r>
        <w:r>
          <w:rPr>
            <w:webHidden/>
          </w:rPr>
          <w:tab/>
        </w:r>
        <w:r>
          <w:rPr>
            <w:webHidden/>
          </w:rPr>
          <w:fldChar w:fldCharType="begin"/>
        </w:r>
        <w:r>
          <w:rPr>
            <w:webHidden/>
          </w:rPr>
          <w:instrText xml:space="preserve"> PAGEREF _Toc193889893 \h </w:instrText>
        </w:r>
        <w:r>
          <w:rPr>
            <w:webHidden/>
          </w:rPr>
        </w:r>
        <w:r>
          <w:rPr>
            <w:webHidden/>
          </w:rPr>
          <w:fldChar w:fldCharType="separate"/>
        </w:r>
        <w:r w:rsidR="003A30D7">
          <w:rPr>
            <w:webHidden/>
          </w:rPr>
          <w:t>41</w:t>
        </w:r>
        <w:r>
          <w:rPr>
            <w:webHidden/>
          </w:rPr>
          <w:fldChar w:fldCharType="end"/>
        </w:r>
      </w:hyperlink>
    </w:p>
    <w:p w14:paraId="65A778E8" w14:textId="08A168F2"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4" w:history="1">
        <w:r w:rsidRPr="00C32935">
          <w:rPr>
            <w:rStyle w:val="Hyperlink"/>
          </w:rPr>
          <w:t>8.0</w:t>
        </w:r>
        <w:r>
          <w:rPr>
            <w:rFonts w:asciiTheme="minorHAnsi" w:hAnsiTheme="minorHAnsi" w:cstheme="minorBidi"/>
            <w:color w:val="auto"/>
            <w:kern w:val="2"/>
            <w:sz w:val="24"/>
            <w:szCs w:val="24"/>
            <w:lang w:eastAsia="ja-JP"/>
            <w14:ligatures w14:val="standardContextual"/>
          </w:rPr>
          <w:tab/>
        </w:r>
        <w:r w:rsidRPr="00C32935">
          <w:rPr>
            <w:rStyle w:val="Hyperlink"/>
          </w:rPr>
          <w:t>Medication management — antipsychotics</w:t>
        </w:r>
        <w:r>
          <w:rPr>
            <w:webHidden/>
          </w:rPr>
          <w:tab/>
        </w:r>
        <w:r>
          <w:rPr>
            <w:webHidden/>
          </w:rPr>
          <w:fldChar w:fldCharType="begin"/>
        </w:r>
        <w:r>
          <w:rPr>
            <w:webHidden/>
          </w:rPr>
          <w:instrText xml:space="preserve"> PAGEREF _Toc193889894 \h </w:instrText>
        </w:r>
        <w:r>
          <w:rPr>
            <w:webHidden/>
          </w:rPr>
        </w:r>
        <w:r>
          <w:rPr>
            <w:webHidden/>
          </w:rPr>
          <w:fldChar w:fldCharType="separate"/>
        </w:r>
        <w:r w:rsidR="003A30D7">
          <w:rPr>
            <w:webHidden/>
          </w:rPr>
          <w:t>49</w:t>
        </w:r>
        <w:r>
          <w:rPr>
            <w:webHidden/>
          </w:rPr>
          <w:fldChar w:fldCharType="end"/>
        </w:r>
      </w:hyperlink>
    </w:p>
    <w:p w14:paraId="64D64EFF" w14:textId="4906B184"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5" w:history="1">
        <w:r w:rsidRPr="00C32935">
          <w:rPr>
            <w:rStyle w:val="Hyperlink"/>
          </w:rPr>
          <w:t>9.0</w:t>
        </w:r>
        <w:r>
          <w:rPr>
            <w:rFonts w:asciiTheme="minorHAnsi" w:hAnsiTheme="minorHAnsi" w:cstheme="minorBidi"/>
            <w:color w:val="auto"/>
            <w:kern w:val="2"/>
            <w:sz w:val="24"/>
            <w:szCs w:val="24"/>
            <w:lang w:eastAsia="ja-JP"/>
            <w14:ligatures w14:val="standardContextual"/>
          </w:rPr>
          <w:tab/>
        </w:r>
        <w:r w:rsidRPr="00C32935">
          <w:rPr>
            <w:rStyle w:val="Hyperlink"/>
          </w:rPr>
          <w:t>Activities of daily living</w:t>
        </w:r>
        <w:r>
          <w:rPr>
            <w:webHidden/>
          </w:rPr>
          <w:tab/>
        </w:r>
        <w:r>
          <w:rPr>
            <w:webHidden/>
          </w:rPr>
          <w:fldChar w:fldCharType="begin"/>
        </w:r>
        <w:r>
          <w:rPr>
            <w:webHidden/>
          </w:rPr>
          <w:instrText xml:space="preserve"> PAGEREF _Toc193889895 \h </w:instrText>
        </w:r>
        <w:r>
          <w:rPr>
            <w:webHidden/>
          </w:rPr>
        </w:r>
        <w:r>
          <w:rPr>
            <w:webHidden/>
          </w:rPr>
          <w:fldChar w:fldCharType="separate"/>
        </w:r>
        <w:r w:rsidR="003A30D7">
          <w:rPr>
            <w:webHidden/>
          </w:rPr>
          <w:t>57</w:t>
        </w:r>
        <w:r>
          <w:rPr>
            <w:webHidden/>
          </w:rPr>
          <w:fldChar w:fldCharType="end"/>
        </w:r>
      </w:hyperlink>
    </w:p>
    <w:p w14:paraId="0CA16A00" w14:textId="2640D7BE"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6" w:history="1">
        <w:r w:rsidRPr="00C32935">
          <w:rPr>
            <w:rStyle w:val="Hyperlink"/>
          </w:rPr>
          <w:t>10.0</w:t>
        </w:r>
        <w:r>
          <w:rPr>
            <w:rFonts w:asciiTheme="minorHAnsi" w:hAnsiTheme="minorHAnsi" w:cstheme="minorBidi"/>
            <w:color w:val="auto"/>
            <w:kern w:val="2"/>
            <w:sz w:val="24"/>
            <w:szCs w:val="24"/>
            <w:lang w:eastAsia="ja-JP"/>
            <w14:ligatures w14:val="standardContextual"/>
          </w:rPr>
          <w:tab/>
        </w:r>
        <w:r w:rsidRPr="00C32935">
          <w:rPr>
            <w:rStyle w:val="Hyperlink"/>
          </w:rPr>
          <w:t>Incontinence care</w:t>
        </w:r>
        <w:r>
          <w:rPr>
            <w:webHidden/>
          </w:rPr>
          <w:tab/>
        </w:r>
        <w:r>
          <w:rPr>
            <w:webHidden/>
          </w:rPr>
          <w:fldChar w:fldCharType="begin"/>
        </w:r>
        <w:r>
          <w:rPr>
            <w:webHidden/>
          </w:rPr>
          <w:instrText xml:space="preserve"> PAGEREF _Toc193889896 \h </w:instrText>
        </w:r>
        <w:r>
          <w:rPr>
            <w:webHidden/>
          </w:rPr>
        </w:r>
        <w:r>
          <w:rPr>
            <w:webHidden/>
          </w:rPr>
          <w:fldChar w:fldCharType="separate"/>
        </w:r>
        <w:r w:rsidR="003A30D7">
          <w:rPr>
            <w:webHidden/>
          </w:rPr>
          <w:t>67</w:t>
        </w:r>
        <w:r>
          <w:rPr>
            <w:webHidden/>
          </w:rPr>
          <w:fldChar w:fldCharType="end"/>
        </w:r>
      </w:hyperlink>
    </w:p>
    <w:p w14:paraId="276C41EA" w14:textId="6C0088F4"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7" w:history="1">
        <w:r w:rsidRPr="00C32935">
          <w:rPr>
            <w:rStyle w:val="Hyperlink"/>
          </w:rPr>
          <w:t>11.0</w:t>
        </w:r>
        <w:r>
          <w:rPr>
            <w:rFonts w:asciiTheme="minorHAnsi" w:hAnsiTheme="minorHAnsi" w:cstheme="minorBidi"/>
            <w:color w:val="auto"/>
            <w:kern w:val="2"/>
            <w:sz w:val="24"/>
            <w:szCs w:val="24"/>
            <w:lang w:eastAsia="ja-JP"/>
            <w14:ligatures w14:val="standardContextual"/>
          </w:rPr>
          <w:tab/>
        </w:r>
        <w:r w:rsidRPr="00C32935">
          <w:rPr>
            <w:rStyle w:val="Hyperlink"/>
          </w:rPr>
          <w:t>Hospitalisation</w:t>
        </w:r>
        <w:r>
          <w:rPr>
            <w:webHidden/>
          </w:rPr>
          <w:tab/>
        </w:r>
        <w:r>
          <w:rPr>
            <w:webHidden/>
          </w:rPr>
          <w:fldChar w:fldCharType="begin"/>
        </w:r>
        <w:r>
          <w:rPr>
            <w:webHidden/>
          </w:rPr>
          <w:instrText xml:space="preserve"> PAGEREF _Toc193889897 \h </w:instrText>
        </w:r>
        <w:r>
          <w:rPr>
            <w:webHidden/>
          </w:rPr>
        </w:r>
        <w:r>
          <w:rPr>
            <w:webHidden/>
          </w:rPr>
          <w:fldChar w:fldCharType="separate"/>
        </w:r>
        <w:r w:rsidR="003A30D7">
          <w:rPr>
            <w:webHidden/>
          </w:rPr>
          <w:t>76</w:t>
        </w:r>
        <w:r>
          <w:rPr>
            <w:webHidden/>
          </w:rPr>
          <w:fldChar w:fldCharType="end"/>
        </w:r>
      </w:hyperlink>
    </w:p>
    <w:p w14:paraId="7F298585" w14:textId="005008FF"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8" w:history="1">
        <w:r w:rsidRPr="00C32935">
          <w:rPr>
            <w:rStyle w:val="Hyperlink"/>
          </w:rPr>
          <w:t>12.0</w:t>
        </w:r>
        <w:r>
          <w:rPr>
            <w:rFonts w:asciiTheme="minorHAnsi" w:hAnsiTheme="minorHAnsi" w:cstheme="minorBidi"/>
            <w:color w:val="auto"/>
            <w:kern w:val="2"/>
            <w:sz w:val="24"/>
            <w:szCs w:val="24"/>
            <w:lang w:eastAsia="ja-JP"/>
            <w14:ligatures w14:val="standardContextual"/>
          </w:rPr>
          <w:tab/>
        </w:r>
        <w:r w:rsidRPr="00C32935">
          <w:rPr>
            <w:rStyle w:val="Hyperlink"/>
          </w:rPr>
          <w:t>Workforce</w:t>
        </w:r>
        <w:r>
          <w:rPr>
            <w:webHidden/>
          </w:rPr>
          <w:tab/>
        </w:r>
        <w:r>
          <w:rPr>
            <w:webHidden/>
          </w:rPr>
          <w:fldChar w:fldCharType="begin"/>
        </w:r>
        <w:r>
          <w:rPr>
            <w:webHidden/>
          </w:rPr>
          <w:instrText xml:space="preserve"> PAGEREF _Toc193889898 \h </w:instrText>
        </w:r>
        <w:r>
          <w:rPr>
            <w:webHidden/>
          </w:rPr>
        </w:r>
        <w:r>
          <w:rPr>
            <w:webHidden/>
          </w:rPr>
          <w:fldChar w:fldCharType="separate"/>
        </w:r>
        <w:r w:rsidR="003A30D7">
          <w:rPr>
            <w:webHidden/>
          </w:rPr>
          <w:t>83</w:t>
        </w:r>
        <w:r>
          <w:rPr>
            <w:webHidden/>
          </w:rPr>
          <w:fldChar w:fldCharType="end"/>
        </w:r>
      </w:hyperlink>
    </w:p>
    <w:p w14:paraId="76F44583" w14:textId="56FC405D"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899" w:history="1">
        <w:r w:rsidRPr="00C32935">
          <w:rPr>
            <w:rStyle w:val="Hyperlink"/>
          </w:rPr>
          <w:t>13.0</w:t>
        </w:r>
        <w:r>
          <w:rPr>
            <w:rFonts w:asciiTheme="minorHAnsi" w:hAnsiTheme="minorHAnsi" w:cstheme="minorBidi"/>
            <w:color w:val="auto"/>
            <w:kern w:val="2"/>
            <w:sz w:val="24"/>
            <w:szCs w:val="24"/>
            <w:lang w:eastAsia="ja-JP"/>
            <w14:ligatures w14:val="standardContextual"/>
          </w:rPr>
          <w:tab/>
        </w:r>
        <w:r w:rsidRPr="00C32935">
          <w:rPr>
            <w:rStyle w:val="Hyperlink"/>
          </w:rPr>
          <w:t>Consumer experience</w:t>
        </w:r>
        <w:r>
          <w:rPr>
            <w:webHidden/>
          </w:rPr>
          <w:tab/>
        </w:r>
        <w:r>
          <w:rPr>
            <w:webHidden/>
          </w:rPr>
          <w:fldChar w:fldCharType="begin"/>
        </w:r>
        <w:r>
          <w:rPr>
            <w:webHidden/>
          </w:rPr>
          <w:instrText xml:space="preserve"> PAGEREF _Toc193889899 \h </w:instrText>
        </w:r>
        <w:r>
          <w:rPr>
            <w:webHidden/>
          </w:rPr>
        </w:r>
        <w:r>
          <w:rPr>
            <w:webHidden/>
          </w:rPr>
          <w:fldChar w:fldCharType="separate"/>
        </w:r>
        <w:r w:rsidR="003A30D7">
          <w:rPr>
            <w:webHidden/>
          </w:rPr>
          <w:t>89</w:t>
        </w:r>
        <w:r>
          <w:rPr>
            <w:webHidden/>
          </w:rPr>
          <w:fldChar w:fldCharType="end"/>
        </w:r>
      </w:hyperlink>
    </w:p>
    <w:p w14:paraId="141B98B8" w14:textId="37A9BA54"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0" w:history="1">
        <w:r w:rsidRPr="00C32935">
          <w:rPr>
            <w:rStyle w:val="Hyperlink"/>
          </w:rPr>
          <w:t>14.0</w:t>
        </w:r>
        <w:r>
          <w:rPr>
            <w:rFonts w:asciiTheme="minorHAnsi" w:hAnsiTheme="minorHAnsi" w:cstheme="minorBidi"/>
            <w:color w:val="auto"/>
            <w:kern w:val="2"/>
            <w:sz w:val="24"/>
            <w:szCs w:val="24"/>
            <w:lang w:eastAsia="ja-JP"/>
            <w14:ligatures w14:val="standardContextual"/>
          </w:rPr>
          <w:tab/>
        </w:r>
        <w:r w:rsidRPr="00C32935">
          <w:rPr>
            <w:rStyle w:val="Hyperlink"/>
          </w:rPr>
          <w:t>Quality of life</w:t>
        </w:r>
        <w:r>
          <w:rPr>
            <w:webHidden/>
          </w:rPr>
          <w:tab/>
        </w:r>
        <w:r>
          <w:rPr>
            <w:webHidden/>
          </w:rPr>
          <w:fldChar w:fldCharType="begin"/>
        </w:r>
        <w:r>
          <w:rPr>
            <w:webHidden/>
          </w:rPr>
          <w:instrText xml:space="preserve"> PAGEREF _Toc193889900 \h </w:instrText>
        </w:r>
        <w:r>
          <w:rPr>
            <w:webHidden/>
          </w:rPr>
        </w:r>
        <w:r>
          <w:rPr>
            <w:webHidden/>
          </w:rPr>
          <w:fldChar w:fldCharType="separate"/>
        </w:r>
        <w:r w:rsidR="003A30D7">
          <w:rPr>
            <w:webHidden/>
          </w:rPr>
          <w:t>96</w:t>
        </w:r>
        <w:r>
          <w:rPr>
            <w:webHidden/>
          </w:rPr>
          <w:fldChar w:fldCharType="end"/>
        </w:r>
      </w:hyperlink>
    </w:p>
    <w:p w14:paraId="01BE9481" w14:textId="00E0E201"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1" w:history="1">
        <w:r w:rsidRPr="00C32935">
          <w:rPr>
            <w:rStyle w:val="Hyperlink"/>
          </w:rPr>
          <w:t>15.0</w:t>
        </w:r>
        <w:r>
          <w:rPr>
            <w:rFonts w:asciiTheme="minorHAnsi" w:hAnsiTheme="minorHAnsi" w:cstheme="minorBidi"/>
            <w:color w:val="auto"/>
            <w:kern w:val="2"/>
            <w:sz w:val="24"/>
            <w:szCs w:val="24"/>
            <w:lang w:eastAsia="ja-JP"/>
            <w14:ligatures w14:val="standardContextual"/>
          </w:rPr>
          <w:tab/>
        </w:r>
        <w:r w:rsidRPr="00C32935">
          <w:rPr>
            <w:rStyle w:val="Hyperlink"/>
          </w:rPr>
          <w:t>Enrolled Nursing</w:t>
        </w:r>
        <w:r>
          <w:rPr>
            <w:webHidden/>
          </w:rPr>
          <w:tab/>
        </w:r>
        <w:r>
          <w:rPr>
            <w:webHidden/>
          </w:rPr>
          <w:fldChar w:fldCharType="begin"/>
        </w:r>
        <w:r>
          <w:rPr>
            <w:webHidden/>
          </w:rPr>
          <w:instrText xml:space="preserve"> PAGEREF _Toc193889901 \h </w:instrText>
        </w:r>
        <w:r>
          <w:rPr>
            <w:webHidden/>
          </w:rPr>
        </w:r>
        <w:r>
          <w:rPr>
            <w:webHidden/>
          </w:rPr>
          <w:fldChar w:fldCharType="separate"/>
        </w:r>
        <w:r w:rsidR="003A30D7">
          <w:rPr>
            <w:webHidden/>
          </w:rPr>
          <w:t>105</w:t>
        </w:r>
        <w:r>
          <w:rPr>
            <w:webHidden/>
          </w:rPr>
          <w:fldChar w:fldCharType="end"/>
        </w:r>
      </w:hyperlink>
    </w:p>
    <w:p w14:paraId="0753BB2F" w14:textId="2C70B12B"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2" w:history="1">
        <w:r w:rsidRPr="00C32935">
          <w:rPr>
            <w:rStyle w:val="Hyperlink"/>
          </w:rPr>
          <w:t>16.0</w:t>
        </w:r>
        <w:r>
          <w:rPr>
            <w:rFonts w:asciiTheme="minorHAnsi" w:hAnsiTheme="minorHAnsi" w:cstheme="minorBidi"/>
            <w:color w:val="auto"/>
            <w:kern w:val="2"/>
            <w:sz w:val="24"/>
            <w:szCs w:val="24"/>
            <w:lang w:eastAsia="ja-JP"/>
            <w14:ligatures w14:val="standardContextual"/>
          </w:rPr>
          <w:tab/>
        </w:r>
        <w:r w:rsidRPr="00C32935">
          <w:rPr>
            <w:rStyle w:val="Hyperlink"/>
          </w:rPr>
          <w:t>Allied Health</w:t>
        </w:r>
        <w:r>
          <w:rPr>
            <w:webHidden/>
          </w:rPr>
          <w:tab/>
        </w:r>
        <w:r>
          <w:rPr>
            <w:webHidden/>
          </w:rPr>
          <w:fldChar w:fldCharType="begin"/>
        </w:r>
        <w:r>
          <w:rPr>
            <w:webHidden/>
          </w:rPr>
          <w:instrText xml:space="preserve"> PAGEREF _Toc193889902 \h </w:instrText>
        </w:r>
        <w:r>
          <w:rPr>
            <w:webHidden/>
          </w:rPr>
        </w:r>
        <w:r>
          <w:rPr>
            <w:webHidden/>
          </w:rPr>
          <w:fldChar w:fldCharType="separate"/>
        </w:r>
        <w:r w:rsidR="003A30D7">
          <w:rPr>
            <w:webHidden/>
          </w:rPr>
          <w:t>109</w:t>
        </w:r>
        <w:r>
          <w:rPr>
            <w:webHidden/>
          </w:rPr>
          <w:fldChar w:fldCharType="end"/>
        </w:r>
      </w:hyperlink>
    </w:p>
    <w:p w14:paraId="3240B4E5" w14:textId="722BD267"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3" w:history="1">
        <w:r w:rsidRPr="00C32935">
          <w:rPr>
            <w:rStyle w:val="Hyperlink"/>
          </w:rPr>
          <w:t>17.0</w:t>
        </w:r>
        <w:r>
          <w:rPr>
            <w:rFonts w:asciiTheme="minorHAnsi" w:hAnsiTheme="minorHAnsi" w:cstheme="minorBidi"/>
            <w:color w:val="auto"/>
            <w:kern w:val="2"/>
            <w:sz w:val="24"/>
            <w:szCs w:val="24"/>
            <w:lang w:eastAsia="ja-JP"/>
            <w14:ligatures w14:val="standardContextual"/>
          </w:rPr>
          <w:tab/>
        </w:r>
        <w:r w:rsidRPr="00C32935">
          <w:rPr>
            <w:rStyle w:val="Hyperlink"/>
          </w:rPr>
          <w:t>Lifestyle Officer</w:t>
        </w:r>
        <w:r>
          <w:rPr>
            <w:webHidden/>
          </w:rPr>
          <w:tab/>
        </w:r>
        <w:r>
          <w:rPr>
            <w:webHidden/>
          </w:rPr>
          <w:fldChar w:fldCharType="begin"/>
        </w:r>
        <w:r>
          <w:rPr>
            <w:webHidden/>
          </w:rPr>
          <w:instrText xml:space="preserve"> PAGEREF _Toc193889903 \h </w:instrText>
        </w:r>
        <w:r>
          <w:rPr>
            <w:webHidden/>
          </w:rPr>
        </w:r>
        <w:r>
          <w:rPr>
            <w:webHidden/>
          </w:rPr>
          <w:fldChar w:fldCharType="separate"/>
        </w:r>
        <w:r w:rsidR="003A30D7">
          <w:rPr>
            <w:webHidden/>
          </w:rPr>
          <w:t>115</w:t>
        </w:r>
        <w:r>
          <w:rPr>
            <w:webHidden/>
          </w:rPr>
          <w:fldChar w:fldCharType="end"/>
        </w:r>
      </w:hyperlink>
    </w:p>
    <w:p w14:paraId="77689636" w14:textId="56627D2B" w:rsidR="007B43B1" w:rsidRDefault="007B43B1">
      <w:pPr>
        <w:pStyle w:val="TOC1"/>
        <w:rPr>
          <w:rFonts w:asciiTheme="minorHAnsi" w:hAnsiTheme="minorHAnsi" w:cstheme="minorBidi"/>
          <w:color w:val="auto"/>
          <w:kern w:val="2"/>
          <w:sz w:val="24"/>
          <w:szCs w:val="24"/>
          <w:lang w:eastAsia="ja-JP"/>
          <w14:ligatures w14:val="standardContextual"/>
        </w:rPr>
      </w:pPr>
      <w:hyperlink w:anchor="_Toc193889904" w:history="1">
        <w:r w:rsidRPr="00C32935">
          <w:rPr>
            <w:rStyle w:val="Hyperlink"/>
          </w:rPr>
          <w:t>Endnotes</w:t>
        </w:r>
        <w:r>
          <w:rPr>
            <w:webHidden/>
          </w:rPr>
          <w:tab/>
        </w:r>
        <w:r>
          <w:rPr>
            <w:webHidden/>
          </w:rPr>
          <w:fldChar w:fldCharType="begin"/>
        </w:r>
        <w:r>
          <w:rPr>
            <w:webHidden/>
          </w:rPr>
          <w:instrText xml:space="preserve"> PAGEREF _Toc193889904 \h </w:instrText>
        </w:r>
        <w:r>
          <w:rPr>
            <w:webHidden/>
          </w:rPr>
        </w:r>
        <w:r>
          <w:rPr>
            <w:webHidden/>
          </w:rPr>
          <w:fldChar w:fldCharType="separate"/>
        </w:r>
        <w:r w:rsidR="003A30D7">
          <w:rPr>
            <w:webHidden/>
          </w:rPr>
          <w:t>120</w:t>
        </w:r>
        <w:r>
          <w:rPr>
            <w:webHidden/>
          </w:rPr>
          <w:fldChar w:fldCharType="end"/>
        </w:r>
      </w:hyperlink>
    </w:p>
    <w:p w14:paraId="2C66903D" w14:textId="02578F31" w:rsidR="00C21D47" w:rsidRPr="002765D3" w:rsidRDefault="00C21D47" w:rsidP="00314F78">
      <w:r w:rsidRPr="00D51A3F">
        <w:rPr>
          <w:rFonts w:cs="Arial"/>
          <w:szCs w:val="22"/>
        </w:rPr>
        <w:fldChar w:fldCharType="end"/>
      </w:r>
      <w:r w:rsidRPr="002765D3">
        <w:br w:type="page"/>
      </w:r>
    </w:p>
    <w:p w14:paraId="2DC574C8" w14:textId="0E8FB359" w:rsidR="00601F29" w:rsidRPr="0059348C" w:rsidRDefault="009238F5" w:rsidP="00834CC5">
      <w:pPr>
        <w:pStyle w:val="Heading1"/>
      </w:pPr>
      <w:bookmarkStart w:id="0" w:name="_Toc193889887"/>
      <w:r w:rsidRPr="00AC7E48">
        <w:rPr>
          <w:noProof/>
        </w:rPr>
        <w:lastRenderedPageBreak/>
        <w:drawing>
          <wp:anchor distT="0" distB="0" distL="114300" distR="114300" simplePos="0" relativeHeight="251658244" behindDoc="0" locked="0" layoutInCell="1" allowOverlap="1" wp14:anchorId="7A8982BF" wp14:editId="3500E08E">
            <wp:simplePos x="0" y="0"/>
            <wp:positionH relativeFrom="page">
              <wp:align>left</wp:align>
            </wp:positionH>
            <wp:positionV relativeFrom="paragraph">
              <wp:posOffset>767715</wp:posOffset>
            </wp:positionV>
            <wp:extent cx="7572375" cy="106245"/>
            <wp:effectExtent l="0" t="0" r="0" b="8255"/>
            <wp:wrapThrough wrapText="bothSides">
              <wp:wrapPolygon edited="0">
                <wp:start x="0" y="0"/>
                <wp:lineTo x="0" y="19401"/>
                <wp:lineTo x="21518" y="19401"/>
                <wp:lineTo x="21518" y="0"/>
                <wp:lineTo x="0" y="0"/>
              </wp:wrapPolygon>
            </wp:wrapThrough>
            <wp:docPr id="1604722582" name="Picture 10" descr="P40L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22582" name="Picture 10" descr="P40L2#y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72375" cy="106245"/>
                    </a:xfrm>
                    <a:prstGeom prst="rect">
                      <a:avLst/>
                    </a:prstGeom>
                  </pic:spPr>
                </pic:pic>
              </a:graphicData>
            </a:graphic>
            <wp14:sizeRelH relativeFrom="page">
              <wp14:pctWidth>0</wp14:pctWidth>
            </wp14:sizeRelH>
            <wp14:sizeRelV relativeFrom="page">
              <wp14:pctHeight>0</wp14:pctHeight>
            </wp14:sizeRelV>
          </wp:anchor>
        </w:drawing>
      </w:r>
      <w:r w:rsidR="00F4086F" w:rsidRPr="00AC7E48">
        <w:t xml:space="preserve">Introduction to the National Aged Care </w:t>
      </w:r>
      <w:r w:rsidR="00C21D47" w:rsidRPr="00AC7E48">
        <w:t>Mandatory Quality Indicator Program</w:t>
      </w:r>
      <w:bookmarkEnd w:id="0"/>
    </w:p>
    <w:p w14:paraId="577231A4" w14:textId="5431D856" w:rsidR="00C21D47" w:rsidRPr="00910CAD" w:rsidRDefault="06F13634" w:rsidP="00314F78">
      <w:r w:rsidRPr="00910CAD">
        <w:t xml:space="preserve">Participation in the National Aged Care Mandatory Quality Indicator Program (QI Program) has been a requirement for all approved providers of residential care services since 1 July 2019. The QI Program requires quarterly reporting against </w:t>
      </w:r>
      <w:r w:rsidR="588C9D78" w:rsidRPr="00910CAD">
        <w:t>14</w:t>
      </w:r>
      <w:r w:rsidRPr="00910CAD">
        <w:t xml:space="preserve"> quality </w:t>
      </w:r>
      <w:r w:rsidR="0089BE08" w:rsidRPr="00910CAD">
        <w:t>indicators</w:t>
      </w:r>
      <w:r w:rsidRPr="00910CAD">
        <w:t xml:space="preserve"> across crucial care areas</w:t>
      </w:r>
      <w:r w:rsidR="008718EF" w:rsidRPr="00910CAD">
        <w:t>. These areas are:</w:t>
      </w:r>
      <w:r w:rsidRPr="00910CAD">
        <w:t xml:space="preserve"> pressure injuries, </w:t>
      </w:r>
      <w:r w:rsidR="57441713" w:rsidRPr="00910CAD">
        <w:t>restrictive practices</w:t>
      </w:r>
      <w:r w:rsidRPr="00910CAD">
        <w:t>, unplanned weight loss, falls and major injury, medication management</w:t>
      </w:r>
      <w:r w:rsidR="752126BD" w:rsidRPr="00910CAD">
        <w:t>, activities of daily living, continence, hospitalisation, workforce, consumer experience</w:t>
      </w:r>
      <w:r w:rsidR="30A80641" w:rsidRPr="00910CAD">
        <w:t>,</w:t>
      </w:r>
      <w:r w:rsidR="752126BD" w:rsidRPr="00910CAD">
        <w:t xml:space="preserve"> quality of life</w:t>
      </w:r>
      <w:r w:rsidR="30A80641" w:rsidRPr="00910CAD">
        <w:t xml:space="preserve">, enrolled nursing, allied health and lifestyle </w:t>
      </w:r>
      <w:r w:rsidR="3308F784" w:rsidRPr="00910CAD">
        <w:t>officer</w:t>
      </w:r>
      <w:r w:rsidR="752126BD" w:rsidRPr="00910CAD">
        <w:t>.</w:t>
      </w:r>
    </w:p>
    <w:p w14:paraId="52E73FD0" w14:textId="6FE55116" w:rsidR="00C21D47" w:rsidRPr="00AC7E48" w:rsidRDefault="00C21D47" w:rsidP="0059348C">
      <w:pPr>
        <w:pStyle w:val="Heading2"/>
      </w:pPr>
      <w:bookmarkStart w:id="1" w:name="_Toc73261097"/>
      <w:r w:rsidRPr="00AC7E48">
        <w:t>QI Program objectives</w:t>
      </w:r>
      <w:bookmarkEnd w:id="1"/>
    </w:p>
    <w:p w14:paraId="0C87E33C" w14:textId="77777777" w:rsidR="00C21D47" w:rsidRPr="00910CAD" w:rsidRDefault="06F13634" w:rsidP="00314F78">
      <w:r w:rsidRPr="00910CAD">
        <w:t>The objectives of the QI Program are:</w:t>
      </w:r>
    </w:p>
    <w:p w14:paraId="233A7699" w14:textId="77777777" w:rsidR="00691022" w:rsidRPr="00524825" w:rsidRDefault="1F74A06C" w:rsidP="00524825">
      <w:pPr>
        <w:pStyle w:val="ListBullet"/>
      </w:pPr>
      <w:r w:rsidRPr="00D51A3F">
        <w:t xml:space="preserve">for providers to have </w:t>
      </w:r>
      <w:r w:rsidRPr="00524825">
        <w:t>robust, valid data to measure and monitor their performance. To also support continuous quality improvement in the care they give to aged care recipients</w:t>
      </w:r>
    </w:p>
    <w:p w14:paraId="14E48880" w14:textId="77777777" w:rsidR="00691022" w:rsidRPr="00524825" w:rsidRDefault="00691022" w:rsidP="00524825">
      <w:pPr>
        <w:pStyle w:val="ListBullet"/>
      </w:pPr>
      <w:r w:rsidRPr="00524825">
        <w:t>to give older Australians, care recipients and the community transparent information about quality in aged care to support decision-making; and</w:t>
      </w:r>
    </w:p>
    <w:p w14:paraId="1E5563D4" w14:textId="77777777" w:rsidR="00691022" w:rsidRPr="00524825" w:rsidRDefault="00691022" w:rsidP="00524825">
      <w:pPr>
        <w:pStyle w:val="ListBullet"/>
      </w:pPr>
      <w:r w:rsidRPr="00524825">
        <w:t>for government to have system-level measures of quality in aged care and an evidence base to inform policy and regulation.</w:t>
      </w:r>
    </w:p>
    <w:p w14:paraId="3FB89F9F" w14:textId="1C46C49A" w:rsidR="00C21D47" w:rsidRPr="00910CAD" w:rsidRDefault="006561F9" w:rsidP="00314F78">
      <w:pPr>
        <w:pStyle w:val="Caption"/>
      </w:pPr>
      <w:r w:rsidRPr="00910CAD">
        <w:t>FIGURE </w:t>
      </w:r>
      <w:r w:rsidR="00C21D47" w:rsidRPr="00910CAD">
        <w:fldChar w:fldCharType="begin"/>
      </w:r>
      <w:r w:rsidR="00C21D47" w:rsidRPr="00910CAD">
        <w:instrText>SEQ Figure \* ARABIC</w:instrText>
      </w:r>
      <w:r w:rsidR="00C21D47" w:rsidRPr="00910CAD">
        <w:fldChar w:fldCharType="separate"/>
      </w:r>
      <w:r w:rsidR="003A30D7">
        <w:rPr>
          <w:noProof/>
        </w:rPr>
        <w:t>1</w:t>
      </w:r>
      <w:r w:rsidR="00C21D47" w:rsidRPr="00910CAD">
        <w:fldChar w:fldCharType="end"/>
      </w:r>
      <w:r w:rsidRPr="00910CAD">
        <w:t>: SUMMARY OF QI PROGRAM OBJECTIVES</w:t>
      </w:r>
    </w:p>
    <w:p w14:paraId="28D06F54" w14:textId="0E802033" w:rsidR="00C21D47" w:rsidRPr="004A09AA" w:rsidRDefault="00E254F7" w:rsidP="00314F78">
      <w:r w:rsidRPr="004A09AA">
        <w:rPr>
          <w:noProof/>
        </w:rPr>
        <w:drawing>
          <wp:inline distT="0" distB="0" distL="0" distR="0" wp14:anchorId="64600470" wp14:editId="49B17EBB">
            <wp:extent cx="6120130" cy="3859156"/>
            <wp:effectExtent l="0" t="0" r="0" b="8255"/>
            <wp:docPr id="5" name="Picture 5" descr="P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48#yIS1"/>
                    <pic:cNvPicPr/>
                  </pic:nvPicPr>
                  <pic:blipFill>
                    <a:blip r:embed="rId25"/>
                    <a:stretch>
                      <a:fillRect/>
                    </a:stretch>
                  </pic:blipFill>
                  <pic:spPr>
                    <a:xfrm>
                      <a:off x="0" y="0"/>
                      <a:ext cx="6120130" cy="3859156"/>
                    </a:xfrm>
                    <a:prstGeom prst="rect">
                      <a:avLst/>
                    </a:prstGeom>
                  </pic:spPr>
                </pic:pic>
              </a:graphicData>
            </a:graphic>
          </wp:inline>
        </w:drawing>
      </w:r>
    </w:p>
    <w:p w14:paraId="5F4BB7D0" w14:textId="417C2138" w:rsidR="00C21D47" w:rsidRPr="00AC7E48" w:rsidRDefault="00C21D47" w:rsidP="0059348C">
      <w:pPr>
        <w:pStyle w:val="Heading2"/>
      </w:pPr>
      <w:bookmarkStart w:id="2" w:name="_Toc73261098"/>
      <w:r w:rsidRPr="00AC7E48">
        <w:lastRenderedPageBreak/>
        <w:t>Quality indicators in the QI Program</w:t>
      </w:r>
      <w:bookmarkEnd w:id="2"/>
    </w:p>
    <w:p w14:paraId="76D79FA5" w14:textId="311A7E94" w:rsidR="00C21D47" w:rsidRPr="00845F85" w:rsidRDefault="00A13D31" w:rsidP="00314F78">
      <w:r w:rsidRPr="00845F85">
        <w:t>The QI Program requires the collection and reporting of quality indicators that relate to the main aspects of quality of care across 14 crucial care areas. Residential aged care providers (approved providers) collect data for each quality indicator through measurements and assessments in each of the categories set out in Figure 2</w:t>
      </w:r>
      <w:r w:rsidR="00DE4D81" w:rsidRPr="00845F85">
        <w:t xml:space="preserve">. </w:t>
      </w:r>
      <w:r w:rsidR="008A2E6B" w:rsidRPr="00845F85">
        <w:t xml:space="preserve">Residential aged care providers then compile or derive the </w:t>
      </w:r>
      <w:r w:rsidR="00DB2870" w:rsidRPr="00845F85">
        <w:t>information and</w:t>
      </w:r>
      <w:r w:rsidR="008A2E6B" w:rsidRPr="00845F85">
        <w:t xml:space="preserve"> provide it to the Secretary of the Australian Government Department of Health and Aged Care (Secretary), or the Secretary’s delegate</w:t>
      </w:r>
      <w:r w:rsidR="00C21D47" w:rsidRPr="00845F85">
        <w:t>, in accordance with legislative requirements.</w:t>
      </w:r>
    </w:p>
    <w:p w14:paraId="742C163F" w14:textId="77777777" w:rsidR="00B37E94" w:rsidRPr="00845F85" w:rsidRDefault="590597C2" w:rsidP="00314F78">
      <w:r w:rsidRPr="00845F85">
        <w:t xml:space="preserve">The Aged Care Quality and Safety Commission (Commission) is responsible for QI Program compliance. The Commission uses QI Program data reported by approved providers, to guide their regulatory activities. The Commission’s </w:t>
      </w:r>
      <w:hyperlink r:id="rId26">
        <w:r w:rsidRPr="00845F85">
          <w:rPr>
            <w:rStyle w:val="Hyperlink"/>
          </w:rPr>
          <w:t>Compliance and Enforcement Policy</w:t>
        </w:r>
      </w:hyperlink>
      <w:r w:rsidRPr="00845F85">
        <w:t xml:space="preserve"> details the approach to non-reporting of information.</w:t>
      </w:r>
    </w:p>
    <w:p w14:paraId="5A5E5A7C" w14:textId="77777777" w:rsidR="00B37E94" w:rsidRPr="00845F85" w:rsidRDefault="00B37E94" w:rsidP="00314F78">
      <w:r w:rsidRPr="00845F85">
        <w:t>All approved providers must collect data across the 14 quality indicators outlined in Figure 2.</w:t>
      </w:r>
    </w:p>
    <w:p w14:paraId="0CE9BA0A" w14:textId="4D5BDBA0" w:rsidR="00C21D47" w:rsidRPr="00EF7A88" w:rsidRDefault="00E155FA" w:rsidP="00524825">
      <w:pPr>
        <w:pStyle w:val="Caption"/>
      </w:pPr>
      <w:r w:rsidRPr="00EF7A88">
        <w:br w:type="page"/>
      </w:r>
      <w:bookmarkStart w:id="3" w:name="_Ref73539215"/>
      <w:r w:rsidR="00AC5558" w:rsidRPr="00EF7A88">
        <w:lastRenderedPageBreak/>
        <w:t>FIGURE </w:t>
      </w:r>
      <w:r w:rsidR="00C21D47" w:rsidRPr="00EF7A88">
        <w:fldChar w:fldCharType="begin"/>
      </w:r>
      <w:r w:rsidR="00C21D47" w:rsidRPr="00EF7A88">
        <w:instrText>SEQ Figure \* ARABIC</w:instrText>
      </w:r>
      <w:r w:rsidR="00C21D47" w:rsidRPr="00EF7A88">
        <w:fldChar w:fldCharType="separate"/>
      </w:r>
      <w:r w:rsidR="003A30D7">
        <w:rPr>
          <w:noProof/>
        </w:rPr>
        <w:t>2</w:t>
      </w:r>
      <w:r w:rsidR="00C21D47" w:rsidRPr="00EF7A88">
        <w:fldChar w:fldCharType="end"/>
      </w:r>
      <w:bookmarkEnd w:id="3"/>
      <w:r w:rsidR="00AC5558" w:rsidRPr="00EF7A88">
        <w:t>: SUMMARY OF QI PROGRAM QUALITY INDICATORS</w:t>
      </w:r>
    </w:p>
    <w:p w14:paraId="6CCD5CA7" w14:textId="0A2BC5F3" w:rsidR="00E155FA" w:rsidRPr="002D142A" w:rsidRDefault="00171D05" w:rsidP="00314F78">
      <w:r w:rsidRPr="002D142A">
        <w:rPr>
          <w:noProof/>
        </w:rPr>
        <w:drawing>
          <wp:inline distT="0" distB="0" distL="0" distR="0" wp14:anchorId="2A62EE62" wp14:editId="1D201B58">
            <wp:extent cx="6043930" cy="3389392"/>
            <wp:effectExtent l="0" t="0" r="0" b="1905"/>
            <wp:docPr id="2041152111" name="Picture 1" descr="P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52111" name="Picture 1" descr="P54#yIS1"/>
                    <pic:cNvPicPr/>
                  </pic:nvPicPr>
                  <pic:blipFill rotWithShape="1">
                    <a:blip r:embed="rId27"/>
                    <a:srcRect l="245" b="798"/>
                    <a:stretch/>
                  </pic:blipFill>
                  <pic:spPr bwMode="auto">
                    <a:xfrm>
                      <a:off x="0" y="0"/>
                      <a:ext cx="6043930" cy="3389392"/>
                    </a:xfrm>
                    <a:prstGeom prst="rect">
                      <a:avLst/>
                    </a:prstGeom>
                    <a:ln>
                      <a:noFill/>
                    </a:ln>
                    <a:extLst>
                      <a:ext uri="{53640926-AAD7-44D8-BBD7-CCE9431645EC}">
                        <a14:shadowObscured xmlns:a14="http://schemas.microsoft.com/office/drawing/2010/main"/>
                      </a:ext>
                    </a:extLst>
                  </pic:spPr>
                </pic:pic>
              </a:graphicData>
            </a:graphic>
          </wp:inline>
        </w:drawing>
      </w:r>
      <w:r w:rsidR="00EE37CB" w:rsidRPr="002D142A">
        <w:br/>
      </w:r>
      <w:r w:rsidR="00F26BDD" w:rsidRPr="002D142A">
        <w:rPr>
          <w:noProof/>
        </w:rPr>
        <w:drawing>
          <wp:inline distT="0" distB="0" distL="0" distR="0" wp14:anchorId="5C904A2A" wp14:editId="3394C996">
            <wp:extent cx="6075680" cy="3056121"/>
            <wp:effectExtent l="0" t="0" r="1270" b="0"/>
            <wp:docPr id="1407815310" name="Picture 1" descr="P5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15310" name="Picture 1" descr="P54#yIS2"/>
                    <pic:cNvPicPr/>
                  </pic:nvPicPr>
                  <pic:blipFill>
                    <a:blip r:embed="rId28"/>
                    <a:stretch>
                      <a:fillRect/>
                    </a:stretch>
                  </pic:blipFill>
                  <pic:spPr>
                    <a:xfrm>
                      <a:off x="0" y="0"/>
                      <a:ext cx="6075680" cy="3056121"/>
                    </a:xfrm>
                    <a:prstGeom prst="rect">
                      <a:avLst/>
                    </a:prstGeom>
                  </pic:spPr>
                </pic:pic>
              </a:graphicData>
            </a:graphic>
          </wp:inline>
        </w:drawing>
      </w:r>
    </w:p>
    <w:p w14:paraId="4C55B38C" w14:textId="77777777" w:rsidR="00E155FA" w:rsidRPr="00EF7A88" w:rsidRDefault="00E155FA" w:rsidP="00314F78">
      <w:r w:rsidRPr="00EF7A88">
        <w:br w:type="page"/>
      </w:r>
    </w:p>
    <w:p w14:paraId="040AC48D" w14:textId="50EBC195" w:rsidR="00C21D47" w:rsidRPr="00AC7E48" w:rsidRDefault="00C21D47" w:rsidP="0059348C">
      <w:pPr>
        <w:pStyle w:val="Heading2"/>
      </w:pPr>
      <w:r w:rsidRPr="00AC7E48">
        <w:lastRenderedPageBreak/>
        <w:t xml:space="preserve">The QI Program Manual </w:t>
      </w:r>
      <w:r w:rsidR="0043793D" w:rsidRPr="00AC7E48">
        <w:t>4</w:t>
      </w:r>
      <w:r w:rsidR="006B58EC" w:rsidRPr="00AC7E48">
        <w:t>.</w:t>
      </w:r>
      <w:r w:rsidR="00845F85" w:rsidRPr="00AC7E48">
        <w:t>0</w:t>
      </w:r>
    </w:p>
    <w:p w14:paraId="4F924769" w14:textId="4543714C" w:rsidR="006F5622" w:rsidRPr="00092038" w:rsidRDefault="06F13634" w:rsidP="00314F78">
      <w:r w:rsidRPr="00092038">
        <w:t xml:space="preserve">The QI Program Manual </w:t>
      </w:r>
      <w:r w:rsidR="00793725" w:rsidRPr="00092038">
        <w:t>4.0</w:t>
      </w:r>
      <w:r w:rsidRPr="00092038">
        <w:t xml:space="preserve"> consists of three parts, all available on the </w:t>
      </w:r>
      <w:r w:rsidR="4FDD1069" w:rsidRPr="00092038">
        <w:t>D</w:t>
      </w:r>
      <w:r w:rsidRPr="00092038">
        <w:t>epartment</w:t>
      </w:r>
      <w:r w:rsidR="4FDD1069" w:rsidRPr="00092038">
        <w:t xml:space="preserve"> of Health and Aged Care</w:t>
      </w:r>
      <w:r w:rsidRPr="00092038">
        <w:t xml:space="preserve"> website. QI Program Manual </w:t>
      </w:r>
      <w:r w:rsidR="3D0650CF" w:rsidRPr="00092038">
        <w:t>4</w:t>
      </w:r>
      <w:r w:rsidR="00BB25F1" w:rsidRPr="00092038">
        <w:t>.0</w:t>
      </w:r>
      <w:r w:rsidRPr="00092038">
        <w:t xml:space="preserve"> – Part A (Part A) provides legislated </w:t>
      </w:r>
      <w:r w:rsidR="01D3CD3B" w:rsidRPr="00092038">
        <w:t>requirements</w:t>
      </w:r>
      <w:r w:rsidR="5431429A" w:rsidRPr="00092038">
        <w:t xml:space="preserve"> for collecting,</w:t>
      </w:r>
      <w:r w:rsidR="3FE1742D" w:rsidRPr="00092038">
        <w:t xml:space="preserve"> </w:t>
      </w:r>
      <w:r w:rsidR="5431429A" w:rsidRPr="00092038">
        <w:t>recording and submitting data</w:t>
      </w:r>
      <w:r w:rsidR="2065FF25" w:rsidRPr="00092038">
        <w:t xml:space="preserve"> in addition to </w:t>
      </w:r>
      <w:r w:rsidR="598E8A63" w:rsidRPr="00092038">
        <w:t xml:space="preserve">definitions of each quality indicator </w:t>
      </w:r>
    </w:p>
    <w:p w14:paraId="3C4D2D05" w14:textId="4439D8D7" w:rsidR="004E033D" w:rsidRPr="00092038" w:rsidRDefault="00C21D47" w:rsidP="00314F78">
      <w:r w:rsidRPr="00092038">
        <w:t xml:space="preserve">QI Program Manual </w:t>
      </w:r>
      <w:r w:rsidR="00793725" w:rsidRPr="00092038">
        <w:t>4.0</w:t>
      </w:r>
      <w:r w:rsidRPr="00092038">
        <w:t xml:space="preserve"> – Part B (this </w:t>
      </w:r>
      <w:bookmarkStart w:id="4" w:name="_Hlk138834084"/>
      <w:r w:rsidR="00DB2870" w:rsidRPr="00092038">
        <w:t>document) aims</w:t>
      </w:r>
      <w:r w:rsidRPr="00092038">
        <w:t xml:space="preserve"> to support providers </w:t>
      </w:r>
      <w:r w:rsidR="00A470DF" w:rsidRPr="00092038">
        <w:t xml:space="preserve">with </w:t>
      </w:r>
      <w:r w:rsidR="001827D3" w:rsidRPr="00092038">
        <w:t>tools and resources to support continuous quality improvement across each quality indicator.</w:t>
      </w:r>
      <w:bookmarkEnd w:id="4"/>
      <w:r w:rsidR="00884049" w:rsidRPr="00092038">
        <w:t xml:space="preserve"> </w:t>
      </w:r>
      <w:r w:rsidR="00CB343C" w:rsidRPr="00092038">
        <w:t>Part B is not legislated.</w:t>
      </w:r>
      <w:r w:rsidR="00E30908" w:rsidRPr="00092038">
        <w:t xml:space="preserve"> </w:t>
      </w:r>
    </w:p>
    <w:p w14:paraId="2C231A15" w14:textId="7254DA72" w:rsidR="00C21D47" w:rsidRPr="00092038" w:rsidRDefault="4E55F746" w:rsidP="00314F78">
      <w:r w:rsidRPr="00092038">
        <w:t xml:space="preserve">The Government Provider </w:t>
      </w:r>
      <w:r w:rsidR="6887616E" w:rsidRPr="00092038">
        <w:t xml:space="preserve">Management System User Guide: </w:t>
      </w:r>
      <w:r w:rsidR="02F92A5E" w:rsidRPr="00092038">
        <w:t>Quality</w:t>
      </w:r>
      <w:r w:rsidR="6887616E" w:rsidRPr="00092038">
        <w:t xml:space="preserve"> Ind</w:t>
      </w:r>
      <w:r w:rsidR="02F92A5E" w:rsidRPr="00092038">
        <w:t xml:space="preserve">icators application </w:t>
      </w:r>
      <w:r w:rsidR="06F13634" w:rsidRPr="00092038">
        <w:t xml:space="preserve">is a guide for approved providers to access and use the </w:t>
      </w:r>
      <w:r w:rsidR="02F92A5E" w:rsidRPr="00092038">
        <w:t xml:space="preserve">Quality Indicators application </w:t>
      </w:r>
      <w:r w:rsidR="06F13634" w:rsidRPr="00092038">
        <w:t>in the</w:t>
      </w:r>
      <w:r w:rsidR="00EB6F98" w:rsidRPr="00092038">
        <w:t xml:space="preserve"> Government Provider Management System (GPMS) </w:t>
      </w:r>
      <w:r w:rsidR="06F13634" w:rsidRPr="00092038">
        <w:t>as well as submit quality indicator data and access QI Program reports.</w:t>
      </w:r>
    </w:p>
    <w:p w14:paraId="59AC6EB2" w14:textId="77777777" w:rsidR="00C21D47" w:rsidRPr="002765D3" w:rsidRDefault="00C21D47" w:rsidP="00314F78">
      <w:pPr>
        <w:sectPr w:rsidR="00C21D47" w:rsidRPr="002765D3" w:rsidSect="001C4D9C">
          <w:endnotePr>
            <w:numFmt w:val="decimal"/>
          </w:endnotePr>
          <w:type w:val="continuous"/>
          <w:pgSz w:w="11906" w:h="16838" w:code="9"/>
          <w:pgMar w:top="1701" w:right="1134" w:bottom="1134" w:left="1134" w:header="567" w:footer="567" w:gutter="0"/>
          <w:pgNumType w:start="1"/>
          <w:cols w:space="708"/>
          <w:docGrid w:linePitch="360"/>
        </w:sectPr>
      </w:pPr>
    </w:p>
    <w:p w14:paraId="471F7F0D" w14:textId="7760838E" w:rsidR="00C21D47" w:rsidRPr="00AC7E48" w:rsidRDefault="00687828" w:rsidP="0059348C">
      <w:pPr>
        <w:pStyle w:val="Heading1"/>
      </w:pPr>
      <w:bookmarkStart w:id="5" w:name="_Toc193889888"/>
      <w:r>
        <w:rPr>
          <w:noProof/>
        </w:rPr>
        <w:lastRenderedPageBreak/>
        <w:drawing>
          <wp:anchor distT="0" distB="0" distL="114300" distR="114300" simplePos="0" relativeHeight="251658297" behindDoc="1" locked="0" layoutInCell="1" allowOverlap="1" wp14:anchorId="55168F64" wp14:editId="3C56CAED">
            <wp:simplePos x="0" y="0"/>
            <wp:positionH relativeFrom="page">
              <wp:align>left</wp:align>
            </wp:positionH>
            <wp:positionV relativeFrom="paragraph">
              <wp:posOffset>451641</wp:posOffset>
            </wp:positionV>
            <wp:extent cx="7701566" cy="1500996"/>
            <wp:effectExtent l="0" t="0" r="0" b="4445"/>
            <wp:wrapNone/>
            <wp:docPr id="962781913" name="Picture 5" descr="P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81913" name="Picture 5" descr="P61#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1566" cy="1500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D47" w:rsidRPr="00AC7E48">
        <w:t>Introduction to quality improvement</w:t>
      </w:r>
      <w:bookmarkEnd w:id="5"/>
    </w:p>
    <w:p w14:paraId="1E59EE24" w14:textId="6DAC226E" w:rsidR="00C21D47" w:rsidRPr="002765D3" w:rsidRDefault="00687828" w:rsidP="00687828">
      <w:pPr>
        <w:pStyle w:val="Headerwhite"/>
      </w:pPr>
      <w:r w:rsidRPr="002765D3">
        <w:rPr>
          <w:noProof/>
        </w:rPr>
        <w:drawing>
          <wp:anchor distT="0" distB="0" distL="114300" distR="114300" simplePos="0" relativeHeight="251658298" behindDoc="0" locked="0" layoutInCell="1" allowOverlap="1" wp14:anchorId="35B39F14" wp14:editId="26974E03">
            <wp:simplePos x="0" y="0"/>
            <wp:positionH relativeFrom="margin">
              <wp:align>left</wp:align>
            </wp:positionH>
            <wp:positionV relativeFrom="paragraph">
              <wp:posOffset>364286</wp:posOffset>
            </wp:positionV>
            <wp:extent cx="1008000" cy="1008000"/>
            <wp:effectExtent l="0" t="0" r="1905" b="1905"/>
            <wp:wrapSquare wrapText="bothSides"/>
            <wp:docPr id="2130" name="Picture 8" descr="P62#y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Picture 8" descr="P62#y1">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anchor>
        </w:drawing>
      </w:r>
      <w:r w:rsidRPr="00687828">
        <w:t>Quality improvement leads to improvements in the quality and experience of care, as well as improving outcomes for care recipients. Quality improvement is an important part of everyone’s job and should be understood and accepted by all levels of management and staff.</w:t>
      </w:r>
      <w:r w:rsidR="009253DC">
        <w:rPr>
          <w:rFonts w:ascii="ZWAdobeF" w:hAnsi="ZWAdobeF" w:cs="ZWAdobeF"/>
          <w:color w:val="auto"/>
          <w:sz w:val="2"/>
          <w:szCs w:val="2"/>
        </w:rPr>
        <w:t>0F</w:t>
      </w:r>
      <w:r w:rsidRPr="00687828">
        <w:rPr>
          <w:rStyle w:val="EndnoteReference"/>
        </w:rPr>
        <w:endnoteReference w:id="2"/>
      </w:r>
      <w:r w:rsidRPr="189D3658">
        <w:rPr>
          <w:rStyle w:val="EndnoteReference"/>
        </w:rPr>
        <w:t xml:space="preserve"> </w:t>
      </w:r>
      <w:r w:rsidRPr="00687828">
        <w:t xml:space="preserve"> The QI Program aims to support approved providers of aged care to understand and use quality indicator data to be able to continuously improve quality of care and services.</w:t>
      </w:r>
    </w:p>
    <w:p w14:paraId="0731CC53" w14:textId="77777777" w:rsidR="005E5239" w:rsidRDefault="005E5239" w:rsidP="0059348C">
      <w:pPr>
        <w:pStyle w:val="Heading2"/>
        <w:sectPr w:rsidR="005E5239" w:rsidSect="00157BB5">
          <w:headerReference w:type="even" r:id="rId31"/>
          <w:headerReference w:type="default" r:id="rId32"/>
          <w:headerReference w:type="first" r:id="rId33"/>
          <w:endnotePr>
            <w:numFmt w:val="decimal"/>
          </w:endnotePr>
          <w:pgSz w:w="11906" w:h="16838" w:code="9"/>
          <w:pgMar w:top="1701" w:right="1134" w:bottom="1134" w:left="1134" w:header="567" w:footer="567" w:gutter="0"/>
          <w:cols w:space="708"/>
          <w:docGrid w:linePitch="360"/>
        </w:sectPr>
      </w:pPr>
    </w:p>
    <w:p w14:paraId="261D75B6" w14:textId="48997FF9" w:rsidR="00C21D47" w:rsidRPr="00AC7E48" w:rsidRDefault="00524825" w:rsidP="0059348C">
      <w:pPr>
        <w:pStyle w:val="Heading2"/>
      </w:pPr>
      <w:r w:rsidRPr="002765D3">
        <w:rPr>
          <w:noProof/>
        </w:rPr>
        <mc:AlternateContent>
          <mc:Choice Requires="wps">
            <w:drawing>
              <wp:anchor distT="0" distB="0" distL="114300" distR="114300" simplePos="0" relativeHeight="251658241" behindDoc="1" locked="0" layoutInCell="1" allowOverlap="1" wp14:anchorId="75F37FBE" wp14:editId="7D896878">
                <wp:simplePos x="0" y="0"/>
                <wp:positionH relativeFrom="column">
                  <wp:posOffset>-73025</wp:posOffset>
                </wp:positionH>
                <wp:positionV relativeFrom="paragraph">
                  <wp:posOffset>560441</wp:posOffset>
                </wp:positionV>
                <wp:extent cx="3077845" cy="1763395"/>
                <wp:effectExtent l="0" t="0" r="8255" b="8255"/>
                <wp:wrapNone/>
                <wp:docPr id="2091994651" name="Rectangle 11" descr="P6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7845" cy="1763395"/>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3E16A" id="Rectangle 11" o:spid="_x0000_s1026" alt="P64#y1" style="position:absolute;margin-left:-5.75pt;margin-top:44.15pt;width:242.35pt;height:138.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fDcgIAAPcEAAAOAAAAZHJzL2Uyb0RvYy54bWysVN9P2zAQfp+0/8Hy+0hCSwsVKeqKmCYh&#10;QMDEs+s4jSXH553dpuyv39lJW8Z4mtYH9873+/N3ubzatYZtFXoNtuTFSc6ZshIqbdcl//F88+Wc&#10;Mx+ErYQBq0r+qjy/mn/+dNm5mTqFBkylkFES62edK3kTgptlmZeNaoU/AacsGWvAVgRScZ1VKDrK&#10;3prsNM8nWQdYOQSpvKfb697I5yl/XSsZ7uvaq8BMyam3kE5M5yqe2fxSzNYoXKPl0Ib4hy5aoS0V&#10;PaS6FkGwDeq/UrVaIniow4mENoO61lKlGWiaIn83zVMjnEqzEDjeHWDy/y+tvNs+uQckGDrnZ57E&#10;OMWuxjb+U39sl8B6PYCldoFJuhzl0+n5+IwzSbZiOhmNLs4inNkx3KEP3xS0LAolR3qNBJLY3vrQ&#10;u+5dBuyqG20Mq40mKlgiDGcI4UWHJkFBdXqQPcWnCM8cEBpFHn/J5nG9WhpkWxFfPB8vL9IjU1dr&#10;/zbkQ++vo+VomCF6p6ChlNGWiUjqYkK8i9WYl8Ko6gBM0EY90oj9YMSpNEysaSzrCLBietZXtRDH&#10;7P2MpTpH7KO0gur1AePkMTfzTt5oAvBW+PAgkOhJl7Ry4Z6O2gClhkHirAH89dF99CfWkJWzjuhe&#10;cv9zI5AANt8tITiapJFCUorxOGn41rT6w2Q37RII4SL1l0TqCoPZizVC+0K7uYh1ySSspOollwH3&#10;yjL0i0jbLdVikdw2DvW6oRBKTBviRLi1T05GPSIZ6fK8exHoBk4FouMd7BdFzN5Rq/eNkRYWmwC1&#10;Ts9zRHkAn7arf+7+SxDX962evI7fq/lvAAAA//8DAFBLAwQUAAYACAAAACEAdWj34N8AAAAKAQAA&#10;DwAAAGRycy9kb3ducmV2LnhtbEyPy07DMBBF90j8gzVI7FrnASEKcaqqFAmxa2HDbhIPSYQ9LrHb&#10;hr/HrMpydI/uPVOvZmvEiSY/OlaQLhMQxJ3TI/cK3t+eFyUIH5A1Gsek4Ic8rJrrqxor7c68o9M+&#10;9CKWsK9QwRDCoZLSdwNZ9Et3II7Zp5sshnhOvdQTnmO5NTJLkkJaHDkuDHigzUDd1/5oFbQmbF+M&#10;/sh2vhy36w295t9PqNTtzbx+BBFoDhcY/vSjOjTRqXVH1l4YBYs0vY+ogrLMQUTg7iHPQLQK8qJI&#10;QDa1/P9C8wsAAP//AwBQSwECLQAUAAYACAAAACEAtoM4kv4AAADhAQAAEwAAAAAAAAAAAAAAAAAA&#10;AAAAW0NvbnRlbnRfVHlwZXNdLnhtbFBLAQItABQABgAIAAAAIQA4/SH/1gAAAJQBAAALAAAAAAAA&#10;AAAAAAAAAC8BAABfcmVscy8ucmVsc1BLAQItABQABgAIAAAAIQDyA1fDcgIAAPcEAAAOAAAAAAAA&#10;AAAAAAAAAC4CAABkcnMvZTJvRG9jLnhtbFBLAQItABQABgAIAAAAIQB1aPfg3wAAAAoBAAAPAAAA&#10;AAAAAAAAAAAAAMwEAABkcnMvZG93bnJldi54bWxQSwUGAAAAAAQABADzAAAA2AUAAAAA&#10;" fillcolor="#00b3c3" stroked="f" strokeweight="2.5pt">
                <v:fill color2="#004c90" rotate="t" angle="180" focus="100%" type="gradient">
                  <o:fill v:ext="view" type="gradientUnscaled"/>
                </v:fill>
                <v:textbox inset="1mm,4mm,1mm,4mm"/>
              </v:rect>
            </w:pict>
          </mc:Fallback>
        </mc:AlternateContent>
      </w:r>
      <w:r w:rsidRPr="002765D3">
        <w:rPr>
          <w:noProof/>
        </w:rPr>
        <mc:AlternateContent>
          <mc:Choice Requires="wps">
            <w:drawing>
              <wp:anchor distT="0" distB="0" distL="114300" distR="114300" simplePos="0" relativeHeight="251658242" behindDoc="1" locked="0" layoutInCell="1" allowOverlap="1" wp14:anchorId="2CCC3422" wp14:editId="400E3B68">
                <wp:simplePos x="0" y="0"/>
                <wp:positionH relativeFrom="column">
                  <wp:posOffset>3146425</wp:posOffset>
                </wp:positionH>
                <wp:positionV relativeFrom="paragraph">
                  <wp:posOffset>558536</wp:posOffset>
                </wp:positionV>
                <wp:extent cx="3077845" cy="1763395"/>
                <wp:effectExtent l="0" t="0" r="8255" b="8255"/>
                <wp:wrapNone/>
                <wp:docPr id="2091994652" name="Rectangle 12" descr="P64#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7845" cy="1763395"/>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D7CF9" id="Rectangle 12" o:spid="_x0000_s1026" alt="P64#y2" style="position:absolute;margin-left:247.75pt;margin-top:44pt;width:242.35pt;height:138.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fDcgIAAPcEAAAOAAAAZHJzL2Uyb0RvYy54bWysVN9P2zAQfp+0/8Hy+0hCSwsVKeqKmCYh&#10;QMDEs+s4jSXH553dpuyv39lJW8Z4mtYH9873+/N3ubzatYZtFXoNtuTFSc6ZshIqbdcl//F88+Wc&#10;Mx+ErYQBq0r+qjy/mn/+dNm5mTqFBkylkFES62edK3kTgptlmZeNaoU/AacsGWvAVgRScZ1VKDrK&#10;3prsNM8nWQdYOQSpvKfb697I5yl/XSsZ7uvaq8BMyam3kE5M5yqe2fxSzNYoXKPl0Ib4hy5aoS0V&#10;PaS6FkGwDeq/UrVaIniow4mENoO61lKlGWiaIn83zVMjnEqzEDjeHWDy/y+tvNs+uQckGDrnZ57E&#10;OMWuxjb+U39sl8B6PYCldoFJuhzl0+n5+IwzSbZiOhmNLs4inNkx3KEP3xS0LAolR3qNBJLY3vrQ&#10;u+5dBuyqG20Mq40mKlgiDGcI4UWHJkFBdXqQPcWnCM8cEBpFHn/J5nG9WhpkWxFfPB8vL9IjU1dr&#10;/zbkQ++vo+VomCF6p6ChlNGWiUjqYkK8i9WYl8Ko6gBM0EY90oj9YMSpNEysaSzrCLBietZXtRDH&#10;7P2MpTpH7KO0gur1AePkMTfzTt5oAvBW+PAgkOhJl7Ry4Z6O2gClhkHirAH89dF99CfWkJWzjuhe&#10;cv9zI5AANt8tITiapJFCUorxOGn41rT6w2Q37RII4SL1l0TqCoPZizVC+0K7uYh1ySSspOollwH3&#10;yjL0i0jbLdVikdw2DvW6oRBKTBviRLi1T05GPSIZ6fK8exHoBk4FouMd7BdFzN5Rq/eNkRYWmwC1&#10;Ts9zRHkAn7arf+7+SxDX962evI7fq/lvAAAA//8DAFBLAwQUAAYACAAAACEARDLUit8AAAAKAQAA&#10;DwAAAGRycy9kb3ducmV2LnhtbEyPy07DMBBF90j8gzVI7KhDSkoa4lRVKRJi18KG3SQekgg/Quy2&#10;4e87XcFyNEf3nluuJmvEkcbQe6fgfpaAINd43btWwcf7y10OIkR0Go13pOCXAqyq66sSC+1PbkfH&#10;fWwFh7hQoIIuxqGQMjQdWQwzP5Dj35cfLUY+x1bqEU8cbo1Mk2QhLfaOGzocaNNR870/WAW1idtX&#10;oz/TXcj77XpDb/OfZ1Tq9mZaP4GINMU/GC76rA4VO9X+4HQQRsHDMssYVZDnvImBZZ6kIGoF80X2&#10;CLIq5f8J1RkAAP//AwBQSwECLQAUAAYACAAAACEAtoM4kv4AAADhAQAAEwAAAAAAAAAAAAAAAAAA&#10;AAAAW0NvbnRlbnRfVHlwZXNdLnhtbFBLAQItABQABgAIAAAAIQA4/SH/1gAAAJQBAAALAAAAAAAA&#10;AAAAAAAAAC8BAABfcmVscy8ucmVsc1BLAQItABQABgAIAAAAIQDyA1fDcgIAAPcEAAAOAAAAAAAA&#10;AAAAAAAAAC4CAABkcnMvZTJvRG9jLnhtbFBLAQItABQABgAIAAAAIQBEMtSK3wAAAAoBAAAPAAAA&#10;AAAAAAAAAAAAAMwEAABkcnMvZG93bnJldi54bWxQSwUGAAAAAAQABADzAAAA2AUAAAAA&#10;" fillcolor="#00b3c3" stroked="f" strokeweight="2.5pt">
                <v:fill color2="#004c90" rotate="t" angle="180" focus="100%" type="gradient">
                  <o:fill v:ext="view" type="gradientUnscaled"/>
                </v:fill>
                <v:textbox inset="1mm,4mm,1mm,4mm"/>
              </v:rect>
            </w:pict>
          </mc:Fallback>
        </mc:AlternateContent>
      </w:r>
      <w:r w:rsidR="00C21D47" w:rsidRPr="00AC7E48">
        <w:t>What is quality improvement?</w:t>
      </w:r>
    </w:p>
    <w:p w14:paraId="53399711" w14:textId="466361CA" w:rsidR="00C21D47" w:rsidRPr="004A09AA" w:rsidRDefault="00C21D47" w:rsidP="00314F78"/>
    <w:p w14:paraId="435238B4" w14:textId="77777777" w:rsidR="00A93436" w:rsidRPr="004A09AA" w:rsidRDefault="00A93436" w:rsidP="00314F78">
      <w:pPr>
        <w:sectPr w:rsidR="00A93436" w:rsidRPr="004A09AA" w:rsidSect="005E5239">
          <w:endnotePr>
            <w:numFmt w:val="decimal"/>
          </w:endnotePr>
          <w:type w:val="continuous"/>
          <w:pgSz w:w="11906" w:h="16838" w:code="9"/>
          <w:pgMar w:top="1701" w:right="1134" w:bottom="1134" w:left="1134" w:header="567" w:footer="567" w:gutter="0"/>
          <w:cols w:space="708"/>
          <w:docGrid w:linePitch="360"/>
        </w:sectPr>
      </w:pPr>
    </w:p>
    <w:p w14:paraId="2DFF9E2A" w14:textId="12443B7E" w:rsidR="00A93436" w:rsidRPr="00314F78" w:rsidRDefault="00A93436" w:rsidP="00314F78">
      <w:r w:rsidRPr="006A2D35">
        <w:rPr>
          <w:noProof/>
        </w:rPr>
        <w:drawing>
          <wp:inline distT="0" distB="0" distL="0" distR="0" wp14:anchorId="7BBA3F58" wp14:editId="7641EE06">
            <wp:extent cx="610200" cy="612000"/>
            <wp:effectExtent l="0" t="0" r="0" b="0"/>
            <wp:docPr id="2091994639" name="Picture 14" descr="P67#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39" name="Picture 14" descr="P67#yIS1">
                      <a:extLst>
                        <a:ext uri="{C183D7F6-B498-43B3-948B-1728B52AA6E4}">
                          <adec:decorative xmlns:adec="http://schemas.microsoft.com/office/drawing/2017/decorative" val="0"/>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200" cy="612000"/>
                    </a:xfrm>
                    <a:prstGeom prst="rect">
                      <a:avLst/>
                    </a:prstGeom>
                    <a:noFill/>
                    <a:ln>
                      <a:noFill/>
                    </a:ln>
                  </pic:spPr>
                </pic:pic>
              </a:graphicData>
            </a:graphic>
          </wp:inline>
        </w:drawing>
      </w:r>
    </w:p>
    <w:p w14:paraId="42636F86" w14:textId="43BD32D1" w:rsidR="00A93436" w:rsidRPr="006A2D35" w:rsidRDefault="727CDA3C" w:rsidP="00314F78">
      <w:pPr>
        <w:pStyle w:val="TableHeaderWhite"/>
      </w:pPr>
      <w:r w:rsidRPr="006A2D35">
        <w:t>Quality improvement is a systematic, coordinated and ongoing effort to improve the quality of care and services.</w:t>
      </w:r>
    </w:p>
    <w:p w14:paraId="319F9120" w14:textId="3F7FB67C" w:rsidR="00A93436" w:rsidRPr="00314F78" w:rsidRDefault="00A93436" w:rsidP="00314F78">
      <w:r w:rsidRPr="006A2D35">
        <w:rPr>
          <w:noProof/>
        </w:rPr>
        <w:drawing>
          <wp:inline distT="0" distB="0" distL="0" distR="0" wp14:anchorId="0041E917" wp14:editId="73C30F07">
            <wp:extent cx="705706" cy="612000"/>
            <wp:effectExtent l="0" t="0" r="0" b="0"/>
            <wp:docPr id="2091994641" name="Picture 15" descr="P69#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1" name="Picture 15" descr="P69#yIS1">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5706" cy="612000"/>
                    </a:xfrm>
                    <a:prstGeom prst="rect">
                      <a:avLst/>
                    </a:prstGeom>
                    <a:noFill/>
                    <a:ln>
                      <a:noFill/>
                    </a:ln>
                  </pic:spPr>
                </pic:pic>
              </a:graphicData>
            </a:graphic>
          </wp:inline>
        </w:drawing>
      </w:r>
    </w:p>
    <w:p w14:paraId="518F4474" w14:textId="42A61A89" w:rsidR="00A93436" w:rsidRPr="006A2D35" w:rsidRDefault="00A93436" w:rsidP="00314F78">
      <w:pPr>
        <w:pStyle w:val="TableHeaderWhite"/>
      </w:pPr>
      <w:r w:rsidRPr="006A2D35">
        <w:t>Quality is described as care that is effective and safe, and provides a positive experience by being caring, responsive and person-centred.</w:t>
      </w:r>
    </w:p>
    <w:p w14:paraId="39BC7CFC" w14:textId="77777777" w:rsidR="00A93436" w:rsidRPr="004A09AA" w:rsidRDefault="00A93436" w:rsidP="00314F78">
      <w:pPr>
        <w:sectPr w:rsidR="00A93436" w:rsidRPr="004A09AA" w:rsidSect="00A93436">
          <w:endnotePr>
            <w:numFmt w:val="decimal"/>
          </w:endnotePr>
          <w:type w:val="continuous"/>
          <w:pgSz w:w="11906" w:h="16838" w:code="9"/>
          <w:pgMar w:top="1701" w:right="1134" w:bottom="1134" w:left="1134" w:header="567" w:footer="567" w:gutter="0"/>
          <w:cols w:num="2" w:space="708"/>
          <w:docGrid w:linePitch="360"/>
        </w:sectPr>
      </w:pPr>
    </w:p>
    <w:p w14:paraId="3D6534AC" w14:textId="7FB1D197" w:rsidR="00C21D47" w:rsidRPr="00E312C1" w:rsidRDefault="06F13634" w:rsidP="00314F78">
      <w:pPr>
        <w:rPr>
          <w:vertAlign w:val="superscript"/>
        </w:rPr>
      </w:pPr>
      <w:r w:rsidRPr="00E312C1">
        <w:t>Quality improvement works to identify how well systems are working and to understand the quality of care and services being delivered to improve outcomes for aged care recipients</w:t>
      </w:r>
      <w:r w:rsidRPr="00E312C1">
        <w:rPr>
          <w:vertAlign w:val="superscript"/>
        </w:rPr>
        <w:t>.</w:t>
      </w:r>
      <w:r w:rsidR="009253DC">
        <w:rPr>
          <w:rFonts w:ascii="ZWAdobeF" w:hAnsi="ZWAdobeF" w:cs="ZWAdobeF"/>
          <w:color w:val="auto"/>
          <w:sz w:val="2"/>
          <w:szCs w:val="2"/>
        </w:rPr>
        <w:t>1F</w:t>
      </w:r>
      <w:r w:rsidR="00C21D47" w:rsidRPr="00E312C1">
        <w:rPr>
          <w:vertAlign w:val="superscript"/>
        </w:rPr>
        <w:endnoteReference w:id="3"/>
      </w:r>
    </w:p>
    <w:p w14:paraId="6EA26D9E" w14:textId="75B78403" w:rsidR="00C21D47" w:rsidRPr="00E312C1" w:rsidRDefault="00C21D47" w:rsidP="00314F78">
      <w:r w:rsidRPr="00E312C1">
        <w:t xml:space="preserve">Providers should aim to answer three </w:t>
      </w:r>
      <w:r w:rsidR="004252B8" w:rsidRPr="00E312C1">
        <w:t>main</w:t>
      </w:r>
      <w:r w:rsidRPr="00E312C1">
        <w:t xml:space="preserve"> questions throughout the quality improvement process:</w:t>
      </w:r>
    </w:p>
    <w:p w14:paraId="68543D02" w14:textId="77777777" w:rsidR="00C21D47" w:rsidRPr="00E91F97" w:rsidRDefault="06F13634" w:rsidP="00314F78">
      <w:pPr>
        <w:pStyle w:val="ListNumber"/>
      </w:pPr>
      <w:r w:rsidRPr="00E91F97">
        <w:t>What are we trying to accomplish?</w:t>
      </w:r>
    </w:p>
    <w:p w14:paraId="02B56440" w14:textId="77777777" w:rsidR="00C21D47" w:rsidRPr="00E91F97" w:rsidRDefault="00C21D47" w:rsidP="00314F78">
      <w:pPr>
        <w:pStyle w:val="ListNumber"/>
      </w:pPr>
      <w:r w:rsidRPr="00E91F97">
        <w:t>How will we know that a change is an improvement?</w:t>
      </w:r>
    </w:p>
    <w:p w14:paraId="03D39BA8" w14:textId="1C505324" w:rsidR="00C21D47" w:rsidRPr="00D51A3F" w:rsidRDefault="00C21D47" w:rsidP="00314F78">
      <w:pPr>
        <w:pStyle w:val="ListNumber"/>
      </w:pPr>
      <w:r w:rsidRPr="00E91F97">
        <w:t xml:space="preserve">What changes can we make that will </w:t>
      </w:r>
      <w:r w:rsidR="00BE46A3">
        <w:t>lead to</w:t>
      </w:r>
      <w:r w:rsidRPr="00D51A3F">
        <w:t xml:space="preserve"> improvement?</w:t>
      </w:r>
    </w:p>
    <w:p w14:paraId="68073C8B" w14:textId="153580EB" w:rsidR="00C21D47" w:rsidRPr="00E312C1" w:rsidRDefault="00C21D47" w:rsidP="00314F78">
      <w:r w:rsidRPr="00E312C1">
        <w:t>An understanding of quality improvement is important for anyone who delivers or manages care</w:t>
      </w:r>
      <w:r w:rsidR="005F05EA" w:rsidRPr="00E312C1">
        <w:t>.</w:t>
      </w:r>
      <w:r w:rsidR="00ED4543" w:rsidRPr="00E312C1">
        <w:t xml:space="preserve"> </w:t>
      </w:r>
      <w:r w:rsidR="001E58A2" w:rsidRPr="00E312C1">
        <w:t>I</w:t>
      </w:r>
      <w:r w:rsidRPr="00E312C1">
        <w:t>t can lead to improvements in the quality, experience, productivity and outcomes of care and services.</w:t>
      </w:r>
    </w:p>
    <w:p w14:paraId="78AAA063" w14:textId="2AA5D9F2" w:rsidR="00C21D47" w:rsidRPr="00E9505D" w:rsidRDefault="00C21D47" w:rsidP="00E312C1">
      <w:pPr>
        <w:pStyle w:val="Heading3"/>
      </w:pPr>
      <w:r w:rsidRPr="00E9505D">
        <w:t>Supporting a culture of quality improvement</w:t>
      </w:r>
    </w:p>
    <w:p w14:paraId="44D7E934" w14:textId="3DFE2213" w:rsidR="00C21D47" w:rsidRPr="00E312C1" w:rsidRDefault="06F13634" w:rsidP="00314F78">
      <w:r w:rsidRPr="00E312C1">
        <w:t xml:space="preserve">Building a culture of improvement is </w:t>
      </w:r>
      <w:r w:rsidR="003F59C7" w:rsidRPr="00E312C1">
        <w:t>critical</w:t>
      </w:r>
      <w:r w:rsidR="00ED4543" w:rsidRPr="00E312C1">
        <w:t xml:space="preserve"> </w:t>
      </w:r>
      <w:r w:rsidRPr="00E312C1">
        <w:t xml:space="preserve">in supporting quality improvement in your organisation. Leadership and management play a crucial role in establishing an improvement culture, helping staff understand the importance of quality improvement, and ensuring that they feel safe and able to raise issues </w:t>
      </w:r>
      <w:r w:rsidR="00FC339B" w:rsidRPr="00E312C1">
        <w:t>about</w:t>
      </w:r>
      <w:r w:rsidRPr="00E312C1">
        <w:t xml:space="preserve"> the quality of services or care. It is also important that clear governance arrangements are established so there is a consistent approach to identifying quality issues and engaging in quality improvement activities.</w:t>
      </w:r>
    </w:p>
    <w:p w14:paraId="2A1A57D1" w14:textId="77777777" w:rsidR="00C21D47" w:rsidRPr="004A09AA" w:rsidRDefault="00C21D47" w:rsidP="00314F78"/>
    <w:p w14:paraId="4FA7C44B" w14:textId="77777777" w:rsidR="00C21D47" w:rsidRPr="004A09AA" w:rsidRDefault="00C21D47" w:rsidP="00314F78">
      <w:pPr>
        <w:sectPr w:rsidR="00C21D47" w:rsidRPr="004A09AA" w:rsidSect="00DC5B06">
          <w:endnotePr>
            <w:numFmt w:val="decimal"/>
          </w:endnotePr>
          <w:type w:val="continuous"/>
          <w:pgSz w:w="11906" w:h="16838" w:code="9"/>
          <w:pgMar w:top="1701" w:right="1134" w:bottom="1134" w:left="1134" w:header="567" w:footer="567" w:gutter="0"/>
          <w:cols w:space="708"/>
          <w:docGrid w:linePitch="360"/>
        </w:sectPr>
      </w:pPr>
    </w:p>
    <w:p w14:paraId="72224324" w14:textId="09EFC64F" w:rsidR="00C21D47" w:rsidRPr="00C67F44" w:rsidRDefault="00AC5558" w:rsidP="00314F78">
      <w:pPr>
        <w:pStyle w:val="Caption"/>
      </w:pPr>
      <w:r w:rsidRPr="00C67F44">
        <w:lastRenderedPageBreak/>
        <w:t>FIGURE </w:t>
      </w:r>
      <w:r w:rsidR="00C21D47" w:rsidRPr="009F16A5">
        <w:rPr>
          <w:color w:val="3F4A75"/>
        </w:rPr>
        <w:fldChar w:fldCharType="begin"/>
      </w:r>
      <w:r w:rsidR="00C21D47" w:rsidRPr="009F16A5">
        <w:rPr>
          <w:color w:val="3F4A75"/>
        </w:rPr>
        <w:instrText>SEQ Figure \* ARABIC</w:instrText>
      </w:r>
      <w:r w:rsidR="00C21D47" w:rsidRPr="009F16A5">
        <w:rPr>
          <w:color w:val="3F4A75"/>
        </w:rPr>
        <w:fldChar w:fldCharType="separate"/>
      </w:r>
      <w:r w:rsidR="003A30D7">
        <w:rPr>
          <w:noProof/>
          <w:color w:val="3F4A75"/>
        </w:rPr>
        <w:t>3</w:t>
      </w:r>
      <w:r w:rsidR="00C21D47" w:rsidRPr="009F16A5">
        <w:rPr>
          <w:color w:val="3F4A75"/>
        </w:rPr>
        <w:fldChar w:fldCharType="end"/>
      </w:r>
      <w:r w:rsidRPr="00C67F44">
        <w:t>: QUALITY IMPROVEMENT BENEFITS</w:t>
      </w:r>
    </w:p>
    <w:p w14:paraId="35329FAA" w14:textId="5610848E" w:rsidR="00EF665A" w:rsidRPr="002765D3" w:rsidRDefault="00740395" w:rsidP="00314F78">
      <w:r>
        <w:rPr>
          <w:noProof/>
        </w:rPr>
        <w:drawing>
          <wp:inline distT="0" distB="0" distL="0" distR="0" wp14:anchorId="40D329F4" wp14:editId="01841F87">
            <wp:extent cx="6120000" cy="6644839"/>
            <wp:effectExtent l="0" t="0" r="0" b="3810"/>
            <wp:docPr id="41" name="Picture 41" descr="P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83#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6644839"/>
                    </a:xfrm>
                    <a:prstGeom prst="rect">
                      <a:avLst/>
                    </a:prstGeom>
                    <a:noFill/>
                  </pic:spPr>
                </pic:pic>
              </a:graphicData>
            </a:graphic>
          </wp:inline>
        </w:drawing>
      </w:r>
    </w:p>
    <w:p w14:paraId="2AA4053D" w14:textId="77777777" w:rsidR="006B0A43" w:rsidRPr="004A09AA" w:rsidRDefault="006B0A43" w:rsidP="00314F78">
      <w:r w:rsidRPr="004A09AA">
        <w:br w:type="page"/>
      </w:r>
    </w:p>
    <w:p w14:paraId="0E72E6BE" w14:textId="32C61593" w:rsidR="00C21D47" w:rsidRPr="00E312C1" w:rsidRDefault="00C21D47" w:rsidP="0059348C">
      <w:pPr>
        <w:pStyle w:val="Heading2"/>
      </w:pPr>
      <w:r w:rsidRPr="00E312C1">
        <w:lastRenderedPageBreak/>
        <w:t>When should quality improvement be undertaken?</w:t>
      </w:r>
    </w:p>
    <w:p w14:paraId="690AAD89" w14:textId="77777777" w:rsidR="00C21D47" w:rsidRPr="00E312C1" w:rsidRDefault="00C21D47" w:rsidP="00314F78">
      <w:r w:rsidRPr="00E312C1">
        <w:t>Quality improvement is ongoing and aims to make a difference to care recipients by improving the safety, effectiveness and experience of care and services.</w:t>
      </w:r>
    </w:p>
    <w:p w14:paraId="59B0488B" w14:textId="33813837" w:rsidR="00C21D47" w:rsidRPr="00E312C1" w:rsidRDefault="06F13634" w:rsidP="00314F78">
      <w:r w:rsidRPr="00E312C1">
        <w:t>QI Program data and reports assist approved providers in understanding the quality of services and help to identify opportunities to continuously improve the care they deliver.</w:t>
      </w:r>
    </w:p>
    <w:p w14:paraId="5ADBEC4A" w14:textId="3909D9AE" w:rsidR="00C21D47" w:rsidRPr="00E312C1" w:rsidRDefault="00E401CF" w:rsidP="00314F78">
      <w:pPr>
        <w:pStyle w:val="Caption"/>
      </w:pPr>
      <w:r w:rsidRPr="00E312C1">
        <w:t>FIGURE </w:t>
      </w:r>
      <w:r w:rsidR="00C21D47" w:rsidRPr="00E312C1">
        <w:fldChar w:fldCharType="begin"/>
      </w:r>
      <w:r w:rsidR="00C21D47" w:rsidRPr="00E312C1">
        <w:instrText>SEQ Figure \* ARABIC</w:instrText>
      </w:r>
      <w:r w:rsidR="00C21D47" w:rsidRPr="00E312C1">
        <w:fldChar w:fldCharType="separate"/>
      </w:r>
      <w:r w:rsidR="003A30D7">
        <w:rPr>
          <w:noProof/>
        </w:rPr>
        <w:t>4</w:t>
      </w:r>
      <w:r w:rsidR="00C21D47" w:rsidRPr="00E312C1">
        <w:fldChar w:fldCharType="end"/>
      </w:r>
      <w:r w:rsidRPr="00E312C1">
        <w:t>: STEPS TO ENABLE QUALITY IMPROVEMENT</w:t>
      </w:r>
    </w:p>
    <w:p w14:paraId="16E266FB" w14:textId="0BF53B9D" w:rsidR="00E37895" w:rsidRPr="002765D3" w:rsidRDefault="008609FF" w:rsidP="00314F78">
      <w:r>
        <w:rPr>
          <w:noProof/>
        </w:rPr>
        <w:drawing>
          <wp:inline distT="0" distB="0" distL="0" distR="0" wp14:anchorId="28E412FB" wp14:editId="51BE974E">
            <wp:extent cx="6120000" cy="6842540"/>
            <wp:effectExtent l="0" t="0" r="0" b="0"/>
            <wp:docPr id="10" name="Picture 10" descr="P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89#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000" cy="6842540"/>
                    </a:xfrm>
                    <a:prstGeom prst="rect">
                      <a:avLst/>
                    </a:prstGeom>
                    <a:noFill/>
                  </pic:spPr>
                </pic:pic>
              </a:graphicData>
            </a:graphic>
          </wp:inline>
        </w:drawing>
      </w:r>
    </w:p>
    <w:p w14:paraId="486E865D" w14:textId="77777777" w:rsidR="00C21D47" w:rsidRPr="00E312C1" w:rsidRDefault="00C21D47" w:rsidP="00314F78">
      <w:r w:rsidRPr="00E312C1">
        <w:t>It is important to note that quality improvement should be an ongoing focus for all approved providers of aged care services, regardless of performance.</w:t>
      </w:r>
    </w:p>
    <w:p w14:paraId="532566B1" w14:textId="63D77E96" w:rsidR="00C21D47" w:rsidRPr="00E312C1" w:rsidRDefault="00C21D47" w:rsidP="0059348C">
      <w:pPr>
        <w:pStyle w:val="Heading2"/>
      </w:pPr>
      <w:r w:rsidRPr="00E312C1">
        <w:lastRenderedPageBreak/>
        <w:t>How to undertake quality improvement in aged care</w:t>
      </w:r>
    </w:p>
    <w:p w14:paraId="5CE16406" w14:textId="7F56531E" w:rsidR="00C21D47" w:rsidRPr="005D6D34" w:rsidRDefault="00C21D47" w:rsidP="00314F78">
      <w:r w:rsidRPr="005D6D34">
        <w:t>Quality improvement approaches can help aged care services to improve the quality of care for care recipients.</w:t>
      </w:r>
    </w:p>
    <w:p w14:paraId="4DC71E35" w14:textId="4C61A395" w:rsidR="00C21D47" w:rsidRPr="005D6D34" w:rsidRDefault="00C21D47" w:rsidP="005D6D34">
      <w:pPr>
        <w:pStyle w:val="Heading3"/>
      </w:pPr>
      <w:r w:rsidRPr="005D6D34">
        <w:t>Quality improvement approaches</w:t>
      </w:r>
    </w:p>
    <w:p w14:paraId="6ADEC3E6" w14:textId="77777777" w:rsidR="00C21D47" w:rsidRPr="005D6D34" w:rsidRDefault="06F13634" w:rsidP="00314F78">
      <w:r w:rsidRPr="005D6D34">
        <w:t>There are a range of different approaches to quality improvement. One option is the Plan-Do-Check-Act tool which uses evidence to help organisations deliver quality improvement activities through four steps. The Plan-Do-Check-Act tool allows organisations to identify quality issues and trial a quality improvement activity at a small scale. This helps organisations to understand if the activity works before implementing the activity across the entire system.</w:t>
      </w:r>
    </w:p>
    <w:p w14:paraId="7F0E36ED" w14:textId="17FAAA57" w:rsidR="00C21D47" w:rsidRPr="005D6D34" w:rsidRDefault="06F13634" w:rsidP="00314F78">
      <w:r w:rsidRPr="005D6D34">
        <w:t xml:space="preserve">The Plan-Do-Check-Act tool can be used across all </w:t>
      </w:r>
      <w:r w:rsidR="62116B2B" w:rsidRPr="005D6D34">
        <w:t>eleven</w:t>
      </w:r>
      <w:r w:rsidRPr="005D6D34">
        <w:t xml:space="preserve"> quality indicators in order to make improvements in the delivery of care. Examples of how the Plan-Do-Check-Act tool can be used across each quality indicator are outlined in this Manual.</w:t>
      </w:r>
    </w:p>
    <w:p w14:paraId="5F5E2359" w14:textId="0EC43107" w:rsidR="00C21D47" w:rsidRPr="005D6D34" w:rsidRDefault="00E401CF" w:rsidP="00314F78">
      <w:pPr>
        <w:pStyle w:val="Caption"/>
      </w:pPr>
      <w:r w:rsidRPr="005D6D34">
        <w:t>FIGURE </w:t>
      </w:r>
      <w:r w:rsidR="00C21D47" w:rsidRPr="005D6D34">
        <w:fldChar w:fldCharType="begin"/>
      </w:r>
      <w:r w:rsidR="00C21D47" w:rsidRPr="005D6D34">
        <w:instrText>SEQ Figure \* ARABIC</w:instrText>
      </w:r>
      <w:r w:rsidR="00C21D47" w:rsidRPr="005D6D34">
        <w:fldChar w:fldCharType="separate"/>
      </w:r>
      <w:r w:rsidR="003A30D7">
        <w:rPr>
          <w:noProof/>
        </w:rPr>
        <w:t>5</w:t>
      </w:r>
      <w:r w:rsidR="00C21D47" w:rsidRPr="005D6D34">
        <w:fldChar w:fldCharType="end"/>
      </w:r>
      <w:r w:rsidRPr="005D6D34">
        <w:t>: PLAN-DO-CHECK-ACT TOOL</w:t>
      </w:r>
    </w:p>
    <w:p w14:paraId="565FFEAB" w14:textId="2276FDDF" w:rsidR="00C21D47" w:rsidRPr="002765D3" w:rsidRDefault="00BA33E5" w:rsidP="00314F78">
      <w:r>
        <w:rPr>
          <w:noProof/>
        </w:rPr>
        <w:drawing>
          <wp:inline distT="0" distB="0" distL="0" distR="0" wp14:anchorId="5689893A" wp14:editId="67173CCB">
            <wp:extent cx="6120000" cy="2564187"/>
            <wp:effectExtent l="0" t="0" r="0" b="7620"/>
            <wp:docPr id="43" name="Picture 43" descr="P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97#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000" cy="2564187"/>
                    </a:xfrm>
                    <a:prstGeom prst="rect">
                      <a:avLst/>
                    </a:prstGeom>
                    <a:noFill/>
                  </pic:spPr>
                </pic:pic>
              </a:graphicData>
            </a:graphic>
          </wp:inline>
        </w:drawing>
      </w:r>
    </w:p>
    <w:p w14:paraId="7E5747C0" w14:textId="77777777" w:rsidR="00AF4D38" w:rsidRDefault="00AF4D38" w:rsidP="00314F78">
      <w:r>
        <w:br w:type="page"/>
      </w:r>
    </w:p>
    <w:p w14:paraId="725C1101" w14:textId="2D2E5906" w:rsidR="00F63AF3" w:rsidRPr="005D6D34" w:rsidRDefault="00F63AF3" w:rsidP="00314F78">
      <w:r w:rsidRPr="00031A71">
        <w:rPr>
          <w:rStyle w:val="StrongTealChar"/>
        </w:rPr>
        <w:lastRenderedPageBreak/>
        <w:t>PLANNING</w:t>
      </w:r>
      <w:r w:rsidR="008164F1" w:rsidRPr="00031A71">
        <w:rPr>
          <w:rStyle w:val="StrongTealChar"/>
        </w:rPr>
        <w:t xml:space="preserve"> </w:t>
      </w:r>
      <w:r w:rsidRPr="005D6D34">
        <w:t>is an important first step in quality improvement.</w:t>
      </w:r>
    </w:p>
    <w:p w14:paraId="5105470D" w14:textId="52445338" w:rsidR="00F63AF3" w:rsidRPr="005D6D34" w:rsidRDefault="1E51DCA0" w:rsidP="00314F78">
      <w:pPr>
        <w:pStyle w:val="ListBullet"/>
      </w:pPr>
      <w:r w:rsidRPr="005D6D34">
        <w:t>Gather information to understand the current situation and identify what is causing the quality issue. This includes reviewing quality indicator data and may also include collecting additional data.</w:t>
      </w:r>
    </w:p>
    <w:p w14:paraId="5283A8F2" w14:textId="63C45C26" w:rsidR="00F63AF3" w:rsidRPr="005D6D34" w:rsidRDefault="1E51DCA0" w:rsidP="00314F78">
      <w:pPr>
        <w:pStyle w:val="ListBullet"/>
      </w:pPr>
      <w:r w:rsidRPr="005D6D34">
        <w:t>Establish goals for your quality improvement activity. Goals should be measurable and have a set timeframe to be achieved.</w:t>
      </w:r>
    </w:p>
    <w:p w14:paraId="1FF522FC" w14:textId="78F46E17" w:rsidR="00F63AF3" w:rsidRPr="005D6D34" w:rsidRDefault="1E51DCA0" w:rsidP="00314F78">
      <w:r w:rsidRPr="005D6D34">
        <w:t>Make a plan for how the quality improvement activity will be carried out. This process should be collaborative and include different levels of staff, as well as care recipients where possible. The plan should be detailed, define who is affected by the activity, outline the tasks required and who is required to deliver them.</w:t>
      </w:r>
    </w:p>
    <w:p w14:paraId="6A006074" w14:textId="77777777" w:rsidR="00F63AF3" w:rsidRPr="00472C2A" w:rsidRDefault="00F63AF3" w:rsidP="00314F78">
      <w:r w:rsidRPr="00031A71">
        <w:rPr>
          <w:rStyle w:val="StrongTealChar"/>
        </w:rPr>
        <w:t>DOING</w:t>
      </w:r>
      <w:r w:rsidRPr="00472C2A">
        <w:t xml:space="preserve"> focuses on implementing and delivering the quality improvement activities you have planned.</w:t>
      </w:r>
    </w:p>
    <w:p w14:paraId="2B8128DE" w14:textId="77777777" w:rsidR="00F63AF3" w:rsidRPr="00472C2A" w:rsidRDefault="00F63AF3" w:rsidP="00314F78">
      <w:pPr>
        <w:pStyle w:val="ListBullet"/>
      </w:pPr>
      <w:r w:rsidRPr="00472C2A">
        <w:t>Allocate resources to deliver the quality improvement activity.</w:t>
      </w:r>
    </w:p>
    <w:p w14:paraId="1509A79D" w14:textId="77777777" w:rsidR="00F63AF3" w:rsidRPr="00472C2A" w:rsidRDefault="00F63AF3" w:rsidP="00314F78">
      <w:pPr>
        <w:pStyle w:val="ListBullet"/>
      </w:pPr>
      <w:r w:rsidRPr="00472C2A">
        <w:t>Test the activity at a small scale and adjust as needed.</w:t>
      </w:r>
    </w:p>
    <w:p w14:paraId="2E6FF925" w14:textId="77777777" w:rsidR="00F63AF3" w:rsidRPr="00472C2A" w:rsidRDefault="00F63AF3" w:rsidP="00314F78">
      <w:pPr>
        <w:pStyle w:val="ListBullet"/>
      </w:pPr>
      <w:r w:rsidRPr="00472C2A">
        <w:t>Inform stakeholders.</w:t>
      </w:r>
    </w:p>
    <w:p w14:paraId="18B5C262" w14:textId="77777777" w:rsidR="00F63AF3" w:rsidRPr="00472C2A" w:rsidRDefault="00F63AF3" w:rsidP="00314F78">
      <w:pPr>
        <w:pStyle w:val="ListBullet"/>
      </w:pPr>
      <w:r w:rsidRPr="00472C2A">
        <w:t>Document observations, including any decisions made while delivering the activity and if any changes are made to the plan.</w:t>
      </w:r>
    </w:p>
    <w:p w14:paraId="0FEED716" w14:textId="77777777" w:rsidR="00F63AF3" w:rsidRPr="00472C2A" w:rsidRDefault="00F63AF3" w:rsidP="00314F78">
      <w:r w:rsidRPr="00472C2A">
        <w:t>Collect data based on the measures agreed in the planning phase.</w:t>
      </w:r>
    </w:p>
    <w:p w14:paraId="1182CE54" w14:textId="77777777" w:rsidR="00F63AF3" w:rsidRPr="00472C2A" w:rsidRDefault="00F63AF3" w:rsidP="00314F78">
      <w:r w:rsidRPr="00031A71">
        <w:rPr>
          <w:rStyle w:val="StrongTealChar"/>
        </w:rPr>
        <w:t>CHECKING</w:t>
      </w:r>
      <w:r w:rsidRPr="00472C2A">
        <w:t xml:space="preserve"> involves evaluating what you are doing to check if it is working using qualitative and quantitative information.</w:t>
      </w:r>
    </w:p>
    <w:p w14:paraId="62321CC5" w14:textId="77777777" w:rsidR="00F63AF3" w:rsidRPr="00472C2A" w:rsidRDefault="00F63AF3" w:rsidP="00314F78">
      <w:pPr>
        <w:pStyle w:val="ListBullet"/>
      </w:pPr>
      <w:r w:rsidRPr="00472C2A">
        <w:t>Qualitative information involves asking questions to understand what did and did not work well, and how further improvement can occur.</w:t>
      </w:r>
    </w:p>
    <w:p w14:paraId="37868A82" w14:textId="77777777" w:rsidR="00F63AF3" w:rsidRPr="00454D17" w:rsidRDefault="00F63AF3" w:rsidP="00314F78">
      <w:pPr>
        <w:pStyle w:val="ListBullet"/>
      </w:pPr>
      <w:r w:rsidRPr="00472C2A">
        <w:t>Quantitative information involves collecting data to measure outcomes from a quality improvement activity. A validated quality improvement</w:t>
      </w:r>
      <w:r w:rsidRPr="00454D17">
        <w:t xml:space="preserve"> tool is a helpful way to collect this data.</w:t>
      </w:r>
    </w:p>
    <w:p w14:paraId="22AED2D8" w14:textId="77777777" w:rsidR="00F63AF3" w:rsidRPr="00AD045C" w:rsidRDefault="00F63AF3" w:rsidP="00314F78">
      <w:r w:rsidRPr="00AD045C">
        <w:t>Once information and data has been collected, the results should be analysed to understand if any changes should be made to your plan.</w:t>
      </w:r>
    </w:p>
    <w:p w14:paraId="28B8DE2E" w14:textId="77777777" w:rsidR="00F63AF3" w:rsidRPr="00472C2A" w:rsidRDefault="1E51DCA0" w:rsidP="00314F78">
      <w:r w:rsidRPr="00031A71">
        <w:rPr>
          <w:rStyle w:val="StrongTealChar"/>
        </w:rPr>
        <w:t>ACTING</w:t>
      </w:r>
      <w:r w:rsidRPr="00472C2A">
        <w:t xml:space="preserve"> involves making a decision to decide if a quality improvement activity has been successful.</w:t>
      </w:r>
    </w:p>
    <w:p w14:paraId="57304168" w14:textId="77777777" w:rsidR="00F63AF3" w:rsidRPr="00472C2A" w:rsidRDefault="1E51DCA0" w:rsidP="00314F78">
      <w:pPr>
        <w:pStyle w:val="ListBullet"/>
      </w:pPr>
      <w:r w:rsidRPr="00472C2A">
        <w:t>If the activity is successful, organisations should work to embed the new activity at a larger scale. This includes training and educating staff, updating policies and procedures, and informing stakeholders.</w:t>
      </w:r>
    </w:p>
    <w:p w14:paraId="714A238C" w14:textId="77777777" w:rsidR="00F63AF3" w:rsidRPr="00472C2A" w:rsidRDefault="1E51DCA0" w:rsidP="00314F78">
      <w:pPr>
        <w:pStyle w:val="ListBullet"/>
      </w:pPr>
      <w:r w:rsidRPr="00472C2A">
        <w:t>If the activity is not successful, it is important to identify why this might be and what can be done differently. The PlanDoCheckAct tool should be used again, but this time with a different quality improvement activity.</w:t>
      </w:r>
    </w:p>
    <w:p w14:paraId="7D07F9E4" w14:textId="77777777" w:rsidR="00B72DA6" w:rsidRPr="004A09AA" w:rsidRDefault="00B72DA6" w:rsidP="00314F78">
      <w:pPr>
        <w:sectPr w:rsidR="00B72DA6" w:rsidRPr="004A09AA" w:rsidSect="00185F15">
          <w:headerReference w:type="even" r:id="rId39"/>
          <w:headerReference w:type="default" r:id="rId40"/>
          <w:headerReference w:type="first" r:id="rId41"/>
          <w:endnotePr>
            <w:numFmt w:val="decimal"/>
          </w:endnotePr>
          <w:type w:val="continuous"/>
          <w:pgSz w:w="11906" w:h="16838" w:code="9"/>
          <w:pgMar w:top="1701" w:right="1134" w:bottom="1134" w:left="1134" w:header="567" w:footer="567" w:gutter="0"/>
          <w:cols w:space="708"/>
          <w:docGrid w:linePitch="360"/>
        </w:sectPr>
      </w:pPr>
    </w:p>
    <w:p w14:paraId="06FE92FE" w14:textId="3C94AB9E" w:rsidR="00FD3F37" w:rsidRDefault="00C3750B" w:rsidP="0059348C">
      <w:pPr>
        <w:pStyle w:val="Heading1"/>
      </w:pPr>
      <w:bookmarkStart w:id="6" w:name="_Toc76998113"/>
      <w:bookmarkStart w:id="7" w:name="_Toc193889889"/>
      <w:r>
        <w:rPr>
          <w:noProof/>
        </w:rPr>
        <w:lastRenderedPageBreak/>
        <w:drawing>
          <wp:anchor distT="0" distB="0" distL="114300" distR="114300" simplePos="0" relativeHeight="251658293" behindDoc="1" locked="0" layoutInCell="1" allowOverlap="1" wp14:anchorId="24CF6545" wp14:editId="4AEE28E0">
            <wp:simplePos x="0" y="0"/>
            <wp:positionH relativeFrom="page">
              <wp:align>left</wp:align>
            </wp:positionH>
            <wp:positionV relativeFrom="paragraph">
              <wp:posOffset>417626</wp:posOffset>
            </wp:positionV>
            <wp:extent cx="8741746" cy="1086929"/>
            <wp:effectExtent l="0" t="0" r="2540" b="0"/>
            <wp:wrapNone/>
            <wp:docPr id="9329684" name="Picture 7" descr="P11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684" name="Picture 7" descr="P117#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0155" cy="1089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3143B6">
        <w:t>Pressure injuries</w:t>
      </w:r>
      <w:bookmarkEnd w:id="6"/>
      <w:bookmarkEnd w:id="7"/>
    </w:p>
    <w:p w14:paraId="6F59CE0C" w14:textId="2E88A351" w:rsidR="00FD3F37" w:rsidRPr="00C3750B" w:rsidRDefault="00031A71" w:rsidP="005313E1">
      <w:pPr>
        <w:pStyle w:val="Headerwhite"/>
      </w:pPr>
      <w:r w:rsidRPr="002765D3">
        <w:rPr>
          <w:noProof/>
        </w:rPr>
        <w:drawing>
          <wp:anchor distT="0" distB="0" distL="114300" distR="114300" simplePos="0" relativeHeight="251658294" behindDoc="0" locked="0" layoutInCell="1" allowOverlap="1" wp14:anchorId="5FD65F52" wp14:editId="253EC6B8">
            <wp:simplePos x="0" y="0"/>
            <wp:positionH relativeFrom="margin">
              <wp:posOffset>-25879</wp:posOffset>
            </wp:positionH>
            <wp:positionV relativeFrom="paragraph">
              <wp:posOffset>105362</wp:posOffset>
            </wp:positionV>
            <wp:extent cx="864000" cy="865788"/>
            <wp:effectExtent l="0" t="0" r="0" b="0"/>
            <wp:wrapSquare wrapText="bothSides"/>
            <wp:docPr id="2091994245" name="Picture 20" descr="P118#y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45" name="Picture 20" descr="P118#y1">
                      <a:extLst>
                        <a:ext uri="{C183D7F6-B498-43B3-948B-1728B52AA6E4}">
                          <adec:decorative xmlns:adec="http://schemas.microsoft.com/office/drawing/2017/decorative" val="0"/>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865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50B" w:rsidRPr="00C3750B">
        <w:t>Pressure injuries are a major and prevalent health concern for older Australians, with evidence demonstrating that pressure injuries are an important and recognised issue in residential aged care.</w:t>
      </w:r>
    </w:p>
    <w:p w14:paraId="397DB9B5" w14:textId="163EF7B1" w:rsidR="00FD3F37" w:rsidRPr="003143B6" w:rsidRDefault="00FD3F37" w:rsidP="005313E1">
      <w:pPr>
        <w:pStyle w:val="Heading2"/>
      </w:pPr>
      <w:r w:rsidRPr="005313E1">
        <w:t>Overview</w:t>
      </w:r>
      <w:r w:rsidRPr="003143B6">
        <w:t xml:space="preserve"> of pressure injuries</w:t>
      </w:r>
    </w:p>
    <w:p w14:paraId="274A1BCA" w14:textId="4A378E40" w:rsidR="00FD3F37" w:rsidRPr="003143B6" w:rsidRDefault="00FD3F37" w:rsidP="00314F78">
      <w:r w:rsidRPr="003143B6">
        <w:fldChar w:fldCharType="begin" w:fldLock="1"/>
      </w:r>
      <w:r w:rsidRPr="003143B6">
        <w:instrText xml:space="preserve"> REF _Ref76989072 \h </w:instrText>
      </w:r>
      <w:r w:rsidR="003143B6">
        <w:instrText xml:space="preserve"> \* MERGEFORMAT </w:instrText>
      </w:r>
      <w:r w:rsidRPr="003143B6">
        <w:fldChar w:fldCharType="separate"/>
      </w:r>
      <w:r w:rsidR="009F0B74" w:rsidRPr="003143B6">
        <w:t>Figure 6</w:t>
      </w:r>
      <w:r w:rsidRPr="003143B6">
        <w:fldChar w:fldCharType="end"/>
      </w:r>
      <w:r w:rsidRPr="003143B6">
        <w:t xml:space="preserve"> below provides an overview of the prevalence of pressure injuries in residential aged care services.</w:t>
      </w:r>
      <w:r w:rsidR="00FD2C5F" w:rsidRPr="003143B6">
        <w:t xml:space="preserve"> </w:t>
      </w:r>
      <w:r w:rsidR="00460F5C" w:rsidRPr="003143B6">
        <w:t>The data and r</w:t>
      </w:r>
      <w:r w:rsidR="00FD2C5F" w:rsidRPr="003143B6">
        <w:t xml:space="preserve">eferences have been </w:t>
      </w:r>
      <w:r w:rsidR="00FD6E75" w:rsidRPr="003143B6">
        <w:t>reviewed</w:t>
      </w:r>
      <w:r w:rsidR="00FD2C5F" w:rsidRPr="003143B6">
        <w:t xml:space="preserve"> March 2025.</w:t>
      </w:r>
    </w:p>
    <w:p w14:paraId="6118CF5A" w14:textId="5BB3769D" w:rsidR="00FD3F37" w:rsidRPr="003143B6" w:rsidRDefault="00E401CF" w:rsidP="00314F78">
      <w:pPr>
        <w:pStyle w:val="Caption"/>
      </w:pPr>
      <w:bookmarkStart w:id="8" w:name="_Ref76989072"/>
      <w:r w:rsidRPr="003143B6">
        <w:t>FIGURE </w:t>
      </w:r>
      <w:r w:rsidR="00FD3F37" w:rsidRPr="003143B6">
        <w:fldChar w:fldCharType="begin"/>
      </w:r>
      <w:r w:rsidR="00FD3F37" w:rsidRPr="003143B6">
        <w:instrText>SEQ Figure \* ARABIC</w:instrText>
      </w:r>
      <w:r w:rsidR="00FD3F37" w:rsidRPr="003143B6">
        <w:fldChar w:fldCharType="separate"/>
      </w:r>
      <w:r w:rsidR="003A30D7">
        <w:rPr>
          <w:noProof/>
        </w:rPr>
        <w:t>6</w:t>
      </w:r>
      <w:r w:rsidR="00FD3F37" w:rsidRPr="003143B6">
        <w:fldChar w:fldCharType="end"/>
      </w:r>
      <w:bookmarkEnd w:id="8"/>
      <w:r w:rsidRPr="003143B6">
        <w:t>: PRESSURE INJURIES IN RESIDENTIAL AGED CARE SERVICES</w:t>
      </w:r>
      <w:r w:rsidR="005E4AFB" w:rsidRPr="003143B6">
        <w:t xml:space="preserve"> </w:t>
      </w:r>
      <w:r w:rsidR="009253DC">
        <w:rPr>
          <w:rFonts w:ascii="ZWAdobeF" w:hAnsi="ZWAdobeF" w:cs="ZWAdobeF"/>
          <w:b w:val="0"/>
          <w:color w:val="auto"/>
          <w:sz w:val="2"/>
          <w:szCs w:val="2"/>
        </w:rPr>
        <w:t>2F</w:t>
      </w:r>
      <w:r w:rsidR="00FD3F37" w:rsidRPr="00454D17">
        <w:rPr>
          <w:rStyle w:val="EndnoteReference"/>
        </w:rPr>
        <w:endnoteReference w:id="4"/>
      </w:r>
      <w:r w:rsidRPr="00454D17">
        <w:rPr>
          <w:rStyle w:val="EndnoteReference"/>
        </w:rPr>
        <w:t xml:space="preserve"> </w:t>
      </w:r>
      <w:r w:rsidR="009253DC">
        <w:rPr>
          <w:rFonts w:ascii="ZWAdobeF" w:hAnsi="ZWAdobeF" w:cs="ZWAdobeF"/>
          <w:b w:val="0"/>
          <w:color w:val="auto"/>
          <w:sz w:val="2"/>
          <w:szCs w:val="2"/>
        </w:rPr>
        <w:t>3F</w:t>
      </w:r>
      <w:r w:rsidR="00FD3F37" w:rsidRPr="00454D17">
        <w:rPr>
          <w:rStyle w:val="EndnoteReference"/>
        </w:rPr>
        <w:endnoteReference w:id="5"/>
      </w:r>
      <w:r w:rsidRPr="00454D17">
        <w:rPr>
          <w:rStyle w:val="EndnoteReference"/>
        </w:rPr>
        <w:t xml:space="preserve"> </w:t>
      </w:r>
      <w:r w:rsidR="009253DC">
        <w:rPr>
          <w:rFonts w:ascii="ZWAdobeF" w:hAnsi="ZWAdobeF" w:cs="ZWAdobeF"/>
          <w:b w:val="0"/>
          <w:color w:val="auto"/>
          <w:sz w:val="2"/>
          <w:szCs w:val="2"/>
        </w:rPr>
        <w:t>4F</w:t>
      </w:r>
      <w:r w:rsidR="00FD3F37" w:rsidRPr="00454D17">
        <w:rPr>
          <w:rStyle w:val="EndnoteReference"/>
        </w:rPr>
        <w:endnoteReference w:id="6"/>
      </w:r>
      <w:r w:rsidRPr="00454D17">
        <w:rPr>
          <w:rStyle w:val="EndnoteReference"/>
        </w:rPr>
        <w:t xml:space="preserve"> </w:t>
      </w:r>
      <w:r w:rsidR="009253DC">
        <w:rPr>
          <w:rFonts w:ascii="ZWAdobeF" w:hAnsi="ZWAdobeF" w:cs="ZWAdobeF"/>
          <w:b w:val="0"/>
          <w:color w:val="auto"/>
          <w:sz w:val="2"/>
          <w:szCs w:val="2"/>
        </w:rPr>
        <w:t>5F</w:t>
      </w:r>
      <w:r w:rsidR="00FD3F37" w:rsidRPr="00454D17">
        <w:rPr>
          <w:rStyle w:val="EndnoteReference"/>
        </w:rPr>
        <w:endnoteReference w:id="7"/>
      </w:r>
      <w:r w:rsidRPr="00454D17">
        <w:rPr>
          <w:rStyle w:val="EndnoteReference"/>
        </w:rPr>
        <w:t xml:space="preserve"> </w:t>
      </w:r>
      <w:r w:rsidR="009253DC">
        <w:rPr>
          <w:rFonts w:ascii="ZWAdobeF" w:hAnsi="ZWAdobeF" w:cs="ZWAdobeF"/>
          <w:b w:val="0"/>
          <w:color w:val="auto"/>
          <w:sz w:val="2"/>
          <w:szCs w:val="2"/>
        </w:rPr>
        <w:t>6F</w:t>
      </w:r>
      <w:r w:rsidR="00FD3F37" w:rsidRPr="00454D17">
        <w:rPr>
          <w:rStyle w:val="EndnoteReference"/>
        </w:rPr>
        <w:endnoteReference w:id="8"/>
      </w:r>
      <w:r w:rsidRPr="00454D17">
        <w:rPr>
          <w:rStyle w:val="EndnoteReference"/>
        </w:rPr>
        <w:t xml:space="preserve"> </w:t>
      </w:r>
      <w:r w:rsidR="009253DC">
        <w:rPr>
          <w:rFonts w:ascii="ZWAdobeF" w:hAnsi="ZWAdobeF" w:cs="ZWAdobeF"/>
          <w:b w:val="0"/>
          <w:color w:val="auto"/>
          <w:sz w:val="2"/>
          <w:szCs w:val="2"/>
        </w:rPr>
        <w:t>7F</w:t>
      </w:r>
      <w:r w:rsidR="00FD3F37" w:rsidRPr="00454D17">
        <w:rPr>
          <w:rStyle w:val="EndnoteReference"/>
        </w:rPr>
        <w:endnoteReference w:id="9"/>
      </w:r>
    </w:p>
    <w:p w14:paraId="0FD787AA" w14:textId="05B89AB6" w:rsidR="00FD3F37" w:rsidRPr="002765D3" w:rsidRDefault="005A426F" w:rsidP="00314F78">
      <w:r>
        <w:rPr>
          <w:noProof/>
        </w:rPr>
        <w:drawing>
          <wp:inline distT="0" distB="0" distL="0" distR="0" wp14:anchorId="7CC67003" wp14:editId="565B6176">
            <wp:extent cx="6238875" cy="5500282"/>
            <wp:effectExtent l="0" t="0" r="0" b="5715"/>
            <wp:docPr id="82775255" name="Picture 1" descr="P1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5255" name="Picture 1" descr="P122#yIS1"/>
                    <pic:cNvPicPr/>
                  </pic:nvPicPr>
                  <pic:blipFill>
                    <a:blip r:embed="rId44"/>
                    <a:stretch>
                      <a:fillRect/>
                    </a:stretch>
                  </pic:blipFill>
                  <pic:spPr>
                    <a:xfrm>
                      <a:off x="0" y="0"/>
                      <a:ext cx="6241254" cy="5502379"/>
                    </a:xfrm>
                    <a:prstGeom prst="rect">
                      <a:avLst/>
                    </a:prstGeom>
                  </pic:spPr>
                </pic:pic>
              </a:graphicData>
            </a:graphic>
          </wp:inline>
        </w:drawing>
      </w:r>
    </w:p>
    <w:p w14:paraId="6BF0572C" w14:textId="77777777" w:rsidR="00FD3F37" w:rsidRPr="004A09AA" w:rsidRDefault="00FD3F37" w:rsidP="00314F78">
      <w:pPr>
        <w:sectPr w:rsidR="00FD3F37" w:rsidRPr="004A09AA" w:rsidSect="00157BB5">
          <w:headerReference w:type="even" r:id="rId45"/>
          <w:headerReference w:type="default" r:id="rId46"/>
          <w:headerReference w:type="first" r:id="rId47"/>
          <w:endnotePr>
            <w:numFmt w:val="decimal"/>
          </w:endnotePr>
          <w:pgSz w:w="11906" w:h="16838" w:code="9"/>
          <w:pgMar w:top="1701" w:right="1134" w:bottom="1134" w:left="1134" w:header="567" w:footer="567" w:gutter="0"/>
          <w:cols w:space="708"/>
          <w:docGrid w:linePitch="360"/>
        </w:sectPr>
      </w:pPr>
    </w:p>
    <w:p w14:paraId="7E4D1E34" w14:textId="69ECCC84" w:rsidR="00FD3F37" w:rsidRPr="003143B6" w:rsidRDefault="00FD3F37" w:rsidP="0059348C">
      <w:pPr>
        <w:pStyle w:val="Heading2"/>
      </w:pPr>
      <w:r w:rsidRPr="003143B6">
        <w:lastRenderedPageBreak/>
        <w:t>Pressure injuries in residential aged care</w:t>
      </w:r>
    </w:p>
    <w:p w14:paraId="6F8CAE65" w14:textId="17413D2D" w:rsidR="00FD3F37" w:rsidRPr="003143B6" w:rsidRDefault="7279DF3A" w:rsidP="00314F78">
      <w:r w:rsidRPr="003143B6">
        <w:t>A pressure injury is a</w:t>
      </w:r>
      <w:r w:rsidR="7BA857AD" w:rsidRPr="003143B6">
        <w:t>n</w:t>
      </w:r>
      <w:r w:rsidRPr="003143B6">
        <w:t xml:space="preserve"> injury to the skin and/or </w:t>
      </w:r>
      <w:r w:rsidR="617F657D" w:rsidRPr="003143B6">
        <w:t>underlying tissue</w:t>
      </w:r>
      <w:r w:rsidRPr="003143B6">
        <w:t xml:space="preserve"> </w:t>
      </w:r>
      <w:r w:rsidR="0763390E" w:rsidRPr="003143B6">
        <w:t>caused by unrelieved pressure, friction or shearing</w:t>
      </w:r>
      <w:r w:rsidRPr="003143B6">
        <w:t>.</w:t>
      </w:r>
      <w:r w:rsidR="009253DC">
        <w:rPr>
          <w:rFonts w:ascii="ZWAdobeF" w:hAnsi="ZWAdobeF" w:cs="ZWAdobeF"/>
          <w:color w:val="auto"/>
          <w:sz w:val="2"/>
          <w:szCs w:val="2"/>
        </w:rPr>
        <w:t>8F</w:t>
      </w:r>
      <w:r w:rsidR="00FD3F37" w:rsidRPr="003143B6">
        <w:rPr>
          <w:vertAlign w:val="superscript"/>
        </w:rPr>
        <w:endnoteReference w:id="10"/>
      </w:r>
      <w:r w:rsidRPr="003143B6">
        <w:t xml:space="preserve"> Pressure injuries usually occur over a bony prominence but may also be caused by an object, such as a medical device.</w:t>
      </w:r>
      <w:r w:rsidR="009253DC">
        <w:rPr>
          <w:rFonts w:ascii="ZWAdobeF" w:hAnsi="ZWAdobeF" w:cs="ZWAdobeF"/>
          <w:color w:val="auto"/>
          <w:sz w:val="2"/>
          <w:szCs w:val="2"/>
        </w:rPr>
        <w:t>9F</w:t>
      </w:r>
      <w:r w:rsidR="00FD3F37" w:rsidRPr="003143B6">
        <w:rPr>
          <w:vertAlign w:val="superscript"/>
        </w:rPr>
        <w:endnoteReference w:id="11"/>
      </w:r>
    </w:p>
    <w:p w14:paraId="030B3C20" w14:textId="3CD496B4" w:rsidR="00FD3F37" w:rsidRPr="00D82644" w:rsidRDefault="00FD3F37" w:rsidP="00314F78">
      <w:pPr>
        <w:sectPr w:rsidR="00FD3F37" w:rsidRPr="00D82644" w:rsidSect="00726801">
          <w:headerReference w:type="even" r:id="rId48"/>
          <w:headerReference w:type="default" r:id="rId49"/>
          <w:headerReference w:type="first" r:id="rId50"/>
          <w:endnotePr>
            <w:numFmt w:val="decimal"/>
          </w:endnotePr>
          <w:pgSz w:w="11906" w:h="16838" w:code="9"/>
          <w:pgMar w:top="1701" w:right="1134" w:bottom="1134" w:left="1134" w:header="567" w:footer="567" w:gutter="0"/>
          <w:cols w:space="708"/>
          <w:docGrid w:linePitch="360"/>
        </w:sectPr>
      </w:pPr>
      <w:r w:rsidRPr="003143B6">
        <w:t>The ICD 10 Australian Modified (AM) pressure injury classification system outlined in the Prevention and Treatment of Pressure Ulcers/Injuries: Clinical Practice Guideline 2019</w:t>
      </w:r>
      <w:r w:rsidR="009253DC">
        <w:rPr>
          <w:rFonts w:ascii="ZWAdobeF" w:hAnsi="ZWAdobeF" w:cs="ZWAdobeF"/>
          <w:color w:val="auto"/>
          <w:sz w:val="2"/>
          <w:szCs w:val="2"/>
        </w:rPr>
        <w:t>10F</w:t>
      </w:r>
      <w:r w:rsidRPr="003143B6">
        <w:endnoteReference w:id="12"/>
      </w:r>
      <w:r w:rsidRPr="003143B6">
        <w:t xml:space="preserve"> includes the following six pressure injury stages</w:t>
      </w:r>
      <w:r w:rsidRPr="00D82644">
        <w:t>:</w:t>
      </w:r>
    </w:p>
    <w:p w14:paraId="610E4C99" w14:textId="77777777" w:rsidR="00FD3F37" w:rsidRPr="00D82644" w:rsidRDefault="00FD3F37" w:rsidP="00314F78">
      <w:pPr>
        <w:pStyle w:val="ListBullet"/>
      </w:pPr>
      <w:r w:rsidRPr="00D82644">
        <w:t>Stage 1 Pressure Injury</w:t>
      </w:r>
    </w:p>
    <w:p w14:paraId="7C9D7388" w14:textId="77777777" w:rsidR="00FD3F37" w:rsidRPr="003143B6" w:rsidRDefault="00FD3F37" w:rsidP="00314F78">
      <w:pPr>
        <w:pStyle w:val="ListBullet"/>
      </w:pPr>
      <w:r w:rsidRPr="003143B6">
        <w:t>Stage 2 Pressure Injury</w:t>
      </w:r>
    </w:p>
    <w:p w14:paraId="3F66131B" w14:textId="77777777" w:rsidR="00FD3F37" w:rsidRPr="003143B6" w:rsidRDefault="00FD3F37" w:rsidP="00314F78">
      <w:pPr>
        <w:pStyle w:val="ListBullet"/>
      </w:pPr>
      <w:r w:rsidRPr="003143B6">
        <w:t>Stage 3 Pressure Injury</w:t>
      </w:r>
    </w:p>
    <w:p w14:paraId="49F7BF76" w14:textId="77777777" w:rsidR="00FD3F37" w:rsidRPr="003143B6" w:rsidRDefault="00FD3F37" w:rsidP="00314F78">
      <w:pPr>
        <w:pStyle w:val="ListBullet"/>
      </w:pPr>
      <w:r w:rsidRPr="003143B6">
        <w:t>Stage 4 Pressure Injury</w:t>
      </w:r>
    </w:p>
    <w:p w14:paraId="4078E4BD" w14:textId="77777777" w:rsidR="00FD3F37" w:rsidRPr="003143B6" w:rsidRDefault="00FD3F37" w:rsidP="00314F78">
      <w:pPr>
        <w:pStyle w:val="ListBullet"/>
      </w:pPr>
      <w:r w:rsidRPr="003143B6">
        <w:t>Unstageable Pressure Injury</w:t>
      </w:r>
    </w:p>
    <w:p w14:paraId="78EBFC73" w14:textId="77777777" w:rsidR="00FD3F37" w:rsidRPr="003143B6" w:rsidRDefault="00FD3F37" w:rsidP="00314F78">
      <w:pPr>
        <w:pStyle w:val="ListBullet"/>
        <w:sectPr w:rsidR="00FD3F37" w:rsidRPr="003143B6" w:rsidSect="00726801">
          <w:endnotePr>
            <w:numFmt w:val="decimal"/>
          </w:endnotePr>
          <w:type w:val="continuous"/>
          <w:pgSz w:w="11906" w:h="16838" w:code="9"/>
          <w:pgMar w:top="1701" w:right="1134" w:bottom="1134" w:left="1134" w:header="567" w:footer="567" w:gutter="0"/>
          <w:cols w:num="2" w:space="708"/>
          <w:docGrid w:linePitch="360"/>
        </w:sectPr>
      </w:pPr>
      <w:r w:rsidRPr="003143B6">
        <w:t>Suspected Deep Tissue Injury</w:t>
      </w:r>
    </w:p>
    <w:p w14:paraId="1040C729" w14:textId="77777777" w:rsidR="00FD3F37" w:rsidRPr="003143B6" w:rsidRDefault="16391C9B" w:rsidP="00314F78">
      <w:r w:rsidRPr="003143B6">
        <w:t>Details of the collection and reporting requirements for the pressure injuries quality indicator can be found in Part A.</w:t>
      </w:r>
    </w:p>
    <w:p w14:paraId="20251B48" w14:textId="75B1B05E" w:rsidR="00FD3F37" w:rsidRPr="003143B6" w:rsidRDefault="00FD3F37" w:rsidP="0059348C">
      <w:pPr>
        <w:pStyle w:val="Heading2"/>
      </w:pPr>
      <w:r w:rsidRPr="003143B6">
        <w:t>Causes of pressure injuries</w:t>
      </w:r>
    </w:p>
    <w:p w14:paraId="4A945327" w14:textId="738354AA" w:rsidR="00FD3F37" w:rsidRPr="003143B6" w:rsidRDefault="7279DF3A" w:rsidP="00314F78">
      <w:r w:rsidRPr="003143B6">
        <w:t xml:space="preserve">Pressure injuries may occur when an </w:t>
      </w:r>
      <w:r w:rsidRPr="003143B6">
        <w:rPr>
          <w:rStyle w:val="Strong"/>
        </w:rPr>
        <w:t>area of skin and the tissues underneath it is damaged</w:t>
      </w:r>
      <w:r w:rsidRPr="003143B6">
        <w:t xml:space="preserve"> by being under enough pressure that the blood supply is reduced.</w:t>
      </w:r>
      <w:r w:rsidR="009253DC">
        <w:rPr>
          <w:rFonts w:ascii="ZWAdobeF" w:hAnsi="ZWAdobeF" w:cs="ZWAdobeF"/>
          <w:color w:val="auto"/>
          <w:sz w:val="2"/>
          <w:szCs w:val="2"/>
        </w:rPr>
        <w:t>11F</w:t>
      </w:r>
      <w:r w:rsidR="00FD3F37" w:rsidRPr="003143B6">
        <w:rPr>
          <w:vertAlign w:val="superscript"/>
        </w:rPr>
        <w:endnoteReference w:id="13"/>
      </w:r>
      <w:r w:rsidRPr="003143B6">
        <w:rPr>
          <w:vertAlign w:val="superscript"/>
        </w:rPr>
        <w:t xml:space="preserve"> </w:t>
      </w:r>
      <w:r w:rsidRPr="003143B6">
        <w:rPr>
          <w:rStyle w:val="Strong"/>
        </w:rPr>
        <w:t>Pressure injuries have three core causes</w:t>
      </w:r>
      <w:r w:rsidRPr="003143B6">
        <w:rPr>
          <w:vertAlign w:val="superscript"/>
        </w:rPr>
        <w:t>:</w:t>
      </w:r>
      <w:r w:rsidR="009253DC">
        <w:rPr>
          <w:rFonts w:ascii="ZWAdobeF" w:hAnsi="ZWAdobeF" w:cs="ZWAdobeF"/>
          <w:color w:val="auto"/>
          <w:sz w:val="2"/>
          <w:szCs w:val="2"/>
        </w:rPr>
        <w:t>12F</w:t>
      </w:r>
      <w:r w:rsidR="00FD3F37" w:rsidRPr="003143B6">
        <w:rPr>
          <w:vertAlign w:val="superscript"/>
        </w:rPr>
        <w:endnoteReference w:id="14"/>
      </w:r>
      <w:r w:rsidR="4FBD1D09" w:rsidRPr="003143B6">
        <w:rPr>
          <w:vertAlign w:val="superscript"/>
        </w:rPr>
        <w:t> </w:t>
      </w:r>
      <w:r w:rsidR="009253DC">
        <w:rPr>
          <w:rFonts w:ascii="ZWAdobeF" w:hAnsi="ZWAdobeF" w:cs="ZWAdobeF"/>
          <w:color w:val="auto"/>
          <w:sz w:val="2"/>
          <w:szCs w:val="2"/>
        </w:rPr>
        <w:t>13F</w:t>
      </w:r>
      <w:r w:rsidR="00FD3F37" w:rsidRPr="003143B6">
        <w:rPr>
          <w:vertAlign w:val="superscript"/>
        </w:rPr>
        <w:endnoteReference w:id="15"/>
      </w:r>
      <w:r w:rsidR="4FBD1D09" w:rsidRPr="003143B6">
        <w:rPr>
          <w:vertAlign w:val="superscript"/>
        </w:rPr>
        <w:t> </w:t>
      </w:r>
      <w:r w:rsidR="009253DC">
        <w:rPr>
          <w:rFonts w:ascii="ZWAdobeF" w:hAnsi="ZWAdobeF" w:cs="ZWAdobeF"/>
          <w:color w:val="auto"/>
          <w:sz w:val="2"/>
          <w:szCs w:val="2"/>
        </w:rPr>
        <w:t>14F</w:t>
      </w:r>
      <w:r w:rsidR="00FD3F37" w:rsidRPr="003143B6">
        <w:rPr>
          <w:vertAlign w:val="superscript"/>
        </w:rPr>
        <w:endnoteReference w:id="16"/>
      </w:r>
    </w:p>
    <w:p w14:paraId="3746C946" w14:textId="77777777" w:rsidR="00FD3F37" w:rsidRPr="003143B6" w:rsidRDefault="7279DF3A" w:rsidP="00314F78">
      <w:pPr>
        <w:pStyle w:val="ListBullet"/>
      </w:pPr>
      <w:r w:rsidRPr="003143B6">
        <w:rPr>
          <w:rStyle w:val="Strong"/>
        </w:rPr>
        <w:t>Pressure</w:t>
      </w:r>
      <w:r w:rsidRPr="003143B6">
        <w:t>: the force of a person’s body weight or an external object compressing on the skin for a period of time, causing a wound to form. This commonly occurs in people with poor mobility who are unable to easily shift their weight to relieve pressure.</w:t>
      </w:r>
    </w:p>
    <w:p w14:paraId="31A44E8F" w14:textId="77777777" w:rsidR="00FD3F37" w:rsidRPr="003143B6" w:rsidRDefault="00FD3F37" w:rsidP="00314F78">
      <w:pPr>
        <w:pStyle w:val="ListBullet"/>
      </w:pPr>
      <w:r w:rsidRPr="003143B6">
        <w:rPr>
          <w:rStyle w:val="Strong"/>
        </w:rPr>
        <w:t>Friction</w:t>
      </w:r>
      <w:r w:rsidRPr="003143B6">
        <w:t>: when two surfaces rub against each other, causing a wound to develop. This may occur when a person is pulled across bed linen. Moisture also increases friction.</w:t>
      </w:r>
    </w:p>
    <w:p w14:paraId="07668C69" w14:textId="6C1EDC1A" w:rsidR="00FD3F37" w:rsidRPr="003143B6" w:rsidRDefault="7279DF3A" w:rsidP="00314F78">
      <w:pPr>
        <w:pStyle w:val="ListBullet"/>
      </w:pPr>
      <w:r w:rsidRPr="003143B6">
        <w:rPr>
          <w:rStyle w:val="Strong"/>
        </w:rPr>
        <w:t>Shearing</w:t>
      </w:r>
      <w:r w:rsidRPr="003143B6">
        <w:t>: downward pressure or sliding that creates friction and causes a wound to develop. This may occur when a person is positioned upright in bed and they slide downward.</w:t>
      </w:r>
    </w:p>
    <w:p w14:paraId="04253E10" w14:textId="3E9DDE2C" w:rsidR="00FD3F37" w:rsidRPr="003143B6" w:rsidRDefault="00FD3F37" w:rsidP="0059348C">
      <w:pPr>
        <w:pStyle w:val="Heading2"/>
      </w:pPr>
      <w:bookmarkStart w:id="9" w:name="_Hlk76033457"/>
      <w:r w:rsidRPr="003143B6">
        <w:t>Adverse clinical events and pressure injuries</w:t>
      </w:r>
    </w:p>
    <w:bookmarkEnd w:id="9"/>
    <w:p w14:paraId="23CA9BD8" w14:textId="2B935903" w:rsidR="00FD3F37" w:rsidRPr="003143B6" w:rsidRDefault="7279DF3A" w:rsidP="00314F78">
      <w:r w:rsidRPr="003143B6">
        <w:t xml:space="preserve">Pressure injuries can have long and short-term impacts on care recipients’ health and wellbeing, including </w:t>
      </w:r>
      <w:r w:rsidRPr="003143B6">
        <w:rPr>
          <w:rStyle w:val="Strong"/>
        </w:rPr>
        <w:t>reduced quality of life, increased disability</w:t>
      </w:r>
      <w:r w:rsidRPr="003143B6">
        <w:t xml:space="preserve"> and even </w:t>
      </w:r>
      <w:r w:rsidRPr="003143B6">
        <w:rPr>
          <w:rStyle w:val="Strong"/>
        </w:rPr>
        <w:t>deat</w:t>
      </w:r>
      <w:r w:rsidR="0A737B3E" w:rsidRPr="003143B6">
        <w:rPr>
          <w:rStyle w:val="Strong"/>
        </w:rPr>
        <w:t>h</w:t>
      </w:r>
      <w:r w:rsidR="0A737B3E" w:rsidRPr="003143B6">
        <w:rPr>
          <w:vertAlign w:val="superscript"/>
        </w:rPr>
        <w:t>.</w:t>
      </w:r>
      <w:r w:rsidR="009253DC">
        <w:rPr>
          <w:rFonts w:ascii="ZWAdobeF" w:hAnsi="ZWAdobeF" w:cs="ZWAdobeF"/>
          <w:color w:val="auto"/>
          <w:sz w:val="2"/>
          <w:szCs w:val="2"/>
        </w:rPr>
        <w:t>15F</w:t>
      </w:r>
      <w:r w:rsidR="00FD3F37" w:rsidRPr="003143B6">
        <w:rPr>
          <w:vertAlign w:val="superscript"/>
        </w:rPr>
        <w:endnoteReference w:id="17"/>
      </w:r>
      <w:r w:rsidRPr="003143B6">
        <w:rPr>
          <w:vertAlign w:val="superscript"/>
        </w:rPr>
        <w:t xml:space="preserve"> </w:t>
      </w:r>
      <w:r w:rsidR="009253DC">
        <w:rPr>
          <w:rFonts w:ascii="ZWAdobeF" w:hAnsi="ZWAdobeF" w:cs="ZWAdobeF"/>
          <w:color w:val="auto"/>
          <w:sz w:val="2"/>
          <w:szCs w:val="2"/>
        </w:rPr>
        <w:t>16F</w:t>
      </w:r>
      <w:r w:rsidR="00FD3F37" w:rsidRPr="003143B6">
        <w:rPr>
          <w:vertAlign w:val="superscript"/>
        </w:rPr>
        <w:endnoteReference w:id="18"/>
      </w:r>
      <w:r w:rsidRPr="003143B6">
        <w:rPr>
          <w:vertAlign w:val="superscript"/>
        </w:rPr>
        <w:t xml:space="preserve"> </w:t>
      </w:r>
      <w:r w:rsidR="009253DC">
        <w:rPr>
          <w:rFonts w:ascii="ZWAdobeF" w:hAnsi="ZWAdobeF" w:cs="ZWAdobeF"/>
          <w:color w:val="auto"/>
          <w:sz w:val="2"/>
          <w:szCs w:val="2"/>
        </w:rPr>
        <w:t>17F</w:t>
      </w:r>
      <w:r w:rsidR="00FD3F37" w:rsidRPr="003143B6">
        <w:rPr>
          <w:vertAlign w:val="superscript"/>
        </w:rPr>
        <w:endnoteReference w:id="19"/>
      </w:r>
      <w:r w:rsidRPr="003143B6">
        <w:t xml:space="preserve"> They can take many months to heal and, in some cases, may never heal completely. Common complications associated with pressure injuries include</w:t>
      </w:r>
      <w:r w:rsidRPr="003143B6">
        <w:rPr>
          <w:vertAlign w:val="superscript"/>
        </w:rPr>
        <w:t>:</w:t>
      </w:r>
      <w:r w:rsidR="009253DC">
        <w:rPr>
          <w:rFonts w:ascii="ZWAdobeF" w:hAnsi="ZWAdobeF" w:cs="ZWAdobeF"/>
          <w:color w:val="auto"/>
          <w:sz w:val="2"/>
          <w:szCs w:val="2"/>
        </w:rPr>
        <w:t>18F</w:t>
      </w:r>
      <w:r w:rsidR="00FD3F37" w:rsidRPr="003143B6">
        <w:rPr>
          <w:vertAlign w:val="superscript"/>
        </w:rPr>
        <w:endnoteReference w:id="20"/>
      </w:r>
      <w:r w:rsidRPr="003143B6">
        <w:rPr>
          <w:vertAlign w:val="superscript"/>
        </w:rPr>
        <w:t xml:space="preserve"> </w:t>
      </w:r>
      <w:r w:rsidR="009253DC">
        <w:rPr>
          <w:rFonts w:ascii="ZWAdobeF" w:hAnsi="ZWAdobeF" w:cs="ZWAdobeF"/>
          <w:color w:val="auto"/>
          <w:sz w:val="2"/>
          <w:szCs w:val="2"/>
        </w:rPr>
        <w:t>19F</w:t>
      </w:r>
      <w:r w:rsidR="00FD3F37" w:rsidRPr="003143B6">
        <w:rPr>
          <w:vertAlign w:val="superscript"/>
        </w:rPr>
        <w:endnoteReference w:id="21"/>
      </w:r>
      <w:r w:rsidRPr="003143B6">
        <w:rPr>
          <w:vertAlign w:val="superscript"/>
        </w:rPr>
        <w:t xml:space="preserve"> </w:t>
      </w:r>
      <w:r w:rsidR="009253DC">
        <w:rPr>
          <w:rFonts w:ascii="ZWAdobeF" w:hAnsi="ZWAdobeF" w:cs="ZWAdobeF"/>
          <w:color w:val="auto"/>
          <w:sz w:val="2"/>
          <w:szCs w:val="2"/>
        </w:rPr>
        <w:t>20F</w:t>
      </w:r>
      <w:r w:rsidR="00FD3F37" w:rsidRPr="003143B6">
        <w:rPr>
          <w:vertAlign w:val="superscript"/>
        </w:rPr>
        <w:endnoteReference w:id="22"/>
      </w:r>
      <w:r w:rsidRPr="003143B6">
        <w:rPr>
          <w:vertAlign w:val="superscript"/>
        </w:rPr>
        <w:t xml:space="preserve"> </w:t>
      </w:r>
      <w:r w:rsidR="009253DC">
        <w:rPr>
          <w:rFonts w:ascii="ZWAdobeF" w:hAnsi="ZWAdobeF" w:cs="ZWAdobeF"/>
          <w:color w:val="auto"/>
          <w:sz w:val="2"/>
          <w:szCs w:val="2"/>
        </w:rPr>
        <w:t>21F</w:t>
      </w:r>
      <w:r w:rsidR="00FD3F37" w:rsidRPr="003143B6">
        <w:rPr>
          <w:vertAlign w:val="superscript"/>
        </w:rPr>
        <w:endnoteReference w:id="23"/>
      </w:r>
      <w:r w:rsidRPr="003143B6">
        <w:rPr>
          <w:vertAlign w:val="superscript"/>
        </w:rPr>
        <w:t xml:space="preserve"> </w:t>
      </w:r>
      <w:r w:rsidR="009253DC">
        <w:rPr>
          <w:rFonts w:ascii="ZWAdobeF" w:hAnsi="ZWAdobeF" w:cs="ZWAdobeF"/>
          <w:color w:val="auto"/>
          <w:sz w:val="2"/>
          <w:szCs w:val="2"/>
        </w:rPr>
        <w:t>22F</w:t>
      </w:r>
      <w:r w:rsidR="00FD3F37" w:rsidRPr="003143B6">
        <w:rPr>
          <w:vertAlign w:val="superscript"/>
        </w:rPr>
        <w:endnoteReference w:id="24"/>
      </w:r>
    </w:p>
    <w:p w14:paraId="2EC97181" w14:textId="77777777" w:rsidR="00FD3F37" w:rsidRPr="00D82644" w:rsidRDefault="00FD3F37" w:rsidP="00314F78">
      <w:pPr>
        <w:pStyle w:val="ListBullet"/>
      </w:pPr>
      <w:r w:rsidRPr="00D82644">
        <w:t>pain and discomfort</w:t>
      </w:r>
    </w:p>
    <w:p w14:paraId="01143902" w14:textId="77777777" w:rsidR="00FD3F37" w:rsidRPr="00D82644" w:rsidRDefault="00FD3F37" w:rsidP="00314F78">
      <w:pPr>
        <w:pStyle w:val="ListBullet"/>
      </w:pPr>
      <w:r w:rsidRPr="00D82644">
        <w:t>infection and sepsis</w:t>
      </w:r>
    </w:p>
    <w:p w14:paraId="7FDBBEB7" w14:textId="77777777" w:rsidR="00FD3F37" w:rsidRPr="00D82644" w:rsidRDefault="00FD3F37" w:rsidP="00314F78">
      <w:pPr>
        <w:pStyle w:val="ListBullet"/>
      </w:pPr>
      <w:r w:rsidRPr="00D82644">
        <w:t>stress, anxiety and depression</w:t>
      </w:r>
    </w:p>
    <w:p w14:paraId="2C306D24" w14:textId="77777777" w:rsidR="00FD3F37" w:rsidRPr="00D82644" w:rsidRDefault="00FD3F37" w:rsidP="00314F78">
      <w:pPr>
        <w:pStyle w:val="ListBullet"/>
      </w:pPr>
      <w:r w:rsidRPr="00D82644">
        <w:t>reduced physical and social functioning</w:t>
      </w:r>
    </w:p>
    <w:p w14:paraId="58D7CA6E" w14:textId="77777777" w:rsidR="00FD3F37" w:rsidRPr="00D82644" w:rsidRDefault="00FD3F37" w:rsidP="00314F78">
      <w:pPr>
        <w:pStyle w:val="ListBullet"/>
      </w:pPr>
      <w:r w:rsidRPr="00D82644">
        <w:t>limb-threatening injuries, including amputation.</w:t>
      </w:r>
    </w:p>
    <w:p w14:paraId="697DBB52" w14:textId="4ECA94F7" w:rsidR="00FD3F37" w:rsidRPr="00732D17" w:rsidRDefault="7279DF3A" w:rsidP="00314F78">
      <w:r w:rsidRPr="00732D17">
        <w:t>Pressure injuries are also expensive to manage and cause a financial burden to residential aged care services.</w:t>
      </w:r>
      <w:r w:rsidR="009253DC">
        <w:rPr>
          <w:rFonts w:ascii="ZWAdobeF" w:hAnsi="ZWAdobeF" w:cs="ZWAdobeF"/>
          <w:color w:val="auto"/>
          <w:sz w:val="2"/>
          <w:szCs w:val="2"/>
        </w:rPr>
        <w:t>23F</w:t>
      </w:r>
      <w:r w:rsidR="00FD3F37" w:rsidRPr="00732D17">
        <w:rPr>
          <w:vertAlign w:val="superscript"/>
        </w:rPr>
        <w:endnoteReference w:id="25"/>
      </w:r>
    </w:p>
    <w:p w14:paraId="17881F12" w14:textId="04531F7A" w:rsidR="00FD3F37" w:rsidRPr="00DC52A5" w:rsidRDefault="00FD3F37" w:rsidP="0059348C">
      <w:pPr>
        <w:pStyle w:val="Heading2"/>
      </w:pPr>
      <w:r w:rsidRPr="00DC52A5">
        <w:lastRenderedPageBreak/>
        <w:t>Risk factors for pressure injuries</w:t>
      </w:r>
    </w:p>
    <w:p w14:paraId="4C956E04" w14:textId="14C1386D" w:rsidR="007B5531" w:rsidRPr="00DC52A5" w:rsidRDefault="7279DF3A" w:rsidP="00314F78">
      <w:bookmarkStart w:id="10" w:name="_Ref72158707"/>
      <w:r w:rsidRPr="00DC52A5">
        <w:t xml:space="preserve">Older Australians are significantly more vulnerable to developing a pressure injury due to age-related issues. </w:t>
      </w:r>
      <w:r w:rsidRPr="00DC52A5">
        <w:fldChar w:fldCharType="begin" w:fldLock="1"/>
      </w:r>
      <w:r w:rsidRPr="00DC52A5">
        <w:instrText xml:space="preserve"> REF _Ref73012819 \h  \* MERGEFORMAT </w:instrText>
      </w:r>
      <w:r w:rsidRPr="00DC52A5">
        <w:fldChar w:fldCharType="separate"/>
      </w:r>
      <w:r w:rsidR="618E129D" w:rsidRPr="00DC52A5">
        <w:t>Figure 7</w:t>
      </w:r>
      <w:r w:rsidRPr="00DC52A5">
        <w:fldChar w:fldCharType="end"/>
      </w:r>
      <w:r w:rsidRPr="00DC52A5">
        <w:t xml:space="preserve"> describes the key risk factors for developing pressure injuries in residential aged care. Having a strong understanding of the risk factors is crucial to identify care recipients who are at risk of developing pressure injuries.</w:t>
      </w:r>
    </w:p>
    <w:p w14:paraId="24926268" w14:textId="2D9B81AD" w:rsidR="00FD3F37" w:rsidRPr="00454D17" w:rsidRDefault="00E401CF" w:rsidP="00314F78">
      <w:pPr>
        <w:pStyle w:val="Caption"/>
        <w:rPr>
          <w:rStyle w:val="EndnoteReference"/>
        </w:rPr>
      </w:pPr>
      <w:bookmarkStart w:id="11" w:name="_Ref73012819"/>
      <w:r w:rsidRPr="002F364B">
        <w:t>FIGURE </w:t>
      </w:r>
      <w:r w:rsidRPr="002F364B">
        <w:fldChar w:fldCharType="begin"/>
      </w:r>
      <w:r w:rsidRPr="002F364B">
        <w:instrText>SEQ Figure \* ARABIC</w:instrText>
      </w:r>
      <w:r w:rsidRPr="002F364B">
        <w:fldChar w:fldCharType="separate"/>
      </w:r>
      <w:r w:rsidR="003A30D7">
        <w:rPr>
          <w:noProof/>
        </w:rPr>
        <w:t>7</w:t>
      </w:r>
      <w:r w:rsidRPr="002F364B">
        <w:fldChar w:fldCharType="end"/>
      </w:r>
      <w:bookmarkEnd w:id="11"/>
      <w:r w:rsidRPr="002F364B">
        <w:t>: RISK FACTORS AND RELEVANCE TO PRESSURE INJURY DEVELOPMENT AND RESIDENTIAL AGED CARE</w:t>
      </w:r>
      <w:bookmarkEnd w:id="10"/>
      <w:r w:rsidR="009253DC">
        <w:rPr>
          <w:rFonts w:ascii="ZWAdobeF" w:hAnsi="ZWAdobeF" w:cs="ZWAdobeF"/>
          <w:b w:val="0"/>
          <w:color w:val="auto"/>
          <w:sz w:val="2"/>
          <w:szCs w:val="2"/>
        </w:rPr>
        <w:t>24F</w:t>
      </w:r>
      <w:r w:rsidR="00FD3F37" w:rsidRPr="00454D17">
        <w:rPr>
          <w:rStyle w:val="EndnoteReference"/>
        </w:rPr>
        <w:endnoteReference w:id="26"/>
      </w:r>
      <w:r w:rsidR="00FD3F37" w:rsidRPr="00454D17">
        <w:rPr>
          <w:rStyle w:val="EndnoteReference"/>
        </w:rPr>
        <w:t xml:space="preserve"> </w:t>
      </w:r>
      <w:r w:rsidR="009253DC">
        <w:rPr>
          <w:rFonts w:ascii="ZWAdobeF" w:hAnsi="ZWAdobeF" w:cs="ZWAdobeF"/>
          <w:b w:val="0"/>
          <w:color w:val="auto"/>
          <w:sz w:val="2"/>
          <w:szCs w:val="2"/>
        </w:rPr>
        <w:t>25F</w:t>
      </w:r>
      <w:r w:rsidR="00FD3F37" w:rsidRPr="00454D17">
        <w:rPr>
          <w:rStyle w:val="EndnoteReference"/>
        </w:rPr>
        <w:endnoteReference w:id="27"/>
      </w:r>
      <w:r w:rsidR="00FD3F37" w:rsidRPr="00454D17">
        <w:rPr>
          <w:rStyle w:val="EndnoteReference"/>
        </w:rPr>
        <w:t xml:space="preserve"> </w:t>
      </w:r>
      <w:r w:rsidR="009253DC">
        <w:rPr>
          <w:rFonts w:ascii="ZWAdobeF" w:hAnsi="ZWAdobeF" w:cs="ZWAdobeF"/>
          <w:b w:val="0"/>
          <w:color w:val="auto"/>
          <w:sz w:val="2"/>
          <w:szCs w:val="2"/>
        </w:rPr>
        <w:t>26F</w:t>
      </w:r>
      <w:r w:rsidR="00FD3F37" w:rsidRPr="00454D17">
        <w:rPr>
          <w:rStyle w:val="EndnoteReference"/>
        </w:rPr>
        <w:endnoteReference w:id="28"/>
      </w:r>
      <w:r w:rsidR="00FD3F37" w:rsidRPr="00454D17">
        <w:rPr>
          <w:rStyle w:val="EndnoteReference"/>
        </w:rPr>
        <w:t xml:space="preserve"> </w:t>
      </w:r>
      <w:r w:rsidR="009253DC">
        <w:rPr>
          <w:rFonts w:ascii="ZWAdobeF" w:hAnsi="ZWAdobeF" w:cs="ZWAdobeF"/>
          <w:b w:val="0"/>
          <w:color w:val="auto"/>
          <w:sz w:val="2"/>
          <w:szCs w:val="2"/>
        </w:rPr>
        <w:t>27F</w:t>
      </w:r>
      <w:r w:rsidR="00FD3F37" w:rsidRPr="00454D17">
        <w:rPr>
          <w:rStyle w:val="EndnoteReference"/>
        </w:rPr>
        <w:endnoteReference w:id="29"/>
      </w:r>
      <w:r w:rsidR="00FD3F37" w:rsidRPr="00454D17">
        <w:rPr>
          <w:rStyle w:val="EndnoteReference"/>
        </w:rPr>
        <w:t xml:space="preserve"> </w:t>
      </w:r>
      <w:r w:rsidR="009253DC">
        <w:rPr>
          <w:rFonts w:ascii="ZWAdobeF" w:hAnsi="ZWAdobeF" w:cs="ZWAdobeF"/>
          <w:b w:val="0"/>
          <w:color w:val="auto"/>
          <w:sz w:val="2"/>
          <w:szCs w:val="2"/>
        </w:rPr>
        <w:t>28F</w:t>
      </w:r>
      <w:r w:rsidR="00FD3F37" w:rsidRPr="00454D17">
        <w:rPr>
          <w:rStyle w:val="EndnoteReference"/>
        </w:rPr>
        <w:endnoteReference w:id="30"/>
      </w:r>
      <w:r w:rsidR="00FD3F37" w:rsidRPr="00454D17">
        <w:rPr>
          <w:rStyle w:val="EndnoteReference"/>
        </w:rPr>
        <w:t xml:space="preserve"> </w:t>
      </w:r>
      <w:r w:rsidR="009253DC">
        <w:rPr>
          <w:rFonts w:ascii="ZWAdobeF" w:hAnsi="ZWAdobeF" w:cs="ZWAdobeF"/>
          <w:b w:val="0"/>
          <w:color w:val="auto"/>
          <w:sz w:val="2"/>
          <w:szCs w:val="2"/>
        </w:rPr>
        <w:t>29F</w:t>
      </w:r>
      <w:r w:rsidR="00FD3F37" w:rsidRPr="00454D17">
        <w:rPr>
          <w:rStyle w:val="EndnoteReference"/>
        </w:rPr>
        <w:endnoteReference w:id="31"/>
      </w:r>
      <w:r w:rsidR="00FD3F37" w:rsidRPr="00454D17">
        <w:rPr>
          <w:rStyle w:val="EndnoteReference"/>
        </w:rPr>
        <w:t xml:space="preserve"> </w:t>
      </w:r>
      <w:r w:rsidR="009253DC">
        <w:rPr>
          <w:rFonts w:ascii="ZWAdobeF" w:hAnsi="ZWAdobeF" w:cs="ZWAdobeF"/>
          <w:b w:val="0"/>
          <w:color w:val="auto"/>
          <w:sz w:val="2"/>
          <w:szCs w:val="2"/>
        </w:rPr>
        <w:t>30F</w:t>
      </w:r>
      <w:r w:rsidR="00FD3F37" w:rsidRPr="00454D17">
        <w:rPr>
          <w:rStyle w:val="EndnoteReference"/>
        </w:rPr>
        <w:endnoteReference w:id="32"/>
      </w:r>
      <w:r w:rsidR="00FD3F37" w:rsidRPr="00454D17">
        <w:rPr>
          <w:rStyle w:val="EndnoteReference"/>
        </w:rPr>
        <w:t xml:space="preserve"> </w:t>
      </w:r>
      <w:r w:rsidR="009253DC">
        <w:rPr>
          <w:rFonts w:ascii="ZWAdobeF" w:hAnsi="ZWAdobeF" w:cs="ZWAdobeF"/>
          <w:b w:val="0"/>
          <w:color w:val="auto"/>
          <w:sz w:val="2"/>
          <w:szCs w:val="2"/>
        </w:rPr>
        <w:t>31F</w:t>
      </w:r>
      <w:r w:rsidR="00FD3F37" w:rsidRPr="00454D17">
        <w:rPr>
          <w:rStyle w:val="EndnoteReference"/>
        </w:rPr>
        <w:endnoteReference w:id="33"/>
      </w:r>
      <w:r w:rsidR="00FD3F37" w:rsidRPr="00454D17">
        <w:rPr>
          <w:rStyle w:val="EndnoteReference"/>
        </w:rPr>
        <w:t xml:space="preserve"> </w:t>
      </w:r>
      <w:r w:rsidR="009253DC">
        <w:rPr>
          <w:rFonts w:ascii="ZWAdobeF" w:hAnsi="ZWAdobeF" w:cs="ZWAdobeF"/>
          <w:b w:val="0"/>
          <w:color w:val="auto"/>
          <w:sz w:val="2"/>
          <w:szCs w:val="2"/>
        </w:rPr>
        <w:t>32F</w:t>
      </w:r>
      <w:r w:rsidR="00FD3F37" w:rsidRPr="00454D17">
        <w:rPr>
          <w:rStyle w:val="EndnoteReference"/>
        </w:rPr>
        <w:endnoteReference w:id="34"/>
      </w:r>
      <w:r w:rsidR="00FD3F37" w:rsidRPr="00454D17">
        <w:rPr>
          <w:rStyle w:val="EndnoteReference"/>
        </w:rPr>
        <w:t xml:space="preserve"> </w:t>
      </w:r>
      <w:r w:rsidR="009253DC">
        <w:rPr>
          <w:rFonts w:ascii="ZWAdobeF" w:hAnsi="ZWAdobeF" w:cs="ZWAdobeF"/>
          <w:b w:val="0"/>
          <w:color w:val="auto"/>
          <w:sz w:val="2"/>
          <w:szCs w:val="2"/>
        </w:rPr>
        <w:t>33F</w:t>
      </w:r>
      <w:r w:rsidR="00FD3F37" w:rsidRPr="00454D17">
        <w:rPr>
          <w:rStyle w:val="EndnoteReference"/>
        </w:rPr>
        <w:endnoteReference w:id="35"/>
      </w:r>
      <w:r w:rsidR="00FD3F37" w:rsidRPr="00454D17">
        <w:rPr>
          <w:rStyle w:val="EndnoteReference"/>
        </w:rPr>
        <w:t xml:space="preserve"> </w:t>
      </w:r>
      <w:r w:rsidR="009253DC">
        <w:rPr>
          <w:rFonts w:ascii="ZWAdobeF" w:hAnsi="ZWAdobeF" w:cs="ZWAdobeF"/>
          <w:b w:val="0"/>
          <w:color w:val="auto"/>
          <w:sz w:val="2"/>
          <w:szCs w:val="2"/>
        </w:rPr>
        <w:t>34F</w:t>
      </w:r>
      <w:r w:rsidR="00FD3F37" w:rsidRPr="00454D17">
        <w:rPr>
          <w:rStyle w:val="EndnoteReference"/>
        </w:rPr>
        <w:endnoteReference w:id="36"/>
      </w:r>
      <w:r w:rsidR="00FD3F37" w:rsidRPr="00454D17">
        <w:rPr>
          <w:rStyle w:val="EndnoteReference"/>
        </w:rPr>
        <w:t xml:space="preserve"> </w:t>
      </w:r>
      <w:r w:rsidR="009253DC">
        <w:rPr>
          <w:rFonts w:ascii="ZWAdobeF" w:hAnsi="ZWAdobeF" w:cs="ZWAdobeF"/>
          <w:b w:val="0"/>
          <w:color w:val="auto"/>
          <w:sz w:val="2"/>
          <w:szCs w:val="2"/>
        </w:rPr>
        <w:t>35F</w:t>
      </w:r>
      <w:r w:rsidR="00FD3F37" w:rsidRPr="00454D17">
        <w:rPr>
          <w:rStyle w:val="EndnoteReference"/>
        </w:rPr>
        <w:endnoteReference w:id="37"/>
      </w:r>
      <w:r w:rsidR="00FD3F37" w:rsidRPr="00454D17">
        <w:rPr>
          <w:rStyle w:val="EndnoteReference"/>
        </w:rPr>
        <w:t xml:space="preserve"> </w:t>
      </w:r>
      <w:r w:rsidR="009253DC">
        <w:rPr>
          <w:rFonts w:ascii="ZWAdobeF" w:hAnsi="ZWAdobeF" w:cs="ZWAdobeF"/>
          <w:b w:val="0"/>
          <w:color w:val="auto"/>
          <w:sz w:val="2"/>
          <w:szCs w:val="2"/>
        </w:rPr>
        <w:t>36F</w:t>
      </w:r>
      <w:r w:rsidR="00FD3F37" w:rsidRPr="00454D17">
        <w:rPr>
          <w:rStyle w:val="EndnoteReference"/>
        </w:rPr>
        <w:endnoteReference w:id="38"/>
      </w:r>
      <w:r w:rsidR="00FD3F37" w:rsidRPr="00454D17">
        <w:rPr>
          <w:rStyle w:val="EndnoteReference"/>
        </w:rPr>
        <w:t xml:space="preserve"> </w:t>
      </w:r>
      <w:r w:rsidR="009253DC">
        <w:rPr>
          <w:rFonts w:ascii="ZWAdobeF" w:hAnsi="ZWAdobeF" w:cs="ZWAdobeF"/>
          <w:b w:val="0"/>
          <w:color w:val="auto"/>
          <w:sz w:val="2"/>
          <w:szCs w:val="2"/>
        </w:rPr>
        <w:t>37F</w:t>
      </w:r>
      <w:r w:rsidR="00FD3F37" w:rsidRPr="00454D17">
        <w:rPr>
          <w:rStyle w:val="EndnoteReference"/>
        </w:rPr>
        <w:endnoteReference w:id="39"/>
      </w:r>
      <w:r w:rsidR="00FD3F37" w:rsidRPr="00454D17">
        <w:rPr>
          <w:rStyle w:val="EndnoteReference"/>
        </w:rPr>
        <w:t xml:space="preserve"> </w:t>
      </w:r>
      <w:r w:rsidR="009253DC">
        <w:rPr>
          <w:rFonts w:ascii="ZWAdobeF" w:hAnsi="ZWAdobeF" w:cs="ZWAdobeF"/>
          <w:b w:val="0"/>
          <w:color w:val="auto"/>
          <w:sz w:val="2"/>
          <w:szCs w:val="2"/>
        </w:rPr>
        <w:t>38F</w:t>
      </w:r>
      <w:r w:rsidR="00FD3F37" w:rsidRPr="00454D17">
        <w:rPr>
          <w:rStyle w:val="EndnoteReference"/>
        </w:rPr>
        <w:endnoteReference w:id="40"/>
      </w:r>
      <w:r w:rsidR="00FD3F37" w:rsidRPr="00454D17">
        <w:rPr>
          <w:rStyle w:val="EndnoteReference"/>
        </w:rPr>
        <w:t xml:space="preserve"> </w:t>
      </w:r>
      <w:r w:rsidR="009253DC">
        <w:rPr>
          <w:rFonts w:ascii="ZWAdobeF" w:hAnsi="ZWAdobeF" w:cs="ZWAdobeF"/>
          <w:b w:val="0"/>
          <w:color w:val="auto"/>
          <w:sz w:val="2"/>
          <w:szCs w:val="2"/>
        </w:rPr>
        <w:t>39F</w:t>
      </w:r>
      <w:r w:rsidR="00FD3F37" w:rsidRPr="00454D17">
        <w:rPr>
          <w:rStyle w:val="EndnoteReference"/>
        </w:rPr>
        <w:endnoteReference w:id="41"/>
      </w:r>
      <w:r w:rsidR="00FD3F37" w:rsidRPr="00454D17">
        <w:rPr>
          <w:rStyle w:val="EndnoteReference"/>
        </w:rPr>
        <w:t xml:space="preserve"> </w:t>
      </w:r>
      <w:r w:rsidR="009253DC">
        <w:rPr>
          <w:rFonts w:ascii="ZWAdobeF" w:hAnsi="ZWAdobeF" w:cs="ZWAdobeF"/>
          <w:b w:val="0"/>
          <w:color w:val="auto"/>
          <w:sz w:val="2"/>
          <w:szCs w:val="2"/>
        </w:rPr>
        <w:t>40F</w:t>
      </w:r>
      <w:r w:rsidR="00FD3F37" w:rsidRPr="00454D17">
        <w:rPr>
          <w:rStyle w:val="EndnoteReference"/>
        </w:rPr>
        <w:endnoteReference w:id="42"/>
      </w:r>
      <w:r w:rsidR="00FD3F37" w:rsidRPr="00454D17">
        <w:rPr>
          <w:rStyle w:val="EndnoteReference"/>
        </w:rPr>
        <w:t xml:space="preserve"> </w:t>
      </w:r>
      <w:r w:rsidR="009253DC">
        <w:rPr>
          <w:rFonts w:ascii="ZWAdobeF" w:hAnsi="ZWAdobeF" w:cs="ZWAdobeF"/>
          <w:b w:val="0"/>
          <w:color w:val="auto"/>
          <w:sz w:val="2"/>
          <w:szCs w:val="2"/>
        </w:rPr>
        <w:t>41F</w:t>
      </w:r>
      <w:r w:rsidR="00FD3F37" w:rsidRPr="00454D17">
        <w:rPr>
          <w:rStyle w:val="EndnoteReference"/>
        </w:rPr>
        <w:endnoteReference w:id="43"/>
      </w:r>
      <w:r w:rsidR="00FD3F37" w:rsidRPr="00454D17">
        <w:rPr>
          <w:rStyle w:val="EndnoteReference"/>
        </w:rPr>
        <w:t xml:space="preserve"> </w:t>
      </w:r>
      <w:r w:rsidR="009253DC">
        <w:rPr>
          <w:rFonts w:ascii="ZWAdobeF" w:hAnsi="ZWAdobeF" w:cs="ZWAdobeF"/>
          <w:b w:val="0"/>
          <w:color w:val="auto"/>
          <w:sz w:val="2"/>
          <w:szCs w:val="2"/>
        </w:rPr>
        <w:t>42F</w:t>
      </w:r>
      <w:r w:rsidR="00FD3F37" w:rsidRPr="00454D17">
        <w:rPr>
          <w:rStyle w:val="EndnoteReference"/>
        </w:rPr>
        <w:endnoteReference w:id="44"/>
      </w:r>
    </w:p>
    <w:p w14:paraId="5DEAD658" w14:textId="4840C831" w:rsidR="007E20F1" w:rsidRPr="00454D17" w:rsidRDefault="007E20F1" w:rsidP="00314F78">
      <w:pPr>
        <w:pStyle w:val="Caption"/>
        <w:rPr>
          <w:rStyle w:val="EndnoteReference"/>
        </w:rPr>
      </w:pPr>
      <w:r w:rsidRPr="00454D17">
        <w:rPr>
          <w:rStyle w:val="EndnoteReference"/>
          <w:noProof/>
        </w:rPr>
        <w:drawing>
          <wp:inline distT="0" distB="0" distL="0" distR="0" wp14:anchorId="1CF76C97" wp14:editId="5725FAE6">
            <wp:extent cx="5371781" cy="6934061"/>
            <wp:effectExtent l="0" t="0" r="635" b="635"/>
            <wp:docPr id="48" name="Picture 48" descr="P1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150#yIS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0991" cy="6945950"/>
                    </a:xfrm>
                    <a:prstGeom prst="rect">
                      <a:avLst/>
                    </a:prstGeom>
                    <a:noFill/>
                  </pic:spPr>
                </pic:pic>
              </a:graphicData>
            </a:graphic>
          </wp:inline>
        </w:drawing>
      </w:r>
    </w:p>
    <w:p w14:paraId="1A1D8979" w14:textId="1118B047" w:rsidR="00CC734F" w:rsidRPr="004A09AA" w:rsidRDefault="00CC734F" w:rsidP="00314F78"/>
    <w:p w14:paraId="1ED5F265" w14:textId="77777777" w:rsidR="00FD3F37" w:rsidRPr="002765D3" w:rsidRDefault="00FD3F37" w:rsidP="00314F78">
      <w:pPr>
        <w:pStyle w:val="Caption"/>
        <w:sectPr w:rsidR="00FD3F37" w:rsidRPr="002765D3" w:rsidSect="00726801">
          <w:headerReference w:type="even" r:id="rId52"/>
          <w:headerReference w:type="default" r:id="rId53"/>
          <w:footerReference w:type="even" r:id="rId54"/>
          <w:headerReference w:type="first" r:id="rId55"/>
          <w:endnotePr>
            <w:numFmt w:val="decimal"/>
          </w:endnotePr>
          <w:type w:val="continuous"/>
          <w:pgSz w:w="11906" w:h="16838" w:code="9"/>
          <w:pgMar w:top="1701" w:right="1134" w:bottom="1134" w:left="1134" w:header="567" w:footer="567" w:gutter="0"/>
          <w:cols w:space="708"/>
          <w:docGrid w:linePitch="360"/>
        </w:sectPr>
      </w:pPr>
    </w:p>
    <w:p w14:paraId="10C0D287" w14:textId="4A10312E" w:rsidR="00FD3F37" w:rsidRPr="002765D3" w:rsidRDefault="00FD3F37" w:rsidP="0059348C">
      <w:pPr>
        <w:pStyle w:val="Heading2"/>
      </w:pPr>
      <w:r w:rsidRPr="002765D3">
        <w:lastRenderedPageBreak/>
        <w:t>Prevention and management of pressure injuries</w:t>
      </w:r>
    </w:p>
    <w:p w14:paraId="5059439C" w14:textId="2CCE35EF" w:rsidR="00FD3F37" w:rsidRPr="00FD1B87" w:rsidRDefault="00FD3F37" w:rsidP="00314F78">
      <w:r w:rsidRPr="00FD1B87">
        <w:t xml:space="preserve">Awareness of risk factors and some simple steps can reduce the chance of pressure injuries occurring. </w:t>
      </w:r>
      <w:r w:rsidRPr="00D82644">
        <w:rPr>
          <w:szCs w:val="20"/>
        </w:rPr>
        <w:fldChar w:fldCharType="begin" w:fldLock="1"/>
      </w:r>
      <w:r w:rsidRPr="00D82644">
        <w:rPr>
          <w:szCs w:val="20"/>
        </w:rPr>
        <w:instrText xml:space="preserve"> REF _Ref75861738 \h </w:instrText>
      </w:r>
      <w:r w:rsidR="00BA738C" w:rsidRPr="00D82644">
        <w:rPr>
          <w:szCs w:val="20"/>
        </w:rPr>
        <w:instrText xml:space="preserve"> \* MERGEFORMAT </w:instrText>
      </w:r>
      <w:r w:rsidRPr="00D82644">
        <w:rPr>
          <w:szCs w:val="20"/>
        </w:rPr>
      </w:r>
      <w:r w:rsidRPr="00D82644">
        <w:rPr>
          <w:szCs w:val="20"/>
        </w:rPr>
        <w:fldChar w:fldCharType="separate"/>
      </w:r>
      <w:r w:rsidR="009F0B74" w:rsidRPr="00D82644">
        <w:rPr>
          <w:szCs w:val="20"/>
        </w:rPr>
        <w:t>Figure 8</w:t>
      </w:r>
      <w:r w:rsidRPr="00D82644">
        <w:rPr>
          <w:szCs w:val="20"/>
        </w:rPr>
        <w:fldChar w:fldCharType="end"/>
      </w:r>
      <w:r w:rsidRPr="00FD1B87">
        <w:t xml:space="preserve"> below outlines some important aspects of care that can be considered to prevent and manage pressure injuries.</w:t>
      </w:r>
    </w:p>
    <w:p w14:paraId="4F8C561E" w14:textId="5C4843BB" w:rsidR="00FD3F37" w:rsidRPr="002F364B" w:rsidRDefault="00E401CF" w:rsidP="00314F78">
      <w:pPr>
        <w:pStyle w:val="Caption"/>
      </w:pPr>
      <w:bookmarkStart w:id="12" w:name="_Ref75861738"/>
      <w:bookmarkStart w:id="13" w:name="_Hlk76505013"/>
      <w:r w:rsidRPr="002F364B">
        <w:t>FIGURE </w:t>
      </w:r>
      <w:r w:rsidR="00FD3F37" w:rsidRPr="002F364B">
        <w:fldChar w:fldCharType="begin"/>
      </w:r>
      <w:r w:rsidR="00FD3F37" w:rsidRPr="002F364B">
        <w:instrText>SEQ Figure \* ARABIC</w:instrText>
      </w:r>
      <w:r w:rsidR="00FD3F37" w:rsidRPr="002F364B">
        <w:fldChar w:fldCharType="separate"/>
      </w:r>
      <w:r w:rsidR="003A30D7">
        <w:rPr>
          <w:noProof/>
        </w:rPr>
        <w:t>8</w:t>
      </w:r>
      <w:r w:rsidR="00FD3F37" w:rsidRPr="002F364B">
        <w:fldChar w:fldCharType="end"/>
      </w:r>
      <w:bookmarkEnd w:id="12"/>
      <w:r w:rsidRPr="002F364B">
        <w:t>: PRESSURE INJURY PREVENTION AND MANAGEMENT</w:t>
      </w:r>
      <w:bookmarkEnd w:id="13"/>
    </w:p>
    <w:p w14:paraId="55D09C35" w14:textId="3AD3EE3C" w:rsidR="00FD3F37" w:rsidRPr="004A09AA" w:rsidRDefault="004811B3" w:rsidP="00314F78">
      <w:pPr>
        <w:sectPr w:rsidR="00FD3F37" w:rsidRPr="004A09AA" w:rsidSect="00103EEA">
          <w:endnotePr>
            <w:numFmt w:val="decimal"/>
          </w:endnotePr>
          <w:pgSz w:w="16838" w:h="11906" w:orient="landscape" w:code="9"/>
          <w:pgMar w:top="851" w:right="1134" w:bottom="851" w:left="1134" w:header="567" w:footer="567" w:gutter="0"/>
          <w:cols w:space="708"/>
          <w:docGrid w:linePitch="360"/>
        </w:sectPr>
      </w:pPr>
      <w:r w:rsidRPr="004A09AA">
        <w:rPr>
          <w:noProof/>
        </w:rPr>
        <w:drawing>
          <wp:inline distT="0" distB="0" distL="0" distR="0" wp14:anchorId="43CBA1A3" wp14:editId="067D4FF0">
            <wp:extent cx="8724712" cy="4635611"/>
            <wp:effectExtent l="0" t="0" r="0" b="0"/>
            <wp:docPr id="2" name="Picture 2"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56#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51729" cy="4649966"/>
                    </a:xfrm>
                    <a:prstGeom prst="rect">
                      <a:avLst/>
                    </a:prstGeom>
                    <a:noFill/>
                  </pic:spPr>
                </pic:pic>
              </a:graphicData>
            </a:graphic>
          </wp:inline>
        </w:drawing>
      </w:r>
    </w:p>
    <w:p w14:paraId="3F0578E4" w14:textId="77777777" w:rsidR="00FD3F37" w:rsidRPr="002F364B" w:rsidRDefault="7279DF3A" w:rsidP="00314F78">
      <w:bookmarkStart w:id="14" w:name="_Ref76391375"/>
      <w:r w:rsidRPr="002F364B">
        <w:lastRenderedPageBreak/>
        <w:t>The checklist below will help assess care recipients who are at risk of pressure injuries and identify prevention strategies to reduce the risk of pressure injuries occurring.</w:t>
      </w:r>
    </w:p>
    <w:p w14:paraId="038DB419" w14:textId="23344371" w:rsidR="00FD3F37" w:rsidRPr="002F364B" w:rsidRDefault="00E401CF" w:rsidP="00314F78">
      <w:pPr>
        <w:pStyle w:val="Caption"/>
      </w:pPr>
      <w:r w:rsidRPr="002F364B">
        <w:t>FIGURE </w:t>
      </w:r>
      <w:r w:rsidR="00FD3F37" w:rsidRPr="002F364B">
        <w:fldChar w:fldCharType="begin"/>
      </w:r>
      <w:r w:rsidR="00FD3F37" w:rsidRPr="002F364B">
        <w:instrText>SEQ Figure \* ARABIC</w:instrText>
      </w:r>
      <w:r w:rsidR="00FD3F37" w:rsidRPr="002F364B">
        <w:fldChar w:fldCharType="separate"/>
      </w:r>
      <w:r w:rsidR="003A30D7">
        <w:rPr>
          <w:noProof/>
        </w:rPr>
        <w:t>9</w:t>
      </w:r>
      <w:r w:rsidR="00FD3F37" w:rsidRPr="002F364B">
        <w:fldChar w:fldCharType="end"/>
      </w:r>
      <w:bookmarkEnd w:id="14"/>
      <w:r w:rsidRPr="002F364B">
        <w:t>: CHECKLIST FOR THE PREVENTION OF PRESSURE INJURIES</w:t>
      </w:r>
    </w:p>
    <w:p w14:paraId="7FBCE075" w14:textId="5847553E" w:rsidR="00507EC7" w:rsidRPr="00507EC7" w:rsidRDefault="00CF0345" w:rsidP="00314F78">
      <w:pPr>
        <w:pStyle w:val="ChecklistHeading"/>
      </w:pPr>
      <w:r w:rsidRPr="002765D3">
        <w:rPr>
          <w:noProof/>
          <w:lang w:eastAsia="en-AU"/>
        </w:rPr>
        <w:drawing>
          <wp:anchor distT="0" distB="0" distL="114300" distR="114300" simplePos="0" relativeHeight="251658324" behindDoc="0" locked="0" layoutInCell="1" allowOverlap="1" wp14:anchorId="7548C256" wp14:editId="21A7E24B">
            <wp:simplePos x="0" y="0"/>
            <wp:positionH relativeFrom="column">
              <wp:posOffset>-54783</wp:posOffset>
            </wp:positionH>
            <wp:positionV relativeFrom="paragraph">
              <wp:posOffset>321499</wp:posOffset>
            </wp:positionV>
            <wp:extent cx="566382" cy="580456"/>
            <wp:effectExtent l="0" t="0" r="5715" b="0"/>
            <wp:wrapSquare wrapText="bothSides"/>
            <wp:docPr id="1505854224" name="Picture 57" descr="P1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54224" name="Picture 57" descr="P159#y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3524"/>
                    <a:stretch/>
                  </pic:blipFill>
                  <pic:spPr bwMode="auto">
                    <a:xfrm>
                      <a:off x="0" y="0"/>
                      <a:ext cx="566382" cy="580456"/>
                    </a:xfrm>
                    <a:prstGeom prst="rect">
                      <a:avLst/>
                    </a:prstGeom>
                    <a:noFill/>
                    <a:ln>
                      <a:noFill/>
                    </a:ln>
                    <a:extLst>
                      <a:ext uri="{53640926-AAD7-44D8-BBD7-CCE9431645EC}">
                        <a14:shadowObscured xmlns:a14="http://schemas.microsoft.com/office/drawing/2010/main"/>
                      </a:ext>
                    </a:extLst>
                  </pic:spPr>
                </pic:pic>
              </a:graphicData>
            </a:graphic>
          </wp:anchor>
        </w:drawing>
      </w:r>
      <w:r w:rsidR="00507EC7" w:rsidRPr="002765D3">
        <w:t xml:space="preserve">Checklist for the prevention of </w:t>
      </w:r>
      <w:r w:rsidR="00507EC7">
        <w:t>pressure injuries</w:t>
      </w:r>
    </w:p>
    <w:p w14:paraId="14C96227" w14:textId="77777777" w:rsidR="00FD3F37" w:rsidRPr="002765D3" w:rsidRDefault="00FD3F37" w:rsidP="00314F78">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744F2912" w14:textId="6A8BB9B4" w:rsidR="007C6ECC" w:rsidRPr="002765D3" w:rsidRDefault="00295D24" w:rsidP="00CF0345">
      <w:pPr>
        <w:pStyle w:val="TableHeader"/>
      </w:pPr>
      <w:r w:rsidRPr="002765D3">
        <w:rPr>
          <w:noProof/>
          <w:lang w:eastAsia="en-AU"/>
        </w:rPr>
        <w:drawing>
          <wp:anchor distT="0" distB="0" distL="114300" distR="114300" simplePos="0" relativeHeight="251658325" behindDoc="0" locked="0" layoutInCell="1" allowOverlap="1" wp14:anchorId="3305A972" wp14:editId="2A2B3892">
            <wp:simplePos x="0" y="0"/>
            <wp:positionH relativeFrom="column">
              <wp:posOffset>2494470</wp:posOffset>
            </wp:positionH>
            <wp:positionV relativeFrom="paragraph">
              <wp:posOffset>240030</wp:posOffset>
            </wp:positionV>
            <wp:extent cx="564515" cy="568960"/>
            <wp:effectExtent l="0" t="0" r="6985" b="2540"/>
            <wp:wrapSquare wrapText="bothSides"/>
            <wp:docPr id="2091994250" name="Picture 32" descr="P1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50" name="Picture 32" descr="P161#y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4527"/>
                    <a:stretch/>
                  </pic:blipFill>
                  <pic:spPr bwMode="auto">
                    <a:xfrm>
                      <a:off x="0" y="0"/>
                      <a:ext cx="564515" cy="568960"/>
                    </a:xfrm>
                    <a:prstGeom prst="rect">
                      <a:avLst/>
                    </a:prstGeom>
                    <a:noFill/>
                    <a:ln>
                      <a:noFill/>
                    </a:ln>
                    <a:extLst>
                      <a:ext uri="{53640926-AAD7-44D8-BBD7-CCE9431645EC}">
                        <a14:shadowObscured xmlns:a14="http://schemas.microsoft.com/office/drawing/2010/main"/>
                      </a:ext>
                    </a:extLst>
                  </pic:spPr>
                </pic:pic>
              </a:graphicData>
            </a:graphic>
          </wp:anchor>
        </w:drawing>
      </w:r>
      <w:r w:rsidR="007C6ECC" w:rsidRPr="002765D3">
        <w:t>Conduct a skin assessment</w:t>
      </w:r>
    </w:p>
    <w:p w14:paraId="1BE78EC1" w14:textId="45E7D964" w:rsidR="007C6ECC" w:rsidRPr="00C75CCF" w:rsidRDefault="007C6ECC" w:rsidP="00314F78">
      <w:pPr>
        <w:pStyle w:val="ListBullet"/>
      </w:pPr>
      <w:r w:rsidRPr="00853989">
        <w:t xml:space="preserve">A </w:t>
      </w:r>
      <w:r w:rsidRPr="00C75CCF">
        <w:t>head-to-toe assessment with a focus on skin at bony prominences.</w:t>
      </w:r>
    </w:p>
    <w:p w14:paraId="1D5C354B" w14:textId="77777777" w:rsidR="007C6ECC" w:rsidRPr="00C75CCF" w:rsidRDefault="007C6ECC" w:rsidP="00314F78">
      <w:pPr>
        <w:pStyle w:val="ListBullet"/>
      </w:pPr>
      <w:r w:rsidRPr="00C75CCF">
        <w:t>Examine for any changes in skin colour, including redness, blanching and inflammation.</w:t>
      </w:r>
    </w:p>
    <w:p w14:paraId="7575340B" w14:textId="77777777" w:rsidR="007C6ECC" w:rsidRPr="002765D3" w:rsidRDefault="007C6ECC" w:rsidP="00314F78">
      <w:pPr>
        <w:pStyle w:val="ListBullet"/>
      </w:pPr>
      <w:r w:rsidRPr="00C75CCF">
        <w:t>Assess for</w:t>
      </w:r>
      <w:r w:rsidRPr="002765D3">
        <w:t>:</w:t>
      </w:r>
    </w:p>
    <w:p w14:paraId="2C5A73DF" w14:textId="77777777" w:rsidR="007C6ECC" w:rsidRPr="00C75CCF" w:rsidRDefault="007C6ECC" w:rsidP="00314F78">
      <w:pPr>
        <w:pStyle w:val="ListBullet2"/>
      </w:pPr>
      <w:r w:rsidRPr="00C75CCF">
        <w:t>dryness, changes and thinning of the skin</w:t>
      </w:r>
    </w:p>
    <w:p w14:paraId="251BFED1" w14:textId="37F016B0" w:rsidR="007C6ECC" w:rsidRPr="00C75CCF" w:rsidRDefault="007C6ECC" w:rsidP="00314F78">
      <w:pPr>
        <w:pStyle w:val="ListBullet2"/>
      </w:pPr>
      <w:r w:rsidRPr="00C75CCF">
        <w:t>moist skin such as from sweating or incontinence</w:t>
      </w:r>
    </w:p>
    <w:p w14:paraId="3E0B525F" w14:textId="40E834A9" w:rsidR="007C6ECC" w:rsidRPr="002765D3" w:rsidRDefault="00295D24" w:rsidP="00314F78">
      <w:pPr>
        <w:pStyle w:val="ListBullet2"/>
      </w:pPr>
      <w:r w:rsidRPr="002765D3">
        <w:rPr>
          <w:noProof/>
          <w:lang w:eastAsia="en-AU"/>
        </w:rPr>
        <w:drawing>
          <wp:anchor distT="0" distB="0" distL="114300" distR="114300" simplePos="0" relativeHeight="251658326" behindDoc="0" locked="0" layoutInCell="1" allowOverlap="1" wp14:anchorId="5AD67C4A" wp14:editId="50CAFFEA">
            <wp:simplePos x="0" y="0"/>
            <wp:positionH relativeFrom="column">
              <wp:posOffset>2479675</wp:posOffset>
            </wp:positionH>
            <wp:positionV relativeFrom="paragraph">
              <wp:posOffset>88710</wp:posOffset>
            </wp:positionV>
            <wp:extent cx="564515" cy="586105"/>
            <wp:effectExtent l="0" t="0" r="6985" b="4445"/>
            <wp:wrapSquare wrapText="bothSides"/>
            <wp:docPr id="2091994251" name="Picture 33" descr="P16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51" name="Picture 33" descr="P167#y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2356"/>
                    <a:stretch/>
                  </pic:blipFill>
                  <pic:spPr bwMode="auto">
                    <a:xfrm>
                      <a:off x="0" y="0"/>
                      <a:ext cx="564515" cy="586105"/>
                    </a:xfrm>
                    <a:prstGeom prst="rect">
                      <a:avLst/>
                    </a:prstGeom>
                    <a:noFill/>
                    <a:ln>
                      <a:noFill/>
                    </a:ln>
                    <a:extLst>
                      <a:ext uri="{53640926-AAD7-44D8-BBD7-CCE9431645EC}">
                        <a14:shadowObscured xmlns:a14="http://schemas.microsoft.com/office/drawing/2010/main"/>
                      </a:ext>
                    </a:extLst>
                  </pic:spPr>
                </pic:pic>
              </a:graphicData>
            </a:graphic>
          </wp:anchor>
        </w:drawing>
      </w:r>
      <w:r w:rsidR="00CF0345" w:rsidRPr="002765D3">
        <w:rPr>
          <w:noProof/>
          <w:lang w:eastAsia="en-AU"/>
        </w:rPr>
        <w:drawing>
          <wp:anchor distT="0" distB="0" distL="114300" distR="114300" simplePos="0" relativeHeight="251658323" behindDoc="0" locked="0" layoutInCell="1" allowOverlap="1" wp14:anchorId="6E941C56" wp14:editId="0C84852B">
            <wp:simplePos x="0" y="0"/>
            <wp:positionH relativeFrom="column">
              <wp:posOffset>-646875</wp:posOffset>
            </wp:positionH>
            <wp:positionV relativeFrom="paragraph">
              <wp:posOffset>253365</wp:posOffset>
            </wp:positionV>
            <wp:extent cx="564743" cy="577970"/>
            <wp:effectExtent l="0" t="0" r="6985" b="0"/>
            <wp:wrapSquare wrapText="bothSides"/>
            <wp:docPr id="2091994249" name="Picture 31" descr="P1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49" name="Picture 31" descr="P167#y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3644"/>
                    <a:stretch/>
                  </pic:blipFill>
                  <pic:spPr bwMode="auto">
                    <a:xfrm>
                      <a:off x="0" y="0"/>
                      <a:ext cx="564743" cy="577970"/>
                    </a:xfrm>
                    <a:prstGeom prst="rect">
                      <a:avLst/>
                    </a:prstGeom>
                    <a:noFill/>
                    <a:ln>
                      <a:noFill/>
                    </a:ln>
                    <a:extLst>
                      <a:ext uri="{53640926-AAD7-44D8-BBD7-CCE9431645EC}">
                        <a14:shadowObscured xmlns:a14="http://schemas.microsoft.com/office/drawing/2010/main"/>
                      </a:ext>
                    </a:extLst>
                  </pic:spPr>
                </pic:pic>
              </a:graphicData>
            </a:graphic>
          </wp:anchor>
        </w:drawing>
      </w:r>
      <w:r w:rsidR="007C6ECC" w:rsidRPr="00C75CCF">
        <w:t>areas o</w:t>
      </w:r>
      <w:r w:rsidR="007C6ECC">
        <w:t>f localised pain.</w:t>
      </w:r>
    </w:p>
    <w:p w14:paraId="37CB4394" w14:textId="226F823F" w:rsidR="007C6ECC" w:rsidRPr="002765D3" w:rsidRDefault="007C6ECC" w:rsidP="00CF0345">
      <w:pPr>
        <w:pStyle w:val="TableHeader"/>
      </w:pPr>
      <w:r w:rsidRPr="002765D3">
        <w:t>Undertake pressure injury risk assessments regularly</w:t>
      </w:r>
    </w:p>
    <w:p w14:paraId="0BEC4F79" w14:textId="77777777" w:rsidR="007C6ECC" w:rsidRPr="009D19B7" w:rsidRDefault="007C6ECC" w:rsidP="00314F78">
      <w:pPr>
        <w:pStyle w:val="ListBullet"/>
      </w:pPr>
      <w:r w:rsidRPr="009D19B7">
        <w:t>When a care recipient is first admitted to a residential aged care service.</w:t>
      </w:r>
    </w:p>
    <w:p w14:paraId="03B18C1C" w14:textId="77777777" w:rsidR="007C6ECC" w:rsidRPr="009D19B7" w:rsidRDefault="007C6ECC" w:rsidP="00314F78">
      <w:pPr>
        <w:pStyle w:val="ListBullet"/>
      </w:pPr>
      <w:r w:rsidRPr="009D19B7">
        <w:t>When a care recipient returns from a different care setting, such as a hospital or rehabilitation service.</w:t>
      </w:r>
    </w:p>
    <w:p w14:paraId="4D58B5A9" w14:textId="25331828" w:rsidR="007C6ECC" w:rsidRPr="009D19B7" w:rsidRDefault="00295D24" w:rsidP="00314F78">
      <w:pPr>
        <w:pStyle w:val="ListBullet"/>
      </w:pPr>
      <w:r w:rsidRPr="002765D3">
        <w:rPr>
          <w:noProof/>
          <w:lang w:eastAsia="en-AU"/>
        </w:rPr>
        <w:drawing>
          <wp:anchor distT="0" distB="0" distL="114300" distR="114300" simplePos="0" relativeHeight="251658327" behindDoc="0" locked="0" layoutInCell="1" allowOverlap="1" wp14:anchorId="7CC60851" wp14:editId="17A182FF">
            <wp:simplePos x="0" y="0"/>
            <wp:positionH relativeFrom="column">
              <wp:posOffset>2485835</wp:posOffset>
            </wp:positionH>
            <wp:positionV relativeFrom="paragraph">
              <wp:posOffset>280035</wp:posOffset>
            </wp:positionV>
            <wp:extent cx="564743" cy="577969"/>
            <wp:effectExtent l="0" t="0" r="6985" b="0"/>
            <wp:wrapSquare wrapText="bothSides"/>
            <wp:docPr id="2091994252" name="Picture 34" descr="P1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52" name="Picture 34" descr="P171#y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3644"/>
                    <a:stretch/>
                  </pic:blipFill>
                  <pic:spPr bwMode="auto">
                    <a:xfrm>
                      <a:off x="0" y="0"/>
                      <a:ext cx="564743" cy="577969"/>
                    </a:xfrm>
                    <a:prstGeom prst="rect">
                      <a:avLst/>
                    </a:prstGeom>
                    <a:noFill/>
                    <a:ln>
                      <a:noFill/>
                    </a:ln>
                    <a:extLst>
                      <a:ext uri="{53640926-AAD7-44D8-BBD7-CCE9431645EC}">
                        <a14:shadowObscured xmlns:a14="http://schemas.microsoft.com/office/drawing/2010/main"/>
                      </a:ext>
                    </a:extLst>
                  </pic:spPr>
                </pic:pic>
              </a:graphicData>
            </a:graphic>
          </wp:anchor>
        </w:drawing>
      </w:r>
      <w:r w:rsidR="7CAAE4D0" w:rsidRPr="009D19B7">
        <w:t>If a care recipient’s health or condition changes, such as change in mobility, nutrition status, continence status, medication or increased frailty.</w:t>
      </w:r>
    </w:p>
    <w:p w14:paraId="5F3DE3AB" w14:textId="77777777" w:rsidR="007C6ECC" w:rsidRPr="009D19B7" w:rsidRDefault="7CAAE4D0" w:rsidP="00314F78">
      <w:pPr>
        <w:pStyle w:val="ListBullet"/>
      </w:pPr>
      <w:r w:rsidRPr="009D19B7">
        <w:t>Following surgery, other medical procedures or investigation.</w:t>
      </w:r>
    </w:p>
    <w:p w14:paraId="6453F7B4" w14:textId="7BEC08AD" w:rsidR="007C6ECC" w:rsidRPr="002765D3" w:rsidRDefault="7CAAE4D0" w:rsidP="00314F78">
      <w:pPr>
        <w:pStyle w:val="ListBullet"/>
      </w:pPr>
      <w:r w:rsidRPr="189D3658">
        <w:t xml:space="preserve">On a daily basis for care recipients considered to be high </w:t>
      </w:r>
      <w:r w:rsidRPr="189D3658">
        <w:t>risk and those who have an existing pressure injury.</w:t>
      </w:r>
    </w:p>
    <w:p w14:paraId="6EED962E" w14:textId="51324D6A" w:rsidR="007C6ECC" w:rsidRPr="002765D3" w:rsidRDefault="007C6ECC" w:rsidP="00314F78">
      <w:pPr>
        <w:pStyle w:val="TableHeader"/>
      </w:pPr>
      <w:r w:rsidRPr="002765D3">
        <w:t xml:space="preserve">Document findings in a care plan </w:t>
      </w:r>
    </w:p>
    <w:p w14:paraId="2BA752A8" w14:textId="77777777" w:rsidR="007C6ECC" w:rsidRPr="009D19B7" w:rsidRDefault="007C6ECC" w:rsidP="00314F78">
      <w:pPr>
        <w:pStyle w:val="ListBullet"/>
      </w:pPr>
      <w:r w:rsidRPr="009D19B7">
        <w:t>Activities to be undertaken to prevent a pressure injury developing.</w:t>
      </w:r>
    </w:p>
    <w:p w14:paraId="4D1AB8E5" w14:textId="77777777" w:rsidR="007C6ECC" w:rsidRPr="009D19B7" w:rsidRDefault="007C6ECC" w:rsidP="00314F78">
      <w:pPr>
        <w:pStyle w:val="ListBullet"/>
      </w:pPr>
      <w:r w:rsidRPr="009D19B7">
        <w:t>Frequency and timing of prevention activities.</w:t>
      </w:r>
    </w:p>
    <w:p w14:paraId="1533F612" w14:textId="77777777" w:rsidR="007C6ECC" w:rsidRPr="009D19B7" w:rsidRDefault="007C6ECC" w:rsidP="00314F78">
      <w:pPr>
        <w:pStyle w:val="ListBullet"/>
      </w:pPr>
      <w:r w:rsidRPr="009D19B7">
        <w:t>Preferences, including ability of care recipient to reposition themselves.</w:t>
      </w:r>
    </w:p>
    <w:p w14:paraId="0573D1F5" w14:textId="086AA9ED" w:rsidR="007C6ECC" w:rsidRPr="009D19B7" w:rsidRDefault="007C6ECC" w:rsidP="00314F78">
      <w:pPr>
        <w:pStyle w:val="ListBullet"/>
      </w:pPr>
      <w:r w:rsidRPr="009D19B7">
        <w:t>Risk factors, including comorbidities and mobility status.</w:t>
      </w:r>
    </w:p>
    <w:p w14:paraId="079557AE" w14:textId="6A6507C6" w:rsidR="007C6ECC" w:rsidRPr="002765D3" w:rsidRDefault="007C6ECC" w:rsidP="00295D24">
      <w:pPr>
        <w:pStyle w:val="TableHeader"/>
      </w:pPr>
      <w:r w:rsidRPr="002765D3">
        <w:t>Implement appropriate prevention strategy</w:t>
      </w:r>
    </w:p>
    <w:p w14:paraId="07517566" w14:textId="77777777" w:rsidR="007C6ECC" w:rsidRPr="009D19B7" w:rsidRDefault="007C6ECC" w:rsidP="00314F78">
      <w:r w:rsidRPr="009D19B7">
        <w:t>Focus on key risk factors, such as:</w:t>
      </w:r>
    </w:p>
    <w:p w14:paraId="5B116C98" w14:textId="77777777" w:rsidR="007C6ECC" w:rsidRPr="002765D3" w:rsidRDefault="007C6ECC" w:rsidP="00314F78">
      <w:pPr>
        <w:pStyle w:val="ListBullet"/>
      </w:pPr>
      <w:r w:rsidRPr="002765D3">
        <w:t>Reduced mobility</w:t>
      </w:r>
    </w:p>
    <w:p w14:paraId="467FF94E" w14:textId="77777777" w:rsidR="007C6ECC" w:rsidRPr="002765D3" w:rsidRDefault="007C6ECC" w:rsidP="00314F78">
      <w:pPr>
        <w:pStyle w:val="ListBullet"/>
      </w:pPr>
      <w:r w:rsidRPr="002765D3">
        <w:t>Changes to skin status</w:t>
      </w:r>
    </w:p>
    <w:p w14:paraId="368C095E" w14:textId="77777777" w:rsidR="007C6ECC" w:rsidRPr="002765D3" w:rsidRDefault="007C6ECC" w:rsidP="00314F78">
      <w:pPr>
        <w:pStyle w:val="ListBullet"/>
      </w:pPr>
      <w:r w:rsidRPr="002765D3">
        <w:t>Incontinence</w:t>
      </w:r>
    </w:p>
    <w:p w14:paraId="3550216F" w14:textId="77777777" w:rsidR="007C6ECC" w:rsidRPr="002765D3" w:rsidRDefault="007C6ECC" w:rsidP="00314F78">
      <w:pPr>
        <w:pStyle w:val="ListBullet"/>
      </w:pPr>
      <w:r w:rsidRPr="002765D3">
        <w:t>Poor nutrition</w:t>
      </w:r>
    </w:p>
    <w:p w14:paraId="5E1F6156" w14:textId="7B948129" w:rsidR="007C6ECC" w:rsidRPr="002765D3" w:rsidRDefault="007C6ECC" w:rsidP="00314F78">
      <w:pPr>
        <w:pStyle w:val="ListBullet"/>
      </w:pPr>
      <w:r w:rsidRPr="002765D3">
        <w:t>Comorbidities or chronic disease</w:t>
      </w:r>
    </w:p>
    <w:p w14:paraId="74E5FB0D" w14:textId="70D7FC56" w:rsidR="007C6ECC" w:rsidRPr="002765D3" w:rsidRDefault="007C6ECC" w:rsidP="00314F78">
      <w:pPr>
        <w:pStyle w:val="ListBullet"/>
      </w:pPr>
      <w:r w:rsidRPr="002765D3">
        <w:t>Care recipients with existing pressure injuries.</w:t>
      </w:r>
    </w:p>
    <w:p w14:paraId="0045C905" w14:textId="6E3FEB4F" w:rsidR="007C6ECC" w:rsidRPr="002765D3" w:rsidRDefault="007C6ECC" w:rsidP="00295D24">
      <w:pPr>
        <w:pStyle w:val="TableHeader"/>
      </w:pPr>
      <w:r w:rsidRPr="002765D3">
        <w:t>Undertake frequent reassessment</w:t>
      </w:r>
    </w:p>
    <w:p w14:paraId="103D7885" w14:textId="77777777" w:rsidR="007C6ECC" w:rsidRPr="009D19B7" w:rsidRDefault="7CAAE4D0" w:rsidP="00314F78">
      <w:pPr>
        <w:pStyle w:val="ListBullet"/>
      </w:pPr>
      <w:r w:rsidRPr="009D19B7">
        <w:t>Perform regular reassessment to monitor risk and check for early signs of pressure damage.</w:t>
      </w:r>
    </w:p>
    <w:p w14:paraId="13C9C10B" w14:textId="7E360F98" w:rsidR="00FD3F37" w:rsidRPr="009D19B7" w:rsidRDefault="007C6ECC" w:rsidP="00314F78">
      <w:pPr>
        <w:pStyle w:val="ListBullet"/>
      </w:pPr>
      <w:r w:rsidRPr="009D19B7">
        <w:t>Reassess prevention strategies to adjust care plans.</w:t>
      </w:r>
    </w:p>
    <w:p w14:paraId="3DFF8529" w14:textId="77777777" w:rsidR="00FD3F37" w:rsidRPr="002765D3" w:rsidRDefault="00FD3F37" w:rsidP="00314F78">
      <w:pPr>
        <w:sectPr w:rsidR="00FD3F37" w:rsidRPr="002765D3" w:rsidSect="00906F90">
          <w:headerReference w:type="even" r:id="rId62"/>
          <w:headerReference w:type="default" r:id="rId63"/>
          <w:headerReference w:type="first" r:id="rId64"/>
          <w:endnotePr>
            <w:numFmt w:val="decimal"/>
          </w:endnotePr>
          <w:type w:val="continuous"/>
          <w:pgSz w:w="11906" w:h="16838" w:code="9"/>
          <w:pgMar w:top="1701" w:right="1134" w:bottom="1134" w:left="2098" w:header="567" w:footer="567" w:gutter="0"/>
          <w:cols w:num="2" w:space="1418"/>
          <w:docGrid w:linePitch="360"/>
        </w:sectPr>
      </w:pPr>
    </w:p>
    <w:p w14:paraId="0EA43849" w14:textId="7B39BEA5" w:rsidR="00FD3F37" w:rsidRPr="009D19B7" w:rsidRDefault="00FD3F37" w:rsidP="0059348C">
      <w:pPr>
        <w:pStyle w:val="Heading2"/>
      </w:pPr>
      <w:r w:rsidRPr="009D19B7">
        <w:t>Quality improvement for pressure injuries</w:t>
      </w:r>
    </w:p>
    <w:p w14:paraId="4D0FF972" w14:textId="07C344DF" w:rsidR="00FD3F37" w:rsidRPr="009D19B7" w:rsidRDefault="7279DF3A" w:rsidP="00314F78">
      <w:r w:rsidRPr="009D19B7">
        <w:t>Quality improvement can help providers increase the quality of care for care recipients at risk of developing pressure injuries.</w:t>
      </w:r>
      <w:r w:rsidR="009253DC">
        <w:rPr>
          <w:rFonts w:ascii="ZWAdobeF" w:hAnsi="ZWAdobeF" w:cs="ZWAdobeF"/>
          <w:color w:val="auto"/>
          <w:sz w:val="2"/>
          <w:szCs w:val="2"/>
        </w:rPr>
        <w:t>43F</w:t>
      </w:r>
      <w:r w:rsidR="00FD3F37" w:rsidRPr="009D19B7">
        <w:rPr>
          <w:vertAlign w:val="superscript"/>
        </w:rPr>
        <w:endnoteReference w:id="45"/>
      </w:r>
      <w:r w:rsidRPr="009D19B7">
        <w:t xml:space="preserve"> Quality improvement activities should be ongoing and part of business-as-usual for approved providers.</w:t>
      </w:r>
    </w:p>
    <w:p w14:paraId="78E17BB4" w14:textId="0063137F" w:rsidR="00FD3F37" w:rsidRPr="009D19B7" w:rsidRDefault="00FD3F37" w:rsidP="00314F78">
      <w:r w:rsidRPr="009D19B7">
        <w:lastRenderedPageBreak/>
        <w:t xml:space="preserve">The QI Program will help prompt when a specific quality improvement activity should be undertaken. It is important to review QI Program data reports through </w:t>
      </w:r>
      <w:r w:rsidR="00B26274" w:rsidRPr="009D19B7">
        <w:t xml:space="preserve">GPMS </w:t>
      </w:r>
      <w:r w:rsidRPr="009D19B7">
        <w:t xml:space="preserve">and compare against national </w:t>
      </w:r>
      <w:r w:rsidR="0084075D" w:rsidRPr="009D19B7">
        <w:t>averages</w:t>
      </w:r>
      <w:r w:rsidRPr="009D19B7">
        <w:t xml:space="preserve"> and other services to understand where quality improvement activities should be focussed.</w:t>
      </w:r>
    </w:p>
    <w:p w14:paraId="3C3133D3" w14:textId="519C4E49" w:rsidR="00FD3F37" w:rsidRPr="00C95F45" w:rsidRDefault="7279DF3A" w:rsidP="00314F78">
      <w:r w:rsidRPr="009D19B7">
        <w:t xml:space="preserve">The </w:t>
      </w:r>
      <w:r w:rsidRPr="009D19B7">
        <w:rPr>
          <w:rStyle w:val="Strong"/>
        </w:rPr>
        <w:t>Plan-Do-Check-Act tool</w:t>
      </w:r>
      <w:r w:rsidRPr="009D19B7">
        <w:t xml:space="preserve"> </w:t>
      </w:r>
      <w:r w:rsidR="00221133" w:rsidRPr="009D19B7">
        <w:t xml:space="preserve">(section 2.3) </w:t>
      </w:r>
      <w:r w:rsidRPr="009D19B7">
        <w:t>is a useful tool to plan, deliver and monitor quality improvement activities focused on preventing and reducing pressure injuries.</w:t>
      </w:r>
      <w:r w:rsidR="009253DC">
        <w:rPr>
          <w:rFonts w:ascii="ZWAdobeF" w:hAnsi="ZWAdobeF" w:cs="ZWAdobeF"/>
          <w:color w:val="auto"/>
          <w:sz w:val="2"/>
          <w:szCs w:val="2"/>
        </w:rPr>
        <w:t>44F</w:t>
      </w:r>
      <w:r w:rsidR="00FD3F37" w:rsidRPr="009D19B7">
        <w:rPr>
          <w:vertAlign w:val="superscript"/>
        </w:rPr>
        <w:endnoteReference w:id="46"/>
      </w:r>
      <w:r w:rsidRPr="009D19B7">
        <w:rPr>
          <w:vertAlign w:val="superscript"/>
        </w:rPr>
        <w:t xml:space="preserve"> </w:t>
      </w:r>
      <w:r w:rsidR="009253DC">
        <w:rPr>
          <w:rFonts w:ascii="ZWAdobeF" w:hAnsi="ZWAdobeF" w:cs="ZWAdobeF"/>
          <w:color w:val="auto"/>
          <w:sz w:val="2"/>
          <w:szCs w:val="2"/>
        </w:rPr>
        <w:t>45F</w:t>
      </w:r>
      <w:r w:rsidR="00FD3F37" w:rsidRPr="009D19B7">
        <w:rPr>
          <w:vertAlign w:val="superscript"/>
        </w:rPr>
        <w:endnoteReference w:id="47"/>
      </w:r>
      <w:r w:rsidR="00C95F45">
        <w:br w:type="page"/>
      </w:r>
    </w:p>
    <w:p w14:paraId="19B1C06B" w14:textId="2F310DE9" w:rsidR="00FD3F37" w:rsidRPr="009D19B7" w:rsidRDefault="192713F9" w:rsidP="0059348C">
      <w:pPr>
        <w:pStyle w:val="Heading2"/>
      </w:pPr>
      <w:r w:rsidRPr="009D19B7">
        <w:lastRenderedPageBreak/>
        <w:t xml:space="preserve">Example tools, guidance and resources to </w:t>
      </w:r>
      <w:r w:rsidR="00FD3F37" w:rsidRPr="009D19B7">
        <w:br/>
      </w:r>
      <w:r w:rsidRPr="009D19B7">
        <w:t>support continuous quality improvement</w:t>
      </w:r>
    </w:p>
    <w:p w14:paraId="070F18E4" w14:textId="34EF9854" w:rsidR="00FD3F37" w:rsidRPr="009C563C" w:rsidRDefault="378F9952" w:rsidP="00314F78">
      <w:pPr>
        <w:pStyle w:val="ListBullet"/>
      </w:pPr>
      <w:hyperlink r:id="rId65" w:history="1">
        <w:r w:rsidRPr="009C563C">
          <w:rPr>
            <w:rStyle w:val="Hyperlink"/>
          </w:rPr>
          <w:t>Prevention and Treatment of Pressure Ulcers/Injuries: Clinical Practice Guideline and Quick Reference Guide</w:t>
        </w:r>
      </w:hyperlink>
      <w:r w:rsidRPr="009C563C">
        <w:t xml:space="preserve"> — the International Guideline 2019 </w:t>
      </w:r>
      <w:r w:rsidR="00460F5C" w:rsidRPr="009C563C">
        <w:t>and new 2025 guidelines.</w:t>
      </w:r>
    </w:p>
    <w:p w14:paraId="62855430" w14:textId="5B0674A0" w:rsidR="00FD3F37" w:rsidRPr="009C563C" w:rsidRDefault="16391C9B" w:rsidP="00314F78">
      <w:pPr>
        <w:pStyle w:val="ListBullet"/>
      </w:pPr>
      <w:hyperlink r:id="rId66">
        <w:r w:rsidRPr="009C563C">
          <w:rPr>
            <w:rStyle w:val="Hyperlink"/>
          </w:rPr>
          <w:t>Waterlow Pressure Ulcer Scale</w:t>
        </w:r>
      </w:hyperlink>
      <w:r w:rsidRPr="009C563C">
        <w:t xml:space="preserve"> </w:t>
      </w:r>
      <w:r w:rsidR="64062721" w:rsidRPr="009C563C">
        <w:t xml:space="preserve">— available </w:t>
      </w:r>
      <w:r w:rsidRPr="009C563C">
        <w:t xml:space="preserve">online </w:t>
      </w:r>
      <w:r w:rsidR="64062721" w:rsidRPr="009C563C">
        <w:t>on</w:t>
      </w:r>
      <w:r w:rsidRPr="009C563C">
        <w:t xml:space="preserve"> the New South Wales Agency for Clinical Innovation website</w:t>
      </w:r>
    </w:p>
    <w:p w14:paraId="2FFBA4DB" w14:textId="71D1B6EE" w:rsidR="00FD3F37" w:rsidRPr="009C563C" w:rsidRDefault="16391C9B" w:rsidP="00314F78">
      <w:pPr>
        <w:pStyle w:val="ListBullet"/>
        <w:rPr>
          <w:rStyle w:val="Hyperlink"/>
        </w:rPr>
      </w:pPr>
      <w:hyperlink r:id="rId67">
        <w:r w:rsidRPr="009C563C">
          <w:rPr>
            <w:rStyle w:val="Hyperlink"/>
          </w:rPr>
          <w:t xml:space="preserve">Braden Scale for </w:t>
        </w:r>
        <w:r w:rsidR="05703B0C" w:rsidRPr="009C563C">
          <w:rPr>
            <w:rStyle w:val="Hyperlink"/>
          </w:rPr>
          <w:t>P</w:t>
        </w:r>
        <w:r w:rsidRPr="009C563C">
          <w:rPr>
            <w:rStyle w:val="Hyperlink"/>
          </w:rPr>
          <w:t xml:space="preserve">redicting </w:t>
        </w:r>
        <w:r w:rsidR="05703B0C" w:rsidRPr="009C563C">
          <w:rPr>
            <w:rStyle w:val="Hyperlink"/>
          </w:rPr>
          <w:t>P</w:t>
        </w:r>
        <w:r w:rsidRPr="009C563C">
          <w:rPr>
            <w:rStyle w:val="Hyperlink"/>
          </w:rPr>
          <w:t xml:space="preserve">ressure </w:t>
        </w:r>
        <w:r w:rsidR="05703B0C" w:rsidRPr="009C563C">
          <w:rPr>
            <w:rStyle w:val="Hyperlink"/>
          </w:rPr>
          <w:t>Sore R</w:t>
        </w:r>
        <w:r w:rsidRPr="009C563C">
          <w:rPr>
            <w:rStyle w:val="Hyperlink"/>
          </w:rPr>
          <w:t>isk</w:t>
        </w:r>
      </w:hyperlink>
      <w:r w:rsidR="64062721" w:rsidRPr="009C563C">
        <w:t xml:space="preserve"> —</w:t>
      </w:r>
      <w:r w:rsidRPr="009C563C">
        <w:t xml:space="preserve"> </w:t>
      </w:r>
      <w:r w:rsidR="64062721" w:rsidRPr="009C563C">
        <w:t xml:space="preserve">available online </w:t>
      </w:r>
      <w:r w:rsidR="05703B0C" w:rsidRPr="009C563C">
        <w:t xml:space="preserve">in the </w:t>
      </w:r>
      <w:r w:rsidRPr="009C563C">
        <w:t>AN</w:t>
      </w:r>
      <w:r w:rsidR="264E4DF3" w:rsidRPr="009C563C">
        <w:t>-</w:t>
      </w:r>
      <w:r w:rsidRPr="009C563C">
        <w:t xml:space="preserve">ACC </w:t>
      </w:r>
      <w:r w:rsidR="05703B0C" w:rsidRPr="009C563C">
        <w:t xml:space="preserve">Reference Manual on </w:t>
      </w:r>
      <w:r w:rsidRPr="009C563C">
        <w:t xml:space="preserve">the Australian Department of Health </w:t>
      </w:r>
      <w:r w:rsidR="6E094136" w:rsidRPr="009C563C">
        <w:t>and Aged Care</w:t>
      </w:r>
      <w:r w:rsidR="05703B0C" w:rsidRPr="009C563C">
        <w:t xml:space="preserve"> website</w:t>
      </w:r>
      <w:r w:rsidR="12E54F29" w:rsidRPr="009C563C">
        <w:t>, or t</w:t>
      </w:r>
      <w:r w:rsidR="00522D72" w:rsidRPr="009C563C">
        <w:fldChar w:fldCharType="begin"/>
      </w:r>
      <w:r w:rsidR="00522D72" w:rsidRPr="009C563C">
        <w:instrText>HYPERLINK "https://www.sahealth.sa.gov.au/wps/wcm/connect/b24a8480438d09be9e63dfbc736a4e18/2010maybradenrisktool.pdf?MOD=AJPERES&amp;amp;CACHEID=ROOTWORKSPACE-b24a8480438d09be9e63dfbc736a4e18-nwLnylK"</w:instrText>
      </w:r>
      <w:r w:rsidR="00522D72" w:rsidRPr="009C563C">
        <w:fldChar w:fldCharType="separate"/>
      </w:r>
      <w:r w:rsidR="12E54F29" w:rsidRPr="009C563C">
        <w:rPr>
          <w:rStyle w:val="Hyperlink"/>
        </w:rPr>
        <w:t>his example from SA Health</w:t>
      </w:r>
    </w:p>
    <w:p w14:paraId="134F9722" w14:textId="2EF89F43" w:rsidR="00FD3F37" w:rsidRPr="009C563C" w:rsidRDefault="00522D72" w:rsidP="00314F78">
      <w:pPr>
        <w:pStyle w:val="ListBullet"/>
      </w:pPr>
      <w:r w:rsidRPr="009C563C">
        <w:fldChar w:fldCharType="end"/>
      </w:r>
      <w:hyperlink r:id="rId68">
        <w:r w:rsidR="378AA009" w:rsidRPr="009C563C">
          <w:rPr>
            <w:rStyle w:val="Hyperlink"/>
          </w:rPr>
          <w:t xml:space="preserve">Pressure injuries: </w:t>
        </w:r>
        <w:r w:rsidR="192713F9" w:rsidRPr="009C563C">
          <w:rPr>
            <w:rStyle w:val="Hyperlink"/>
          </w:rPr>
          <w:t>Standardised care process</w:t>
        </w:r>
      </w:hyperlink>
      <w:r w:rsidR="192713F9" w:rsidRPr="009C563C">
        <w:t xml:space="preserve"> </w:t>
      </w:r>
      <w:r w:rsidR="1D560A71" w:rsidRPr="009C563C">
        <w:t>—</w:t>
      </w:r>
      <w:r w:rsidR="2D9E1DF7" w:rsidRPr="009C563C">
        <w:t xml:space="preserve"> an evidence-based approach in the assessment, management and prevention of pressure injury wounds for older people who live in a residential aged care setting — </w:t>
      </w:r>
      <w:r w:rsidR="192713F9" w:rsidRPr="009C563C">
        <w:t xml:space="preserve">Victorian Department of Health </w:t>
      </w:r>
      <w:r w:rsidR="2D9E1DF7" w:rsidRPr="009C563C">
        <w:t>and Human Services</w:t>
      </w:r>
    </w:p>
    <w:p w14:paraId="6F65BA62" w14:textId="0F77132C" w:rsidR="00FD3F37" w:rsidRPr="009C563C" w:rsidRDefault="00FD3F37" w:rsidP="00314F78">
      <w:pPr>
        <w:pStyle w:val="ListBullet"/>
      </w:pPr>
      <w:hyperlink r:id="rId69" w:history="1">
        <w:r w:rsidRPr="009C563C">
          <w:rPr>
            <w:rStyle w:val="Hyperlink"/>
          </w:rPr>
          <w:t>Assessment and Management of Pressure Injuries</w:t>
        </w:r>
      </w:hyperlink>
      <w:r w:rsidRPr="009C563C">
        <w:t xml:space="preserve"> </w:t>
      </w:r>
      <w:r w:rsidR="0090688B" w:rsidRPr="009C563C">
        <w:t xml:space="preserve">— provides an online learning module on the assessment and management of pressure injuries — </w:t>
      </w:r>
      <w:r w:rsidRPr="009C563C">
        <w:t>Wound Innovations</w:t>
      </w:r>
    </w:p>
    <w:p w14:paraId="636212CB" w14:textId="66274ACF" w:rsidR="00D62BDE" w:rsidRPr="009C563C" w:rsidRDefault="00D62BDE" w:rsidP="00314F78">
      <w:pPr>
        <w:pStyle w:val="ListBullet"/>
      </w:pPr>
      <w:hyperlink r:id="rId70" w:history="1">
        <w:r w:rsidRPr="009C563C">
          <w:rPr>
            <w:rStyle w:val="Hyperlink"/>
          </w:rPr>
          <w:t>Preventing pressure ulcers</w:t>
        </w:r>
      </w:hyperlink>
      <w:r w:rsidR="006A1255" w:rsidRPr="009C563C">
        <w:t xml:space="preserve"> —</w:t>
      </w:r>
      <w:r w:rsidR="00AE7A04" w:rsidRPr="009C563C">
        <w:t xml:space="preserve"> </w:t>
      </w:r>
      <w:r w:rsidR="006A1255" w:rsidRPr="009C563C">
        <w:t xml:space="preserve">accessible </w:t>
      </w:r>
      <w:r w:rsidRPr="009C563C">
        <w:t xml:space="preserve">article detailing interventions to prevent pressure ulcers </w:t>
      </w:r>
      <w:r w:rsidR="006A1255" w:rsidRPr="009C563C">
        <w:t xml:space="preserve">— </w:t>
      </w:r>
      <w:r w:rsidRPr="009C563C">
        <w:t>Institute for Quality and Efficiency in Health Care</w:t>
      </w:r>
    </w:p>
    <w:p w14:paraId="2CAC22EF" w14:textId="093EF05E" w:rsidR="00FD3F37" w:rsidRPr="009C563C" w:rsidRDefault="00FD3F37" w:rsidP="00314F78">
      <w:pPr>
        <w:rPr>
          <w:rStyle w:val="Emphasis"/>
        </w:rPr>
      </w:pPr>
      <w:r w:rsidRPr="009C563C">
        <w:rPr>
          <w:rStyle w:val="Emphasis"/>
        </w:rPr>
        <w:t>Some tools, guidance and resources may be updated over time; it is important to ensure you are looking at the most recent version.</w:t>
      </w:r>
    </w:p>
    <w:p w14:paraId="551450A9" w14:textId="77777777" w:rsidR="00FD3F37" w:rsidRPr="004A09AA" w:rsidRDefault="00FD3F37" w:rsidP="00314F78"/>
    <w:p w14:paraId="3B0BC289" w14:textId="77777777" w:rsidR="00FD3F37" w:rsidRPr="004A09AA" w:rsidRDefault="00FD3F37" w:rsidP="00314F78">
      <w:pPr>
        <w:sectPr w:rsidR="00FD3F37" w:rsidRPr="004A09AA" w:rsidSect="00726801">
          <w:endnotePr>
            <w:numFmt w:val="decimal"/>
          </w:endnotePr>
          <w:type w:val="continuous"/>
          <w:pgSz w:w="11906" w:h="16838" w:code="9"/>
          <w:pgMar w:top="1701" w:right="1134" w:bottom="1134" w:left="1134" w:header="567" w:footer="567" w:gutter="0"/>
          <w:cols w:space="708"/>
          <w:docGrid w:linePitch="360"/>
        </w:sectPr>
      </w:pPr>
    </w:p>
    <w:p w14:paraId="4D32CAF9" w14:textId="7F88C7C1" w:rsidR="00FD3F37" w:rsidRDefault="0003211D" w:rsidP="0059348C">
      <w:pPr>
        <w:pStyle w:val="Heading1"/>
      </w:pPr>
      <w:bookmarkStart w:id="15" w:name="_Toc76998114"/>
      <w:bookmarkStart w:id="16" w:name="_Toc193889890"/>
      <w:r>
        <w:rPr>
          <w:noProof/>
        </w:rPr>
        <w:lastRenderedPageBreak/>
        <w:drawing>
          <wp:anchor distT="0" distB="0" distL="114300" distR="114300" simplePos="0" relativeHeight="251658291" behindDoc="1" locked="0" layoutInCell="1" allowOverlap="1" wp14:anchorId="170B1578" wp14:editId="2EBCFDE9">
            <wp:simplePos x="0" y="0"/>
            <wp:positionH relativeFrom="page">
              <wp:align>left</wp:align>
            </wp:positionH>
            <wp:positionV relativeFrom="paragraph">
              <wp:posOffset>731412</wp:posOffset>
            </wp:positionV>
            <wp:extent cx="8747125" cy="1207135"/>
            <wp:effectExtent l="0" t="0" r="0" b="0"/>
            <wp:wrapNone/>
            <wp:docPr id="2084020374" name="Picture 7" descr="P20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20374" name="Picture 7" descr="P205#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4712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8CD" w:rsidRPr="009C563C">
        <w:t>Restrictive Practices (formerly p</w:t>
      </w:r>
      <w:r w:rsidR="00FD3F37" w:rsidRPr="009C563C">
        <w:t>hysical restraint</w:t>
      </w:r>
      <w:bookmarkEnd w:id="15"/>
      <w:r w:rsidR="00354CA4" w:rsidRPr="009C563C">
        <w:t>)</w:t>
      </w:r>
      <w:bookmarkEnd w:id="16"/>
    </w:p>
    <w:p w14:paraId="3DC9FA6A" w14:textId="52FE4423" w:rsidR="0003211D" w:rsidRPr="00454D17" w:rsidRDefault="0003211D" w:rsidP="0003211D">
      <w:pPr>
        <w:pStyle w:val="Intropara"/>
        <w:framePr w:w="0" w:hRule="auto" w:wrap="auto" w:vAnchor="margin" w:hAnchor="text" w:xAlign="left" w:yAlign="inline"/>
      </w:pPr>
      <w:r w:rsidRPr="002765D3">
        <w:rPr>
          <w:noProof/>
        </w:rPr>
        <w:drawing>
          <wp:anchor distT="0" distB="0" distL="114300" distR="114300" simplePos="0" relativeHeight="251658292" behindDoc="0" locked="0" layoutInCell="1" allowOverlap="1" wp14:anchorId="7FF69472" wp14:editId="669D1414">
            <wp:simplePos x="0" y="0"/>
            <wp:positionH relativeFrom="margin">
              <wp:align>left</wp:align>
            </wp:positionH>
            <wp:positionV relativeFrom="paragraph">
              <wp:posOffset>88265</wp:posOffset>
            </wp:positionV>
            <wp:extent cx="1043305" cy="1041400"/>
            <wp:effectExtent l="0" t="0" r="4445" b="6350"/>
            <wp:wrapSquare wrapText="bothSides"/>
            <wp:docPr id="2091994264" name="Picture 48" descr="P20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4" name="Picture 48" descr="P206#y1">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4330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D17">
        <w:t>There are significant concerns about the overuse of restrictive practices for older Australians. While restrictive practices are used with the intention of supporting the safety of care recipients and others it can be associated with negative impacts and outcomes for care recipients. The use of restrictive practices needs to be considered on a case-by-case basis, used as a last resort and for the shortest time possible.</w:t>
      </w:r>
    </w:p>
    <w:p w14:paraId="10840D47" w14:textId="77777777" w:rsidR="00AC1761" w:rsidRPr="0003211D" w:rsidRDefault="00AC1761" w:rsidP="0003211D">
      <w:pPr>
        <w:sectPr w:rsidR="00AC1761" w:rsidRPr="0003211D" w:rsidSect="00157BB5">
          <w:headerReference w:type="even" r:id="rId72"/>
          <w:headerReference w:type="default" r:id="rId73"/>
          <w:headerReference w:type="first" r:id="rId74"/>
          <w:endnotePr>
            <w:numFmt w:val="decimal"/>
          </w:endnotePr>
          <w:pgSz w:w="11906" w:h="16838" w:code="9"/>
          <w:pgMar w:top="1701" w:right="1134" w:bottom="1134" w:left="1134" w:header="567" w:footer="567" w:gutter="0"/>
          <w:cols w:space="708"/>
          <w:docGrid w:linePitch="360"/>
        </w:sectPr>
      </w:pPr>
      <w:bookmarkStart w:id="17" w:name="_Hlk193450853"/>
    </w:p>
    <w:p w14:paraId="24760072" w14:textId="2F1AADBC" w:rsidR="00431ED3" w:rsidRDefault="00E200BE" w:rsidP="0059348C">
      <w:pPr>
        <w:pStyle w:val="Heading2"/>
      </w:pPr>
      <w:r>
        <w:t xml:space="preserve">Overview of </w:t>
      </w:r>
      <w:r w:rsidR="00431ED3">
        <w:t xml:space="preserve">Restrictive practices </w:t>
      </w:r>
    </w:p>
    <w:p w14:paraId="4611CF32" w14:textId="5B9DD870" w:rsidR="00FD3F37" w:rsidRPr="00431ED3" w:rsidRDefault="001F003A" w:rsidP="00314F78">
      <w:r w:rsidRPr="00431ED3">
        <w:fldChar w:fldCharType="begin" w:fldLock="1"/>
      </w:r>
      <w:r w:rsidRPr="00431ED3">
        <w:instrText xml:space="preserve"> REF _Ref105151653 \h </w:instrText>
      </w:r>
      <w:r w:rsidR="00431ED3">
        <w:instrText xml:space="preserve"> \* MERGEFORMAT </w:instrText>
      </w:r>
      <w:r w:rsidRPr="00431ED3">
        <w:fldChar w:fldCharType="separate"/>
      </w:r>
      <w:r w:rsidR="009F0B74" w:rsidRPr="00431ED3">
        <w:t>Figure 10</w:t>
      </w:r>
      <w:r w:rsidRPr="00431ED3">
        <w:fldChar w:fldCharType="end"/>
      </w:r>
      <w:r w:rsidRPr="00431ED3">
        <w:t xml:space="preserve"> </w:t>
      </w:r>
      <w:r w:rsidR="00FD3F37" w:rsidRPr="00431ED3">
        <w:t>below provides an overview of physical restraint in residential aged care.</w:t>
      </w:r>
      <w:bookmarkStart w:id="18" w:name="_Ref76989969"/>
      <w:r w:rsidR="00460F5C" w:rsidRPr="00431ED3">
        <w:t xml:space="preserve"> The data and references have been </w:t>
      </w:r>
      <w:r w:rsidR="00061841" w:rsidRPr="00431ED3">
        <w:t>reviewed</w:t>
      </w:r>
      <w:r w:rsidR="00460F5C" w:rsidRPr="00431ED3">
        <w:t xml:space="preserve"> March 2025.</w:t>
      </w:r>
    </w:p>
    <w:p w14:paraId="34469831" w14:textId="4C7987C3" w:rsidR="00FD3F37" w:rsidRPr="00431ED3" w:rsidRDefault="00E401CF" w:rsidP="00314F78">
      <w:pPr>
        <w:pStyle w:val="Caption"/>
      </w:pPr>
      <w:bookmarkStart w:id="19" w:name="_Ref105151653"/>
      <w:bookmarkEnd w:id="17"/>
      <w:r w:rsidRPr="00431ED3">
        <w:t>FIGURE </w:t>
      </w:r>
      <w:r w:rsidR="00FD3F37" w:rsidRPr="00431ED3">
        <w:fldChar w:fldCharType="begin"/>
      </w:r>
      <w:r w:rsidR="00FD3F37" w:rsidRPr="00431ED3">
        <w:instrText>SEQ Figure \* ARABIC</w:instrText>
      </w:r>
      <w:r w:rsidR="00FD3F37" w:rsidRPr="00431ED3">
        <w:fldChar w:fldCharType="separate"/>
      </w:r>
      <w:r w:rsidR="003A30D7">
        <w:rPr>
          <w:noProof/>
        </w:rPr>
        <w:t>10</w:t>
      </w:r>
      <w:r w:rsidR="00FD3F37" w:rsidRPr="00431ED3">
        <w:fldChar w:fldCharType="end"/>
      </w:r>
      <w:bookmarkEnd w:id="18"/>
      <w:bookmarkEnd w:id="19"/>
      <w:r w:rsidRPr="00431ED3">
        <w:t>: PHYSICAL RESTRAINT IN RESIDENTIAL AGED CARE SERVICES</w:t>
      </w:r>
      <w:r w:rsidR="009253DC">
        <w:rPr>
          <w:rFonts w:ascii="ZWAdobeF" w:hAnsi="ZWAdobeF" w:cs="ZWAdobeF"/>
          <w:b w:val="0"/>
          <w:color w:val="auto"/>
          <w:sz w:val="2"/>
          <w:szCs w:val="2"/>
        </w:rPr>
        <w:t>46F</w:t>
      </w:r>
      <w:r w:rsidR="00FD3F37" w:rsidRPr="00454D17">
        <w:rPr>
          <w:rStyle w:val="EndnoteReference"/>
        </w:rPr>
        <w:endnoteReference w:id="48"/>
      </w:r>
    </w:p>
    <w:p w14:paraId="13496047" w14:textId="1C8C9E29" w:rsidR="00FD3F37" w:rsidRPr="002765D3" w:rsidRDefault="008B1D45" w:rsidP="00314F78">
      <w:r>
        <w:rPr>
          <w:noProof/>
        </w:rPr>
        <w:drawing>
          <wp:inline distT="0" distB="0" distL="0" distR="0" wp14:anchorId="5F451410" wp14:editId="428493C3">
            <wp:extent cx="6120130" cy="4890770"/>
            <wp:effectExtent l="0" t="0" r="0" b="5080"/>
            <wp:docPr id="1529942229" name="Picture 1" descr="P2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42229" name="Picture 1" descr="P211#yIS1"/>
                    <pic:cNvPicPr/>
                  </pic:nvPicPr>
                  <pic:blipFill>
                    <a:blip r:embed="rId75"/>
                    <a:stretch>
                      <a:fillRect/>
                    </a:stretch>
                  </pic:blipFill>
                  <pic:spPr>
                    <a:xfrm>
                      <a:off x="0" y="0"/>
                      <a:ext cx="6120130" cy="4890770"/>
                    </a:xfrm>
                    <a:prstGeom prst="rect">
                      <a:avLst/>
                    </a:prstGeom>
                  </pic:spPr>
                </pic:pic>
              </a:graphicData>
            </a:graphic>
          </wp:inline>
        </w:drawing>
      </w:r>
    </w:p>
    <w:p w14:paraId="00FF3A6B" w14:textId="18973B57" w:rsidR="00FD3F37" w:rsidRPr="00431ED3" w:rsidRDefault="00FD3F37" w:rsidP="0059348C">
      <w:pPr>
        <w:pStyle w:val="Heading2"/>
      </w:pPr>
      <w:r w:rsidRPr="00431ED3">
        <w:lastRenderedPageBreak/>
        <w:t>Restrictive practices in residential aged care</w:t>
      </w:r>
    </w:p>
    <w:p w14:paraId="5A70DE4E" w14:textId="09BA49ED" w:rsidR="00FD3F37" w:rsidRPr="00431ED3" w:rsidRDefault="00FD3F37" w:rsidP="00314F78">
      <w:r w:rsidRPr="00431ED3">
        <w:t xml:space="preserve">The </w:t>
      </w:r>
      <w:hyperlink r:id="rId76" w:history="1">
        <w:r w:rsidRPr="00431ED3">
          <w:rPr>
            <w:rStyle w:val="Hyperlink"/>
          </w:rPr>
          <w:t>Quality of Care Principles 2014</w:t>
        </w:r>
      </w:hyperlink>
      <w:r w:rsidRPr="00431ED3">
        <w:t xml:space="preserve"> (Quality of Care Principles) define restrictive practices as any practice or intervention that has the effect of restricting the rights or freedom of movement of a care recipient.</w:t>
      </w:r>
    </w:p>
    <w:p w14:paraId="12BB6BEE" w14:textId="6324A9F9" w:rsidR="00FD3F37" w:rsidRPr="00431ED3" w:rsidRDefault="4CB35921" w:rsidP="00314F78">
      <w:pPr>
        <w:pStyle w:val="ListBullet"/>
      </w:pPr>
      <w:r w:rsidRPr="00431ED3">
        <w:t xml:space="preserve">For the purposes of the QI Program, </w:t>
      </w:r>
      <w:r w:rsidRPr="001A5169">
        <w:rPr>
          <w:rStyle w:val="Strong"/>
        </w:rPr>
        <w:t>restrictive practices</w:t>
      </w:r>
      <w:r w:rsidRPr="00431ED3">
        <w:t xml:space="preserve"> includes all forms of restrictive practice, </w:t>
      </w:r>
      <w:r w:rsidRPr="001A5169">
        <w:rPr>
          <w:rStyle w:val="Strong"/>
        </w:rPr>
        <w:t>excluding chemical restraint</w:t>
      </w:r>
      <w:r w:rsidRPr="00431ED3">
        <w:t>, as follows: </w:t>
      </w:r>
      <w:r w:rsidR="00FD3F37" w:rsidRPr="00431ED3">
        <w:t>Mechanical restraint is a practice or intervention that is, or that involves, the use of a device to prevent, restrict or subdue a care recipient’s movement for the primary purpose of influencing the care recipient’s behaviour, but does not include the use of a device for therapeutic or non-behavioural purposes in relation to the care recipient.</w:t>
      </w:r>
    </w:p>
    <w:p w14:paraId="3B2852BE" w14:textId="77777777" w:rsidR="00FD3F37" w:rsidRPr="001A5169" w:rsidRDefault="00FD3F37" w:rsidP="00314F78">
      <w:pPr>
        <w:pStyle w:val="ListBullet"/>
      </w:pPr>
      <w:r w:rsidRPr="009014AE">
        <w:rPr>
          <w:rStyle w:val="Strong"/>
        </w:rPr>
        <w:t>Physical restraint</w:t>
      </w:r>
      <w:r w:rsidRPr="001A5169">
        <w:t xml:space="preserve"> is a practice or intervention that:</w:t>
      </w:r>
    </w:p>
    <w:p w14:paraId="14FB0F3A" w14:textId="77777777" w:rsidR="00FD3F37" w:rsidRPr="009014AE" w:rsidRDefault="00FD3F37" w:rsidP="00314F78">
      <w:pPr>
        <w:pStyle w:val="ListBullet2"/>
      </w:pPr>
      <w:r w:rsidRPr="009014AE">
        <w:t>Is or involves the use of physical force to prevent, restrict or subdue movement of a care recipient’s body, or part of a care recipient’s body, for the primary purpose of influencing the care recipient’s behaviour.</w:t>
      </w:r>
    </w:p>
    <w:p w14:paraId="7E83F37E" w14:textId="77777777" w:rsidR="00FD3F37" w:rsidRPr="009014AE" w:rsidRDefault="7279DF3A" w:rsidP="00314F78">
      <w:pPr>
        <w:pStyle w:val="ListBullet2"/>
      </w:pPr>
      <w:r w:rsidRPr="009014AE">
        <w:t>Does not include the use of a hands-on technique in a reflexive way to guide or redirect the care recipient away from potential harm or injury if it is consistent with what could reasonably be considered to be the exercise of care towards the care recipient.</w:t>
      </w:r>
    </w:p>
    <w:p w14:paraId="2721174B" w14:textId="77777777" w:rsidR="00FD3F37" w:rsidRPr="009014AE" w:rsidRDefault="00FD3F37" w:rsidP="00314F78">
      <w:pPr>
        <w:pStyle w:val="ListBullet"/>
      </w:pPr>
      <w:r w:rsidRPr="009014AE">
        <w:rPr>
          <w:rStyle w:val="Strong"/>
        </w:rPr>
        <w:t>Environmental restraint</w:t>
      </w:r>
      <w:r w:rsidRPr="009014AE">
        <w:t xml:space="preserve"> is a practice or intervention that restricts, or that involves restricting, a care recipient’s free access to all parts of the care recipient’s environment (including items and activities) for the primary purpose of influencing the care recipient’s behaviour.</w:t>
      </w:r>
    </w:p>
    <w:p w14:paraId="3B876F17" w14:textId="77777777" w:rsidR="00FD3F37" w:rsidRPr="009014AE" w:rsidRDefault="00FD3F37" w:rsidP="00314F78">
      <w:pPr>
        <w:pStyle w:val="ListBullet"/>
      </w:pPr>
      <w:r w:rsidRPr="009014AE">
        <w:rPr>
          <w:rStyle w:val="Strong"/>
        </w:rPr>
        <w:t>Seclusion</w:t>
      </w:r>
      <w:r w:rsidRPr="009014AE">
        <w:t xml:space="preserve"> is a practice or intervention that is, or that involves, the solitary confinement of a care recipient in a room or a physical space at any hour of the day or night where:</w:t>
      </w:r>
    </w:p>
    <w:p w14:paraId="55BD8CD6" w14:textId="77777777" w:rsidR="00FD3F37" w:rsidRPr="009014AE" w:rsidRDefault="00FD3F37" w:rsidP="00314F78">
      <w:pPr>
        <w:pStyle w:val="ListBullet2"/>
      </w:pPr>
      <w:r w:rsidRPr="009014AE">
        <w:t>Voluntary exit is prevented or not facilitated</w:t>
      </w:r>
    </w:p>
    <w:p w14:paraId="63D0D285" w14:textId="77777777" w:rsidR="00FD3F37" w:rsidRPr="009014AE" w:rsidRDefault="7279DF3A" w:rsidP="00314F78">
      <w:pPr>
        <w:pStyle w:val="ListBullet2"/>
      </w:pPr>
      <w:r w:rsidRPr="009014AE">
        <w:t>It is implied that voluntary exit is not permitted</w:t>
      </w:r>
    </w:p>
    <w:p w14:paraId="5D291DEB" w14:textId="77777777" w:rsidR="00FD3F37" w:rsidRPr="009014AE" w:rsidRDefault="00FD3F37" w:rsidP="00314F78">
      <w:pPr>
        <w:pStyle w:val="ListBullet2"/>
      </w:pPr>
      <w:r w:rsidRPr="009014AE">
        <w:t>for the primary purpose of influencing the care recipient’s behaviour.</w:t>
      </w:r>
    </w:p>
    <w:p w14:paraId="0D6DA5E7" w14:textId="77777777" w:rsidR="00FD3F37" w:rsidRPr="009014AE" w:rsidRDefault="7279DF3A" w:rsidP="00314F78">
      <w:r w:rsidRPr="009014AE">
        <w:t xml:space="preserve">For the purposes of the QI Program, restraint through the use of a </w:t>
      </w:r>
      <w:r w:rsidRPr="009014AE">
        <w:rPr>
          <w:rStyle w:val="Strong"/>
        </w:rPr>
        <w:t>secure area</w:t>
      </w:r>
      <w:r w:rsidRPr="009014AE">
        <w:t xml:space="preserve"> includes only environmental restraint, as defined above.</w:t>
      </w:r>
    </w:p>
    <w:p w14:paraId="1AEF0638" w14:textId="174C1E9C" w:rsidR="00FD3F37" w:rsidRPr="009014AE" w:rsidRDefault="005C7ED3" w:rsidP="00314F78">
      <w:r w:rsidRPr="009014AE">
        <w:t>All listed forms of restrictive practice, including instances the care recipient or their representative instigate or request the restrictive practice, are considered restrictive practices for the purposes of the QI Program. </w:t>
      </w:r>
      <w:r w:rsidR="00FD3F37" w:rsidRPr="009014AE">
        <w:t xml:space="preserve">Details of the collection and reporting requirements for the </w:t>
      </w:r>
      <w:r w:rsidRPr="009014AE">
        <w:t>restrictive practices</w:t>
      </w:r>
      <w:r w:rsidR="00FD3F37" w:rsidRPr="009014AE">
        <w:t xml:space="preserve"> quality indicator can be found in Part A.</w:t>
      </w:r>
    </w:p>
    <w:p w14:paraId="5ECE4E49" w14:textId="4D17A21D" w:rsidR="00FD3F37" w:rsidRPr="009014AE" w:rsidRDefault="00FD3F37" w:rsidP="0059348C">
      <w:pPr>
        <w:pStyle w:val="Heading2"/>
      </w:pPr>
      <w:r w:rsidRPr="009014AE">
        <w:t xml:space="preserve">Adverse clinical events and </w:t>
      </w:r>
      <w:r w:rsidR="00756A30" w:rsidRPr="009014AE">
        <w:t>restrictive practices</w:t>
      </w:r>
    </w:p>
    <w:p w14:paraId="2B9E2C59" w14:textId="353125E3" w:rsidR="00FD3F37" w:rsidRPr="009014AE" w:rsidRDefault="00756A30" w:rsidP="00314F78">
      <w:r w:rsidRPr="009014AE">
        <w:t>Restrictive practices</w:t>
      </w:r>
      <w:r w:rsidR="00FD3F37" w:rsidRPr="009014AE">
        <w:t xml:space="preserve"> can cause physical and psychological harm and can have a significant impact on the quality of life of care recipients. These include:</w:t>
      </w:r>
    </w:p>
    <w:p w14:paraId="6E182666" w14:textId="77777777" w:rsidR="00FD3F37" w:rsidRPr="009014AE" w:rsidRDefault="00FD3F37" w:rsidP="00314F78">
      <w:pPr>
        <w:pStyle w:val="ListBullet"/>
      </w:pPr>
      <w:r w:rsidRPr="009014AE">
        <w:rPr>
          <w:rStyle w:val="Strong"/>
        </w:rPr>
        <w:t>Psychological consequences</w:t>
      </w:r>
      <w:r w:rsidRPr="009014AE">
        <w:t>, such as fear, shame, anxiety, anger, loneliness, boredom, loss of dignity, agitation, depression, and lower cognitive performance.</w:t>
      </w:r>
    </w:p>
    <w:p w14:paraId="2F860F9E" w14:textId="52DC0ED9" w:rsidR="00FD3F37" w:rsidRPr="009014AE" w:rsidRDefault="7279DF3A" w:rsidP="00314F78">
      <w:pPr>
        <w:pStyle w:val="ListBullet"/>
      </w:pPr>
      <w:r w:rsidRPr="009014AE">
        <w:rPr>
          <w:rStyle w:val="Strong"/>
        </w:rPr>
        <w:t>Physical consequences</w:t>
      </w:r>
      <w:r w:rsidRPr="009014AE">
        <w:t>, such as bruising, direct skin injuries, pressure injuries, contractures, respiratory complications, urinary and faecal incontinence and constipation, undernutrition, reduced mobility and increased dependence in activities of daily living, impaired muscle strength and balance, reduced cardiovascular endurance, serious injury and death.</w:t>
      </w:r>
    </w:p>
    <w:p w14:paraId="4511DDEA" w14:textId="29F84DD5" w:rsidR="00FD3F37" w:rsidRPr="004A09AA" w:rsidRDefault="7279DF3A" w:rsidP="00F2392D">
      <w:r w:rsidRPr="009014AE">
        <w:rPr>
          <w:rStyle w:val="Strong"/>
        </w:rPr>
        <w:lastRenderedPageBreak/>
        <w:t>Physical restraint</w:t>
      </w:r>
      <w:r w:rsidRPr="009014AE">
        <w:t xml:space="preserve"> can also result in death, for example physical restraint applied for falls prevention may lead to neck compression and entrapment </w:t>
      </w:r>
      <w:r w:rsidRPr="00F2392D">
        <w:t>causing</w:t>
      </w:r>
      <w:r w:rsidRPr="009014AE">
        <w:t xml:space="preserve"> asphyxia</w:t>
      </w:r>
      <w:r w:rsidRPr="004A09AA">
        <w:t>.</w:t>
      </w:r>
      <w:r w:rsidR="009253DC">
        <w:rPr>
          <w:rFonts w:ascii="ZWAdobeF" w:hAnsi="ZWAdobeF" w:cs="ZWAdobeF"/>
          <w:color w:val="auto"/>
          <w:sz w:val="2"/>
          <w:szCs w:val="2"/>
        </w:rPr>
        <w:t>47F</w:t>
      </w:r>
      <w:r w:rsidR="00FD3F37" w:rsidRPr="00454D17">
        <w:rPr>
          <w:rStyle w:val="EndnoteReference"/>
        </w:rPr>
        <w:endnoteReference w:id="49"/>
      </w:r>
    </w:p>
    <w:p w14:paraId="673BB518" w14:textId="15C07B10" w:rsidR="00FD3F37" w:rsidRPr="009014AE" w:rsidRDefault="00FD3F37" w:rsidP="0059348C">
      <w:pPr>
        <w:pStyle w:val="Heading2"/>
      </w:pPr>
      <w:r w:rsidRPr="009014AE">
        <w:t xml:space="preserve">Prevention and management of </w:t>
      </w:r>
      <w:r w:rsidR="001B2203" w:rsidRPr="009014AE">
        <w:t>restrictive practices</w:t>
      </w:r>
    </w:p>
    <w:p w14:paraId="789F5A25" w14:textId="6C761169" w:rsidR="00FD3F37" w:rsidRPr="00E7009B" w:rsidRDefault="7279DF3A" w:rsidP="00314F78">
      <w:r w:rsidRPr="00E7009B">
        <w:t xml:space="preserve">The </w:t>
      </w:r>
      <w:r w:rsidRPr="00E7009B">
        <w:rPr>
          <w:rStyle w:val="Emphasis"/>
        </w:rPr>
        <w:t>Quality of Care Principles 2014</w:t>
      </w:r>
      <w:r w:rsidRPr="00E7009B">
        <w:t xml:space="preserve"> outline that </w:t>
      </w:r>
      <w:r w:rsidR="31A41969" w:rsidRPr="00E7009B">
        <w:t>restrictive practices</w:t>
      </w:r>
      <w:r w:rsidRPr="00E7009B">
        <w:t xml:space="preserve"> in aged care services should only be used as a last resort and only when necessary to protect the care recipient or another person. </w:t>
      </w:r>
      <w:r w:rsidR="2ACF6BE3" w:rsidRPr="00E7009B">
        <w:t>Restrictive practices</w:t>
      </w:r>
      <w:r w:rsidRPr="00E7009B">
        <w:t xml:space="preserve"> can be used only if:</w:t>
      </w:r>
    </w:p>
    <w:p w14:paraId="1E668DA6" w14:textId="047E627E" w:rsidR="00AD1FD7" w:rsidRPr="00E7009B" w:rsidRDefault="00FD3F37" w:rsidP="00314F78">
      <w:pPr>
        <w:pStyle w:val="ListBullet"/>
      </w:pPr>
      <w:r w:rsidRPr="00E7009B">
        <w:t xml:space="preserve">an approved health practitioner with day-to-day knowledge of the care recipient has assessed the care recipient as posing a risk of harm to themselves or </w:t>
      </w:r>
      <w:r w:rsidR="00AD1FD7" w:rsidRPr="00E7009B">
        <w:t xml:space="preserve">others and assessed that the use of restrictive practice is necessary </w:t>
      </w:r>
    </w:p>
    <w:p w14:paraId="2E3CA0EB" w14:textId="77777777" w:rsidR="00FD3F37" w:rsidRPr="00E7009B" w:rsidRDefault="7279DF3A" w:rsidP="00314F78">
      <w:pPr>
        <w:pStyle w:val="ListBullet"/>
      </w:pPr>
      <w:r w:rsidRPr="00E7009B">
        <w:t>the requirement to have a behaviour support plan in place for every care recipient who has restrictive practices considered, applied or used as part of their care has been fulfilled</w:t>
      </w:r>
    </w:p>
    <w:p w14:paraId="32B550F5" w14:textId="77777777" w:rsidR="00AD1FD7" w:rsidRPr="00E7009B" w:rsidRDefault="00AD1FD7" w:rsidP="00314F78">
      <w:pPr>
        <w:pStyle w:val="ListBullet"/>
      </w:pPr>
      <w:r w:rsidRPr="00E7009B">
        <w:t xml:space="preserve">best practice </w:t>
      </w:r>
      <w:r w:rsidR="00FD3F37" w:rsidRPr="00E7009B">
        <w:t>alternatives have been used to the extent possible</w:t>
      </w:r>
      <w:r w:rsidRPr="00E7009B">
        <w:t xml:space="preserve"> and alternative strategies that have been considered or used have been documented in the care recipient’s behaviour support plan</w:t>
      </w:r>
    </w:p>
    <w:p w14:paraId="0D439C5F" w14:textId="7F951BEA" w:rsidR="00FD3F37" w:rsidRPr="00E7009B" w:rsidRDefault="00FD3F37" w:rsidP="00314F78">
      <w:pPr>
        <w:pStyle w:val="ListBullet"/>
      </w:pPr>
      <w:r w:rsidRPr="00E7009B">
        <w:t>the restraint used is the least restrictive</w:t>
      </w:r>
      <w:r w:rsidR="00AD1FD7" w:rsidRPr="00E7009B">
        <w:t xml:space="preserve"> form and for the shortest time needed</w:t>
      </w:r>
    </w:p>
    <w:p w14:paraId="75D29D68" w14:textId="290994C0" w:rsidR="00FD3F37" w:rsidRPr="00E7009B" w:rsidRDefault="7279DF3A" w:rsidP="00314F78">
      <w:pPr>
        <w:pStyle w:val="ListBullet"/>
        <w:sectPr w:rsidR="00FD3F37" w:rsidRPr="00E7009B" w:rsidSect="00AC1761">
          <w:endnotePr>
            <w:numFmt w:val="decimal"/>
          </w:endnotePr>
          <w:type w:val="continuous"/>
          <w:pgSz w:w="11906" w:h="16838" w:code="9"/>
          <w:pgMar w:top="1701" w:right="1134" w:bottom="1134" w:left="1134" w:header="567" w:footer="567" w:gutter="0"/>
          <w:cols w:space="708"/>
          <w:docGrid w:linePitch="360"/>
        </w:sectPr>
      </w:pPr>
      <w:r w:rsidRPr="00E7009B">
        <w:t>informed consent has been obtained from the care recipient</w:t>
      </w:r>
      <w:r w:rsidR="2CD5A9AF" w:rsidRPr="00E7009B">
        <w:t xml:space="preserve"> or</w:t>
      </w:r>
      <w:r w:rsidR="077C4D70" w:rsidRPr="00E7009B">
        <w:t>,</w:t>
      </w:r>
      <w:r w:rsidR="2CD5A9AF" w:rsidRPr="00E7009B">
        <w:t xml:space="preserve"> if they do not have capacity to consent</w:t>
      </w:r>
      <w:r w:rsidR="077C4D70" w:rsidRPr="00E7009B">
        <w:t>,</w:t>
      </w:r>
      <w:r w:rsidR="2CD5A9AF" w:rsidRPr="00E7009B">
        <w:t xml:space="preserve"> their restrictive practices substitute decision maker</w:t>
      </w:r>
      <w:r w:rsidR="077C4D70" w:rsidRPr="00E7009B">
        <w:t>.</w:t>
      </w:r>
    </w:p>
    <w:p w14:paraId="2BEDA820" w14:textId="5B1B7BAC" w:rsidR="00FD3F37" w:rsidRPr="00E7009B" w:rsidRDefault="00E401CF" w:rsidP="00314F78">
      <w:pPr>
        <w:pStyle w:val="Caption"/>
      </w:pPr>
      <w:r w:rsidRPr="00E7009B">
        <w:lastRenderedPageBreak/>
        <w:t>FIGURE </w:t>
      </w:r>
      <w:r w:rsidR="00FD3F37" w:rsidRPr="00E7009B">
        <w:fldChar w:fldCharType="begin"/>
      </w:r>
      <w:r w:rsidR="00FD3F37" w:rsidRPr="00E7009B">
        <w:instrText>SEQ Figure \* ARABIC</w:instrText>
      </w:r>
      <w:r w:rsidR="00FD3F37" w:rsidRPr="00E7009B">
        <w:fldChar w:fldCharType="separate"/>
      </w:r>
      <w:r w:rsidR="003A30D7">
        <w:rPr>
          <w:noProof/>
        </w:rPr>
        <w:t>11</w:t>
      </w:r>
      <w:r w:rsidR="00FD3F37" w:rsidRPr="00E7009B">
        <w:fldChar w:fldCharType="end"/>
      </w:r>
      <w:r w:rsidRPr="00E7009B">
        <w:t>: PREVENTING RESTRICTIVE PRACTICES</w:t>
      </w:r>
      <w:r w:rsidR="009253DC">
        <w:rPr>
          <w:rFonts w:ascii="ZWAdobeF" w:hAnsi="ZWAdobeF" w:cs="ZWAdobeF"/>
          <w:b w:val="0"/>
          <w:color w:val="auto"/>
          <w:sz w:val="2"/>
          <w:szCs w:val="2"/>
        </w:rPr>
        <w:t>48F</w:t>
      </w:r>
      <w:r w:rsidR="00FD3F37" w:rsidRPr="00454D17">
        <w:rPr>
          <w:rStyle w:val="EndnoteReference"/>
        </w:rPr>
        <w:endnoteReference w:id="50"/>
      </w:r>
    </w:p>
    <w:p w14:paraId="19FBC233" w14:textId="44E9F9DD" w:rsidR="00FD3F37" w:rsidRDefault="00642E0D" w:rsidP="00314F78">
      <w:r>
        <w:rPr>
          <w:noProof/>
        </w:rPr>
        <w:drawing>
          <wp:inline distT="0" distB="0" distL="0" distR="0" wp14:anchorId="609FC21A" wp14:editId="62087CC3">
            <wp:extent cx="9251950" cy="5417820"/>
            <wp:effectExtent l="0" t="0" r="6350" b="0"/>
            <wp:docPr id="1680577342" name="Picture 1" descr="P2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77342" name="Picture 1" descr="P238#yIS1"/>
                    <pic:cNvPicPr/>
                  </pic:nvPicPr>
                  <pic:blipFill>
                    <a:blip r:embed="rId77"/>
                    <a:stretch>
                      <a:fillRect/>
                    </a:stretch>
                  </pic:blipFill>
                  <pic:spPr>
                    <a:xfrm>
                      <a:off x="0" y="0"/>
                      <a:ext cx="9251950" cy="5417820"/>
                    </a:xfrm>
                    <a:prstGeom prst="rect">
                      <a:avLst/>
                    </a:prstGeom>
                  </pic:spPr>
                </pic:pic>
              </a:graphicData>
            </a:graphic>
          </wp:inline>
        </w:drawing>
      </w:r>
    </w:p>
    <w:p w14:paraId="5757AB84" w14:textId="61086446" w:rsidR="00B449C9" w:rsidRPr="00B449C9" w:rsidRDefault="00B449C9" w:rsidP="00314F78">
      <w:pPr>
        <w:sectPr w:rsidR="00B449C9" w:rsidRPr="00B449C9" w:rsidSect="004A26F5">
          <w:headerReference w:type="even" r:id="rId78"/>
          <w:headerReference w:type="default" r:id="rId79"/>
          <w:headerReference w:type="first" r:id="rId80"/>
          <w:endnotePr>
            <w:numFmt w:val="decimal"/>
          </w:endnotePr>
          <w:pgSz w:w="16838" w:h="11906" w:orient="landscape" w:code="9"/>
          <w:pgMar w:top="1134" w:right="1134" w:bottom="1134" w:left="1134" w:header="567" w:footer="567" w:gutter="0"/>
          <w:cols w:space="708"/>
          <w:docGrid w:linePitch="360"/>
        </w:sectPr>
      </w:pPr>
    </w:p>
    <w:p w14:paraId="595BC343" w14:textId="53E3645D" w:rsidR="00FD3F37" w:rsidRPr="004A09AA" w:rsidRDefault="7279DF3A" w:rsidP="00F2392D">
      <w:r w:rsidRPr="00E7009B">
        <w:lastRenderedPageBreak/>
        <w:t xml:space="preserve">Providers can reduce the need for </w:t>
      </w:r>
      <w:r w:rsidR="270D1687" w:rsidRPr="00F2392D">
        <w:t>restrictive</w:t>
      </w:r>
      <w:r w:rsidR="270D1687" w:rsidRPr="00E7009B">
        <w:t xml:space="preserve"> practices</w:t>
      </w:r>
      <w:r w:rsidRPr="00E7009B">
        <w:t xml:space="preserve"> in an aged care setting. The checklist below outlines steps that providers can undertake to help identify alternatives to physical restraint</w:t>
      </w:r>
      <w:r w:rsidRPr="004A09AA">
        <w:t xml:space="preserve">. </w:t>
      </w:r>
      <w:r w:rsidR="009253DC">
        <w:rPr>
          <w:rFonts w:ascii="ZWAdobeF" w:hAnsi="ZWAdobeF" w:cs="ZWAdobeF"/>
          <w:color w:val="auto"/>
          <w:sz w:val="2"/>
          <w:szCs w:val="2"/>
        </w:rPr>
        <w:t>49F</w:t>
      </w:r>
      <w:r w:rsidR="00FD3F37" w:rsidRPr="00454D17">
        <w:rPr>
          <w:rStyle w:val="EndnoteReference"/>
        </w:rPr>
        <w:endnoteReference w:id="51"/>
      </w:r>
    </w:p>
    <w:p w14:paraId="305ED927" w14:textId="2AA7DC34" w:rsidR="00FD3F37" w:rsidRPr="00C67F44" w:rsidRDefault="00E401CF" w:rsidP="00314F78">
      <w:pPr>
        <w:pStyle w:val="Caption"/>
      </w:pPr>
      <w:r w:rsidRPr="00E7009B">
        <w:t>FIGURE </w:t>
      </w:r>
      <w:r w:rsidR="00FD3F37" w:rsidRPr="00E7009B">
        <w:fldChar w:fldCharType="begin"/>
      </w:r>
      <w:r w:rsidR="00FD3F37" w:rsidRPr="00E7009B">
        <w:instrText>SEQ Figure \* ARABIC</w:instrText>
      </w:r>
      <w:r w:rsidR="00FD3F37" w:rsidRPr="00E7009B">
        <w:fldChar w:fldCharType="separate"/>
      </w:r>
      <w:r w:rsidR="003A30D7">
        <w:rPr>
          <w:noProof/>
        </w:rPr>
        <w:t>12</w:t>
      </w:r>
      <w:r w:rsidR="00FD3F37" w:rsidRPr="00E7009B">
        <w:fldChar w:fldCharType="end"/>
      </w:r>
      <w:r w:rsidRPr="00E7009B">
        <w:t>: CHECKLIST FOR THE PREVENTION OF RESTRICTIVE PRACTICES</w:t>
      </w:r>
      <w:r w:rsidR="009253DC">
        <w:rPr>
          <w:rFonts w:ascii="ZWAdobeF" w:hAnsi="ZWAdobeF" w:cs="ZWAdobeF"/>
          <w:b w:val="0"/>
          <w:color w:val="auto"/>
          <w:sz w:val="2"/>
          <w:szCs w:val="2"/>
        </w:rPr>
        <w:t>50F</w:t>
      </w:r>
      <w:r w:rsidR="00FD3F37" w:rsidRPr="00454D17">
        <w:rPr>
          <w:rStyle w:val="EndnoteReference"/>
        </w:rPr>
        <w:endnoteReference w:id="52"/>
      </w:r>
      <w:r w:rsidRPr="00454D17">
        <w:rPr>
          <w:rStyle w:val="EndnoteReference"/>
        </w:rPr>
        <w:t xml:space="preserve"> </w:t>
      </w:r>
    </w:p>
    <w:p w14:paraId="41BD71A7" w14:textId="130C2201" w:rsidR="00FD3F37" w:rsidRPr="002765D3" w:rsidRDefault="00CF0345" w:rsidP="00314F78">
      <w:pPr>
        <w:pStyle w:val="ChecklistHeading"/>
      </w:pPr>
      <w:r w:rsidRPr="002765D3">
        <w:rPr>
          <w:noProof/>
          <w:lang w:eastAsia="en-AU"/>
        </w:rPr>
        <w:drawing>
          <wp:anchor distT="0" distB="0" distL="114300" distR="114300" simplePos="0" relativeHeight="251658322" behindDoc="0" locked="0" layoutInCell="1" allowOverlap="1" wp14:anchorId="35C49E2B" wp14:editId="28B0CD14">
            <wp:simplePos x="0" y="0"/>
            <wp:positionH relativeFrom="column">
              <wp:posOffset>-37910</wp:posOffset>
            </wp:positionH>
            <wp:positionV relativeFrom="paragraph">
              <wp:posOffset>334010</wp:posOffset>
            </wp:positionV>
            <wp:extent cx="566382" cy="580456"/>
            <wp:effectExtent l="0" t="0" r="5715" b="0"/>
            <wp:wrapSquare wrapText="bothSides"/>
            <wp:docPr id="2091994266" name="Picture 57" descr="P24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6" name="Picture 57" descr="P242#y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3524"/>
                    <a:stretch/>
                  </pic:blipFill>
                  <pic:spPr bwMode="auto">
                    <a:xfrm>
                      <a:off x="0" y="0"/>
                      <a:ext cx="566382" cy="580456"/>
                    </a:xfrm>
                    <a:prstGeom prst="rect">
                      <a:avLst/>
                    </a:prstGeom>
                    <a:noFill/>
                    <a:ln>
                      <a:noFill/>
                    </a:ln>
                    <a:extLst>
                      <a:ext uri="{53640926-AAD7-44D8-BBD7-CCE9431645EC}">
                        <a14:shadowObscured xmlns:a14="http://schemas.microsoft.com/office/drawing/2010/main"/>
                      </a:ext>
                    </a:extLst>
                  </pic:spPr>
                </pic:pic>
              </a:graphicData>
            </a:graphic>
          </wp:anchor>
        </w:drawing>
      </w:r>
      <w:r w:rsidRPr="002765D3">
        <w:rPr>
          <w:noProof/>
        </w:rPr>
        <w:drawing>
          <wp:anchor distT="0" distB="0" distL="114300" distR="114300" simplePos="0" relativeHeight="251658319" behindDoc="0" locked="0" layoutInCell="1" allowOverlap="1" wp14:anchorId="3914C0F5" wp14:editId="2FCA1DA3">
            <wp:simplePos x="0" y="0"/>
            <wp:positionH relativeFrom="column">
              <wp:posOffset>3192970</wp:posOffset>
            </wp:positionH>
            <wp:positionV relativeFrom="paragraph">
              <wp:posOffset>298450</wp:posOffset>
            </wp:positionV>
            <wp:extent cx="539115" cy="539750"/>
            <wp:effectExtent l="0" t="0" r="0" b="0"/>
            <wp:wrapSquare wrapText="bothSides"/>
            <wp:docPr id="3144937" name="Picture 15" descr="P242#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937" name="Picture 15" descr="P242#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00FD3F37" w:rsidRPr="002765D3">
        <w:t xml:space="preserve">Checklist for the prevention of </w:t>
      </w:r>
      <w:r w:rsidR="00164CE8">
        <w:t>restrictive practices</w:t>
      </w:r>
    </w:p>
    <w:p w14:paraId="1BBDEE42" w14:textId="77777777" w:rsidR="00FD3F37" w:rsidRPr="002765D3" w:rsidRDefault="00FD3F37" w:rsidP="00314F78">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0463ACCA" w14:textId="7AAB2735" w:rsidR="00FA02EA" w:rsidRPr="002765D3" w:rsidRDefault="00FA02EA" w:rsidP="00314F78">
      <w:pPr>
        <w:pStyle w:val="TableHeader"/>
      </w:pPr>
      <w:r w:rsidRPr="002765D3">
        <w:t>Assess environmental factors</w:t>
      </w:r>
    </w:p>
    <w:p w14:paraId="7EE877B4" w14:textId="77777777" w:rsidR="00FA02EA" w:rsidRPr="00E7009B" w:rsidRDefault="0F37BE62" w:rsidP="00314F78">
      <w:pPr>
        <w:pStyle w:val="ListBullet"/>
      </w:pPr>
      <w:r w:rsidRPr="00E7009B">
        <w:t>Reduce the risk of physical trauma to the care recipient, such as using non-slip flooring, non-slip footwear, improved lighting, appropriate bed and seating for comfort, mobility aids</w:t>
      </w:r>
    </w:p>
    <w:p w14:paraId="374528AE" w14:textId="3DF2CACF" w:rsidR="00FA02EA" w:rsidRPr="00E7009B" w:rsidRDefault="00CF0345" w:rsidP="00314F78">
      <w:pPr>
        <w:pStyle w:val="ListBullet"/>
      </w:pPr>
      <w:r w:rsidRPr="002765D3">
        <w:rPr>
          <w:noProof/>
          <w:lang w:eastAsia="en-AU"/>
        </w:rPr>
        <w:drawing>
          <wp:anchor distT="0" distB="0" distL="114300" distR="114300" simplePos="0" relativeHeight="251658320" behindDoc="0" locked="0" layoutInCell="1" allowOverlap="1" wp14:anchorId="0CBBDDA9" wp14:editId="130F2E83">
            <wp:simplePos x="0" y="0"/>
            <wp:positionH relativeFrom="column">
              <wp:posOffset>2582545</wp:posOffset>
            </wp:positionH>
            <wp:positionV relativeFrom="paragraph">
              <wp:posOffset>901065</wp:posOffset>
            </wp:positionV>
            <wp:extent cx="564515" cy="586105"/>
            <wp:effectExtent l="0" t="0" r="6985" b="4445"/>
            <wp:wrapSquare wrapText="bothSides"/>
            <wp:docPr id="2091994269" name="Picture 60" descr="P2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9" name="Picture 60" descr="P246#y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2356"/>
                    <a:stretch/>
                  </pic:blipFill>
                  <pic:spPr bwMode="auto">
                    <a:xfrm>
                      <a:off x="0" y="0"/>
                      <a:ext cx="564515" cy="586105"/>
                    </a:xfrm>
                    <a:prstGeom prst="rect">
                      <a:avLst/>
                    </a:prstGeom>
                    <a:noFill/>
                    <a:ln>
                      <a:noFill/>
                    </a:ln>
                    <a:extLst>
                      <a:ext uri="{53640926-AAD7-44D8-BBD7-CCE9431645EC}">
                        <a14:shadowObscured xmlns:a14="http://schemas.microsoft.com/office/drawing/2010/main"/>
                      </a:ext>
                    </a:extLst>
                  </pic:spPr>
                </pic:pic>
              </a:graphicData>
            </a:graphic>
          </wp:anchor>
        </w:drawing>
      </w:r>
      <w:r w:rsidR="0F37BE62" w:rsidRPr="00E7009B">
        <w:t>Reduce environmental noise, for example where a care recipient becomes agitated due to the TV volume in a common area, guide the care recipient away from the area or turn the TV volume down.</w:t>
      </w:r>
    </w:p>
    <w:p w14:paraId="73367173" w14:textId="48343A76" w:rsidR="00FA02EA" w:rsidRPr="00E7009B" w:rsidRDefault="00CF0345" w:rsidP="00314F78">
      <w:pPr>
        <w:pStyle w:val="ListBullet"/>
      </w:pPr>
      <w:r w:rsidRPr="002765D3">
        <w:rPr>
          <w:noProof/>
          <w:lang w:eastAsia="en-AU"/>
        </w:rPr>
        <w:drawing>
          <wp:anchor distT="0" distB="0" distL="114300" distR="114300" simplePos="0" relativeHeight="251658321" behindDoc="0" locked="0" layoutInCell="1" allowOverlap="1" wp14:anchorId="150834FC" wp14:editId="43F22BE2">
            <wp:simplePos x="0" y="0"/>
            <wp:positionH relativeFrom="column">
              <wp:posOffset>-711390</wp:posOffset>
            </wp:positionH>
            <wp:positionV relativeFrom="paragraph">
              <wp:posOffset>1134745</wp:posOffset>
            </wp:positionV>
            <wp:extent cx="564743" cy="577970"/>
            <wp:effectExtent l="0" t="0" r="6985" b="0"/>
            <wp:wrapSquare wrapText="bothSides"/>
            <wp:docPr id="2091994267" name="Picture 58" descr="P2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7" name="Picture 58" descr="P247#y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3644"/>
                    <a:stretch/>
                  </pic:blipFill>
                  <pic:spPr bwMode="auto">
                    <a:xfrm>
                      <a:off x="0" y="0"/>
                      <a:ext cx="564743" cy="577970"/>
                    </a:xfrm>
                    <a:prstGeom prst="rect">
                      <a:avLst/>
                    </a:prstGeom>
                    <a:noFill/>
                    <a:ln>
                      <a:noFill/>
                    </a:ln>
                    <a:extLst>
                      <a:ext uri="{53640926-AAD7-44D8-BBD7-CCE9431645EC}">
                        <a14:shadowObscured xmlns:a14="http://schemas.microsoft.com/office/drawing/2010/main"/>
                      </a:ext>
                    </a:extLst>
                  </pic:spPr>
                </pic:pic>
              </a:graphicData>
            </a:graphic>
          </wp:anchor>
        </w:drawing>
      </w:r>
      <w:r w:rsidR="00FA02EA" w:rsidRPr="00E7009B">
        <w:t>Alter the layout of the residential aged care service to support ease of navigation for care recipients, such as having a straight hallway from the bedroom to a recreational area.</w:t>
      </w:r>
    </w:p>
    <w:p w14:paraId="6880327A" w14:textId="401A3371" w:rsidR="00FA02EA" w:rsidRPr="002765D3" w:rsidRDefault="00FA02EA" w:rsidP="00314F78">
      <w:pPr>
        <w:pStyle w:val="TableHeader"/>
      </w:pPr>
      <w:r w:rsidRPr="002765D3">
        <w:t>Assess psychosocial factors</w:t>
      </w:r>
    </w:p>
    <w:p w14:paraId="191D62DE" w14:textId="77777777" w:rsidR="00FA02EA" w:rsidRPr="00E7009B" w:rsidRDefault="00FA02EA" w:rsidP="00314F78">
      <w:pPr>
        <w:pStyle w:val="ListBullet"/>
      </w:pPr>
      <w:r w:rsidRPr="00E7009B">
        <w:t>Ensure familiar staff engage with care recipients.</w:t>
      </w:r>
    </w:p>
    <w:p w14:paraId="53FDF2EF" w14:textId="77777777" w:rsidR="00FA02EA" w:rsidRPr="00E7009B" w:rsidRDefault="00FA02EA" w:rsidP="00314F78">
      <w:pPr>
        <w:pStyle w:val="ListBullet"/>
      </w:pPr>
      <w:r w:rsidRPr="00E7009B">
        <w:t>Foster companionship for care recipients with staff and other care recipients.</w:t>
      </w:r>
    </w:p>
    <w:p w14:paraId="505DADD7" w14:textId="77777777" w:rsidR="00FA02EA" w:rsidRPr="00E7009B" w:rsidRDefault="00FA02EA" w:rsidP="00314F78">
      <w:pPr>
        <w:pStyle w:val="ListBullet"/>
      </w:pPr>
      <w:r w:rsidRPr="00E7009B">
        <w:t>Encourage participation in activities with care recipients that they enjoy or are meaningful to them.</w:t>
      </w:r>
    </w:p>
    <w:p w14:paraId="34E2E3FA" w14:textId="77777777" w:rsidR="00FA02EA" w:rsidRPr="00E7009B" w:rsidRDefault="0F37BE62" w:rsidP="00314F78">
      <w:pPr>
        <w:pStyle w:val="ListBullet"/>
      </w:pPr>
      <w:r w:rsidRPr="00E7009B">
        <w:t>Identify opportunities for engagement with familiar loved ones and friends through visits and phone calls.</w:t>
      </w:r>
    </w:p>
    <w:p w14:paraId="586D370C" w14:textId="1D442B4C" w:rsidR="00FA02EA" w:rsidRPr="002765D3" w:rsidRDefault="00FA02EA" w:rsidP="00314F78">
      <w:pPr>
        <w:pStyle w:val="TableHeader"/>
      </w:pPr>
      <w:r w:rsidRPr="002765D3">
        <w:t>Assess care approach factors</w:t>
      </w:r>
    </w:p>
    <w:p w14:paraId="70E5BF77" w14:textId="77777777" w:rsidR="00FA02EA" w:rsidRPr="00E7009B" w:rsidRDefault="00FA02EA" w:rsidP="00314F78">
      <w:pPr>
        <w:pStyle w:val="ListBullet"/>
      </w:pPr>
      <w:r w:rsidRPr="00E7009B">
        <w:t>Ensure individualised routines to meet specific needs of care recipients.</w:t>
      </w:r>
    </w:p>
    <w:p w14:paraId="38EF3EF4" w14:textId="77777777" w:rsidR="00FA02EA" w:rsidRPr="00E7009B" w:rsidRDefault="00FA02EA" w:rsidP="00314F78">
      <w:pPr>
        <w:pStyle w:val="ListBullet"/>
      </w:pPr>
      <w:r w:rsidRPr="00E7009B">
        <w:t>Increase supervision and staff interaction.</w:t>
      </w:r>
    </w:p>
    <w:p w14:paraId="4D4EE0E5" w14:textId="77777777" w:rsidR="00FA02EA" w:rsidRPr="00E7009B" w:rsidRDefault="0F37BE62" w:rsidP="00314F78">
      <w:pPr>
        <w:pStyle w:val="ListBullet"/>
      </w:pPr>
      <w:r w:rsidRPr="00E7009B">
        <w:t>Evaluate and monitor conditions affecting behaviour.</w:t>
      </w:r>
    </w:p>
    <w:p w14:paraId="66168B41" w14:textId="5E1DF2A7" w:rsidR="00FA02EA" w:rsidRPr="00E7009B" w:rsidRDefault="0F37BE62" w:rsidP="00314F78">
      <w:pPr>
        <w:pStyle w:val="ListBullet"/>
      </w:pPr>
      <w:r w:rsidRPr="00E7009B">
        <w:t xml:space="preserve">Ensure staff liaise with family or care recipient </w:t>
      </w:r>
      <w:r w:rsidR="008B793F" w:rsidRPr="00E7009B">
        <w:t>representative and</w:t>
      </w:r>
      <w:r w:rsidRPr="00E7009B">
        <w:t xml:space="preserve"> seek professional assistance to guide responses as needed.</w:t>
      </w:r>
    </w:p>
    <w:p w14:paraId="4FF7DBD4" w14:textId="2797D801" w:rsidR="00FA02EA" w:rsidRPr="002765D3" w:rsidRDefault="00FA02EA" w:rsidP="00314F78">
      <w:pPr>
        <w:pStyle w:val="TableHeader"/>
      </w:pPr>
      <w:r w:rsidRPr="002765D3">
        <w:t>Assess physiological factors</w:t>
      </w:r>
    </w:p>
    <w:p w14:paraId="72B9235D" w14:textId="77777777" w:rsidR="00FA02EA" w:rsidRPr="00E7009B" w:rsidRDefault="0F37BE62" w:rsidP="00314F78">
      <w:pPr>
        <w:pStyle w:val="ListBullet"/>
      </w:pPr>
      <w:r w:rsidRPr="00E7009B">
        <w:t>Review medications, in particular for medications that may contribute to worsening cognitive function, restlessness and agitation.</w:t>
      </w:r>
    </w:p>
    <w:p w14:paraId="438E8E56" w14:textId="77777777" w:rsidR="00FA02EA" w:rsidRPr="00E7009B" w:rsidRDefault="00FA02EA" w:rsidP="00314F78">
      <w:pPr>
        <w:pStyle w:val="ListBullet"/>
      </w:pPr>
      <w:r w:rsidRPr="00E7009B">
        <w:t>Manage nutrition and hydration.</w:t>
      </w:r>
    </w:p>
    <w:p w14:paraId="4EF75448" w14:textId="77777777" w:rsidR="00FA02EA" w:rsidRPr="00E7009B" w:rsidRDefault="00FA02EA" w:rsidP="00314F78">
      <w:pPr>
        <w:pStyle w:val="ListBullet"/>
      </w:pPr>
      <w:r w:rsidRPr="00E7009B">
        <w:t>Manage pain and / or infection, for example urinary tract infections or viral infections can often cause agitation.</w:t>
      </w:r>
    </w:p>
    <w:p w14:paraId="386CE79D" w14:textId="5BD73D05" w:rsidR="00FA02EA" w:rsidRPr="00E7009B" w:rsidRDefault="0F37BE62" w:rsidP="00314F78">
      <w:pPr>
        <w:pStyle w:val="ListBullet"/>
      </w:pPr>
      <w:r w:rsidRPr="00E7009B">
        <w:t xml:space="preserve">If </w:t>
      </w:r>
      <w:r w:rsidR="18FE992F" w:rsidRPr="00E7009B">
        <w:t>restr</w:t>
      </w:r>
      <w:r w:rsidR="7B0661D4" w:rsidRPr="00E7009B">
        <w:t>ictive practices</w:t>
      </w:r>
      <w:r w:rsidRPr="00E7009B">
        <w:t xml:space="preserve"> is used in a residential aged care service, it is important that staff review this checklist and reflect on factors that were not appropriately managed and may have contributed to the use of physical restraint.</w:t>
      </w:r>
    </w:p>
    <w:p w14:paraId="41F7C2F2" w14:textId="77777777" w:rsidR="00FD3F37" w:rsidRPr="002765D3" w:rsidRDefault="00FD3F37" w:rsidP="00314F78"/>
    <w:p w14:paraId="58FE8A6A" w14:textId="77777777" w:rsidR="00FD3F37" w:rsidRPr="002765D3" w:rsidRDefault="00FD3F37" w:rsidP="00314F78">
      <w:pPr>
        <w:sectPr w:rsidR="00FD3F37" w:rsidRPr="002765D3" w:rsidSect="00F23662">
          <w:endnotePr>
            <w:numFmt w:val="decimal"/>
          </w:endnotePr>
          <w:type w:val="continuous"/>
          <w:pgSz w:w="11906" w:h="16838" w:code="9"/>
          <w:pgMar w:top="1701" w:right="1134" w:bottom="1134" w:left="2098" w:header="567" w:footer="567" w:gutter="0"/>
          <w:cols w:num="2" w:space="1418"/>
          <w:docGrid w:linePitch="360"/>
        </w:sectPr>
      </w:pPr>
    </w:p>
    <w:p w14:paraId="3810EFCE" w14:textId="34427ED1" w:rsidR="00FD3F37" w:rsidRPr="00E7009B" w:rsidRDefault="00FD3F37" w:rsidP="0059348C">
      <w:pPr>
        <w:pStyle w:val="Heading2"/>
      </w:pPr>
      <w:r w:rsidRPr="00E7009B">
        <w:t xml:space="preserve">Quality improvement for </w:t>
      </w:r>
      <w:r w:rsidR="002725D2" w:rsidRPr="00E7009B">
        <w:t>restrictive practices</w:t>
      </w:r>
    </w:p>
    <w:p w14:paraId="7CCC8FDE" w14:textId="4AF8F36E" w:rsidR="00FD3F37" w:rsidRPr="00E7009B" w:rsidRDefault="00FD3F37" w:rsidP="00314F78">
      <w:r w:rsidRPr="00E7009B">
        <w:t xml:space="preserve">Quality improvement can help providers increase the quality of care for care recipients at risk of </w:t>
      </w:r>
      <w:r w:rsidR="00D47B70" w:rsidRPr="00E7009B">
        <w:t>restrictive practices</w:t>
      </w:r>
      <w:r w:rsidRPr="00E7009B">
        <w:t>.</w:t>
      </w:r>
      <w:r w:rsidR="009253DC">
        <w:rPr>
          <w:rFonts w:ascii="ZWAdobeF" w:hAnsi="ZWAdobeF" w:cs="ZWAdobeF"/>
          <w:color w:val="auto"/>
          <w:sz w:val="2"/>
          <w:szCs w:val="2"/>
        </w:rPr>
        <w:t>51F</w:t>
      </w:r>
      <w:r w:rsidRPr="00E7009B">
        <w:rPr>
          <w:vertAlign w:val="superscript"/>
        </w:rPr>
        <w:endnoteReference w:id="53"/>
      </w:r>
      <w:r w:rsidRPr="00E7009B">
        <w:t xml:space="preserve"> Quality improvement activities should be ongoing and part of business-as-usual for approved providers.</w:t>
      </w:r>
    </w:p>
    <w:p w14:paraId="4EB83647" w14:textId="73EFAA54" w:rsidR="00FD3F37" w:rsidRPr="00E7009B" w:rsidRDefault="00FD3F37" w:rsidP="00314F78">
      <w:r w:rsidRPr="00E7009B">
        <w:lastRenderedPageBreak/>
        <w:t xml:space="preserve">The QI Program will help prompt when a specific quality improvement activity should be undertaken. It is important to review QI Program data reports through </w:t>
      </w:r>
      <w:r w:rsidR="00B26274" w:rsidRPr="00E7009B">
        <w:t xml:space="preserve">GPMS </w:t>
      </w:r>
      <w:r w:rsidRPr="00E7009B">
        <w:t xml:space="preserve">and compare against national </w:t>
      </w:r>
      <w:r w:rsidR="0084075D" w:rsidRPr="00E7009B">
        <w:t>averages</w:t>
      </w:r>
      <w:r w:rsidRPr="00E7009B">
        <w:t xml:space="preserve"> and other services to understand where quality improvement activities should be focussed.</w:t>
      </w:r>
    </w:p>
    <w:p w14:paraId="0C071ABD" w14:textId="46E1A40A" w:rsidR="00FD3F37" w:rsidRPr="001853CC" w:rsidRDefault="7279DF3A" w:rsidP="00314F78">
      <w:r w:rsidRPr="001853CC">
        <w:t xml:space="preserve">The </w:t>
      </w:r>
      <w:r w:rsidRPr="001853CC">
        <w:rPr>
          <w:rStyle w:val="Strong"/>
        </w:rPr>
        <w:t>Plan-Do-Check-Act tool</w:t>
      </w:r>
      <w:r w:rsidRPr="001853CC">
        <w:t xml:space="preserve"> </w:t>
      </w:r>
      <w:r w:rsidR="00E6568E" w:rsidRPr="001853CC">
        <w:t xml:space="preserve">(section 2.3) </w:t>
      </w:r>
      <w:r w:rsidRPr="001853CC">
        <w:t xml:space="preserve">is a useful tool to plan, deliver and monitor quality improvement activities focused on preventing and reducing </w:t>
      </w:r>
      <w:r w:rsidR="4CA34269" w:rsidRPr="001853CC">
        <w:t>restrictive practices</w:t>
      </w:r>
      <w:r w:rsidRPr="001853CC">
        <w:t>.</w:t>
      </w:r>
      <w:r w:rsidR="009253DC">
        <w:rPr>
          <w:rFonts w:ascii="ZWAdobeF" w:hAnsi="ZWAdobeF" w:cs="ZWAdobeF"/>
          <w:color w:val="auto"/>
          <w:sz w:val="2"/>
          <w:szCs w:val="2"/>
        </w:rPr>
        <w:t>52F</w:t>
      </w:r>
      <w:r w:rsidR="00FD3F37" w:rsidRPr="001853CC">
        <w:rPr>
          <w:vertAlign w:val="superscript"/>
        </w:rPr>
        <w:endnoteReference w:id="54"/>
      </w:r>
      <w:r w:rsidRPr="001853CC">
        <w:rPr>
          <w:vertAlign w:val="superscript"/>
        </w:rPr>
        <w:t xml:space="preserve"> </w:t>
      </w:r>
      <w:r w:rsidR="009253DC">
        <w:rPr>
          <w:rFonts w:ascii="ZWAdobeF" w:hAnsi="ZWAdobeF" w:cs="ZWAdobeF"/>
          <w:color w:val="auto"/>
          <w:sz w:val="2"/>
          <w:szCs w:val="2"/>
        </w:rPr>
        <w:t>53F</w:t>
      </w:r>
      <w:r w:rsidR="00FD3F37" w:rsidRPr="001853CC">
        <w:rPr>
          <w:vertAlign w:val="superscript"/>
        </w:rPr>
        <w:endnoteReference w:id="55"/>
      </w:r>
    </w:p>
    <w:p w14:paraId="5BF662AC" w14:textId="662D97D5" w:rsidR="00FD3F37" w:rsidRPr="001853CC" w:rsidRDefault="7279DF3A" w:rsidP="0059348C">
      <w:pPr>
        <w:pStyle w:val="Heading2"/>
      </w:pPr>
      <w:r w:rsidRPr="001853CC">
        <w:t>Example tools, guidance and resources to support continuous quality improvement</w:t>
      </w:r>
    </w:p>
    <w:p w14:paraId="6C5817B4" w14:textId="0C792E8A" w:rsidR="00FD3F37" w:rsidRPr="001853CC" w:rsidRDefault="000232C4" w:rsidP="00314F78">
      <w:pPr>
        <w:pStyle w:val="ListBullet"/>
      </w:pPr>
      <w:hyperlink r:id="rId82" w:anchor=":~:text=Cognitive%20Decline%20Scale%20%28PAS%29%20%20%20%20,have%20reduced%20fine%20motor%20skills%20or%20visually%20impaired." w:history="1">
        <w:r w:rsidRPr="001853CC">
          <w:rPr>
            <w:rStyle w:val="Hyperlink"/>
          </w:rPr>
          <w:t>Cognitive Decline Scale</w:t>
        </w:r>
      </w:hyperlink>
      <w:r w:rsidRPr="001853CC">
        <w:t xml:space="preserve"> — this scale is part of the </w:t>
      </w:r>
      <w:r w:rsidR="00FD3F37" w:rsidRPr="001853CC">
        <w:t xml:space="preserve">Psychogeriatric Assessment Scales (PAS) </w:t>
      </w:r>
      <w:r w:rsidR="00106BD9" w:rsidRPr="001853CC">
        <w:t>a</w:t>
      </w:r>
      <w:r w:rsidRPr="001853CC">
        <w:t xml:space="preserve">nd is suitable </w:t>
      </w:r>
      <w:r w:rsidR="00106BD9" w:rsidRPr="001853CC">
        <w:t xml:space="preserve">for use </w:t>
      </w:r>
      <w:r w:rsidRPr="001853CC">
        <w:t>to</w:t>
      </w:r>
      <w:r w:rsidR="00FD3F37" w:rsidRPr="001853CC">
        <w:t xml:space="preserve"> test cognitive impairment </w:t>
      </w:r>
      <w:r w:rsidRPr="001853CC">
        <w:t xml:space="preserve">in </w:t>
      </w:r>
      <w:r w:rsidR="00106BD9" w:rsidRPr="001853CC">
        <w:t>residential aged care — available on the Department of Health and Aged Care website</w:t>
      </w:r>
    </w:p>
    <w:p w14:paraId="7D3BBF0F" w14:textId="364B4616" w:rsidR="00641263" w:rsidRPr="001853CC" w:rsidRDefault="2FDFABDB" w:rsidP="00314F78">
      <w:pPr>
        <w:pStyle w:val="ListBullet"/>
      </w:pPr>
      <w:hyperlink r:id="rId83">
        <w:r w:rsidRPr="001853CC">
          <w:rPr>
            <w:rStyle w:val="Hyperlink"/>
          </w:rPr>
          <w:t>Minimising the use of restrictive practices</w:t>
        </w:r>
      </w:hyperlink>
      <w:r w:rsidRPr="001853CC">
        <w:t xml:space="preserve"> </w:t>
      </w:r>
      <w:r w:rsidR="3E485E17" w:rsidRPr="001853CC">
        <w:t>—</w:t>
      </w:r>
      <w:r w:rsidRPr="001853CC">
        <w:t xml:space="preserve"> </w:t>
      </w:r>
      <w:r w:rsidR="008B793F" w:rsidRPr="001853CC">
        <w:t>Information on</w:t>
      </w:r>
      <w:r w:rsidRPr="001853CC">
        <w:t xml:space="preserve"> restrictive practices, behaviour support plans and consent – Aged Care Quality and Safety Commission</w:t>
      </w:r>
    </w:p>
    <w:p w14:paraId="781D9756" w14:textId="6B78A261" w:rsidR="00641263" w:rsidRPr="001853CC" w:rsidRDefault="5021AF60" w:rsidP="00314F78">
      <w:pPr>
        <w:pStyle w:val="ListBullet"/>
      </w:pPr>
      <w:hyperlink r:id="rId84">
        <w:r w:rsidRPr="001853CC">
          <w:rPr>
            <w:rStyle w:val="Hyperlink"/>
          </w:rPr>
          <w:t>Restrictive practices provider resources</w:t>
        </w:r>
      </w:hyperlink>
      <w:r w:rsidRPr="001853CC">
        <w:t xml:space="preserve"> </w:t>
      </w:r>
      <w:r w:rsidR="388FAF66" w:rsidRPr="001853CC">
        <w:t>—</w:t>
      </w:r>
      <w:r w:rsidRPr="001853CC">
        <w:t xml:space="preserve"> Factsheets, tools, videos and other resources for providers – Aged Care Quality and Safety Commission</w:t>
      </w:r>
    </w:p>
    <w:p w14:paraId="0A923653" w14:textId="1F09415F" w:rsidR="00FD3F37" w:rsidRPr="001853CC" w:rsidRDefault="5021AF60" w:rsidP="00314F78">
      <w:pPr>
        <w:pStyle w:val="ListBullet"/>
      </w:pPr>
      <w:hyperlink r:id="rId85">
        <w:r w:rsidRPr="001853CC">
          <w:rPr>
            <w:rStyle w:val="Hyperlink"/>
          </w:rPr>
          <w:t>Reportable incidents: inappropriate use of restrictive practices</w:t>
        </w:r>
      </w:hyperlink>
      <w:r w:rsidRPr="001853CC">
        <w:t xml:space="preserve"> </w:t>
      </w:r>
      <w:r w:rsidR="388FAF66" w:rsidRPr="001853CC">
        <w:t>—</w:t>
      </w:r>
      <w:r w:rsidRPr="001853CC">
        <w:t xml:space="preserve"> Factsheet designed to inform providers about identifying and reporting the inappropriate use of restrictive practices to the Serious Incident Response Scheme (SIRS)</w:t>
      </w:r>
    </w:p>
    <w:p w14:paraId="263AD137" w14:textId="1D82E075" w:rsidR="00FD3F37" w:rsidRPr="001853CC" w:rsidRDefault="00FD3F37" w:rsidP="00314F78">
      <w:pPr>
        <w:pStyle w:val="ListBullet"/>
      </w:pPr>
      <w:hyperlink r:id="rId86" w:history="1">
        <w:r w:rsidRPr="001853CC">
          <w:rPr>
            <w:rStyle w:val="Hyperlink"/>
          </w:rPr>
          <w:t>Severe Behaviour Response Teams (SBRT)</w:t>
        </w:r>
      </w:hyperlink>
      <w:r w:rsidRPr="001853CC">
        <w:t xml:space="preserve"> </w:t>
      </w:r>
      <w:r w:rsidR="007D69C5" w:rsidRPr="001853CC">
        <w:t xml:space="preserve">— </w:t>
      </w:r>
      <w:r w:rsidRPr="001853CC">
        <w:t>24/7 contact with a Dementia Consultant on 1800</w:t>
      </w:r>
      <w:r w:rsidR="00106BD9" w:rsidRPr="001853CC">
        <w:t> </w:t>
      </w:r>
      <w:r w:rsidRPr="001853CC">
        <w:t>699</w:t>
      </w:r>
      <w:r w:rsidR="00106BD9" w:rsidRPr="001853CC">
        <w:t> </w:t>
      </w:r>
      <w:r w:rsidRPr="001853CC">
        <w:t xml:space="preserve">799 to access SBRT service </w:t>
      </w:r>
      <w:r w:rsidR="007D69C5" w:rsidRPr="001853CC">
        <w:t xml:space="preserve">— </w:t>
      </w:r>
      <w:r w:rsidRPr="001853CC">
        <w:t>Dementia Support Australia</w:t>
      </w:r>
    </w:p>
    <w:p w14:paraId="3978F443" w14:textId="40E9BAED" w:rsidR="00FD3F37" w:rsidRPr="001853CC" w:rsidRDefault="00FD3F37" w:rsidP="00314F78">
      <w:pPr>
        <w:pStyle w:val="ListBullet"/>
      </w:pPr>
      <w:hyperlink r:id="rId87" w:history="1">
        <w:r w:rsidRPr="001853CC">
          <w:rPr>
            <w:rStyle w:val="Hyperlink"/>
          </w:rPr>
          <w:t>Dementia Behaviour Management Advisory Service (DBMAS)</w:t>
        </w:r>
      </w:hyperlink>
      <w:r w:rsidRPr="001853CC">
        <w:t xml:space="preserve"> </w:t>
      </w:r>
      <w:r w:rsidR="007D69C5" w:rsidRPr="001853CC">
        <w:t xml:space="preserve">— </w:t>
      </w:r>
      <w:r w:rsidRPr="001853CC">
        <w:t xml:space="preserve">24/7 contact with a Dementia Consultant on 1800 699 799 for advice or to make a referral </w:t>
      </w:r>
      <w:r w:rsidR="007D69C5" w:rsidRPr="001853CC">
        <w:t>—</w:t>
      </w:r>
      <w:r w:rsidR="00106BD9" w:rsidRPr="001853CC">
        <w:t xml:space="preserve"> </w:t>
      </w:r>
      <w:r w:rsidRPr="001853CC">
        <w:t>Dementia Support Australia</w:t>
      </w:r>
    </w:p>
    <w:bookmarkStart w:id="20" w:name="_Hlk81656894"/>
    <w:p w14:paraId="703F7A8A" w14:textId="61B4E871" w:rsidR="00FD3F37" w:rsidRPr="001853CC" w:rsidRDefault="00FD3F37" w:rsidP="00314F78">
      <w:pPr>
        <w:pStyle w:val="ListBullet"/>
      </w:pPr>
      <w:r w:rsidRPr="001853CC">
        <w:fldChar w:fldCharType="begin"/>
      </w:r>
      <w:r w:rsidRPr="001853CC">
        <w:instrText xml:space="preserve"> HYPERLINK "https://dementia.com.au/bsp" </w:instrText>
      </w:r>
      <w:r w:rsidRPr="001853CC">
        <w:fldChar w:fldCharType="separate"/>
      </w:r>
      <w:r w:rsidR="00106BD9" w:rsidRPr="001853CC">
        <w:rPr>
          <w:rStyle w:val="Hyperlink"/>
        </w:rPr>
        <w:t>B</w:t>
      </w:r>
      <w:r w:rsidRPr="001853CC">
        <w:rPr>
          <w:rStyle w:val="Hyperlink"/>
        </w:rPr>
        <w:t>ehaviour support plan resources</w:t>
      </w:r>
      <w:r w:rsidRPr="001853CC">
        <w:fldChar w:fldCharType="end"/>
      </w:r>
      <w:bookmarkEnd w:id="20"/>
      <w:r w:rsidRPr="001853CC">
        <w:t xml:space="preserve"> </w:t>
      </w:r>
      <w:r w:rsidR="007D69C5" w:rsidRPr="001853CC">
        <w:t>—</w:t>
      </w:r>
      <w:r w:rsidR="00184060" w:rsidRPr="001853CC">
        <w:t xml:space="preserve"> </w:t>
      </w:r>
      <w:r w:rsidRPr="001853CC">
        <w:t xml:space="preserve">a toolkit of resources to support </w:t>
      </w:r>
      <w:r w:rsidR="00184060" w:rsidRPr="001853CC">
        <w:t xml:space="preserve">residential </w:t>
      </w:r>
      <w:r w:rsidRPr="001853CC">
        <w:t xml:space="preserve">aged care </w:t>
      </w:r>
      <w:r w:rsidR="00184060" w:rsidRPr="001853CC">
        <w:t>services to</w:t>
      </w:r>
      <w:r w:rsidRPr="001853CC">
        <w:t xml:space="preserve"> meet new behaviour support plan requirements aimed at minimising the use of restraints in residential aged care</w:t>
      </w:r>
      <w:r w:rsidR="00184060" w:rsidRPr="001853CC">
        <w:t xml:space="preserve"> — Dementia Support Australia</w:t>
      </w:r>
    </w:p>
    <w:p w14:paraId="4E4CF5EB" w14:textId="73211510" w:rsidR="00FD3F37" w:rsidRPr="001853CC" w:rsidRDefault="00FD3F37" w:rsidP="00314F78">
      <w:pPr>
        <w:rPr>
          <w:rStyle w:val="Emphasis"/>
        </w:rPr>
      </w:pPr>
      <w:r w:rsidRPr="001853CC">
        <w:rPr>
          <w:rStyle w:val="Emphasis"/>
        </w:rPr>
        <w:t>Some tools, guidance and resources may be updated over time; it is important to ensure you are looking at the most recent version.</w:t>
      </w:r>
    </w:p>
    <w:p w14:paraId="798326E3" w14:textId="77777777" w:rsidR="00FD3F37" w:rsidRPr="002765D3" w:rsidRDefault="00FD3F37" w:rsidP="00314F78"/>
    <w:p w14:paraId="3777CF99" w14:textId="77777777" w:rsidR="00FD3F37" w:rsidRPr="002765D3" w:rsidRDefault="00FD3F37" w:rsidP="00314F78">
      <w:pPr>
        <w:sectPr w:rsidR="00FD3F37" w:rsidRPr="002765D3" w:rsidSect="00726801">
          <w:headerReference w:type="default" r:id="rId88"/>
          <w:headerReference w:type="first" r:id="rId89"/>
          <w:endnotePr>
            <w:numFmt w:val="decimal"/>
          </w:endnotePr>
          <w:type w:val="continuous"/>
          <w:pgSz w:w="11906" w:h="16838" w:code="9"/>
          <w:pgMar w:top="1701" w:right="1134" w:bottom="1134" w:left="1134" w:header="567" w:footer="567" w:gutter="0"/>
          <w:cols w:space="567"/>
          <w:docGrid w:linePitch="360"/>
        </w:sectPr>
      </w:pPr>
    </w:p>
    <w:p w14:paraId="0A63E140" w14:textId="53A6CC1A" w:rsidR="00FD3F37" w:rsidRPr="001853CC" w:rsidRDefault="0003211D" w:rsidP="0059348C">
      <w:pPr>
        <w:pStyle w:val="Heading1"/>
      </w:pPr>
      <w:bookmarkStart w:id="21" w:name="_Toc76998115"/>
      <w:bookmarkStart w:id="22" w:name="_Toc193889891"/>
      <w:r>
        <w:rPr>
          <w:noProof/>
        </w:rPr>
        <w:lastRenderedPageBreak/>
        <w:drawing>
          <wp:anchor distT="0" distB="0" distL="114300" distR="114300" simplePos="0" relativeHeight="251658290" behindDoc="1" locked="0" layoutInCell="1" allowOverlap="1" wp14:anchorId="0531554A" wp14:editId="3E822C54">
            <wp:simplePos x="0" y="0"/>
            <wp:positionH relativeFrom="page">
              <wp:posOffset>-698500</wp:posOffset>
            </wp:positionH>
            <wp:positionV relativeFrom="paragraph">
              <wp:posOffset>418729</wp:posOffset>
            </wp:positionV>
            <wp:extent cx="8753005" cy="1216324"/>
            <wp:effectExtent l="0" t="0" r="0" b="3175"/>
            <wp:wrapNone/>
            <wp:docPr id="1548341613" name="Picture 7" descr="P2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41613" name="Picture 7" descr="P280#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53005" cy="1216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1853CC">
        <w:t>Unplanned weight loss</w:t>
      </w:r>
      <w:bookmarkEnd w:id="21"/>
      <w:bookmarkEnd w:id="22"/>
    </w:p>
    <w:p w14:paraId="34C4FE5C" w14:textId="150BC98D" w:rsidR="00FD3F37" w:rsidRPr="0003211D" w:rsidRDefault="0003211D" w:rsidP="0003211D">
      <w:pPr>
        <w:pStyle w:val="Headerwhite"/>
      </w:pPr>
      <w:r w:rsidRPr="002765D3">
        <w:rPr>
          <w:noProof/>
        </w:rPr>
        <w:drawing>
          <wp:anchor distT="0" distB="0" distL="114300" distR="114300" simplePos="0" relativeHeight="251658289" behindDoc="0" locked="0" layoutInCell="1" allowOverlap="1" wp14:anchorId="2DD2AE60" wp14:editId="7922473D">
            <wp:simplePos x="0" y="0"/>
            <wp:positionH relativeFrom="margin">
              <wp:posOffset>0</wp:posOffset>
            </wp:positionH>
            <wp:positionV relativeFrom="paragraph">
              <wp:posOffset>164729</wp:posOffset>
            </wp:positionV>
            <wp:extent cx="1009650" cy="1007745"/>
            <wp:effectExtent l="0" t="0" r="0" b="1905"/>
            <wp:wrapSquare wrapText="bothSides"/>
            <wp:docPr id="2091994280" name="Picture 74" descr="P281#y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80" name="Picture 74" descr="P281#y1">
                      <a:extLst>
                        <a:ext uri="{C183D7F6-B498-43B3-948B-1728B52AA6E4}">
                          <adec:decorative xmlns:adec="http://schemas.microsoft.com/office/drawing/2017/decorative" val="0"/>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09650" cy="1007745"/>
                    </a:xfrm>
                    <a:prstGeom prst="rect">
                      <a:avLst/>
                    </a:prstGeom>
                    <a:noFill/>
                    <a:ln>
                      <a:noFill/>
                    </a:ln>
                  </pic:spPr>
                </pic:pic>
              </a:graphicData>
            </a:graphic>
          </wp:anchor>
        </w:drawing>
      </w:r>
      <w:r w:rsidRPr="0003211D">
        <w:t>Unplanned weight loss is common among care recipients, with approximately half either being malnourished or at risk of malnutrition. It is important to understand and recognise where care recipients are experiencing unplanned weight loss, and to respond with actions to minimise or eliminate the cause.</w:t>
      </w:r>
    </w:p>
    <w:p w14:paraId="461A88E3" w14:textId="2F992D47" w:rsidR="00FD3F37" w:rsidRPr="001853CC" w:rsidRDefault="00FD3F37" w:rsidP="0059348C">
      <w:pPr>
        <w:pStyle w:val="Heading2"/>
      </w:pPr>
      <w:r w:rsidRPr="001853CC">
        <w:t>Overview of unplanned weight loss</w:t>
      </w:r>
    </w:p>
    <w:p w14:paraId="03024A6E" w14:textId="74072C86" w:rsidR="00FD3F37" w:rsidRPr="001853CC" w:rsidRDefault="00EB586A" w:rsidP="00314F78">
      <w:r w:rsidRPr="001853CC">
        <w:fldChar w:fldCharType="begin" w:fldLock="1"/>
      </w:r>
      <w:r w:rsidRPr="001853CC">
        <w:instrText xml:space="preserve"> REF _Ref105148315 \h </w:instrText>
      </w:r>
      <w:r w:rsidR="001853CC">
        <w:instrText xml:space="preserve"> \* MERGEFORMAT </w:instrText>
      </w:r>
      <w:r w:rsidRPr="001853CC">
        <w:fldChar w:fldCharType="separate"/>
      </w:r>
      <w:r w:rsidR="009F0B74" w:rsidRPr="001853CC">
        <w:t>Figure 13</w:t>
      </w:r>
      <w:r w:rsidRPr="001853CC">
        <w:fldChar w:fldCharType="end"/>
      </w:r>
      <w:r w:rsidRPr="001853CC">
        <w:t xml:space="preserve"> </w:t>
      </w:r>
      <w:r w:rsidR="00FD3F37" w:rsidRPr="001853CC">
        <w:t>below provides an overview of unplanned weight loss in residential aged care.</w:t>
      </w:r>
      <w:bookmarkStart w:id="23" w:name="_Ref76990829"/>
      <w:r w:rsidR="00460F5C" w:rsidRPr="001853CC">
        <w:t xml:space="preserve"> The data and references have been </w:t>
      </w:r>
      <w:r w:rsidR="00FA7D35" w:rsidRPr="001853CC">
        <w:t>reviewed</w:t>
      </w:r>
      <w:r w:rsidR="00460F5C" w:rsidRPr="001853CC">
        <w:t xml:space="preserve"> March 2025.</w:t>
      </w:r>
    </w:p>
    <w:p w14:paraId="09EE08E6" w14:textId="30312402" w:rsidR="00FD3F37" w:rsidRPr="001853CC" w:rsidRDefault="00E401CF" w:rsidP="00314F78">
      <w:pPr>
        <w:pStyle w:val="Caption"/>
      </w:pPr>
      <w:bookmarkStart w:id="24" w:name="_Ref105148315"/>
      <w:r w:rsidRPr="001853CC">
        <w:t>FIGURE </w:t>
      </w:r>
      <w:r w:rsidR="00FD3F37" w:rsidRPr="001853CC">
        <w:fldChar w:fldCharType="begin"/>
      </w:r>
      <w:r w:rsidR="00FD3F37" w:rsidRPr="001853CC">
        <w:instrText>SEQ Figure \* ARABIC</w:instrText>
      </w:r>
      <w:r w:rsidR="00FD3F37" w:rsidRPr="001853CC">
        <w:fldChar w:fldCharType="separate"/>
      </w:r>
      <w:r w:rsidR="003A30D7">
        <w:rPr>
          <w:noProof/>
        </w:rPr>
        <w:t>13</w:t>
      </w:r>
      <w:r w:rsidR="00FD3F37" w:rsidRPr="001853CC">
        <w:fldChar w:fldCharType="end"/>
      </w:r>
      <w:bookmarkEnd w:id="23"/>
      <w:bookmarkEnd w:id="24"/>
      <w:r w:rsidRPr="001853CC">
        <w:t>: UNPLANNED WEIGHT LOSS IN RESIDENTIAL AGED CARE SERVICES</w:t>
      </w:r>
      <w:r w:rsidR="00177EEF" w:rsidRPr="001853CC">
        <w:t xml:space="preserve"> </w:t>
      </w:r>
      <w:r w:rsidR="009253DC">
        <w:rPr>
          <w:rFonts w:ascii="ZWAdobeF" w:hAnsi="ZWAdobeF" w:cs="ZWAdobeF"/>
          <w:b w:val="0"/>
          <w:color w:val="auto"/>
          <w:sz w:val="2"/>
          <w:szCs w:val="2"/>
        </w:rPr>
        <w:t>54F</w:t>
      </w:r>
      <w:r w:rsidR="00177EEF" w:rsidRPr="00454D17">
        <w:rPr>
          <w:rStyle w:val="EndnoteReference"/>
        </w:rPr>
        <w:endnoteReference w:id="56"/>
      </w:r>
      <w:r w:rsidR="00A32F0F" w:rsidRPr="00454D17">
        <w:rPr>
          <w:rStyle w:val="EndnoteReference"/>
        </w:rPr>
        <w:t xml:space="preserve"> </w:t>
      </w:r>
      <w:r w:rsidR="009253DC">
        <w:rPr>
          <w:rFonts w:ascii="ZWAdobeF" w:hAnsi="ZWAdobeF" w:cs="ZWAdobeF"/>
          <w:b w:val="0"/>
          <w:color w:val="auto"/>
          <w:sz w:val="2"/>
          <w:szCs w:val="2"/>
        </w:rPr>
        <w:t>55F</w:t>
      </w:r>
      <w:r w:rsidR="00F70A1A" w:rsidRPr="00454D17">
        <w:rPr>
          <w:rStyle w:val="EndnoteReference"/>
        </w:rPr>
        <w:endnoteReference w:id="57"/>
      </w:r>
      <w:r w:rsidR="000E0681" w:rsidRPr="00454D17">
        <w:rPr>
          <w:rStyle w:val="EndnoteReference"/>
        </w:rPr>
        <w:t xml:space="preserve">, </w:t>
      </w:r>
      <w:r w:rsidR="009253DC">
        <w:rPr>
          <w:rFonts w:ascii="ZWAdobeF" w:hAnsi="ZWAdobeF" w:cs="ZWAdobeF"/>
          <w:b w:val="0"/>
          <w:color w:val="auto"/>
          <w:sz w:val="2"/>
          <w:szCs w:val="2"/>
        </w:rPr>
        <w:t>56F</w:t>
      </w:r>
      <w:r w:rsidR="000E0681" w:rsidRPr="00454D17">
        <w:rPr>
          <w:rStyle w:val="EndnoteReference"/>
        </w:rPr>
        <w:endnoteReference w:id="58"/>
      </w:r>
    </w:p>
    <w:p w14:paraId="0BD8161C" w14:textId="08DC92EB" w:rsidR="00FD3F37" w:rsidRPr="002765D3" w:rsidRDefault="00BF3F03" w:rsidP="00314F78">
      <w:r>
        <w:rPr>
          <w:noProof/>
        </w:rPr>
        <w:drawing>
          <wp:inline distT="0" distB="0" distL="0" distR="0" wp14:anchorId="77F6DFD2" wp14:editId="52846088">
            <wp:extent cx="6120130" cy="4114800"/>
            <wp:effectExtent l="0" t="0" r="0" b="0"/>
            <wp:docPr id="534256825" name="Picture 1" descr="P2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56825" name="Picture 1" descr="P285#yIS1"/>
                    <pic:cNvPicPr/>
                  </pic:nvPicPr>
                  <pic:blipFill>
                    <a:blip r:embed="rId91"/>
                    <a:stretch>
                      <a:fillRect/>
                    </a:stretch>
                  </pic:blipFill>
                  <pic:spPr>
                    <a:xfrm>
                      <a:off x="0" y="0"/>
                      <a:ext cx="6120130" cy="4114800"/>
                    </a:xfrm>
                    <a:prstGeom prst="rect">
                      <a:avLst/>
                    </a:prstGeom>
                  </pic:spPr>
                </pic:pic>
              </a:graphicData>
            </a:graphic>
          </wp:inline>
        </w:drawing>
      </w:r>
    </w:p>
    <w:p w14:paraId="7BD4DD44" w14:textId="1D75A87E" w:rsidR="00FD3F37" w:rsidRPr="00B96E35" w:rsidRDefault="00FD3F37" w:rsidP="0059348C">
      <w:pPr>
        <w:pStyle w:val="Heading2"/>
      </w:pPr>
      <w:r w:rsidRPr="00B96E35">
        <w:t>Unplanned weight loss in residential aged care</w:t>
      </w:r>
    </w:p>
    <w:p w14:paraId="28ADCC4D" w14:textId="1179E955" w:rsidR="00E90DC8" w:rsidRPr="00B96E35" w:rsidRDefault="00197C6A" w:rsidP="00314F78">
      <w:r w:rsidRPr="00B96E35">
        <w:t>For the purposes of the QI Program, unplanned weight loss is where weight loss occurs but there is no written strategy from a medical doctor or dietitian</w:t>
      </w:r>
      <w:r w:rsidR="009B765B" w:rsidRPr="00B96E35">
        <w:t>,</w:t>
      </w:r>
      <w:r w:rsidRPr="00B96E35">
        <w:t xml:space="preserve"> or ongoing </w:t>
      </w:r>
      <w:r w:rsidR="008B793F" w:rsidRPr="00B96E35">
        <w:t>record recommending</w:t>
      </w:r>
      <w:r w:rsidRPr="00B96E35">
        <w:t xml:space="preserve"> planned weight loss for the care recipient.</w:t>
      </w:r>
      <w:r w:rsidR="00A1315D" w:rsidRPr="00B96E35">
        <w:t xml:space="preserve"> </w:t>
      </w:r>
    </w:p>
    <w:p w14:paraId="7EB4DAA4" w14:textId="0CF91668" w:rsidR="00FB0D4B" w:rsidRPr="00B96E35" w:rsidRDefault="00FB0D4B" w:rsidP="00314F78">
      <w:r w:rsidRPr="00B96E35">
        <w:rPr>
          <w:rStyle w:val="Strong"/>
        </w:rPr>
        <w:t>Note</w:t>
      </w:r>
      <w:r w:rsidRPr="00B96E35">
        <w:t xml:space="preserve">: If a care recipient has a written record from a medical doctor or dietitian, which includes </w:t>
      </w:r>
      <w:r w:rsidR="00764AE6" w:rsidRPr="00B96E35">
        <w:t xml:space="preserve">a plan for </w:t>
      </w:r>
      <w:r w:rsidRPr="00B96E35">
        <w:t xml:space="preserve">intentional weight loss (for example, body fat or fluid), </w:t>
      </w:r>
      <w:r w:rsidR="008B793F" w:rsidRPr="00B96E35">
        <w:t>this will</w:t>
      </w:r>
      <w:r w:rsidRPr="00B96E35">
        <w:t xml:space="preserve"> not be counted as </w:t>
      </w:r>
      <w:r w:rsidRPr="00B96E35">
        <w:lastRenderedPageBreak/>
        <w:t>unplanned weight loss. Where no such record exists, all weight loss must be considered unplanned regardless of the body size or any other characteristic of the care recipient.</w:t>
      </w:r>
    </w:p>
    <w:p w14:paraId="303977FD" w14:textId="4F8941B1" w:rsidR="00FD3F37" w:rsidRPr="00B96E35" w:rsidRDefault="7279DF3A" w:rsidP="00314F78">
      <w:r w:rsidRPr="00B96E35">
        <w:t>There are two categories of unplanned weight loss:</w:t>
      </w:r>
      <w:r w:rsidR="009253DC">
        <w:rPr>
          <w:rFonts w:ascii="ZWAdobeF" w:hAnsi="ZWAdobeF" w:cs="ZWAdobeF"/>
          <w:color w:val="auto"/>
          <w:sz w:val="2"/>
          <w:szCs w:val="2"/>
        </w:rPr>
        <w:t>57F</w:t>
      </w:r>
      <w:r w:rsidR="00FD3F37" w:rsidRPr="00B96E35">
        <w:rPr>
          <w:vertAlign w:val="superscript"/>
        </w:rPr>
        <w:endnoteReference w:id="59"/>
      </w:r>
    </w:p>
    <w:p w14:paraId="5C334CB7" w14:textId="4F64A92F" w:rsidR="00712B22" w:rsidRPr="00B96E35" w:rsidRDefault="00FD3F37" w:rsidP="00314F78">
      <w:pPr>
        <w:pStyle w:val="ListBullet"/>
      </w:pPr>
      <w:r w:rsidRPr="00B96E35">
        <w:rPr>
          <w:rStyle w:val="Strong"/>
        </w:rPr>
        <w:t>Significant unplanned weight loss</w:t>
      </w:r>
      <w:r w:rsidRPr="00B96E35">
        <w:t xml:space="preserve"> is weight loss equal to or greater than 5</w:t>
      </w:r>
      <w:r w:rsidR="00702238" w:rsidRPr="00B96E35">
        <w:t xml:space="preserve"> per cent</w:t>
      </w:r>
      <w:r w:rsidRPr="00B96E35">
        <w:t xml:space="preserve"> of body weight over a three-month period.</w:t>
      </w:r>
    </w:p>
    <w:p w14:paraId="14418E92" w14:textId="06B8020C" w:rsidR="00FD3F37" w:rsidRPr="00B96E35" w:rsidRDefault="00FD3F37" w:rsidP="00314F78">
      <w:pPr>
        <w:pStyle w:val="ListBullet"/>
      </w:pPr>
      <w:r w:rsidRPr="00B96E35">
        <w:rPr>
          <w:rStyle w:val="Strong"/>
        </w:rPr>
        <w:t>Consecutive unplanned weight</w:t>
      </w:r>
      <w:r w:rsidRPr="00B96E35">
        <w:t xml:space="preserve"> loss is weight loss of any amount of weight every month over three consecutive months.</w:t>
      </w:r>
    </w:p>
    <w:p w14:paraId="3207232C" w14:textId="77777777" w:rsidR="00FD3F37" w:rsidRPr="00FD1B87" w:rsidRDefault="00FD3F37" w:rsidP="00314F78">
      <w:r w:rsidRPr="00FD1B87">
        <w:t>Details of the collection and reporting requirements for the unplanned weight loss quality indicator can be found in Part A.</w:t>
      </w:r>
    </w:p>
    <w:p w14:paraId="56DD284C" w14:textId="2CCAE9B3" w:rsidR="00FD3F37" w:rsidRPr="00B96E35" w:rsidRDefault="00FD3F37" w:rsidP="0059348C">
      <w:pPr>
        <w:pStyle w:val="Heading2"/>
      </w:pPr>
      <w:bookmarkStart w:id="25" w:name="_Ref73618584"/>
      <w:bookmarkStart w:id="26" w:name="_Ref75117740"/>
      <w:r w:rsidRPr="00B96E35">
        <w:t>Causes and risk factors of unplanned weight loss</w:t>
      </w:r>
    </w:p>
    <w:p w14:paraId="7D5FD93A" w14:textId="77777777" w:rsidR="00FD3F37" w:rsidRPr="00B96E35" w:rsidRDefault="00FD3F37" w:rsidP="00314F78">
      <w:r w:rsidRPr="00B96E35">
        <w:t>There are many causes of unplanned weight loss in adults over the age of 65, including food choice and quality, negative dining experiences, limited staff training and support, difficulty eating, poor appetite and mood. Care recipients may experience multiple causes, which may be curable or treatable.</w:t>
      </w:r>
    </w:p>
    <w:p w14:paraId="611D7C4E" w14:textId="7E830FBC" w:rsidR="00FD3F37" w:rsidRPr="00B96E35" w:rsidRDefault="00FD3F37" w:rsidP="00314F78">
      <w:bookmarkStart w:id="27" w:name="_Hlk77265272"/>
      <w:r w:rsidRPr="00B96E35">
        <w:t xml:space="preserve">Risk factors </w:t>
      </w:r>
      <w:bookmarkEnd w:id="27"/>
      <w:r w:rsidRPr="00B96E35">
        <w:t>for unplanned weight loss may be due to a range of causes, including social, physical, p</w:t>
      </w:r>
      <w:r w:rsidR="002D0A03" w:rsidRPr="00B96E35">
        <w:t>sychological</w:t>
      </w:r>
      <w:r w:rsidRPr="00B96E35">
        <w:t xml:space="preserve">, emotional or the care setting, as described in </w:t>
      </w:r>
      <w:r w:rsidR="004A440D" w:rsidRPr="00B96E35">
        <w:fldChar w:fldCharType="begin" w:fldLock="1"/>
      </w:r>
      <w:r w:rsidR="004A440D" w:rsidRPr="00B96E35">
        <w:instrText xml:space="preserve"> REF _Ref105083665 \h </w:instrText>
      </w:r>
      <w:r w:rsidR="00B96E35">
        <w:instrText xml:space="preserve"> \* MERGEFORMAT </w:instrText>
      </w:r>
      <w:r w:rsidR="004A440D" w:rsidRPr="00B96E35">
        <w:fldChar w:fldCharType="separate"/>
      </w:r>
      <w:r w:rsidR="009F0B74" w:rsidRPr="00B96E35">
        <w:t>Figure 14</w:t>
      </w:r>
      <w:r w:rsidR="004A440D" w:rsidRPr="00B96E35">
        <w:fldChar w:fldCharType="end"/>
      </w:r>
      <w:r w:rsidRPr="00B96E35">
        <w:rPr>
          <w:vertAlign w:val="superscript"/>
        </w:rPr>
        <w:t>.</w:t>
      </w:r>
      <w:r w:rsidR="009253DC">
        <w:rPr>
          <w:rFonts w:ascii="ZWAdobeF" w:hAnsi="ZWAdobeF" w:cs="ZWAdobeF"/>
          <w:color w:val="auto"/>
          <w:sz w:val="2"/>
          <w:szCs w:val="2"/>
        </w:rPr>
        <w:t>58F</w:t>
      </w:r>
      <w:r w:rsidRPr="00B96E35">
        <w:rPr>
          <w:vertAlign w:val="superscript"/>
        </w:rPr>
        <w:endnoteReference w:id="60"/>
      </w:r>
      <w:r w:rsidRPr="00B96E35">
        <w:rPr>
          <w:vertAlign w:val="superscript"/>
        </w:rPr>
        <w:t xml:space="preserve"> </w:t>
      </w:r>
      <w:r w:rsidR="009253DC">
        <w:rPr>
          <w:rFonts w:ascii="ZWAdobeF" w:hAnsi="ZWAdobeF" w:cs="ZWAdobeF"/>
          <w:color w:val="auto"/>
          <w:sz w:val="2"/>
          <w:szCs w:val="2"/>
        </w:rPr>
        <w:t>59F</w:t>
      </w:r>
      <w:r w:rsidRPr="00B96E35">
        <w:rPr>
          <w:vertAlign w:val="superscript"/>
        </w:rPr>
        <w:endnoteReference w:id="61"/>
      </w:r>
      <w:r w:rsidRPr="00B96E35">
        <w:rPr>
          <w:vertAlign w:val="superscript"/>
        </w:rPr>
        <w:t xml:space="preserve"> </w:t>
      </w:r>
      <w:r w:rsidR="009253DC">
        <w:rPr>
          <w:rFonts w:ascii="ZWAdobeF" w:hAnsi="ZWAdobeF" w:cs="ZWAdobeF"/>
          <w:color w:val="auto"/>
          <w:sz w:val="2"/>
          <w:szCs w:val="2"/>
        </w:rPr>
        <w:t>60F</w:t>
      </w:r>
      <w:r w:rsidRPr="00B96E35">
        <w:rPr>
          <w:vertAlign w:val="superscript"/>
        </w:rPr>
        <w:endnoteReference w:id="62"/>
      </w:r>
      <w:r w:rsidRPr="00B96E35">
        <w:rPr>
          <w:vertAlign w:val="superscript"/>
        </w:rPr>
        <w:t xml:space="preserve"> </w:t>
      </w:r>
      <w:r w:rsidR="009253DC">
        <w:rPr>
          <w:rFonts w:ascii="ZWAdobeF" w:hAnsi="ZWAdobeF" w:cs="ZWAdobeF"/>
          <w:color w:val="auto"/>
          <w:sz w:val="2"/>
          <w:szCs w:val="2"/>
        </w:rPr>
        <w:t>61F</w:t>
      </w:r>
      <w:r w:rsidRPr="00B96E35">
        <w:rPr>
          <w:vertAlign w:val="superscript"/>
        </w:rPr>
        <w:endnoteReference w:id="63"/>
      </w:r>
    </w:p>
    <w:p w14:paraId="4336AE74" w14:textId="537D1E6D" w:rsidR="00FD3F37" w:rsidRPr="00B96E35" w:rsidRDefault="00E401CF" w:rsidP="00314F78">
      <w:pPr>
        <w:pStyle w:val="Caption"/>
      </w:pPr>
      <w:bookmarkStart w:id="28" w:name="_Ref105083665"/>
      <w:r w:rsidRPr="00B96E35">
        <w:t>FIGURE </w:t>
      </w:r>
      <w:r w:rsidR="00FD3F37" w:rsidRPr="00B96E35">
        <w:fldChar w:fldCharType="begin"/>
      </w:r>
      <w:r w:rsidR="00FD3F37" w:rsidRPr="00B96E35">
        <w:instrText>SEQ Figure \* ARABIC</w:instrText>
      </w:r>
      <w:r w:rsidR="00FD3F37" w:rsidRPr="00B96E35">
        <w:fldChar w:fldCharType="separate"/>
      </w:r>
      <w:r w:rsidR="003A30D7">
        <w:rPr>
          <w:noProof/>
        </w:rPr>
        <w:t>14</w:t>
      </w:r>
      <w:r w:rsidR="00FD3F37" w:rsidRPr="00B96E35">
        <w:fldChar w:fldCharType="end"/>
      </w:r>
      <w:bookmarkEnd w:id="25"/>
      <w:bookmarkEnd w:id="28"/>
      <w:r w:rsidRPr="00B96E35">
        <w:t>: RISK FACTORS FOR UNPLANNED WEIGHT LOSS AND MALNUTRITION</w:t>
      </w:r>
      <w:bookmarkEnd w:id="26"/>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871DD5" w:rsidRPr="002765D3" w14:paraId="7B31CB06" w14:textId="77777777" w:rsidTr="00910775">
        <w:trPr>
          <w:tblHeader/>
        </w:trPr>
        <w:tc>
          <w:tcPr>
            <w:tcW w:w="2407" w:type="dxa"/>
            <w:shd w:val="clear" w:color="auto" w:fill="auto"/>
            <w:tcMar>
              <w:left w:w="0" w:type="dxa"/>
              <w:right w:w="0" w:type="dxa"/>
            </w:tcMar>
            <w:vAlign w:val="bottom"/>
          </w:tcPr>
          <w:p w14:paraId="3CBEE577" w14:textId="6538EAFA" w:rsidR="00871DD5" w:rsidRPr="004E3E97" w:rsidRDefault="00C36EAB" w:rsidP="00314F78">
            <w:r w:rsidRPr="004E3E97">
              <w:rPr>
                <w:noProof/>
              </w:rPr>
              <w:drawing>
                <wp:inline distT="0" distB="0" distL="0" distR="0" wp14:anchorId="4F7C24B6" wp14:editId="29CA1623">
                  <wp:extent cx="1507958" cy="1072480"/>
                  <wp:effectExtent l="0" t="0" r="0" b="0"/>
                  <wp:docPr id="2091994642" name="Picture 78" descr="P297C1T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2" name="Picture 78" descr="P297C1T1#yIS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10708" cy="1074436"/>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0275D73B" w14:textId="76B63F0D" w:rsidR="00871DD5" w:rsidRPr="004E3E97" w:rsidRDefault="00B165D5" w:rsidP="00314F78">
            <w:r w:rsidRPr="004E3E97">
              <w:rPr>
                <w:noProof/>
              </w:rPr>
              <w:drawing>
                <wp:inline distT="0" distB="0" distL="0" distR="0" wp14:anchorId="76509DA5" wp14:editId="48BFFF8D">
                  <wp:extent cx="1451610" cy="1034415"/>
                  <wp:effectExtent l="0" t="0" r="0" b="0"/>
                  <wp:docPr id="2091994646" name="Picture 79" descr="P298C2T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6" name="Picture 79" descr="P298C2T1#yIS1">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7DCEB378" w14:textId="604868B6" w:rsidR="00871DD5" w:rsidRPr="004E3E97" w:rsidRDefault="002F1536" w:rsidP="00314F78">
            <w:r w:rsidRPr="004E3E97">
              <w:rPr>
                <w:noProof/>
              </w:rPr>
              <w:drawing>
                <wp:inline distT="0" distB="0" distL="0" distR="0" wp14:anchorId="65852C8E" wp14:editId="08BB9EF7">
                  <wp:extent cx="1451610" cy="1034415"/>
                  <wp:effectExtent l="0" t="0" r="0" b="0"/>
                  <wp:docPr id="2091994647" name="Picture 80" descr="P299C3T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7" name="Picture 80" descr="P299C3T1#yIS1">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7DC7F5E8" w14:textId="7574E4DB" w:rsidR="00871DD5" w:rsidRPr="00DD4598" w:rsidRDefault="002F1536" w:rsidP="00314F78">
            <w:r w:rsidRPr="00DD4598">
              <w:rPr>
                <w:noProof/>
              </w:rPr>
              <w:drawing>
                <wp:inline distT="0" distB="0" distL="0" distR="0" wp14:anchorId="2841180A" wp14:editId="20CE1BEF">
                  <wp:extent cx="1483995" cy="1058545"/>
                  <wp:effectExtent l="0" t="0" r="1905" b="8255"/>
                  <wp:docPr id="2091994649" name="Picture 81" descr="P300C4T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9" name="Picture 81" descr="P300C4T1#yIS1">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83995" cy="1058545"/>
                          </a:xfrm>
                          <a:prstGeom prst="rect">
                            <a:avLst/>
                          </a:prstGeom>
                          <a:noFill/>
                          <a:ln>
                            <a:noFill/>
                          </a:ln>
                        </pic:spPr>
                      </pic:pic>
                    </a:graphicData>
                  </a:graphic>
                </wp:inline>
              </w:drawing>
            </w:r>
          </w:p>
        </w:tc>
      </w:tr>
      <w:tr w:rsidR="00BB0405" w:rsidRPr="002765D3" w14:paraId="0CE7570F" w14:textId="77777777" w:rsidTr="00910775">
        <w:trPr>
          <w:tblHeader/>
        </w:trPr>
        <w:tc>
          <w:tcPr>
            <w:tcW w:w="2407" w:type="dxa"/>
            <w:tcBorders>
              <w:bottom w:val="nil"/>
            </w:tcBorders>
            <w:shd w:val="clear" w:color="auto" w:fill="004C90" w:themeFill="accent1"/>
            <w:vAlign w:val="center"/>
          </w:tcPr>
          <w:p w14:paraId="717DA8DD" w14:textId="60AF9770" w:rsidR="00BB0405" w:rsidRPr="002765D3" w:rsidRDefault="00871DD5" w:rsidP="00314F78">
            <w:pPr>
              <w:pStyle w:val="GraphicBlockHeading"/>
            </w:pPr>
            <w:r w:rsidRPr="002765D3">
              <w:t>SOCIAL CAUSES</w:t>
            </w:r>
          </w:p>
        </w:tc>
        <w:tc>
          <w:tcPr>
            <w:tcW w:w="2407" w:type="dxa"/>
            <w:tcBorders>
              <w:bottom w:val="nil"/>
            </w:tcBorders>
            <w:shd w:val="clear" w:color="auto" w:fill="00B3C3" w:themeFill="accent2"/>
            <w:vAlign w:val="center"/>
          </w:tcPr>
          <w:p w14:paraId="7CC41241" w14:textId="4B517F1A" w:rsidR="00BB0405" w:rsidRPr="002765D3" w:rsidRDefault="00871DD5" w:rsidP="00314F78">
            <w:pPr>
              <w:pStyle w:val="GraphicBlockHeading"/>
            </w:pPr>
            <w:r w:rsidRPr="002765D3">
              <w:t>PHYSICAL CAUSES</w:t>
            </w:r>
          </w:p>
        </w:tc>
        <w:tc>
          <w:tcPr>
            <w:tcW w:w="2407" w:type="dxa"/>
            <w:tcBorders>
              <w:bottom w:val="nil"/>
            </w:tcBorders>
            <w:shd w:val="clear" w:color="auto" w:fill="0090D4" w:themeFill="accent3"/>
            <w:vAlign w:val="center"/>
          </w:tcPr>
          <w:p w14:paraId="08FD3E14" w14:textId="67B112C8" w:rsidR="00BB0405" w:rsidRPr="002765D3" w:rsidRDefault="00871DD5" w:rsidP="00314F78">
            <w:pPr>
              <w:pStyle w:val="GraphicBlockHeading"/>
            </w:pPr>
            <w:r w:rsidRPr="002765D3">
              <w:t>PSYCHOLOGICAL AND EMOTIONAL CAUSES</w:t>
            </w:r>
          </w:p>
        </w:tc>
        <w:tc>
          <w:tcPr>
            <w:tcW w:w="2407" w:type="dxa"/>
            <w:tcBorders>
              <w:bottom w:val="nil"/>
            </w:tcBorders>
            <w:shd w:val="clear" w:color="auto" w:fill="008995" w:themeFill="accent4"/>
            <w:vAlign w:val="center"/>
          </w:tcPr>
          <w:p w14:paraId="76433F7B" w14:textId="1085D301" w:rsidR="00BB0405" w:rsidRPr="002765D3" w:rsidRDefault="00871DD5" w:rsidP="00314F78">
            <w:pPr>
              <w:pStyle w:val="GraphicBlockHeading"/>
            </w:pPr>
            <w:r w:rsidRPr="002765D3">
              <w:t>CARE SETTING CAUSES</w:t>
            </w:r>
          </w:p>
        </w:tc>
      </w:tr>
      <w:tr w:rsidR="00BB0405" w:rsidRPr="002765D3" w14:paraId="7E826092" w14:textId="77777777" w:rsidTr="00910775">
        <w:tc>
          <w:tcPr>
            <w:tcW w:w="2407" w:type="dxa"/>
            <w:tcBorders>
              <w:bottom w:val="nil"/>
            </w:tcBorders>
          </w:tcPr>
          <w:p w14:paraId="70265E57" w14:textId="77777777" w:rsidR="00BB0405" w:rsidRPr="00E14B04" w:rsidRDefault="00BB0405" w:rsidP="00314F78">
            <w:pPr>
              <w:pStyle w:val="TableHeader"/>
            </w:pPr>
            <w:r w:rsidRPr="00E14B04">
              <w:t>Reduced social engagement</w:t>
            </w:r>
          </w:p>
          <w:p w14:paraId="0AFE137D" w14:textId="77777777" w:rsidR="00BB0405" w:rsidRPr="00E14B04" w:rsidRDefault="00BB0405" w:rsidP="00314F78">
            <w:r w:rsidRPr="00E14B04">
              <w:t>Loss of choice, social withdrawal, eating alone, limited communication</w:t>
            </w:r>
          </w:p>
          <w:p w14:paraId="503E5AD5" w14:textId="77777777" w:rsidR="00BB0405" w:rsidRPr="00E14B04" w:rsidRDefault="00BB0405" w:rsidP="00314F78">
            <w:pPr>
              <w:pStyle w:val="TableHeader"/>
            </w:pPr>
            <w:r w:rsidRPr="00E14B04">
              <w:t>Cultural factors</w:t>
            </w:r>
          </w:p>
          <w:p w14:paraId="032F6E9B" w14:textId="77777777" w:rsidR="00BB0405" w:rsidRPr="00E14B04" w:rsidRDefault="00BB0405" w:rsidP="00314F78">
            <w:r w:rsidRPr="00E14B04">
              <w:t>Different life experiences of food and the mealtime environment, dining in institutional settings</w:t>
            </w:r>
          </w:p>
          <w:p w14:paraId="4DB2DFE3" w14:textId="77777777" w:rsidR="00BB0405" w:rsidRPr="00E14B04" w:rsidRDefault="00BB0405" w:rsidP="00314F78">
            <w:pPr>
              <w:pStyle w:val="TableHeader"/>
            </w:pPr>
            <w:r w:rsidRPr="00E14B04">
              <w:t>Dining experience</w:t>
            </w:r>
          </w:p>
          <w:p w14:paraId="22039A37" w14:textId="1176D521" w:rsidR="00BB0405" w:rsidRPr="00D82644" w:rsidRDefault="00BB0405" w:rsidP="00314F78">
            <w:pPr>
              <w:rPr>
                <w:sz w:val="22"/>
              </w:rPr>
            </w:pPr>
            <w:r w:rsidRPr="00E14B04">
              <w:t xml:space="preserve">Lighting, sound and smell, social interaction, </w:t>
            </w:r>
            <w:r w:rsidRPr="00E14B04">
              <w:lastRenderedPageBreak/>
              <w:t>staff activity, task-focussed service</w:t>
            </w:r>
          </w:p>
        </w:tc>
        <w:tc>
          <w:tcPr>
            <w:tcW w:w="2407" w:type="dxa"/>
            <w:tcBorders>
              <w:bottom w:val="nil"/>
            </w:tcBorders>
          </w:tcPr>
          <w:p w14:paraId="21AEAA08" w14:textId="77777777" w:rsidR="00BB0405" w:rsidRPr="00E14B04" w:rsidRDefault="00BB0405" w:rsidP="00314F78">
            <w:pPr>
              <w:pStyle w:val="TableHeader"/>
            </w:pPr>
            <w:r w:rsidRPr="00E14B04">
              <w:lastRenderedPageBreak/>
              <w:t>Disease related</w:t>
            </w:r>
          </w:p>
          <w:p w14:paraId="44BDAD54" w14:textId="77777777" w:rsidR="00BB0405" w:rsidRPr="00E14B04" w:rsidRDefault="00BB0405" w:rsidP="00314F78">
            <w:r w:rsidRPr="00E14B04">
              <w:t>Acute illness, cancer, pain, pressure injury, constipation, and increased nutritional requirements</w:t>
            </w:r>
          </w:p>
          <w:p w14:paraId="3BAF40BD" w14:textId="77777777" w:rsidR="00BB0405" w:rsidRPr="00E14B04" w:rsidRDefault="00BB0405" w:rsidP="00314F78">
            <w:pPr>
              <w:pStyle w:val="TableHeader"/>
            </w:pPr>
            <w:r w:rsidRPr="00E14B04">
              <w:t>Medication related</w:t>
            </w:r>
          </w:p>
          <w:p w14:paraId="4D53689A" w14:textId="77777777" w:rsidR="00BB0405" w:rsidRPr="00E14B04" w:rsidRDefault="00BB0405" w:rsidP="00314F78">
            <w:r w:rsidRPr="00E14B04">
              <w:t>Cardiac, neurologic, polypharmacy, nausea</w:t>
            </w:r>
          </w:p>
          <w:p w14:paraId="13E0C2E6" w14:textId="77777777" w:rsidR="00BB0405" w:rsidRPr="00E14B04" w:rsidRDefault="00BB0405" w:rsidP="00314F78">
            <w:pPr>
              <w:pStyle w:val="TableHeader"/>
            </w:pPr>
            <w:r w:rsidRPr="00E14B04">
              <w:t>Functional issues</w:t>
            </w:r>
          </w:p>
          <w:p w14:paraId="30A1BB10" w14:textId="77777777" w:rsidR="00BB0405" w:rsidRPr="00E14B04" w:rsidRDefault="00BB0405" w:rsidP="00314F78">
            <w:r w:rsidRPr="00E14B04">
              <w:t xml:space="preserve">Dexterity, mobility impairment, vision, chewing and </w:t>
            </w:r>
            <w:r w:rsidRPr="00E14B04">
              <w:lastRenderedPageBreak/>
              <w:t>swallowing, eating support needs</w:t>
            </w:r>
          </w:p>
          <w:p w14:paraId="47920F8E" w14:textId="25C1B62B" w:rsidR="00BB0405" w:rsidRPr="00E14B04" w:rsidRDefault="00BB0405" w:rsidP="00314F78">
            <w:pPr>
              <w:pStyle w:val="TableHeader"/>
            </w:pPr>
            <w:r w:rsidRPr="00E14B04">
              <w:t>Reduced intake</w:t>
            </w:r>
          </w:p>
          <w:p w14:paraId="7F3FF98E" w14:textId="3920C688" w:rsidR="00BB0405" w:rsidRPr="00D82644" w:rsidRDefault="250E4FAE" w:rsidP="00314F78">
            <w:pPr>
              <w:rPr>
                <w:sz w:val="22"/>
              </w:rPr>
            </w:pPr>
            <w:r w:rsidRPr="00E14B04">
              <w:t>Food quality, oral health, dentition/dentures, appetite, changes in taste or smell, restricted diets (e.g. texture modified), early satiety</w:t>
            </w:r>
          </w:p>
        </w:tc>
        <w:tc>
          <w:tcPr>
            <w:tcW w:w="2407" w:type="dxa"/>
            <w:tcBorders>
              <w:bottom w:val="nil"/>
            </w:tcBorders>
          </w:tcPr>
          <w:p w14:paraId="5421A7D1" w14:textId="77777777" w:rsidR="00BB0405" w:rsidRPr="00E14B04" w:rsidRDefault="00BB0405" w:rsidP="00314F78">
            <w:pPr>
              <w:pStyle w:val="TableHeader"/>
            </w:pPr>
            <w:r w:rsidRPr="00E14B04">
              <w:lastRenderedPageBreak/>
              <w:t>Mood disorders</w:t>
            </w:r>
          </w:p>
          <w:p w14:paraId="2A2FDCC3" w14:textId="77777777" w:rsidR="00BB0405" w:rsidRPr="00E14B04" w:rsidRDefault="00BB0405" w:rsidP="00314F78">
            <w:r w:rsidRPr="00E14B04">
              <w:t>Anxiety, depression</w:t>
            </w:r>
          </w:p>
          <w:p w14:paraId="0934E488" w14:textId="77777777" w:rsidR="00BB0405" w:rsidRPr="00E14B04" w:rsidRDefault="00BB0405" w:rsidP="00314F78">
            <w:pPr>
              <w:pStyle w:val="TableHeader"/>
            </w:pPr>
            <w:r w:rsidRPr="00E14B04">
              <w:t>Cognitive impairment</w:t>
            </w:r>
          </w:p>
          <w:p w14:paraId="4D2FF804" w14:textId="77777777" w:rsidR="00BB0405" w:rsidRPr="00E14B04" w:rsidRDefault="00BB0405" w:rsidP="00314F78">
            <w:r w:rsidRPr="00E14B04">
              <w:t>Alzheimer’s disease, Lewy body dementia, stroke</w:t>
            </w:r>
          </w:p>
          <w:p w14:paraId="444A9DA6" w14:textId="77777777" w:rsidR="00BB0405" w:rsidRPr="00E14B04" w:rsidRDefault="00BB0405" w:rsidP="00314F78">
            <w:pPr>
              <w:pStyle w:val="TableHeader"/>
            </w:pPr>
            <w:r w:rsidRPr="00E14B04">
              <w:t>Bereavement</w:t>
            </w:r>
          </w:p>
          <w:p w14:paraId="7D8ECE3B" w14:textId="77777777" w:rsidR="00BB0405" w:rsidRPr="00E14B04" w:rsidRDefault="00BB0405" w:rsidP="00314F78">
            <w:r w:rsidRPr="00E14B04">
              <w:t>Grief, loss</w:t>
            </w:r>
          </w:p>
          <w:p w14:paraId="6A8AA0F9" w14:textId="77777777" w:rsidR="00BB0405" w:rsidRPr="00E14B04" w:rsidRDefault="00BB0405" w:rsidP="00314F78">
            <w:pPr>
              <w:pStyle w:val="TableHeader"/>
            </w:pPr>
            <w:r w:rsidRPr="00E14B04">
              <w:t>Other</w:t>
            </w:r>
          </w:p>
          <w:p w14:paraId="5455CB06" w14:textId="2A3B18E0" w:rsidR="00BB0405" w:rsidRPr="00D82644" w:rsidRDefault="00BB0405" w:rsidP="00314F78">
            <w:pPr>
              <w:rPr>
                <w:sz w:val="22"/>
              </w:rPr>
            </w:pPr>
            <w:r w:rsidRPr="00E14B04">
              <w:t>Loss of enjoyment</w:t>
            </w:r>
          </w:p>
        </w:tc>
        <w:tc>
          <w:tcPr>
            <w:tcW w:w="2407" w:type="dxa"/>
            <w:tcBorders>
              <w:bottom w:val="nil"/>
            </w:tcBorders>
          </w:tcPr>
          <w:p w14:paraId="51AF35B1" w14:textId="77777777" w:rsidR="00BB0405" w:rsidRPr="00910775" w:rsidRDefault="00BB0405" w:rsidP="00314F78">
            <w:pPr>
              <w:pStyle w:val="TableHeader"/>
            </w:pPr>
            <w:r w:rsidRPr="00910775">
              <w:t>Staff</w:t>
            </w:r>
          </w:p>
          <w:p w14:paraId="49ABA8C8" w14:textId="77777777" w:rsidR="00BB0405" w:rsidRPr="00910775" w:rsidRDefault="250E4FAE" w:rsidP="00314F78">
            <w:r w:rsidRPr="00910775">
              <w:t>Limited staff to assist with eating, limited skills to identify and respond to weight loss, task focussed, workload</w:t>
            </w:r>
          </w:p>
          <w:p w14:paraId="5976E68F" w14:textId="77777777" w:rsidR="00BB0405" w:rsidRPr="00910775" w:rsidRDefault="00BB0405" w:rsidP="00314F78">
            <w:pPr>
              <w:pStyle w:val="TableHeader"/>
            </w:pPr>
            <w:r w:rsidRPr="00910775">
              <w:t>Food service mode</w:t>
            </w:r>
          </w:p>
          <w:p w14:paraId="4177D6FD" w14:textId="3180D986" w:rsidR="00BB0405" w:rsidRPr="00910775" w:rsidRDefault="250E4FAE" w:rsidP="00314F78">
            <w:r w:rsidRPr="00910775">
              <w:t xml:space="preserve">Limited food choices, </w:t>
            </w:r>
            <w:r w:rsidR="0288FAEE" w:rsidRPr="00910775">
              <w:t>mealtime</w:t>
            </w:r>
            <w:r w:rsidRPr="00910775">
              <w:t xml:space="preserve"> requirements, plating and service approach</w:t>
            </w:r>
          </w:p>
          <w:p w14:paraId="2D7F75FD" w14:textId="77777777" w:rsidR="00BB0405" w:rsidRPr="00910775" w:rsidRDefault="00BB0405" w:rsidP="00314F78">
            <w:pPr>
              <w:pStyle w:val="TableHeader"/>
            </w:pPr>
            <w:r w:rsidRPr="00910775">
              <w:t>Food preparation</w:t>
            </w:r>
          </w:p>
          <w:p w14:paraId="7A5A8A8E" w14:textId="23B8DBBF" w:rsidR="00BB0405" w:rsidRPr="00D82644" w:rsidRDefault="00BB0405" w:rsidP="00314F78">
            <w:pPr>
              <w:rPr>
                <w:sz w:val="22"/>
              </w:rPr>
            </w:pPr>
            <w:r w:rsidRPr="00910775">
              <w:lastRenderedPageBreak/>
              <w:t>Inadequate nutritional content, insufficiently enriched foods</w:t>
            </w:r>
          </w:p>
        </w:tc>
      </w:tr>
    </w:tbl>
    <w:p w14:paraId="6640B3C7" w14:textId="4FDBA9D6" w:rsidR="00FD3F37" w:rsidRPr="00C4031D" w:rsidRDefault="00FD3F37" w:rsidP="0059348C">
      <w:pPr>
        <w:pStyle w:val="Heading2"/>
      </w:pPr>
      <w:r w:rsidRPr="00C4031D">
        <w:lastRenderedPageBreak/>
        <w:t>Adverse clinical events and unplanned weight loss</w:t>
      </w:r>
    </w:p>
    <w:p w14:paraId="5B3DD42D" w14:textId="71029253" w:rsidR="00FD3F37" w:rsidRPr="00C4031D" w:rsidRDefault="7279DF3A" w:rsidP="00314F78">
      <w:r w:rsidRPr="00C4031D">
        <w:t>Unplanned weight loss is a sign of malnutrition, which affects every system in the body and results in increased vulnerability to illness, loss of independence, frailty, increased complications, higher risk of hospital admissions and, in extreme cases, even death</w:t>
      </w:r>
      <w:r w:rsidRPr="00C4031D">
        <w:rPr>
          <w:vertAlign w:val="superscript"/>
        </w:rPr>
        <w:t>.</w:t>
      </w:r>
      <w:r w:rsidR="009253DC">
        <w:rPr>
          <w:rFonts w:ascii="ZWAdobeF" w:hAnsi="ZWAdobeF" w:cs="ZWAdobeF"/>
          <w:color w:val="auto"/>
          <w:sz w:val="2"/>
          <w:szCs w:val="2"/>
        </w:rPr>
        <w:t>62F</w:t>
      </w:r>
      <w:r w:rsidR="00FD3F37" w:rsidRPr="00C4031D">
        <w:rPr>
          <w:vertAlign w:val="superscript"/>
        </w:rPr>
        <w:endnoteReference w:id="64"/>
      </w:r>
      <w:r w:rsidRPr="00C4031D">
        <w:rPr>
          <w:vertAlign w:val="superscript"/>
        </w:rPr>
        <w:t xml:space="preserve"> </w:t>
      </w:r>
      <w:r w:rsidR="009253DC">
        <w:rPr>
          <w:rFonts w:ascii="ZWAdobeF" w:hAnsi="ZWAdobeF" w:cs="ZWAdobeF"/>
          <w:color w:val="auto"/>
          <w:sz w:val="2"/>
          <w:szCs w:val="2"/>
        </w:rPr>
        <w:t>63F</w:t>
      </w:r>
      <w:r w:rsidR="00FD3F37" w:rsidRPr="00C4031D">
        <w:rPr>
          <w:vertAlign w:val="superscript"/>
        </w:rPr>
        <w:endnoteReference w:id="65"/>
      </w:r>
      <w:r w:rsidRPr="00C4031D">
        <w:rPr>
          <w:vertAlign w:val="superscript"/>
        </w:rPr>
        <w:t xml:space="preserve"> </w:t>
      </w:r>
      <w:r w:rsidR="009253DC">
        <w:rPr>
          <w:rFonts w:ascii="ZWAdobeF" w:hAnsi="ZWAdobeF" w:cs="ZWAdobeF"/>
          <w:color w:val="auto"/>
          <w:sz w:val="2"/>
          <w:szCs w:val="2"/>
        </w:rPr>
        <w:t>64F</w:t>
      </w:r>
      <w:r w:rsidR="00FD3F37" w:rsidRPr="00C4031D">
        <w:rPr>
          <w:vertAlign w:val="superscript"/>
        </w:rPr>
        <w:endnoteReference w:id="66"/>
      </w:r>
      <w:r w:rsidRPr="00C4031D">
        <w:rPr>
          <w:vertAlign w:val="superscript"/>
        </w:rPr>
        <w:t xml:space="preserve"> </w:t>
      </w:r>
      <w:r w:rsidR="009253DC">
        <w:rPr>
          <w:rFonts w:ascii="ZWAdobeF" w:hAnsi="ZWAdobeF" w:cs="ZWAdobeF"/>
          <w:color w:val="auto"/>
          <w:sz w:val="2"/>
          <w:szCs w:val="2"/>
        </w:rPr>
        <w:t>65F</w:t>
      </w:r>
      <w:r w:rsidR="00FD3F37" w:rsidRPr="00C4031D">
        <w:rPr>
          <w:vertAlign w:val="superscript"/>
        </w:rPr>
        <w:endnoteReference w:id="67"/>
      </w:r>
      <w:r w:rsidRPr="00C4031D">
        <w:t xml:space="preserve"> It contributes to a reduced quality of life.</w:t>
      </w:r>
    </w:p>
    <w:p w14:paraId="4E30B65A" w14:textId="1E3CBD24" w:rsidR="00FD3F37" w:rsidRPr="00C4031D" w:rsidRDefault="0031300C" w:rsidP="00314F78">
      <w:pPr>
        <w:pStyle w:val="Caption"/>
      </w:pPr>
      <w:r w:rsidRPr="00C4031D">
        <w:t>FIGURE </w:t>
      </w:r>
      <w:r w:rsidR="00FD3F37" w:rsidRPr="00C4031D">
        <w:fldChar w:fldCharType="begin"/>
      </w:r>
      <w:r w:rsidR="00FD3F37" w:rsidRPr="00C4031D">
        <w:instrText>SEQ Figure \* ARABIC</w:instrText>
      </w:r>
      <w:r w:rsidR="00FD3F37" w:rsidRPr="00C4031D">
        <w:fldChar w:fldCharType="separate"/>
      </w:r>
      <w:r w:rsidR="003A30D7">
        <w:rPr>
          <w:noProof/>
        </w:rPr>
        <w:t>15</w:t>
      </w:r>
      <w:r w:rsidR="00FD3F37" w:rsidRPr="00C4031D">
        <w:fldChar w:fldCharType="end"/>
      </w:r>
      <w:r w:rsidRPr="00C4031D">
        <w:t>: IMPACT OF UNPLANNED WEIGHT LOSS</w:t>
      </w:r>
    </w:p>
    <w:p w14:paraId="3DD074D6" w14:textId="48FBC75D" w:rsidR="00FD3F37" w:rsidRPr="004A09AA" w:rsidRDefault="00FD3F37" w:rsidP="00314F78">
      <w:r w:rsidRPr="004A09AA">
        <w:rPr>
          <w:noProof/>
        </w:rPr>
        <w:drawing>
          <wp:inline distT="0" distB="0" distL="0" distR="0" wp14:anchorId="078B7E7E" wp14:editId="4A926499">
            <wp:extent cx="6120130" cy="2802255"/>
            <wp:effectExtent l="0" t="0" r="0" b="0"/>
            <wp:docPr id="2091994283" name="Picture 82" descr="P3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83" name="Picture 82" descr="P339#yIS1"/>
                    <pic:cNvPicPr/>
                  </pic:nvPicPr>
                  <pic:blipFill>
                    <a:blip r:embed="rId96"/>
                    <a:stretch>
                      <a:fillRect/>
                    </a:stretch>
                  </pic:blipFill>
                  <pic:spPr>
                    <a:xfrm>
                      <a:off x="0" y="0"/>
                      <a:ext cx="6120130" cy="2802255"/>
                    </a:xfrm>
                    <a:prstGeom prst="rect">
                      <a:avLst/>
                    </a:prstGeom>
                  </pic:spPr>
                </pic:pic>
              </a:graphicData>
            </a:graphic>
          </wp:inline>
        </w:drawing>
      </w:r>
    </w:p>
    <w:p w14:paraId="1D01CF6E" w14:textId="661C4EE1" w:rsidR="0046672D" w:rsidRPr="00C4031D" w:rsidRDefault="00FD3F37" w:rsidP="0059348C">
      <w:pPr>
        <w:pStyle w:val="Heading2"/>
      </w:pPr>
      <w:r w:rsidRPr="00C4031D">
        <w:lastRenderedPageBreak/>
        <w:t>Prevention and management of unplanned weight los</w:t>
      </w:r>
      <w:r w:rsidR="0046672D" w:rsidRPr="00C4031D">
        <w:t>s</w:t>
      </w:r>
    </w:p>
    <w:p w14:paraId="1CD9D901" w14:textId="1CD3B996" w:rsidR="00FD3F37" w:rsidRPr="00C4031D" w:rsidRDefault="7279DF3A" w:rsidP="00314F78">
      <w:r w:rsidRPr="00C4031D">
        <w:t>Preventing unplanned weight loss in care recipients requires a tiered approach, recognising and responding to the needs, preferences, and cultural requirements of each care recipient</w:t>
      </w:r>
      <w:r w:rsidRPr="00C4031D">
        <w:rPr>
          <w:vertAlign w:val="superscript"/>
        </w:rPr>
        <w:t>:</w:t>
      </w:r>
      <w:r w:rsidR="009253DC">
        <w:rPr>
          <w:rFonts w:ascii="ZWAdobeF" w:hAnsi="ZWAdobeF" w:cs="ZWAdobeF"/>
          <w:color w:val="auto"/>
          <w:sz w:val="2"/>
          <w:szCs w:val="2"/>
        </w:rPr>
        <w:t>66F</w:t>
      </w:r>
      <w:r w:rsidR="00FD3F37" w:rsidRPr="00C4031D">
        <w:rPr>
          <w:vertAlign w:val="superscript"/>
        </w:rPr>
        <w:endnoteReference w:id="68"/>
      </w:r>
      <w:r w:rsidRPr="00C4031D">
        <w:rPr>
          <w:vertAlign w:val="superscript"/>
        </w:rPr>
        <w:t xml:space="preserve"> </w:t>
      </w:r>
      <w:r w:rsidR="009253DC">
        <w:rPr>
          <w:rFonts w:ascii="ZWAdobeF" w:hAnsi="ZWAdobeF" w:cs="ZWAdobeF"/>
          <w:color w:val="auto"/>
          <w:sz w:val="2"/>
          <w:szCs w:val="2"/>
        </w:rPr>
        <w:t>67F</w:t>
      </w:r>
      <w:r w:rsidR="00FD3F37" w:rsidRPr="00C4031D">
        <w:rPr>
          <w:vertAlign w:val="superscript"/>
        </w:rPr>
        <w:endnoteReference w:id="69"/>
      </w:r>
      <w:r w:rsidRPr="00C4031D">
        <w:rPr>
          <w:vertAlign w:val="superscript"/>
        </w:rPr>
        <w:t xml:space="preserve"> </w:t>
      </w:r>
      <w:r w:rsidR="009253DC">
        <w:rPr>
          <w:rFonts w:ascii="ZWAdobeF" w:hAnsi="ZWAdobeF" w:cs="ZWAdobeF"/>
          <w:color w:val="auto"/>
          <w:sz w:val="2"/>
          <w:szCs w:val="2"/>
        </w:rPr>
        <w:t>68F</w:t>
      </w:r>
      <w:r w:rsidR="00FD3F37" w:rsidRPr="00C4031D">
        <w:rPr>
          <w:vertAlign w:val="superscript"/>
        </w:rPr>
        <w:endnoteReference w:id="70"/>
      </w:r>
    </w:p>
    <w:p w14:paraId="6C66CB16" w14:textId="77777777" w:rsidR="00FD3F37" w:rsidRPr="00C4031D" w:rsidRDefault="7279DF3A" w:rsidP="00314F78">
      <w:r w:rsidRPr="00C4031D">
        <w:t>There are three core methods to address unplanned weight loss through primary prevention, secondary prevention and tertiary prevention.</w:t>
      </w:r>
    </w:p>
    <w:p w14:paraId="3E89FA86" w14:textId="264DF169" w:rsidR="00FD3F37" w:rsidRPr="00E03151" w:rsidRDefault="00FD3F37" w:rsidP="00C4031D">
      <w:pPr>
        <w:pStyle w:val="Heading3"/>
      </w:pPr>
      <w:r w:rsidRPr="00D51A3F">
        <w:t>Primary prevention of unplanned weight loss</w:t>
      </w:r>
    </w:p>
    <w:p w14:paraId="4E5CBBB9" w14:textId="5A7069E0" w:rsidR="00FD3F37" w:rsidRPr="00C4031D" w:rsidRDefault="7279DF3A" w:rsidP="00314F78">
      <w:r w:rsidRPr="00C4031D">
        <w:t>Primary prevention seeks to reduce health risks before they occur. This means ensuring each aged care recipient has the opportunity and support to maintain a</w:t>
      </w:r>
      <w:r w:rsidR="7A99C56E" w:rsidRPr="00C4031D">
        <w:t>ppropriate</w:t>
      </w:r>
      <w:r w:rsidRPr="00C4031D">
        <w:t xml:space="preserve"> nutritional intake using a food-first approach. The food-first approach helps to support nutritional intake through using every-day nourishing foods and drinks that each consumer likes, and ensuring they are actually consumed</w:t>
      </w:r>
      <w:r w:rsidRPr="00C4031D">
        <w:rPr>
          <w:vertAlign w:val="superscript"/>
        </w:rPr>
        <w:t>.</w:t>
      </w:r>
      <w:r w:rsidR="009253DC">
        <w:rPr>
          <w:rFonts w:ascii="ZWAdobeF" w:hAnsi="ZWAdobeF" w:cs="ZWAdobeF"/>
          <w:color w:val="auto"/>
          <w:sz w:val="2"/>
          <w:szCs w:val="2"/>
        </w:rPr>
        <w:t>69F</w:t>
      </w:r>
      <w:r w:rsidR="00FD3F37" w:rsidRPr="00C4031D">
        <w:rPr>
          <w:vertAlign w:val="superscript"/>
        </w:rPr>
        <w:endnoteReference w:id="71"/>
      </w:r>
      <w:r w:rsidRPr="00C4031D">
        <w:rPr>
          <w:vertAlign w:val="superscript"/>
        </w:rPr>
        <w:t xml:space="preserve"> </w:t>
      </w:r>
      <w:r w:rsidR="009253DC">
        <w:rPr>
          <w:rFonts w:ascii="ZWAdobeF" w:hAnsi="ZWAdobeF" w:cs="ZWAdobeF"/>
          <w:color w:val="auto"/>
          <w:sz w:val="2"/>
          <w:szCs w:val="2"/>
        </w:rPr>
        <w:t>70F</w:t>
      </w:r>
      <w:r w:rsidR="00FD3F37" w:rsidRPr="00C4031D">
        <w:rPr>
          <w:vertAlign w:val="superscript"/>
        </w:rPr>
        <w:endnoteReference w:id="72"/>
      </w:r>
      <w:r w:rsidRPr="00C4031D">
        <w:rPr>
          <w:vertAlign w:val="superscript"/>
        </w:rPr>
        <w:t xml:space="preserve"> </w:t>
      </w:r>
      <w:r w:rsidR="009253DC">
        <w:rPr>
          <w:rFonts w:ascii="ZWAdobeF" w:hAnsi="ZWAdobeF" w:cs="ZWAdobeF"/>
          <w:color w:val="auto"/>
          <w:sz w:val="2"/>
          <w:szCs w:val="2"/>
        </w:rPr>
        <w:t>71F</w:t>
      </w:r>
      <w:r w:rsidR="00FD3F37" w:rsidRPr="00C4031D">
        <w:rPr>
          <w:vertAlign w:val="superscript"/>
        </w:rPr>
        <w:endnoteReference w:id="73"/>
      </w:r>
    </w:p>
    <w:p w14:paraId="569A8844" w14:textId="259A9CD7" w:rsidR="00FD3F37" w:rsidRPr="00C4031D" w:rsidRDefault="7279DF3A" w:rsidP="00314F78">
      <w:r w:rsidRPr="00C4031D">
        <w:t>To support a food-first approach, and deliver a positive mealtime environment, it is important that different professionals come together to create a multidisciplinary nutrition policy in the context of the individual’s preferences, choices and cultural factors. This should include assessment of why appetite is poor or food is not being eaten, and considering food, nutrition, and a mealtime experience all together to help care recipients maintain a healthy weight.</w:t>
      </w:r>
      <w:r w:rsidR="009253DC">
        <w:rPr>
          <w:rFonts w:ascii="ZWAdobeF" w:hAnsi="ZWAdobeF" w:cs="ZWAdobeF"/>
          <w:color w:val="auto"/>
          <w:sz w:val="2"/>
          <w:szCs w:val="2"/>
        </w:rPr>
        <w:t>72F</w:t>
      </w:r>
      <w:r w:rsidR="00FD3F37" w:rsidRPr="00C4031D">
        <w:rPr>
          <w:vertAlign w:val="superscript"/>
        </w:rPr>
        <w:endnoteReference w:id="74"/>
      </w:r>
    </w:p>
    <w:p w14:paraId="016A6D4D" w14:textId="17332250" w:rsidR="00FD3F37" w:rsidRPr="00E03151" w:rsidRDefault="00FD3F37" w:rsidP="00C4031D">
      <w:pPr>
        <w:pStyle w:val="Heading3"/>
      </w:pPr>
      <w:r w:rsidRPr="00D51A3F">
        <w:t>Secondary prevention of unplanned weight loss</w:t>
      </w:r>
    </w:p>
    <w:p w14:paraId="6AEFD938" w14:textId="3EB3723F" w:rsidR="00FD3F37" w:rsidRPr="00C4031D" w:rsidRDefault="7279DF3A" w:rsidP="00314F78">
      <w:r w:rsidRPr="00C4031D">
        <w:t>Secondary prevention seeks to reduce the impact of risk or threats to health. For unplanned weight loss, this means ensuring staff have the right training, care recipients are screened for early identification of causes of poor intake, weight loss and implementing strategies that improve health and day-to-day life.</w:t>
      </w:r>
      <w:r w:rsidR="007F32E3" w:rsidRPr="00C4031D">
        <w:t xml:space="preserve"> All care recipients should be </w:t>
      </w:r>
      <w:r w:rsidR="005670AB" w:rsidRPr="00C4031D">
        <w:t xml:space="preserve">routinely </w:t>
      </w:r>
      <w:r w:rsidR="007F32E3" w:rsidRPr="00C4031D">
        <w:t>screened for malnutrition using a validated malnutrition screening tool</w:t>
      </w:r>
      <w:r w:rsidR="00F5231A" w:rsidRPr="00C4031D">
        <w:t xml:space="preserve"> (</w:t>
      </w:r>
      <w:hyperlink w:anchor="Malnutrition" w:history="1">
        <w:r w:rsidR="00F5231A" w:rsidRPr="00C4031D">
          <w:rPr>
            <w:rStyle w:val="Hyperlink"/>
          </w:rPr>
          <w:t xml:space="preserve">see page </w:t>
        </w:r>
        <w:r w:rsidR="004D2F44" w:rsidRPr="00C4031D">
          <w:rPr>
            <w:rStyle w:val="Hyperlink"/>
          </w:rPr>
          <w:t>30 for examples</w:t>
        </w:r>
      </w:hyperlink>
      <w:r w:rsidR="004D2F44" w:rsidRPr="00C4031D">
        <w:t>)</w:t>
      </w:r>
      <w:r w:rsidR="007F32E3" w:rsidRPr="00C4031D">
        <w:t>.</w:t>
      </w:r>
    </w:p>
    <w:p w14:paraId="0E6D26AB" w14:textId="1FB81063" w:rsidR="00FD3F37" w:rsidRPr="00E03151" w:rsidRDefault="00FD3F37" w:rsidP="00C4031D">
      <w:pPr>
        <w:pStyle w:val="Heading3"/>
      </w:pPr>
      <w:r w:rsidRPr="00D51A3F">
        <w:t>Tertiary prevention of unplanned weight loss</w:t>
      </w:r>
    </w:p>
    <w:p w14:paraId="0C712DBD" w14:textId="46C541D2" w:rsidR="00FD3F37" w:rsidRPr="00C4031D" w:rsidRDefault="7279DF3A" w:rsidP="00314F78">
      <w:r w:rsidRPr="00C4031D">
        <w:t>Tertiary prevention seeks to minimise the impact of ongoing threats to health. This may involve strategies that reduce the risk of the negative effects of unplanned weight loss, such as minimising the risk of acquiring pressure injuries and discomfort.</w:t>
      </w:r>
    </w:p>
    <w:p w14:paraId="6CF4674D" w14:textId="2AC0B51A" w:rsidR="00FD3F37" w:rsidRPr="00C4031D" w:rsidRDefault="7279DF3A" w:rsidP="00314F78">
      <w:r w:rsidRPr="00C4031D">
        <w:t>Care recipients experiencing unplanned weight loss should be under the care of an appropriately skilled team of health professionals including a Dietitian. Care should include a robust, monitored individualised nutrition care plan, completion of appropriate risk assessments, and the development and implementation of plans to manage the adverse consequences of unplanned weight loss.</w:t>
      </w:r>
    </w:p>
    <w:p w14:paraId="20F096FD" w14:textId="77777777" w:rsidR="0030595A" w:rsidRPr="000217D8" w:rsidRDefault="0030595A" w:rsidP="00314F78">
      <w:r w:rsidRPr="000217D8">
        <w:br w:type="page"/>
      </w:r>
    </w:p>
    <w:p w14:paraId="772BE54A" w14:textId="735957B7" w:rsidR="00FD3F37" w:rsidRPr="00E03151" w:rsidRDefault="00FD3F37" w:rsidP="00B82C6B">
      <w:pPr>
        <w:pStyle w:val="Heading3"/>
      </w:pPr>
      <w:r w:rsidRPr="00D51A3F">
        <w:lastRenderedPageBreak/>
        <w:t>Prevention strategies for unplanned weight loss</w:t>
      </w:r>
    </w:p>
    <w:p w14:paraId="6A082C82" w14:textId="187AF44D" w:rsidR="00FD3F37" w:rsidRPr="00B82C6B" w:rsidRDefault="00FD3F37" w:rsidP="00314F78">
      <w:r w:rsidRPr="00B82C6B">
        <w:t>The checklists below provide strategies that may be used to prevent unplanned weight loss.</w:t>
      </w:r>
    </w:p>
    <w:p w14:paraId="56A07554" w14:textId="39009BED" w:rsidR="00FD3F37" w:rsidRPr="00B82C6B" w:rsidRDefault="0054799B" w:rsidP="00314F78">
      <w:pPr>
        <w:pStyle w:val="Caption"/>
      </w:pPr>
      <w:r w:rsidRPr="00B82C6B">
        <w:t>FIGURE </w:t>
      </w:r>
      <w:r w:rsidR="00FD3F37" w:rsidRPr="00B82C6B">
        <w:fldChar w:fldCharType="begin"/>
      </w:r>
      <w:r w:rsidR="00FD3F37" w:rsidRPr="00B82C6B">
        <w:instrText>SEQ Figure \* ARABIC</w:instrText>
      </w:r>
      <w:r w:rsidR="00FD3F37" w:rsidRPr="00B82C6B">
        <w:fldChar w:fldCharType="separate"/>
      </w:r>
      <w:r w:rsidR="003A30D7">
        <w:rPr>
          <w:noProof/>
        </w:rPr>
        <w:t>16</w:t>
      </w:r>
      <w:r w:rsidR="00FD3F37" w:rsidRPr="00B82C6B">
        <w:fldChar w:fldCharType="end"/>
      </w:r>
      <w:r w:rsidRPr="00B82C6B">
        <w:t>: CHECKLIST FOR THE PREVENTION OF UNPLANNED WEIGHT LOSS</w:t>
      </w:r>
    </w:p>
    <w:p w14:paraId="64C20C41" w14:textId="602D0ED5" w:rsidR="00FD3F37" w:rsidRPr="002765D3" w:rsidRDefault="00CF0345" w:rsidP="00314F78">
      <w:pPr>
        <w:pStyle w:val="ChecklistHeading"/>
      </w:pPr>
      <w:r w:rsidRPr="002765D3">
        <w:rPr>
          <w:noProof/>
        </w:rPr>
        <w:drawing>
          <wp:anchor distT="0" distB="0" distL="114300" distR="114300" simplePos="0" relativeHeight="251658317" behindDoc="0" locked="0" layoutInCell="1" allowOverlap="1" wp14:anchorId="0EAF4C4C" wp14:editId="04EEF188">
            <wp:simplePos x="0" y="0"/>
            <wp:positionH relativeFrom="column">
              <wp:posOffset>-47435</wp:posOffset>
            </wp:positionH>
            <wp:positionV relativeFrom="paragraph">
              <wp:posOffset>292735</wp:posOffset>
            </wp:positionV>
            <wp:extent cx="539115" cy="539750"/>
            <wp:effectExtent l="0" t="0" r="0" b="0"/>
            <wp:wrapSquare wrapText="bothSides"/>
            <wp:docPr id="118" name="Picture 13" descr="P355#y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3" descr="P355#y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115" cy="539750"/>
                    </a:xfrm>
                    <a:prstGeom prst="rect">
                      <a:avLst/>
                    </a:prstGeom>
                  </pic:spPr>
                </pic:pic>
              </a:graphicData>
            </a:graphic>
          </wp:anchor>
        </w:drawing>
      </w:r>
      <w:r w:rsidR="00FD3F37" w:rsidRPr="002765D3">
        <w:t>Checklist for the prevention of unplanned weight loss</w:t>
      </w:r>
    </w:p>
    <w:p w14:paraId="035CF34E" w14:textId="77777777" w:rsidR="00FD3F37" w:rsidRPr="002765D3" w:rsidRDefault="00FD3F37" w:rsidP="00314F78">
      <w:pPr>
        <w:sectPr w:rsidR="00FD3F37" w:rsidRPr="002765D3" w:rsidSect="00157BB5">
          <w:headerReference w:type="even" r:id="rId98"/>
          <w:headerReference w:type="default" r:id="rId99"/>
          <w:headerReference w:type="first" r:id="rId100"/>
          <w:endnotePr>
            <w:numFmt w:val="decimal"/>
          </w:endnotePr>
          <w:pgSz w:w="11906" w:h="16838" w:code="9"/>
          <w:pgMar w:top="1701" w:right="1134" w:bottom="1134" w:left="1134" w:header="567" w:footer="567" w:gutter="0"/>
          <w:cols w:space="567"/>
          <w:docGrid w:linePitch="360"/>
        </w:sectPr>
      </w:pPr>
    </w:p>
    <w:p w14:paraId="5B574831" w14:textId="54411770" w:rsidR="000E134D" w:rsidRPr="00C06C9A" w:rsidRDefault="00CF0345" w:rsidP="00314F78">
      <w:pPr>
        <w:pStyle w:val="TableHeader"/>
      </w:pPr>
      <w:r w:rsidRPr="002765D3">
        <w:rPr>
          <w:noProof/>
        </w:rPr>
        <w:drawing>
          <wp:anchor distT="0" distB="0" distL="114300" distR="114300" simplePos="0" relativeHeight="251658316" behindDoc="0" locked="0" layoutInCell="1" allowOverlap="1" wp14:anchorId="230C57CA" wp14:editId="3AE4BA21">
            <wp:simplePos x="0" y="0"/>
            <wp:positionH relativeFrom="column">
              <wp:posOffset>2665095</wp:posOffset>
            </wp:positionH>
            <wp:positionV relativeFrom="paragraph">
              <wp:posOffset>971740</wp:posOffset>
            </wp:positionV>
            <wp:extent cx="539496" cy="540000"/>
            <wp:effectExtent l="0" t="0" r="0" b="0"/>
            <wp:wrapSquare wrapText="bothSides"/>
            <wp:docPr id="119" name="Picture 14" descr="P357#y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4" descr="P357#y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000E134D" w:rsidRPr="002765D3">
        <w:t>Primary prevention of unplanned weight loss and malnutrition</w:t>
      </w:r>
    </w:p>
    <w:p w14:paraId="3E7974C4" w14:textId="77777777" w:rsidR="000E134D" w:rsidRPr="00B82C6B" w:rsidRDefault="000E134D" w:rsidP="00314F78">
      <w:pPr>
        <w:pStyle w:val="ListBullet"/>
      </w:pPr>
      <w:r w:rsidRPr="00B82C6B">
        <w:t>Taking a food-first approach</w:t>
      </w:r>
    </w:p>
    <w:p w14:paraId="54814B6F" w14:textId="77777777" w:rsidR="000E134D" w:rsidRPr="00B82C6B" w:rsidRDefault="35CC39CF" w:rsidP="00314F78">
      <w:pPr>
        <w:pStyle w:val="ListBullet"/>
      </w:pPr>
      <w:r w:rsidRPr="00B82C6B">
        <w:t>Developing and implementing an integrated food and nutrition policy that covers hospitality, allied health, clinical care and quality professionals</w:t>
      </w:r>
    </w:p>
    <w:p w14:paraId="7F37BF0E" w14:textId="77777777" w:rsidR="000E134D" w:rsidRPr="00B82C6B" w:rsidRDefault="000E134D" w:rsidP="00314F78">
      <w:pPr>
        <w:pStyle w:val="ListBullet"/>
      </w:pPr>
      <w:r w:rsidRPr="00B82C6B">
        <w:t>Consider the mealtime environment, including understanding if:</w:t>
      </w:r>
    </w:p>
    <w:p w14:paraId="18A98535" w14:textId="77777777" w:rsidR="000E134D" w:rsidRPr="00DD0D1B" w:rsidRDefault="000E134D" w:rsidP="00314F78">
      <w:pPr>
        <w:pStyle w:val="ListBullet2"/>
      </w:pPr>
      <w:r w:rsidRPr="00DD0D1B">
        <w:t>the dining area is clean, tidy, and well-lit</w:t>
      </w:r>
    </w:p>
    <w:p w14:paraId="3A680551" w14:textId="77777777" w:rsidR="000E134D" w:rsidRPr="00DD0D1B" w:rsidRDefault="000E134D" w:rsidP="00314F78">
      <w:pPr>
        <w:pStyle w:val="ListBullet2"/>
      </w:pPr>
      <w:r w:rsidRPr="00DD0D1B">
        <w:t>the dining area is arranged in a communal or family-like way</w:t>
      </w:r>
    </w:p>
    <w:p w14:paraId="43A0BDB5" w14:textId="77777777" w:rsidR="000E134D" w:rsidRPr="00DD0D1B" w:rsidRDefault="35CC39CF" w:rsidP="00314F78">
      <w:pPr>
        <w:pStyle w:val="ListBullet2"/>
      </w:pPr>
      <w:r w:rsidRPr="189D3658">
        <w:t>care recipients who require meal-time support are provided this support</w:t>
      </w:r>
    </w:p>
    <w:p w14:paraId="089A94F6" w14:textId="77777777" w:rsidR="000E134D" w:rsidRPr="00DD0D1B" w:rsidRDefault="000E134D" w:rsidP="00314F78">
      <w:pPr>
        <w:pStyle w:val="ListBullet2"/>
      </w:pPr>
      <w:r w:rsidRPr="00DD0D1B">
        <w:t>care recipients have enough time to eat at a time and pace of their choosing</w:t>
      </w:r>
    </w:p>
    <w:p w14:paraId="2D514A6E" w14:textId="77777777" w:rsidR="000E134D" w:rsidRPr="00DD0D1B" w:rsidRDefault="000E134D" w:rsidP="00314F78">
      <w:pPr>
        <w:pStyle w:val="ListBullet2"/>
      </w:pPr>
      <w:r w:rsidRPr="00DD0D1B">
        <w:t>snacks are provided when care recipients need to eat more frequent smaller meals</w:t>
      </w:r>
    </w:p>
    <w:p w14:paraId="22A1261E" w14:textId="77777777" w:rsidR="000E134D" w:rsidRPr="002765D3" w:rsidRDefault="35CC39CF" w:rsidP="00314F78">
      <w:pPr>
        <w:pStyle w:val="ListBullet"/>
      </w:pPr>
      <w:r w:rsidRPr="189D3658">
        <w:t>Care recipients are provided with tailored advice and information on maintaining a healthy weight</w:t>
      </w:r>
    </w:p>
    <w:p w14:paraId="1B4023AB" w14:textId="77777777" w:rsidR="000E134D" w:rsidRPr="002765D3" w:rsidRDefault="000E134D" w:rsidP="00314F78">
      <w:pPr>
        <w:pStyle w:val="ListBullet"/>
      </w:pPr>
      <w:r w:rsidRPr="002765D3">
        <w:t>The provider uses and acts on a holistic food, nutrition, and meal-time experience tool</w:t>
      </w:r>
    </w:p>
    <w:p w14:paraId="06A517A3" w14:textId="77777777" w:rsidR="000E134D" w:rsidRPr="002765D3" w:rsidRDefault="35CC39CF" w:rsidP="00314F78">
      <w:pPr>
        <w:pStyle w:val="ListBullet"/>
      </w:pPr>
      <w:r w:rsidRPr="189D3658">
        <w:t>A mechanism to monitor and detect when sufficient food is not consumed, and to respond early</w:t>
      </w:r>
    </w:p>
    <w:p w14:paraId="06888AC1" w14:textId="77777777" w:rsidR="000E134D" w:rsidRPr="002765D3" w:rsidRDefault="35CC39CF" w:rsidP="00314F78">
      <w:pPr>
        <w:pStyle w:val="ListBullet"/>
      </w:pPr>
      <w:r w:rsidRPr="189D3658">
        <w:t xml:space="preserve">Ongoing consultation and feedback from each care recipient about their food and </w:t>
      </w:r>
      <w:r w:rsidRPr="189D3658">
        <w:t>eating experience and responding to issues identified</w:t>
      </w:r>
    </w:p>
    <w:p w14:paraId="294F269D" w14:textId="6160524E" w:rsidR="000E134D" w:rsidRPr="00C06C9A" w:rsidRDefault="000E134D" w:rsidP="00314F78">
      <w:pPr>
        <w:pStyle w:val="TableHeader"/>
      </w:pPr>
      <w:r w:rsidRPr="002765D3">
        <w:t>S</w:t>
      </w:r>
      <w:r w:rsidRPr="00C06C9A">
        <w:t>econdary prevention of unplanned weight loss and malnutrition</w:t>
      </w:r>
    </w:p>
    <w:p w14:paraId="5C8914B9" w14:textId="77777777" w:rsidR="000E134D" w:rsidRPr="002765D3" w:rsidRDefault="000E134D" w:rsidP="00314F78">
      <w:pPr>
        <w:pStyle w:val="ListBullet"/>
      </w:pPr>
      <w:r w:rsidRPr="002765D3">
        <w:t>Care recipients are screened for risk of malnutrition using a validated screening tool at assessment prior to entry, at the beginning of care, and on a regular basis</w:t>
      </w:r>
    </w:p>
    <w:p w14:paraId="11ECE62F" w14:textId="77777777" w:rsidR="000E134D" w:rsidRPr="002765D3" w:rsidRDefault="000E134D" w:rsidP="00314F78">
      <w:pPr>
        <w:pStyle w:val="ListBullet"/>
      </w:pPr>
      <w:r w:rsidRPr="002765D3">
        <w:t>Care recipients who are malnourished, or at risk of malnutrition, have a multidisciplinary management care plan that aims to meet their needs using a food-first approach</w:t>
      </w:r>
    </w:p>
    <w:p w14:paraId="48475EE8" w14:textId="77777777" w:rsidR="000E134D" w:rsidRPr="002765D3" w:rsidRDefault="000E134D" w:rsidP="00314F78">
      <w:pPr>
        <w:pStyle w:val="ListBullet"/>
      </w:pPr>
      <w:r w:rsidRPr="002765D3">
        <w:t xml:space="preserve">Each care recipient who is screened for malnutrition (or their </w:t>
      </w:r>
      <w:r>
        <w:t xml:space="preserve">family or </w:t>
      </w:r>
      <w:r w:rsidRPr="002765D3">
        <w:t>representative) have their results and nutrition support goals documented in writing</w:t>
      </w:r>
    </w:p>
    <w:p w14:paraId="7510CF35" w14:textId="77777777" w:rsidR="000E134D" w:rsidRPr="002765D3" w:rsidRDefault="000E134D" w:rsidP="00314F78">
      <w:pPr>
        <w:pStyle w:val="ListBullet"/>
      </w:pPr>
      <w:r w:rsidRPr="002765D3">
        <w:t>Care recipients have their nutrition support goals and needs reviewed at planned intervals</w:t>
      </w:r>
    </w:p>
    <w:p w14:paraId="20EA17CC" w14:textId="77777777" w:rsidR="000E134D" w:rsidRPr="002765D3" w:rsidRDefault="000E134D" w:rsidP="00314F78">
      <w:pPr>
        <w:pStyle w:val="ListBullet"/>
      </w:pPr>
      <w:r w:rsidRPr="002765D3">
        <w:t>Care recipients who manage their own artificial feeding support or those caring for them have training to manage their nutrition needs</w:t>
      </w:r>
    </w:p>
    <w:p w14:paraId="4F9FA42E" w14:textId="77777777" w:rsidR="000E134D" w:rsidRPr="002765D3" w:rsidRDefault="35CC39CF" w:rsidP="00314F78">
      <w:pPr>
        <w:pStyle w:val="ListBullet"/>
      </w:pPr>
      <w:r w:rsidRPr="189D3658">
        <w:t>Staff receive annual training on identifying and managing risk of malnutrition and malnutrition using a validated tool</w:t>
      </w:r>
    </w:p>
    <w:p w14:paraId="3A6A65F5" w14:textId="77777777" w:rsidR="000E134D" w:rsidRPr="002765D3" w:rsidRDefault="35CC39CF" w:rsidP="00314F78">
      <w:pPr>
        <w:pStyle w:val="ListBullet"/>
      </w:pPr>
      <w:r w:rsidRPr="189D3658">
        <w:t>Policies and guidelines support compliance with aged care standards, and governance processes monitor this compliance</w:t>
      </w:r>
    </w:p>
    <w:p w14:paraId="1BB19844" w14:textId="0F4A3FF8" w:rsidR="000E134D" w:rsidRPr="00C06C9A" w:rsidRDefault="00CF0345" w:rsidP="00314F78">
      <w:pPr>
        <w:pStyle w:val="TableHeader"/>
      </w:pPr>
      <w:r w:rsidRPr="002765D3">
        <w:rPr>
          <w:noProof/>
        </w:rPr>
        <w:lastRenderedPageBreak/>
        <w:drawing>
          <wp:anchor distT="0" distB="0" distL="114300" distR="114300" simplePos="0" relativeHeight="251658318" behindDoc="0" locked="0" layoutInCell="1" allowOverlap="1" wp14:anchorId="2E84D8B3" wp14:editId="0E4B0EB1">
            <wp:simplePos x="0" y="0"/>
            <wp:positionH relativeFrom="leftMargin">
              <wp:posOffset>720915</wp:posOffset>
            </wp:positionH>
            <wp:positionV relativeFrom="paragraph">
              <wp:posOffset>0</wp:posOffset>
            </wp:positionV>
            <wp:extent cx="539496" cy="540000"/>
            <wp:effectExtent l="0" t="0" r="0" b="0"/>
            <wp:wrapSquare wrapText="bothSides"/>
            <wp:docPr id="120" name="Picture 15" descr="P378#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5" descr="P378#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000E134D" w:rsidRPr="002765D3">
        <w:t>Tertiary prevention of unplanned weight loss and malnutrition</w:t>
      </w:r>
    </w:p>
    <w:p w14:paraId="072B24E0" w14:textId="77777777" w:rsidR="000E134D" w:rsidRPr="002765D3" w:rsidRDefault="000E134D" w:rsidP="00314F78">
      <w:pPr>
        <w:pStyle w:val="ListBullet"/>
      </w:pPr>
      <w:r w:rsidRPr="002765D3">
        <w:t xml:space="preserve">Care recipients experiencing negative effects of unplanned weight loss are under the care of an appropriately skilled, multidisciplinary team of health </w:t>
      </w:r>
      <w:r w:rsidRPr="002765D3">
        <w:t>professionals including a Dietitian.</w:t>
      </w:r>
    </w:p>
    <w:p w14:paraId="1D325362" w14:textId="77777777" w:rsidR="000E134D" w:rsidRPr="002765D3" w:rsidRDefault="000E134D" w:rsidP="00314F78">
      <w:pPr>
        <w:pStyle w:val="ListBullet"/>
      </w:pPr>
      <w:r w:rsidRPr="002765D3">
        <w:t>Care recipients are receiving treatment for the adverse consequences of unplanned weight loss</w:t>
      </w:r>
    </w:p>
    <w:p w14:paraId="068FA1FA" w14:textId="6C75EF48" w:rsidR="2060610A" w:rsidRDefault="2060610A" w:rsidP="00314F78"/>
    <w:p w14:paraId="767FBA3F" w14:textId="77777777" w:rsidR="00D64CEB" w:rsidRPr="002765D3" w:rsidRDefault="00D64CEB" w:rsidP="00314F78">
      <w:pPr>
        <w:sectPr w:rsidR="00D64CEB" w:rsidRPr="002765D3" w:rsidSect="00E223F8">
          <w:endnotePr>
            <w:numFmt w:val="decimal"/>
          </w:endnotePr>
          <w:type w:val="continuous"/>
          <w:pgSz w:w="11906" w:h="16838" w:code="9"/>
          <w:pgMar w:top="1701" w:right="1134" w:bottom="1134" w:left="2098" w:header="567" w:footer="567" w:gutter="0"/>
          <w:cols w:num="2" w:space="1418"/>
          <w:docGrid w:linePitch="360"/>
        </w:sectPr>
      </w:pPr>
    </w:p>
    <w:p w14:paraId="78B97616" w14:textId="7AF079DB" w:rsidR="00FD3F37" w:rsidRPr="002765D3" w:rsidRDefault="00FD3F37" w:rsidP="00314F78"/>
    <w:p w14:paraId="7DF41416" w14:textId="77777777" w:rsidR="00FD3F37" w:rsidRPr="002765D3" w:rsidRDefault="00FD3F37" w:rsidP="00314F78">
      <w:pPr>
        <w:sectPr w:rsidR="00FD3F37" w:rsidRPr="002765D3" w:rsidSect="00404EAB">
          <w:endnotePr>
            <w:numFmt w:val="decimal"/>
          </w:endnotePr>
          <w:type w:val="continuous"/>
          <w:pgSz w:w="11906" w:h="16838" w:code="9"/>
          <w:pgMar w:top="1701" w:right="1134" w:bottom="1134" w:left="1134" w:header="567" w:footer="567" w:gutter="0"/>
          <w:cols w:num="2" w:space="567"/>
          <w:docGrid w:linePitch="360"/>
        </w:sectPr>
      </w:pPr>
    </w:p>
    <w:p w14:paraId="17B397FD" w14:textId="49E9F8AD" w:rsidR="00FD3F37" w:rsidRPr="00B82C6B" w:rsidRDefault="00F506A7" w:rsidP="00314F78">
      <w:pPr>
        <w:pStyle w:val="Caption"/>
      </w:pPr>
      <w:r w:rsidRPr="00B82C6B">
        <w:lastRenderedPageBreak/>
        <w:t>FIGURE </w:t>
      </w:r>
      <w:r w:rsidR="00FD3F37" w:rsidRPr="00B82C6B">
        <w:fldChar w:fldCharType="begin"/>
      </w:r>
      <w:r w:rsidR="00FD3F37" w:rsidRPr="00B82C6B">
        <w:instrText>SEQ Figure \* ARABIC</w:instrText>
      </w:r>
      <w:r w:rsidR="00FD3F37" w:rsidRPr="00B82C6B">
        <w:fldChar w:fldCharType="separate"/>
      </w:r>
      <w:r w:rsidR="003A30D7">
        <w:rPr>
          <w:noProof/>
        </w:rPr>
        <w:t>17</w:t>
      </w:r>
      <w:r w:rsidR="00FD3F37" w:rsidRPr="00B82C6B">
        <w:fldChar w:fldCharType="end"/>
      </w:r>
      <w:r w:rsidRPr="00B82C6B">
        <w:t>: PREVENTION STRATEGIES FOR UNPLANNED WEIGHT LOSS</w:t>
      </w:r>
      <w:r w:rsidR="009253DC">
        <w:rPr>
          <w:rFonts w:ascii="ZWAdobeF" w:hAnsi="ZWAdobeF" w:cs="ZWAdobeF"/>
          <w:b w:val="0"/>
          <w:color w:val="auto"/>
          <w:sz w:val="2"/>
          <w:szCs w:val="2"/>
        </w:rPr>
        <w:t>73F</w:t>
      </w:r>
      <w:r w:rsidR="00FD3F37" w:rsidRPr="00454D17">
        <w:rPr>
          <w:rStyle w:val="EndnoteReference"/>
        </w:rPr>
        <w:endnoteReference w:id="75"/>
      </w:r>
    </w:p>
    <w:p w14:paraId="6F8558F6" w14:textId="6EBC13B2" w:rsidR="00C72E1A" w:rsidRPr="004A09AA" w:rsidRDefault="00C72E1A" w:rsidP="00314F78">
      <w:r w:rsidRPr="004A09AA">
        <w:rPr>
          <w:noProof/>
        </w:rPr>
        <w:drawing>
          <wp:inline distT="0" distB="0" distL="0" distR="0" wp14:anchorId="087F446B" wp14:editId="0D4F784A">
            <wp:extent cx="6480000" cy="4765592"/>
            <wp:effectExtent l="0" t="0" r="0" b="0"/>
            <wp:docPr id="1882" name="Picture 1882" descr="P3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P386#yIS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80000" cy="4765592"/>
                    </a:xfrm>
                    <a:prstGeom prst="rect">
                      <a:avLst/>
                    </a:prstGeom>
                    <a:noFill/>
                  </pic:spPr>
                </pic:pic>
              </a:graphicData>
            </a:graphic>
          </wp:inline>
        </w:drawing>
      </w:r>
    </w:p>
    <w:p w14:paraId="5F3192A1" w14:textId="13B5DB5C" w:rsidR="00FD3F37" w:rsidRPr="00B82C6B" w:rsidRDefault="2C84FBEF" w:rsidP="0059348C">
      <w:pPr>
        <w:pStyle w:val="Heading2"/>
      </w:pPr>
      <w:r w:rsidRPr="00B82C6B">
        <w:t>Quality improvement mechanisms</w:t>
      </w:r>
    </w:p>
    <w:p w14:paraId="0BD31B8F" w14:textId="187F353E" w:rsidR="00FD3F37" w:rsidRPr="00B82C6B" w:rsidRDefault="00FD3F37" w:rsidP="00314F78">
      <w:r w:rsidRPr="00B82C6B">
        <w:t>Quality improvement can help providers reduce the risk of care recipients experiencing unplanned weight loss and malnutrition.</w:t>
      </w:r>
    </w:p>
    <w:p w14:paraId="3CD4F419" w14:textId="0A2C1C98" w:rsidR="00FD3F37" w:rsidRPr="00B82C6B" w:rsidRDefault="00FD3F37" w:rsidP="00314F78">
      <w:r w:rsidRPr="00B82C6B">
        <w:t>Quality improvement activities should be ongoing and part of business-as-usual for approved providers. QI Program data can help prompt when a specific quality improvement activity should be undertaken. It is important to review QI Program data reports through</w:t>
      </w:r>
      <w:r w:rsidR="00B26274" w:rsidRPr="00B82C6B">
        <w:t xml:space="preserve"> GPMS</w:t>
      </w:r>
      <w:r w:rsidRPr="00B82C6B">
        <w:t xml:space="preserve"> and compare against national </w:t>
      </w:r>
      <w:r w:rsidR="0084075D" w:rsidRPr="00B82C6B">
        <w:t>averages</w:t>
      </w:r>
      <w:r w:rsidRPr="00B82C6B">
        <w:t xml:space="preserve"> and other services to understand if unplanned weight loss and malnutrition is an issue within your organisation.</w:t>
      </w:r>
    </w:p>
    <w:p w14:paraId="6C531019" w14:textId="1237AB97" w:rsidR="00157E6B" w:rsidRPr="00B82C6B" w:rsidRDefault="7279DF3A" w:rsidP="00314F78">
      <w:r w:rsidRPr="00B82C6B">
        <w:t xml:space="preserve">The </w:t>
      </w:r>
      <w:r w:rsidRPr="00B82C6B">
        <w:rPr>
          <w:rStyle w:val="Strong"/>
        </w:rPr>
        <w:t>Plan-Do-Check-Act tool</w:t>
      </w:r>
      <w:r w:rsidR="00EE70B4" w:rsidRPr="00B82C6B">
        <w:t xml:space="preserve"> (section 2.3)</w:t>
      </w:r>
      <w:r w:rsidRPr="00B82C6B">
        <w:t xml:space="preserve"> is a useful tool to plan, deliver and monitor quality improvement activities focused on unplanned weight loss.</w:t>
      </w:r>
    </w:p>
    <w:p w14:paraId="28A02822" w14:textId="6EB8774B" w:rsidR="00FD3F37" w:rsidRPr="00094158" w:rsidRDefault="00362B9A" w:rsidP="00B82C6B">
      <w:pPr>
        <w:pStyle w:val="Heading3"/>
      </w:pPr>
      <w:r w:rsidRPr="002765D3">
        <w:rPr>
          <w:noProof/>
          <w:lang w:eastAsia="en-AU"/>
        </w:rPr>
        <mc:AlternateContent>
          <mc:Choice Requires="wps">
            <w:drawing>
              <wp:anchor distT="0" distB="0" distL="114300" distR="114300" simplePos="0" relativeHeight="251658240" behindDoc="1" locked="0" layoutInCell="1" allowOverlap="1" wp14:anchorId="239CC9BA" wp14:editId="006B787F">
                <wp:simplePos x="0" y="0"/>
                <wp:positionH relativeFrom="margin">
                  <wp:posOffset>-149860</wp:posOffset>
                </wp:positionH>
                <wp:positionV relativeFrom="margin">
                  <wp:posOffset>726964</wp:posOffset>
                </wp:positionV>
                <wp:extent cx="6127115" cy="878401"/>
                <wp:effectExtent l="0" t="0" r="6985" b="0"/>
                <wp:wrapNone/>
                <wp:docPr id="2235" name="Rectangle: Top Corners Rounded 97" descr="P3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7115" cy="878401"/>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BFB5" id="Rectangle: Top Corners Rounded 97" o:spid="_x0000_s1026" alt="P391#y1" style="position:absolute;margin-left:-11.8pt;margin-top:57.25pt;width:482.45pt;height:69.15pt;rotation:18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7115,87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qqAIAAMgFAAAOAAAAZHJzL2Uyb0RvYy54bWysVN1PGzEMf5+0/yHK+7gPFSgVV1SBmCYh&#10;QJSJ55BLuJuSOEvSXru/fk7uox3jado9nOLY/tn+xfbl1U4rshXOt2AqWpzklAjDoW7NW0W/P99+&#10;mVPiAzM1U2BERffC06vl50+XnV2IEhpQtXAEQYxfdLaiTQh2kWWeN0IzfwJWGFRKcJoFFN1bVjvW&#10;IbpWWZnnZ1kHrrYOuPAeb296JV0mfCkFDw9SehGIqijmFtLfpf9r/GfLS7Z4c8w2LR/SYP+QhWat&#10;waAT1A0LjGxc+xeUbrkDDzKccNAZSNlykWrAaor8XTXrhlmRakFyvJ1o8v8Plt9v1/bRIQ2d9QuP&#10;x1jFTjpNHCBbRT7P45eKw3TJLnG3n7gTu0A4Xp4V5XlRnFLCUTc/n8/yIpKb9WAR1DofvgrQJB4q&#10;6mBj6nLNtHjCV0r4bHvnQ2KxJgYVFWX1j4ISqRU+ypYpcppy6R/tyKY8tkmPinEHNDyNkSO0B9XW&#10;t61SSYhtJq6VIwiO0TgXJpRD3n9YKhPtDUTPvqx4kx1IS6ewVyLaKfMkJGlr5KVMlaV+fh+o6FUN&#10;q0Uff6oOc548EocJMCJLjD9hDwAfFTGSP9hHV5HGYXLun3QKc8zA6Dx5pMhgwuSsWwPuo8pUGJ1l&#10;bz+S1FMTWXqFev/o+vbCkfSW37bYEXfMh0fm8KHxEjdKeMCfVNBVFIYTJQ24Xx/dR3scCtRS0uE0&#10;V9T/3DAnKFHfDI7LRTGbxfFPwuz0vETBHWtejzVmo68B+wFbD7NLx2gf1HiUDvQLLp5VjIoqZjjG&#10;rigPbhSuQ79lcHVxsVolMxx5y8KdWVsewSOrsTWfdy/M2WEsAg7UPYyTP3Rx33EH2+hpYLUJINsQ&#10;lQdeBwHXRWqcYbXFfXQsJ6vDAl7+BgAA//8DAFBLAwQUAAYACAAAACEAESqxQOAAAAALAQAADwAA&#10;AGRycy9kb3ducmV2LnhtbEyPQU+EMBCF7yb+h2ZMvO0WWBYRKRtj4sGLcVcT463QEYh0SmgX8N87&#10;nvQ4eV/e+6Y8rHYQM06+d6Qg3kYgkBpnemoVvL0+bnIQPmgyenCECr7Rw6G6vCh1YdxCR5xPoRVc&#10;Qr7QCroQxkJK33Rotd+6EYmzTzdZHficWmkmvXC5HWQSRZm0uide6PSIDx02X6ezVVA/Z+95Y/A4&#10;PyU3WYvx8pGmL0pdX633dyACruEPhl99VoeKnWp3JuPFoGCT7DJGOYjTPQgmbtN4B6JWkOyTHGRV&#10;yv8/VD8AAAD//wMAUEsBAi0AFAAGAAgAAAAhALaDOJL+AAAA4QEAABMAAAAAAAAAAAAAAAAAAAAA&#10;AFtDb250ZW50X1R5cGVzXS54bWxQSwECLQAUAAYACAAAACEAOP0h/9YAAACUAQAACwAAAAAAAAAA&#10;AAAAAAAvAQAAX3JlbHMvLnJlbHNQSwECLQAUAAYACAAAACEAIQVgqqgCAADIBQAADgAAAAAAAAAA&#10;AAAAAAAuAgAAZHJzL2Uyb0RvYy54bWxQSwECLQAUAAYACAAAACEAESqxQOAAAAALAQAADwAAAAAA&#10;AAAAAAAAAAACBQAAZHJzL2Rvd25yZXYueG1sUEsFBgAAAAAEAAQA8wAAAA8GAAAAAA==&#10;" path="m439201,l5687915,v242564,,439201,196637,439201,439201c6127116,585601,6127115,732001,6127115,878401r,l,878401r,l,439201c,196637,196637,,439201,xe" fillcolor="#00b3c3 [3205]" stroked="f" strokeweight="1pt">
                <v:stroke joinstyle="miter"/>
                <v:path arrowok="t" o:connecttype="custom" o:connectlocs="439201,0;5687915,0;6127116,439201;6127115,878401;6127115,878401;0,878401;0,878401;0,439201;439201,0" o:connectangles="0,0,0,0,0,0,0,0,0"/>
                <w10:wrap anchorx="margin" anchory="margin"/>
              </v:shape>
            </w:pict>
          </mc:Fallback>
        </mc:AlternateContent>
      </w:r>
      <w:r w:rsidR="7279DF3A" w:rsidRPr="00AA0924">
        <w:t>Example tools, guidance and resources to support continuous quality improvement</w:t>
      </w:r>
    </w:p>
    <w:p w14:paraId="4392E958" w14:textId="2B5ADC9C" w:rsidR="774F615E" w:rsidRPr="00B82C6B" w:rsidRDefault="774F615E" w:rsidP="00314F78">
      <w:bookmarkStart w:id="29" w:name="Malnutrition"/>
      <w:bookmarkEnd w:id="29"/>
      <w:r w:rsidRPr="00B82C6B">
        <w:t xml:space="preserve">Validated </w:t>
      </w:r>
      <w:r w:rsidR="00DC3A2A" w:rsidRPr="00B82C6B">
        <w:t>m</w:t>
      </w:r>
      <w:r w:rsidRPr="00B82C6B">
        <w:t xml:space="preserve">alnutrition </w:t>
      </w:r>
      <w:r w:rsidR="00DC3A2A" w:rsidRPr="00B82C6B">
        <w:t>s</w:t>
      </w:r>
      <w:r w:rsidRPr="00B82C6B">
        <w:t xml:space="preserve">creening </w:t>
      </w:r>
      <w:r w:rsidR="00DC3A2A" w:rsidRPr="00B82C6B">
        <w:t>t</w:t>
      </w:r>
      <w:r w:rsidRPr="00B82C6B">
        <w:t xml:space="preserve">ools and </w:t>
      </w:r>
      <w:r w:rsidR="00DC3A2A" w:rsidRPr="00B82C6B">
        <w:t>g</w:t>
      </w:r>
      <w:r w:rsidRPr="00B82C6B">
        <w:t>uidance</w:t>
      </w:r>
    </w:p>
    <w:p w14:paraId="6B60B068" w14:textId="7358CBBF" w:rsidR="774F615E" w:rsidRPr="00B82C6B" w:rsidRDefault="25160E0B" w:rsidP="00314F78">
      <w:pPr>
        <w:pStyle w:val="ListBullet"/>
      </w:pPr>
      <w:hyperlink r:id="rId103" w:history="1">
        <w:r w:rsidRPr="00B82C6B">
          <w:rPr>
            <w:rStyle w:val="Hyperlink"/>
          </w:rPr>
          <w:t>The Malnutrition Universal Screening Tool (MUST)</w:t>
        </w:r>
      </w:hyperlink>
      <w:r w:rsidRPr="00B82C6B">
        <w:t xml:space="preserve"> — Bapen</w:t>
      </w:r>
    </w:p>
    <w:p w14:paraId="2AB2BB1B" w14:textId="53A73E99" w:rsidR="774F615E" w:rsidRPr="00B82C6B" w:rsidRDefault="774F615E" w:rsidP="00314F78">
      <w:pPr>
        <w:pStyle w:val="ListBullet"/>
      </w:pPr>
      <w:hyperlink r:id="rId104" w:history="1">
        <w:r w:rsidRPr="00B82C6B">
          <w:rPr>
            <w:rStyle w:val="Hyperlink"/>
          </w:rPr>
          <w:t>Mini Nutritional Assessment — Short Form (MNA®-SF)</w:t>
        </w:r>
      </w:hyperlink>
      <w:r w:rsidRPr="00B82C6B">
        <w:t xml:space="preserve"> — Nestle</w:t>
      </w:r>
    </w:p>
    <w:p w14:paraId="2780E5F5" w14:textId="716DB2CD" w:rsidR="2ABE23EA" w:rsidRPr="00B82C6B" w:rsidRDefault="774F615E" w:rsidP="00314F78">
      <w:pPr>
        <w:pStyle w:val="ListBullet"/>
      </w:pPr>
      <w:hyperlink r:id="rId105" w:history="1">
        <w:r w:rsidRPr="00B82C6B">
          <w:rPr>
            <w:rStyle w:val="Hyperlink"/>
          </w:rPr>
          <w:t>Validated Malnutrition Screening and Assessment Tools: Comparison Guide</w:t>
        </w:r>
      </w:hyperlink>
      <w:r w:rsidRPr="00B82C6B">
        <w:t xml:space="preserve"> — Queensland Health</w:t>
      </w:r>
    </w:p>
    <w:p w14:paraId="3A60DB39" w14:textId="05B047BE" w:rsidR="00D86030" w:rsidRPr="00B82C6B" w:rsidRDefault="481C90DB" w:rsidP="00314F78">
      <w:pPr>
        <w:pStyle w:val="ListBullet"/>
      </w:pPr>
      <w:hyperlink r:id="rId106">
        <w:r w:rsidRPr="00B82C6B">
          <w:rPr>
            <w:rStyle w:val="Hyperlink"/>
          </w:rPr>
          <w:t>Malnutrition Universal Screening Tool</w:t>
        </w:r>
        <w:r w:rsidR="028FF7F5" w:rsidRPr="00B82C6B">
          <w:rPr>
            <w:rStyle w:val="Hyperlink"/>
          </w:rPr>
          <w:t xml:space="preserve"> Calculator</w:t>
        </w:r>
      </w:hyperlink>
      <w:r w:rsidR="028FF7F5" w:rsidRPr="00B82C6B">
        <w:t xml:space="preserve"> </w:t>
      </w:r>
      <w:r w:rsidR="0BE1D699" w:rsidRPr="00B82C6B">
        <w:t>—</w:t>
      </w:r>
      <w:r w:rsidR="028FF7F5" w:rsidRPr="00B82C6B">
        <w:t xml:space="preserve"> </w:t>
      </w:r>
      <w:r w:rsidR="3C004327" w:rsidRPr="00B82C6B">
        <w:t xml:space="preserve">calculator </w:t>
      </w:r>
      <w:r w:rsidR="028FF7F5" w:rsidRPr="00B82C6B">
        <w:t>used to establish nutritional risk using objective measurements to obtain a score and a risk category</w:t>
      </w:r>
      <w:r w:rsidR="3C004327" w:rsidRPr="00B82C6B">
        <w:t xml:space="preserve"> — Bapen</w:t>
      </w:r>
    </w:p>
    <w:p w14:paraId="4EC29DB1" w14:textId="35778872" w:rsidR="00B33F67" w:rsidRPr="00B82C6B" w:rsidRDefault="00202615" w:rsidP="00314F78">
      <w:pPr>
        <w:pStyle w:val="ListBullet"/>
      </w:pPr>
      <w:hyperlink r:id="rId107" w:history="1">
        <w:r w:rsidRPr="00B82C6B">
          <w:rPr>
            <w:rStyle w:val="Hyperlink"/>
          </w:rPr>
          <w:t xml:space="preserve">AutoMal </w:t>
        </w:r>
        <w:r w:rsidR="001B742D" w:rsidRPr="00B82C6B">
          <w:rPr>
            <w:rStyle w:val="Hyperlink"/>
          </w:rPr>
          <w:t>research paper</w:t>
        </w:r>
      </w:hyperlink>
      <w:r w:rsidR="001B742D" w:rsidRPr="00B82C6B">
        <w:t xml:space="preserve"> – study describing the development and internal validation of an automated malnutrition screening tool </w:t>
      </w:r>
      <w:r w:rsidR="00541448" w:rsidRPr="00B82C6B">
        <w:t>for use in residential aged care</w:t>
      </w:r>
      <w:r w:rsidRPr="00B82C6B">
        <w:t xml:space="preserve"> </w:t>
      </w:r>
    </w:p>
    <w:p w14:paraId="10D2BF72" w14:textId="61FEE21D" w:rsidR="00964C51" w:rsidRPr="00B82C6B" w:rsidRDefault="00DC3A2A" w:rsidP="00314F78">
      <w:pPr>
        <w:pStyle w:val="ListBullet"/>
      </w:pPr>
      <w:r w:rsidRPr="00B82C6B">
        <w:t>Additional food and nutrition tools and guidance</w:t>
      </w:r>
    </w:p>
    <w:p w14:paraId="5873D1C7" w14:textId="65AA4E39" w:rsidR="000B2717" w:rsidRPr="00B82C6B" w:rsidRDefault="00B25F57" w:rsidP="00314F78">
      <w:pPr>
        <w:pStyle w:val="ListBullet"/>
      </w:pPr>
      <w:hyperlink r:id="rId108" w:history="1">
        <w:r w:rsidRPr="00B82C6B">
          <w:rPr>
            <w:rStyle w:val="Hyperlink"/>
          </w:rPr>
          <w:t>Food, nutrition &amp; dining information for providers</w:t>
        </w:r>
      </w:hyperlink>
      <w:r w:rsidR="00E90F5E" w:rsidRPr="00B82C6B">
        <w:t xml:space="preserve"> - </w:t>
      </w:r>
      <w:r w:rsidR="005F2AA0" w:rsidRPr="00B82C6B">
        <w:t>Aged Ca</w:t>
      </w:r>
      <w:r w:rsidR="00E90F5E" w:rsidRPr="00B82C6B">
        <w:t>r</w:t>
      </w:r>
      <w:r w:rsidR="005F2AA0" w:rsidRPr="00B82C6B">
        <w:t xml:space="preserve">e Quality </w:t>
      </w:r>
      <w:r w:rsidR="00E242F0" w:rsidRPr="00B82C6B">
        <w:t xml:space="preserve">and Safety </w:t>
      </w:r>
      <w:r w:rsidR="005F2AA0" w:rsidRPr="00B82C6B">
        <w:t>Commission</w:t>
      </w:r>
      <w:r w:rsidR="00435058" w:rsidRPr="00B82C6B">
        <w:t xml:space="preserve"> – includes a range of </w:t>
      </w:r>
      <w:r w:rsidR="007A7D9E" w:rsidRPr="00B82C6B">
        <w:t>r</w:t>
      </w:r>
      <w:r w:rsidR="0053075F" w:rsidRPr="00B82C6B">
        <w:t xml:space="preserve">eference guides, </w:t>
      </w:r>
      <w:r w:rsidR="007A7D9E" w:rsidRPr="00B82C6B">
        <w:t xml:space="preserve">tools and </w:t>
      </w:r>
      <w:r w:rsidR="0053075F" w:rsidRPr="00B82C6B">
        <w:t>discussion papers</w:t>
      </w:r>
      <w:r w:rsidR="007A7D9E" w:rsidRPr="00B82C6B">
        <w:t xml:space="preserve">. </w:t>
      </w:r>
      <w:r w:rsidR="006B5F1C" w:rsidRPr="00B82C6B">
        <w:t xml:space="preserve">Includes a </w:t>
      </w:r>
      <w:hyperlink r:id="rId109" w:history="1">
        <w:r w:rsidR="006B5F1C" w:rsidRPr="00B82C6B">
          <w:rPr>
            <w:rStyle w:val="Hyperlink"/>
          </w:rPr>
          <w:t>flyer</w:t>
        </w:r>
      </w:hyperlink>
      <w:r w:rsidR="006B5F1C" w:rsidRPr="00B82C6B">
        <w:t xml:space="preserve"> listing all the Commission’s food, nutrition and dining resources</w:t>
      </w:r>
    </w:p>
    <w:p w14:paraId="30C6E310" w14:textId="56BCF9BF" w:rsidR="00D86030" w:rsidRPr="00B82C6B" w:rsidRDefault="00D86030" w:rsidP="00314F78">
      <w:pPr>
        <w:pStyle w:val="ListBullet"/>
      </w:pPr>
      <w:hyperlink r:id="rId110" w:history="1">
        <w:r w:rsidRPr="00B82C6B">
          <w:rPr>
            <w:rStyle w:val="Hyperlink"/>
          </w:rPr>
          <w:t>Malnutrition in Aged Care</w:t>
        </w:r>
      </w:hyperlink>
      <w:r w:rsidRPr="00B82C6B">
        <w:t xml:space="preserve"> </w:t>
      </w:r>
      <w:r w:rsidR="0010143E" w:rsidRPr="00B82C6B">
        <w:t xml:space="preserve">— </w:t>
      </w:r>
      <w:r w:rsidRPr="00B82C6B">
        <w:t>position statement</w:t>
      </w:r>
      <w:r w:rsidR="0010143E" w:rsidRPr="00B82C6B">
        <w:t xml:space="preserve"> — Dietitians Australia</w:t>
      </w:r>
    </w:p>
    <w:p w14:paraId="5901AFFB" w14:textId="2AC5F74B" w:rsidR="00D86030" w:rsidRPr="00B82C6B" w:rsidRDefault="028FF7F5" w:rsidP="00314F78">
      <w:pPr>
        <w:pStyle w:val="ListBullet"/>
      </w:pPr>
      <w:hyperlink r:id="rId111">
        <w:r w:rsidRPr="00B82C6B">
          <w:rPr>
            <w:rStyle w:val="Hyperlink"/>
          </w:rPr>
          <w:t>The Lantern Project</w:t>
        </w:r>
      </w:hyperlink>
      <w:r w:rsidRPr="00B82C6B">
        <w:t xml:space="preserve"> </w:t>
      </w:r>
      <w:r w:rsidR="249708F5" w:rsidRPr="00B82C6B">
        <w:t>— an o</w:t>
      </w:r>
      <w:r w:rsidRPr="00B82C6B">
        <w:t>nline community seeking to improve food and the meal-time experience for care recipients in residential aged care settings</w:t>
      </w:r>
    </w:p>
    <w:p w14:paraId="6FF1C0E1" w14:textId="7794289D" w:rsidR="00D86030" w:rsidRPr="00B82C6B" w:rsidRDefault="34D1E419" w:rsidP="00314F78">
      <w:pPr>
        <w:pStyle w:val="ListBullet"/>
      </w:pPr>
      <w:hyperlink r:id="rId112" w:history="1">
        <w:r w:rsidRPr="00B82C6B">
          <w:rPr>
            <w:rStyle w:val="Hyperlink"/>
          </w:rPr>
          <w:t>Best Practice Food and Nutrition Manual for Aged Care</w:t>
        </w:r>
      </w:hyperlink>
      <w:r w:rsidRPr="00B82C6B">
        <w:t xml:space="preserve"> </w:t>
      </w:r>
      <w:r w:rsidR="08612894" w:rsidRPr="00B82C6B">
        <w:t xml:space="preserve">— manual providing </w:t>
      </w:r>
      <w:r w:rsidR="21262BE2" w:rsidRPr="00B82C6B">
        <w:t xml:space="preserve">guidance on best practice food and nutrition for residential aged care </w:t>
      </w:r>
      <w:r w:rsidR="08612894" w:rsidRPr="00B82C6B">
        <w:t>— N</w:t>
      </w:r>
      <w:r w:rsidR="43924B78" w:rsidRPr="00B82C6B">
        <w:t xml:space="preserve">ew </w:t>
      </w:r>
      <w:r w:rsidR="08612894" w:rsidRPr="00B82C6B">
        <w:t>S</w:t>
      </w:r>
      <w:r w:rsidR="43924B78" w:rsidRPr="00B82C6B">
        <w:t xml:space="preserve">outh </w:t>
      </w:r>
      <w:r w:rsidR="08612894" w:rsidRPr="00B82C6B">
        <w:t>W</w:t>
      </w:r>
      <w:r w:rsidR="43924B78" w:rsidRPr="00B82C6B">
        <w:t>ales</w:t>
      </w:r>
      <w:r w:rsidR="08612894" w:rsidRPr="00B82C6B">
        <w:t xml:space="preserve"> Central Coast Local Health District</w:t>
      </w:r>
    </w:p>
    <w:p w14:paraId="288173D2" w14:textId="0AAB7730" w:rsidR="00D86030" w:rsidRPr="00B82C6B" w:rsidRDefault="383896D2" w:rsidP="00314F78">
      <w:pPr>
        <w:pStyle w:val="ListBullet"/>
      </w:pPr>
      <w:hyperlink r:id="rId113">
        <w:r w:rsidRPr="00B82C6B">
          <w:rPr>
            <w:rStyle w:val="Hyperlink"/>
          </w:rPr>
          <w:t>Eating well: A Nutrition Resources for Older People and their Carers</w:t>
        </w:r>
      </w:hyperlink>
      <w:r w:rsidRPr="00B82C6B">
        <w:t xml:space="preserve"> — short book providing simple advice on provide good nutrition — N</w:t>
      </w:r>
      <w:r w:rsidR="28FA3421" w:rsidRPr="00B82C6B">
        <w:t xml:space="preserve">ew </w:t>
      </w:r>
      <w:r w:rsidR="028FF7F5" w:rsidRPr="00B82C6B">
        <w:t>S</w:t>
      </w:r>
      <w:r w:rsidR="28FA3421" w:rsidRPr="00B82C6B">
        <w:t xml:space="preserve">outh </w:t>
      </w:r>
      <w:r w:rsidR="028FF7F5" w:rsidRPr="00B82C6B">
        <w:t>W</w:t>
      </w:r>
      <w:r w:rsidR="28FA3421" w:rsidRPr="00B82C6B">
        <w:t>ales</w:t>
      </w:r>
      <w:r w:rsidR="028FF7F5" w:rsidRPr="00B82C6B">
        <w:t xml:space="preserve"> Central Coast Local Health District</w:t>
      </w:r>
    </w:p>
    <w:p w14:paraId="09451157" w14:textId="6F081B44" w:rsidR="00D86030" w:rsidRPr="00B82C6B" w:rsidRDefault="383896D2" w:rsidP="00314F78">
      <w:pPr>
        <w:pStyle w:val="ListBullet"/>
      </w:pPr>
      <w:hyperlink r:id="rId114">
        <w:r w:rsidRPr="00B82C6B">
          <w:rPr>
            <w:rStyle w:val="Hyperlink"/>
          </w:rPr>
          <w:t>Online training to help older people eat well</w:t>
        </w:r>
      </w:hyperlink>
      <w:r w:rsidRPr="00B82C6B">
        <w:t xml:space="preserve"> — </w:t>
      </w:r>
      <w:r w:rsidR="481C90DB" w:rsidRPr="00B82C6B">
        <w:t xml:space="preserve">two free online training packages with videos, interactive activities and practical tips — </w:t>
      </w:r>
      <w:r w:rsidR="028FF7F5" w:rsidRPr="00B82C6B">
        <w:t xml:space="preserve">Tasmanian Department of </w:t>
      </w:r>
      <w:r w:rsidR="481C90DB" w:rsidRPr="00B82C6B">
        <w:t>Health</w:t>
      </w:r>
    </w:p>
    <w:p w14:paraId="663E012B" w14:textId="250AEDB3" w:rsidR="00E12D0F" w:rsidRPr="00B82C6B" w:rsidRDefault="028FF7F5" w:rsidP="00314F78">
      <w:pPr>
        <w:pStyle w:val="ListBullet"/>
      </w:pPr>
      <w:hyperlink r:id="rId115">
        <w:r w:rsidRPr="00B82C6B">
          <w:rPr>
            <w:rStyle w:val="Hyperlink"/>
          </w:rPr>
          <w:t>An evidence-based guide for the identification and nutritional management of malnutrition and frailty in the Australian and New Zealand community</w:t>
        </w:r>
      </w:hyperlink>
      <w:r w:rsidR="2EF83070" w:rsidRPr="00B82C6B">
        <w:t xml:space="preserve"> </w:t>
      </w:r>
      <w:r w:rsidR="481C90DB" w:rsidRPr="00B82C6B">
        <w:t>— evidence-based guide providing practical guidance for healthcare professionals to identify and manage malnutrition and frailty among adults in the community setting — Griffith University</w:t>
      </w:r>
    </w:p>
    <w:p w14:paraId="2A5C3A6D" w14:textId="3F4C851B" w:rsidR="00FD3F37" w:rsidRPr="00517432" w:rsidRDefault="00FD3F37" w:rsidP="00517432">
      <w:r w:rsidRPr="00517432">
        <w:t>Some tools, guidance and resources may be updated over time; it is important to ensure you are looking at the most recent version.</w:t>
      </w:r>
    </w:p>
    <w:p w14:paraId="2F3A20FE" w14:textId="77777777" w:rsidR="00FD3F37" w:rsidRPr="002765D3" w:rsidRDefault="00FD3F37" w:rsidP="00314F78">
      <w:pPr>
        <w:sectPr w:rsidR="00FD3F37" w:rsidRPr="002765D3" w:rsidSect="00726801">
          <w:endnotePr>
            <w:numFmt w:val="decimal"/>
          </w:endnotePr>
          <w:pgSz w:w="11906" w:h="16838" w:code="9"/>
          <w:pgMar w:top="1701" w:right="1134" w:bottom="1134" w:left="1134" w:header="567" w:footer="567" w:gutter="0"/>
          <w:cols w:space="567"/>
          <w:docGrid w:linePitch="360"/>
        </w:sectPr>
      </w:pPr>
    </w:p>
    <w:p w14:paraId="64108F5B" w14:textId="6C6C5E06" w:rsidR="00FD3F37" w:rsidRPr="00B82C6B" w:rsidRDefault="000A325D" w:rsidP="0059348C">
      <w:pPr>
        <w:pStyle w:val="Heading1"/>
      </w:pPr>
      <w:bookmarkStart w:id="30" w:name="_Toc76998116"/>
      <w:bookmarkStart w:id="31" w:name="_Toc193889892"/>
      <w:r>
        <w:rPr>
          <w:noProof/>
        </w:rPr>
        <w:lastRenderedPageBreak/>
        <w:drawing>
          <wp:anchor distT="0" distB="0" distL="114300" distR="114300" simplePos="0" relativeHeight="251658288" behindDoc="1" locked="0" layoutInCell="1" allowOverlap="1" wp14:anchorId="35C19901" wp14:editId="602E03BC">
            <wp:simplePos x="0" y="0"/>
            <wp:positionH relativeFrom="page">
              <wp:align>left</wp:align>
            </wp:positionH>
            <wp:positionV relativeFrom="paragraph">
              <wp:posOffset>446298</wp:posOffset>
            </wp:positionV>
            <wp:extent cx="8052595" cy="992038"/>
            <wp:effectExtent l="0" t="0" r="5715" b="0"/>
            <wp:wrapNone/>
            <wp:docPr id="1762705675" name="Picture 7" descr="P40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05675" name="Picture 7" descr="P408#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66161" cy="993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B82C6B">
        <w:t>Falls and major injury</w:t>
      </w:r>
      <w:bookmarkEnd w:id="30"/>
      <w:bookmarkEnd w:id="31"/>
    </w:p>
    <w:p w14:paraId="6A588327" w14:textId="095E737E" w:rsidR="00FD3F37" w:rsidRPr="000A325D" w:rsidRDefault="000A325D" w:rsidP="000A325D">
      <w:pPr>
        <w:pStyle w:val="Headerwhite"/>
      </w:pPr>
      <w:r w:rsidRPr="002765D3">
        <w:rPr>
          <w:noProof/>
        </w:rPr>
        <w:drawing>
          <wp:anchor distT="0" distB="0" distL="114300" distR="114300" simplePos="0" relativeHeight="251658287" behindDoc="0" locked="0" layoutInCell="1" allowOverlap="1" wp14:anchorId="6B9C2B7A" wp14:editId="54E92743">
            <wp:simplePos x="0" y="0"/>
            <wp:positionH relativeFrom="margin">
              <wp:align>left</wp:align>
            </wp:positionH>
            <wp:positionV relativeFrom="paragraph">
              <wp:posOffset>140335</wp:posOffset>
            </wp:positionV>
            <wp:extent cx="819150" cy="819150"/>
            <wp:effectExtent l="0" t="0" r="0" b="0"/>
            <wp:wrapSquare wrapText="bothSides"/>
            <wp:docPr id="2091994297" name="Picture 98" descr="P40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7" name="Picture 98" descr="P409#y1">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25D">
        <w:t>Falls are currently the leading cause of unintentional injury in older Australians. While not all falls can be prevented, there is strong evidence to suggest that falls can be reduced through screening, monitoring and prevention activities.</w:t>
      </w:r>
    </w:p>
    <w:p w14:paraId="2EC5694E" w14:textId="4CDDCE58" w:rsidR="00FD3F37" w:rsidRPr="00B82C6B" w:rsidRDefault="00FD3F37" w:rsidP="000A325D">
      <w:pPr>
        <w:pStyle w:val="Heading2"/>
      </w:pPr>
      <w:bookmarkStart w:id="32" w:name="_Toc73261129"/>
      <w:r w:rsidRPr="00B82C6B">
        <w:t xml:space="preserve">Overview of falls </w:t>
      </w:r>
      <w:r w:rsidRPr="000A325D">
        <w:t>and</w:t>
      </w:r>
      <w:r w:rsidRPr="00B82C6B">
        <w:t xml:space="preserve"> major injury</w:t>
      </w:r>
    </w:p>
    <w:p w14:paraId="66659FE3" w14:textId="50ECDC1B" w:rsidR="00FD3F37" w:rsidRPr="00B82C6B" w:rsidRDefault="00DF40BB" w:rsidP="00314F78">
      <w:r w:rsidRPr="00B82C6B">
        <w:fldChar w:fldCharType="begin" w:fldLock="1"/>
      </w:r>
      <w:r w:rsidRPr="00B82C6B">
        <w:instrText xml:space="preserve"> REF _Ref105143392 \h </w:instrText>
      </w:r>
      <w:r w:rsidR="008477C7" w:rsidRPr="00B82C6B">
        <w:instrText xml:space="preserve"> \* MERGEFORMAT </w:instrText>
      </w:r>
      <w:r w:rsidRPr="00B82C6B">
        <w:fldChar w:fldCharType="separate"/>
      </w:r>
      <w:r w:rsidR="009F0B74" w:rsidRPr="00B82C6B">
        <w:t>Figure 18</w:t>
      </w:r>
      <w:r w:rsidRPr="00B82C6B">
        <w:fldChar w:fldCharType="end"/>
      </w:r>
      <w:r w:rsidRPr="00B82C6B">
        <w:t xml:space="preserve"> </w:t>
      </w:r>
      <w:r w:rsidR="00FD3F37" w:rsidRPr="00B82C6B">
        <w:t>below provides an overview of falls and major injury in residential aged care.</w:t>
      </w:r>
      <w:bookmarkStart w:id="33" w:name="_Ref76994269"/>
      <w:bookmarkEnd w:id="32"/>
      <w:r w:rsidR="00C14971" w:rsidRPr="00B82C6B">
        <w:t xml:space="preserve"> </w:t>
      </w:r>
      <w:r w:rsidR="003734F3" w:rsidRPr="00B82C6B">
        <w:t xml:space="preserve">The data and references have been </w:t>
      </w:r>
      <w:r w:rsidR="005C1639" w:rsidRPr="00B82C6B">
        <w:t>reviewed</w:t>
      </w:r>
      <w:r w:rsidR="003734F3" w:rsidRPr="00B82C6B">
        <w:t xml:space="preserve"> March 2025.</w:t>
      </w:r>
    </w:p>
    <w:p w14:paraId="63B3BD66" w14:textId="35A0FE54" w:rsidR="00FD3F37" w:rsidRPr="00B82C6B" w:rsidRDefault="009963C6" w:rsidP="00314F78">
      <w:pPr>
        <w:pStyle w:val="Caption"/>
      </w:pPr>
      <w:bookmarkStart w:id="34" w:name="_Ref105143392"/>
      <w:r w:rsidRPr="00B82C6B">
        <w:t>FIGURE </w:t>
      </w:r>
      <w:r w:rsidR="00FD3F37" w:rsidRPr="00B82C6B">
        <w:fldChar w:fldCharType="begin"/>
      </w:r>
      <w:r w:rsidR="00FD3F37" w:rsidRPr="00B82C6B">
        <w:instrText>SEQ Figure \* ARABIC</w:instrText>
      </w:r>
      <w:r w:rsidR="00FD3F37" w:rsidRPr="00B82C6B">
        <w:fldChar w:fldCharType="separate"/>
      </w:r>
      <w:r w:rsidR="003A30D7">
        <w:rPr>
          <w:noProof/>
        </w:rPr>
        <w:t>18</w:t>
      </w:r>
      <w:r w:rsidR="00FD3F37" w:rsidRPr="00B82C6B">
        <w:fldChar w:fldCharType="end"/>
      </w:r>
      <w:bookmarkEnd w:id="33"/>
      <w:bookmarkEnd w:id="34"/>
      <w:r w:rsidRPr="00B82C6B">
        <w:t>: FALLS AND MAJOR INJURY IN RESIDENTIAL AGED CARE SERVICES</w:t>
      </w:r>
      <w:r w:rsidR="009253DC">
        <w:rPr>
          <w:rFonts w:ascii="ZWAdobeF" w:hAnsi="ZWAdobeF" w:cs="ZWAdobeF"/>
          <w:b w:val="0"/>
          <w:color w:val="auto"/>
          <w:sz w:val="2"/>
          <w:szCs w:val="2"/>
        </w:rPr>
        <w:t>74F</w:t>
      </w:r>
      <w:r w:rsidR="00FD3F37" w:rsidRPr="00454D17">
        <w:rPr>
          <w:rStyle w:val="EndnoteReference"/>
        </w:rPr>
        <w:endnoteReference w:id="76"/>
      </w:r>
      <w:r w:rsidRPr="00454D17">
        <w:rPr>
          <w:rStyle w:val="EndnoteReference"/>
        </w:rPr>
        <w:t xml:space="preserve"> </w:t>
      </w:r>
      <w:r w:rsidR="009253DC">
        <w:rPr>
          <w:rFonts w:ascii="ZWAdobeF" w:hAnsi="ZWAdobeF" w:cs="ZWAdobeF"/>
          <w:b w:val="0"/>
          <w:color w:val="auto"/>
          <w:sz w:val="2"/>
          <w:szCs w:val="2"/>
        </w:rPr>
        <w:t>75F</w:t>
      </w:r>
      <w:r w:rsidR="00CC2A51" w:rsidRPr="00454D17">
        <w:rPr>
          <w:rStyle w:val="EndnoteReference"/>
        </w:rPr>
        <w:endnoteReference w:id="77"/>
      </w:r>
      <w:r w:rsidRPr="00454D17">
        <w:rPr>
          <w:rStyle w:val="EndnoteReference"/>
        </w:rPr>
        <w:t xml:space="preserve"> </w:t>
      </w:r>
      <w:r w:rsidR="009253DC">
        <w:rPr>
          <w:rFonts w:ascii="ZWAdobeF" w:hAnsi="ZWAdobeF" w:cs="ZWAdobeF"/>
          <w:b w:val="0"/>
          <w:color w:val="auto"/>
          <w:sz w:val="2"/>
          <w:szCs w:val="2"/>
        </w:rPr>
        <w:t>76F</w:t>
      </w:r>
      <w:r w:rsidR="00FD3F37" w:rsidRPr="00454D17">
        <w:rPr>
          <w:rStyle w:val="EndnoteReference"/>
        </w:rPr>
        <w:endnoteReference w:id="78"/>
      </w:r>
      <w:r w:rsidRPr="00454D17">
        <w:rPr>
          <w:rStyle w:val="EndnoteReference"/>
        </w:rPr>
        <w:t xml:space="preserve"> </w:t>
      </w:r>
      <w:r w:rsidR="009253DC">
        <w:rPr>
          <w:rFonts w:ascii="ZWAdobeF" w:hAnsi="ZWAdobeF" w:cs="ZWAdobeF"/>
          <w:b w:val="0"/>
          <w:color w:val="auto"/>
          <w:sz w:val="2"/>
          <w:szCs w:val="2"/>
        </w:rPr>
        <w:t>77F</w:t>
      </w:r>
      <w:r w:rsidR="00FD3F37" w:rsidRPr="00454D17">
        <w:rPr>
          <w:rStyle w:val="EndnoteReference"/>
        </w:rPr>
        <w:endnoteReference w:id="79"/>
      </w:r>
      <w:r w:rsidRPr="00454D17">
        <w:rPr>
          <w:rStyle w:val="EndnoteReference"/>
        </w:rPr>
        <w:t xml:space="preserve"> </w:t>
      </w:r>
      <w:r w:rsidR="009253DC">
        <w:rPr>
          <w:rFonts w:ascii="ZWAdobeF" w:hAnsi="ZWAdobeF" w:cs="ZWAdobeF"/>
          <w:b w:val="0"/>
          <w:color w:val="auto"/>
          <w:sz w:val="2"/>
          <w:szCs w:val="2"/>
        </w:rPr>
        <w:t>78F</w:t>
      </w:r>
      <w:r w:rsidR="00FD3F37" w:rsidRPr="00454D17">
        <w:rPr>
          <w:rStyle w:val="EndnoteReference"/>
        </w:rPr>
        <w:endnoteReference w:id="80"/>
      </w:r>
      <w:r w:rsidRPr="00454D17">
        <w:rPr>
          <w:rStyle w:val="EndnoteReference"/>
        </w:rPr>
        <w:t xml:space="preserve"> </w:t>
      </w:r>
      <w:r w:rsidR="009253DC">
        <w:rPr>
          <w:rFonts w:ascii="ZWAdobeF" w:hAnsi="ZWAdobeF" w:cs="ZWAdobeF"/>
          <w:b w:val="0"/>
          <w:color w:val="auto"/>
          <w:sz w:val="2"/>
          <w:szCs w:val="2"/>
        </w:rPr>
        <w:t>79F</w:t>
      </w:r>
      <w:r w:rsidR="00FD3F37" w:rsidRPr="00454D17">
        <w:rPr>
          <w:rStyle w:val="EndnoteReference"/>
        </w:rPr>
        <w:endnoteReference w:id="81"/>
      </w:r>
      <w:r w:rsidRPr="00454D17">
        <w:rPr>
          <w:rStyle w:val="EndnoteReference"/>
        </w:rPr>
        <w:t xml:space="preserve"> </w:t>
      </w:r>
      <w:r w:rsidR="009253DC">
        <w:rPr>
          <w:rFonts w:ascii="ZWAdobeF" w:hAnsi="ZWAdobeF" w:cs="ZWAdobeF"/>
          <w:b w:val="0"/>
          <w:color w:val="auto"/>
          <w:sz w:val="2"/>
          <w:szCs w:val="2"/>
        </w:rPr>
        <w:t>80F</w:t>
      </w:r>
      <w:r w:rsidR="00FD3F37" w:rsidRPr="00454D17">
        <w:rPr>
          <w:rStyle w:val="EndnoteReference"/>
        </w:rPr>
        <w:endnoteReference w:id="82"/>
      </w:r>
    </w:p>
    <w:p w14:paraId="0175EE84" w14:textId="77777777" w:rsidR="00FD3F37" w:rsidRPr="002765D3" w:rsidRDefault="00FD3F37" w:rsidP="00314F78">
      <w:r w:rsidRPr="002765D3">
        <w:rPr>
          <w:noProof/>
          <w:lang w:eastAsia="en-AU"/>
        </w:rPr>
        <w:drawing>
          <wp:inline distT="0" distB="0" distL="0" distR="0" wp14:anchorId="26F43A3D" wp14:editId="60139749">
            <wp:extent cx="5795645" cy="4429125"/>
            <wp:effectExtent l="0" t="0" r="0" b="9525"/>
            <wp:docPr id="2091994299" name="Picture 101" descr="P4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9" name="Picture 101" descr="P413#yIS1"/>
                    <pic:cNvPicPr/>
                  </pic:nvPicPr>
                  <pic:blipFill>
                    <a:blip r:embed="rId117">
                      <a:extLst>
                        <a:ext uri="{28A0092B-C50C-407E-A947-70E740481C1C}">
                          <a14:useLocalDpi xmlns:a14="http://schemas.microsoft.com/office/drawing/2010/main" val="0"/>
                        </a:ext>
                      </a:extLst>
                    </a:blip>
                    <a:stretch>
                      <a:fillRect/>
                    </a:stretch>
                  </pic:blipFill>
                  <pic:spPr>
                    <a:xfrm>
                      <a:off x="0" y="0"/>
                      <a:ext cx="5796005" cy="4429400"/>
                    </a:xfrm>
                    <a:prstGeom prst="rect">
                      <a:avLst/>
                    </a:prstGeom>
                  </pic:spPr>
                </pic:pic>
              </a:graphicData>
            </a:graphic>
          </wp:inline>
        </w:drawing>
      </w:r>
    </w:p>
    <w:p w14:paraId="244BE61E" w14:textId="77777777" w:rsidR="00FD3F37" w:rsidRPr="002765D3" w:rsidRDefault="00FD3F37" w:rsidP="00314F78">
      <w:bookmarkStart w:id="35" w:name="_Toc73261132"/>
    </w:p>
    <w:p w14:paraId="0EC7CE2A" w14:textId="77777777" w:rsidR="00FD3F37" w:rsidRPr="002765D3" w:rsidRDefault="00FD3F37" w:rsidP="00314F78">
      <w:pPr>
        <w:sectPr w:rsidR="00FD3F37" w:rsidRPr="002765D3" w:rsidSect="00726801">
          <w:headerReference w:type="even" r:id="rId118"/>
          <w:headerReference w:type="default" r:id="rId119"/>
          <w:headerReference w:type="first" r:id="rId120"/>
          <w:endnotePr>
            <w:numFmt w:val="decimal"/>
          </w:endnotePr>
          <w:pgSz w:w="11906" w:h="16838" w:code="9"/>
          <w:pgMar w:top="1701" w:right="1134" w:bottom="1134" w:left="1134" w:header="567" w:footer="567" w:gutter="0"/>
          <w:cols w:space="567"/>
          <w:docGrid w:linePitch="360"/>
        </w:sectPr>
      </w:pPr>
    </w:p>
    <w:p w14:paraId="223CE841" w14:textId="7DAF5D84" w:rsidR="00FD3F37" w:rsidRPr="00B82C6B" w:rsidRDefault="00FD3F37" w:rsidP="0059348C">
      <w:pPr>
        <w:pStyle w:val="Heading2"/>
      </w:pPr>
      <w:r w:rsidRPr="00B82C6B">
        <w:lastRenderedPageBreak/>
        <w:t>Understanding falls and major injury in residential aged care</w:t>
      </w:r>
    </w:p>
    <w:p w14:paraId="15A6D048" w14:textId="355918AD" w:rsidR="00FD3F37" w:rsidRPr="00B82C6B" w:rsidRDefault="00155DF5" w:rsidP="00314F78">
      <w:r w:rsidRPr="00B82C6B">
        <w:t>Consistent with the World Health Organization’s definition of a fall, t</w:t>
      </w:r>
      <w:r w:rsidR="39BCB8A0" w:rsidRPr="00B82C6B">
        <w:t>he QI Program defines a fall as an event that results in a person coming to rest inadvertently on the ground or floor or other lower level</w:t>
      </w:r>
      <w:r w:rsidR="009253DC">
        <w:rPr>
          <w:rFonts w:ascii="ZWAdobeF" w:hAnsi="ZWAdobeF" w:cs="ZWAdobeF"/>
          <w:color w:val="auto"/>
          <w:sz w:val="2"/>
          <w:szCs w:val="2"/>
        </w:rPr>
        <w:t>81F</w:t>
      </w:r>
      <w:r w:rsidR="005F7CA2" w:rsidRPr="00B82C6B">
        <w:rPr>
          <w:vertAlign w:val="superscript"/>
        </w:rPr>
        <w:endnoteReference w:id="83"/>
      </w:r>
      <w:r w:rsidR="39BCB8A0" w:rsidRPr="00B82C6B">
        <w:t xml:space="preserve"> This includes falls from a low bed and onto a crash mat.</w:t>
      </w:r>
      <w:r w:rsidR="009253DC">
        <w:rPr>
          <w:rFonts w:ascii="ZWAdobeF" w:hAnsi="ZWAdobeF" w:cs="ZWAdobeF"/>
          <w:color w:val="auto"/>
          <w:sz w:val="2"/>
          <w:szCs w:val="2"/>
        </w:rPr>
        <w:t>82F</w:t>
      </w:r>
      <w:r w:rsidR="00FD3F37" w:rsidRPr="00B82C6B">
        <w:rPr>
          <w:vertAlign w:val="superscript"/>
        </w:rPr>
        <w:endnoteReference w:id="84"/>
      </w:r>
      <w:r w:rsidR="7279DF3A" w:rsidRPr="00B82C6B">
        <w:t xml:space="preserve"> Under the QI Program, a fall resulting in major injury is a fall that meets the definition above and results in one or more of the following:</w:t>
      </w:r>
    </w:p>
    <w:p w14:paraId="3B912100" w14:textId="77777777" w:rsidR="00FD3F37" w:rsidRPr="00B82C6B" w:rsidRDefault="00FD3F37" w:rsidP="00314F78">
      <w:pPr>
        <w:pStyle w:val="ListBullet"/>
      </w:pPr>
      <w:r w:rsidRPr="00B82C6B">
        <w:t>bone fractures</w:t>
      </w:r>
    </w:p>
    <w:p w14:paraId="49ABE018" w14:textId="77777777" w:rsidR="00FD3F37" w:rsidRPr="00B82C6B" w:rsidRDefault="00FD3F37" w:rsidP="00314F78">
      <w:pPr>
        <w:pStyle w:val="ListBullet"/>
      </w:pPr>
      <w:r w:rsidRPr="00B82C6B">
        <w:t>joint dislocation</w:t>
      </w:r>
    </w:p>
    <w:p w14:paraId="61C0C7D7" w14:textId="77777777" w:rsidR="00FD3F37" w:rsidRPr="00B82C6B" w:rsidRDefault="00FD3F37" w:rsidP="00314F78">
      <w:pPr>
        <w:pStyle w:val="ListBullet"/>
      </w:pPr>
      <w:r w:rsidRPr="00B82C6B">
        <w:t>closed head injuries with altered consciousness</w:t>
      </w:r>
    </w:p>
    <w:p w14:paraId="3BBF7C1E" w14:textId="361469C8" w:rsidR="00FD3F37" w:rsidRPr="00B82C6B" w:rsidRDefault="7279DF3A" w:rsidP="00314F78">
      <w:pPr>
        <w:pStyle w:val="ListBullet"/>
      </w:pPr>
      <w:r w:rsidRPr="00B82C6B">
        <w:t>subdural haematoma.</w:t>
      </w:r>
      <w:r w:rsidR="009253DC">
        <w:rPr>
          <w:rFonts w:ascii="ZWAdobeF" w:hAnsi="ZWAdobeF" w:cs="ZWAdobeF"/>
          <w:sz w:val="2"/>
          <w:szCs w:val="2"/>
        </w:rPr>
        <w:t>83F</w:t>
      </w:r>
      <w:r w:rsidR="00FD3F37" w:rsidRPr="00517432">
        <w:rPr>
          <w:rStyle w:val="EndnoteReference"/>
        </w:rPr>
        <w:endnoteReference w:id="85"/>
      </w:r>
    </w:p>
    <w:p w14:paraId="3C094BC9" w14:textId="482AFBB1" w:rsidR="00FD3F37" w:rsidRPr="00B82C6B" w:rsidRDefault="7279DF3A" w:rsidP="00314F78">
      <w:r w:rsidRPr="00B82C6B">
        <w:t xml:space="preserve">Falls commonly occur as a result of a person </w:t>
      </w:r>
      <w:r w:rsidRPr="00B82C6B">
        <w:rPr>
          <w:rStyle w:val="Strong"/>
        </w:rPr>
        <w:t>tripping, slipping or stumbling</w:t>
      </w:r>
      <w:r w:rsidRPr="00B82C6B">
        <w:t>.</w:t>
      </w:r>
      <w:r w:rsidR="009253DC">
        <w:rPr>
          <w:rFonts w:ascii="ZWAdobeF" w:hAnsi="ZWAdobeF" w:cs="ZWAdobeF"/>
          <w:color w:val="auto"/>
          <w:sz w:val="2"/>
          <w:szCs w:val="2"/>
        </w:rPr>
        <w:t>84F</w:t>
      </w:r>
      <w:r w:rsidR="00FD3F37" w:rsidRPr="00B82C6B">
        <w:rPr>
          <w:vertAlign w:val="superscript"/>
        </w:rPr>
        <w:endnoteReference w:id="86"/>
      </w:r>
    </w:p>
    <w:p w14:paraId="4BAD4366" w14:textId="77777777" w:rsidR="00FD3F37" w:rsidRPr="00B82C6B" w:rsidRDefault="00FD3F37" w:rsidP="00314F78">
      <w:r w:rsidRPr="00B82C6B">
        <w:t>Details of the collection and reporting requirements for the falls and major injury quality indicator can be found in Part A.</w:t>
      </w:r>
    </w:p>
    <w:p w14:paraId="50FF70AD" w14:textId="4BA389F6" w:rsidR="00FD3F37" w:rsidRPr="00B82C6B" w:rsidRDefault="00FD3F37" w:rsidP="0059348C">
      <w:pPr>
        <w:pStyle w:val="Heading2"/>
      </w:pPr>
      <w:r w:rsidRPr="00B82C6B">
        <w:t>Adverse clinical events associated with falls and major injury</w:t>
      </w:r>
    </w:p>
    <w:p w14:paraId="729287C4" w14:textId="3B7AAFCC" w:rsidR="00FD3F37" w:rsidRPr="00B82C6B" w:rsidRDefault="00FD3F37" w:rsidP="00314F78">
      <w:r w:rsidRPr="00B82C6B">
        <w:rPr>
          <w:rStyle w:val="Strong"/>
        </w:rPr>
        <w:t>Falls and major injury are a significant safety and quality risk across residential aged care</w:t>
      </w:r>
      <w:r w:rsidRPr="00B82C6B">
        <w:t>.</w:t>
      </w:r>
    </w:p>
    <w:p w14:paraId="7A6F721F" w14:textId="2B6CC496" w:rsidR="00FD3F37" w:rsidRPr="00B82C6B" w:rsidRDefault="00FD3F37" w:rsidP="00314F78">
      <w:r w:rsidRPr="00B82C6B">
        <w:t xml:space="preserve">There are many negative consequences of falls, including </w:t>
      </w:r>
      <w:r w:rsidRPr="00B82C6B">
        <w:rPr>
          <w:rStyle w:val="Strong"/>
        </w:rPr>
        <w:t>minor and major injury, pain, reduced physical functioning, decreased independence, psychological impacts, and occasionally death</w:t>
      </w:r>
      <w:r w:rsidRPr="00B82C6B">
        <w:t>.</w:t>
      </w:r>
      <w:r w:rsidRPr="00B82C6B">
        <w:rPr>
          <w:vertAlign w:val="superscript"/>
        </w:rPr>
        <w:fldChar w:fldCharType="begin"/>
      </w:r>
      <w:r w:rsidRPr="00B82C6B">
        <w:rPr>
          <w:vertAlign w:val="superscript"/>
        </w:rPr>
        <w:instrText xml:space="preserve"> NOTEREF _Ref72435953 \f \h </w:instrText>
      </w:r>
      <w:r w:rsidR="007E5196" w:rsidRPr="00B82C6B">
        <w:rPr>
          <w:vertAlign w:val="superscript"/>
        </w:rPr>
        <w:instrText xml:space="preserve"> \* MERGEFORMAT </w:instrText>
      </w:r>
      <w:r w:rsidRPr="00B82C6B">
        <w:rPr>
          <w:vertAlign w:val="superscript"/>
        </w:rPr>
      </w:r>
      <w:r w:rsidRPr="00B82C6B">
        <w:rPr>
          <w:vertAlign w:val="superscript"/>
        </w:rPr>
        <w:fldChar w:fldCharType="separate"/>
      </w:r>
      <w:r w:rsidR="003A30D7" w:rsidRPr="003A30D7">
        <w:t>94</w:t>
      </w:r>
      <w:r w:rsidRPr="00B82C6B">
        <w:rPr>
          <w:vertAlign w:val="superscript"/>
        </w:rPr>
        <w:fldChar w:fldCharType="end"/>
      </w:r>
      <w:r w:rsidRPr="00B82C6B">
        <w:t xml:space="preserve"> </w:t>
      </w:r>
      <w:r w:rsidRPr="00B82C6B">
        <w:fldChar w:fldCharType="begin" w:fldLock="1"/>
      </w:r>
      <w:r w:rsidRPr="00B82C6B">
        <w:instrText xml:space="preserve"> REF _Ref76115999 \h </w:instrText>
      </w:r>
      <w:r w:rsidR="007E5196" w:rsidRPr="00B82C6B">
        <w:instrText xml:space="preserve"> \* MERGEFORMAT </w:instrText>
      </w:r>
      <w:r w:rsidRPr="00B82C6B">
        <w:fldChar w:fldCharType="separate"/>
      </w:r>
      <w:r w:rsidR="009F0B74" w:rsidRPr="00B82C6B">
        <w:t>Figure 19</w:t>
      </w:r>
      <w:r w:rsidRPr="00B82C6B">
        <w:fldChar w:fldCharType="end"/>
      </w:r>
      <w:r w:rsidRPr="00B82C6B">
        <w:t xml:space="preserve"> below outlines the common complications associated with falls in residential aged care.</w:t>
      </w:r>
    </w:p>
    <w:p w14:paraId="2079FC49" w14:textId="6C17EA58" w:rsidR="00FD3F37" w:rsidRPr="00B82C6B" w:rsidRDefault="009963C6" w:rsidP="00314F78">
      <w:pPr>
        <w:pStyle w:val="Caption"/>
      </w:pPr>
      <w:bookmarkStart w:id="36" w:name="_Ref76115999"/>
      <w:r w:rsidRPr="00B82C6B">
        <w:lastRenderedPageBreak/>
        <w:t>FIGURE </w:t>
      </w:r>
      <w:r w:rsidR="00FD3F37" w:rsidRPr="00B82C6B">
        <w:fldChar w:fldCharType="begin"/>
      </w:r>
      <w:r w:rsidR="00FD3F37" w:rsidRPr="00B82C6B">
        <w:instrText>SEQ Figure \* ARABIC</w:instrText>
      </w:r>
      <w:r w:rsidR="00FD3F37" w:rsidRPr="00B82C6B">
        <w:fldChar w:fldCharType="separate"/>
      </w:r>
      <w:r w:rsidR="003A30D7">
        <w:rPr>
          <w:noProof/>
        </w:rPr>
        <w:t>19</w:t>
      </w:r>
      <w:r w:rsidR="00FD3F37" w:rsidRPr="00B82C6B">
        <w:fldChar w:fldCharType="end"/>
      </w:r>
      <w:bookmarkEnd w:id="36"/>
      <w:r w:rsidRPr="00B82C6B">
        <w:t>: COMMON COMPLICATIONS OF FALLS</w:t>
      </w:r>
      <w:r w:rsidR="009253DC">
        <w:rPr>
          <w:rFonts w:ascii="ZWAdobeF" w:hAnsi="ZWAdobeF" w:cs="ZWAdobeF"/>
          <w:b w:val="0"/>
          <w:color w:val="auto"/>
          <w:sz w:val="2"/>
          <w:szCs w:val="2"/>
        </w:rPr>
        <w:t>85F</w:t>
      </w:r>
      <w:r w:rsidR="00E43D7D" w:rsidRPr="00454D17">
        <w:rPr>
          <w:rStyle w:val="EndnoteReference"/>
        </w:rPr>
        <w:endnoteReference w:id="87"/>
      </w:r>
      <w:r w:rsidRPr="00454D17">
        <w:rPr>
          <w:rStyle w:val="EndnoteReference"/>
        </w:rPr>
        <w:t xml:space="preserve"> </w:t>
      </w:r>
      <w:r w:rsidR="009253DC">
        <w:rPr>
          <w:rFonts w:ascii="ZWAdobeF" w:hAnsi="ZWAdobeF" w:cs="ZWAdobeF"/>
          <w:b w:val="0"/>
          <w:color w:val="auto"/>
          <w:sz w:val="2"/>
          <w:szCs w:val="2"/>
        </w:rPr>
        <w:t>86F</w:t>
      </w:r>
      <w:r w:rsidR="00E43D7D" w:rsidRPr="00454D17">
        <w:rPr>
          <w:rStyle w:val="EndnoteReference"/>
        </w:rPr>
        <w:endnoteReference w:id="88"/>
      </w:r>
      <w:r w:rsidRPr="00454D17">
        <w:rPr>
          <w:rStyle w:val="EndnoteReference"/>
        </w:rPr>
        <w:t xml:space="preserve"> </w:t>
      </w:r>
      <w:r w:rsidR="009253DC">
        <w:rPr>
          <w:rFonts w:ascii="ZWAdobeF" w:hAnsi="ZWAdobeF" w:cs="ZWAdobeF"/>
          <w:b w:val="0"/>
          <w:color w:val="auto"/>
          <w:sz w:val="2"/>
          <w:szCs w:val="2"/>
        </w:rPr>
        <w:t>87F</w:t>
      </w:r>
      <w:r w:rsidR="00E43D7D" w:rsidRPr="00454D17">
        <w:rPr>
          <w:rStyle w:val="EndnoteReference"/>
        </w:rPr>
        <w:endnoteReference w:id="89"/>
      </w:r>
    </w:p>
    <w:p w14:paraId="02D03B17" w14:textId="26545902" w:rsidR="00FD3F37" w:rsidRPr="004A09AA" w:rsidRDefault="00E43D7D" w:rsidP="00314F78">
      <w:r w:rsidRPr="004A09AA">
        <w:rPr>
          <w:noProof/>
        </w:rPr>
        <w:drawing>
          <wp:inline distT="0" distB="0" distL="0" distR="0" wp14:anchorId="130F975A" wp14:editId="432FD6BE">
            <wp:extent cx="5732942" cy="4929809"/>
            <wp:effectExtent l="0" t="0" r="1270" b="4445"/>
            <wp:docPr id="2091994300" name="Picture 103" descr="P4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300" name="Picture 103" descr="P428#yIS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47191" cy="4942062"/>
                    </a:xfrm>
                    <a:prstGeom prst="rect">
                      <a:avLst/>
                    </a:prstGeom>
                    <a:noFill/>
                  </pic:spPr>
                </pic:pic>
              </a:graphicData>
            </a:graphic>
          </wp:inline>
        </w:drawing>
      </w:r>
    </w:p>
    <w:p w14:paraId="0977882C" w14:textId="5BF089B1" w:rsidR="00FD3F37" w:rsidRPr="00B82C6B" w:rsidRDefault="00FD3F37" w:rsidP="0059348C">
      <w:pPr>
        <w:pStyle w:val="Heading2"/>
      </w:pPr>
      <w:r w:rsidRPr="00B82C6B">
        <w:t>Risk factors of falls and major injury</w:t>
      </w:r>
    </w:p>
    <w:p w14:paraId="49AFB6E9" w14:textId="72D258A5" w:rsidR="00FD3F37" w:rsidRPr="00B82C6B" w:rsidRDefault="7279DF3A" w:rsidP="00314F78">
      <w:r w:rsidRPr="00B82C6B">
        <w:t>Older Australians are at increased risk of falls and are also more likely to suffer an injury as a result of a fall. This is due to increased frailty, reduced mobility and muscle tone, as well as conditions commonly associated with older age, such as osteoporosis and osteopenia, which weaken bones and increase the risk of injuries occurring from a fall.</w:t>
      </w:r>
      <w:r w:rsidR="009253DC">
        <w:rPr>
          <w:rFonts w:ascii="ZWAdobeF" w:hAnsi="ZWAdobeF" w:cs="ZWAdobeF"/>
          <w:color w:val="auto"/>
          <w:sz w:val="2"/>
          <w:szCs w:val="2"/>
        </w:rPr>
        <w:t>88F</w:t>
      </w:r>
      <w:r w:rsidR="00FD3F37" w:rsidRPr="00B82C6B">
        <w:rPr>
          <w:vertAlign w:val="superscript"/>
        </w:rPr>
        <w:endnoteReference w:id="90"/>
      </w:r>
      <w:r w:rsidRPr="00B82C6B">
        <w:rPr>
          <w:vertAlign w:val="superscript"/>
        </w:rPr>
        <w:t xml:space="preserve"> </w:t>
      </w:r>
      <w:r w:rsidRPr="00B82C6B">
        <w:t>Poor nutrition also increases the risk of falls and major injury</w:t>
      </w:r>
      <w:r w:rsidRPr="00B82C6B">
        <w:rPr>
          <w:vertAlign w:val="superscript"/>
        </w:rPr>
        <w:t>.</w:t>
      </w:r>
      <w:r w:rsidR="009253DC">
        <w:rPr>
          <w:rFonts w:ascii="ZWAdobeF" w:hAnsi="ZWAdobeF" w:cs="ZWAdobeF"/>
          <w:color w:val="auto"/>
          <w:sz w:val="2"/>
          <w:szCs w:val="2"/>
        </w:rPr>
        <w:t>89F</w:t>
      </w:r>
      <w:r w:rsidR="00FD3F37" w:rsidRPr="00B82C6B">
        <w:rPr>
          <w:vertAlign w:val="superscript"/>
        </w:rPr>
        <w:endnoteReference w:id="91"/>
      </w:r>
      <w:r w:rsidRPr="00B82C6B">
        <w:rPr>
          <w:vertAlign w:val="superscript"/>
        </w:rPr>
        <w:t xml:space="preserve"> </w:t>
      </w:r>
      <w:r w:rsidR="00FD3F37" w:rsidRPr="00B82C6B">
        <w:rPr>
          <w:vertAlign w:val="superscript"/>
        </w:rPr>
        <w:fldChar w:fldCharType="begin"/>
      </w:r>
      <w:r w:rsidR="00FD3F37" w:rsidRPr="00B82C6B">
        <w:rPr>
          <w:vertAlign w:val="superscript"/>
        </w:rPr>
        <w:instrText xml:space="preserve"> NOTEREF _Ref72435953 \f \h </w:instrText>
      </w:r>
      <w:r w:rsidR="00B82C6B" w:rsidRPr="00B82C6B">
        <w:rPr>
          <w:vertAlign w:val="superscript"/>
        </w:rPr>
        <w:instrText xml:space="preserve"> \* MERGEFORMAT </w:instrText>
      </w:r>
      <w:r w:rsidR="00FD3F37" w:rsidRPr="00B82C6B">
        <w:rPr>
          <w:vertAlign w:val="superscript"/>
        </w:rPr>
      </w:r>
      <w:r w:rsidR="00FD3F37" w:rsidRPr="00B82C6B">
        <w:rPr>
          <w:vertAlign w:val="superscript"/>
        </w:rPr>
        <w:fldChar w:fldCharType="separate"/>
      </w:r>
      <w:r w:rsidR="003A30D7" w:rsidRPr="003A30D7">
        <w:t>94</w:t>
      </w:r>
      <w:r w:rsidR="00FD3F37" w:rsidRPr="00B82C6B">
        <w:rPr>
          <w:vertAlign w:val="superscript"/>
        </w:rPr>
        <w:fldChar w:fldCharType="end"/>
      </w:r>
    </w:p>
    <w:p w14:paraId="7508D895" w14:textId="573A162D" w:rsidR="00FD3F37" w:rsidRPr="00B82C6B" w:rsidRDefault="7279DF3A" w:rsidP="00314F78">
      <w:r w:rsidRPr="00B82C6B">
        <w:t xml:space="preserve">There is a range of risk factors that place care recipients at increased risk of falling (see </w:t>
      </w:r>
      <w:r w:rsidR="00FD3F37" w:rsidRPr="00B82C6B">
        <w:fldChar w:fldCharType="begin" w:fldLock="1"/>
      </w:r>
      <w:r w:rsidR="00FD3F37" w:rsidRPr="00B82C6B">
        <w:instrText xml:space="preserve"> REF _Ref76114516 \h </w:instrText>
      </w:r>
      <w:r w:rsidR="00B82C6B">
        <w:instrText xml:space="preserve"> \* MERGEFORMAT </w:instrText>
      </w:r>
      <w:r w:rsidR="00FD3F37" w:rsidRPr="00B82C6B">
        <w:fldChar w:fldCharType="separate"/>
      </w:r>
      <w:r w:rsidR="618E129D" w:rsidRPr="00B82C6B">
        <w:t>Figure 20</w:t>
      </w:r>
      <w:r w:rsidR="00FD3F37" w:rsidRPr="00B82C6B">
        <w:fldChar w:fldCharType="end"/>
      </w:r>
      <w:r w:rsidRPr="00B82C6B">
        <w:t xml:space="preserve"> below).</w:t>
      </w:r>
      <w:r w:rsidR="009253DC">
        <w:rPr>
          <w:rFonts w:ascii="ZWAdobeF" w:hAnsi="ZWAdobeF" w:cs="ZWAdobeF"/>
          <w:color w:val="auto"/>
          <w:sz w:val="2"/>
          <w:szCs w:val="2"/>
        </w:rPr>
        <w:t>90F</w:t>
      </w:r>
      <w:r w:rsidR="00FD3F37" w:rsidRPr="00B82C6B">
        <w:rPr>
          <w:vertAlign w:val="superscript"/>
        </w:rPr>
        <w:endnoteReference w:id="92"/>
      </w:r>
      <w:r w:rsidRPr="00B82C6B">
        <w:rPr>
          <w:vertAlign w:val="superscript"/>
        </w:rPr>
        <w:t xml:space="preserve"> </w:t>
      </w:r>
      <w:r w:rsidR="009253DC">
        <w:rPr>
          <w:rFonts w:ascii="ZWAdobeF" w:hAnsi="ZWAdobeF" w:cs="ZWAdobeF"/>
          <w:color w:val="auto"/>
          <w:sz w:val="2"/>
          <w:szCs w:val="2"/>
        </w:rPr>
        <w:t>91F</w:t>
      </w:r>
      <w:r w:rsidR="00FD3F37" w:rsidRPr="00B82C6B">
        <w:rPr>
          <w:vertAlign w:val="superscript"/>
        </w:rPr>
        <w:endnoteReference w:id="93"/>
      </w:r>
      <w:r w:rsidRPr="00B82C6B">
        <w:rPr>
          <w:vertAlign w:val="superscript"/>
        </w:rPr>
        <w:t xml:space="preserve"> </w:t>
      </w:r>
      <w:r w:rsidR="009253DC">
        <w:rPr>
          <w:rFonts w:ascii="ZWAdobeF" w:hAnsi="ZWAdobeF" w:cs="ZWAdobeF"/>
          <w:color w:val="auto"/>
          <w:sz w:val="2"/>
          <w:szCs w:val="2"/>
        </w:rPr>
        <w:t>92F</w:t>
      </w:r>
      <w:r w:rsidR="00FD3F37" w:rsidRPr="00B82C6B">
        <w:rPr>
          <w:vertAlign w:val="superscript"/>
        </w:rPr>
        <w:endnoteReference w:id="94"/>
      </w:r>
      <w:r w:rsidRPr="00B82C6B">
        <w:rPr>
          <w:vertAlign w:val="superscript"/>
        </w:rPr>
        <w:t xml:space="preserve"> </w:t>
      </w:r>
      <w:bookmarkStart w:id="37" w:name="_Ref72435953"/>
      <w:r w:rsidR="009253DC">
        <w:rPr>
          <w:rFonts w:ascii="ZWAdobeF" w:hAnsi="ZWAdobeF" w:cs="ZWAdobeF"/>
          <w:color w:val="auto"/>
          <w:sz w:val="2"/>
          <w:szCs w:val="2"/>
        </w:rPr>
        <w:t>93F</w:t>
      </w:r>
      <w:r w:rsidR="00FD3F37" w:rsidRPr="00B82C6B">
        <w:rPr>
          <w:vertAlign w:val="superscript"/>
        </w:rPr>
        <w:endnoteReference w:id="95"/>
      </w:r>
      <w:bookmarkEnd w:id="37"/>
      <w:r w:rsidRPr="00B82C6B">
        <w:rPr>
          <w:vertAlign w:val="superscript"/>
        </w:rPr>
        <w:t xml:space="preserve"> </w:t>
      </w:r>
      <w:r w:rsidR="009253DC">
        <w:rPr>
          <w:rFonts w:ascii="ZWAdobeF" w:hAnsi="ZWAdobeF" w:cs="ZWAdobeF"/>
          <w:color w:val="auto"/>
          <w:sz w:val="2"/>
          <w:szCs w:val="2"/>
        </w:rPr>
        <w:t>94F</w:t>
      </w:r>
      <w:r w:rsidR="00FD3F37" w:rsidRPr="00B82C6B">
        <w:rPr>
          <w:vertAlign w:val="superscript"/>
        </w:rPr>
        <w:endnoteReference w:id="96"/>
      </w:r>
      <w:r w:rsidRPr="00B82C6B">
        <w:rPr>
          <w:vertAlign w:val="superscript"/>
        </w:rPr>
        <w:t xml:space="preserve"> </w:t>
      </w:r>
      <w:r w:rsidRPr="00B82C6B">
        <w:t>Having a strong understanding of the risk factors is crucial to identify care recipients who are at risk of falling.</w:t>
      </w:r>
    </w:p>
    <w:p w14:paraId="6F69B5C6" w14:textId="615E5AC1" w:rsidR="00FD3F37" w:rsidRPr="008322CB" w:rsidRDefault="009963C6" w:rsidP="00314F78">
      <w:pPr>
        <w:pStyle w:val="Caption"/>
      </w:pPr>
      <w:bookmarkStart w:id="38" w:name="_Ref76114516"/>
      <w:r w:rsidRPr="008322CB">
        <w:lastRenderedPageBreak/>
        <w:t>FIGURE </w:t>
      </w:r>
      <w:r w:rsidR="7279DF3A" w:rsidRPr="008322CB">
        <w:fldChar w:fldCharType="begin"/>
      </w:r>
      <w:r w:rsidR="7279DF3A" w:rsidRPr="008322CB">
        <w:instrText>SEQ Figure \* ARABIC</w:instrText>
      </w:r>
      <w:r w:rsidR="7279DF3A" w:rsidRPr="008322CB">
        <w:fldChar w:fldCharType="separate"/>
      </w:r>
      <w:r w:rsidR="003A30D7">
        <w:rPr>
          <w:noProof/>
        </w:rPr>
        <w:t>20</w:t>
      </w:r>
      <w:r w:rsidR="7279DF3A" w:rsidRPr="008322CB">
        <w:fldChar w:fldCharType="end"/>
      </w:r>
      <w:bookmarkEnd w:id="38"/>
      <w:r w:rsidRPr="008322CB">
        <w:t>: PERSONAL RISK FACTORS THAT INCREASE A CARE RECIPIENT’S RISK OF FALLING</w:t>
      </w:r>
    </w:p>
    <w:p w14:paraId="2DA8B49B" w14:textId="77777777" w:rsidR="00486158" w:rsidRDefault="00A354CB" w:rsidP="00314F78">
      <w:pPr>
        <w:sectPr w:rsidR="00486158" w:rsidSect="00726801">
          <w:headerReference w:type="even" r:id="rId122"/>
          <w:headerReference w:type="default" r:id="rId123"/>
          <w:headerReference w:type="first" r:id="rId124"/>
          <w:endnotePr>
            <w:numFmt w:val="decimal"/>
          </w:endnotePr>
          <w:pgSz w:w="11906" w:h="16838" w:code="9"/>
          <w:pgMar w:top="1701" w:right="1134" w:bottom="1134" w:left="993" w:header="567" w:footer="567" w:gutter="0"/>
          <w:cols w:space="567"/>
          <w:docGrid w:linePitch="360"/>
        </w:sectPr>
      </w:pPr>
      <w:r>
        <w:rPr>
          <w:noProof/>
        </w:rPr>
        <w:drawing>
          <wp:inline distT="0" distB="0" distL="0" distR="0" wp14:anchorId="70C5038F" wp14:editId="1E2772C3">
            <wp:extent cx="6084000" cy="4535825"/>
            <wp:effectExtent l="0" t="0" r="0" b="0"/>
            <wp:docPr id="34" name="Picture 34" descr="P4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433#yIS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84000" cy="4535825"/>
                    </a:xfrm>
                    <a:prstGeom prst="rect">
                      <a:avLst/>
                    </a:prstGeom>
                    <a:noFill/>
                  </pic:spPr>
                </pic:pic>
              </a:graphicData>
            </a:graphic>
          </wp:inline>
        </w:drawing>
      </w:r>
      <w:bookmarkStart w:id="39" w:name="_Toc73261133"/>
      <w:bookmarkEnd w:id="35"/>
    </w:p>
    <w:p w14:paraId="5F66FB56" w14:textId="35DF37A6" w:rsidR="00FD3F37" w:rsidRPr="002765D3" w:rsidRDefault="00FD3F37" w:rsidP="0059348C">
      <w:pPr>
        <w:pStyle w:val="Heading2"/>
      </w:pPr>
      <w:r w:rsidRPr="002765D3">
        <w:t>Prevention and management of falls and major injury</w:t>
      </w:r>
      <w:bookmarkEnd w:id="39"/>
      <w:r w:rsidRPr="002765D3">
        <w:t>, including prevention checklist</w:t>
      </w:r>
    </w:p>
    <w:p w14:paraId="0CC507E2" w14:textId="6CB6F102" w:rsidR="00FD3F37" w:rsidRPr="00486158" w:rsidRDefault="00FD3F37" w:rsidP="00314F78">
      <w:r w:rsidRPr="00486158">
        <w:t>While not all falls (with and without injury) can be prevented, awareness of risk factors and some simple steps can reduce the risk of falling and an injury occurring.</w:t>
      </w:r>
    </w:p>
    <w:p w14:paraId="7DCC2351" w14:textId="77777777" w:rsidR="00FD3F37" w:rsidRPr="00486158" w:rsidRDefault="00FD3F37" w:rsidP="00314F78">
      <w:r w:rsidRPr="00486158">
        <w:t>There are three key focuses of falls prevention:</w:t>
      </w:r>
    </w:p>
    <w:p w14:paraId="1B73DFCD" w14:textId="77777777" w:rsidR="00FD3F37" w:rsidRPr="00454D17" w:rsidRDefault="7279DF3A" w:rsidP="00314F78">
      <w:pPr>
        <w:pStyle w:val="ListNumber"/>
        <w:numPr>
          <w:ilvl w:val="0"/>
          <w:numId w:val="41"/>
        </w:numPr>
      </w:pPr>
      <w:r w:rsidRPr="00454D17">
        <w:rPr>
          <w:rStyle w:val="Strong"/>
        </w:rPr>
        <w:t>To assess</w:t>
      </w:r>
      <w:r w:rsidRPr="00454D17">
        <w:t xml:space="preserve"> an individual’s risk of falling through identifying specific risk factors.</w:t>
      </w:r>
    </w:p>
    <w:p w14:paraId="475D7B3D" w14:textId="77777777" w:rsidR="00FD3F37" w:rsidRPr="00454D17" w:rsidRDefault="00FD3F37" w:rsidP="00314F78">
      <w:pPr>
        <w:pStyle w:val="ListNumber"/>
      </w:pPr>
      <w:r w:rsidRPr="00454D17">
        <w:rPr>
          <w:rStyle w:val="Strong"/>
        </w:rPr>
        <w:t>To implement</w:t>
      </w:r>
      <w:r w:rsidRPr="00454D17">
        <w:t xml:space="preserve"> specific prevention programs or interventions to target these specific risk factors.</w:t>
      </w:r>
    </w:p>
    <w:p w14:paraId="684D9CBD" w14:textId="77777777" w:rsidR="00FD3F37" w:rsidRPr="00454D17" w:rsidRDefault="00FD3F37" w:rsidP="00314F78">
      <w:pPr>
        <w:pStyle w:val="ListNumber"/>
      </w:pPr>
      <w:r w:rsidRPr="00454D17">
        <w:rPr>
          <w:rStyle w:val="Strong"/>
        </w:rPr>
        <w:t>To prevent</w:t>
      </w:r>
      <w:r w:rsidRPr="00454D17">
        <w:t xml:space="preserve"> injuries in those people who do fall.</w:t>
      </w:r>
    </w:p>
    <w:p w14:paraId="0482E6BD" w14:textId="1B4FF219" w:rsidR="00FD3F37" w:rsidRPr="00F2392D" w:rsidRDefault="7279DF3A" w:rsidP="00F2392D">
      <w:r w:rsidRPr="004A09AA">
        <w:t>There are important aspects of care that can be considered to prevent and manage falls and injuries.</w:t>
      </w:r>
      <w:r w:rsidR="732D2AB0" w:rsidRPr="004A09AA">
        <w:t xml:space="preserve"> </w:t>
      </w:r>
      <w:r w:rsidRPr="00D82644">
        <w:fldChar w:fldCharType="begin" w:fldLock="1"/>
      </w:r>
      <w:r w:rsidRPr="00D82644">
        <w:instrText xml:space="preserve"> REF _Ref76120816 \h  \* MERGEFORMAT </w:instrText>
      </w:r>
      <w:r w:rsidRPr="00D82644">
        <w:fldChar w:fldCharType="separate"/>
      </w:r>
      <w:r w:rsidR="618E129D" w:rsidRPr="00D82644">
        <w:t>Figure 21</w:t>
      </w:r>
      <w:r w:rsidRPr="00D82644">
        <w:fldChar w:fldCharType="end"/>
      </w:r>
      <w:r w:rsidRPr="004A09AA">
        <w:t xml:space="preserve"> </w:t>
      </w:r>
      <w:r w:rsidR="5D1F561A" w:rsidRPr="004A09AA">
        <w:t>on the following page</w:t>
      </w:r>
      <w:r w:rsidRPr="004A09AA">
        <w:t xml:space="preserve"> provides simple steps to identifying a care recipient’s falls risk and preventing falls and injuries from occurring.</w:t>
      </w:r>
    </w:p>
    <w:p w14:paraId="2CDA9F9A" w14:textId="77777777" w:rsidR="00FD3F37" w:rsidRPr="002765D3" w:rsidRDefault="00FD3F37" w:rsidP="00314F78">
      <w:pPr>
        <w:sectPr w:rsidR="00FD3F37" w:rsidRPr="002765D3" w:rsidSect="00486158">
          <w:endnotePr>
            <w:numFmt w:val="decimal"/>
          </w:endnotePr>
          <w:type w:val="continuous"/>
          <w:pgSz w:w="11906" w:h="16838" w:code="9"/>
          <w:pgMar w:top="1701" w:right="1134" w:bottom="1134" w:left="993" w:header="567" w:footer="567" w:gutter="0"/>
          <w:cols w:space="567"/>
          <w:docGrid w:linePitch="360"/>
        </w:sectPr>
      </w:pPr>
    </w:p>
    <w:p w14:paraId="5A29A099" w14:textId="3CEA1B1F" w:rsidR="00FD3F37" w:rsidRPr="00486158" w:rsidRDefault="009963C6" w:rsidP="00314F78">
      <w:pPr>
        <w:pStyle w:val="Caption"/>
      </w:pPr>
      <w:bookmarkStart w:id="40" w:name="_Ref76120816"/>
      <w:r w:rsidRPr="00486158">
        <w:lastRenderedPageBreak/>
        <w:t>FIGURE </w:t>
      </w:r>
      <w:r w:rsidR="00FD3F37" w:rsidRPr="00486158">
        <w:fldChar w:fldCharType="begin"/>
      </w:r>
      <w:r w:rsidR="00FD3F37" w:rsidRPr="00486158">
        <w:instrText>SEQ Figure \* ARABIC</w:instrText>
      </w:r>
      <w:r w:rsidR="00FD3F37" w:rsidRPr="00486158">
        <w:fldChar w:fldCharType="separate"/>
      </w:r>
      <w:r w:rsidR="003A30D7">
        <w:rPr>
          <w:noProof/>
        </w:rPr>
        <w:t>21</w:t>
      </w:r>
      <w:r w:rsidR="00FD3F37" w:rsidRPr="00486158">
        <w:fldChar w:fldCharType="end"/>
      </w:r>
      <w:bookmarkEnd w:id="40"/>
      <w:r w:rsidRPr="00486158">
        <w:t>: RISK FACTORS AND PREVENTION AND MANAGEMENT STRATEGIES FOR FALLS</w:t>
      </w:r>
    </w:p>
    <w:p w14:paraId="2A37E556" w14:textId="6A18EC3A" w:rsidR="00D25451" w:rsidRPr="002765D3" w:rsidRDefault="005F631A" w:rsidP="00314F78">
      <w:r>
        <w:rPr>
          <w:noProof/>
        </w:rPr>
        <w:drawing>
          <wp:inline distT="0" distB="0" distL="0" distR="0" wp14:anchorId="5849F999" wp14:editId="0D67B24F">
            <wp:extent cx="9740340" cy="4929809"/>
            <wp:effectExtent l="0" t="0" r="0" b="0"/>
            <wp:docPr id="1878" name="Picture 1878" descr="P4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descr="P443#yIS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46254" cy="4932802"/>
                    </a:xfrm>
                    <a:prstGeom prst="rect">
                      <a:avLst/>
                    </a:prstGeom>
                    <a:noFill/>
                  </pic:spPr>
                </pic:pic>
              </a:graphicData>
            </a:graphic>
          </wp:inline>
        </w:drawing>
      </w:r>
    </w:p>
    <w:p w14:paraId="4068CA18" w14:textId="77777777" w:rsidR="00FD3F37" w:rsidRPr="004A09AA" w:rsidRDefault="00FD3F37" w:rsidP="00314F78">
      <w:pPr>
        <w:sectPr w:rsidR="00FD3F37" w:rsidRPr="004A09AA" w:rsidSect="004A26F5">
          <w:endnotePr>
            <w:numFmt w:val="decimal"/>
          </w:endnotePr>
          <w:pgSz w:w="16838" w:h="11906" w:orient="landscape" w:code="9"/>
          <w:pgMar w:top="1134" w:right="1134" w:bottom="1134" w:left="1134" w:header="567" w:footer="567" w:gutter="0"/>
          <w:cols w:space="567"/>
          <w:docGrid w:linePitch="360"/>
        </w:sectPr>
      </w:pPr>
    </w:p>
    <w:p w14:paraId="0F1DC74C" w14:textId="77777777" w:rsidR="00FD3F37" w:rsidRPr="00486158" w:rsidRDefault="7279DF3A" w:rsidP="00314F78">
      <w:bookmarkStart w:id="41" w:name="_Ref76122289"/>
      <w:r w:rsidRPr="00486158">
        <w:lastRenderedPageBreak/>
        <w:t>The checklist below will help to assess care recipients who are at risk of falls and major injury and identify prevention strategies to reduce the risk of falls and major injury occurring.</w:t>
      </w:r>
    </w:p>
    <w:p w14:paraId="04737A84" w14:textId="36016D67" w:rsidR="00FD3F37" w:rsidRPr="00486158" w:rsidRDefault="009963C6" w:rsidP="00314F78">
      <w:pPr>
        <w:pStyle w:val="Caption"/>
      </w:pPr>
      <w:r w:rsidRPr="00486158">
        <w:t>FIGURE</w:t>
      </w:r>
      <w:bookmarkEnd w:id="41"/>
      <w:r w:rsidRPr="00486158">
        <w:t> </w:t>
      </w:r>
      <w:r w:rsidR="00FD3F37" w:rsidRPr="00486158">
        <w:fldChar w:fldCharType="begin"/>
      </w:r>
      <w:r w:rsidR="00FD3F37" w:rsidRPr="00486158">
        <w:instrText>SEQ Figure \* ARABIC</w:instrText>
      </w:r>
      <w:r w:rsidR="00FD3F37" w:rsidRPr="00486158">
        <w:fldChar w:fldCharType="separate"/>
      </w:r>
      <w:r w:rsidR="003A30D7">
        <w:rPr>
          <w:noProof/>
        </w:rPr>
        <w:t>22</w:t>
      </w:r>
      <w:r w:rsidR="00FD3F37" w:rsidRPr="00486158">
        <w:fldChar w:fldCharType="end"/>
      </w:r>
      <w:r w:rsidRPr="00486158">
        <w:t>: CHECKLIST FOR THE PREVENTION OF FALLS AND MAJOR INJURY</w:t>
      </w:r>
    </w:p>
    <w:p w14:paraId="0DEBA682" w14:textId="6FFE29F5" w:rsidR="00CD35E1" w:rsidRPr="002765D3" w:rsidRDefault="00C96EE6" w:rsidP="00314F78">
      <w:pPr>
        <w:pStyle w:val="ChecklistHeading"/>
        <w:sectPr w:rsidR="00CD35E1" w:rsidRPr="002765D3" w:rsidSect="00726801">
          <w:headerReference w:type="even" r:id="rId127"/>
          <w:headerReference w:type="default" r:id="rId128"/>
          <w:headerReference w:type="first" r:id="rId129"/>
          <w:endnotePr>
            <w:numFmt w:val="decimal"/>
          </w:endnotePr>
          <w:pgSz w:w="11906" w:h="16838" w:code="9"/>
          <w:pgMar w:top="1701" w:right="1134" w:bottom="1134" w:left="1134" w:header="567" w:footer="567" w:gutter="0"/>
          <w:cols w:space="567"/>
          <w:docGrid w:linePitch="360"/>
        </w:sectPr>
      </w:pPr>
      <w:r w:rsidRPr="002765D3">
        <w:rPr>
          <w:noProof/>
          <w:lang w:eastAsia="en-AU"/>
        </w:rPr>
        <w:drawing>
          <wp:anchor distT="0" distB="0" distL="114300" distR="114300" simplePos="0" relativeHeight="251658282" behindDoc="0" locked="0" layoutInCell="1" allowOverlap="1" wp14:anchorId="71B7C294" wp14:editId="2A265B5F">
            <wp:simplePos x="0" y="0"/>
            <wp:positionH relativeFrom="column">
              <wp:posOffset>-101864</wp:posOffset>
            </wp:positionH>
            <wp:positionV relativeFrom="paragraph">
              <wp:posOffset>292100</wp:posOffset>
            </wp:positionV>
            <wp:extent cx="566382" cy="580456"/>
            <wp:effectExtent l="0" t="0" r="5715" b="0"/>
            <wp:wrapSquare wrapText="bothSides"/>
            <wp:docPr id="2091994302" name="Picture 109" descr="P4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302" name="Picture 109" descr="P447#y1"/>
                    <pic:cNvPicPr/>
                  </pic:nvPicPr>
                  <pic:blipFill>
                    <a:blip r:embed="rId57">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anchor>
        </w:drawing>
      </w:r>
      <w:r w:rsidR="00CD35E1" w:rsidRPr="002765D3">
        <w:t xml:space="preserve">Checklist for </w:t>
      </w:r>
      <w:r w:rsidR="00D15A4A">
        <w:t xml:space="preserve">the </w:t>
      </w:r>
      <w:r w:rsidR="00CD35E1" w:rsidRPr="002765D3">
        <w:t xml:space="preserve">prevention of </w:t>
      </w:r>
      <w:r w:rsidR="00CD35E1">
        <w:t>falls and major injury</w:t>
      </w:r>
    </w:p>
    <w:p w14:paraId="1E686D2D" w14:textId="65E72833" w:rsidR="00DE51EF" w:rsidRPr="002765D3" w:rsidRDefault="6BF568B1" w:rsidP="00314F78">
      <w:pPr>
        <w:pStyle w:val="TableHeader"/>
      </w:pPr>
      <w:r w:rsidRPr="189D3658">
        <w:t>Undertake an environmental review and modify as needed</w:t>
      </w:r>
    </w:p>
    <w:p w14:paraId="27310787" w14:textId="77777777" w:rsidR="00DE51EF" w:rsidRPr="004F083B" w:rsidRDefault="6BF568B1" w:rsidP="00314F78">
      <w:pPr>
        <w:pStyle w:val="ListBullet"/>
      </w:pPr>
      <w:r w:rsidRPr="189D3658">
        <w:t>Conduct a quarterly environmental review at the service level (e.g. in common areas or hallways).</w:t>
      </w:r>
    </w:p>
    <w:p w14:paraId="1EFA9804" w14:textId="77777777" w:rsidR="00DE51EF" w:rsidRPr="004F083B" w:rsidRDefault="00DE51EF" w:rsidP="00314F78">
      <w:pPr>
        <w:pStyle w:val="ListBullet"/>
      </w:pPr>
      <w:r w:rsidRPr="004F083B">
        <w:t>Conduct a quarterly review at the individual level (e.g. in bedrooms and bathrooms).</w:t>
      </w:r>
    </w:p>
    <w:p w14:paraId="0EA6A05B" w14:textId="24CEB79D" w:rsidR="00DE51EF" w:rsidRPr="002765D3" w:rsidRDefault="6BF568B1" w:rsidP="00314F78">
      <w:pPr>
        <w:pStyle w:val="ListBullet"/>
      </w:pPr>
      <w:r w:rsidRPr="189D3658">
        <w:t>Make modifications where hazards are identified.</w:t>
      </w:r>
    </w:p>
    <w:p w14:paraId="42F405B9" w14:textId="2966BC1B" w:rsidR="00DE51EF" w:rsidRPr="002765D3" w:rsidRDefault="00C96EE6" w:rsidP="00314F78">
      <w:pPr>
        <w:pStyle w:val="TableHeader"/>
      </w:pPr>
      <w:r w:rsidRPr="002765D3">
        <w:rPr>
          <w:noProof/>
          <w:lang w:eastAsia="en-AU"/>
        </w:rPr>
        <w:drawing>
          <wp:anchor distT="0" distB="0" distL="114300" distR="114300" simplePos="0" relativeHeight="251658283" behindDoc="0" locked="0" layoutInCell="1" allowOverlap="1" wp14:anchorId="4E395423" wp14:editId="0D0249CE">
            <wp:simplePos x="0" y="0"/>
            <wp:positionH relativeFrom="column">
              <wp:posOffset>-683631</wp:posOffset>
            </wp:positionH>
            <wp:positionV relativeFrom="paragraph">
              <wp:posOffset>11430</wp:posOffset>
            </wp:positionV>
            <wp:extent cx="564743" cy="577970"/>
            <wp:effectExtent l="0" t="0" r="6985" b="0"/>
            <wp:wrapSquare wrapText="bothSides"/>
            <wp:docPr id="2091994303" name="Picture 110" descr="P4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303" name="Picture 110" descr="P452#y1"/>
                    <pic:cNvPicPr/>
                  </pic:nvPicPr>
                  <pic:blipFill>
                    <a:blip r:embed="rId60">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00DE51EF" w:rsidRPr="002765D3">
        <w:t>Undertake a falls risk assessment using a validated tool</w:t>
      </w:r>
    </w:p>
    <w:p w14:paraId="268C6E77" w14:textId="77777777" w:rsidR="00DE51EF" w:rsidRPr="002765D3" w:rsidRDefault="00DE51EF" w:rsidP="00314F78">
      <w:pPr>
        <w:pStyle w:val="ListBullet"/>
      </w:pPr>
      <w:r w:rsidRPr="002765D3">
        <w:t>When a care recipient is first admitted to a residential aged care service.</w:t>
      </w:r>
    </w:p>
    <w:p w14:paraId="7476800D" w14:textId="77777777" w:rsidR="00DE51EF" w:rsidRPr="002765D3" w:rsidRDefault="00DE51EF" w:rsidP="00314F78">
      <w:pPr>
        <w:pStyle w:val="ListBullet"/>
      </w:pPr>
      <w:r w:rsidRPr="002765D3">
        <w:t>After a care recipient has a fall.</w:t>
      </w:r>
    </w:p>
    <w:p w14:paraId="011B751A" w14:textId="77777777" w:rsidR="00DE51EF" w:rsidRPr="002765D3" w:rsidRDefault="00DE51EF" w:rsidP="00314F78">
      <w:pPr>
        <w:pStyle w:val="ListBullet"/>
      </w:pPr>
      <w:r w:rsidRPr="002765D3">
        <w:t>After a change in health status.</w:t>
      </w:r>
    </w:p>
    <w:p w14:paraId="15681C06" w14:textId="321BEEAD" w:rsidR="00DE51EF" w:rsidRPr="002765D3" w:rsidRDefault="00C96EE6" w:rsidP="00314F78">
      <w:pPr>
        <w:pStyle w:val="ListBullet"/>
      </w:pPr>
      <w:r w:rsidRPr="002765D3">
        <w:rPr>
          <w:noProof/>
          <w:lang w:eastAsia="en-AU"/>
        </w:rPr>
        <w:drawing>
          <wp:anchor distT="0" distB="0" distL="114300" distR="114300" simplePos="0" relativeHeight="251658284" behindDoc="0" locked="0" layoutInCell="1" allowOverlap="1" wp14:anchorId="76789DBE" wp14:editId="592911EC">
            <wp:simplePos x="0" y="0"/>
            <wp:positionH relativeFrom="column">
              <wp:posOffset>-649976</wp:posOffset>
            </wp:positionH>
            <wp:positionV relativeFrom="paragraph">
              <wp:posOffset>332105</wp:posOffset>
            </wp:positionV>
            <wp:extent cx="564851" cy="569343"/>
            <wp:effectExtent l="0" t="0" r="6985" b="2540"/>
            <wp:wrapSquare wrapText="bothSides"/>
            <wp:docPr id="2091994176" name="Picture 111" descr="P4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76" name="Picture 111" descr="P456#y1"/>
                    <pic:cNvPicPr/>
                  </pic:nvPicPr>
                  <pic:blipFill>
                    <a:blip r:embed="rId5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00DE51EF" w:rsidRPr="002765D3">
        <w:t>On an annual basis for all care recipients.</w:t>
      </w:r>
    </w:p>
    <w:p w14:paraId="027BC39D" w14:textId="5AC42713" w:rsidR="00DE51EF" w:rsidRPr="002765D3" w:rsidRDefault="00DE51EF" w:rsidP="00C96EE6">
      <w:pPr>
        <w:pStyle w:val="TableHeader"/>
      </w:pPr>
      <w:r w:rsidRPr="002765D3">
        <w:t>Document findings in a care plan</w:t>
      </w:r>
    </w:p>
    <w:p w14:paraId="610C1F12" w14:textId="77777777" w:rsidR="00DE51EF" w:rsidRPr="002765D3" w:rsidRDefault="00DE51EF" w:rsidP="00314F78">
      <w:pPr>
        <w:pStyle w:val="ListBullet"/>
      </w:pPr>
      <w:r w:rsidRPr="002765D3">
        <w:t>Outline the activities that will be undertaken to reduce the care recipient’s risk of falling.</w:t>
      </w:r>
    </w:p>
    <w:p w14:paraId="2910E8DC" w14:textId="77777777" w:rsidR="00DE51EF" w:rsidRPr="002765D3" w:rsidRDefault="00DE51EF" w:rsidP="00314F78">
      <w:pPr>
        <w:pStyle w:val="ListBullet"/>
      </w:pPr>
      <w:r w:rsidRPr="002765D3">
        <w:t>Document risk factors, including comorbidities and mobility status.</w:t>
      </w:r>
    </w:p>
    <w:p w14:paraId="08C1F8F2" w14:textId="02682075" w:rsidR="00DE51EF" w:rsidRPr="002765D3" w:rsidRDefault="00C96EE6" w:rsidP="00314F78">
      <w:pPr>
        <w:pStyle w:val="ListBullet"/>
      </w:pPr>
      <w:r w:rsidRPr="002765D3">
        <w:rPr>
          <w:noProof/>
          <w:lang w:eastAsia="en-AU"/>
        </w:rPr>
        <w:drawing>
          <wp:anchor distT="0" distB="0" distL="114300" distR="114300" simplePos="0" relativeHeight="251658285" behindDoc="0" locked="0" layoutInCell="1" allowOverlap="1" wp14:anchorId="57DC4511" wp14:editId="6FB1DCCD">
            <wp:simplePos x="0" y="0"/>
            <wp:positionH relativeFrom="margin">
              <wp:align>left</wp:align>
            </wp:positionH>
            <wp:positionV relativeFrom="paragraph">
              <wp:posOffset>399571</wp:posOffset>
            </wp:positionV>
            <wp:extent cx="564743" cy="586596"/>
            <wp:effectExtent l="0" t="0" r="6985" b="4445"/>
            <wp:wrapSquare wrapText="bothSides"/>
            <wp:docPr id="2091994177" name="Picture 112" descr="P4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77" name="Picture 112" descr="P460#y1"/>
                    <pic:cNvPicPr/>
                  </pic:nvPicPr>
                  <pic:blipFill>
                    <a:blip r:embed="rId59">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anchor>
        </w:drawing>
      </w:r>
      <w:r w:rsidR="00DE51EF" w:rsidRPr="002765D3">
        <w:t>Consider the care recipient’s personal preferences.</w:t>
      </w:r>
    </w:p>
    <w:p w14:paraId="5E4391DE" w14:textId="28F60D47" w:rsidR="00DE51EF" w:rsidRPr="002765D3" w:rsidRDefault="6BF568B1" w:rsidP="00C96EE6">
      <w:pPr>
        <w:pStyle w:val="TableHeader"/>
      </w:pPr>
      <w:r w:rsidRPr="189D3658">
        <w:t>Implement an appropriate prevention strategy based on the care recipient’s risk factors</w:t>
      </w:r>
    </w:p>
    <w:p w14:paraId="613FDB98" w14:textId="3A21CD89" w:rsidR="00DE51EF" w:rsidRPr="002765D3" w:rsidRDefault="00C96EE6" w:rsidP="00314F78">
      <w:pPr>
        <w:pStyle w:val="ListBullet"/>
      </w:pPr>
      <w:r w:rsidRPr="002765D3">
        <w:rPr>
          <w:noProof/>
        </w:rPr>
        <w:drawing>
          <wp:anchor distT="0" distB="0" distL="114300" distR="114300" simplePos="0" relativeHeight="251658286" behindDoc="1" locked="0" layoutInCell="1" allowOverlap="1" wp14:anchorId="7A7B8FE3" wp14:editId="24407DDB">
            <wp:simplePos x="0" y="0"/>
            <wp:positionH relativeFrom="column">
              <wp:posOffset>2608209</wp:posOffset>
            </wp:positionH>
            <wp:positionV relativeFrom="paragraph">
              <wp:posOffset>543560</wp:posOffset>
            </wp:positionV>
            <wp:extent cx="564743" cy="577969"/>
            <wp:effectExtent l="0" t="0" r="6985" b="0"/>
            <wp:wrapTight wrapText="bothSides">
              <wp:wrapPolygon edited="0">
                <wp:start x="5102" y="0"/>
                <wp:lineTo x="0" y="3560"/>
                <wp:lineTo x="0" y="17802"/>
                <wp:lineTo x="6560" y="20651"/>
                <wp:lineTo x="14578" y="20651"/>
                <wp:lineTo x="21138" y="17802"/>
                <wp:lineTo x="21138" y="3560"/>
                <wp:lineTo x="16036" y="0"/>
                <wp:lineTo x="5102" y="0"/>
              </wp:wrapPolygon>
            </wp:wrapTight>
            <wp:docPr id="2091994178" name="Picture 113" descr="P4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78" name="Picture 113" descr="P462#y1"/>
                    <pic:cNvPicPr/>
                  </pic:nvPicPr>
                  <pic:blipFill>
                    <a:blip r:embed="rId61" cstate="print">
                      <a:extLst>
                        <a:ext uri="{28A0092B-C50C-407E-A947-70E740481C1C}">
                          <a14:useLocalDpi xmlns:a14="http://schemas.microsoft.com/office/drawing/2010/main" val="0"/>
                        </a:ext>
                      </a:extLst>
                    </a:blip>
                    <a:srcRect b="13644"/>
                    <a:stretch>
                      <a:fillRect/>
                    </a:stretch>
                  </pic:blipFill>
                  <pic:spPr>
                    <a:xfrm>
                      <a:off x="0" y="0"/>
                      <a:ext cx="564743" cy="577969"/>
                    </a:xfrm>
                    <a:prstGeom prst="rect">
                      <a:avLst/>
                    </a:prstGeom>
                  </pic:spPr>
                </pic:pic>
              </a:graphicData>
            </a:graphic>
            <wp14:sizeRelH relativeFrom="page">
              <wp14:pctWidth>0</wp14:pctWidth>
            </wp14:sizeRelH>
            <wp14:sizeRelV relativeFrom="page">
              <wp14:pctHeight>0</wp14:pctHeight>
            </wp14:sizeRelV>
          </wp:anchor>
        </w:drawing>
      </w:r>
      <w:r w:rsidR="6BF568B1" w:rsidRPr="189D3658">
        <w:t>Previous or history of falls: Implementing a falls surveillance program and/or injury minimisation program.</w:t>
      </w:r>
    </w:p>
    <w:p w14:paraId="69D85046" w14:textId="77777777" w:rsidR="00DE51EF" w:rsidRPr="002765D3" w:rsidRDefault="6BF568B1" w:rsidP="00314F78">
      <w:pPr>
        <w:pStyle w:val="ListBullet"/>
      </w:pPr>
      <w:r w:rsidRPr="189D3658">
        <w:t xml:space="preserve">Postural instability, unsteady gait or muscle weakness: Implement </w:t>
      </w:r>
      <w:r w:rsidRPr="189D3658">
        <w:t>exercise programs and provide access to appropriate footwear.</w:t>
      </w:r>
    </w:p>
    <w:p w14:paraId="2A8C8983" w14:textId="77777777" w:rsidR="00DE51EF" w:rsidRPr="002765D3" w:rsidRDefault="00DE51EF" w:rsidP="00314F78">
      <w:pPr>
        <w:pStyle w:val="ListBullet"/>
      </w:pPr>
      <w:r w:rsidRPr="002765D3">
        <w:t>Cognitive impairment, delirium or altered behaviour: Provide alternatives to restraint and address the behaviour.</w:t>
      </w:r>
    </w:p>
    <w:p w14:paraId="6C8438A2" w14:textId="77777777" w:rsidR="00DE51EF" w:rsidRPr="002765D3" w:rsidRDefault="6BF568B1" w:rsidP="00314F78">
      <w:pPr>
        <w:pStyle w:val="ListBullet"/>
      </w:pPr>
      <w:r w:rsidRPr="189D3658">
        <w:t>Urinary and/or faecal frequency, urgency and incontinence, or nocturia assess continence needs to identify and implement appropriate management strategies, support toileting, provide continence aids and change incontinence pads regularly.</w:t>
      </w:r>
    </w:p>
    <w:p w14:paraId="277D9B16" w14:textId="77777777" w:rsidR="00DE51EF" w:rsidRPr="002765D3" w:rsidRDefault="6BF568B1" w:rsidP="00314F78">
      <w:pPr>
        <w:pStyle w:val="ListBullet"/>
      </w:pPr>
      <w:r w:rsidRPr="189D3658">
        <w:t>Low blood pressure and postural hypotension: Regularly monitor and manage blood pressure.</w:t>
      </w:r>
    </w:p>
    <w:p w14:paraId="18B354C4" w14:textId="77777777" w:rsidR="00DE51EF" w:rsidRPr="002765D3" w:rsidRDefault="00DE51EF" w:rsidP="00314F78">
      <w:pPr>
        <w:pStyle w:val="ListBullet"/>
      </w:pPr>
      <w:r w:rsidRPr="002765D3">
        <w:t>Dizziness or fainting: Assist with standing and seek advice from GP.</w:t>
      </w:r>
    </w:p>
    <w:p w14:paraId="32C79867" w14:textId="77777777" w:rsidR="00DE51EF" w:rsidRPr="002765D3" w:rsidRDefault="00DE51EF" w:rsidP="00314F78">
      <w:pPr>
        <w:pStyle w:val="ListBullet"/>
      </w:pPr>
      <w:r w:rsidRPr="002765D3">
        <w:t>Use of sedative and/or antipsychotic medications: Regularly review and reduce medications, including seeking advice from a pharmacist or GP. Reducing psychotropic use and polypharmacy</w:t>
      </w:r>
    </w:p>
    <w:p w14:paraId="2E2E7FE9" w14:textId="77777777" w:rsidR="00DE51EF" w:rsidRPr="002765D3" w:rsidRDefault="00DE51EF" w:rsidP="00314F78">
      <w:pPr>
        <w:pStyle w:val="ListBullet"/>
      </w:pPr>
      <w:r w:rsidRPr="002765D3">
        <w:t>Visual impairment: Provide access to visual aids and undertake regular environmental assessment.</w:t>
      </w:r>
    </w:p>
    <w:p w14:paraId="48EDD4FA" w14:textId="77777777" w:rsidR="00DE51EF" w:rsidRPr="002765D3" w:rsidRDefault="00DE51EF" w:rsidP="00314F78">
      <w:pPr>
        <w:pStyle w:val="ListBullet"/>
      </w:pPr>
      <w:r w:rsidRPr="002765D3">
        <w:t>Medical conditions and medications which impair balance: Provide access to rehabilitation therapy.</w:t>
      </w:r>
    </w:p>
    <w:p w14:paraId="7819AE3C" w14:textId="1A9AA7BD" w:rsidR="00DE51EF" w:rsidRPr="002765D3" w:rsidRDefault="6BF568B1" w:rsidP="00314F78">
      <w:pPr>
        <w:pStyle w:val="TableHeader"/>
      </w:pPr>
      <w:r w:rsidRPr="189D3658">
        <w:t>Undertake frequent reassessment to monitor risk</w:t>
      </w:r>
    </w:p>
    <w:p w14:paraId="0C3E3EF1" w14:textId="77777777" w:rsidR="00DE51EF" w:rsidRPr="002765D3" w:rsidRDefault="6BF568B1" w:rsidP="00314F78">
      <w:pPr>
        <w:pStyle w:val="ListBullet"/>
      </w:pPr>
      <w:r w:rsidRPr="189D3658">
        <w:t>When new or changing risk factors are evident.</w:t>
      </w:r>
    </w:p>
    <w:p w14:paraId="4B0162DD" w14:textId="77777777" w:rsidR="00DE51EF" w:rsidRPr="002765D3" w:rsidRDefault="00DE51EF" w:rsidP="00314F78">
      <w:pPr>
        <w:pStyle w:val="ListBullet"/>
      </w:pPr>
      <w:r w:rsidRPr="002765D3">
        <w:lastRenderedPageBreak/>
        <w:t>Following any change to health status or wellbeing.</w:t>
      </w:r>
    </w:p>
    <w:p w14:paraId="0F3AA4C9" w14:textId="77777777" w:rsidR="00DE51EF" w:rsidRPr="002765D3" w:rsidRDefault="00DE51EF" w:rsidP="00314F78">
      <w:pPr>
        <w:pStyle w:val="ListBullet"/>
      </w:pPr>
      <w:r w:rsidRPr="002765D3">
        <w:t>After a care recipient has a fall.</w:t>
      </w:r>
    </w:p>
    <w:p w14:paraId="57D06718" w14:textId="77777777" w:rsidR="00DE51EF" w:rsidRPr="002765D3" w:rsidRDefault="00DE51EF" w:rsidP="00314F78">
      <w:pPr>
        <w:pStyle w:val="ListBullet"/>
      </w:pPr>
      <w:r w:rsidRPr="002765D3">
        <w:t>At least annually for all care recipients.</w:t>
      </w:r>
    </w:p>
    <w:p w14:paraId="710FE6C5" w14:textId="77777777" w:rsidR="00DE51EF" w:rsidRPr="002765D3" w:rsidRDefault="00DE51EF" w:rsidP="00314F78">
      <w:pPr>
        <w:pStyle w:val="ListBullet"/>
      </w:pPr>
      <w:r w:rsidRPr="002765D3">
        <w:t>Reassess prevention strategies and adjust care plans as needed.</w:t>
      </w:r>
    </w:p>
    <w:p w14:paraId="7993CC2C" w14:textId="77777777" w:rsidR="00FD3F37" w:rsidRPr="002765D3" w:rsidRDefault="00FD3F37" w:rsidP="00314F78"/>
    <w:p w14:paraId="360CA26E" w14:textId="77777777" w:rsidR="00FD3F37" w:rsidRPr="002765D3" w:rsidRDefault="00FD3F37" w:rsidP="00314F78">
      <w:pPr>
        <w:sectPr w:rsidR="00FD3F37" w:rsidRPr="002765D3" w:rsidSect="00DE51EF">
          <w:endnotePr>
            <w:numFmt w:val="decimal"/>
          </w:endnotePr>
          <w:type w:val="continuous"/>
          <w:pgSz w:w="11906" w:h="16838" w:code="9"/>
          <w:pgMar w:top="1701" w:right="1134" w:bottom="1134" w:left="2098" w:header="567" w:footer="567" w:gutter="0"/>
          <w:cols w:num="2" w:space="1418"/>
          <w:docGrid w:linePitch="360"/>
        </w:sectPr>
      </w:pPr>
    </w:p>
    <w:p w14:paraId="1DC025E9" w14:textId="5F22E93B" w:rsidR="00FD3F37" w:rsidRPr="00486158" w:rsidRDefault="00FD3F37" w:rsidP="0059348C">
      <w:pPr>
        <w:pStyle w:val="Heading2"/>
      </w:pPr>
      <w:bookmarkStart w:id="42" w:name="_Toc73261134"/>
      <w:r w:rsidRPr="00486158">
        <w:t>Quality improvement mechanisms</w:t>
      </w:r>
      <w:bookmarkEnd w:id="42"/>
    </w:p>
    <w:p w14:paraId="6F7B2E37" w14:textId="6A719FA0" w:rsidR="00FD3F37" w:rsidRPr="00486158" w:rsidRDefault="7279DF3A" w:rsidP="00314F78">
      <w:r w:rsidRPr="00486158">
        <w:t>Quality improvement can help providers increase the quality of care for care recipients at risk of falling.</w:t>
      </w:r>
      <w:r w:rsidR="009253DC">
        <w:rPr>
          <w:rFonts w:ascii="ZWAdobeF" w:hAnsi="ZWAdobeF" w:cs="ZWAdobeF"/>
          <w:color w:val="auto"/>
          <w:sz w:val="2"/>
          <w:szCs w:val="2"/>
        </w:rPr>
        <w:t>95F</w:t>
      </w:r>
      <w:r w:rsidR="00FD3F37" w:rsidRPr="00486158">
        <w:rPr>
          <w:vertAlign w:val="superscript"/>
        </w:rPr>
        <w:endnoteReference w:id="97"/>
      </w:r>
      <w:r w:rsidRPr="00486158">
        <w:rPr>
          <w:vertAlign w:val="superscript"/>
        </w:rPr>
        <w:t xml:space="preserve"> </w:t>
      </w:r>
      <w:r w:rsidRPr="00486158">
        <w:t>Quality improvement activities should be ongoing and part of business-as-usual for approved providers.</w:t>
      </w:r>
    </w:p>
    <w:p w14:paraId="63A8D443" w14:textId="4E8627B4" w:rsidR="00FD3F37" w:rsidRPr="00486158" w:rsidRDefault="00FD3F37" w:rsidP="00314F78">
      <w:r w:rsidRPr="00486158">
        <w:t>The QI Program will help prompt when a specific quality improvement activity should be undertaken. It is important to review QI Program data reports through</w:t>
      </w:r>
      <w:r w:rsidR="00B26274" w:rsidRPr="00486158">
        <w:t xml:space="preserve"> GPMS</w:t>
      </w:r>
      <w:r w:rsidRPr="00486158">
        <w:t xml:space="preserve"> and compare against national </w:t>
      </w:r>
      <w:r w:rsidR="0084075D" w:rsidRPr="00486158">
        <w:t>averages</w:t>
      </w:r>
      <w:r w:rsidRPr="00486158">
        <w:t xml:space="preserve"> and other services to understand where quality improvement activities should be focused.</w:t>
      </w:r>
    </w:p>
    <w:p w14:paraId="29E84D58" w14:textId="0BA14EBD" w:rsidR="00527139" w:rsidRPr="00D82644" w:rsidRDefault="7279DF3A" w:rsidP="00314F78">
      <w:r w:rsidRPr="00486158">
        <w:t xml:space="preserve">The </w:t>
      </w:r>
      <w:r w:rsidRPr="00486158">
        <w:rPr>
          <w:rStyle w:val="Strong"/>
        </w:rPr>
        <w:t>Plan-Do-Check-Act tool</w:t>
      </w:r>
      <w:r w:rsidR="00640337" w:rsidRPr="00486158">
        <w:t xml:space="preserve"> (section 2.3)</w:t>
      </w:r>
      <w:r w:rsidRPr="00486158">
        <w:t xml:space="preserve"> is a useful tool to plan, deliver and monitor quality improvement activities focused on preventing falls and minimising injuries</w:t>
      </w:r>
      <w:r w:rsidRPr="00D82644">
        <w:t xml:space="preserve">. </w:t>
      </w:r>
      <w:r w:rsidRPr="00D82644">
        <w:br w:type="page"/>
      </w:r>
    </w:p>
    <w:p w14:paraId="4496B766" w14:textId="5DDD3834" w:rsidR="00FD3F37" w:rsidRPr="00486158" w:rsidRDefault="7279DF3A" w:rsidP="0059348C">
      <w:pPr>
        <w:pStyle w:val="Heading2"/>
      </w:pPr>
      <w:r w:rsidRPr="00486158">
        <w:lastRenderedPageBreak/>
        <w:t xml:space="preserve">Example tools, guidance and resources to support </w:t>
      </w:r>
      <w:r w:rsidR="00FD3F37" w:rsidRPr="00486158">
        <w:br/>
      </w:r>
      <w:r w:rsidRPr="00486158">
        <w:t>continuous quality improvement</w:t>
      </w:r>
    </w:p>
    <w:p w14:paraId="474C29BD" w14:textId="68667C48" w:rsidR="00FD3F37" w:rsidRPr="00D82644" w:rsidRDefault="00862C36" w:rsidP="00314F78">
      <w:pPr>
        <w:pStyle w:val="ListBullet"/>
      </w:pPr>
      <w:hyperlink r:id="rId130">
        <w:r>
          <w:rPr>
            <w:rStyle w:val="Hyperlink"/>
            <w:b/>
            <w:bCs/>
          </w:rPr>
          <w:t>Preventing Falls and Harm from Falls in Older People - Best practice guidelines</w:t>
        </w:r>
      </w:hyperlink>
      <w:r w:rsidR="08509070" w:rsidRPr="00D82644">
        <w:t xml:space="preserve"> —</w:t>
      </w:r>
      <w:r w:rsidR="192713F9" w:rsidRPr="00D82644">
        <w:t xml:space="preserve"> </w:t>
      </w:r>
      <w:r w:rsidR="08509070" w:rsidRPr="00D82644">
        <w:t>guidelines for managing the various risk factors that make older Australians in residential aged care services vulnerable to falling —</w:t>
      </w:r>
      <w:r w:rsidR="192713F9" w:rsidRPr="00D82644">
        <w:t xml:space="preserve"> Australian </w:t>
      </w:r>
      <w:r w:rsidR="08509070" w:rsidRPr="00D82644">
        <w:t xml:space="preserve">Commission on </w:t>
      </w:r>
      <w:r w:rsidR="192713F9" w:rsidRPr="00D82644">
        <w:t xml:space="preserve">Safety and Quality </w:t>
      </w:r>
      <w:r w:rsidR="08509070" w:rsidRPr="00D82644">
        <w:t xml:space="preserve">in Health </w:t>
      </w:r>
      <w:r w:rsidR="001B1DE9" w:rsidRPr="00D82644">
        <w:t>Care (</w:t>
      </w:r>
      <w:r w:rsidR="006D023B">
        <w:t>2025 update)</w:t>
      </w:r>
    </w:p>
    <w:p w14:paraId="143860B6" w14:textId="75FA2877" w:rsidR="0013727D" w:rsidRPr="00D82644" w:rsidRDefault="0013727D" w:rsidP="00314F78">
      <w:pPr>
        <w:pStyle w:val="ListBullet"/>
      </w:pPr>
      <w:hyperlink r:id="rId131" w:history="1">
        <w:r w:rsidRPr="00D82644">
          <w:rPr>
            <w:rStyle w:val="Hyperlink"/>
            <w:b/>
            <w:bCs/>
          </w:rPr>
          <w:t>Don’t fall for it. Falls can be prevented!</w:t>
        </w:r>
      </w:hyperlink>
      <w:r w:rsidR="001D7741" w:rsidRPr="00D82644">
        <w:t xml:space="preserve"> —</w:t>
      </w:r>
      <w:r w:rsidRPr="00D82644">
        <w:t xml:space="preserve"> </w:t>
      </w:r>
      <w:r w:rsidR="001D7741" w:rsidRPr="00D82644">
        <w:t>a</w:t>
      </w:r>
      <w:r w:rsidRPr="00D82644">
        <w:t xml:space="preserve"> </w:t>
      </w:r>
      <w:r w:rsidR="004E668F" w:rsidRPr="00D82644">
        <w:t>booklet</w:t>
      </w:r>
      <w:r w:rsidRPr="00D82644">
        <w:t xml:space="preserve"> detailing ways to prevent falls</w:t>
      </w:r>
      <w:r w:rsidR="001D7741" w:rsidRPr="00D82644">
        <w:t xml:space="preserve"> —</w:t>
      </w:r>
      <w:r w:rsidRPr="00D82644">
        <w:t xml:space="preserve"> Australian Government Department of Health and Aged Care</w:t>
      </w:r>
    </w:p>
    <w:p w14:paraId="4FEA09EE" w14:textId="18EF4EC0" w:rsidR="00FD3F37" w:rsidRPr="00454D17" w:rsidRDefault="0034313B" w:rsidP="00314F78">
      <w:pPr>
        <w:pStyle w:val="ListBullet"/>
      </w:pPr>
      <w:hyperlink r:id="rId132" w:history="1">
        <w:r w:rsidRPr="00D82644">
          <w:rPr>
            <w:rStyle w:val="Hyperlink"/>
            <w:rFonts w:cstheme="minorHAnsi"/>
            <w:b/>
            <w:bCs/>
          </w:rPr>
          <w:t xml:space="preserve">Falls: </w:t>
        </w:r>
        <w:r w:rsidR="00FD3F37" w:rsidRPr="00D82644">
          <w:rPr>
            <w:rStyle w:val="Hyperlink"/>
            <w:rFonts w:cstheme="minorHAnsi"/>
            <w:b/>
            <w:bCs/>
          </w:rPr>
          <w:t>Standardised care process</w:t>
        </w:r>
      </w:hyperlink>
      <w:r w:rsidRPr="00454D17">
        <w:t xml:space="preserve"> — </w:t>
      </w:r>
      <w:r w:rsidRPr="00D82644">
        <w:t>an evidence-based approach in the prevention of falls for older people who live in a residential aged care setting — Victorian Department of Health and Human Services</w:t>
      </w:r>
    </w:p>
    <w:p w14:paraId="608BDA3B" w14:textId="723979FB" w:rsidR="00FD3F37" w:rsidRPr="00454D17" w:rsidRDefault="61322943" w:rsidP="00314F78">
      <w:pPr>
        <w:pStyle w:val="ListBullet"/>
      </w:pPr>
      <w:hyperlink r:id="rId133" w:history="1">
        <w:r w:rsidRPr="00D51A3F">
          <w:rPr>
            <w:rStyle w:val="Hyperlink"/>
            <w:rFonts w:cstheme="minorHAnsi"/>
            <w:b/>
            <w:bCs/>
          </w:rPr>
          <w:t>Falls risk assessment tools, Victorian Department of Health</w:t>
        </w:r>
      </w:hyperlink>
      <w:r w:rsidR="16391C9B" w:rsidRPr="00454D17">
        <w:t xml:space="preserve"> </w:t>
      </w:r>
      <w:r w:rsidR="43924B78" w:rsidRPr="00454D17">
        <w:t xml:space="preserve">— </w:t>
      </w:r>
      <w:r w:rsidR="1238DD8E" w:rsidRPr="00454D17">
        <w:t xml:space="preserve">range of </w:t>
      </w:r>
      <w:r w:rsidR="43924B78" w:rsidRPr="00454D17">
        <w:t>assessment tool</w:t>
      </w:r>
      <w:r w:rsidR="76B91275" w:rsidRPr="00454D17">
        <w:t>s</w:t>
      </w:r>
      <w:r w:rsidR="43924B78" w:rsidRPr="00454D17">
        <w:t xml:space="preserve"> </w:t>
      </w:r>
      <w:r w:rsidR="4239E7D2" w:rsidRPr="00454D17">
        <w:t>aimed at falls prevention</w:t>
      </w:r>
      <w:r w:rsidR="43924B78" w:rsidRPr="00454D17">
        <w:t xml:space="preserve"> — </w:t>
      </w:r>
      <w:r w:rsidR="43924B78" w:rsidRPr="00D82644">
        <w:t>available online on the Victorian Department of Health website</w:t>
      </w:r>
    </w:p>
    <w:p w14:paraId="6101A4D3" w14:textId="14AAA954" w:rsidR="0013727D" w:rsidRPr="00D82644" w:rsidRDefault="18E7DF1D" w:rsidP="00314F78">
      <w:pPr>
        <w:pStyle w:val="ListBullet"/>
      </w:pPr>
      <w:hyperlink r:id="rId134">
        <w:r w:rsidRPr="00D82644">
          <w:rPr>
            <w:rStyle w:val="Hyperlink"/>
            <w:b/>
            <w:bCs/>
          </w:rPr>
          <w:t>Falls Prevention Online Workshops</w:t>
        </w:r>
      </w:hyperlink>
      <w:r w:rsidRPr="00D82644">
        <w:t xml:space="preserve"> — online learning modules for GPs and health professionals featuring evidence-based processes to help health professionals prevent falls in older people — Integrated SOLutions for Sustainable Fall PreVEntion - iSOLVE </w:t>
      </w:r>
    </w:p>
    <w:p w14:paraId="4136F134" w14:textId="722EC8EA" w:rsidR="00B16F72" w:rsidRPr="00D82644" w:rsidRDefault="004E668F" w:rsidP="00314F78">
      <w:pPr>
        <w:pStyle w:val="ListBullet"/>
      </w:pPr>
      <w:hyperlink r:id="rId135" w:history="1">
        <w:r w:rsidRPr="00D82644">
          <w:rPr>
            <w:rStyle w:val="Hyperlink"/>
            <w:rFonts w:cstheme="minorHAnsi"/>
            <w:b/>
            <w:bCs/>
          </w:rPr>
          <w:t>World guidelines for falls prevention and management for older adults: a global initiative</w:t>
        </w:r>
      </w:hyperlink>
      <w:r w:rsidRPr="00D82644">
        <w:t xml:space="preserve"> — a journal article providing a set of </w:t>
      </w:r>
      <w:r w:rsidR="000B2C00" w:rsidRPr="00D82644">
        <w:t xml:space="preserve">evidence and expert consensus-based falls prevention and management recommendations and guidelines — Journal of </w:t>
      </w:r>
      <w:r w:rsidRPr="00D82644">
        <w:t>Age and Ageing</w:t>
      </w:r>
    </w:p>
    <w:p w14:paraId="7040036A" w14:textId="7C15C0E0" w:rsidR="00FD3F37" w:rsidRPr="00486158" w:rsidRDefault="00FD3F37" w:rsidP="00314F78">
      <w:pPr>
        <w:rPr>
          <w:rStyle w:val="Emphasis"/>
        </w:rPr>
      </w:pPr>
      <w:r w:rsidRPr="00486158">
        <w:rPr>
          <w:rStyle w:val="Emphasis"/>
        </w:rPr>
        <w:t>Some tools, guidance and resources may be updated over time; it is important to ensure you are looking at the most recent version.</w:t>
      </w:r>
    </w:p>
    <w:p w14:paraId="7686CF3C" w14:textId="77777777" w:rsidR="00486158" w:rsidRPr="00454D17" w:rsidRDefault="00486158" w:rsidP="00314F78"/>
    <w:p w14:paraId="1292A2D4" w14:textId="77777777" w:rsidR="00FD3F37" w:rsidRPr="002765D3" w:rsidRDefault="00FD3F37" w:rsidP="00314F78">
      <w:pPr>
        <w:sectPr w:rsidR="00FD3F37" w:rsidRPr="002765D3" w:rsidSect="00726801">
          <w:endnotePr>
            <w:numFmt w:val="decimal"/>
          </w:endnotePr>
          <w:type w:val="continuous"/>
          <w:pgSz w:w="11906" w:h="16838" w:code="9"/>
          <w:pgMar w:top="1701" w:right="1134" w:bottom="1134" w:left="1134" w:header="567" w:footer="567" w:gutter="0"/>
          <w:cols w:space="567"/>
          <w:docGrid w:linePitch="360"/>
        </w:sectPr>
      </w:pPr>
    </w:p>
    <w:p w14:paraId="1E7D580A" w14:textId="09344285" w:rsidR="00FD3F37" w:rsidRDefault="00C96EE6" w:rsidP="0059348C">
      <w:pPr>
        <w:pStyle w:val="Heading1"/>
      </w:pPr>
      <w:bookmarkStart w:id="43" w:name="_Toc76998117"/>
      <w:bookmarkStart w:id="44" w:name="_Toc193889893"/>
      <w:r>
        <w:rPr>
          <w:noProof/>
        </w:rPr>
        <w:lastRenderedPageBreak/>
        <w:drawing>
          <wp:anchor distT="0" distB="0" distL="114300" distR="114300" simplePos="0" relativeHeight="251658280" behindDoc="1" locked="0" layoutInCell="1" allowOverlap="1" wp14:anchorId="6395034F" wp14:editId="5BD8856E">
            <wp:simplePos x="0" y="0"/>
            <wp:positionH relativeFrom="page">
              <wp:align>left</wp:align>
            </wp:positionH>
            <wp:positionV relativeFrom="paragraph">
              <wp:posOffset>515356</wp:posOffset>
            </wp:positionV>
            <wp:extent cx="8057807" cy="1375139"/>
            <wp:effectExtent l="0" t="0" r="635" b="0"/>
            <wp:wrapNone/>
            <wp:docPr id="1093886587" name="Picture 7" descr="P4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86587" name="Picture 7" descr="P493#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57807" cy="1375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486158">
        <w:t xml:space="preserve">Medication management </w:t>
      </w:r>
      <w:r w:rsidR="007D69C5" w:rsidRPr="00486158">
        <w:t>—</w:t>
      </w:r>
      <w:r w:rsidR="00FD3F37" w:rsidRPr="00486158">
        <w:t xml:space="preserve"> polypharmacy</w:t>
      </w:r>
      <w:bookmarkEnd w:id="43"/>
      <w:bookmarkEnd w:id="44"/>
    </w:p>
    <w:p w14:paraId="57EB4A6A" w14:textId="0C03CF4C" w:rsidR="00C96EE6" w:rsidRPr="00C96EE6" w:rsidRDefault="00C96EE6" w:rsidP="00C96EE6">
      <w:pPr>
        <w:pStyle w:val="Headerwhite"/>
      </w:pPr>
      <w:r w:rsidRPr="002765D3">
        <w:rPr>
          <w:noProof/>
        </w:rPr>
        <w:drawing>
          <wp:anchor distT="0" distB="0" distL="114300" distR="114300" simplePos="0" relativeHeight="251658281" behindDoc="0" locked="0" layoutInCell="1" allowOverlap="1" wp14:anchorId="68B79517" wp14:editId="2D27D77A">
            <wp:simplePos x="0" y="0"/>
            <wp:positionH relativeFrom="column">
              <wp:posOffset>37837</wp:posOffset>
            </wp:positionH>
            <wp:positionV relativeFrom="paragraph">
              <wp:posOffset>305795</wp:posOffset>
            </wp:positionV>
            <wp:extent cx="1002030" cy="1005840"/>
            <wp:effectExtent l="0" t="0" r="7620" b="3810"/>
            <wp:wrapSquare wrapText="bothSides"/>
            <wp:docPr id="1736794116" name="Picture 126" descr="P494#y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6" name="Picture 126" descr="P494#y1">
                      <a:extLst>
                        <a:ext uri="{C183D7F6-B498-43B3-948B-1728B52AA6E4}">
                          <adec:decorative xmlns:adec="http://schemas.microsoft.com/office/drawing/2017/decorative" val="0"/>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2030" cy="1005840"/>
                    </a:xfrm>
                    <a:prstGeom prst="rect">
                      <a:avLst/>
                    </a:prstGeom>
                    <a:noFill/>
                    <a:ln>
                      <a:noFill/>
                    </a:ln>
                  </pic:spPr>
                </pic:pic>
              </a:graphicData>
            </a:graphic>
          </wp:anchor>
        </w:drawing>
      </w:r>
      <w:r w:rsidRPr="00C96EE6">
        <w:t>Medication management plays a critical role in achieving quality of care for older Australians in aged care and hospital settings. The two categories within this quality indicator are:</w:t>
      </w:r>
    </w:p>
    <w:p w14:paraId="78929727" w14:textId="498C773A" w:rsidR="00C96EE6" w:rsidRPr="00C96EE6" w:rsidRDefault="00C96EE6" w:rsidP="00C96EE6">
      <w:pPr>
        <w:pStyle w:val="Headerlistwhite"/>
      </w:pPr>
      <w:r w:rsidRPr="00C96EE6">
        <w:t>Medication management — polypharmacy (this section), and</w:t>
      </w:r>
    </w:p>
    <w:p w14:paraId="56AFDF28" w14:textId="6E094F53" w:rsidR="00C96EE6" w:rsidRPr="00C96EE6" w:rsidRDefault="00C96EE6" w:rsidP="00C96EE6">
      <w:pPr>
        <w:pStyle w:val="Headerlistwhite"/>
      </w:pPr>
      <w:r w:rsidRPr="00C96EE6">
        <w:t>Medication management — antipsychotics (see Section 8 of this manual).</w:t>
      </w:r>
    </w:p>
    <w:p w14:paraId="508C01FB" w14:textId="53BE3D98" w:rsidR="00FD3F37" w:rsidRPr="00486158" w:rsidRDefault="00FD3F37" w:rsidP="0059348C">
      <w:pPr>
        <w:pStyle w:val="Heading2"/>
      </w:pPr>
      <w:r w:rsidRPr="00486158">
        <w:t>Overview of polypharmacy</w:t>
      </w:r>
    </w:p>
    <w:p w14:paraId="2634D00E" w14:textId="109FA94B" w:rsidR="00FD3F37" w:rsidRPr="00FD1B87" w:rsidRDefault="7279DF3A" w:rsidP="00314F78">
      <w:r w:rsidRPr="00FD1B87">
        <w:t>In residential aged care, polypharmacy describes when care recipients are taking more medications than can be practically and safely consumed. Polypharmacy in</w:t>
      </w:r>
      <w:r w:rsidR="55EAC1F9" w:rsidRPr="00FD1B87">
        <w:t xml:space="preserve"> </w:t>
      </w:r>
      <w:r w:rsidR="388E6CEF" w:rsidRPr="00FD1B87">
        <w:t>older</w:t>
      </w:r>
      <w:r w:rsidRPr="00FD1B87">
        <w:t xml:space="preserve"> Australians can increase negative health outcomes.</w:t>
      </w:r>
      <w:r w:rsidR="005453F0" w:rsidRPr="00FD1B87">
        <w:t xml:space="preserve"> </w:t>
      </w:r>
      <w:r w:rsidR="005453F0">
        <w:t xml:space="preserve">The data and references in Figure 23 have been </w:t>
      </w:r>
      <w:r w:rsidR="00F6366E">
        <w:t>reviewed</w:t>
      </w:r>
      <w:r w:rsidR="005E2C75">
        <w:t xml:space="preserve"> </w:t>
      </w:r>
      <w:r w:rsidR="005453F0">
        <w:t>March 2025.</w:t>
      </w:r>
    </w:p>
    <w:p w14:paraId="531E62B4" w14:textId="60E581FC" w:rsidR="00FD3F37" w:rsidRPr="00486158" w:rsidRDefault="009963C6" w:rsidP="00314F78">
      <w:pPr>
        <w:pStyle w:val="Caption"/>
      </w:pPr>
      <w:r w:rsidRPr="00486158">
        <w:t>FIGURE </w:t>
      </w:r>
      <w:r w:rsidR="00FD3F37" w:rsidRPr="00486158">
        <w:fldChar w:fldCharType="begin"/>
      </w:r>
      <w:r w:rsidR="00FD3F37" w:rsidRPr="00486158">
        <w:instrText>SEQ Figure \* ARABIC</w:instrText>
      </w:r>
      <w:r w:rsidR="00FD3F37" w:rsidRPr="00486158">
        <w:fldChar w:fldCharType="separate"/>
      </w:r>
      <w:r w:rsidR="003A30D7">
        <w:rPr>
          <w:noProof/>
        </w:rPr>
        <w:t>23</w:t>
      </w:r>
      <w:r w:rsidR="00FD3F37" w:rsidRPr="00486158">
        <w:fldChar w:fldCharType="end"/>
      </w:r>
      <w:r w:rsidRPr="00486158">
        <w:t>: POLYPHARMACY IN RESIDENTIAL AGED CARE SERVICES</w:t>
      </w:r>
      <w:r w:rsidR="009253DC">
        <w:rPr>
          <w:rFonts w:ascii="ZWAdobeF" w:hAnsi="ZWAdobeF" w:cs="ZWAdobeF"/>
          <w:b w:val="0"/>
          <w:color w:val="auto"/>
          <w:sz w:val="2"/>
          <w:szCs w:val="2"/>
        </w:rPr>
        <w:t>96F</w:t>
      </w:r>
      <w:r w:rsidR="005453F0" w:rsidRPr="00454D17">
        <w:rPr>
          <w:rStyle w:val="EndnoteReference"/>
        </w:rPr>
        <w:endnoteReference w:id="98"/>
      </w:r>
      <w:r w:rsidR="005453F0" w:rsidRPr="00454D17">
        <w:rPr>
          <w:rStyle w:val="EndnoteReference"/>
        </w:rPr>
        <w:t xml:space="preserve"> </w:t>
      </w:r>
      <w:r w:rsidR="009253DC">
        <w:rPr>
          <w:rFonts w:ascii="ZWAdobeF" w:hAnsi="ZWAdobeF" w:cs="ZWAdobeF"/>
          <w:b w:val="0"/>
          <w:color w:val="auto"/>
          <w:sz w:val="2"/>
          <w:szCs w:val="2"/>
        </w:rPr>
        <w:t>97F</w:t>
      </w:r>
      <w:r w:rsidR="005453F0" w:rsidRPr="00454D17">
        <w:rPr>
          <w:rStyle w:val="EndnoteReference"/>
        </w:rPr>
        <w:endnoteReference w:id="99"/>
      </w:r>
    </w:p>
    <w:p w14:paraId="34FF74F9" w14:textId="3F1C5DA9" w:rsidR="00FD3F37" w:rsidRPr="004E3E97" w:rsidRDefault="00FD3F37" w:rsidP="00314F78">
      <w:r w:rsidRPr="004E3E97">
        <w:rPr>
          <w:noProof/>
        </w:rPr>
        <w:drawing>
          <wp:inline distT="0" distB="0" distL="0" distR="0" wp14:anchorId="2F76BF71" wp14:editId="76581B50">
            <wp:extent cx="5246940" cy="4738602"/>
            <wp:effectExtent l="0" t="0" r="0" b="5080"/>
            <wp:docPr id="1736794115" name="Picture 129" descr="P5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5" name="Picture 129" descr="P500#yIS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61092" cy="4751382"/>
                    </a:xfrm>
                    <a:prstGeom prst="rect">
                      <a:avLst/>
                    </a:prstGeom>
                    <a:noFill/>
                    <a:ln>
                      <a:noFill/>
                    </a:ln>
                  </pic:spPr>
                </pic:pic>
              </a:graphicData>
            </a:graphic>
          </wp:inline>
        </w:drawing>
      </w:r>
      <w:r w:rsidRPr="004E3E97">
        <w:br w:type="page"/>
      </w:r>
    </w:p>
    <w:p w14:paraId="2CE0CC85" w14:textId="5D7710D3" w:rsidR="00FD3F37" w:rsidRPr="00B12A6F" w:rsidRDefault="00FD3F37" w:rsidP="0059348C">
      <w:pPr>
        <w:pStyle w:val="Heading2"/>
      </w:pPr>
      <w:r w:rsidRPr="00B12A6F">
        <w:lastRenderedPageBreak/>
        <w:t>Polypharmacy in residential aged care</w:t>
      </w:r>
    </w:p>
    <w:p w14:paraId="4712D4A5" w14:textId="3E41FC27" w:rsidR="00FD3F37" w:rsidRPr="00B12A6F" w:rsidRDefault="7279DF3A" w:rsidP="00314F78">
      <w:r w:rsidRPr="00B12A6F">
        <w:t xml:space="preserve">Medication is defined as a chemical substance given with the intention of preventing, diagnosing, curing, controlling or alleviating disease or otherwise enhancing the physical and/or mental welfare of people. </w:t>
      </w:r>
      <w:r w:rsidR="0723BFDC" w:rsidRPr="00B12A6F">
        <w:t>For the QI Program, it includes prescription and nonprescription medicines, despite the administered route.</w:t>
      </w:r>
    </w:p>
    <w:p w14:paraId="0D872D21" w14:textId="77777777" w:rsidR="00EF7343" w:rsidRPr="00B12A6F" w:rsidRDefault="00EF7343" w:rsidP="00314F78">
      <w:r w:rsidRPr="00B12A6F">
        <w:t>The</w:t>
      </w:r>
      <w:r w:rsidRPr="00B12A6F" w:rsidDel="005622A9">
        <w:t xml:space="preserve"> QI Program</w:t>
      </w:r>
      <w:r w:rsidRPr="00B12A6F">
        <w:t xml:space="preserve"> defines</w:t>
      </w:r>
      <w:r w:rsidRPr="00B12A6F" w:rsidDel="005622A9">
        <w:t xml:space="preserve"> </w:t>
      </w:r>
      <w:r w:rsidRPr="00B12A6F" w:rsidDel="005622A9">
        <w:rPr>
          <w:rStyle w:val="Strong"/>
        </w:rPr>
        <w:t>polypharmacy</w:t>
      </w:r>
      <w:r w:rsidRPr="00B12A6F" w:rsidDel="005622A9">
        <w:t xml:space="preserve"> as the prescription of nine or more medications to a care recipient.</w:t>
      </w:r>
    </w:p>
    <w:p w14:paraId="15DAF34D" w14:textId="77777777" w:rsidR="00EF7343" w:rsidRPr="00B12A6F" w:rsidRDefault="00EF7343" w:rsidP="00314F78">
      <w:r w:rsidRPr="00B12A6F">
        <w:t xml:space="preserve">For the QI Program, any medication with an active ingredient is counted in the polypharmacy quality indicator. </w:t>
      </w:r>
      <w:r w:rsidRPr="00B12A6F">
        <w:rPr>
          <w:rStyle w:val="Strong"/>
        </w:rPr>
        <w:t>Except</w:t>
      </w:r>
      <w:r w:rsidRPr="00B12A6F">
        <w:t xml:space="preserve"> for those listed below which must not be included in the count of medications:</w:t>
      </w:r>
    </w:p>
    <w:p w14:paraId="0BB4A02D" w14:textId="77777777" w:rsidR="00EF7343" w:rsidRPr="00D82644" w:rsidRDefault="0DA680ED" w:rsidP="00314F78">
      <w:pPr>
        <w:pStyle w:val="ListBullet"/>
      </w:pPr>
      <w:r w:rsidRPr="00D82644">
        <w:t>Lotions, creams or ointments used in skin and wound care;</w:t>
      </w:r>
    </w:p>
    <w:p w14:paraId="2B71919A" w14:textId="77777777" w:rsidR="00EF7343" w:rsidRPr="00D82644" w:rsidRDefault="0DA680ED" w:rsidP="00314F78">
      <w:pPr>
        <w:pStyle w:val="ListBullet"/>
      </w:pPr>
      <w:r w:rsidRPr="00D82644">
        <w:t>Dietary supplements, including those containing vitamins;</w:t>
      </w:r>
    </w:p>
    <w:p w14:paraId="3EEB7DB6" w14:textId="77777777" w:rsidR="00EF7343" w:rsidRPr="00D82644" w:rsidRDefault="00EF7343" w:rsidP="00314F78">
      <w:pPr>
        <w:pStyle w:val="ListBullet"/>
      </w:pPr>
      <w:r w:rsidRPr="00D82644">
        <w:t>Short-term medications, such as antibiotics or temporary eye drops; and</w:t>
      </w:r>
    </w:p>
    <w:p w14:paraId="6B4294DE" w14:textId="77777777" w:rsidR="00EF7343" w:rsidRPr="00D82644" w:rsidRDefault="00EF7343" w:rsidP="00314F78">
      <w:pPr>
        <w:pStyle w:val="ListBullet"/>
      </w:pPr>
      <w:r w:rsidRPr="00D82644">
        <w:t>PRN medications.</w:t>
      </w:r>
    </w:p>
    <w:p w14:paraId="7455FC1C" w14:textId="77777777" w:rsidR="00EF7343" w:rsidRPr="00B12A6F" w:rsidRDefault="00EF7343" w:rsidP="00314F78">
      <w:r w:rsidRPr="00B12A6F">
        <w:t>Approved providers must not count different dosages of the same medicine as different medications.</w:t>
      </w:r>
    </w:p>
    <w:p w14:paraId="0ED908CD" w14:textId="77777777" w:rsidR="00FD3F37" w:rsidRPr="00B12A6F" w:rsidRDefault="00FD3F37" w:rsidP="00314F78">
      <w:r w:rsidRPr="00B12A6F">
        <w:t>Details of the collection and reporting requirements for the polypharmacy category of the medication management quality indicator can be found in Part A.</w:t>
      </w:r>
    </w:p>
    <w:p w14:paraId="373368B4" w14:textId="0FA47E90" w:rsidR="00FD3F37" w:rsidRPr="00B12A6F" w:rsidRDefault="00FD3F37" w:rsidP="0059348C">
      <w:pPr>
        <w:pStyle w:val="Heading2"/>
      </w:pPr>
      <w:r w:rsidRPr="00B12A6F">
        <w:t>Causes of polypharmacy</w:t>
      </w:r>
    </w:p>
    <w:p w14:paraId="4A449F20" w14:textId="4A5AB68C" w:rsidR="00FD3F37" w:rsidRPr="00B12A6F" w:rsidRDefault="00FD3F37" w:rsidP="00314F78">
      <w:r w:rsidRPr="00B12A6F">
        <w:t>Polypharmacy is an increasing concern amongst care recipients in residential aged care services, and elderly people in general.</w:t>
      </w:r>
      <w:r w:rsidR="00A8609F" w:rsidRPr="00B12A6F">
        <w:t xml:space="preserve"> </w:t>
      </w:r>
      <w:r w:rsidR="00FC12FF" w:rsidRPr="00B12A6F">
        <w:t>Older</w:t>
      </w:r>
      <w:r w:rsidRPr="00B12A6F">
        <w:t xml:space="preserve"> Australians are often prescribed several medications to manage comorbidities and extend life, but there is evidence that the prevalence of polypharmacy is increasing amongst</w:t>
      </w:r>
      <w:r w:rsidR="00A8609F" w:rsidRPr="00B12A6F">
        <w:t xml:space="preserve"> </w:t>
      </w:r>
      <w:r w:rsidR="00FC12FF" w:rsidRPr="00B12A6F">
        <w:t xml:space="preserve">older </w:t>
      </w:r>
      <w:r w:rsidRPr="00B12A6F">
        <w:t>Australians.</w:t>
      </w:r>
    </w:p>
    <w:p w14:paraId="45997161" w14:textId="77777777" w:rsidR="00FD3F37" w:rsidRPr="00314F78" w:rsidRDefault="00FD3F37" w:rsidP="00314F78">
      <w:r w:rsidRPr="00314F78">
        <w:br w:type="page"/>
      </w:r>
    </w:p>
    <w:p w14:paraId="2A9F7F84" w14:textId="6F892832" w:rsidR="00FD3F37" w:rsidRPr="00B12A6F" w:rsidRDefault="009963C6" w:rsidP="00314F78">
      <w:pPr>
        <w:pStyle w:val="Caption"/>
      </w:pPr>
      <w:r w:rsidRPr="00B12A6F">
        <w:lastRenderedPageBreak/>
        <w:t>FIGURE </w:t>
      </w:r>
      <w:r w:rsidR="00FD3F37" w:rsidRPr="00B12A6F">
        <w:fldChar w:fldCharType="begin"/>
      </w:r>
      <w:r w:rsidR="00FD3F37" w:rsidRPr="00B12A6F">
        <w:instrText>SEQ Figure \* ARABIC</w:instrText>
      </w:r>
      <w:r w:rsidR="00FD3F37" w:rsidRPr="00B12A6F">
        <w:fldChar w:fldCharType="separate"/>
      </w:r>
      <w:r w:rsidR="003A30D7">
        <w:rPr>
          <w:noProof/>
        </w:rPr>
        <w:t>24</w:t>
      </w:r>
      <w:r w:rsidR="00FD3F37" w:rsidRPr="00B12A6F">
        <w:fldChar w:fldCharType="end"/>
      </w:r>
      <w:r w:rsidRPr="00B12A6F">
        <w:t>: RISK FACTORS ASSOCIATED TO POLYPHARMACY</w:t>
      </w:r>
      <w:r w:rsidR="009253DC">
        <w:rPr>
          <w:rFonts w:ascii="ZWAdobeF" w:hAnsi="ZWAdobeF" w:cs="ZWAdobeF"/>
          <w:b w:val="0"/>
          <w:color w:val="auto"/>
          <w:sz w:val="2"/>
          <w:szCs w:val="2"/>
        </w:rPr>
        <w:t>98F</w:t>
      </w:r>
      <w:r w:rsidR="00F81429" w:rsidRPr="00454D17">
        <w:rPr>
          <w:rStyle w:val="EndnoteReference"/>
        </w:rPr>
        <w:endnoteReference w:id="100"/>
      </w:r>
    </w:p>
    <w:p w14:paraId="43EBA64C" w14:textId="77777777" w:rsidR="00FD3F37" w:rsidRPr="00B12A6F" w:rsidRDefault="00FD3F37" w:rsidP="00314F78">
      <w:pPr>
        <w:rPr>
          <w:rStyle w:val="Strong"/>
        </w:rPr>
      </w:pPr>
      <w:r w:rsidRPr="00B12A6F">
        <w:rPr>
          <w:rStyle w:val="Strong"/>
        </w:rPr>
        <w:t>Older Australians are at risk of polypharmacy for a variety of reasons:</w:t>
      </w:r>
    </w:p>
    <w:p w14:paraId="4257860E" w14:textId="77777777" w:rsidR="00FD3F37" w:rsidRPr="00DD4598" w:rsidRDefault="00FD3F37" w:rsidP="00314F78">
      <w:r w:rsidRPr="00DD4598">
        <w:rPr>
          <w:noProof/>
        </w:rPr>
        <w:drawing>
          <wp:inline distT="0" distB="0" distL="0" distR="0" wp14:anchorId="519C13BD" wp14:editId="4060DBA3">
            <wp:extent cx="6091416" cy="7336002"/>
            <wp:effectExtent l="0" t="0" r="5080" b="0"/>
            <wp:docPr id="2091994291" name="Picture 130" descr="P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1" name="Picture 130" descr="P516#yIS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1648" cy="7360367"/>
                    </a:xfrm>
                    <a:prstGeom prst="rect">
                      <a:avLst/>
                    </a:prstGeom>
                    <a:noFill/>
                  </pic:spPr>
                </pic:pic>
              </a:graphicData>
            </a:graphic>
          </wp:inline>
        </w:drawing>
      </w:r>
    </w:p>
    <w:p w14:paraId="02AE488B" w14:textId="77777777" w:rsidR="00850FB2" w:rsidRDefault="00850FB2" w:rsidP="0059348C">
      <w:pPr>
        <w:pStyle w:val="Heading2"/>
        <w:sectPr w:rsidR="00850FB2" w:rsidSect="00157BB5">
          <w:headerReference w:type="even" r:id="rId139"/>
          <w:headerReference w:type="default" r:id="rId140"/>
          <w:headerReference w:type="first" r:id="rId141"/>
          <w:endnotePr>
            <w:numFmt w:val="decimal"/>
          </w:endnotePr>
          <w:pgSz w:w="11906" w:h="16838" w:code="9"/>
          <w:pgMar w:top="1701" w:right="1134" w:bottom="1134" w:left="1134" w:header="567" w:footer="567" w:gutter="0"/>
          <w:cols w:space="567"/>
          <w:docGrid w:linePitch="360"/>
        </w:sectPr>
      </w:pPr>
    </w:p>
    <w:p w14:paraId="6D273E3F" w14:textId="322E53CA" w:rsidR="00FD3F37" w:rsidRPr="00B12A6F" w:rsidRDefault="00FD3F37" w:rsidP="0059348C">
      <w:pPr>
        <w:pStyle w:val="Heading2"/>
      </w:pPr>
      <w:r w:rsidRPr="00B12A6F">
        <w:lastRenderedPageBreak/>
        <w:t>Adverse clinical events of polypharmacy</w:t>
      </w:r>
    </w:p>
    <w:p w14:paraId="158BDA05" w14:textId="103A2CDB" w:rsidR="00FD3F37" w:rsidRPr="00B12A6F" w:rsidRDefault="7279DF3A" w:rsidP="00314F78">
      <w:r w:rsidRPr="00B12A6F">
        <w:t>As people age, they are more sensitive to the effects of medication. This is exacerbated when they are prescribed multiple medications.</w:t>
      </w:r>
      <w:r w:rsidR="55EAC1F9" w:rsidRPr="00B12A6F">
        <w:t xml:space="preserve"> </w:t>
      </w:r>
      <w:r w:rsidR="388E6CEF" w:rsidRPr="00B12A6F">
        <w:t>Older</w:t>
      </w:r>
      <w:r w:rsidRPr="00B12A6F">
        <w:t xml:space="preserve"> Australians have an increased risk of experiencing adverse drug reactions (ADRs) due to physiological changes impacting how medicine is adsorbed, distributed, metabolised and eliminated. An</w:t>
      </w:r>
      <w:r w:rsidR="55EAC1F9" w:rsidRPr="00B12A6F">
        <w:t xml:space="preserve"> </w:t>
      </w:r>
      <w:r w:rsidR="388E6CEF" w:rsidRPr="00B12A6F">
        <w:t>older</w:t>
      </w:r>
      <w:r w:rsidRPr="00B12A6F">
        <w:t xml:space="preserve"> person’s risk of an ADR increases with the number of medications they are prescribed.</w:t>
      </w:r>
    </w:p>
    <w:p w14:paraId="3137B148" w14:textId="7B522BD4" w:rsidR="00FD3F37" w:rsidRPr="00B12A6F" w:rsidRDefault="009963C6" w:rsidP="00314F78">
      <w:pPr>
        <w:pStyle w:val="Caption"/>
      </w:pPr>
      <w:r w:rsidRPr="00B12A6F">
        <w:t>FIGURE </w:t>
      </w:r>
      <w:r w:rsidR="00FD3F37" w:rsidRPr="00B12A6F">
        <w:fldChar w:fldCharType="begin"/>
      </w:r>
      <w:r w:rsidR="00FD3F37" w:rsidRPr="00B12A6F">
        <w:instrText>SEQ Figure \* ARABIC</w:instrText>
      </w:r>
      <w:r w:rsidR="00FD3F37" w:rsidRPr="00B12A6F">
        <w:fldChar w:fldCharType="separate"/>
      </w:r>
      <w:r w:rsidR="003A30D7">
        <w:rPr>
          <w:noProof/>
        </w:rPr>
        <w:t>25</w:t>
      </w:r>
      <w:r w:rsidR="00FD3F37" w:rsidRPr="00B12A6F">
        <w:fldChar w:fldCharType="end"/>
      </w:r>
      <w:r w:rsidRPr="00B12A6F">
        <w:t>: COMMON COMPLICATIONS ASSOCIATED WITH POLYPHARMACY</w:t>
      </w:r>
    </w:p>
    <w:p w14:paraId="4584E244" w14:textId="3E4AF85C" w:rsidR="00FD3F37" w:rsidRPr="00DD70D9" w:rsidRDefault="00FD3F37" w:rsidP="00314F78">
      <w:r w:rsidRPr="002765D3">
        <w:t xml:space="preserve"> </w:t>
      </w:r>
      <w:r w:rsidRPr="002765D3">
        <w:rPr>
          <w:noProof/>
          <w:lang w:eastAsia="en-AU"/>
        </w:rPr>
        <w:drawing>
          <wp:inline distT="0" distB="0" distL="0" distR="0" wp14:anchorId="1353C2F7" wp14:editId="0F6B2DEA">
            <wp:extent cx="6084000" cy="4842751"/>
            <wp:effectExtent l="0" t="0" r="0" b="0"/>
            <wp:docPr id="2091994190" name="Picture 131" descr="P5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90" name="Picture 131" descr="P521#yIS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84000" cy="4842751"/>
                    </a:xfrm>
                    <a:prstGeom prst="rect">
                      <a:avLst/>
                    </a:prstGeom>
                    <a:noFill/>
                    <a:ln>
                      <a:noFill/>
                    </a:ln>
                  </pic:spPr>
                </pic:pic>
              </a:graphicData>
            </a:graphic>
          </wp:inline>
        </w:drawing>
      </w:r>
      <w:r w:rsidR="008B67AC" w:rsidRPr="00850FB2">
        <w:rPr>
          <w:rStyle w:val="Heading2Char"/>
        </w:rPr>
        <w:t xml:space="preserve">7.5 </w:t>
      </w:r>
      <w:r w:rsidRPr="00850FB2">
        <w:rPr>
          <w:rStyle w:val="Heading2Char"/>
        </w:rPr>
        <w:t>Prevention and management of polypharmacy, including prevention checklist</w:t>
      </w:r>
    </w:p>
    <w:p w14:paraId="15E92E83" w14:textId="22D788E7" w:rsidR="00FD3F37" w:rsidRPr="00DD70D9" w:rsidRDefault="00FD3F37" w:rsidP="00314F78">
      <w:r w:rsidRPr="00DD70D9">
        <w:t>The prescription, supply and administration of medicines is strictly regulated for safety and quality of care. Various health professionals are involved in this process to promote safe and quality use of medicines in residential aged care services. Care recipients should understand and be involved in their own medication management and consent.</w:t>
      </w:r>
    </w:p>
    <w:p w14:paraId="2DAA08F8" w14:textId="24D2879D" w:rsidR="00FD3F37" w:rsidRPr="00DD70D9" w:rsidRDefault="00FD3F37" w:rsidP="00314F78">
      <w:r w:rsidRPr="00DD70D9">
        <w:fldChar w:fldCharType="begin" w:fldLock="1"/>
      </w:r>
      <w:r w:rsidRPr="00DD70D9">
        <w:instrText xml:space="preserve"> REF _Ref76397426 \h </w:instrText>
      </w:r>
      <w:r w:rsidR="00D0603E" w:rsidRPr="00DD70D9">
        <w:instrText xml:space="preserve"> \* MERGEFORMAT </w:instrText>
      </w:r>
      <w:r w:rsidRPr="00DD70D9">
        <w:fldChar w:fldCharType="separate"/>
      </w:r>
      <w:r w:rsidR="009F0B74" w:rsidRPr="00DD70D9">
        <w:t>Figure 26</w:t>
      </w:r>
      <w:r w:rsidRPr="00DD70D9">
        <w:fldChar w:fldCharType="end"/>
      </w:r>
      <w:r w:rsidRPr="00DD70D9">
        <w:t xml:space="preserve"> below discusses strategies to manage and prevent polypharmacy.</w:t>
      </w:r>
    </w:p>
    <w:p w14:paraId="6F26E077" w14:textId="4AE355C1" w:rsidR="00FD3F37" w:rsidRPr="00DD70D9" w:rsidRDefault="009963C6" w:rsidP="00314F78">
      <w:pPr>
        <w:pStyle w:val="Caption"/>
      </w:pPr>
      <w:bookmarkStart w:id="45" w:name="_Ref76397426"/>
      <w:r w:rsidRPr="00DD70D9">
        <w:lastRenderedPageBreak/>
        <w:t>FIGURE </w:t>
      </w:r>
      <w:r w:rsidR="00FD3F37" w:rsidRPr="00DD70D9">
        <w:fldChar w:fldCharType="begin"/>
      </w:r>
      <w:r w:rsidR="00FD3F37" w:rsidRPr="00DD70D9">
        <w:instrText>SEQ Figure \* ARABIC</w:instrText>
      </w:r>
      <w:r w:rsidR="00FD3F37" w:rsidRPr="00DD70D9">
        <w:fldChar w:fldCharType="separate"/>
      </w:r>
      <w:r w:rsidR="003A30D7">
        <w:rPr>
          <w:noProof/>
        </w:rPr>
        <w:t>26</w:t>
      </w:r>
      <w:r w:rsidR="00FD3F37" w:rsidRPr="00DD70D9">
        <w:fldChar w:fldCharType="end"/>
      </w:r>
      <w:bookmarkEnd w:id="45"/>
      <w:r w:rsidRPr="00DD70D9">
        <w:t>: PREVENTION STRATEGIES FOR POLYPHARMACY</w:t>
      </w:r>
    </w:p>
    <w:p w14:paraId="417E3548" w14:textId="77777777" w:rsidR="00FD3F37" w:rsidRPr="004A09AA" w:rsidRDefault="00FD3F37" w:rsidP="00314F78">
      <w:r w:rsidRPr="004A09AA">
        <w:rPr>
          <w:noProof/>
        </w:rPr>
        <w:drawing>
          <wp:inline distT="0" distB="0" distL="0" distR="0" wp14:anchorId="1DCD159E" wp14:editId="0CF917A9">
            <wp:extent cx="6373307" cy="3753016"/>
            <wp:effectExtent l="0" t="0" r="8890" b="0"/>
            <wp:docPr id="2091994661" name="Picture 132" descr="P5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61" name="Picture 132" descr="P525#yIS1"/>
                    <pic:cNvPicPr/>
                  </pic:nvPicPr>
                  <pic:blipFill rotWithShape="1">
                    <a:blip r:embed="rId143"/>
                    <a:srcRect l="2988" t="5357" r="3458"/>
                    <a:stretch/>
                  </pic:blipFill>
                  <pic:spPr bwMode="auto">
                    <a:xfrm>
                      <a:off x="0" y="0"/>
                      <a:ext cx="6402236" cy="3770051"/>
                    </a:xfrm>
                    <a:prstGeom prst="rect">
                      <a:avLst/>
                    </a:prstGeom>
                    <a:ln>
                      <a:noFill/>
                    </a:ln>
                    <a:extLst>
                      <a:ext uri="{53640926-AAD7-44D8-BBD7-CCE9431645EC}">
                        <a14:shadowObscured xmlns:a14="http://schemas.microsoft.com/office/drawing/2010/main"/>
                      </a:ext>
                    </a:extLst>
                  </pic:spPr>
                </pic:pic>
              </a:graphicData>
            </a:graphic>
          </wp:inline>
        </w:drawing>
      </w:r>
    </w:p>
    <w:p w14:paraId="21CEF555" w14:textId="77777777" w:rsidR="00FD3F37" w:rsidRPr="004A09AA" w:rsidRDefault="00FD3F37" w:rsidP="00314F78">
      <w:r w:rsidRPr="004A09AA">
        <w:br w:type="page"/>
      </w:r>
    </w:p>
    <w:p w14:paraId="1BA6801E" w14:textId="77777777" w:rsidR="00FD3F37" w:rsidRPr="00DD70D9" w:rsidRDefault="7279DF3A" w:rsidP="00314F78">
      <w:r w:rsidRPr="00DD70D9">
        <w:lastRenderedPageBreak/>
        <w:t>The checklist below will help to assess and involve care recipients who are at risk of polypharmacy and identify prevention strategies to reduce the risk of polypharmacy from occurring.</w:t>
      </w:r>
    </w:p>
    <w:p w14:paraId="5D8DC840" w14:textId="1DE72EF4" w:rsidR="00FD3F37" w:rsidRPr="00DD70D9" w:rsidRDefault="009963C6" w:rsidP="00314F78">
      <w:pPr>
        <w:pStyle w:val="Caption"/>
      </w:pPr>
      <w:r w:rsidRPr="00DD70D9">
        <w:t>FIGURE </w:t>
      </w:r>
      <w:r w:rsidR="00FD3F37" w:rsidRPr="00DD70D9">
        <w:fldChar w:fldCharType="begin"/>
      </w:r>
      <w:r w:rsidR="00FD3F37" w:rsidRPr="00DD70D9">
        <w:instrText>SEQ Figure \* ARABIC</w:instrText>
      </w:r>
      <w:r w:rsidR="00FD3F37" w:rsidRPr="00DD70D9">
        <w:fldChar w:fldCharType="separate"/>
      </w:r>
      <w:r w:rsidR="003A30D7">
        <w:rPr>
          <w:noProof/>
        </w:rPr>
        <w:t>27</w:t>
      </w:r>
      <w:r w:rsidR="00FD3F37" w:rsidRPr="00DD70D9">
        <w:fldChar w:fldCharType="end"/>
      </w:r>
      <w:r w:rsidRPr="00DD70D9">
        <w:t>: CHECKLIST FOR THE PREVENTION OF POLYPHARMACY</w:t>
      </w:r>
    </w:p>
    <w:p w14:paraId="7834C4E2" w14:textId="600F76FB" w:rsidR="004A6AE6" w:rsidRPr="00454D17" w:rsidRDefault="00CF0345" w:rsidP="00314F78">
      <w:pPr>
        <w:pStyle w:val="ChecklistHeading"/>
      </w:pPr>
      <w:r w:rsidRPr="002765D3">
        <w:rPr>
          <w:noProof/>
        </w:rPr>
        <w:drawing>
          <wp:anchor distT="0" distB="0" distL="114300" distR="114300" simplePos="0" relativeHeight="251658314" behindDoc="0" locked="0" layoutInCell="1" allowOverlap="1" wp14:anchorId="03589A61" wp14:editId="46FAF2C6">
            <wp:simplePos x="0" y="0"/>
            <wp:positionH relativeFrom="column">
              <wp:posOffset>3061195</wp:posOffset>
            </wp:positionH>
            <wp:positionV relativeFrom="paragraph">
              <wp:posOffset>309880</wp:posOffset>
            </wp:positionV>
            <wp:extent cx="564851" cy="569343"/>
            <wp:effectExtent l="0" t="0" r="6985" b="2540"/>
            <wp:wrapSquare wrapText="bothSides"/>
            <wp:docPr id="1736794123" name="Picture 137" descr="P52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3" name="Picture 137" descr="P529#y2"/>
                    <pic:cNvPicPr/>
                  </pic:nvPicPr>
                  <pic:blipFill>
                    <a:blip r:embed="rId5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Pr="002765D3">
        <w:rPr>
          <w:noProof/>
          <w:lang w:eastAsia="en-AU"/>
        </w:rPr>
        <w:drawing>
          <wp:anchor distT="0" distB="0" distL="114300" distR="114300" simplePos="0" relativeHeight="251658312" behindDoc="0" locked="0" layoutInCell="1" allowOverlap="1" wp14:anchorId="4630FA8B" wp14:editId="351287CA">
            <wp:simplePos x="0" y="0"/>
            <wp:positionH relativeFrom="column">
              <wp:posOffset>-114160</wp:posOffset>
            </wp:positionH>
            <wp:positionV relativeFrom="paragraph">
              <wp:posOffset>333375</wp:posOffset>
            </wp:positionV>
            <wp:extent cx="566382" cy="580456"/>
            <wp:effectExtent l="0" t="0" r="5715" b="0"/>
            <wp:wrapSquare wrapText="bothSides"/>
            <wp:docPr id="1063778668" name="Picture 161" descr="P5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78668" name="Picture 161" descr="P529#y1"/>
                    <pic:cNvPicPr/>
                  </pic:nvPicPr>
                  <pic:blipFill>
                    <a:blip r:embed="rId57">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anchor>
        </w:drawing>
      </w:r>
      <w:r w:rsidR="00964AED" w:rsidRPr="00803D00">
        <w:t xml:space="preserve">Checklist for </w:t>
      </w:r>
      <w:r w:rsidR="00D15A4A" w:rsidRPr="00803D00">
        <w:t xml:space="preserve">the </w:t>
      </w:r>
      <w:r w:rsidR="00964AED" w:rsidRPr="00803D00">
        <w:t>prevention of polypharmacy</w:t>
      </w:r>
    </w:p>
    <w:p w14:paraId="24B74253" w14:textId="77777777" w:rsidR="00FD3F37" w:rsidRPr="00803D00" w:rsidRDefault="00FD3F37" w:rsidP="00314F78">
      <w:pPr>
        <w:pStyle w:val="ChecklistHeading"/>
        <w:sectPr w:rsidR="00FD3F37" w:rsidRPr="00803D00" w:rsidSect="00157BB5">
          <w:endnotePr>
            <w:numFmt w:val="decimal"/>
          </w:endnotePr>
          <w:pgSz w:w="11906" w:h="16838" w:code="9"/>
          <w:pgMar w:top="1701" w:right="1134" w:bottom="1134" w:left="1134" w:header="567" w:footer="567" w:gutter="0"/>
          <w:cols w:space="567"/>
          <w:docGrid w:linePitch="360"/>
        </w:sectPr>
      </w:pPr>
    </w:p>
    <w:p w14:paraId="38B22D78" w14:textId="0A0933CE" w:rsidR="00DC6952" w:rsidRPr="00C06C9A" w:rsidRDefault="00DC6952" w:rsidP="00314F78">
      <w:pPr>
        <w:pStyle w:val="TableHeader"/>
      </w:pPr>
      <w:r w:rsidRPr="002765D3">
        <w:t xml:space="preserve">Complete </w:t>
      </w:r>
      <w:r>
        <w:t>r</w:t>
      </w:r>
      <w:r w:rsidRPr="002765D3">
        <w:t xml:space="preserve">egular </w:t>
      </w:r>
      <w:r>
        <w:t>r</w:t>
      </w:r>
      <w:r w:rsidRPr="002765D3">
        <w:t xml:space="preserve">eviews of </w:t>
      </w:r>
      <w:r>
        <w:t>r</w:t>
      </w:r>
      <w:r w:rsidRPr="002765D3">
        <w:t xml:space="preserve">esidential </w:t>
      </w:r>
      <w:r>
        <w:t>m</w:t>
      </w:r>
      <w:r w:rsidRPr="002765D3">
        <w:t xml:space="preserve">edication </w:t>
      </w:r>
      <w:r>
        <w:t>c</w:t>
      </w:r>
      <w:r w:rsidRPr="002765D3">
        <w:t>harts</w:t>
      </w:r>
    </w:p>
    <w:p w14:paraId="2687164F" w14:textId="77777777" w:rsidR="00DC6952" w:rsidRPr="004F083B" w:rsidRDefault="0B17F850" w:rsidP="00314F78">
      <w:pPr>
        <w:pStyle w:val="ListBullet"/>
      </w:pPr>
      <w:r w:rsidRPr="189D3658">
        <w:t>Aged care service staff are key to identifying care recipients who are at risk of polypharmacy or are already prescribed nine or more medications.</w:t>
      </w:r>
    </w:p>
    <w:p w14:paraId="276F93A4" w14:textId="77777777" w:rsidR="00DC6952" w:rsidRPr="004F083B" w:rsidRDefault="0B17F850" w:rsidP="00314F78">
      <w:pPr>
        <w:pStyle w:val="ListBullet"/>
      </w:pPr>
      <w:r w:rsidRPr="189D3658">
        <w:t>Regular review of residential medication charts by registered nurses and enrolled nurses as they administer medications. Escalate to pharmacist or medical practitioner where appropriate.</w:t>
      </w:r>
    </w:p>
    <w:p w14:paraId="7E7FC43B" w14:textId="3AA9B6BB" w:rsidR="00DC6952" w:rsidRPr="002765D3" w:rsidRDefault="00CF0345" w:rsidP="00314F78">
      <w:pPr>
        <w:pStyle w:val="ListBullet"/>
      </w:pPr>
      <w:r w:rsidRPr="002765D3">
        <w:rPr>
          <w:noProof/>
        </w:rPr>
        <w:drawing>
          <wp:anchor distT="0" distB="0" distL="114300" distR="114300" simplePos="0" relativeHeight="251658313" behindDoc="0" locked="0" layoutInCell="1" allowOverlap="1" wp14:anchorId="05735680" wp14:editId="4BFFC1AC">
            <wp:simplePos x="0" y="0"/>
            <wp:positionH relativeFrom="column">
              <wp:posOffset>-690674</wp:posOffset>
            </wp:positionH>
            <wp:positionV relativeFrom="paragraph">
              <wp:posOffset>665027</wp:posOffset>
            </wp:positionV>
            <wp:extent cx="564743" cy="577970"/>
            <wp:effectExtent l="0" t="0" r="6985" b="0"/>
            <wp:wrapSquare wrapText="bothSides"/>
            <wp:docPr id="1736794122" name="Picture 136" descr="P5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2" name="Picture 136" descr="P534#y1"/>
                    <pic:cNvPicPr/>
                  </pic:nvPicPr>
                  <pic:blipFill>
                    <a:blip r:embed="rId60">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00DC6952" w:rsidRPr="004F083B">
        <w:t>Review care recipient’s medicatio</w:t>
      </w:r>
      <w:r w:rsidR="00DC6952" w:rsidRPr="002765D3">
        <w:t>n charts for medication changes upon return from hospital admissions.</w:t>
      </w:r>
    </w:p>
    <w:p w14:paraId="0F70FBA8" w14:textId="5287B14D" w:rsidR="00DC6952" w:rsidRPr="00C06C9A" w:rsidRDefault="0B17F850" w:rsidP="00314F78">
      <w:pPr>
        <w:pStyle w:val="TableHeader"/>
      </w:pPr>
      <w:r w:rsidRPr="189D3658">
        <w:t>Document, monitor and escalate instances of polypharmacy</w:t>
      </w:r>
    </w:p>
    <w:p w14:paraId="7C730DA1" w14:textId="77777777" w:rsidR="00DC6952" w:rsidRPr="002765D3" w:rsidRDefault="00DC6952" w:rsidP="00314F78">
      <w:pPr>
        <w:pStyle w:val="ListBullet"/>
      </w:pPr>
      <w:r w:rsidRPr="002765D3">
        <w:t>Document/record concerns of polypharmacy on a care recipient’s care plan and escalate to a pharmacist or medical practitioner. The outcome of this escalation should also be documented and planned for in the care recipient’s care plan.</w:t>
      </w:r>
    </w:p>
    <w:p w14:paraId="64DEE321" w14:textId="77777777" w:rsidR="00DC6952" w:rsidRPr="002765D3" w:rsidRDefault="0B17F850" w:rsidP="00314F78">
      <w:pPr>
        <w:pStyle w:val="ListBullet"/>
      </w:pPr>
      <w:r w:rsidRPr="189D3658">
        <w:t>Monitor the care recipient closely for the expected benefits response as well as potential adverse drug withdrawals. A carer or enrolled nurse should discuss concerns of polypharmacy with the registered nurse so the escalation process to the pharmacist or medical practitioner is initiated for review.</w:t>
      </w:r>
    </w:p>
    <w:p w14:paraId="363F23F1" w14:textId="1C4D6459" w:rsidR="00DC6952" w:rsidRPr="002765D3" w:rsidRDefault="00DC6952" w:rsidP="00314F78">
      <w:pPr>
        <w:pStyle w:val="TableHeader"/>
      </w:pPr>
      <w:r w:rsidRPr="002765D3">
        <w:t>Implement prevention strategies</w:t>
      </w:r>
    </w:p>
    <w:p w14:paraId="2F52A77F" w14:textId="77777777" w:rsidR="00DC6952" w:rsidRPr="00DD70D9" w:rsidRDefault="00DC6952" w:rsidP="00314F78">
      <w:pPr>
        <w:rPr>
          <w:rStyle w:val="Strong"/>
        </w:rPr>
      </w:pPr>
      <w:r w:rsidRPr="00DD70D9">
        <w:rPr>
          <w:rStyle w:val="Strong"/>
        </w:rPr>
        <w:t>Educate staff and promote awareness about polypharmacy</w:t>
      </w:r>
    </w:p>
    <w:p w14:paraId="10F08FE7" w14:textId="77777777" w:rsidR="00DC6952" w:rsidRPr="002765D3" w:rsidRDefault="00DC6952" w:rsidP="00314F78">
      <w:pPr>
        <w:pStyle w:val="ListBullet"/>
      </w:pPr>
      <w:r>
        <w:t>Remain aware of the risks associated with polypharmacy. Programs supporting awareness and understanding of deprescribing and polypharmacy are effective in promoting safer medication regimens as staff play an active role in monitoring care recipients’ residential medication charts.</w:t>
      </w:r>
    </w:p>
    <w:p w14:paraId="77CD3F72" w14:textId="77777777" w:rsidR="00DC6952" w:rsidRPr="00DD70D9" w:rsidRDefault="00DC6952" w:rsidP="00314F78">
      <w:r w:rsidRPr="00DD70D9">
        <w:rPr>
          <w:rStyle w:val="Strong"/>
        </w:rPr>
        <w:t>Encourage Residential Medication Management Reviews</w:t>
      </w:r>
      <w:r w:rsidRPr="00DD70D9">
        <w:t xml:space="preserve"> </w:t>
      </w:r>
      <w:r w:rsidRPr="00454D17">
        <w:t>(refer to “Example tools, guidance and resources to support continuous quality improvement”)</w:t>
      </w:r>
    </w:p>
    <w:p w14:paraId="1807F0E7" w14:textId="77777777" w:rsidR="00DC6952" w:rsidRPr="002765D3" w:rsidRDefault="00DC6952" w:rsidP="00314F78">
      <w:pPr>
        <w:pStyle w:val="ListBullet"/>
      </w:pPr>
      <w:r w:rsidRPr="002765D3">
        <w:t>Encourage a Residential Medication Management Review (RMMR) for care recipients who are at risk of polypharmacy or are prescribed nine or more medications.</w:t>
      </w:r>
    </w:p>
    <w:p w14:paraId="03B18465" w14:textId="77777777" w:rsidR="00DC6952" w:rsidRPr="002765D3" w:rsidRDefault="00DC6952" w:rsidP="00314F78">
      <w:pPr>
        <w:pStyle w:val="ListBullet"/>
      </w:pPr>
      <w:r w:rsidRPr="002765D3">
        <w:t>Collaborate with medical practitioners and pharmacists to perform a RMMR for a care recipient. These medication management services are subsidised by Medicare.</w:t>
      </w:r>
    </w:p>
    <w:p w14:paraId="4C30CC31" w14:textId="77777777" w:rsidR="00DC6952" w:rsidRPr="00DD70D9" w:rsidRDefault="00DC6952" w:rsidP="00314F78">
      <w:pPr>
        <w:rPr>
          <w:rStyle w:val="Strong"/>
        </w:rPr>
      </w:pPr>
      <w:r w:rsidRPr="00DD70D9">
        <w:rPr>
          <w:rStyle w:val="Strong"/>
        </w:rPr>
        <w:t>Encourage shared decision making with care recipients</w:t>
      </w:r>
    </w:p>
    <w:p w14:paraId="071641CE" w14:textId="77777777" w:rsidR="00DC6952" w:rsidRPr="002765D3" w:rsidRDefault="00DC6952" w:rsidP="00314F78">
      <w:pPr>
        <w:pStyle w:val="ListBullet"/>
      </w:pPr>
      <w:r w:rsidRPr="002765D3">
        <w:t>Discuss medication needs with the care recipient to understand their perspective and support their participation in making decisions (where possible).</w:t>
      </w:r>
    </w:p>
    <w:p w14:paraId="7BE732AE" w14:textId="77777777" w:rsidR="00DC6952" w:rsidRPr="00880DFF" w:rsidRDefault="0B17F850" w:rsidP="00314F78">
      <w:pPr>
        <w:rPr>
          <w:rStyle w:val="Strong"/>
        </w:rPr>
      </w:pPr>
      <w:r w:rsidRPr="00880DFF">
        <w:rPr>
          <w:rStyle w:val="Strong"/>
        </w:rPr>
        <w:t>Escalate concerns of polypharmacy for consideration of deprescribing (where appropriate)</w:t>
      </w:r>
    </w:p>
    <w:p w14:paraId="6F903BE9" w14:textId="374756BF" w:rsidR="00DC6952" w:rsidRPr="002765D3" w:rsidRDefault="00CF0345" w:rsidP="00314F78">
      <w:pPr>
        <w:pStyle w:val="ListBullet"/>
      </w:pPr>
      <w:r w:rsidRPr="002765D3">
        <w:rPr>
          <w:noProof/>
        </w:rPr>
        <w:lastRenderedPageBreak/>
        <w:drawing>
          <wp:anchor distT="0" distB="0" distL="114300" distR="114300" simplePos="0" relativeHeight="251658315" behindDoc="0" locked="0" layoutInCell="1" allowOverlap="1" wp14:anchorId="21FAB5BF" wp14:editId="61D1E512">
            <wp:simplePos x="0" y="0"/>
            <wp:positionH relativeFrom="column">
              <wp:posOffset>2639940</wp:posOffset>
            </wp:positionH>
            <wp:positionV relativeFrom="paragraph">
              <wp:posOffset>321269</wp:posOffset>
            </wp:positionV>
            <wp:extent cx="564743" cy="586596"/>
            <wp:effectExtent l="0" t="0" r="6985" b="4445"/>
            <wp:wrapSquare wrapText="bothSides"/>
            <wp:docPr id="1736794124" name="Picture 138" descr="P5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4" name="Picture 138" descr="P547#y1"/>
                    <pic:cNvPicPr/>
                  </pic:nvPicPr>
                  <pic:blipFill>
                    <a:blip r:embed="rId59">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anchor>
        </w:drawing>
      </w:r>
      <w:r w:rsidR="00DC6952" w:rsidRPr="002765D3">
        <w:t>Escalate concerns of polypharmacy to a pharmacist or medical practitioner. The purpose of this is to target medications no longer beneficial to the care recipient, reduce complexity in their medication regime and prevent consequences of a high-risk medication.</w:t>
      </w:r>
    </w:p>
    <w:p w14:paraId="0B575FD8" w14:textId="77777777" w:rsidR="00DC6952" w:rsidRPr="002765D3" w:rsidRDefault="00DC6952" w:rsidP="00314F78">
      <w:pPr>
        <w:pStyle w:val="ListBullet"/>
      </w:pPr>
      <w:r w:rsidRPr="002765D3">
        <w:t xml:space="preserve">Deprescribing can only be actioned by a medical practitioner and must be reflected in the care recipient’s medication chart. </w:t>
      </w:r>
    </w:p>
    <w:p w14:paraId="76AA4460" w14:textId="5482C188" w:rsidR="00DC6952" w:rsidRPr="002765D3" w:rsidRDefault="00DC6952" w:rsidP="00314F78">
      <w:pPr>
        <w:pStyle w:val="TableHeader"/>
      </w:pPr>
      <w:r w:rsidRPr="002765D3">
        <w:t xml:space="preserve">Undertake </w:t>
      </w:r>
      <w:r>
        <w:t>f</w:t>
      </w:r>
      <w:r w:rsidRPr="002765D3">
        <w:t xml:space="preserve">requent </w:t>
      </w:r>
      <w:r>
        <w:t>r</w:t>
      </w:r>
      <w:r w:rsidRPr="002765D3">
        <w:t xml:space="preserve">eassessment of </w:t>
      </w:r>
      <w:r>
        <w:t>r</w:t>
      </w:r>
      <w:r w:rsidRPr="002765D3">
        <w:t xml:space="preserve">esidential </w:t>
      </w:r>
      <w:r>
        <w:t>m</w:t>
      </w:r>
      <w:r w:rsidRPr="002765D3">
        <w:t xml:space="preserve">edication </w:t>
      </w:r>
      <w:r>
        <w:t>c</w:t>
      </w:r>
      <w:r w:rsidRPr="002765D3">
        <w:t>harts</w:t>
      </w:r>
    </w:p>
    <w:p w14:paraId="7D0DFEF2" w14:textId="77777777" w:rsidR="00DC6952" w:rsidRPr="002765D3" w:rsidRDefault="00DC6952" w:rsidP="00314F78">
      <w:pPr>
        <w:pStyle w:val="ListBullet"/>
      </w:pPr>
      <w:r w:rsidRPr="002765D3">
        <w:t xml:space="preserve">Re-assess and review regularly as a care recipient’s medication regimen can change regularly, especially as care recipients age and develop multimorbidity. </w:t>
      </w:r>
    </w:p>
    <w:p w14:paraId="08892000" w14:textId="05447B15" w:rsidR="2060610A" w:rsidRDefault="2060610A" w:rsidP="00314F78"/>
    <w:p w14:paraId="7A98EA5F" w14:textId="77777777" w:rsidR="00FD3F37" w:rsidRPr="004A09AA" w:rsidRDefault="00FD3F37" w:rsidP="00314F78">
      <w:pPr>
        <w:sectPr w:rsidR="00FD3F37" w:rsidRPr="004A09AA" w:rsidSect="00DC6952">
          <w:endnotePr>
            <w:numFmt w:val="decimal"/>
          </w:endnotePr>
          <w:type w:val="continuous"/>
          <w:pgSz w:w="11906" w:h="16838" w:code="9"/>
          <w:pgMar w:top="1701" w:right="1134" w:bottom="1134" w:left="2098" w:header="567" w:footer="567" w:gutter="0"/>
          <w:cols w:num="2" w:space="1418"/>
          <w:docGrid w:linePitch="360"/>
        </w:sectPr>
      </w:pPr>
    </w:p>
    <w:p w14:paraId="57642A68" w14:textId="77777777" w:rsidR="00FD3F37" w:rsidRPr="004A09AA" w:rsidRDefault="00FD3F37" w:rsidP="00314F78"/>
    <w:p w14:paraId="38BBC733" w14:textId="77777777" w:rsidR="00FD3F37" w:rsidRPr="004A09AA" w:rsidRDefault="00FD3F37" w:rsidP="00314F78">
      <w:pPr>
        <w:sectPr w:rsidR="00FD3F37" w:rsidRPr="004A09AA" w:rsidSect="00726801">
          <w:endnotePr>
            <w:numFmt w:val="decimal"/>
          </w:endnotePr>
          <w:type w:val="continuous"/>
          <w:pgSz w:w="11906" w:h="16838" w:code="9"/>
          <w:pgMar w:top="1701" w:right="1134" w:bottom="1134" w:left="1134" w:header="567" w:footer="567" w:gutter="0"/>
          <w:cols w:num="2" w:space="567"/>
          <w:docGrid w:linePitch="360"/>
        </w:sectPr>
      </w:pPr>
    </w:p>
    <w:p w14:paraId="16D5CD31" w14:textId="06A573C0" w:rsidR="00FD3F37" w:rsidRPr="00880DFF" w:rsidRDefault="00FD3F37" w:rsidP="0059348C">
      <w:pPr>
        <w:pStyle w:val="Heading2"/>
      </w:pPr>
      <w:r w:rsidRPr="00880DFF">
        <w:t>Quality improvement for polypharmacy</w:t>
      </w:r>
    </w:p>
    <w:p w14:paraId="232D863A" w14:textId="7CC79BDD" w:rsidR="00FD3F37" w:rsidRPr="00880DFF" w:rsidRDefault="00FD3F37" w:rsidP="00314F78">
      <w:r w:rsidRPr="00880DFF">
        <w:t>Quality improvement can help providers increase the quality of care for care recipients at risk of polypharmacy. Quality improvement activities should be ongoing and part of business-as-usual for approved providers.</w:t>
      </w:r>
    </w:p>
    <w:p w14:paraId="2483261B" w14:textId="77777777" w:rsidR="00FD3F37" w:rsidRPr="00880DFF" w:rsidRDefault="00FD3F37" w:rsidP="00314F78">
      <w:r w:rsidRPr="00880DFF">
        <w:t>The QI Program will help prompt when a specific quality improvement activity should be undertaken.</w:t>
      </w:r>
    </w:p>
    <w:p w14:paraId="565994C7" w14:textId="2C8ED427" w:rsidR="00FD3F37" w:rsidRPr="00880DFF" w:rsidRDefault="00FD3F37" w:rsidP="00314F78">
      <w:r w:rsidRPr="00880DFF">
        <w:t xml:space="preserve">It is important to review QI Program data reports through </w:t>
      </w:r>
      <w:r w:rsidR="00B26274" w:rsidRPr="00880DFF">
        <w:t xml:space="preserve">GPMS </w:t>
      </w:r>
      <w:r w:rsidRPr="00880DFF">
        <w:t xml:space="preserve">and compare against national </w:t>
      </w:r>
      <w:r w:rsidR="0084075D" w:rsidRPr="00880DFF">
        <w:t>averages</w:t>
      </w:r>
      <w:r w:rsidRPr="00880DFF">
        <w:t xml:space="preserve"> and other services to understand where quality improvement activities should be focussed.</w:t>
      </w:r>
    </w:p>
    <w:p w14:paraId="45AD6E42" w14:textId="262AA18C" w:rsidR="00FD3F37" w:rsidRPr="00880DFF" w:rsidRDefault="7279DF3A" w:rsidP="00314F78">
      <w:r w:rsidRPr="00880DFF">
        <w:t xml:space="preserve">The </w:t>
      </w:r>
      <w:r w:rsidRPr="00880DFF">
        <w:rPr>
          <w:rStyle w:val="Strong"/>
        </w:rPr>
        <w:t>Plan-Do-Check-Act tool</w:t>
      </w:r>
      <w:r w:rsidR="00045384" w:rsidRPr="00880DFF">
        <w:t xml:space="preserve"> (section 2.3)</w:t>
      </w:r>
      <w:r w:rsidRPr="00880DFF">
        <w:t xml:space="preserve"> is a useful tool to plan, deliver and monitor quality improvement activities focused on preventing and reducing polypharmacy.</w:t>
      </w:r>
    </w:p>
    <w:p w14:paraId="2490353C" w14:textId="77777777" w:rsidR="00FD3F37" w:rsidRPr="004A09AA" w:rsidRDefault="00FD3F37" w:rsidP="00314F78">
      <w:r w:rsidRPr="004A09AA">
        <w:br w:type="page"/>
      </w:r>
    </w:p>
    <w:p w14:paraId="174147BE" w14:textId="41EB449F" w:rsidR="00FD3F37" w:rsidRPr="00E323A5" w:rsidRDefault="7279DF3A" w:rsidP="0059348C">
      <w:pPr>
        <w:pStyle w:val="Heading2"/>
      </w:pPr>
      <w:r w:rsidRPr="00E323A5">
        <w:lastRenderedPageBreak/>
        <w:t xml:space="preserve">Example tools, guidance and resources to support </w:t>
      </w:r>
      <w:r w:rsidR="00FD3F37" w:rsidRPr="00E323A5">
        <w:br/>
      </w:r>
      <w:r w:rsidRPr="00E323A5">
        <w:t>continuous quality improvement</w:t>
      </w:r>
    </w:p>
    <w:p w14:paraId="3E6A0B35" w14:textId="74C437D1" w:rsidR="00FD3F37" w:rsidRPr="00454D17" w:rsidRDefault="00FD3F37" w:rsidP="00314F78"/>
    <w:p w14:paraId="053CB92A" w14:textId="35B191DD" w:rsidR="00FD3F37" w:rsidRPr="00D82644" w:rsidRDefault="00FD3F37" w:rsidP="00314F78">
      <w:pPr>
        <w:pStyle w:val="ListBullet"/>
      </w:pPr>
      <w:hyperlink r:id="rId144" w:history="1">
        <w:r w:rsidRPr="00D82644">
          <w:rPr>
            <w:rStyle w:val="Hyperlink"/>
            <w:b/>
            <w:bCs/>
          </w:rPr>
          <w:t>Australian Medicines Handbook</w:t>
        </w:r>
      </w:hyperlink>
      <w:r w:rsidR="00184060" w:rsidRPr="00D82644">
        <w:t xml:space="preserve"> — online resource providing information on current medications used in Australia</w:t>
      </w:r>
    </w:p>
    <w:p w14:paraId="0598299F" w14:textId="78358DBE" w:rsidR="00FD3F37" w:rsidRPr="00454D17" w:rsidRDefault="00FD3F37" w:rsidP="00314F78">
      <w:pPr>
        <w:pStyle w:val="ListBullet"/>
        <w:rPr>
          <w:rStyle w:val="Strong"/>
        </w:rPr>
      </w:pPr>
      <w:hyperlink r:id="rId145" w:history="1">
        <w:r w:rsidRPr="00D82644">
          <w:rPr>
            <w:rStyle w:val="Hyperlink"/>
            <w:b/>
            <w:bCs/>
          </w:rPr>
          <w:t>Monthly Index of Medical Specialties (MIMS) Australia</w:t>
        </w:r>
      </w:hyperlink>
      <w:r w:rsidR="00184060" w:rsidRPr="00D82644">
        <w:t xml:space="preserve"> — online resource providing Australian medications information</w:t>
      </w:r>
    </w:p>
    <w:p w14:paraId="3981766E" w14:textId="398BB6A6" w:rsidR="00FD3F37" w:rsidRPr="00454D17" w:rsidRDefault="00FD3F37" w:rsidP="00314F78">
      <w:pPr>
        <w:pStyle w:val="ListBullet"/>
        <w:rPr>
          <w:rStyle w:val="Strong"/>
        </w:rPr>
      </w:pPr>
      <w:hyperlink r:id="rId146" w:history="1">
        <w:r w:rsidRPr="00D82644">
          <w:rPr>
            <w:rStyle w:val="Hyperlink"/>
            <w:b/>
            <w:bCs/>
          </w:rPr>
          <w:t>The Fourth Australian Atlas of Healthcare Variation: Polypharmacy, 75 years and over</w:t>
        </w:r>
      </w:hyperlink>
      <w:r w:rsidRPr="00D82644">
        <w:t xml:space="preserve"> </w:t>
      </w:r>
      <w:r w:rsidR="00184060" w:rsidRPr="00D82644">
        <w:t xml:space="preserve">— chapter </w:t>
      </w:r>
      <w:r w:rsidRPr="00D82644">
        <w:t>explores the effects of polypharmacy in</w:t>
      </w:r>
      <w:r w:rsidR="00A8609F" w:rsidRPr="00D82644">
        <w:t xml:space="preserve"> </w:t>
      </w:r>
      <w:r w:rsidR="00FC12FF" w:rsidRPr="00D82644">
        <w:t>older</w:t>
      </w:r>
      <w:r w:rsidRPr="00D82644">
        <w:t xml:space="preserve"> Australians</w:t>
      </w:r>
      <w:r w:rsidR="00184060" w:rsidRPr="00D82644">
        <w:t xml:space="preserve"> — Australian Commission on Safety and Quality in Health Care</w:t>
      </w:r>
    </w:p>
    <w:p w14:paraId="21B35D47" w14:textId="75053FE7" w:rsidR="00F7114E" w:rsidRPr="00445B8B" w:rsidRDefault="0018142D" w:rsidP="00314F78">
      <w:pPr>
        <w:pStyle w:val="ListBullet"/>
      </w:pPr>
      <w:hyperlink r:id="rId147" w:history="1">
        <w:r w:rsidRPr="00F602B6">
          <w:rPr>
            <w:rStyle w:val="Hyperlink"/>
            <w:b/>
            <w:bCs/>
          </w:rPr>
          <w:t>Handbook of tools to support medicine management in multimorbidity and polypharmacy</w:t>
        </w:r>
      </w:hyperlink>
      <w:r w:rsidR="00F602B6" w:rsidRPr="00454D17">
        <w:rPr>
          <w:rStyle w:val="Strong"/>
        </w:rPr>
        <w:t xml:space="preserve"> </w:t>
      </w:r>
      <w:r w:rsidR="00E55474" w:rsidRPr="00454D17">
        <w:rPr>
          <w:rStyle w:val="Strong"/>
        </w:rPr>
        <w:t>–</w:t>
      </w:r>
      <w:r w:rsidR="00F602B6" w:rsidRPr="00454D17">
        <w:rPr>
          <w:rStyle w:val="Strong"/>
        </w:rPr>
        <w:t xml:space="preserve"> </w:t>
      </w:r>
      <w:r w:rsidR="00E55474" w:rsidRPr="00445B8B">
        <w:t xml:space="preserve">developed by the University of SA for the Department </w:t>
      </w:r>
      <w:r w:rsidR="00653B2C" w:rsidRPr="00445B8B">
        <w:t>of Health and Aged Care</w:t>
      </w:r>
    </w:p>
    <w:p w14:paraId="36A9203F" w14:textId="3FEAC543" w:rsidR="00FD3F37" w:rsidRPr="00D82644" w:rsidRDefault="00184060" w:rsidP="00314F78">
      <w:pPr>
        <w:pStyle w:val="ListBullet"/>
      </w:pPr>
      <w:hyperlink r:id="rId148" w:history="1">
        <w:r w:rsidRPr="00D82644">
          <w:rPr>
            <w:rStyle w:val="Hyperlink"/>
            <w:b/>
            <w:bCs/>
          </w:rPr>
          <w:t>Medications it’</w:t>
        </w:r>
        <w:r w:rsidR="0034313B" w:rsidRPr="00D82644">
          <w:rPr>
            <w:rStyle w:val="Hyperlink"/>
            <w:b/>
            <w:bCs/>
          </w:rPr>
          <w:t>s</w:t>
        </w:r>
        <w:r w:rsidRPr="00D82644">
          <w:rPr>
            <w:rStyle w:val="Hyperlink"/>
            <w:b/>
            <w:bCs/>
          </w:rPr>
          <w:t xml:space="preserve"> your choice</w:t>
        </w:r>
      </w:hyperlink>
      <w:r w:rsidR="00DE3688" w:rsidRPr="00D82644">
        <w:t xml:space="preserve"> — video providing </w:t>
      </w:r>
      <w:r w:rsidR="00FD3F37" w:rsidRPr="00D82644">
        <w:t xml:space="preserve">information about the rights and responsibilities of </w:t>
      </w:r>
      <w:r w:rsidR="00DE3688" w:rsidRPr="00D82644">
        <w:t>older people about their care, including their medication — Older Persons Advocacy Network</w:t>
      </w:r>
    </w:p>
    <w:p w14:paraId="1146D2E7" w14:textId="5106018D" w:rsidR="00FD3F37" w:rsidRPr="00E323A5" w:rsidRDefault="00FD3F37" w:rsidP="00314F78">
      <w:pPr>
        <w:rPr>
          <w:rStyle w:val="Emphasis"/>
        </w:rPr>
      </w:pPr>
      <w:r w:rsidRPr="00E323A5">
        <w:rPr>
          <w:rStyle w:val="Emphasis"/>
        </w:rPr>
        <w:t>Some tools, guidance and resources may be updated over time; it is important to ensure you are looking at the most recent version.</w:t>
      </w:r>
    </w:p>
    <w:p w14:paraId="7DDE9255" w14:textId="77777777" w:rsidR="00E323A5" w:rsidRPr="00454D17" w:rsidRDefault="00E323A5" w:rsidP="00314F78"/>
    <w:p w14:paraId="65159C5E" w14:textId="77777777" w:rsidR="00FD3F37" w:rsidRPr="002765D3" w:rsidRDefault="00FD3F37" w:rsidP="00314F78">
      <w:pPr>
        <w:sectPr w:rsidR="00FD3F37" w:rsidRPr="002765D3" w:rsidSect="003B43A1">
          <w:endnotePr>
            <w:numFmt w:val="decimal"/>
          </w:endnotePr>
          <w:type w:val="continuous"/>
          <w:pgSz w:w="11906" w:h="16838" w:code="9"/>
          <w:pgMar w:top="1701" w:right="1134" w:bottom="1134" w:left="1134" w:header="567" w:footer="567" w:gutter="0"/>
          <w:cols w:space="567"/>
          <w:docGrid w:linePitch="360"/>
        </w:sectPr>
      </w:pPr>
    </w:p>
    <w:p w14:paraId="091CA1B0" w14:textId="1CBBCA50" w:rsidR="00FD3F37" w:rsidRDefault="00EB2A37" w:rsidP="0059348C">
      <w:pPr>
        <w:pStyle w:val="Heading1"/>
      </w:pPr>
      <w:bookmarkStart w:id="46" w:name="_Toc76998118"/>
      <w:bookmarkStart w:id="47" w:name="_Toc193889894"/>
      <w:r>
        <w:rPr>
          <w:noProof/>
        </w:rPr>
        <w:lastRenderedPageBreak/>
        <w:drawing>
          <wp:anchor distT="0" distB="0" distL="114300" distR="114300" simplePos="0" relativeHeight="251658279" behindDoc="1" locked="0" layoutInCell="1" allowOverlap="1" wp14:anchorId="68B46552" wp14:editId="0D11A7D7">
            <wp:simplePos x="0" y="0"/>
            <wp:positionH relativeFrom="page">
              <wp:posOffset>-455568</wp:posOffset>
            </wp:positionH>
            <wp:positionV relativeFrom="paragraph">
              <wp:posOffset>429487</wp:posOffset>
            </wp:positionV>
            <wp:extent cx="9198484" cy="1570007"/>
            <wp:effectExtent l="0" t="0" r="3175" b="0"/>
            <wp:wrapNone/>
            <wp:docPr id="1611437681" name="Picture 7" descr="P5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37681" name="Picture 7" descr="P571#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20640" cy="1573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E323A5">
        <w:t xml:space="preserve">Medication management </w:t>
      </w:r>
      <w:r w:rsidR="007D69C5" w:rsidRPr="00E323A5">
        <w:t>—</w:t>
      </w:r>
      <w:r w:rsidR="00FD3F37" w:rsidRPr="00E323A5">
        <w:t xml:space="preserve"> antipsychotics</w:t>
      </w:r>
      <w:bookmarkEnd w:id="46"/>
      <w:bookmarkEnd w:id="47"/>
    </w:p>
    <w:p w14:paraId="209384D9" w14:textId="77777777" w:rsidR="00EB2A37" w:rsidRDefault="00751644" w:rsidP="00EB2A37">
      <w:pPr>
        <w:pStyle w:val="Headerwhite"/>
      </w:pPr>
      <w:r w:rsidRPr="002765D3">
        <w:rPr>
          <w:noProof/>
        </w:rPr>
        <w:drawing>
          <wp:anchor distT="0" distB="0" distL="114300" distR="114300" simplePos="0" relativeHeight="251658278" behindDoc="0" locked="0" layoutInCell="1" allowOverlap="1" wp14:anchorId="72FE77D0" wp14:editId="4963B928">
            <wp:simplePos x="0" y="0"/>
            <wp:positionH relativeFrom="margin">
              <wp:posOffset>-120650</wp:posOffset>
            </wp:positionH>
            <wp:positionV relativeFrom="paragraph">
              <wp:posOffset>353431</wp:posOffset>
            </wp:positionV>
            <wp:extent cx="1002337" cy="1005840"/>
            <wp:effectExtent l="0" t="0" r="7620" b="3810"/>
            <wp:wrapSquare wrapText="bothSides"/>
            <wp:docPr id="2091994202" name="Picture 151" descr="P572#y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2" name="Picture 151" descr="P572#y1">
                      <a:extLst>
                        <a:ext uri="{C183D7F6-B498-43B3-948B-1728B52AA6E4}">
                          <adec:decorative xmlns:adec="http://schemas.microsoft.com/office/drawing/2017/decorative" val="0"/>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2337" cy="1005840"/>
                    </a:xfrm>
                    <a:prstGeom prst="rect">
                      <a:avLst/>
                    </a:prstGeom>
                    <a:noFill/>
                    <a:ln>
                      <a:noFill/>
                    </a:ln>
                  </pic:spPr>
                </pic:pic>
              </a:graphicData>
            </a:graphic>
          </wp:anchor>
        </w:drawing>
      </w:r>
      <w:r>
        <w:t>Medication management plays a critical role in achieving quality of care for older Australians in aged care and hospital settings. The two categories within this quality indicator are:</w:t>
      </w:r>
    </w:p>
    <w:p w14:paraId="1A8DE8E1" w14:textId="77777777" w:rsidR="002C4E14" w:rsidRDefault="00751644" w:rsidP="002C4E14">
      <w:pPr>
        <w:pStyle w:val="Headerlistwhite"/>
      </w:pPr>
      <w:r w:rsidRPr="00EB2A37">
        <w:t>Medication management — polypharmacy (see Section 7 of this manual); and</w:t>
      </w:r>
      <w:r w:rsidR="00EB2A37" w:rsidRPr="00EB2A37">
        <w:t xml:space="preserve"> </w:t>
      </w:r>
    </w:p>
    <w:p w14:paraId="1F8E318A" w14:textId="041E541F" w:rsidR="00751644" w:rsidRPr="00EB2A37" w:rsidRDefault="00751644" w:rsidP="002C4E14">
      <w:pPr>
        <w:pStyle w:val="Headerlistwhite"/>
      </w:pPr>
      <w:r w:rsidRPr="00EB2A37">
        <w:t>Medication management — antipsychotics (this section).</w:t>
      </w:r>
    </w:p>
    <w:p w14:paraId="7EF5DFB0" w14:textId="4F6812FB" w:rsidR="00FD3F37" w:rsidRPr="00E323A5" w:rsidRDefault="00FD3F37" w:rsidP="0059348C">
      <w:pPr>
        <w:pStyle w:val="Heading2"/>
      </w:pPr>
      <w:r w:rsidRPr="00E323A5">
        <w:t>Overview of antipsychotics</w:t>
      </w:r>
    </w:p>
    <w:p w14:paraId="39936251" w14:textId="509BCC6F" w:rsidR="00FD3F37" w:rsidRPr="00FD1B87" w:rsidRDefault="00FD3F37" w:rsidP="00314F78">
      <w:r w:rsidRPr="00FD1B87">
        <w:t>Medication management is critical for residential aged care as</w:t>
      </w:r>
      <w:r w:rsidR="00A8609F" w:rsidRPr="00FD1B87">
        <w:t xml:space="preserve"> </w:t>
      </w:r>
      <w:r w:rsidR="00413D69" w:rsidRPr="00FD1B87">
        <w:t>older</w:t>
      </w:r>
      <w:r w:rsidRPr="00FD1B87">
        <w:t xml:space="preserve"> Australians are often prescribed several medications to manage comorbidities and extend life, being particularly vulnerable to the significant risks of antipsychotics.</w:t>
      </w:r>
      <w:r w:rsidR="006330B5" w:rsidRPr="00FD1B87">
        <w:t xml:space="preserve"> </w:t>
      </w:r>
      <w:r w:rsidR="002D4243" w:rsidRPr="00FD1B87">
        <w:t xml:space="preserve">The data and references </w:t>
      </w:r>
      <w:r w:rsidR="00F31AD7" w:rsidRPr="00FD1B87">
        <w:t>in Figure 28</w:t>
      </w:r>
      <w:r w:rsidR="00E323A5" w:rsidRPr="00FD1B87">
        <w:t xml:space="preserve"> </w:t>
      </w:r>
      <w:r w:rsidR="002D4243" w:rsidRPr="00FD1B87">
        <w:t>have been reviewed March 2025.</w:t>
      </w:r>
    </w:p>
    <w:p w14:paraId="662F8F2C" w14:textId="6CC92284" w:rsidR="00FD3F37" w:rsidRPr="00E323A5" w:rsidRDefault="009963C6" w:rsidP="00314F78">
      <w:pPr>
        <w:pStyle w:val="Caption"/>
      </w:pPr>
      <w:r w:rsidRPr="00E323A5">
        <w:t>FIGURE </w:t>
      </w:r>
      <w:r w:rsidR="00FD3F37" w:rsidRPr="00E323A5">
        <w:fldChar w:fldCharType="begin"/>
      </w:r>
      <w:r w:rsidR="00FD3F37" w:rsidRPr="00E323A5">
        <w:instrText>SEQ Figure \* ARABIC</w:instrText>
      </w:r>
      <w:r w:rsidR="00FD3F37" w:rsidRPr="00E323A5">
        <w:fldChar w:fldCharType="separate"/>
      </w:r>
      <w:r w:rsidR="003A30D7">
        <w:rPr>
          <w:noProof/>
        </w:rPr>
        <w:t>28</w:t>
      </w:r>
      <w:r w:rsidR="00FD3F37" w:rsidRPr="00E323A5">
        <w:fldChar w:fldCharType="end"/>
      </w:r>
      <w:r w:rsidRPr="00E323A5">
        <w:t>: ANTIPSYCHOTICS IN RESIDENTIAL AGED CARE SERVICES</w:t>
      </w:r>
      <w:r w:rsidR="009253DC">
        <w:rPr>
          <w:rFonts w:ascii="ZWAdobeF" w:hAnsi="ZWAdobeF" w:cs="ZWAdobeF"/>
          <w:b w:val="0"/>
          <w:color w:val="auto"/>
          <w:sz w:val="2"/>
          <w:szCs w:val="2"/>
        </w:rPr>
        <w:t>99F</w:t>
      </w:r>
      <w:r w:rsidR="00F81429" w:rsidRPr="00454D17">
        <w:rPr>
          <w:rStyle w:val="EndnoteReference"/>
        </w:rPr>
        <w:endnoteReference w:id="101"/>
      </w:r>
      <w:r w:rsidRPr="00454D17">
        <w:rPr>
          <w:rStyle w:val="EndnoteReference"/>
        </w:rPr>
        <w:t xml:space="preserve"> </w:t>
      </w:r>
      <w:r w:rsidR="009253DC">
        <w:rPr>
          <w:rFonts w:ascii="ZWAdobeF" w:hAnsi="ZWAdobeF" w:cs="ZWAdobeF"/>
          <w:b w:val="0"/>
          <w:color w:val="auto"/>
          <w:sz w:val="2"/>
          <w:szCs w:val="2"/>
        </w:rPr>
        <w:t>100F</w:t>
      </w:r>
      <w:r w:rsidR="00FD3F37" w:rsidRPr="00454D17">
        <w:rPr>
          <w:rStyle w:val="EndnoteReference"/>
        </w:rPr>
        <w:endnoteReference w:id="102"/>
      </w:r>
    </w:p>
    <w:p w14:paraId="5DE6D912" w14:textId="3BF5758D" w:rsidR="00FD3F37" w:rsidRPr="002765D3" w:rsidRDefault="00F972D8" w:rsidP="00314F78">
      <w:r>
        <w:rPr>
          <w:noProof/>
        </w:rPr>
        <w:drawing>
          <wp:inline distT="0" distB="0" distL="0" distR="0" wp14:anchorId="24178F5C" wp14:editId="491BB4FC">
            <wp:extent cx="6120000" cy="3615955"/>
            <wp:effectExtent l="0" t="0" r="0" b="3810"/>
            <wp:docPr id="7" name="Picture 7" descr="P5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578#yIS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0000" cy="3615955"/>
                    </a:xfrm>
                    <a:prstGeom prst="rect">
                      <a:avLst/>
                    </a:prstGeom>
                    <a:noFill/>
                  </pic:spPr>
                </pic:pic>
              </a:graphicData>
            </a:graphic>
          </wp:inline>
        </w:drawing>
      </w:r>
    </w:p>
    <w:p w14:paraId="7C227A07" w14:textId="77777777" w:rsidR="00FD3F37" w:rsidRPr="004A09AA" w:rsidRDefault="00FD3F37" w:rsidP="00314F78">
      <w:pPr>
        <w:sectPr w:rsidR="00FD3F37" w:rsidRPr="004A09AA" w:rsidSect="00157BB5">
          <w:headerReference w:type="even" r:id="rId150"/>
          <w:headerReference w:type="default" r:id="rId151"/>
          <w:headerReference w:type="first" r:id="rId152"/>
          <w:endnotePr>
            <w:numFmt w:val="decimal"/>
          </w:endnotePr>
          <w:pgSz w:w="11906" w:h="16838" w:code="9"/>
          <w:pgMar w:top="1701" w:right="1134" w:bottom="1134" w:left="1134" w:header="567" w:footer="567" w:gutter="0"/>
          <w:cols w:space="567"/>
          <w:docGrid w:linePitch="360"/>
        </w:sectPr>
      </w:pPr>
    </w:p>
    <w:p w14:paraId="51B04D5C" w14:textId="45349ADB" w:rsidR="00FD3F37" w:rsidRPr="00E323A5" w:rsidRDefault="00FD3F37" w:rsidP="0059348C">
      <w:pPr>
        <w:pStyle w:val="Heading2"/>
      </w:pPr>
      <w:r w:rsidRPr="00E323A5">
        <w:lastRenderedPageBreak/>
        <w:t>Antipsychotic use in residential aged care</w:t>
      </w:r>
    </w:p>
    <w:p w14:paraId="7394B522" w14:textId="6E764D6B" w:rsidR="00FD3F37" w:rsidRPr="00E323A5" w:rsidRDefault="00FD3F37" w:rsidP="00314F78">
      <w:r w:rsidRPr="00E323A5">
        <w:t>Antipsychotics are medications prescribed for the treatment of a diagnosed condition of psychosis. Antipsychotic medication is often prescribed to</w:t>
      </w:r>
      <w:r w:rsidR="00A8609F" w:rsidRPr="00E323A5">
        <w:t xml:space="preserve"> </w:t>
      </w:r>
      <w:r w:rsidR="00FC12FF" w:rsidRPr="00E323A5">
        <w:t>older</w:t>
      </w:r>
      <w:r w:rsidRPr="00E323A5">
        <w:t xml:space="preserve"> Australians to manage the behavioural and psychological symptoms of dementia.</w:t>
      </w:r>
    </w:p>
    <w:p w14:paraId="2AF5DD14" w14:textId="77777777" w:rsidR="00FD3F37" w:rsidRPr="00E323A5" w:rsidRDefault="00FD3F37" w:rsidP="00314F78">
      <w:r w:rsidRPr="00E323A5">
        <w:t>The following is a non-exhaustive list of antipsychotics:</w:t>
      </w:r>
    </w:p>
    <w:p w14:paraId="352F0855" w14:textId="77777777" w:rsidR="00FD3F37" w:rsidRPr="00FD1B87" w:rsidRDefault="00FD3F37" w:rsidP="00314F78">
      <w:pPr>
        <w:sectPr w:rsidR="00FD3F37" w:rsidRPr="00FD1B87" w:rsidSect="00726801">
          <w:headerReference w:type="even" r:id="rId153"/>
          <w:headerReference w:type="default" r:id="rId154"/>
          <w:headerReference w:type="first" r:id="rId155"/>
          <w:endnotePr>
            <w:numFmt w:val="decimal"/>
          </w:endnotePr>
          <w:pgSz w:w="11906" w:h="16838" w:code="9"/>
          <w:pgMar w:top="1701" w:right="1134" w:bottom="1134" w:left="1134" w:header="567" w:footer="567" w:gutter="0"/>
          <w:cols w:space="567"/>
          <w:docGrid w:linePitch="360"/>
        </w:sectPr>
      </w:pPr>
    </w:p>
    <w:p w14:paraId="685F63F7" w14:textId="77777777" w:rsidR="00FD3F37" w:rsidRPr="00D82644" w:rsidRDefault="00FD3F37" w:rsidP="00314F78">
      <w:pPr>
        <w:pStyle w:val="ListBullet"/>
      </w:pPr>
      <w:r w:rsidRPr="00D82644">
        <w:t>Amisulpride</w:t>
      </w:r>
    </w:p>
    <w:p w14:paraId="2E8AF8B0" w14:textId="77777777" w:rsidR="00FD3F37" w:rsidRPr="00D82644" w:rsidRDefault="00FD3F37" w:rsidP="00314F78">
      <w:pPr>
        <w:pStyle w:val="ListBullet"/>
      </w:pPr>
      <w:r w:rsidRPr="00D82644">
        <w:t>Aripiprazole</w:t>
      </w:r>
    </w:p>
    <w:p w14:paraId="24733861" w14:textId="77777777" w:rsidR="00FD3F37" w:rsidRPr="00D82644" w:rsidRDefault="7279DF3A" w:rsidP="00314F78">
      <w:pPr>
        <w:pStyle w:val="ListBullet"/>
      </w:pPr>
      <w:r w:rsidRPr="00D82644">
        <w:t>Asenapine</w:t>
      </w:r>
    </w:p>
    <w:p w14:paraId="73469CCE" w14:textId="77777777" w:rsidR="00FD3F37" w:rsidRPr="00D82644" w:rsidRDefault="7279DF3A" w:rsidP="00314F78">
      <w:pPr>
        <w:pStyle w:val="ListBullet"/>
      </w:pPr>
      <w:r w:rsidRPr="00D82644">
        <w:t>Brexpiprazole</w:t>
      </w:r>
    </w:p>
    <w:p w14:paraId="21C12822" w14:textId="5540A438" w:rsidR="00BA47ED" w:rsidRDefault="00995B33" w:rsidP="00314F78">
      <w:pPr>
        <w:pStyle w:val="ListBullet"/>
      </w:pPr>
      <w:r>
        <w:t>Cariprazine</w:t>
      </w:r>
    </w:p>
    <w:p w14:paraId="76FA742F" w14:textId="140F15B9" w:rsidR="00FD3F37" w:rsidRPr="00D82644" w:rsidRDefault="00FD3F37" w:rsidP="00314F78">
      <w:pPr>
        <w:pStyle w:val="ListBullet"/>
      </w:pPr>
      <w:r w:rsidRPr="00D82644">
        <w:t>Chlorpromazine</w:t>
      </w:r>
    </w:p>
    <w:p w14:paraId="014817E7" w14:textId="77777777" w:rsidR="00FD3F37" w:rsidRPr="00D82644" w:rsidRDefault="00FD3F37" w:rsidP="00314F78">
      <w:pPr>
        <w:pStyle w:val="ListBullet"/>
      </w:pPr>
      <w:r w:rsidRPr="00D82644">
        <w:t>Clozapine</w:t>
      </w:r>
    </w:p>
    <w:p w14:paraId="45C9B0E4" w14:textId="77777777" w:rsidR="00FD3F37" w:rsidRPr="00D82644" w:rsidRDefault="7279DF3A" w:rsidP="00314F78">
      <w:pPr>
        <w:pStyle w:val="ListBullet"/>
      </w:pPr>
      <w:r w:rsidRPr="00D82644">
        <w:t>Droperidol</w:t>
      </w:r>
    </w:p>
    <w:p w14:paraId="6593E89A" w14:textId="77777777" w:rsidR="00FD3F37" w:rsidRPr="00D82644" w:rsidRDefault="00FD3F37" w:rsidP="00314F78">
      <w:pPr>
        <w:pStyle w:val="ListBullet"/>
      </w:pPr>
      <w:r w:rsidRPr="00D82644">
        <w:t>Flupentixol</w:t>
      </w:r>
    </w:p>
    <w:p w14:paraId="764F5613" w14:textId="77777777" w:rsidR="00FD3F37" w:rsidRPr="00D82644" w:rsidRDefault="00FD3F37" w:rsidP="00314F78">
      <w:pPr>
        <w:pStyle w:val="ListBullet"/>
      </w:pPr>
      <w:r w:rsidRPr="00D82644">
        <w:t>Haloperidol</w:t>
      </w:r>
    </w:p>
    <w:p w14:paraId="5CA619F3" w14:textId="77777777" w:rsidR="00FD3F37" w:rsidRPr="00D82644" w:rsidRDefault="00FD3F37" w:rsidP="00314F78">
      <w:pPr>
        <w:pStyle w:val="ListBullet"/>
      </w:pPr>
      <w:r w:rsidRPr="00D82644">
        <w:t>Lurasidone</w:t>
      </w:r>
    </w:p>
    <w:p w14:paraId="6B3E73A3" w14:textId="77777777" w:rsidR="00FD3F37" w:rsidRPr="00D82644" w:rsidRDefault="00FD3F37" w:rsidP="00314F78">
      <w:pPr>
        <w:pStyle w:val="ListBullet"/>
      </w:pPr>
      <w:r w:rsidRPr="00D82644">
        <w:t>Olanzapine</w:t>
      </w:r>
    </w:p>
    <w:p w14:paraId="55E737CA" w14:textId="77777777" w:rsidR="00FD3F37" w:rsidRPr="00D82644" w:rsidRDefault="00FD3F37" w:rsidP="00314F78">
      <w:pPr>
        <w:pStyle w:val="ListBullet"/>
      </w:pPr>
      <w:r w:rsidRPr="00D82644">
        <w:t>Paliperidone</w:t>
      </w:r>
    </w:p>
    <w:p w14:paraId="225418BA" w14:textId="77777777" w:rsidR="00FD3F37" w:rsidRPr="00D82644" w:rsidRDefault="00FD3F37" w:rsidP="00314F78">
      <w:pPr>
        <w:pStyle w:val="ListBullet"/>
      </w:pPr>
      <w:r w:rsidRPr="00D82644">
        <w:t>Periciazine</w:t>
      </w:r>
    </w:p>
    <w:p w14:paraId="0F4550F8" w14:textId="77777777" w:rsidR="00FD3F37" w:rsidRPr="00D82644" w:rsidRDefault="00FD3F37" w:rsidP="00314F78">
      <w:pPr>
        <w:pStyle w:val="ListBullet"/>
      </w:pPr>
      <w:r w:rsidRPr="00D82644">
        <w:t>Quetiapine</w:t>
      </w:r>
    </w:p>
    <w:p w14:paraId="713FF2D0" w14:textId="77777777" w:rsidR="00FD3F37" w:rsidRPr="00D82644" w:rsidRDefault="00FD3F37" w:rsidP="00314F78">
      <w:pPr>
        <w:pStyle w:val="ListBullet"/>
      </w:pPr>
      <w:r w:rsidRPr="00D82644">
        <w:t>Risperidone</w:t>
      </w:r>
    </w:p>
    <w:p w14:paraId="3D5302A9" w14:textId="77777777" w:rsidR="00FD3F37" w:rsidRPr="00D82644" w:rsidRDefault="00FD3F37" w:rsidP="00314F78">
      <w:pPr>
        <w:pStyle w:val="ListBullet"/>
      </w:pPr>
      <w:r w:rsidRPr="00D82644">
        <w:t>Trifluoperazine</w:t>
      </w:r>
    </w:p>
    <w:p w14:paraId="3499D2DB" w14:textId="77777777" w:rsidR="00FD3F37" w:rsidRPr="00D82644" w:rsidRDefault="00FD3F37" w:rsidP="00314F78">
      <w:pPr>
        <w:pStyle w:val="ListBullet"/>
      </w:pPr>
      <w:r w:rsidRPr="00D82644">
        <w:t>Ziprasidone</w:t>
      </w:r>
    </w:p>
    <w:p w14:paraId="0C3ADDA6" w14:textId="77777777" w:rsidR="00FD3F37" w:rsidRPr="00D82644" w:rsidRDefault="00FD3F37" w:rsidP="00314F78">
      <w:pPr>
        <w:pStyle w:val="ListBullet"/>
      </w:pPr>
      <w:r w:rsidRPr="00D82644">
        <w:t>Zuclopenthixol.</w:t>
      </w:r>
    </w:p>
    <w:p w14:paraId="4955E4B9" w14:textId="77777777" w:rsidR="00FD3F37" w:rsidRPr="00FD1B87" w:rsidRDefault="00FD3F37" w:rsidP="00314F78">
      <w:pPr>
        <w:sectPr w:rsidR="00FD3F37" w:rsidRPr="00FD1B87" w:rsidSect="00726801">
          <w:endnotePr>
            <w:numFmt w:val="decimal"/>
          </w:endnotePr>
          <w:type w:val="continuous"/>
          <w:pgSz w:w="11906" w:h="16838" w:code="9"/>
          <w:pgMar w:top="1701" w:right="1134" w:bottom="1134" w:left="1134" w:header="567" w:footer="567" w:gutter="0"/>
          <w:cols w:num="3" w:space="567"/>
          <w:docGrid w:linePitch="360"/>
        </w:sectPr>
      </w:pPr>
    </w:p>
    <w:p w14:paraId="7F34689E" w14:textId="77777777" w:rsidR="00FD3F37" w:rsidRPr="00E323A5" w:rsidRDefault="7279DF3A" w:rsidP="00314F78">
      <w:pPr>
        <w:rPr>
          <w:rStyle w:val="Emphasis"/>
        </w:rPr>
      </w:pPr>
      <w:r w:rsidRPr="00E323A5">
        <w:rPr>
          <w:rStyle w:val="Emphasis"/>
        </w:rPr>
        <w:t>* List of antipsychotics approved for use in Australia can be updated at any time so reviewing the list alongside updated evidence-based sources is advised.</w:t>
      </w:r>
    </w:p>
    <w:p w14:paraId="189E6651" w14:textId="4B8501D9" w:rsidR="00FD3F37" w:rsidRPr="00E323A5" w:rsidRDefault="00FD3F37" w:rsidP="00314F78">
      <w:r w:rsidRPr="00E323A5">
        <w:t>Regular monitoring of the use of antipsychotics is important because the inappropriate use of certain medication classes, such as antipsychotics, has been shown to be associated with poor health outcomes.</w:t>
      </w:r>
    </w:p>
    <w:p w14:paraId="0FC80114" w14:textId="77777777" w:rsidR="00FD3F37" w:rsidRPr="00E323A5" w:rsidRDefault="00FD3F37" w:rsidP="00314F78">
      <w:r w:rsidRPr="00E323A5">
        <w:t>Details of the collection and reporting requirements for the antipsychotics category of the medication management quality indicator can be found in Part A.</w:t>
      </w:r>
    </w:p>
    <w:p w14:paraId="108A5823" w14:textId="4B81E30E" w:rsidR="00FD3F37" w:rsidRPr="00E323A5" w:rsidRDefault="00FD3F37" w:rsidP="0059348C">
      <w:pPr>
        <w:pStyle w:val="Heading2"/>
      </w:pPr>
      <w:r w:rsidRPr="00E323A5">
        <w:t>Adverse clinical events of antipsychotics</w:t>
      </w:r>
    </w:p>
    <w:p w14:paraId="2663F85B" w14:textId="33503BDC" w:rsidR="00FD3F37" w:rsidRPr="00E323A5" w:rsidRDefault="7279DF3A" w:rsidP="00314F78">
      <w:r w:rsidRPr="00E323A5">
        <w:t xml:space="preserve">The adverse effects of antipsychotic medications range from those that are relatively minor to others that are very unpleasant, painful, disfiguring or life-threatening. </w:t>
      </w:r>
      <w:r w:rsidRPr="00E323A5">
        <w:fldChar w:fldCharType="begin" w:fldLock="1"/>
      </w:r>
      <w:r w:rsidRPr="00E323A5">
        <w:instrText xml:space="preserve"> REF _Ref105084539 \h </w:instrText>
      </w:r>
      <w:r w:rsidR="00E323A5">
        <w:instrText xml:space="preserve"> \* MERGEFORMAT </w:instrText>
      </w:r>
      <w:r w:rsidRPr="00E323A5">
        <w:fldChar w:fldCharType="separate"/>
      </w:r>
      <w:r w:rsidR="618E129D" w:rsidRPr="00E323A5">
        <w:t>Figure 29</w:t>
      </w:r>
      <w:r w:rsidRPr="00E323A5">
        <w:fldChar w:fldCharType="end"/>
      </w:r>
      <w:r w:rsidRPr="00E323A5">
        <w:t xml:space="preserve"> below explores the adverse clinical effects of antipsychotic use.</w:t>
      </w:r>
    </w:p>
    <w:p w14:paraId="643B7307" w14:textId="50D976D3" w:rsidR="00FD3F37" w:rsidRPr="00E323A5" w:rsidRDefault="009963C6" w:rsidP="00314F78">
      <w:pPr>
        <w:pStyle w:val="Caption"/>
      </w:pPr>
      <w:bookmarkStart w:id="48" w:name="_Ref76398240"/>
      <w:bookmarkStart w:id="49" w:name="_Ref105084539"/>
      <w:r w:rsidRPr="00E323A5">
        <w:lastRenderedPageBreak/>
        <w:t>FIGURE</w:t>
      </w:r>
      <w:bookmarkEnd w:id="48"/>
      <w:r w:rsidRPr="00E323A5">
        <w:t> </w:t>
      </w:r>
      <w:r w:rsidR="00FD3F37" w:rsidRPr="00E323A5">
        <w:fldChar w:fldCharType="begin"/>
      </w:r>
      <w:r w:rsidR="00FD3F37" w:rsidRPr="00E323A5">
        <w:instrText>SEQ Figure \* ARABIC</w:instrText>
      </w:r>
      <w:r w:rsidR="00FD3F37" w:rsidRPr="00E323A5">
        <w:fldChar w:fldCharType="separate"/>
      </w:r>
      <w:r w:rsidR="003A30D7">
        <w:rPr>
          <w:noProof/>
        </w:rPr>
        <w:t>29</w:t>
      </w:r>
      <w:r w:rsidR="00FD3F37" w:rsidRPr="00E323A5">
        <w:fldChar w:fldCharType="end"/>
      </w:r>
      <w:bookmarkEnd w:id="49"/>
      <w:r w:rsidRPr="00E323A5">
        <w:t>: SIGNIFICANT ADVERSE EFFECTS OF ANTIPSYCHOTICS</w:t>
      </w:r>
    </w:p>
    <w:p w14:paraId="57B8C7AE" w14:textId="77777777" w:rsidR="00FD3F37" w:rsidRPr="004A09AA" w:rsidRDefault="00FD3F37" w:rsidP="00314F78">
      <w:r w:rsidRPr="004A09AA">
        <w:rPr>
          <w:noProof/>
        </w:rPr>
        <w:drawing>
          <wp:inline distT="0" distB="0" distL="0" distR="0" wp14:anchorId="41A2D56A" wp14:editId="1EE20B24">
            <wp:extent cx="6089651" cy="2852382"/>
            <wp:effectExtent l="0" t="0" r="6350" b="0"/>
            <wp:docPr id="2091994204" name="Picture 157" descr="P6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4" name="Picture 157" descr="P610#yIS1"/>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6117881" cy="2865605"/>
                    </a:xfrm>
                    <a:prstGeom prst="rect">
                      <a:avLst/>
                    </a:prstGeom>
                    <a:noFill/>
                    <a:ln>
                      <a:noFill/>
                    </a:ln>
                    <a:extLst>
                      <a:ext uri="{53640926-AAD7-44D8-BBD7-CCE9431645EC}">
                        <a14:shadowObscured xmlns:a14="http://schemas.microsoft.com/office/drawing/2010/main"/>
                      </a:ext>
                    </a:extLst>
                  </pic:spPr>
                </pic:pic>
              </a:graphicData>
            </a:graphic>
          </wp:inline>
        </w:drawing>
      </w:r>
    </w:p>
    <w:p w14:paraId="66D14CE1" w14:textId="5C516BA7" w:rsidR="00FD3F37" w:rsidRPr="00E323A5" w:rsidRDefault="7279DF3A" w:rsidP="00314F78">
      <w:r w:rsidRPr="00E323A5">
        <w:t>Research suggests that antipsychotic medications are frequently prescribed off-label for the behavioural and psychological symptoms of dementia.</w:t>
      </w:r>
      <w:r w:rsidR="009253DC">
        <w:rPr>
          <w:rFonts w:ascii="ZWAdobeF" w:hAnsi="ZWAdobeF" w:cs="ZWAdobeF"/>
          <w:color w:val="auto"/>
          <w:sz w:val="2"/>
          <w:szCs w:val="2"/>
        </w:rPr>
        <w:t>101F</w:t>
      </w:r>
      <w:r w:rsidR="00FD3F37" w:rsidRPr="00E323A5">
        <w:rPr>
          <w:vertAlign w:val="superscript"/>
        </w:rPr>
        <w:endnoteReference w:id="103"/>
      </w:r>
      <w:r w:rsidRPr="00E323A5">
        <w:rPr>
          <w:vertAlign w:val="superscript"/>
        </w:rPr>
        <w:t xml:space="preserve"> </w:t>
      </w:r>
      <w:r w:rsidR="009253DC">
        <w:rPr>
          <w:rFonts w:ascii="ZWAdobeF" w:hAnsi="ZWAdobeF" w:cs="ZWAdobeF"/>
          <w:color w:val="auto"/>
          <w:sz w:val="2"/>
          <w:szCs w:val="2"/>
        </w:rPr>
        <w:t>102F</w:t>
      </w:r>
      <w:r w:rsidR="00FD3F37" w:rsidRPr="00E323A5">
        <w:rPr>
          <w:vertAlign w:val="superscript"/>
        </w:rPr>
        <w:endnoteReference w:id="104"/>
      </w:r>
      <w:r w:rsidRPr="00E323A5">
        <w:t xml:space="preserve"> However, antipsychotics that are not beneficial or are not required should be discontinued.</w:t>
      </w:r>
    </w:p>
    <w:p w14:paraId="067F3872" w14:textId="0BB94214" w:rsidR="00FD3F37" w:rsidRPr="00E323A5" w:rsidRDefault="00FD3F37" w:rsidP="0059348C">
      <w:pPr>
        <w:pStyle w:val="Heading2"/>
      </w:pPr>
      <w:r w:rsidRPr="00E323A5">
        <w:t>Risk factors of antipsychotic use</w:t>
      </w:r>
    </w:p>
    <w:p w14:paraId="59A525AF" w14:textId="2988A2B0" w:rsidR="00FD3F37" w:rsidRPr="00E323A5" w:rsidRDefault="7279DF3A" w:rsidP="00314F78">
      <w:r w:rsidRPr="00E323A5">
        <w:t xml:space="preserve">Older Australians are significantly more vulnerable to the significant risks associated with antipsychotic use due to age-related issues. Having a strong understanding of the risk factors is crucial to identify care recipients who are particularly at risk with antipsychotic use. The risk factors associated with the use of antipsychotics in residential aged care services are explored in </w:t>
      </w:r>
      <w:r w:rsidRPr="00E323A5">
        <w:fldChar w:fldCharType="begin" w:fldLock="1"/>
      </w:r>
      <w:r w:rsidRPr="00E323A5">
        <w:instrText xml:space="preserve"> REF _Ref105084585 \h </w:instrText>
      </w:r>
      <w:r w:rsidR="00E323A5">
        <w:instrText xml:space="preserve"> \* MERGEFORMAT </w:instrText>
      </w:r>
      <w:r w:rsidRPr="00E323A5">
        <w:fldChar w:fldCharType="separate"/>
      </w:r>
      <w:r w:rsidR="618E129D" w:rsidRPr="00E323A5">
        <w:t>Figure 30</w:t>
      </w:r>
      <w:r w:rsidRPr="00E323A5">
        <w:fldChar w:fldCharType="end"/>
      </w:r>
      <w:r w:rsidR="42CAE979" w:rsidRPr="00E323A5">
        <w:t xml:space="preserve"> </w:t>
      </w:r>
      <w:r w:rsidRPr="00E323A5">
        <w:t>below.</w:t>
      </w:r>
    </w:p>
    <w:p w14:paraId="2FA39439" w14:textId="05C1B052" w:rsidR="00FD3F37" w:rsidRPr="00E323A5" w:rsidRDefault="009963C6" w:rsidP="00314F78">
      <w:pPr>
        <w:pStyle w:val="Caption"/>
      </w:pPr>
      <w:bookmarkStart w:id="50" w:name="_Ref76398272"/>
      <w:bookmarkStart w:id="51" w:name="_Ref105084585"/>
      <w:r w:rsidRPr="00E323A5">
        <w:lastRenderedPageBreak/>
        <w:t>FIGURE</w:t>
      </w:r>
      <w:bookmarkEnd w:id="50"/>
      <w:r w:rsidRPr="00E323A5">
        <w:t> </w:t>
      </w:r>
      <w:r w:rsidR="00FD3F37" w:rsidRPr="00E323A5">
        <w:fldChar w:fldCharType="begin"/>
      </w:r>
      <w:r w:rsidR="00FD3F37" w:rsidRPr="00E323A5">
        <w:instrText>SEQ Figure \* ARABIC</w:instrText>
      </w:r>
      <w:r w:rsidR="00FD3F37" w:rsidRPr="00E323A5">
        <w:fldChar w:fldCharType="separate"/>
      </w:r>
      <w:r w:rsidR="003A30D7">
        <w:rPr>
          <w:noProof/>
        </w:rPr>
        <w:t>30</w:t>
      </w:r>
      <w:r w:rsidR="00FD3F37" w:rsidRPr="00E323A5">
        <w:fldChar w:fldCharType="end"/>
      </w:r>
      <w:bookmarkEnd w:id="51"/>
      <w:r w:rsidRPr="00E323A5">
        <w:t>: RISK FACTORS ASSOCIATED WITH ANTIPSYCHOTIC USE IN RESIDENTIAL AGED CARE SERVICES</w:t>
      </w:r>
      <w:r w:rsidR="009253DC">
        <w:rPr>
          <w:rFonts w:ascii="ZWAdobeF" w:hAnsi="ZWAdobeF" w:cs="ZWAdobeF"/>
          <w:b w:val="0"/>
          <w:color w:val="auto"/>
          <w:sz w:val="2"/>
          <w:szCs w:val="2"/>
        </w:rPr>
        <w:t>103F</w:t>
      </w:r>
      <w:r w:rsidR="00FD3F37" w:rsidRPr="00454D17">
        <w:rPr>
          <w:rStyle w:val="EndnoteReference"/>
        </w:rPr>
        <w:endnoteReference w:id="105"/>
      </w:r>
      <w:r w:rsidRPr="00454D17">
        <w:rPr>
          <w:rStyle w:val="EndnoteReference"/>
        </w:rPr>
        <w:t xml:space="preserve"> </w:t>
      </w:r>
      <w:r w:rsidR="009253DC">
        <w:rPr>
          <w:rFonts w:ascii="ZWAdobeF" w:hAnsi="ZWAdobeF" w:cs="ZWAdobeF"/>
          <w:b w:val="0"/>
          <w:color w:val="auto"/>
          <w:sz w:val="2"/>
          <w:szCs w:val="2"/>
        </w:rPr>
        <w:t>104F</w:t>
      </w:r>
      <w:r w:rsidR="00FD3F37" w:rsidRPr="00454D17">
        <w:rPr>
          <w:rStyle w:val="EndnoteReference"/>
        </w:rPr>
        <w:endnoteReference w:id="106"/>
      </w:r>
      <w:r w:rsidRPr="00454D17">
        <w:rPr>
          <w:rStyle w:val="EndnoteReference"/>
        </w:rPr>
        <w:t xml:space="preserve"> </w:t>
      </w:r>
      <w:r w:rsidR="009253DC">
        <w:rPr>
          <w:rFonts w:ascii="ZWAdobeF" w:hAnsi="ZWAdobeF" w:cs="ZWAdobeF"/>
          <w:b w:val="0"/>
          <w:color w:val="auto"/>
          <w:sz w:val="2"/>
          <w:szCs w:val="2"/>
        </w:rPr>
        <w:t>105F</w:t>
      </w:r>
      <w:r w:rsidR="00FD3F37" w:rsidRPr="00454D17">
        <w:rPr>
          <w:rStyle w:val="EndnoteReference"/>
        </w:rPr>
        <w:endnoteReference w:id="107"/>
      </w:r>
      <w:r w:rsidRPr="00454D17">
        <w:rPr>
          <w:rStyle w:val="EndnoteReference"/>
        </w:rPr>
        <w:t xml:space="preserve"> </w:t>
      </w:r>
      <w:r w:rsidR="009253DC">
        <w:rPr>
          <w:rFonts w:ascii="ZWAdobeF" w:hAnsi="ZWAdobeF" w:cs="ZWAdobeF"/>
          <w:b w:val="0"/>
          <w:color w:val="auto"/>
          <w:sz w:val="2"/>
          <w:szCs w:val="2"/>
        </w:rPr>
        <w:t>106F</w:t>
      </w:r>
      <w:r w:rsidR="00FD3F37" w:rsidRPr="00454D17">
        <w:rPr>
          <w:rStyle w:val="EndnoteReference"/>
        </w:rPr>
        <w:endnoteReference w:id="108"/>
      </w:r>
      <w:r w:rsidRPr="00454D17">
        <w:rPr>
          <w:rStyle w:val="EndnoteReference"/>
        </w:rPr>
        <w:t xml:space="preserve"> </w:t>
      </w:r>
      <w:r w:rsidR="009253DC">
        <w:rPr>
          <w:rFonts w:ascii="ZWAdobeF" w:hAnsi="ZWAdobeF" w:cs="ZWAdobeF"/>
          <w:b w:val="0"/>
          <w:color w:val="auto"/>
          <w:sz w:val="2"/>
          <w:szCs w:val="2"/>
        </w:rPr>
        <w:t>107F</w:t>
      </w:r>
      <w:r w:rsidR="00FD3F37" w:rsidRPr="00454D17">
        <w:rPr>
          <w:rStyle w:val="EndnoteReference"/>
        </w:rPr>
        <w:endnoteReference w:id="109"/>
      </w:r>
      <w:r w:rsidRPr="00454D17">
        <w:rPr>
          <w:rStyle w:val="EndnoteReference"/>
        </w:rPr>
        <w:t xml:space="preserve"> </w:t>
      </w:r>
      <w:r w:rsidR="009253DC">
        <w:rPr>
          <w:rFonts w:ascii="ZWAdobeF" w:hAnsi="ZWAdobeF" w:cs="ZWAdobeF"/>
          <w:b w:val="0"/>
          <w:color w:val="auto"/>
          <w:sz w:val="2"/>
          <w:szCs w:val="2"/>
        </w:rPr>
        <w:t>108F</w:t>
      </w:r>
      <w:r w:rsidR="00FD3F37" w:rsidRPr="00454D17">
        <w:rPr>
          <w:rStyle w:val="EndnoteReference"/>
        </w:rPr>
        <w:endnoteReference w:id="110"/>
      </w:r>
    </w:p>
    <w:p w14:paraId="317A2CE5" w14:textId="77777777" w:rsidR="00FD3F37" w:rsidRPr="004A09AA" w:rsidRDefault="00FD3F37" w:rsidP="00314F78">
      <w:r w:rsidRPr="004A09AA">
        <w:rPr>
          <w:noProof/>
        </w:rPr>
        <w:drawing>
          <wp:inline distT="0" distB="0" distL="0" distR="0" wp14:anchorId="60D2306E" wp14:editId="7A98C951">
            <wp:extent cx="6120765" cy="5596890"/>
            <wp:effectExtent l="0" t="0" r="0" b="3810"/>
            <wp:docPr id="2091994205" name="Picture 158" descr="P6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5" name="Picture 158" descr="P615#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20765" cy="5596890"/>
                    </a:xfrm>
                    <a:prstGeom prst="rect">
                      <a:avLst/>
                    </a:prstGeom>
                    <a:noFill/>
                  </pic:spPr>
                </pic:pic>
              </a:graphicData>
            </a:graphic>
          </wp:inline>
        </w:drawing>
      </w:r>
    </w:p>
    <w:p w14:paraId="37190D08" w14:textId="77777777" w:rsidR="00FD3F37" w:rsidRPr="004A09AA" w:rsidRDefault="00FD3F37" w:rsidP="00314F78">
      <w:r w:rsidRPr="004A09AA">
        <w:br w:type="page"/>
      </w:r>
    </w:p>
    <w:p w14:paraId="5715BC74" w14:textId="44E384DC" w:rsidR="00FD3F37" w:rsidRPr="006B1BBE" w:rsidRDefault="00FD3F37" w:rsidP="0059348C">
      <w:pPr>
        <w:pStyle w:val="Heading2"/>
      </w:pPr>
      <w:r w:rsidRPr="006B1BBE">
        <w:lastRenderedPageBreak/>
        <w:t>Prevention and management of antipsychotic use, including prevention checklist</w:t>
      </w:r>
    </w:p>
    <w:p w14:paraId="77EB9218" w14:textId="0C2164D1" w:rsidR="00FD3F37" w:rsidRPr="006B1BBE" w:rsidRDefault="7279DF3A" w:rsidP="00314F78">
      <w:r w:rsidRPr="006B1BBE">
        <w:t>Antipsychotic prescribing increases markedly once a person is admitted into residential aged care, and there is evidence that up to 42</w:t>
      </w:r>
      <w:r w:rsidR="6F456032" w:rsidRPr="006B1BBE">
        <w:t xml:space="preserve"> per cent</w:t>
      </w:r>
      <w:r w:rsidRPr="006B1BBE">
        <w:t xml:space="preserve"> of</w:t>
      </w:r>
      <w:r w:rsidR="55EAC1F9" w:rsidRPr="006B1BBE">
        <w:t xml:space="preserve"> </w:t>
      </w:r>
      <w:r w:rsidR="388E6CEF" w:rsidRPr="006B1BBE">
        <w:t>older</w:t>
      </w:r>
      <w:r w:rsidRPr="006B1BBE">
        <w:t xml:space="preserve"> Australians in residential aged care services are regularly prescribed an antipsychotic</w:t>
      </w:r>
      <w:r w:rsidRPr="006B1BBE">
        <w:rPr>
          <w:vertAlign w:val="superscript"/>
        </w:rPr>
        <w:t>.</w:t>
      </w:r>
      <w:r w:rsidR="009253DC">
        <w:rPr>
          <w:rFonts w:ascii="ZWAdobeF" w:hAnsi="ZWAdobeF" w:cs="ZWAdobeF"/>
          <w:color w:val="auto"/>
          <w:sz w:val="2"/>
          <w:szCs w:val="2"/>
        </w:rPr>
        <w:t>109F</w:t>
      </w:r>
      <w:r w:rsidR="00FD3F37" w:rsidRPr="006B1BBE">
        <w:rPr>
          <w:vertAlign w:val="superscript"/>
        </w:rPr>
        <w:endnoteReference w:id="111"/>
      </w:r>
      <w:r w:rsidRPr="006B1BBE">
        <w:rPr>
          <w:vertAlign w:val="superscript"/>
        </w:rPr>
        <w:t xml:space="preserve"> </w:t>
      </w:r>
      <w:r w:rsidR="009253DC">
        <w:rPr>
          <w:rFonts w:ascii="ZWAdobeF" w:hAnsi="ZWAdobeF" w:cs="ZWAdobeF"/>
          <w:color w:val="auto"/>
          <w:sz w:val="2"/>
          <w:szCs w:val="2"/>
        </w:rPr>
        <w:t>110F</w:t>
      </w:r>
      <w:r w:rsidR="00FD3F37" w:rsidRPr="006B1BBE">
        <w:rPr>
          <w:vertAlign w:val="superscript"/>
        </w:rPr>
        <w:endnoteReference w:id="112"/>
      </w:r>
    </w:p>
    <w:p w14:paraId="23508866" w14:textId="79E43FFE" w:rsidR="00FD3F37" w:rsidRPr="006B1BBE" w:rsidRDefault="00023B6C" w:rsidP="00314F78">
      <w:r w:rsidRPr="006B1BBE">
        <w:fldChar w:fldCharType="begin" w:fldLock="1"/>
      </w:r>
      <w:r w:rsidRPr="006B1BBE">
        <w:instrText xml:space="preserve"> REF _Ref124173748 \h </w:instrText>
      </w:r>
      <w:r w:rsidR="006B1BBE">
        <w:instrText xml:space="preserve"> \* MERGEFORMAT </w:instrText>
      </w:r>
      <w:r w:rsidRPr="006B1BBE">
        <w:fldChar w:fldCharType="separate"/>
      </w:r>
      <w:r w:rsidR="009F0B74" w:rsidRPr="006B1BBE">
        <w:t>Figure 31</w:t>
      </w:r>
      <w:r w:rsidRPr="006B1BBE">
        <w:fldChar w:fldCharType="end"/>
      </w:r>
      <w:r w:rsidRPr="006B1BBE">
        <w:t xml:space="preserve"> </w:t>
      </w:r>
      <w:r w:rsidR="00FD3F37" w:rsidRPr="006B1BBE">
        <w:t>below explores strategies for managing antipsychotics use.</w:t>
      </w:r>
    </w:p>
    <w:p w14:paraId="638D7743" w14:textId="5416A6BB" w:rsidR="00FD3F37" w:rsidRPr="006B1BBE" w:rsidRDefault="009963C6" w:rsidP="00314F78">
      <w:pPr>
        <w:pStyle w:val="Caption"/>
      </w:pPr>
      <w:bookmarkStart w:id="52" w:name="_Ref124173748"/>
      <w:r w:rsidRPr="006B1BBE">
        <w:t>FIGURE </w:t>
      </w:r>
      <w:r w:rsidR="7279DF3A" w:rsidRPr="006B1BBE">
        <w:fldChar w:fldCharType="begin"/>
      </w:r>
      <w:r w:rsidR="7279DF3A" w:rsidRPr="006B1BBE">
        <w:instrText>SEQ Figure \* ARABIC</w:instrText>
      </w:r>
      <w:r w:rsidR="7279DF3A" w:rsidRPr="006B1BBE">
        <w:fldChar w:fldCharType="separate"/>
      </w:r>
      <w:r w:rsidR="003A30D7">
        <w:rPr>
          <w:noProof/>
        </w:rPr>
        <w:t>31</w:t>
      </w:r>
      <w:r w:rsidR="7279DF3A" w:rsidRPr="006B1BBE">
        <w:fldChar w:fldCharType="end"/>
      </w:r>
      <w:bookmarkEnd w:id="52"/>
      <w:r w:rsidRPr="006B1BBE">
        <w:t>: PREVENTION STRATEGIES FOR ANTIPSYCHOTICS USE</w:t>
      </w:r>
    </w:p>
    <w:p w14:paraId="0E951245" w14:textId="730533B0" w:rsidR="008E12BA" w:rsidRPr="00750743" w:rsidRDefault="008E12BA" w:rsidP="00314F78">
      <w:pPr>
        <w:rPr>
          <w:lang w:eastAsia="en-AU"/>
        </w:rPr>
      </w:pPr>
      <w:r>
        <w:rPr>
          <w:noProof/>
          <w:lang w:eastAsia="en-AU"/>
        </w:rPr>
        <w:drawing>
          <wp:inline distT="0" distB="0" distL="0" distR="0" wp14:anchorId="4F68121D" wp14:editId="4B4D8AD1">
            <wp:extent cx="6480000" cy="3232659"/>
            <wp:effectExtent l="0" t="0" r="0" b="0"/>
            <wp:docPr id="1877" name="Picture 1877" descr="P6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P621#yIS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80000" cy="3232659"/>
                    </a:xfrm>
                    <a:prstGeom prst="rect">
                      <a:avLst/>
                    </a:prstGeom>
                    <a:noFill/>
                  </pic:spPr>
                </pic:pic>
              </a:graphicData>
            </a:graphic>
          </wp:inline>
        </w:drawing>
      </w:r>
    </w:p>
    <w:p w14:paraId="3D4C4C52" w14:textId="2682D5FD" w:rsidR="00FD3F37" w:rsidRPr="006B1BBE" w:rsidRDefault="7279DF3A" w:rsidP="00314F78">
      <w:r w:rsidRPr="006B1BBE">
        <w:t>Complications from antipsychotics are treatment dependent. Complications can arise from the choice of antipsychotic, the dose used, the duration of exposure, the other medications the person is taking and the particular sensitivity of the individual to complications.</w:t>
      </w:r>
    </w:p>
    <w:p w14:paraId="3318C4F3" w14:textId="0272DEC9" w:rsidR="00FD3F37" w:rsidRPr="006B1BBE" w:rsidRDefault="7279DF3A" w:rsidP="00314F78">
      <w:r w:rsidRPr="006B1BBE">
        <w:t xml:space="preserve">If the intended use of antipsychotics is for chemical restraint, providers are required to have a behaviour support plan in place. Section 4 of this Manual provides further information about </w:t>
      </w:r>
      <w:r w:rsidR="78298F67" w:rsidRPr="006B1BBE">
        <w:t>restrictive practices</w:t>
      </w:r>
      <w:r w:rsidRPr="006B1BBE">
        <w:t>.</w:t>
      </w:r>
    </w:p>
    <w:p w14:paraId="58486BFA" w14:textId="77777777" w:rsidR="00FD3F37" w:rsidRPr="00D82644" w:rsidRDefault="7279DF3A" w:rsidP="00314F78">
      <w:r w:rsidRPr="00FD1B87">
        <w:t>The checklist overleaf will help to assess care recipients who are at risk of antipsychotic use and identify prevention strategies to reduce the risk o</w:t>
      </w:r>
      <w:r w:rsidRPr="006B1BBE">
        <w:t>f antipsychotic use from occurring:</w:t>
      </w:r>
      <w:r w:rsidRPr="00D82644">
        <w:br w:type="page"/>
      </w:r>
    </w:p>
    <w:p w14:paraId="6D633D85" w14:textId="1D7B8D1C" w:rsidR="00FD3F37" w:rsidRPr="006B1BBE" w:rsidRDefault="009963C6" w:rsidP="00314F78">
      <w:pPr>
        <w:pStyle w:val="Caption"/>
      </w:pPr>
      <w:r w:rsidRPr="006B1BBE">
        <w:lastRenderedPageBreak/>
        <w:t>FIGURE </w:t>
      </w:r>
      <w:r w:rsidR="00FD3F37" w:rsidRPr="006B1BBE">
        <w:fldChar w:fldCharType="begin"/>
      </w:r>
      <w:r w:rsidR="00FD3F37" w:rsidRPr="006B1BBE">
        <w:instrText>SEQ Figure \* ARABIC</w:instrText>
      </w:r>
      <w:r w:rsidR="00FD3F37" w:rsidRPr="006B1BBE">
        <w:fldChar w:fldCharType="separate"/>
      </w:r>
      <w:r w:rsidR="003A30D7">
        <w:rPr>
          <w:noProof/>
        </w:rPr>
        <w:t>32</w:t>
      </w:r>
      <w:r w:rsidR="00FD3F37" w:rsidRPr="006B1BBE">
        <w:fldChar w:fldCharType="end"/>
      </w:r>
      <w:r w:rsidRPr="006B1BBE">
        <w:t>: CHECKLIST FOR THE PREVENTION OF ANTIPSYCHOTIC USE</w:t>
      </w:r>
    </w:p>
    <w:p w14:paraId="133C0025" w14:textId="6F0352B7" w:rsidR="00FD3F37" w:rsidRPr="002765D3" w:rsidRDefault="00CF0345" w:rsidP="00314F78">
      <w:pPr>
        <w:pStyle w:val="ChecklistHeading"/>
        <w:sectPr w:rsidR="00FD3F37" w:rsidRPr="002765D3" w:rsidSect="00726801">
          <w:headerReference w:type="even" r:id="rId159"/>
          <w:headerReference w:type="default" r:id="rId160"/>
          <w:headerReference w:type="first" r:id="rId161"/>
          <w:endnotePr>
            <w:numFmt w:val="decimal"/>
          </w:endnotePr>
          <w:type w:val="continuous"/>
          <w:pgSz w:w="11906" w:h="16838" w:code="9"/>
          <w:pgMar w:top="1701" w:right="1134" w:bottom="1134" w:left="1134" w:header="567" w:footer="567" w:gutter="0"/>
          <w:cols w:space="567"/>
          <w:docGrid w:linePitch="360"/>
        </w:sectPr>
      </w:pPr>
      <w:r w:rsidRPr="002765D3">
        <w:rPr>
          <w:noProof/>
          <w:lang w:eastAsia="en-AU"/>
        </w:rPr>
        <w:drawing>
          <wp:anchor distT="0" distB="0" distL="114300" distR="114300" simplePos="0" relativeHeight="251658308" behindDoc="0" locked="0" layoutInCell="1" allowOverlap="1" wp14:anchorId="4D6A8AE3" wp14:editId="736B09DF">
            <wp:simplePos x="0" y="0"/>
            <wp:positionH relativeFrom="column">
              <wp:posOffset>-175582</wp:posOffset>
            </wp:positionH>
            <wp:positionV relativeFrom="paragraph">
              <wp:posOffset>339535</wp:posOffset>
            </wp:positionV>
            <wp:extent cx="565785" cy="580390"/>
            <wp:effectExtent l="0" t="0" r="5715" b="0"/>
            <wp:wrapSquare wrapText="bothSides"/>
            <wp:docPr id="2091994206" name="Picture 161" descr="P6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6" name="Picture 161" descr="P626#y1"/>
                    <pic:cNvPicPr/>
                  </pic:nvPicPr>
                  <pic:blipFill>
                    <a:blip r:embed="rId57">
                      <a:extLst>
                        <a:ext uri="{28A0092B-C50C-407E-A947-70E740481C1C}">
                          <a14:useLocalDpi xmlns:a14="http://schemas.microsoft.com/office/drawing/2010/main" val="0"/>
                        </a:ext>
                      </a:extLst>
                    </a:blip>
                    <a:srcRect b="13524"/>
                    <a:stretch>
                      <a:fillRect/>
                    </a:stretch>
                  </pic:blipFill>
                  <pic:spPr>
                    <a:xfrm>
                      <a:off x="0" y="0"/>
                      <a:ext cx="565785" cy="580390"/>
                    </a:xfrm>
                    <a:prstGeom prst="rect">
                      <a:avLst/>
                    </a:prstGeom>
                  </pic:spPr>
                </pic:pic>
              </a:graphicData>
            </a:graphic>
          </wp:anchor>
        </w:drawing>
      </w:r>
      <w:r w:rsidR="00FD3F37" w:rsidRPr="002765D3">
        <w:t xml:space="preserve">Checklist for </w:t>
      </w:r>
      <w:r w:rsidR="00D15A4A">
        <w:t xml:space="preserve">the </w:t>
      </w:r>
      <w:r w:rsidR="00FD3F37" w:rsidRPr="002765D3">
        <w:t>prevention of antipsychotic use</w:t>
      </w:r>
    </w:p>
    <w:p w14:paraId="50C1E2D2" w14:textId="3E5F7474" w:rsidR="001C6817" w:rsidRPr="00833925" w:rsidRDefault="001C6817" w:rsidP="00314F78">
      <w:pPr>
        <w:pStyle w:val="TableHeader"/>
      </w:pPr>
      <w:r w:rsidRPr="00833925">
        <w:t>Complete regular reviews of residential medication charts</w:t>
      </w:r>
    </w:p>
    <w:p w14:paraId="39276409" w14:textId="77777777" w:rsidR="001C6817" w:rsidRPr="006C278D" w:rsidRDefault="4EABE350" w:rsidP="00314F78">
      <w:pPr>
        <w:pStyle w:val="ListBullet"/>
      </w:pPr>
      <w:r w:rsidRPr="189D3658">
        <w:t>Identify care recipients who are taking antipsychotic medications.</w:t>
      </w:r>
    </w:p>
    <w:p w14:paraId="37358DA1" w14:textId="77777777" w:rsidR="001C6817" w:rsidRPr="006C278D" w:rsidRDefault="4EABE350" w:rsidP="00314F78">
      <w:pPr>
        <w:pStyle w:val="ListBullet"/>
      </w:pPr>
      <w:r w:rsidRPr="189D3658">
        <w:t>Regular review of care recipient medication charts by registered nurses and enrolled nurses as they administer medications. Escalate to pharmacist or medical practitioner where appropriate.</w:t>
      </w:r>
    </w:p>
    <w:p w14:paraId="1C872398" w14:textId="77777777" w:rsidR="001C6817" w:rsidRPr="002765D3" w:rsidRDefault="001C6817" w:rsidP="00314F78">
      <w:pPr>
        <w:pStyle w:val="ListBullet"/>
      </w:pPr>
      <w:r w:rsidRPr="006C278D">
        <w:t>Ensure care recipients’ medication charts are reviewed upon returning from the hospital as the</w:t>
      </w:r>
      <w:r w:rsidRPr="002765D3">
        <w:t>re could be significant medication changes.</w:t>
      </w:r>
    </w:p>
    <w:p w14:paraId="06CA00CB" w14:textId="3546E27F" w:rsidR="001C6817" w:rsidRPr="00833925" w:rsidRDefault="00CF0345" w:rsidP="00314F78">
      <w:pPr>
        <w:pStyle w:val="TableHeader"/>
      </w:pPr>
      <w:r w:rsidRPr="002765D3">
        <w:rPr>
          <w:noProof/>
          <w:lang w:eastAsia="en-AU"/>
        </w:rPr>
        <w:drawing>
          <wp:anchor distT="0" distB="0" distL="114300" distR="114300" simplePos="0" relativeHeight="251658309" behindDoc="0" locked="0" layoutInCell="1" allowOverlap="1" wp14:anchorId="7B6BE3EC" wp14:editId="0CB99DD9">
            <wp:simplePos x="0" y="0"/>
            <wp:positionH relativeFrom="column">
              <wp:posOffset>-753118</wp:posOffset>
            </wp:positionH>
            <wp:positionV relativeFrom="paragraph">
              <wp:posOffset>28195</wp:posOffset>
            </wp:positionV>
            <wp:extent cx="564743" cy="577970"/>
            <wp:effectExtent l="0" t="0" r="6985" b="0"/>
            <wp:wrapSquare wrapText="bothSides"/>
            <wp:docPr id="2091994207" name="Picture 162" descr="P6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7" name="Picture 162" descr="P631#y1"/>
                    <pic:cNvPicPr/>
                  </pic:nvPicPr>
                  <pic:blipFill>
                    <a:blip r:embed="rId60">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4EABE350" w:rsidRPr="189D3658">
        <w:t>Document, monitor and escalate instances of antipsychotic use</w:t>
      </w:r>
    </w:p>
    <w:p w14:paraId="0E8D11AA" w14:textId="77777777" w:rsidR="001C6817" w:rsidRPr="002765D3" w:rsidRDefault="001C6817" w:rsidP="00314F78">
      <w:pPr>
        <w:pStyle w:val="ListBullet"/>
      </w:pPr>
      <w:r w:rsidRPr="002765D3">
        <w:t>Document/record concerns of antipsychotic use on a care recipient’s care plan and escalate to a pharmacist or medical practitioner. The outcome of this escalation should also be documented and planned for in the care recipient’s care plan.</w:t>
      </w:r>
    </w:p>
    <w:p w14:paraId="54EB56C9" w14:textId="15E2F5A0" w:rsidR="001C6817" w:rsidRPr="002765D3" w:rsidRDefault="00CF0345" w:rsidP="00314F78">
      <w:pPr>
        <w:pStyle w:val="ListBullet"/>
      </w:pPr>
      <w:r w:rsidRPr="002765D3">
        <w:rPr>
          <w:noProof/>
          <w:lang w:eastAsia="en-AU"/>
        </w:rPr>
        <w:drawing>
          <wp:anchor distT="0" distB="0" distL="114300" distR="114300" simplePos="0" relativeHeight="251658310" behindDoc="0" locked="0" layoutInCell="1" allowOverlap="1" wp14:anchorId="322D6822" wp14:editId="31D4BB21">
            <wp:simplePos x="0" y="0"/>
            <wp:positionH relativeFrom="column">
              <wp:posOffset>-691960</wp:posOffset>
            </wp:positionH>
            <wp:positionV relativeFrom="paragraph">
              <wp:posOffset>1501775</wp:posOffset>
            </wp:positionV>
            <wp:extent cx="564851" cy="569343"/>
            <wp:effectExtent l="0" t="0" r="6985" b="2540"/>
            <wp:wrapSquare wrapText="bothSides"/>
            <wp:docPr id="2091994208" name="Picture 163" descr="P6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8" name="Picture 163" descr="P633#y1"/>
                    <pic:cNvPicPr/>
                  </pic:nvPicPr>
                  <pic:blipFill>
                    <a:blip r:embed="rId5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4EABE350" w:rsidRPr="189D3658">
        <w:t>Monitor the care recipient closely for changes in behaviour. A carer or enrolled nurse should discuss concerns of antipsychotic use with the registered nurse so the escalation process to the pharmacist or medical practitioner is initiated for review.</w:t>
      </w:r>
    </w:p>
    <w:p w14:paraId="7259AB03" w14:textId="5A4B4D57" w:rsidR="001C6817" w:rsidRPr="00833925" w:rsidRDefault="001C6817" w:rsidP="00314F78">
      <w:pPr>
        <w:pStyle w:val="TableHeader"/>
      </w:pPr>
      <w:r w:rsidRPr="00833925">
        <w:t>Implement prevention strategies</w:t>
      </w:r>
    </w:p>
    <w:p w14:paraId="75027571" w14:textId="77777777" w:rsidR="001C6817" w:rsidRPr="00900CF0" w:rsidRDefault="001C6817" w:rsidP="00314F78">
      <w:pPr>
        <w:rPr>
          <w:rStyle w:val="Strong"/>
        </w:rPr>
      </w:pPr>
      <w:r w:rsidRPr="00900CF0">
        <w:rPr>
          <w:rStyle w:val="Strong"/>
        </w:rPr>
        <w:t>Educate staff and promote awareness about antipsychotic use</w:t>
      </w:r>
    </w:p>
    <w:p w14:paraId="7A606ADB" w14:textId="77777777" w:rsidR="001C6817" w:rsidRPr="002765D3" w:rsidRDefault="001C6817" w:rsidP="00314F78">
      <w:pPr>
        <w:pStyle w:val="ListBullet"/>
      </w:pPr>
      <w:r w:rsidRPr="002765D3">
        <w:t xml:space="preserve">Remain aware of the risks associated with antipsychotic use. Programs supporting awareness and understanding of </w:t>
      </w:r>
      <w:r w:rsidRPr="002765D3">
        <w:t>antipsychotic use are effective in promoting safer medication regimens as staff play an active role in monitoring care recipients’ residential medication charts.</w:t>
      </w:r>
    </w:p>
    <w:p w14:paraId="5FF048AB" w14:textId="77777777" w:rsidR="001C6817" w:rsidRPr="00454D17" w:rsidRDefault="001C6817" w:rsidP="00314F78">
      <w:pPr>
        <w:pStyle w:val="NormalIndent"/>
      </w:pPr>
      <w:r w:rsidRPr="00454D17">
        <w:rPr>
          <w:rStyle w:val="Strong"/>
        </w:rPr>
        <w:t>Encourage Residential Medication Management Reviews</w:t>
      </w:r>
      <w:r w:rsidRPr="00454D17">
        <w:t xml:space="preserve"> (refer to “Example tools, guidance and resources to support continuous quality improvement”)</w:t>
      </w:r>
    </w:p>
    <w:p w14:paraId="2020C4BB" w14:textId="77777777" w:rsidR="001C6817" w:rsidRPr="002765D3" w:rsidRDefault="001C6817" w:rsidP="00314F78">
      <w:pPr>
        <w:pStyle w:val="ListBullet"/>
      </w:pPr>
      <w:r w:rsidRPr="002765D3">
        <w:t>Encourage a Residential Medication Management Review (RMMR) for care recipients who are at risk with antipsychotic use.</w:t>
      </w:r>
    </w:p>
    <w:p w14:paraId="2427F009" w14:textId="77777777" w:rsidR="001C6817" w:rsidRPr="002765D3" w:rsidRDefault="001C6817" w:rsidP="00314F78">
      <w:pPr>
        <w:pStyle w:val="ListBullet"/>
      </w:pPr>
      <w:r w:rsidRPr="002765D3">
        <w:t>Collaborate with medical practitioners and pharmacists to perform a RMMR for a care recipient of residential aged care. These medication management services are subsidised by Medicare.</w:t>
      </w:r>
    </w:p>
    <w:p w14:paraId="2B30424B" w14:textId="77777777" w:rsidR="001C6817" w:rsidRPr="00900CF0" w:rsidRDefault="001C6817" w:rsidP="00314F78">
      <w:pPr>
        <w:rPr>
          <w:rStyle w:val="Strong"/>
        </w:rPr>
      </w:pPr>
      <w:r w:rsidRPr="00900CF0">
        <w:rPr>
          <w:rStyle w:val="Strong"/>
        </w:rPr>
        <w:t>Encourage shared decision making with care recipients</w:t>
      </w:r>
    </w:p>
    <w:p w14:paraId="756BF37C" w14:textId="77777777" w:rsidR="001C6817" w:rsidRPr="002765D3" w:rsidRDefault="001C6817" w:rsidP="00314F78">
      <w:pPr>
        <w:pStyle w:val="ListBullet"/>
      </w:pPr>
      <w:r w:rsidRPr="002765D3">
        <w:t>Discuss antipsychotic needs with the care recipient to understand their perspective and support their participation in making decisions (where possible).</w:t>
      </w:r>
    </w:p>
    <w:p w14:paraId="4968DDBF" w14:textId="77777777" w:rsidR="001C6817" w:rsidRPr="00900CF0" w:rsidRDefault="4EABE350" w:rsidP="00314F78">
      <w:pPr>
        <w:rPr>
          <w:rStyle w:val="Strong"/>
        </w:rPr>
      </w:pPr>
      <w:r w:rsidRPr="00900CF0">
        <w:rPr>
          <w:rStyle w:val="Strong"/>
        </w:rPr>
        <w:t>Escalate concerns of antipsychotic use for consideration of deprescribing or change in medication (where appropriate)</w:t>
      </w:r>
    </w:p>
    <w:p w14:paraId="570FD269" w14:textId="4BE0CC07" w:rsidR="001C6817" w:rsidRPr="002765D3" w:rsidRDefault="4EABE350" w:rsidP="00314F78">
      <w:pPr>
        <w:pStyle w:val="ListBullet"/>
      </w:pPr>
      <w:r w:rsidRPr="189D3658">
        <w:t xml:space="preserve">Escalate concerns of antipsychotic use to a pharmacist or medical practitioner. The purpose of this is to assess if the antipsychotic medication is no longer beneficial to the care recipient, reduce complexity in </w:t>
      </w:r>
      <w:r w:rsidRPr="189D3658">
        <w:lastRenderedPageBreak/>
        <w:t>their medication regime and prevent consequences of a high</w:t>
      </w:r>
      <w:r w:rsidR="00001B07">
        <w:t xml:space="preserve"> </w:t>
      </w:r>
      <w:r w:rsidRPr="189D3658">
        <w:t>risk medication.</w:t>
      </w:r>
    </w:p>
    <w:p w14:paraId="1507E0D0" w14:textId="77777777" w:rsidR="001C6817" w:rsidRPr="002765D3" w:rsidRDefault="001C6817" w:rsidP="00314F78">
      <w:pPr>
        <w:pStyle w:val="ListBullet"/>
      </w:pPr>
      <w:r w:rsidRPr="002765D3">
        <w:t xml:space="preserve">Deprescribing and change in medications can only be actioned by a medical practitioner </w:t>
      </w:r>
      <w:r>
        <w:t xml:space="preserve">or nurse practitioner </w:t>
      </w:r>
      <w:r w:rsidRPr="002765D3">
        <w:t>and must be reflected in the care recipient’s medication chart.</w:t>
      </w:r>
    </w:p>
    <w:p w14:paraId="6F6B0287" w14:textId="0A0014AB" w:rsidR="001C6817" w:rsidRPr="00900CF0" w:rsidRDefault="00CF0345" w:rsidP="00314F78">
      <w:pPr>
        <w:pStyle w:val="TableHeader"/>
      </w:pPr>
      <w:r w:rsidRPr="002765D3">
        <w:rPr>
          <w:noProof/>
          <w:lang w:eastAsia="en-AU"/>
        </w:rPr>
        <w:drawing>
          <wp:anchor distT="0" distB="0" distL="114300" distR="114300" simplePos="0" relativeHeight="251658311" behindDoc="0" locked="0" layoutInCell="1" allowOverlap="1" wp14:anchorId="43F1AABC" wp14:editId="7DD3B323">
            <wp:simplePos x="0" y="0"/>
            <wp:positionH relativeFrom="column">
              <wp:posOffset>-564515</wp:posOffset>
            </wp:positionH>
            <wp:positionV relativeFrom="paragraph">
              <wp:posOffset>0</wp:posOffset>
            </wp:positionV>
            <wp:extent cx="564515" cy="586105"/>
            <wp:effectExtent l="0" t="0" r="6985" b="4445"/>
            <wp:wrapSquare wrapText="bothSides"/>
            <wp:docPr id="2091994209" name="Picture 164" descr="P64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9" name="Picture 164" descr="P645#y1"/>
                    <pic:cNvPicPr/>
                  </pic:nvPicPr>
                  <pic:blipFill>
                    <a:blip r:embed="rId59">
                      <a:extLst>
                        <a:ext uri="{28A0092B-C50C-407E-A947-70E740481C1C}">
                          <a14:useLocalDpi xmlns:a14="http://schemas.microsoft.com/office/drawing/2010/main" val="0"/>
                        </a:ext>
                      </a:extLst>
                    </a:blip>
                    <a:srcRect b="12356"/>
                    <a:stretch>
                      <a:fillRect/>
                    </a:stretch>
                  </pic:blipFill>
                  <pic:spPr>
                    <a:xfrm>
                      <a:off x="0" y="0"/>
                      <a:ext cx="564515" cy="586105"/>
                    </a:xfrm>
                    <a:prstGeom prst="rect">
                      <a:avLst/>
                    </a:prstGeom>
                  </pic:spPr>
                </pic:pic>
              </a:graphicData>
            </a:graphic>
          </wp:anchor>
        </w:drawing>
      </w:r>
      <w:r w:rsidR="001C6817" w:rsidRPr="00900CF0">
        <w:t>Undertake frequent reassessment of residential medication charts</w:t>
      </w:r>
    </w:p>
    <w:p w14:paraId="774CEDC0" w14:textId="77777777" w:rsidR="001C6817" w:rsidRPr="002765D3" w:rsidRDefault="001C6817" w:rsidP="00314F78">
      <w:pPr>
        <w:pStyle w:val="ListBullet"/>
      </w:pPr>
      <w:r w:rsidRPr="002765D3">
        <w:t xml:space="preserve">Re-assess and review regularly care recipient’s medication charts as regimen can change regularly, especially as care recipients age and develop multimorbidity. </w:t>
      </w:r>
    </w:p>
    <w:p w14:paraId="207A8D3A" w14:textId="77777777" w:rsidR="00FD3F37" w:rsidRPr="002765D3" w:rsidRDefault="00FD3F37" w:rsidP="00314F78">
      <w:pPr>
        <w:sectPr w:rsidR="00FD3F37" w:rsidRPr="002765D3" w:rsidSect="001C6817">
          <w:headerReference w:type="even" r:id="rId162"/>
          <w:headerReference w:type="default" r:id="rId163"/>
          <w:headerReference w:type="first" r:id="rId164"/>
          <w:endnotePr>
            <w:numFmt w:val="decimal"/>
          </w:endnotePr>
          <w:type w:val="continuous"/>
          <w:pgSz w:w="11906" w:h="16838" w:code="9"/>
          <w:pgMar w:top="1701" w:right="1134" w:bottom="1134" w:left="2098" w:header="567" w:footer="567" w:gutter="0"/>
          <w:cols w:num="2" w:space="1418"/>
          <w:docGrid w:linePitch="360"/>
        </w:sectPr>
      </w:pPr>
    </w:p>
    <w:p w14:paraId="1888A4F7" w14:textId="6C691053" w:rsidR="00FD3F37" w:rsidRPr="00900CF0" w:rsidRDefault="00FD3F37" w:rsidP="0059348C">
      <w:pPr>
        <w:pStyle w:val="Heading2"/>
      </w:pPr>
      <w:r w:rsidRPr="00900CF0">
        <w:t>Quality improvement for antipsychotic use</w:t>
      </w:r>
    </w:p>
    <w:p w14:paraId="4D2D68BA" w14:textId="4BBE1F2D" w:rsidR="00FD3F37" w:rsidRPr="00900CF0" w:rsidRDefault="00FD3F37" w:rsidP="00314F78">
      <w:r w:rsidRPr="00900CF0">
        <w:t>Quality improvement can help providers increase the quality of care for care recipients at risk of antipsychotic use. Quality improvement activities should be ongoing and part of business-as-usual for approved providers.</w:t>
      </w:r>
    </w:p>
    <w:p w14:paraId="62178EF8" w14:textId="0BD97E91" w:rsidR="00FD3F37" w:rsidRPr="00900CF0" w:rsidRDefault="7279DF3A" w:rsidP="00314F78">
      <w:r w:rsidRPr="00900CF0">
        <w:t xml:space="preserve">The QI Program will help prompt when a specific quality improvement activity should be undertaken. It is important to review QI Program data reports through </w:t>
      </w:r>
      <w:r w:rsidR="00EB6F98" w:rsidRPr="00900CF0">
        <w:t xml:space="preserve">GPMS </w:t>
      </w:r>
      <w:r w:rsidRPr="00900CF0">
        <w:t xml:space="preserve">and compare against national </w:t>
      </w:r>
      <w:r w:rsidR="2C1B2804" w:rsidRPr="00900CF0">
        <w:t>averages</w:t>
      </w:r>
      <w:r w:rsidRPr="00900CF0">
        <w:t xml:space="preserve"> and other services to understand where quality improvement activities should be focussed.</w:t>
      </w:r>
    </w:p>
    <w:p w14:paraId="52AFC31F" w14:textId="5D473990" w:rsidR="00E30E2C" w:rsidRPr="00D82644" w:rsidRDefault="7279DF3A" w:rsidP="00314F78">
      <w:pPr>
        <w:sectPr w:rsidR="00E30E2C" w:rsidRPr="00D82644" w:rsidSect="006C278D">
          <w:headerReference w:type="even" r:id="rId165"/>
          <w:headerReference w:type="first" r:id="rId166"/>
          <w:endnotePr>
            <w:numFmt w:val="decimal"/>
          </w:endnotePr>
          <w:type w:val="continuous"/>
          <w:pgSz w:w="11906" w:h="16838" w:code="9"/>
          <w:pgMar w:top="1701" w:right="1134" w:bottom="1134" w:left="1134" w:header="567" w:footer="567" w:gutter="0"/>
          <w:cols w:space="708"/>
          <w:docGrid w:linePitch="360"/>
        </w:sectPr>
      </w:pPr>
      <w:r w:rsidRPr="00900CF0">
        <w:t xml:space="preserve">The </w:t>
      </w:r>
      <w:r w:rsidRPr="00900CF0">
        <w:rPr>
          <w:rStyle w:val="Strong"/>
        </w:rPr>
        <w:t>Plan-Do-Check-Act tool</w:t>
      </w:r>
      <w:r w:rsidRPr="00900CF0">
        <w:t xml:space="preserve"> </w:t>
      </w:r>
      <w:r w:rsidR="00AE4A33" w:rsidRPr="00900CF0">
        <w:t xml:space="preserve">(section 2.3) </w:t>
      </w:r>
      <w:r w:rsidRPr="00900CF0">
        <w:t>is a useful tool to plan, deliver and monitor quality improvement activities focused on preventing and reducing antipsychotic use</w:t>
      </w:r>
      <w:r w:rsidR="001A7DC2">
        <w:t>.</w:t>
      </w:r>
    </w:p>
    <w:p w14:paraId="6A10F9DD" w14:textId="4E08E1E1" w:rsidR="00C37049" w:rsidRPr="00BD71DA" w:rsidRDefault="5D02A6C6" w:rsidP="0059348C">
      <w:pPr>
        <w:pStyle w:val="Heading2"/>
      </w:pPr>
      <w:bookmarkStart w:id="53" w:name="_Hlk105687865"/>
      <w:r w:rsidRPr="00BD71DA">
        <w:lastRenderedPageBreak/>
        <w:t xml:space="preserve">Example tools, guidance and resources to support </w:t>
      </w:r>
      <w:r w:rsidR="00C37049" w:rsidRPr="00BD71DA">
        <w:br/>
      </w:r>
      <w:r w:rsidRPr="00BD71DA">
        <w:t>continuous quality improvement</w:t>
      </w:r>
    </w:p>
    <w:p w14:paraId="66A2D4EE" w14:textId="0825205F" w:rsidR="00C37049" w:rsidRPr="00BD71DA" w:rsidRDefault="00DE3688" w:rsidP="00314F78">
      <w:pPr>
        <w:pStyle w:val="ListBullet"/>
      </w:pPr>
      <w:hyperlink r:id="rId167" w:history="1">
        <w:r w:rsidRPr="00BD71DA">
          <w:rPr>
            <w:rStyle w:val="Hyperlink"/>
          </w:rPr>
          <w:t>D</w:t>
        </w:r>
        <w:r w:rsidR="00C37049" w:rsidRPr="00BD71DA">
          <w:rPr>
            <w:rStyle w:val="Hyperlink"/>
          </w:rPr>
          <w:t xml:space="preserve">eprescribing </w:t>
        </w:r>
        <w:r w:rsidRPr="00BD71DA">
          <w:rPr>
            <w:rStyle w:val="Hyperlink"/>
          </w:rPr>
          <w:t xml:space="preserve">guide for </w:t>
        </w:r>
        <w:r w:rsidR="00C37049" w:rsidRPr="00BD71DA">
          <w:rPr>
            <w:rStyle w:val="Hyperlink"/>
          </w:rPr>
          <w:t>antipsychotics for treatment of behavioural and psychological symptoms of dementia</w:t>
        </w:r>
      </w:hyperlink>
      <w:r w:rsidR="00C37049" w:rsidRPr="00BD71DA">
        <w:t xml:space="preserve"> </w:t>
      </w:r>
      <w:r w:rsidR="007D69C5" w:rsidRPr="00BD71DA">
        <w:t>—</w:t>
      </w:r>
      <w:r w:rsidRPr="00BD71DA">
        <w:t xml:space="preserve"> a </w:t>
      </w:r>
      <w:r w:rsidR="00C37049" w:rsidRPr="00BD71DA">
        <w:t>guide provid</w:t>
      </w:r>
      <w:r w:rsidRPr="00BD71DA">
        <w:t>ing information to support</w:t>
      </w:r>
      <w:r w:rsidR="00C37049" w:rsidRPr="00BD71DA">
        <w:t xml:space="preserve"> deprescribing </w:t>
      </w:r>
      <w:r w:rsidRPr="00BD71DA">
        <w:t>of antipsychotics — Northern Sydney Local Health District, N</w:t>
      </w:r>
      <w:r w:rsidR="0034313B" w:rsidRPr="00BD71DA">
        <w:t xml:space="preserve">ew </w:t>
      </w:r>
      <w:r w:rsidRPr="00BD71DA">
        <w:t>S</w:t>
      </w:r>
      <w:r w:rsidR="0034313B" w:rsidRPr="00BD71DA">
        <w:t xml:space="preserve">outh </w:t>
      </w:r>
      <w:r w:rsidRPr="00BD71DA">
        <w:t>W</w:t>
      </w:r>
      <w:r w:rsidR="0034313B" w:rsidRPr="00BD71DA">
        <w:t>ales</w:t>
      </w:r>
      <w:r w:rsidRPr="00BD71DA">
        <w:t xml:space="preserve"> Government</w:t>
      </w:r>
    </w:p>
    <w:p w14:paraId="0FCF92CB" w14:textId="13579E9A" w:rsidR="00C37049" w:rsidRPr="00BD71DA" w:rsidRDefault="5D02A6C6" w:rsidP="00314F78">
      <w:pPr>
        <w:pStyle w:val="ListBullet"/>
      </w:pPr>
      <w:hyperlink r:id="rId168">
        <w:r w:rsidRPr="00BD71DA">
          <w:rPr>
            <w:rStyle w:val="Hyperlink"/>
          </w:rPr>
          <w:t>Antipsychotic Tracking Tool</w:t>
        </w:r>
      </w:hyperlink>
      <w:r w:rsidRPr="00BD71DA">
        <w:t xml:space="preserve"> </w:t>
      </w:r>
      <w:r w:rsidR="0BE1D699" w:rsidRPr="00BD71DA">
        <w:t>—</w:t>
      </w:r>
      <w:r w:rsidR="73AF48E1" w:rsidRPr="00BD71DA">
        <w:t xml:space="preserve"> </w:t>
      </w:r>
      <w:r w:rsidRPr="00BD71DA">
        <w:t xml:space="preserve">a tool to </w:t>
      </w:r>
      <w:r w:rsidR="553472D8" w:rsidRPr="00BD71DA">
        <w:t>monitor antipsychotic usage in aged care settings</w:t>
      </w:r>
      <w:r w:rsidR="73AF48E1" w:rsidRPr="00BD71DA">
        <w:t xml:space="preserve"> — Dementia Training Australia</w:t>
      </w:r>
    </w:p>
    <w:p w14:paraId="16354971" w14:textId="236C355E" w:rsidR="000C7396" w:rsidRPr="00BD71DA" w:rsidRDefault="00667DAC" w:rsidP="00314F78">
      <w:pPr>
        <w:pStyle w:val="ListBullet"/>
      </w:pPr>
      <w:hyperlink r:id="rId169" w:history="1">
        <w:r w:rsidRPr="00BD71DA">
          <w:rPr>
            <w:rStyle w:val="Hyperlink"/>
          </w:rPr>
          <w:t>Six steps for safe prescribing antipsychotics and benzodiazepines in residential aged care</w:t>
        </w:r>
      </w:hyperlink>
      <w:r w:rsidRPr="00BD71DA">
        <w:t xml:space="preserve"> — poster providing guidance on managing behaviours and psychological symptoms of dementia — Aged care Quality and Safety Commission</w:t>
      </w:r>
    </w:p>
    <w:p w14:paraId="1CD7853A" w14:textId="09480C34" w:rsidR="004554AA" w:rsidRPr="00BD71DA" w:rsidRDefault="004554AA" w:rsidP="00314F78">
      <w:pPr>
        <w:pStyle w:val="ListBullet"/>
      </w:pPr>
      <w:hyperlink r:id="rId170" w:history="1">
        <w:r w:rsidRPr="00BD71DA">
          <w:rPr>
            <w:rStyle w:val="Hyperlink"/>
          </w:rPr>
          <w:t>Australian Medicines Handbook</w:t>
        </w:r>
      </w:hyperlink>
      <w:r w:rsidRPr="00BD71DA">
        <w:t xml:space="preserve"> — online resource providing information on current medications used in Australia</w:t>
      </w:r>
    </w:p>
    <w:p w14:paraId="1FAB450E" w14:textId="2C08CB15" w:rsidR="004554AA" w:rsidRPr="00BD71DA" w:rsidRDefault="004554AA" w:rsidP="00314F78">
      <w:pPr>
        <w:pStyle w:val="ListBullet"/>
      </w:pPr>
      <w:hyperlink r:id="rId171" w:history="1">
        <w:r w:rsidRPr="00BD71DA">
          <w:rPr>
            <w:rStyle w:val="Hyperlink"/>
          </w:rPr>
          <w:t>Monthly Index of Medical Specialties (MIMS) Australia</w:t>
        </w:r>
      </w:hyperlink>
      <w:r w:rsidRPr="00BD71DA">
        <w:t xml:space="preserve"> — online resource providing Australian medications information</w:t>
      </w:r>
    </w:p>
    <w:p w14:paraId="14E30A9F" w14:textId="6863B433" w:rsidR="004554AA" w:rsidRPr="00BD71DA" w:rsidRDefault="004554AA" w:rsidP="00314F78">
      <w:pPr>
        <w:pStyle w:val="ListBullet"/>
      </w:pPr>
      <w:hyperlink r:id="rId172" w:history="1">
        <w:r w:rsidRPr="00BD71DA">
          <w:rPr>
            <w:rStyle w:val="Hyperlink"/>
          </w:rPr>
          <w:t>Severe Behaviour Response Teams (SBRT)</w:t>
        </w:r>
      </w:hyperlink>
      <w:r w:rsidRPr="00BD71DA">
        <w:t xml:space="preserve"> — 24/7 contact with a Dementia Consultant on 1800 699 799 to access SBRT service — Dementia Support Australia</w:t>
      </w:r>
    </w:p>
    <w:p w14:paraId="5FDB85E1" w14:textId="540504FB" w:rsidR="004554AA" w:rsidRPr="00BD71DA" w:rsidRDefault="004554AA" w:rsidP="00314F78">
      <w:pPr>
        <w:pStyle w:val="ListBullet"/>
      </w:pPr>
      <w:hyperlink r:id="rId173" w:history="1">
        <w:r w:rsidRPr="00BD71DA">
          <w:rPr>
            <w:rStyle w:val="Hyperlink"/>
          </w:rPr>
          <w:t>Dementia Behaviour Management Advisory Service (DBMAS)</w:t>
        </w:r>
      </w:hyperlink>
      <w:r w:rsidRPr="00BD71DA">
        <w:t xml:space="preserve"> — 24/7 contact with a Dementia Consultant on 1800 699 799 for advice or to make a referral — Dementia Support Australia</w:t>
      </w:r>
    </w:p>
    <w:p w14:paraId="1E216E68" w14:textId="5F9D0612" w:rsidR="009B6972" w:rsidRPr="00BD71DA" w:rsidRDefault="29B914B9" w:rsidP="00314F78">
      <w:pPr>
        <w:pStyle w:val="ListBullet"/>
      </w:pPr>
      <w:hyperlink r:id="rId174">
        <w:r w:rsidRPr="00BD71DA">
          <w:rPr>
            <w:rStyle w:val="Hyperlink"/>
          </w:rPr>
          <w:t>Downloadable behaviour resources</w:t>
        </w:r>
      </w:hyperlink>
      <w:r w:rsidRPr="00BD71DA">
        <w:t xml:space="preserve"> — a variety of resources to both inform and assist healthcare professionals and family members who are supporting a person living with dementia — Dementia Support Australia</w:t>
      </w:r>
    </w:p>
    <w:p w14:paraId="31D84731" w14:textId="77777777" w:rsidR="00C37049" w:rsidRPr="00BD71DA" w:rsidRDefault="00C37049" w:rsidP="00314F78">
      <w:pPr>
        <w:rPr>
          <w:rStyle w:val="Emphasis"/>
        </w:rPr>
      </w:pPr>
      <w:r w:rsidRPr="00BD71DA">
        <w:rPr>
          <w:rStyle w:val="Emphasis"/>
        </w:rPr>
        <w:t>Some tools, guidance and resources may be updated over time; it is important to ensure you are looking at the most recent version.</w:t>
      </w:r>
    </w:p>
    <w:p w14:paraId="77121FB6" w14:textId="77777777" w:rsidR="00667D98" w:rsidRDefault="00667D98" w:rsidP="00314F78"/>
    <w:p w14:paraId="052612D1" w14:textId="77777777" w:rsidR="00BD71DA" w:rsidRDefault="00BD71DA" w:rsidP="00314F78">
      <w:pPr>
        <w:sectPr w:rsidR="00BD71DA" w:rsidSect="00157BB5">
          <w:endnotePr>
            <w:numFmt w:val="decimal"/>
          </w:endnotePr>
          <w:pgSz w:w="11906" w:h="16838" w:code="9"/>
          <w:pgMar w:top="1701" w:right="1134" w:bottom="1134" w:left="1134" w:header="567" w:footer="567" w:gutter="0"/>
          <w:cols w:space="708"/>
          <w:docGrid w:linePitch="360"/>
        </w:sectPr>
      </w:pPr>
    </w:p>
    <w:p w14:paraId="7BFE8B8F" w14:textId="44F1017E" w:rsidR="001A6A2A" w:rsidRPr="00BD71DA" w:rsidRDefault="0052682F" w:rsidP="0059348C">
      <w:pPr>
        <w:pStyle w:val="Heading1"/>
      </w:pPr>
      <w:bookmarkStart w:id="54" w:name="_Toc193889895"/>
      <w:r>
        <w:rPr>
          <w:noProof/>
        </w:rPr>
        <w:lastRenderedPageBreak/>
        <w:drawing>
          <wp:anchor distT="0" distB="0" distL="114300" distR="114300" simplePos="0" relativeHeight="251658276" behindDoc="1" locked="0" layoutInCell="1" allowOverlap="1" wp14:anchorId="21CE766E" wp14:editId="30531DEB">
            <wp:simplePos x="0" y="0"/>
            <wp:positionH relativeFrom="margin">
              <wp:posOffset>-754380</wp:posOffset>
            </wp:positionH>
            <wp:positionV relativeFrom="paragraph">
              <wp:posOffset>444129</wp:posOffset>
            </wp:positionV>
            <wp:extent cx="7703820" cy="1439545"/>
            <wp:effectExtent l="0" t="0" r="0" b="8255"/>
            <wp:wrapNone/>
            <wp:docPr id="2062071842" name="Picture 5" descr="P6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71842" name="Picture 5" descr="P664#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382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A2A" w:rsidRPr="00BD71DA">
        <w:t>Activities of daily living</w:t>
      </w:r>
      <w:bookmarkEnd w:id="54"/>
    </w:p>
    <w:p w14:paraId="7461745E" w14:textId="010F59B4" w:rsidR="00085E47" w:rsidRPr="00085E47" w:rsidRDefault="0052682F" w:rsidP="0052682F">
      <w:pPr>
        <w:pStyle w:val="Headerwhite"/>
      </w:pPr>
      <w:r>
        <w:rPr>
          <w:noProof/>
        </w:rPr>
        <w:drawing>
          <wp:anchor distT="0" distB="0" distL="114300" distR="114300" simplePos="0" relativeHeight="251658277" behindDoc="0" locked="0" layoutInCell="1" allowOverlap="1" wp14:anchorId="1C6EC2CA" wp14:editId="44ED8AE9">
            <wp:simplePos x="0" y="0"/>
            <wp:positionH relativeFrom="margin">
              <wp:posOffset>0</wp:posOffset>
            </wp:positionH>
            <wp:positionV relativeFrom="paragraph">
              <wp:posOffset>270881</wp:posOffset>
            </wp:positionV>
            <wp:extent cx="1013460" cy="1007745"/>
            <wp:effectExtent l="0" t="0" r="0" b="1905"/>
            <wp:wrapSquare wrapText="bothSides"/>
            <wp:docPr id="69" name="Picture 69" descr="P6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665#y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13460" cy="1007745"/>
                    </a:xfrm>
                    <a:prstGeom prst="rect">
                      <a:avLst/>
                    </a:prstGeom>
                    <a:noFill/>
                  </pic:spPr>
                </pic:pic>
              </a:graphicData>
            </a:graphic>
          </wp:anchor>
        </w:drawing>
      </w:r>
      <w:r w:rsidR="00085E47" w:rsidRPr="00085E47">
        <w:t>Activities of daily living (ADLs) can be used to measure people’s ability to move and care for themselves. ADLs are essential, routine tasks such as personal hygiene, dressing, going to the toilet and eating. ADLs are important to maintain independence, health status and quality of life. Screening, monitoring and prevention activities may reduce decline in ADLs and improve independence.</w:t>
      </w:r>
    </w:p>
    <w:p w14:paraId="5133412F" w14:textId="229115E0" w:rsidR="006A29BD" w:rsidRPr="00BD71DA" w:rsidRDefault="074F50ED" w:rsidP="0059348C">
      <w:pPr>
        <w:pStyle w:val="Heading2"/>
      </w:pPr>
      <w:r w:rsidRPr="00BD71DA">
        <w:t xml:space="preserve">Overview of </w:t>
      </w:r>
      <w:r w:rsidR="09338D9B" w:rsidRPr="00BD71DA">
        <w:t>a</w:t>
      </w:r>
      <w:r w:rsidRPr="00BD71DA">
        <w:t xml:space="preserve">ctivities of </w:t>
      </w:r>
      <w:r w:rsidR="09338D9B" w:rsidRPr="00BD71DA">
        <w:t>d</w:t>
      </w:r>
      <w:r w:rsidRPr="00BD71DA">
        <w:t xml:space="preserve">aily </w:t>
      </w:r>
      <w:r w:rsidR="09338D9B" w:rsidRPr="00BD71DA">
        <w:t>l</w:t>
      </w:r>
      <w:r w:rsidRPr="00BD71DA">
        <w:t>iving</w:t>
      </w:r>
    </w:p>
    <w:p w14:paraId="00ADC27A" w14:textId="00FEAFFF" w:rsidR="006A29BD" w:rsidRPr="00AD045C" w:rsidRDefault="008258DA" w:rsidP="00314F78">
      <w:r w:rsidRPr="00D82644">
        <w:rPr>
          <w:rFonts w:cs="Arial"/>
          <w:szCs w:val="20"/>
        </w:rPr>
        <w:fldChar w:fldCharType="begin" w:fldLock="1"/>
      </w:r>
      <w:r w:rsidRPr="00D82644">
        <w:rPr>
          <w:rFonts w:cs="Arial"/>
          <w:szCs w:val="20"/>
        </w:rPr>
        <w:instrText xml:space="preserve"> REF _Ref105084679 \h </w:instrText>
      </w:r>
      <w:r w:rsidR="00165F95" w:rsidRPr="00D82644">
        <w:rPr>
          <w:rFonts w:cs="Arial"/>
          <w:szCs w:val="20"/>
        </w:rPr>
        <w:instrText xml:space="preserve"> \* MERGEFORMAT </w:instrText>
      </w:r>
      <w:r w:rsidRPr="00D82644">
        <w:rPr>
          <w:rFonts w:cs="Arial"/>
          <w:szCs w:val="20"/>
        </w:rPr>
      </w:r>
      <w:r w:rsidRPr="00D82644">
        <w:rPr>
          <w:rFonts w:cs="Arial"/>
          <w:szCs w:val="20"/>
        </w:rPr>
        <w:fldChar w:fldCharType="separate"/>
      </w:r>
      <w:r w:rsidR="009F0B74" w:rsidRPr="00D82644">
        <w:rPr>
          <w:szCs w:val="20"/>
        </w:rPr>
        <w:t>Figure 33</w:t>
      </w:r>
      <w:r w:rsidRPr="00D82644">
        <w:rPr>
          <w:rFonts w:cs="Arial"/>
          <w:szCs w:val="20"/>
        </w:rPr>
        <w:fldChar w:fldCharType="end"/>
      </w:r>
      <w:r w:rsidR="00FB6D4C" w:rsidRPr="00AD045C">
        <w:t xml:space="preserve"> </w:t>
      </w:r>
      <w:r w:rsidR="006A29BD" w:rsidRPr="00AD045C">
        <w:t xml:space="preserve">below provides an overview of the </w:t>
      </w:r>
      <w:r w:rsidR="002531AD" w:rsidRPr="00AD045C">
        <w:t>activities of daily living</w:t>
      </w:r>
      <w:r w:rsidR="0023361D" w:rsidRPr="00AD045C">
        <w:t xml:space="preserve"> </w:t>
      </w:r>
      <w:r w:rsidR="00A83F73" w:rsidRPr="00AD045C">
        <w:t>in residential aged care.</w:t>
      </w:r>
      <w:r w:rsidR="008127DC" w:rsidRPr="00AD045C">
        <w:t xml:space="preserve"> The data and references have been</w:t>
      </w:r>
      <w:r w:rsidR="006852D6" w:rsidRPr="00AD045C">
        <w:t xml:space="preserve"> reviewed</w:t>
      </w:r>
      <w:r w:rsidR="008127DC" w:rsidRPr="00AD045C">
        <w:t xml:space="preserve"> March 2025.</w:t>
      </w:r>
    </w:p>
    <w:p w14:paraId="67DD88CD" w14:textId="3D8113BC" w:rsidR="00FB6D4C" w:rsidRPr="00BD71DA" w:rsidRDefault="009963C6" w:rsidP="00314F78">
      <w:pPr>
        <w:pStyle w:val="Caption"/>
      </w:pPr>
      <w:bookmarkStart w:id="55" w:name="_Ref105084679"/>
      <w:r w:rsidRPr="00BD71DA">
        <w:t>FIGURE </w:t>
      </w:r>
      <w:r w:rsidR="006C5FF3" w:rsidRPr="00BD71DA">
        <w:fldChar w:fldCharType="begin"/>
      </w:r>
      <w:r w:rsidR="006C5FF3" w:rsidRPr="00BD71DA">
        <w:instrText>SEQ Figure \* ARABIC</w:instrText>
      </w:r>
      <w:r w:rsidR="006C5FF3" w:rsidRPr="00BD71DA">
        <w:fldChar w:fldCharType="separate"/>
      </w:r>
      <w:r w:rsidR="003A30D7">
        <w:rPr>
          <w:noProof/>
        </w:rPr>
        <w:t>33</w:t>
      </w:r>
      <w:r w:rsidR="006C5FF3" w:rsidRPr="00BD71DA">
        <w:fldChar w:fldCharType="end"/>
      </w:r>
      <w:bookmarkEnd w:id="55"/>
      <w:r w:rsidRPr="00BD71DA">
        <w:t>: ACTIVITIES OF DAILY LIVING IN RESIDENTIAL AGED CARE</w:t>
      </w:r>
      <w:r w:rsidR="009253DC">
        <w:rPr>
          <w:rFonts w:ascii="ZWAdobeF" w:hAnsi="ZWAdobeF" w:cs="ZWAdobeF"/>
          <w:b w:val="0"/>
          <w:color w:val="auto"/>
          <w:sz w:val="2"/>
          <w:szCs w:val="2"/>
        </w:rPr>
        <w:t>111F</w:t>
      </w:r>
      <w:r w:rsidR="00C45F2F" w:rsidRPr="00454D17">
        <w:rPr>
          <w:rStyle w:val="EndnoteReference"/>
        </w:rPr>
        <w:endnoteReference w:id="113"/>
      </w:r>
      <w:r w:rsidRPr="00454D17">
        <w:rPr>
          <w:rStyle w:val="EndnoteReference"/>
        </w:rPr>
        <w:t xml:space="preserve"> </w:t>
      </w:r>
      <w:r w:rsidR="009253DC">
        <w:rPr>
          <w:rFonts w:ascii="ZWAdobeF" w:hAnsi="ZWAdobeF" w:cs="ZWAdobeF"/>
          <w:b w:val="0"/>
          <w:color w:val="auto"/>
          <w:sz w:val="2"/>
          <w:szCs w:val="2"/>
        </w:rPr>
        <w:t>112F</w:t>
      </w:r>
      <w:r w:rsidR="0041052B" w:rsidRPr="00454D17">
        <w:rPr>
          <w:rStyle w:val="EndnoteReference"/>
        </w:rPr>
        <w:endnoteReference w:id="114"/>
      </w:r>
    </w:p>
    <w:p w14:paraId="0FEDD061" w14:textId="77777777" w:rsidR="00085E47" w:rsidRPr="00085E47" w:rsidRDefault="00CE68C2" w:rsidP="00085E47">
      <w:r>
        <w:rPr>
          <w:noProof/>
        </w:rPr>
        <w:drawing>
          <wp:inline distT="0" distB="0" distL="0" distR="0" wp14:anchorId="0885279C" wp14:editId="0CFE212B">
            <wp:extent cx="5527393" cy="5048250"/>
            <wp:effectExtent l="0" t="0" r="0" b="0"/>
            <wp:docPr id="2220" name="Picture 2220" descr="P6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Picture 2220" descr="P669#yIS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30047" cy="5050674"/>
                    </a:xfrm>
                    <a:prstGeom prst="rect">
                      <a:avLst/>
                    </a:prstGeom>
                    <a:noFill/>
                  </pic:spPr>
                </pic:pic>
              </a:graphicData>
            </a:graphic>
          </wp:inline>
        </w:drawing>
      </w:r>
    </w:p>
    <w:p w14:paraId="1A8EF4A6" w14:textId="79299C5C" w:rsidR="00956125" w:rsidRPr="00BD71DA" w:rsidRDefault="002C2C55" w:rsidP="00085E47">
      <w:pPr>
        <w:pStyle w:val="Heading2"/>
      </w:pPr>
      <w:r w:rsidRPr="00BD71DA">
        <w:lastRenderedPageBreak/>
        <w:t>A</w:t>
      </w:r>
      <w:r w:rsidR="38E908C9" w:rsidRPr="00BD71DA">
        <w:t xml:space="preserve">ctivities of </w:t>
      </w:r>
      <w:r w:rsidR="32CE130D" w:rsidRPr="00BD71DA">
        <w:t>d</w:t>
      </w:r>
      <w:r w:rsidR="38E908C9" w:rsidRPr="00BD71DA">
        <w:t xml:space="preserve">aily </w:t>
      </w:r>
      <w:r w:rsidR="32CE130D" w:rsidRPr="00BD71DA">
        <w:t>l</w:t>
      </w:r>
      <w:r w:rsidR="38E908C9" w:rsidRPr="00BD71DA">
        <w:t xml:space="preserve">iving in </w:t>
      </w:r>
      <w:r w:rsidR="32CE130D" w:rsidRPr="00BD71DA">
        <w:t>r</w:t>
      </w:r>
      <w:r w:rsidR="38E908C9" w:rsidRPr="00BD71DA">
        <w:t>esidential aged care</w:t>
      </w:r>
    </w:p>
    <w:p w14:paraId="6FAC8506" w14:textId="0E8FE313" w:rsidR="00E140DF" w:rsidRPr="001535F4" w:rsidRDefault="3DFD805B" w:rsidP="00314F78">
      <w:r w:rsidRPr="001535F4">
        <w:t xml:space="preserve">ADLs are </w:t>
      </w:r>
      <w:r w:rsidR="4985885B" w:rsidRPr="001535F4">
        <w:t xml:space="preserve">self-care activities </w:t>
      </w:r>
      <w:r w:rsidR="16CA0E42" w:rsidRPr="001535F4">
        <w:t xml:space="preserve">such as managing personal hygiene, dressing, toileting and </w:t>
      </w:r>
      <w:r w:rsidR="17B0BCAF" w:rsidRPr="001535F4">
        <w:t xml:space="preserve">eating. </w:t>
      </w:r>
      <w:r w:rsidR="7701E536" w:rsidRPr="001535F4">
        <w:t xml:space="preserve">ADLs are important to maintain independence, health status and quality of life. </w:t>
      </w:r>
      <w:r w:rsidR="3A58411F" w:rsidRPr="001535F4">
        <w:t>A</w:t>
      </w:r>
      <w:r w:rsidR="72A395DF" w:rsidRPr="001535F4">
        <w:t xml:space="preserve">ged care </w:t>
      </w:r>
      <w:r w:rsidR="7701E536" w:rsidRPr="001535F4">
        <w:t xml:space="preserve">services can </w:t>
      </w:r>
      <w:r w:rsidR="72A395DF" w:rsidRPr="001535F4">
        <w:t xml:space="preserve">assist </w:t>
      </w:r>
      <w:r w:rsidR="7701E536" w:rsidRPr="001535F4">
        <w:t xml:space="preserve">care recipients </w:t>
      </w:r>
      <w:r w:rsidR="72A395DF" w:rsidRPr="001535F4">
        <w:t xml:space="preserve">to </w:t>
      </w:r>
      <w:r w:rsidR="7701E536" w:rsidRPr="001535F4">
        <w:t>actively participate in</w:t>
      </w:r>
      <w:r w:rsidR="0FE00696" w:rsidRPr="001535F4">
        <w:t xml:space="preserve"> </w:t>
      </w:r>
      <w:r w:rsidR="7701E536" w:rsidRPr="001535F4">
        <w:t xml:space="preserve">these </w:t>
      </w:r>
      <w:r w:rsidR="057C009D" w:rsidRPr="001535F4">
        <w:t>activities</w:t>
      </w:r>
      <w:r w:rsidR="0FE00696" w:rsidRPr="001535F4">
        <w:t xml:space="preserve"> </w:t>
      </w:r>
      <w:r w:rsidR="7701E536" w:rsidRPr="001535F4">
        <w:t xml:space="preserve">to improve or maintain </w:t>
      </w:r>
      <w:r w:rsidR="009677BB" w:rsidRPr="001535F4">
        <w:t>function or</w:t>
      </w:r>
      <w:r w:rsidR="7701E536" w:rsidRPr="001535F4">
        <w:t xml:space="preserve"> </w:t>
      </w:r>
      <w:r w:rsidR="706224FF" w:rsidRPr="001535F4">
        <w:t>slow the rate of decline</w:t>
      </w:r>
      <w:r w:rsidR="12BDE38E" w:rsidRPr="001535F4">
        <w:t>.</w:t>
      </w:r>
    </w:p>
    <w:p w14:paraId="2C053353" w14:textId="35B701B7" w:rsidR="00C73491" w:rsidRPr="00BD71DA" w:rsidRDefault="346585E2" w:rsidP="00314F78">
      <w:r w:rsidRPr="00BD71DA">
        <w:t>ADLs are</w:t>
      </w:r>
      <w:r w:rsidR="3DFD805B" w:rsidRPr="00BD71DA">
        <w:t xml:space="preserve"> </w:t>
      </w:r>
      <w:r w:rsidR="1B1E44E4" w:rsidRPr="00BD71DA">
        <w:t xml:space="preserve">categorised </w:t>
      </w:r>
      <w:r w:rsidR="3DFD805B" w:rsidRPr="00BD71DA">
        <w:t xml:space="preserve">under two </w:t>
      </w:r>
      <w:r w:rsidR="49054C9A" w:rsidRPr="00BD71DA">
        <w:t>sub-grou</w:t>
      </w:r>
      <w:r w:rsidR="1080393E" w:rsidRPr="00BD71DA">
        <w:t>p</w:t>
      </w:r>
      <w:r w:rsidR="0345F9B6" w:rsidRPr="00BD71DA">
        <w:t>s</w:t>
      </w:r>
      <w:r w:rsidR="5232578D" w:rsidRPr="00BD71DA">
        <w:t>:</w:t>
      </w:r>
      <w:r w:rsidR="009253DC">
        <w:rPr>
          <w:rFonts w:ascii="ZWAdobeF" w:hAnsi="ZWAdobeF" w:cs="ZWAdobeF"/>
          <w:color w:val="auto"/>
          <w:sz w:val="2"/>
          <w:szCs w:val="2"/>
        </w:rPr>
        <w:t>113F</w:t>
      </w:r>
      <w:r w:rsidR="00F4110A" w:rsidRPr="00BD71DA">
        <w:rPr>
          <w:vertAlign w:val="superscript"/>
        </w:rPr>
        <w:endnoteReference w:id="115"/>
      </w:r>
    </w:p>
    <w:p w14:paraId="411339BB" w14:textId="77777777" w:rsidR="002B7F1A" w:rsidRPr="004A09AA" w:rsidRDefault="002B7F1A" w:rsidP="00314F78">
      <w:pPr>
        <w:sectPr w:rsidR="002B7F1A" w:rsidRPr="004A09AA" w:rsidSect="00157BB5">
          <w:headerReference w:type="default" r:id="rId177"/>
          <w:endnotePr>
            <w:numFmt w:val="decimal"/>
          </w:endnotePr>
          <w:pgSz w:w="11906" w:h="16838" w:code="9"/>
          <w:pgMar w:top="1701" w:right="1134" w:bottom="1134" w:left="1134" w:header="567" w:footer="567" w:gutter="0"/>
          <w:cols w:space="708"/>
          <w:docGrid w:linePitch="360"/>
        </w:sectPr>
      </w:pPr>
    </w:p>
    <w:p w14:paraId="5E8EC6BA" w14:textId="5EC8312B" w:rsidR="00C73491" w:rsidRPr="00D82644" w:rsidRDefault="00C73491" w:rsidP="00314F78">
      <w:pPr>
        <w:pStyle w:val="TableHeader"/>
      </w:pPr>
      <w:r w:rsidRPr="00D82644">
        <w:t>Basic</w:t>
      </w:r>
    </w:p>
    <w:p w14:paraId="266AA3AA" w14:textId="7D0A7804" w:rsidR="00C73491" w:rsidRPr="00D82644" w:rsidRDefault="00A33257" w:rsidP="00314F78">
      <w:pPr>
        <w:pStyle w:val="ListBullet"/>
      </w:pPr>
      <w:r w:rsidRPr="00D82644">
        <w:t>a</w:t>
      </w:r>
      <w:r w:rsidR="00C73491" w:rsidRPr="00D82644">
        <w:t>mbulating</w:t>
      </w:r>
      <w:r w:rsidR="00D16069" w:rsidRPr="00D82644">
        <w:t xml:space="preserve"> (walking/moving around)</w:t>
      </w:r>
    </w:p>
    <w:p w14:paraId="64157F48" w14:textId="34A7A107" w:rsidR="00C73491" w:rsidRPr="00D82644" w:rsidRDefault="00D16069" w:rsidP="00314F78">
      <w:pPr>
        <w:pStyle w:val="ListBullet"/>
      </w:pPr>
      <w:r w:rsidRPr="00D82644">
        <w:t>eating</w:t>
      </w:r>
    </w:p>
    <w:p w14:paraId="27C0D4C9" w14:textId="09BF42D8" w:rsidR="00C73491" w:rsidRPr="00D82644" w:rsidRDefault="00A33257" w:rsidP="00314F78">
      <w:pPr>
        <w:pStyle w:val="ListBullet"/>
      </w:pPr>
      <w:r w:rsidRPr="00D82644">
        <w:t>d</w:t>
      </w:r>
      <w:r w:rsidR="00C73491" w:rsidRPr="00D82644">
        <w:t>ressing</w:t>
      </w:r>
    </w:p>
    <w:p w14:paraId="2BAFDE84" w14:textId="10F8C1A1" w:rsidR="00C73491" w:rsidRPr="00D82644" w:rsidRDefault="08ED36D1" w:rsidP="00314F78">
      <w:pPr>
        <w:pStyle w:val="ListBullet"/>
      </w:pPr>
      <w:r w:rsidRPr="00D82644">
        <w:t>p</w:t>
      </w:r>
      <w:r w:rsidR="27FE6C4C" w:rsidRPr="00D82644">
        <w:t xml:space="preserve">ersonal </w:t>
      </w:r>
      <w:r w:rsidRPr="00D82644">
        <w:t>h</w:t>
      </w:r>
      <w:r w:rsidR="27FE6C4C" w:rsidRPr="00D82644">
        <w:t>ygiene</w:t>
      </w:r>
      <w:r w:rsidR="00D16069" w:rsidRPr="00D82644">
        <w:t xml:space="preserve"> (oral, hair &amp; skin care)</w:t>
      </w:r>
    </w:p>
    <w:p w14:paraId="14F829F9" w14:textId="686F10D4" w:rsidR="00C73491" w:rsidRPr="00D82644" w:rsidRDefault="00A33257" w:rsidP="00314F78">
      <w:pPr>
        <w:pStyle w:val="ListBullet"/>
      </w:pPr>
      <w:r w:rsidRPr="00D82644">
        <w:t>c</w:t>
      </w:r>
      <w:r w:rsidR="00C73491" w:rsidRPr="00D82644">
        <w:t>ontinence</w:t>
      </w:r>
    </w:p>
    <w:p w14:paraId="0F6EFBE5" w14:textId="0A8F5A11" w:rsidR="00C73491" w:rsidRPr="00D82644" w:rsidRDefault="00A33257" w:rsidP="00314F78">
      <w:pPr>
        <w:pStyle w:val="ListBullet"/>
      </w:pPr>
      <w:r w:rsidRPr="00D82644">
        <w:t>t</w:t>
      </w:r>
      <w:r w:rsidR="00C73491" w:rsidRPr="00D82644">
        <w:t>oileting</w:t>
      </w:r>
    </w:p>
    <w:p w14:paraId="4BBC99FF" w14:textId="77777777" w:rsidR="008B6705" w:rsidRPr="00C069B7" w:rsidRDefault="008B6705" w:rsidP="00C069B7"/>
    <w:p w14:paraId="6A601EA6" w14:textId="77777777" w:rsidR="008B6705" w:rsidRPr="00C069B7" w:rsidRDefault="008B6705" w:rsidP="00C069B7"/>
    <w:p w14:paraId="2FC229C7" w14:textId="1D6C9A17" w:rsidR="00C73491" w:rsidRPr="00D82644" w:rsidRDefault="00C73491" w:rsidP="00314F78">
      <w:pPr>
        <w:pStyle w:val="TableHeader"/>
      </w:pPr>
      <w:r w:rsidRPr="00D82644">
        <w:t>Instrumental</w:t>
      </w:r>
    </w:p>
    <w:p w14:paraId="46C989DD" w14:textId="387EF579" w:rsidR="00C73491" w:rsidRPr="00D82644" w:rsidRDefault="00A33257" w:rsidP="00314F78">
      <w:pPr>
        <w:pStyle w:val="ListBullet"/>
      </w:pPr>
      <w:r w:rsidRPr="00D82644">
        <w:t>t</w:t>
      </w:r>
      <w:r w:rsidR="00C73491" w:rsidRPr="00D82644">
        <w:t>ransport</w:t>
      </w:r>
    </w:p>
    <w:p w14:paraId="3CBAC392" w14:textId="799BFEBE" w:rsidR="00C73491" w:rsidRPr="00D82644" w:rsidRDefault="00A33257" w:rsidP="00314F78">
      <w:pPr>
        <w:pStyle w:val="ListBullet"/>
      </w:pPr>
      <w:r w:rsidRPr="00D82644">
        <w:t>s</w:t>
      </w:r>
      <w:r w:rsidR="00C73491" w:rsidRPr="00D82644">
        <w:t>hopping</w:t>
      </w:r>
    </w:p>
    <w:p w14:paraId="63ED7B2C" w14:textId="464B6634" w:rsidR="00C73491" w:rsidRPr="00D82644" w:rsidRDefault="00A33257" w:rsidP="00314F78">
      <w:pPr>
        <w:pStyle w:val="ListBullet"/>
      </w:pPr>
      <w:r w:rsidRPr="00D82644">
        <w:t>m</w:t>
      </w:r>
      <w:r w:rsidR="00C73491" w:rsidRPr="00D82644">
        <w:t xml:space="preserve">anaging </w:t>
      </w:r>
      <w:r w:rsidRPr="00D82644">
        <w:t>f</w:t>
      </w:r>
      <w:r w:rsidR="00C73491" w:rsidRPr="00D82644">
        <w:t>inances</w:t>
      </w:r>
    </w:p>
    <w:p w14:paraId="289B3D99" w14:textId="773C84B5" w:rsidR="00C73491" w:rsidRPr="00D82644" w:rsidRDefault="00A33257" w:rsidP="00314F78">
      <w:pPr>
        <w:pStyle w:val="ListBullet"/>
      </w:pPr>
      <w:r w:rsidRPr="00D82644">
        <w:t>m</w:t>
      </w:r>
      <w:r w:rsidR="00C73491" w:rsidRPr="00D82644">
        <w:t xml:space="preserve">eal </w:t>
      </w:r>
      <w:r w:rsidRPr="00D82644">
        <w:t>p</w:t>
      </w:r>
      <w:r w:rsidR="00C73491" w:rsidRPr="00D82644">
        <w:t>reparation</w:t>
      </w:r>
    </w:p>
    <w:p w14:paraId="6696DEA9" w14:textId="67BC0352" w:rsidR="00C73491" w:rsidRPr="00D82644" w:rsidRDefault="00A33257" w:rsidP="00314F78">
      <w:pPr>
        <w:pStyle w:val="ListBullet"/>
      </w:pPr>
      <w:r w:rsidRPr="00D82644">
        <w:t>h</w:t>
      </w:r>
      <w:r w:rsidR="00C73491" w:rsidRPr="00D82644">
        <w:t>ouse cleaning</w:t>
      </w:r>
    </w:p>
    <w:p w14:paraId="44E8EF8E" w14:textId="2EFA2562" w:rsidR="00C73491" w:rsidRPr="00D82644" w:rsidRDefault="00A33257" w:rsidP="00314F78">
      <w:pPr>
        <w:pStyle w:val="ListBullet"/>
      </w:pPr>
      <w:r w:rsidRPr="00D82644">
        <w:t>h</w:t>
      </w:r>
      <w:r w:rsidR="00C73491" w:rsidRPr="00D82644">
        <w:t xml:space="preserve">ome </w:t>
      </w:r>
      <w:r w:rsidRPr="00D82644">
        <w:t>m</w:t>
      </w:r>
      <w:r w:rsidR="00C73491" w:rsidRPr="00D82644">
        <w:t>aintenance</w:t>
      </w:r>
    </w:p>
    <w:p w14:paraId="373B0596" w14:textId="4D78E443" w:rsidR="00C73491" w:rsidRPr="00D82644" w:rsidRDefault="00A33257" w:rsidP="00314F78">
      <w:pPr>
        <w:pStyle w:val="ListBullet"/>
      </w:pPr>
      <w:r w:rsidRPr="00D82644">
        <w:t>c</w:t>
      </w:r>
      <w:r w:rsidR="00C73491" w:rsidRPr="00D82644">
        <w:t>ommunication</w:t>
      </w:r>
    </w:p>
    <w:p w14:paraId="570B86FA" w14:textId="089B2CF7" w:rsidR="002B7F1A" w:rsidRPr="00D82644" w:rsidRDefault="00A33257" w:rsidP="00314F78">
      <w:pPr>
        <w:pStyle w:val="ListBullet"/>
        <w:sectPr w:rsidR="002B7F1A" w:rsidRPr="00D82644" w:rsidSect="002B7F1A">
          <w:endnotePr>
            <w:numFmt w:val="decimal"/>
          </w:endnotePr>
          <w:type w:val="continuous"/>
          <w:pgSz w:w="11906" w:h="16838" w:code="9"/>
          <w:pgMar w:top="1701" w:right="1134" w:bottom="1134" w:left="1134" w:header="567" w:footer="567" w:gutter="0"/>
          <w:cols w:num="2" w:space="708"/>
          <w:titlePg/>
          <w:docGrid w:linePitch="360"/>
        </w:sectPr>
      </w:pPr>
      <w:r w:rsidRPr="00D82644">
        <w:t>m</w:t>
      </w:r>
      <w:r w:rsidR="00C73491" w:rsidRPr="00D82644">
        <w:t xml:space="preserve">anaging </w:t>
      </w:r>
      <w:r w:rsidRPr="00D82644">
        <w:t>m</w:t>
      </w:r>
      <w:r w:rsidR="00C73491" w:rsidRPr="00D82644">
        <w:t>edications</w:t>
      </w:r>
      <w:r w:rsidR="00523D74" w:rsidRPr="00D82644">
        <w:t>.</w:t>
      </w:r>
    </w:p>
    <w:p w14:paraId="396CE5F3" w14:textId="7BE038E6" w:rsidR="000901C5" w:rsidRPr="00314F78" w:rsidRDefault="02586D90" w:rsidP="00314F78">
      <w:r w:rsidRPr="00314F78">
        <w:t>A number of</w:t>
      </w:r>
      <w:r w:rsidR="2A9B5AAA" w:rsidRPr="00314F78">
        <w:t xml:space="preserve"> conditions </w:t>
      </w:r>
      <w:r w:rsidRPr="00314F78">
        <w:t xml:space="preserve">(e.g. dementia and Parkinson’s disease) experienced by care recipients can </w:t>
      </w:r>
      <w:r w:rsidR="7E3649DF" w:rsidRPr="00314F78">
        <w:t>cause</w:t>
      </w:r>
      <w:r w:rsidR="07D74B52" w:rsidRPr="00314F78">
        <w:t xml:space="preserve"> </w:t>
      </w:r>
      <w:r w:rsidR="4E10399A" w:rsidRPr="00314F78">
        <w:t>a</w:t>
      </w:r>
      <w:r w:rsidR="2A9B5AAA" w:rsidRPr="00314F78">
        <w:t xml:space="preserve"> decline in </w:t>
      </w:r>
      <w:r w:rsidRPr="00314F78">
        <w:t xml:space="preserve">their </w:t>
      </w:r>
      <w:r w:rsidR="4E10399A" w:rsidRPr="00314F78">
        <w:t xml:space="preserve">ability </w:t>
      </w:r>
      <w:r w:rsidR="153E513D" w:rsidRPr="00314F78">
        <w:t xml:space="preserve">to perform </w:t>
      </w:r>
      <w:r w:rsidR="2A9B5AAA" w:rsidRPr="00314F78">
        <w:t>ADL</w:t>
      </w:r>
      <w:r w:rsidR="18A87DDE" w:rsidRPr="00314F78">
        <w:t>s</w:t>
      </w:r>
      <w:r w:rsidR="2A9B5AAA" w:rsidRPr="00314F78">
        <w:t>.</w:t>
      </w:r>
      <w:r w:rsidR="009253DC">
        <w:rPr>
          <w:rFonts w:ascii="ZWAdobeF" w:hAnsi="ZWAdobeF" w:cs="ZWAdobeF"/>
          <w:color w:val="auto"/>
          <w:sz w:val="2"/>
          <w:szCs w:val="2"/>
        </w:rPr>
        <w:t>114F</w:t>
      </w:r>
      <w:r w:rsidR="00F81429" w:rsidRPr="00314F78">
        <w:endnoteReference w:id="116"/>
      </w:r>
      <w:r w:rsidR="2F6F8586" w:rsidRPr="00314F78">
        <w:t xml:space="preserve"> </w:t>
      </w:r>
      <w:r w:rsidR="2A9B5AAA" w:rsidRPr="00314F78">
        <w:t xml:space="preserve">However, </w:t>
      </w:r>
      <w:r w:rsidRPr="00314F78">
        <w:t>a decline in a care recipient</w:t>
      </w:r>
      <w:r w:rsidR="29B914B9" w:rsidRPr="00314F78">
        <w:t>’</w:t>
      </w:r>
      <w:r w:rsidRPr="00314F78">
        <w:t xml:space="preserve">s </w:t>
      </w:r>
      <w:r w:rsidR="706224FF" w:rsidRPr="00314F78">
        <w:t>function</w:t>
      </w:r>
      <w:r w:rsidR="050F297D" w:rsidRPr="00314F78">
        <w:t xml:space="preserve"> should not be considered inevitable. </w:t>
      </w:r>
      <w:r w:rsidR="3C1C2851" w:rsidRPr="00314F78">
        <w:t>It is important to appreciate that p</w:t>
      </w:r>
      <w:r w:rsidR="2A9B5AAA" w:rsidRPr="00314F78">
        <w:t>oor quality care can accelerate the rate of decline, and</w:t>
      </w:r>
      <w:r w:rsidRPr="00314F78">
        <w:t xml:space="preserve"> </w:t>
      </w:r>
      <w:r w:rsidR="2C142826" w:rsidRPr="00314F78">
        <w:t>that</w:t>
      </w:r>
      <w:r w:rsidRPr="00314F78">
        <w:t xml:space="preserve"> a</w:t>
      </w:r>
      <w:r w:rsidR="5B516911" w:rsidRPr="00314F78">
        <w:t xml:space="preserve"> </w:t>
      </w:r>
      <w:r w:rsidR="3299F888" w:rsidRPr="00314F78">
        <w:t xml:space="preserve">good </w:t>
      </w:r>
      <w:r w:rsidR="2A9B5AAA" w:rsidRPr="00314F78">
        <w:t xml:space="preserve">program of care will </w:t>
      </w:r>
      <w:r w:rsidR="147FB72C" w:rsidRPr="00314F78">
        <w:t xml:space="preserve">help </w:t>
      </w:r>
      <w:r w:rsidR="2A9B5AAA" w:rsidRPr="00314F78">
        <w:t xml:space="preserve">to </w:t>
      </w:r>
      <w:r w:rsidR="0112E35D" w:rsidRPr="00314F78">
        <w:t xml:space="preserve">maintain </w:t>
      </w:r>
      <w:r w:rsidR="2A9B5AAA" w:rsidRPr="00314F78">
        <w:t xml:space="preserve">or </w:t>
      </w:r>
      <w:r w:rsidR="127C0E8E" w:rsidRPr="00314F78">
        <w:t xml:space="preserve">potentially </w:t>
      </w:r>
      <w:r w:rsidR="2A9B5AAA" w:rsidRPr="00314F78">
        <w:t xml:space="preserve">improve </w:t>
      </w:r>
      <w:r w:rsidR="0112E35D" w:rsidRPr="00314F78">
        <w:t>independent function</w:t>
      </w:r>
      <w:r w:rsidR="2A9B5AAA" w:rsidRPr="00314F78">
        <w:t>.</w:t>
      </w:r>
      <w:r w:rsidR="009253DC">
        <w:rPr>
          <w:rFonts w:ascii="ZWAdobeF" w:hAnsi="ZWAdobeF" w:cs="ZWAdobeF"/>
          <w:color w:val="auto"/>
          <w:sz w:val="2"/>
          <w:szCs w:val="2"/>
        </w:rPr>
        <w:t>115F</w:t>
      </w:r>
      <w:r w:rsidR="000901C5" w:rsidRPr="00314F78">
        <w:endnoteReference w:id="117"/>
      </w:r>
      <w:r w:rsidR="2A9B5AAA" w:rsidRPr="00314F78">
        <w:t xml:space="preserve"> </w:t>
      </w:r>
      <w:r w:rsidR="009253DC">
        <w:rPr>
          <w:rFonts w:ascii="ZWAdobeF" w:hAnsi="ZWAdobeF" w:cs="ZWAdobeF"/>
          <w:color w:val="auto"/>
          <w:sz w:val="2"/>
          <w:szCs w:val="2"/>
        </w:rPr>
        <w:t>116F</w:t>
      </w:r>
      <w:r w:rsidR="000901C5" w:rsidRPr="00314F78">
        <w:endnoteReference w:id="118"/>
      </w:r>
      <w:r w:rsidR="2A9B5AAA" w:rsidRPr="00314F78">
        <w:t xml:space="preserve"> </w:t>
      </w:r>
      <w:r w:rsidR="009253DC">
        <w:rPr>
          <w:rFonts w:ascii="ZWAdobeF" w:hAnsi="ZWAdobeF" w:cs="ZWAdobeF"/>
          <w:color w:val="auto"/>
          <w:sz w:val="2"/>
          <w:szCs w:val="2"/>
        </w:rPr>
        <w:t>117F</w:t>
      </w:r>
      <w:r w:rsidR="000901C5" w:rsidRPr="00314F78">
        <w:endnoteReference w:id="119"/>
      </w:r>
    </w:p>
    <w:p w14:paraId="08A69DA1" w14:textId="6B1FBA91" w:rsidR="00487148" w:rsidRPr="00314F78" w:rsidRDefault="0CC624F9" w:rsidP="00314F78">
      <w:r w:rsidRPr="00314F78">
        <w:t>B</w:t>
      </w:r>
      <w:r w:rsidR="49054C9A" w:rsidRPr="00314F78">
        <w:t xml:space="preserve">asic ADLs are </w:t>
      </w:r>
      <w:r w:rsidR="4833210A" w:rsidRPr="00314F78">
        <w:t>most</w:t>
      </w:r>
      <w:r w:rsidR="49054C9A" w:rsidRPr="00314F78">
        <w:t xml:space="preserve"> relevant</w:t>
      </w:r>
      <w:r w:rsidRPr="00314F78">
        <w:t xml:space="preserve"> to residential aged care</w:t>
      </w:r>
      <w:r w:rsidR="0C3CB8A9" w:rsidRPr="00314F78">
        <w:t>,</w:t>
      </w:r>
      <w:r w:rsidR="49054C9A" w:rsidRPr="00314F78">
        <w:t xml:space="preserve"> </w:t>
      </w:r>
      <w:r w:rsidR="0C3CB8A9" w:rsidRPr="00314F78">
        <w:t xml:space="preserve">as </w:t>
      </w:r>
      <w:r w:rsidR="4A385BBA" w:rsidRPr="00314F78">
        <w:t>care recipients</w:t>
      </w:r>
      <w:r w:rsidR="3DFD805B" w:rsidRPr="00314F78">
        <w:t xml:space="preserve"> </w:t>
      </w:r>
      <w:r w:rsidRPr="00314F78">
        <w:t>in</w:t>
      </w:r>
      <w:r w:rsidR="3DFD805B" w:rsidRPr="00314F78">
        <w:t xml:space="preserve"> </w:t>
      </w:r>
      <w:r w:rsidR="4A385BBA" w:rsidRPr="00314F78">
        <w:t>r</w:t>
      </w:r>
      <w:r w:rsidR="3DFD805B" w:rsidRPr="00314F78">
        <w:t xml:space="preserve">esidential </w:t>
      </w:r>
      <w:r w:rsidR="4A385BBA" w:rsidRPr="00314F78">
        <w:t>a</w:t>
      </w:r>
      <w:r w:rsidR="3DFD805B" w:rsidRPr="00314F78">
        <w:t xml:space="preserve">ged </w:t>
      </w:r>
      <w:r w:rsidR="4A385BBA" w:rsidRPr="00314F78">
        <w:t>c</w:t>
      </w:r>
      <w:r w:rsidR="3DFD805B" w:rsidRPr="00314F78">
        <w:t xml:space="preserve">are generally </w:t>
      </w:r>
      <w:r w:rsidR="63C2BB32" w:rsidRPr="00314F78">
        <w:t xml:space="preserve">do not </w:t>
      </w:r>
      <w:r w:rsidR="3DFD805B" w:rsidRPr="00314F78">
        <w:t xml:space="preserve">maintain responsibility for </w:t>
      </w:r>
      <w:r w:rsidR="487F7EE2" w:rsidRPr="00314F78">
        <w:t xml:space="preserve">many of the instrumental </w:t>
      </w:r>
      <w:r w:rsidR="63C2BB32" w:rsidRPr="00314F78">
        <w:t>ADLs</w:t>
      </w:r>
      <w:r w:rsidR="487F7EE2" w:rsidRPr="00314F78">
        <w:t xml:space="preserve"> such as </w:t>
      </w:r>
      <w:r w:rsidR="3DFD805B" w:rsidRPr="00314F78">
        <w:t>grocery shopping, meal preparation or house cleaning</w:t>
      </w:r>
      <w:r w:rsidR="0C3CB8A9" w:rsidRPr="00314F78">
        <w:t>.</w:t>
      </w:r>
      <w:r w:rsidR="13485A6B" w:rsidRPr="00314F78">
        <w:t xml:space="preserve"> </w:t>
      </w:r>
      <w:r w:rsidR="02586D90" w:rsidRPr="00314F78">
        <w:t>Care recipients</w:t>
      </w:r>
      <w:r w:rsidR="7C6C0C75" w:rsidRPr="00314F78">
        <w:t xml:space="preserve"> should </w:t>
      </w:r>
      <w:r w:rsidR="02586D90" w:rsidRPr="00314F78">
        <w:t xml:space="preserve">be </w:t>
      </w:r>
      <w:r w:rsidR="6C1624DA" w:rsidRPr="00314F78">
        <w:t>encourage</w:t>
      </w:r>
      <w:r w:rsidR="02586D90" w:rsidRPr="00314F78">
        <w:t>d</w:t>
      </w:r>
      <w:r w:rsidR="76A5D21C" w:rsidRPr="00314F78">
        <w:t xml:space="preserve"> to contribute to these activities, </w:t>
      </w:r>
      <w:r w:rsidR="6BE8D5DA" w:rsidRPr="00314F78">
        <w:t xml:space="preserve">even </w:t>
      </w:r>
      <w:r w:rsidR="078C8E6C" w:rsidRPr="00314F78">
        <w:t xml:space="preserve">when they </w:t>
      </w:r>
      <w:r w:rsidR="02586D90" w:rsidRPr="00314F78">
        <w:t>are</w:t>
      </w:r>
      <w:r w:rsidR="078C8E6C" w:rsidRPr="00314F78">
        <w:t xml:space="preserve"> </w:t>
      </w:r>
      <w:r w:rsidR="6BE8D5DA" w:rsidRPr="00314F78">
        <w:t xml:space="preserve">only </w:t>
      </w:r>
      <w:r w:rsidR="078C8E6C" w:rsidRPr="00314F78">
        <w:t>partial</w:t>
      </w:r>
      <w:r w:rsidR="02586D90" w:rsidRPr="00314F78">
        <w:t>ly</w:t>
      </w:r>
      <w:r w:rsidR="078C8E6C" w:rsidRPr="00314F78">
        <w:t xml:space="preserve"> ab</w:t>
      </w:r>
      <w:r w:rsidR="02586D90" w:rsidRPr="00314F78">
        <w:t>le</w:t>
      </w:r>
      <w:r w:rsidR="078C8E6C" w:rsidRPr="00314F78">
        <w:t xml:space="preserve"> to do so</w:t>
      </w:r>
      <w:r w:rsidR="7C6C0C75" w:rsidRPr="00314F78">
        <w:t>.</w:t>
      </w:r>
    </w:p>
    <w:p w14:paraId="569FAC93" w14:textId="33D189F7" w:rsidR="1C644A22" w:rsidRPr="00314F78" w:rsidRDefault="007A30B6" w:rsidP="00314F78">
      <w:r w:rsidRPr="00314F78">
        <w:t xml:space="preserve">The focus of this </w:t>
      </w:r>
      <w:r w:rsidR="00413D69" w:rsidRPr="00314F78">
        <w:t>q</w:t>
      </w:r>
      <w:r w:rsidRPr="00314F78">
        <w:t xml:space="preserve">uality </w:t>
      </w:r>
      <w:r w:rsidR="00413D69" w:rsidRPr="00314F78">
        <w:t>i</w:t>
      </w:r>
      <w:r w:rsidRPr="00314F78">
        <w:t>ndicator is on basic ADLs.</w:t>
      </w:r>
    </w:p>
    <w:p w14:paraId="3EC5F611" w14:textId="77777777" w:rsidR="001535F4" w:rsidRPr="00314F78" w:rsidRDefault="001E0211" w:rsidP="00314F78">
      <w:r w:rsidRPr="00314F78">
        <w:t xml:space="preserve">Details of collection and reporting requirements for the </w:t>
      </w:r>
      <w:r w:rsidR="00413D69" w:rsidRPr="00314F78">
        <w:t>activities of daily living</w:t>
      </w:r>
      <w:r w:rsidRPr="00314F78">
        <w:t xml:space="preserve"> quality indicator can be found in Part A.</w:t>
      </w:r>
      <w:r w:rsidR="001535F4" w:rsidRPr="00314F78">
        <w:t xml:space="preserve"> </w:t>
      </w:r>
    </w:p>
    <w:p w14:paraId="398CF76C" w14:textId="0EC54AA7" w:rsidR="00C73491" w:rsidRPr="00377968" w:rsidRDefault="00744039" w:rsidP="0059348C">
      <w:pPr>
        <w:pStyle w:val="Heading2"/>
      </w:pPr>
      <w:r w:rsidRPr="00377968">
        <w:t xml:space="preserve">Causes of </w:t>
      </w:r>
      <w:r w:rsidR="00547926" w:rsidRPr="00377968">
        <w:t>d</w:t>
      </w:r>
      <w:r w:rsidRPr="00377968">
        <w:t>ecline</w:t>
      </w:r>
      <w:r w:rsidR="00C73491" w:rsidRPr="00377968">
        <w:t xml:space="preserve"> </w:t>
      </w:r>
      <w:r w:rsidR="002531AD" w:rsidRPr="00377968">
        <w:t>in activities of daily living</w:t>
      </w:r>
    </w:p>
    <w:p w14:paraId="1132C4A8" w14:textId="1AA440BE" w:rsidR="000F6AB1" w:rsidRPr="00314F78" w:rsidRDefault="00413D69" w:rsidP="00314F78">
      <w:r w:rsidRPr="00314F78">
        <w:t>ADL</w:t>
      </w:r>
      <w:r w:rsidR="00C73491" w:rsidRPr="00314F78">
        <w:t xml:space="preserve"> decline is usually associated with illness</w:t>
      </w:r>
      <w:r w:rsidR="00D33221" w:rsidRPr="00314F78">
        <w:t xml:space="preserve"> that may</w:t>
      </w:r>
      <w:r w:rsidR="00C73491" w:rsidRPr="00314F78">
        <w:t xml:space="preserve"> occur </w:t>
      </w:r>
      <w:r w:rsidR="00EA7210" w:rsidRPr="00314F78">
        <w:t xml:space="preserve">suddenly </w:t>
      </w:r>
      <w:r w:rsidR="00C73491" w:rsidRPr="00314F78">
        <w:t>(e.g. stroke</w:t>
      </w:r>
      <w:r w:rsidR="00D33221" w:rsidRPr="00314F78">
        <w:t xml:space="preserve"> or</w:t>
      </w:r>
      <w:r w:rsidR="007C1794" w:rsidRPr="00314F78">
        <w:t xml:space="preserve"> fractures</w:t>
      </w:r>
      <w:r w:rsidR="00C73491" w:rsidRPr="00314F78">
        <w:t xml:space="preserve">) or progressively (e.g. </w:t>
      </w:r>
      <w:r w:rsidR="007C1794" w:rsidRPr="00314F78">
        <w:t>dementia</w:t>
      </w:r>
      <w:r w:rsidR="00D33221" w:rsidRPr="00314F78">
        <w:t xml:space="preserve"> or</w:t>
      </w:r>
      <w:r w:rsidR="007C1794" w:rsidRPr="00314F78">
        <w:t xml:space="preserve"> </w:t>
      </w:r>
      <w:r w:rsidR="00C73491" w:rsidRPr="00314F78">
        <w:t>Parkinson’s disease)</w:t>
      </w:r>
      <w:r w:rsidR="0041430E" w:rsidRPr="00314F78">
        <w:t>.</w:t>
      </w:r>
      <w:r w:rsidR="009253DC">
        <w:rPr>
          <w:rFonts w:ascii="ZWAdobeF" w:hAnsi="ZWAdobeF" w:cs="ZWAdobeF"/>
          <w:color w:val="auto"/>
          <w:sz w:val="2"/>
          <w:szCs w:val="2"/>
        </w:rPr>
        <w:t>118F</w:t>
      </w:r>
      <w:r w:rsidR="0041430E" w:rsidRPr="00314F78">
        <w:endnoteReference w:id="120"/>
      </w:r>
      <w:r w:rsidR="00C73491" w:rsidRPr="00314F78">
        <w:t xml:space="preserve"> While many</w:t>
      </w:r>
      <w:r w:rsidR="005941CF" w:rsidRPr="00314F78">
        <w:t xml:space="preserve"> of the</w:t>
      </w:r>
      <w:r w:rsidR="00D33221" w:rsidRPr="00314F78">
        <w:t>se</w:t>
      </w:r>
      <w:r w:rsidR="00C73491" w:rsidRPr="00314F78">
        <w:t xml:space="preserve"> illnesses </w:t>
      </w:r>
      <w:r w:rsidR="006F6152" w:rsidRPr="00314F78">
        <w:t>are associated</w:t>
      </w:r>
      <w:r w:rsidR="003D5149" w:rsidRPr="00314F78">
        <w:t xml:space="preserve"> </w:t>
      </w:r>
      <w:r w:rsidR="00C73491" w:rsidRPr="00314F78">
        <w:t>with</w:t>
      </w:r>
      <w:r w:rsidR="00F35F05" w:rsidRPr="00314F78">
        <w:t xml:space="preserve"> </w:t>
      </w:r>
      <w:r w:rsidR="00013EB6" w:rsidRPr="00314F78">
        <w:t>gradual</w:t>
      </w:r>
      <w:r w:rsidR="00C73491" w:rsidRPr="00314F78">
        <w:t xml:space="preserve"> </w:t>
      </w:r>
      <w:r w:rsidR="006A5B3A" w:rsidRPr="00314F78">
        <w:t xml:space="preserve">loss of </w:t>
      </w:r>
      <w:r w:rsidR="002531AD" w:rsidRPr="00314F78">
        <w:t xml:space="preserve">ADL </w:t>
      </w:r>
      <w:r w:rsidR="003A7AD0" w:rsidRPr="00314F78">
        <w:t>function</w:t>
      </w:r>
      <w:r w:rsidR="00C73491" w:rsidRPr="00314F78">
        <w:t xml:space="preserve">, the rate of change may be </w:t>
      </w:r>
      <w:r w:rsidR="002B011C" w:rsidRPr="00314F78">
        <w:t xml:space="preserve">prevented or slowed </w:t>
      </w:r>
      <w:r w:rsidR="00C73491" w:rsidRPr="00314F78">
        <w:t>by good care and therap</w:t>
      </w:r>
      <w:r w:rsidR="006D2334" w:rsidRPr="00314F78">
        <w:t>y</w:t>
      </w:r>
      <w:r w:rsidR="00C73491" w:rsidRPr="00314F78">
        <w:t>.</w:t>
      </w:r>
      <w:r w:rsidR="009253DC">
        <w:rPr>
          <w:rFonts w:ascii="ZWAdobeF" w:hAnsi="ZWAdobeF" w:cs="ZWAdobeF"/>
          <w:color w:val="auto"/>
          <w:sz w:val="2"/>
          <w:szCs w:val="2"/>
        </w:rPr>
        <w:t>119F</w:t>
      </w:r>
      <w:r w:rsidR="00B24F1B" w:rsidRPr="00314F78">
        <w:endnoteReference w:id="121"/>
      </w:r>
      <w:r w:rsidR="00C73491" w:rsidRPr="00314F78">
        <w:t xml:space="preserve"> An important goal of care should be to improve function, </w:t>
      </w:r>
      <w:r w:rsidR="00B11ED1" w:rsidRPr="00314F78">
        <w:t xml:space="preserve">to </w:t>
      </w:r>
      <w:r w:rsidR="003A7AD0" w:rsidRPr="00314F78">
        <w:t xml:space="preserve">stabilise </w:t>
      </w:r>
      <w:r w:rsidR="00C73491" w:rsidRPr="00314F78">
        <w:t xml:space="preserve">or to slow </w:t>
      </w:r>
      <w:r w:rsidR="002531AD" w:rsidRPr="00314F78">
        <w:t>decline</w:t>
      </w:r>
      <w:r w:rsidR="00C73491" w:rsidRPr="00314F78">
        <w:t>.</w:t>
      </w:r>
    </w:p>
    <w:p w14:paraId="2F0A41A9" w14:textId="5824A902" w:rsidR="00E30E2C" w:rsidRPr="00314F78" w:rsidRDefault="00DE6087" w:rsidP="00314F78">
      <w:r w:rsidRPr="00314F78">
        <w:t xml:space="preserve">Where there has been a </w:t>
      </w:r>
      <w:r w:rsidR="009E3481" w:rsidRPr="00314F78">
        <w:t xml:space="preserve">sudden </w:t>
      </w:r>
      <w:r w:rsidRPr="00314F78">
        <w:t xml:space="preserve">decline </w:t>
      </w:r>
      <w:r w:rsidR="002531AD" w:rsidRPr="00314F78">
        <w:t>in ADL</w:t>
      </w:r>
      <w:r w:rsidR="008905B7" w:rsidRPr="00314F78">
        <w:t xml:space="preserve"> </w:t>
      </w:r>
      <w:r w:rsidR="00B11ED1" w:rsidRPr="00314F78">
        <w:t>function</w:t>
      </w:r>
      <w:r w:rsidR="000F6AB1" w:rsidRPr="00314F78">
        <w:t>,</w:t>
      </w:r>
      <w:r w:rsidR="00903B05" w:rsidRPr="00314F78">
        <w:t xml:space="preserve"> </w:t>
      </w:r>
      <w:r w:rsidR="00AF64AE" w:rsidRPr="00314F78">
        <w:t>due to</w:t>
      </w:r>
      <w:r w:rsidRPr="00314F78">
        <w:t xml:space="preserve"> an acute </w:t>
      </w:r>
      <w:r w:rsidR="003C2873" w:rsidRPr="00314F78">
        <w:t>illness or injury</w:t>
      </w:r>
      <w:r w:rsidRPr="00314F78">
        <w:t xml:space="preserve">, </w:t>
      </w:r>
      <w:r w:rsidR="002B7304" w:rsidRPr="00314F78">
        <w:t>care recipients</w:t>
      </w:r>
      <w:r w:rsidR="008A2968" w:rsidRPr="00314F78">
        <w:t xml:space="preserve"> should be supported to re</w:t>
      </w:r>
      <w:r w:rsidR="00CC31DE" w:rsidRPr="00314F78">
        <w:t>cover as much as p</w:t>
      </w:r>
      <w:r w:rsidR="00203AD4" w:rsidRPr="00314F78">
        <w:t xml:space="preserve">ossible. </w:t>
      </w:r>
      <w:r w:rsidR="003E4AEE" w:rsidRPr="00314F78">
        <w:t xml:space="preserve">This might involve a rehabilitation </w:t>
      </w:r>
      <w:r w:rsidR="00CA4703" w:rsidRPr="00314F78">
        <w:t xml:space="preserve">or restorative care program, within the </w:t>
      </w:r>
      <w:r w:rsidR="00921813" w:rsidRPr="00314F78">
        <w:t>residential aged care service</w:t>
      </w:r>
      <w:r w:rsidR="00CA4703" w:rsidRPr="00314F78">
        <w:t xml:space="preserve">, or in some cases, in a rehabilitation </w:t>
      </w:r>
      <w:r w:rsidR="00644829" w:rsidRPr="00314F78">
        <w:t>facility.</w:t>
      </w:r>
    </w:p>
    <w:p w14:paraId="1174A86B" w14:textId="77777777" w:rsidR="00E30E2C" w:rsidRPr="00FD1B87" w:rsidRDefault="00E30E2C" w:rsidP="00314F78">
      <w:r>
        <w:br w:type="page"/>
      </w:r>
    </w:p>
    <w:p w14:paraId="0F8B4F1C" w14:textId="41CD9361" w:rsidR="00C73491" w:rsidRPr="00564774" w:rsidRDefault="00D97EFD" w:rsidP="0059348C">
      <w:pPr>
        <w:pStyle w:val="Heading2"/>
      </w:pPr>
      <w:r w:rsidRPr="00564774">
        <w:lastRenderedPageBreak/>
        <w:t>Risk factors</w:t>
      </w:r>
      <w:r w:rsidR="00556979" w:rsidRPr="00564774">
        <w:t xml:space="preserve"> for decline</w:t>
      </w:r>
      <w:r w:rsidR="002531AD" w:rsidRPr="00564774">
        <w:t xml:space="preserve"> in activities of daily living</w:t>
      </w:r>
    </w:p>
    <w:p w14:paraId="730E13DA" w14:textId="2A5473EB" w:rsidR="00520049" w:rsidRPr="00314F78" w:rsidRDefault="751CFC07" w:rsidP="00314F78">
      <w:r w:rsidRPr="00314F78">
        <w:t xml:space="preserve">The majority of care recipients in </w:t>
      </w:r>
      <w:r w:rsidR="23C2FE09" w:rsidRPr="00314F78">
        <w:t xml:space="preserve">residential aged care </w:t>
      </w:r>
      <w:r w:rsidR="44AE85B6" w:rsidRPr="00314F78">
        <w:t xml:space="preserve">have limitations in </w:t>
      </w:r>
      <w:r w:rsidR="5142A282" w:rsidRPr="00314F78">
        <w:t xml:space="preserve">their </w:t>
      </w:r>
      <w:r w:rsidR="44AE85B6" w:rsidRPr="00314F78">
        <w:t>ADL</w:t>
      </w:r>
      <w:r w:rsidR="5142A282" w:rsidRPr="00314F78">
        <w:t xml:space="preserve"> function</w:t>
      </w:r>
      <w:r w:rsidR="44AE85B6" w:rsidRPr="00314F78">
        <w:t>.</w:t>
      </w:r>
      <w:r w:rsidR="009253DC">
        <w:rPr>
          <w:rFonts w:ascii="ZWAdobeF" w:hAnsi="ZWAdobeF" w:cs="ZWAdobeF"/>
          <w:color w:val="auto"/>
          <w:sz w:val="2"/>
          <w:szCs w:val="2"/>
        </w:rPr>
        <w:t>120F</w:t>
      </w:r>
      <w:r w:rsidR="00B24F1B" w:rsidRPr="00314F78">
        <w:endnoteReference w:id="122"/>
      </w:r>
      <w:r w:rsidR="26A2E65F" w:rsidRPr="00314F78">
        <w:t xml:space="preserve"> </w:t>
      </w:r>
      <w:r w:rsidR="44AE85B6" w:rsidRPr="00314F78">
        <w:t xml:space="preserve">Many have conditions associated with progressive decline. Some experience incidents that </w:t>
      </w:r>
      <w:r w:rsidR="00E4FC3A" w:rsidRPr="00314F78">
        <w:t xml:space="preserve">lead to abrupt loss of </w:t>
      </w:r>
      <w:r w:rsidR="32A9297C" w:rsidRPr="00314F78">
        <w:t xml:space="preserve">ADL </w:t>
      </w:r>
      <w:r w:rsidR="00E4FC3A" w:rsidRPr="00314F78">
        <w:t>function.</w:t>
      </w:r>
    </w:p>
    <w:p w14:paraId="37841449" w14:textId="04EFCF5F" w:rsidR="00791CD4" w:rsidRPr="00314F78" w:rsidRDefault="48FB3899" w:rsidP="00314F78">
      <w:r w:rsidRPr="00314F78">
        <w:t xml:space="preserve">However, decline in </w:t>
      </w:r>
      <w:r w:rsidR="32A9297C" w:rsidRPr="00314F78">
        <w:t>ADLs</w:t>
      </w:r>
      <w:r w:rsidRPr="00314F78">
        <w:t xml:space="preserve"> is not inevitable, and the rate of decline can be influenced by good care</w:t>
      </w:r>
      <w:r w:rsidR="5232578D" w:rsidRPr="00314F78">
        <w:t>.</w:t>
      </w:r>
      <w:r w:rsidR="009253DC">
        <w:rPr>
          <w:rFonts w:ascii="ZWAdobeF" w:hAnsi="ZWAdobeF" w:cs="ZWAdobeF"/>
          <w:color w:val="auto"/>
          <w:sz w:val="2"/>
          <w:szCs w:val="2"/>
        </w:rPr>
        <w:t>121F</w:t>
      </w:r>
      <w:r w:rsidR="005656D6" w:rsidRPr="00314F78">
        <w:endnoteReference w:id="123"/>
      </w:r>
      <w:r w:rsidR="733E8752" w:rsidRPr="00314F78">
        <w:t xml:space="preserve"> </w:t>
      </w:r>
      <w:r w:rsidR="001535F4" w:rsidRPr="00314F78">
        <w:t xml:space="preserve"> </w:t>
      </w:r>
      <w:r w:rsidR="053A20F2" w:rsidRPr="00314F78">
        <w:t xml:space="preserve">By reducing </w:t>
      </w:r>
      <w:r w:rsidR="5142A282" w:rsidRPr="00314F78">
        <w:t>or slowing</w:t>
      </w:r>
      <w:r w:rsidR="053A20F2" w:rsidRPr="00314F78">
        <w:t xml:space="preserve"> </w:t>
      </w:r>
      <w:r w:rsidR="68C75C0B" w:rsidRPr="00314F78">
        <w:t>decline, care recipients are likely to enjoy a greater propo</w:t>
      </w:r>
      <w:r w:rsidR="33B52113" w:rsidRPr="00314F78">
        <w:t xml:space="preserve">rtion of their </w:t>
      </w:r>
      <w:r w:rsidR="2F0D8C70" w:rsidRPr="00314F78">
        <w:t xml:space="preserve">lives as ‘good days’. </w:t>
      </w:r>
      <w:r w:rsidR="5142A282" w:rsidRPr="00314F78">
        <w:t xml:space="preserve">Knowing </w:t>
      </w:r>
      <w:r w:rsidR="21D6823B" w:rsidRPr="00314F78">
        <w:t xml:space="preserve">the risk factors </w:t>
      </w:r>
      <w:r w:rsidR="5142A282" w:rsidRPr="00314F78">
        <w:t>will help</w:t>
      </w:r>
      <w:r w:rsidR="21D6823B" w:rsidRPr="00314F78">
        <w:t xml:space="preserve"> identify care recipients who are </w:t>
      </w:r>
      <w:r w:rsidR="5142A282" w:rsidRPr="00314F78">
        <w:t>most likely to</w:t>
      </w:r>
      <w:r w:rsidR="21D6823B" w:rsidRPr="00314F78">
        <w:t xml:space="preserve"> experienc</w:t>
      </w:r>
      <w:r w:rsidR="5142A282" w:rsidRPr="00314F78">
        <w:t>e</w:t>
      </w:r>
      <w:r w:rsidR="21D6823B" w:rsidRPr="00314F78">
        <w:t xml:space="preserve"> decline in ADLs. </w:t>
      </w:r>
      <w:r w:rsidR="5142A282" w:rsidRPr="00314F78">
        <w:t>R</w:t>
      </w:r>
      <w:r w:rsidR="21D6823B" w:rsidRPr="00314F78">
        <w:t xml:space="preserve">isk factors associated with </w:t>
      </w:r>
      <w:r w:rsidR="4EAA1B61" w:rsidRPr="00314F78">
        <w:t>decline in ADLs</w:t>
      </w:r>
      <w:r w:rsidR="21D6823B" w:rsidRPr="00314F78">
        <w:t xml:space="preserve"> in residential aged care services are explored in </w:t>
      </w:r>
      <w:r w:rsidR="00326E7F" w:rsidRPr="00314F78">
        <w:fldChar w:fldCharType="begin" w:fldLock="1"/>
      </w:r>
      <w:r w:rsidR="00326E7F" w:rsidRPr="00314F78">
        <w:instrText xml:space="preserve"> REF _Ref105084585 \h </w:instrText>
      </w:r>
      <w:r w:rsidR="00564774" w:rsidRPr="00314F78">
        <w:instrText xml:space="preserve"> \* MERGEFORMAT </w:instrText>
      </w:r>
      <w:r w:rsidR="00326E7F" w:rsidRPr="00314F78">
        <w:fldChar w:fldCharType="separate"/>
      </w:r>
      <w:r w:rsidR="618E129D" w:rsidRPr="00314F78">
        <w:t>Figure 30</w:t>
      </w:r>
      <w:r w:rsidR="00326E7F" w:rsidRPr="00314F78">
        <w:fldChar w:fldCharType="end"/>
      </w:r>
      <w:r w:rsidR="21D6823B" w:rsidRPr="00314F78">
        <w:t>4.</w:t>
      </w:r>
    </w:p>
    <w:p w14:paraId="2BA2B034" w14:textId="1C0B94E1" w:rsidR="00B90F3D" w:rsidRPr="00564774" w:rsidRDefault="009963C6" w:rsidP="00314F78">
      <w:pPr>
        <w:pStyle w:val="Caption"/>
      </w:pPr>
      <w:bookmarkStart w:id="56" w:name="_Ref105084732"/>
      <w:r w:rsidRPr="00564774">
        <w:t>FIGURE </w:t>
      </w:r>
      <w:r w:rsidR="00B90F3D" w:rsidRPr="00564774">
        <w:fldChar w:fldCharType="begin"/>
      </w:r>
      <w:r w:rsidR="00B90F3D" w:rsidRPr="00564774">
        <w:instrText>SEQ Figure \* ARABIC</w:instrText>
      </w:r>
      <w:r w:rsidR="00B90F3D" w:rsidRPr="00564774">
        <w:fldChar w:fldCharType="separate"/>
      </w:r>
      <w:r w:rsidR="003A30D7">
        <w:rPr>
          <w:noProof/>
        </w:rPr>
        <w:t>34</w:t>
      </w:r>
      <w:r w:rsidR="00B90F3D" w:rsidRPr="00564774">
        <w:fldChar w:fldCharType="end"/>
      </w:r>
      <w:bookmarkEnd w:id="56"/>
      <w:r w:rsidRPr="00564774">
        <w:t>: RISK FACTORS FOR DECLINE IN ACTIVITIES OF DAILY LIVING</w:t>
      </w:r>
      <w:r w:rsidR="009253DC">
        <w:rPr>
          <w:rFonts w:ascii="ZWAdobeF" w:hAnsi="ZWAdobeF" w:cs="ZWAdobeF"/>
          <w:b w:val="0"/>
          <w:color w:val="auto"/>
          <w:sz w:val="2"/>
          <w:szCs w:val="2"/>
        </w:rPr>
        <w:t>122F</w:t>
      </w:r>
      <w:r w:rsidR="004F306D" w:rsidRPr="00454D17">
        <w:rPr>
          <w:rStyle w:val="EndnoteReference"/>
        </w:rPr>
        <w:endnoteReference w:id="124"/>
      </w:r>
      <w:r w:rsidRPr="00454D17">
        <w:rPr>
          <w:rStyle w:val="EndnoteReference"/>
        </w:rPr>
        <w:t xml:space="preserve"> </w:t>
      </w:r>
      <w:r w:rsidR="009253DC">
        <w:rPr>
          <w:rFonts w:ascii="ZWAdobeF" w:hAnsi="ZWAdobeF" w:cs="ZWAdobeF"/>
          <w:b w:val="0"/>
          <w:color w:val="auto"/>
          <w:sz w:val="2"/>
          <w:szCs w:val="2"/>
        </w:rPr>
        <w:t>123F</w:t>
      </w:r>
      <w:r w:rsidR="0041052B" w:rsidRPr="00454D17">
        <w:rPr>
          <w:rStyle w:val="EndnoteReference"/>
        </w:rPr>
        <w:endnoteReference w:id="125"/>
      </w:r>
    </w:p>
    <w:p w14:paraId="446904DE" w14:textId="564270C9" w:rsidR="00804675" w:rsidRPr="002765D3" w:rsidRDefault="003F5D0B" w:rsidP="00314F78">
      <w:r>
        <w:t> </w:t>
      </w:r>
      <w:r w:rsidR="00326E7F">
        <w:rPr>
          <w:noProof/>
        </w:rPr>
        <w:drawing>
          <wp:inline distT="0" distB="0" distL="0" distR="0" wp14:anchorId="020A0A55" wp14:editId="51744100">
            <wp:extent cx="5475908" cy="3832698"/>
            <wp:effectExtent l="0" t="0" r="0" b="0"/>
            <wp:docPr id="31" name="Picture 31" descr="P7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4#yIS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85309" cy="3839278"/>
                    </a:xfrm>
                    <a:prstGeom prst="rect">
                      <a:avLst/>
                    </a:prstGeom>
                    <a:noFill/>
                  </pic:spPr>
                </pic:pic>
              </a:graphicData>
            </a:graphic>
          </wp:inline>
        </w:drawing>
      </w:r>
    </w:p>
    <w:p w14:paraId="133E2595" w14:textId="1AA13DBC" w:rsidR="00483E20" w:rsidRPr="00564774" w:rsidRDefault="00804675" w:rsidP="0059348C">
      <w:pPr>
        <w:pStyle w:val="Heading2"/>
      </w:pPr>
      <w:r w:rsidRPr="00564774">
        <w:t>Adverse clinical events and activities of daily living</w:t>
      </w:r>
    </w:p>
    <w:p w14:paraId="027184CE" w14:textId="1BF864E8" w:rsidR="00F320B6" w:rsidRPr="00AD045C" w:rsidRDefault="0CC624F9" w:rsidP="00314F78">
      <w:r w:rsidRPr="00AD045C">
        <w:t xml:space="preserve">ADL </w:t>
      </w:r>
      <w:r w:rsidR="6DDB2E11" w:rsidRPr="00AD045C">
        <w:t>decline</w:t>
      </w:r>
      <w:r w:rsidR="5B0FA854" w:rsidRPr="00AD045C">
        <w:t xml:space="preserve"> </w:t>
      </w:r>
      <w:r w:rsidR="7E942705" w:rsidRPr="00AD045C">
        <w:t xml:space="preserve">has a </w:t>
      </w:r>
      <w:r w:rsidR="6DDB2E11" w:rsidRPr="00AD045C">
        <w:t>complex</w:t>
      </w:r>
      <w:r w:rsidR="7E942705" w:rsidRPr="00AD045C">
        <w:t xml:space="preserve"> impact on </w:t>
      </w:r>
      <w:r w:rsidR="7EA8EE00" w:rsidRPr="00AD045C">
        <w:t>wellbeing</w:t>
      </w:r>
      <w:r w:rsidR="0A6400D9" w:rsidRPr="00AD045C">
        <w:t xml:space="preserve"> </w:t>
      </w:r>
      <w:r w:rsidR="6DDB2E11" w:rsidRPr="00AD045C">
        <w:t>and</w:t>
      </w:r>
      <w:r w:rsidR="1A06F8BF" w:rsidRPr="00AD045C">
        <w:t xml:space="preserve"> is associated with a loss of independence</w:t>
      </w:r>
      <w:r w:rsidR="6DDB2E11" w:rsidRPr="00AD045C">
        <w:t>.</w:t>
      </w:r>
      <w:r w:rsidR="26A2E65F" w:rsidRPr="00AD045C">
        <w:t xml:space="preserve"> </w:t>
      </w:r>
      <w:r w:rsidR="431FC0A2" w:rsidRPr="00AD045C">
        <w:t xml:space="preserve">This may result in </w:t>
      </w:r>
      <w:r w:rsidR="1A06F8BF" w:rsidRPr="00AD045C">
        <w:t xml:space="preserve">increased reliance on </w:t>
      </w:r>
      <w:r w:rsidR="71B9CD8A" w:rsidRPr="00AD045C">
        <w:t>people</w:t>
      </w:r>
      <w:r w:rsidR="1A06F8BF" w:rsidRPr="00AD045C">
        <w:t xml:space="preserve"> or technology</w:t>
      </w:r>
      <w:r w:rsidR="62C5BC10" w:rsidRPr="00AD045C">
        <w:t xml:space="preserve"> to maintain </w:t>
      </w:r>
      <w:r w:rsidR="0C3CB8A9" w:rsidRPr="00AD045C">
        <w:t>q</w:t>
      </w:r>
      <w:r w:rsidR="62C5BC10" w:rsidRPr="00AD045C">
        <w:t xml:space="preserve">uality of </w:t>
      </w:r>
      <w:r w:rsidR="0C3CB8A9" w:rsidRPr="00AD045C">
        <w:t>l</w:t>
      </w:r>
      <w:r w:rsidR="62C5BC10" w:rsidRPr="00AD045C">
        <w:t>ife, wellbeing</w:t>
      </w:r>
      <w:r w:rsidR="7D73FD7E" w:rsidRPr="00AD045C">
        <w:t>,</w:t>
      </w:r>
      <w:r w:rsidR="62C5BC10" w:rsidRPr="00AD045C">
        <w:t xml:space="preserve"> and safety. </w:t>
      </w:r>
      <w:r w:rsidR="65A0F39A" w:rsidRPr="00AD045C">
        <w:t xml:space="preserve">Early detection of decline </w:t>
      </w:r>
      <w:r w:rsidR="32A9297C" w:rsidRPr="00AD045C">
        <w:t xml:space="preserve">in ADLs </w:t>
      </w:r>
      <w:r w:rsidR="65A0F39A" w:rsidRPr="00AD045C">
        <w:t>leads to improved outcomes, slowing</w:t>
      </w:r>
      <w:r w:rsidR="6DDB2E11" w:rsidRPr="00AD045C">
        <w:t xml:space="preserve">, </w:t>
      </w:r>
      <w:r w:rsidR="2E1910BF" w:rsidRPr="00AD045C">
        <w:t>stopping,</w:t>
      </w:r>
      <w:r w:rsidR="6DDB2E11" w:rsidRPr="00AD045C">
        <w:t xml:space="preserve"> or reversing</w:t>
      </w:r>
      <w:r w:rsidR="65A0F39A" w:rsidRPr="00AD045C">
        <w:t xml:space="preserve"> progression</w:t>
      </w:r>
      <w:r w:rsidR="77205473" w:rsidRPr="00AD045C">
        <w:t>,</w:t>
      </w:r>
      <w:r w:rsidR="65A0F39A" w:rsidRPr="00AD045C">
        <w:t xml:space="preserve"> and avoiding consequences such as:</w:t>
      </w:r>
    </w:p>
    <w:p w14:paraId="063CE272" w14:textId="07D9E82F" w:rsidR="00934D5D" w:rsidRPr="00D82644" w:rsidRDefault="002B7304" w:rsidP="00314F78">
      <w:pPr>
        <w:pStyle w:val="ListBullet"/>
      </w:pPr>
      <w:r w:rsidRPr="00D82644">
        <w:t>l</w:t>
      </w:r>
      <w:r w:rsidR="00BD7F6F" w:rsidRPr="00D82644">
        <w:t>oss of mobility</w:t>
      </w:r>
    </w:p>
    <w:p w14:paraId="34698916" w14:textId="4F50F5B5" w:rsidR="008B1D13" w:rsidRPr="00D82644" w:rsidRDefault="002B7304" w:rsidP="00314F78">
      <w:pPr>
        <w:pStyle w:val="ListBullet"/>
      </w:pPr>
      <w:r w:rsidRPr="00D82644">
        <w:t>c</w:t>
      </w:r>
      <w:r w:rsidR="008C0DFE" w:rsidRPr="00D82644">
        <w:t xml:space="preserve">onfusion </w:t>
      </w:r>
      <w:r w:rsidR="008B1D13" w:rsidRPr="00D82644">
        <w:t>and discomfort with change of living environments</w:t>
      </w:r>
    </w:p>
    <w:p w14:paraId="7F597546" w14:textId="2215A564" w:rsidR="008B1D13" w:rsidRPr="00D82644" w:rsidRDefault="002B7304" w:rsidP="00314F78">
      <w:pPr>
        <w:pStyle w:val="ListBullet"/>
      </w:pPr>
      <w:r w:rsidRPr="00D82644">
        <w:t>i</w:t>
      </w:r>
      <w:r w:rsidR="008B1D13" w:rsidRPr="00D82644">
        <w:t>ncreasing level of care needs</w:t>
      </w:r>
    </w:p>
    <w:p w14:paraId="44EA46CD" w14:textId="0A08A04B" w:rsidR="008B1D13" w:rsidRPr="00D82644" w:rsidRDefault="002B7304" w:rsidP="00314F78">
      <w:pPr>
        <w:pStyle w:val="ListBullet"/>
      </w:pPr>
      <w:r w:rsidRPr="00D82644">
        <w:lastRenderedPageBreak/>
        <w:t>i</w:t>
      </w:r>
      <w:r w:rsidR="002465B4" w:rsidRPr="00D82644">
        <w:t>ncreased hospitalisation</w:t>
      </w:r>
    </w:p>
    <w:p w14:paraId="40DDB918" w14:textId="00E14E56" w:rsidR="002465B4" w:rsidRPr="00D82644" w:rsidRDefault="002B7304" w:rsidP="00314F78">
      <w:pPr>
        <w:pStyle w:val="ListBullet"/>
      </w:pPr>
      <w:r w:rsidRPr="00D82644">
        <w:t>d</w:t>
      </w:r>
      <w:r w:rsidR="008B1D13" w:rsidRPr="00D82644">
        <w:t>epression</w:t>
      </w:r>
      <w:r w:rsidR="002465B4" w:rsidRPr="00D82644">
        <w:t>, withdrawal,</w:t>
      </w:r>
      <w:r w:rsidR="008B1D13" w:rsidRPr="00D82644">
        <w:t xml:space="preserve"> and social </w:t>
      </w:r>
      <w:r w:rsidR="00230118" w:rsidRPr="00D82644">
        <w:t>i</w:t>
      </w:r>
      <w:r w:rsidR="008B1D13" w:rsidRPr="00D82644">
        <w:t>solation</w:t>
      </w:r>
    </w:p>
    <w:p w14:paraId="2E1F72B8" w14:textId="27ECA85B" w:rsidR="00F45B48" w:rsidRPr="00D82644" w:rsidRDefault="002B7304" w:rsidP="00314F78">
      <w:pPr>
        <w:pStyle w:val="ListBullet"/>
      </w:pPr>
      <w:r w:rsidRPr="00D82644">
        <w:t>d</w:t>
      </w:r>
      <w:r w:rsidR="00F45B48" w:rsidRPr="00D82644">
        <w:t>elirium</w:t>
      </w:r>
    </w:p>
    <w:p w14:paraId="36202A89" w14:textId="77777777" w:rsidR="006C1F9D" w:rsidRPr="00D82644" w:rsidRDefault="002B7304" w:rsidP="00314F78">
      <w:pPr>
        <w:pStyle w:val="ListBullet"/>
      </w:pPr>
      <w:r w:rsidRPr="00D82644">
        <w:t>m</w:t>
      </w:r>
      <w:r w:rsidR="00BD7F6F" w:rsidRPr="00D82644">
        <w:t>alnutrition</w:t>
      </w:r>
    </w:p>
    <w:p w14:paraId="51B5D6C6" w14:textId="77777777" w:rsidR="00BD7F6F" w:rsidRDefault="006C1F9D" w:rsidP="00314F78">
      <w:pPr>
        <w:pStyle w:val="ListBullet"/>
      </w:pPr>
      <w:r w:rsidRPr="00D82644">
        <w:t>incontinence</w:t>
      </w:r>
      <w:r w:rsidR="002B7304" w:rsidRPr="00D82644">
        <w:t>.</w:t>
      </w:r>
    </w:p>
    <w:p w14:paraId="7B9F92D0" w14:textId="77777777" w:rsidR="00670E50" w:rsidRPr="00670E50" w:rsidRDefault="00670E50" w:rsidP="00314F78"/>
    <w:p w14:paraId="1CE24E6E" w14:textId="706301A5" w:rsidR="00BD7F6F" w:rsidRPr="00670E50" w:rsidRDefault="00BD7F6F" w:rsidP="00314F78">
      <w:pPr>
        <w:sectPr w:rsidR="00BD7F6F" w:rsidRPr="00670E50" w:rsidSect="00E30E2C">
          <w:headerReference w:type="even" r:id="rId179"/>
          <w:headerReference w:type="first" r:id="rId180"/>
          <w:endnotePr>
            <w:numFmt w:val="decimal"/>
          </w:endnotePr>
          <w:type w:val="continuous"/>
          <w:pgSz w:w="11906" w:h="16838" w:code="9"/>
          <w:pgMar w:top="1440" w:right="1440" w:bottom="1440" w:left="1440" w:header="709" w:footer="709" w:gutter="0"/>
          <w:cols w:space="708"/>
          <w:docGrid w:linePitch="360"/>
        </w:sectPr>
      </w:pPr>
    </w:p>
    <w:p w14:paraId="39A82100" w14:textId="6D812959" w:rsidR="00114442" w:rsidRPr="00564774" w:rsidRDefault="00114442" w:rsidP="0059348C">
      <w:pPr>
        <w:pStyle w:val="Heading2"/>
      </w:pPr>
      <w:r w:rsidRPr="00564774">
        <w:lastRenderedPageBreak/>
        <w:t xml:space="preserve">Prevention and </w:t>
      </w:r>
      <w:r w:rsidR="00940534" w:rsidRPr="00564774">
        <w:t>m</w:t>
      </w:r>
      <w:r w:rsidRPr="00564774">
        <w:t xml:space="preserve">anagement of </w:t>
      </w:r>
      <w:r w:rsidR="00940534" w:rsidRPr="00564774">
        <w:t>d</w:t>
      </w:r>
      <w:r w:rsidRPr="00564774">
        <w:t>ecline</w:t>
      </w:r>
      <w:r w:rsidR="002531AD" w:rsidRPr="00564774">
        <w:t xml:space="preserve"> in activities of daily</w:t>
      </w:r>
      <w:r w:rsidR="00812ECC" w:rsidRPr="00564774">
        <w:t> </w:t>
      </w:r>
      <w:r w:rsidR="002531AD" w:rsidRPr="00564774">
        <w:t>living</w:t>
      </w:r>
    </w:p>
    <w:p w14:paraId="41DFF347" w14:textId="45513D99" w:rsidR="006D2A6B" w:rsidRPr="00564774" w:rsidRDefault="00421BDA" w:rsidP="00314F78">
      <w:r w:rsidRPr="00564774">
        <w:t>ADL</w:t>
      </w:r>
      <w:r w:rsidR="005B378D" w:rsidRPr="00564774">
        <w:t xml:space="preserve"> decline </w:t>
      </w:r>
      <w:r w:rsidR="00D10059" w:rsidRPr="00564774">
        <w:t xml:space="preserve">can </w:t>
      </w:r>
      <w:r w:rsidR="005B378D" w:rsidRPr="00564774">
        <w:t>e</w:t>
      </w:r>
      <w:r w:rsidR="00ED3F22" w:rsidRPr="00564774">
        <w:t xml:space="preserve">volve </w:t>
      </w:r>
      <w:r w:rsidR="00916885" w:rsidRPr="00564774">
        <w:t xml:space="preserve">in two </w:t>
      </w:r>
      <w:r w:rsidR="00810C9E" w:rsidRPr="00564774">
        <w:t>ways</w:t>
      </w:r>
      <w:r w:rsidR="00916885" w:rsidRPr="00564774">
        <w:t>:</w:t>
      </w:r>
    </w:p>
    <w:p w14:paraId="1D42032D" w14:textId="0CD92C03" w:rsidR="006D2A6B" w:rsidRPr="00564774" w:rsidRDefault="00243676" w:rsidP="00314F78">
      <w:pPr>
        <w:pStyle w:val="ListBullet"/>
      </w:pPr>
      <w:r w:rsidRPr="00564774">
        <w:rPr>
          <w:rStyle w:val="Strong"/>
        </w:rPr>
        <w:t>Gradual</w:t>
      </w:r>
      <w:r w:rsidRPr="00564774">
        <w:t xml:space="preserve"> loss: </w:t>
      </w:r>
      <w:r w:rsidR="00112F10" w:rsidRPr="00564774">
        <w:t>independence is lost progressively</w:t>
      </w:r>
      <w:r w:rsidR="00916885" w:rsidRPr="00564774">
        <w:t xml:space="preserve">, usually </w:t>
      </w:r>
      <w:r w:rsidR="00FA499C" w:rsidRPr="00564774">
        <w:t>due to</w:t>
      </w:r>
      <w:r w:rsidR="00916885" w:rsidRPr="00564774">
        <w:t xml:space="preserve"> one or several degenerative disorders </w:t>
      </w:r>
      <w:r w:rsidR="00C1251D" w:rsidRPr="00564774">
        <w:t xml:space="preserve">(e.g. </w:t>
      </w:r>
      <w:r w:rsidR="00A138F7" w:rsidRPr="00564774">
        <w:t>dementia</w:t>
      </w:r>
      <w:r w:rsidR="00D10059" w:rsidRPr="00564774">
        <w:t xml:space="preserve"> or </w:t>
      </w:r>
      <w:r w:rsidR="00A138F7" w:rsidRPr="00564774">
        <w:t>osteoarthritis)</w:t>
      </w:r>
    </w:p>
    <w:p w14:paraId="77027617" w14:textId="132EF6B5" w:rsidR="00C72D03" w:rsidRPr="00564774" w:rsidRDefault="00FE3364" w:rsidP="00314F78">
      <w:pPr>
        <w:pStyle w:val="ListBullet"/>
      </w:pPr>
      <w:r w:rsidRPr="00564774">
        <w:rPr>
          <w:rStyle w:val="Strong"/>
        </w:rPr>
        <w:t>Sudden</w:t>
      </w:r>
      <w:r w:rsidR="00D5617D" w:rsidRPr="00564774">
        <w:t xml:space="preserve"> loss</w:t>
      </w:r>
      <w:r w:rsidRPr="00564774">
        <w:t>: a major health event</w:t>
      </w:r>
      <w:r w:rsidR="000A7582" w:rsidRPr="00564774">
        <w:t xml:space="preserve"> results in a loss</w:t>
      </w:r>
      <w:r w:rsidR="00D5617D" w:rsidRPr="00564774">
        <w:t xml:space="preserve"> of </w:t>
      </w:r>
      <w:r w:rsidR="00903B05" w:rsidRPr="00564774">
        <w:t xml:space="preserve">ADL </w:t>
      </w:r>
      <w:r w:rsidR="00D5617D" w:rsidRPr="00564774">
        <w:t>function</w:t>
      </w:r>
      <w:r w:rsidR="000A7582" w:rsidRPr="00564774">
        <w:t xml:space="preserve"> </w:t>
      </w:r>
      <w:r w:rsidR="001949F3" w:rsidRPr="00564774">
        <w:t>often</w:t>
      </w:r>
      <w:r w:rsidR="000A7582" w:rsidRPr="00564774">
        <w:t xml:space="preserve"> </w:t>
      </w:r>
      <w:r w:rsidR="00D5617D" w:rsidRPr="00564774">
        <w:t xml:space="preserve">with </w:t>
      </w:r>
      <w:r w:rsidR="00C147FA" w:rsidRPr="00564774">
        <w:t xml:space="preserve">only partial </w:t>
      </w:r>
      <w:r w:rsidR="00D5617D" w:rsidRPr="00564774">
        <w:t>recovery (e.g. stroke,</w:t>
      </w:r>
      <w:r w:rsidR="00D10059" w:rsidRPr="00564774">
        <w:t xml:space="preserve"> </w:t>
      </w:r>
      <w:r w:rsidR="00520049" w:rsidRPr="00564774">
        <w:t>falls</w:t>
      </w:r>
      <w:r w:rsidR="00D10059" w:rsidRPr="00564774">
        <w:t xml:space="preserve"> or </w:t>
      </w:r>
      <w:r w:rsidR="00E27E55" w:rsidRPr="00564774">
        <w:t>pneumonia).</w:t>
      </w:r>
    </w:p>
    <w:p w14:paraId="097D87D1" w14:textId="071BACCF" w:rsidR="004B12D1" w:rsidRPr="00564774" w:rsidRDefault="5779C7EC" w:rsidP="00314F78">
      <w:r w:rsidRPr="00564774">
        <w:t xml:space="preserve">Awareness of </w:t>
      </w:r>
      <w:r w:rsidR="7F619D49" w:rsidRPr="00564774">
        <w:t xml:space="preserve">risk factors and some simple steps can slow </w:t>
      </w:r>
      <w:r w:rsidR="32A9297C" w:rsidRPr="00564774">
        <w:t xml:space="preserve">ADL </w:t>
      </w:r>
      <w:r w:rsidRPr="00564774">
        <w:t xml:space="preserve">decline and improve quality of life. </w:t>
      </w:r>
      <w:r w:rsidR="5F5A77F9" w:rsidRPr="00564774">
        <w:t>ADL performance should be closely monitored and recorded</w:t>
      </w:r>
      <w:r w:rsidR="34D6463C" w:rsidRPr="00564774">
        <w:t xml:space="preserve">. </w:t>
      </w:r>
      <w:r w:rsidR="1CFCB7E1" w:rsidRPr="00564774">
        <w:t xml:space="preserve">Review should </w:t>
      </w:r>
      <w:r w:rsidR="4EAA1B61" w:rsidRPr="00564774">
        <w:t xml:space="preserve">occur </w:t>
      </w:r>
      <w:r w:rsidR="247635D9" w:rsidRPr="00564774">
        <w:t xml:space="preserve">regularly </w:t>
      </w:r>
      <w:r w:rsidR="34D6463C" w:rsidRPr="00564774">
        <w:t xml:space="preserve">each time the </w:t>
      </w:r>
      <w:r w:rsidR="7584BE8F" w:rsidRPr="00564774">
        <w:t xml:space="preserve">person’s </w:t>
      </w:r>
      <w:r w:rsidR="34D6463C" w:rsidRPr="00564774">
        <w:t xml:space="preserve">care plan is reviewed </w:t>
      </w:r>
      <w:r w:rsidR="46C1C8E8" w:rsidRPr="00564774">
        <w:t xml:space="preserve">and </w:t>
      </w:r>
      <w:r w:rsidR="481B370F" w:rsidRPr="00564774">
        <w:t xml:space="preserve">when their health status </w:t>
      </w:r>
      <w:r w:rsidR="29640777" w:rsidRPr="00564774">
        <w:t>changes, e.g.</w:t>
      </w:r>
      <w:r w:rsidR="12EB2180" w:rsidRPr="00564774">
        <w:t xml:space="preserve"> following a serious illness or injury. </w:t>
      </w:r>
      <w:r w:rsidR="620684C4" w:rsidRPr="00564774">
        <w:t xml:space="preserve">Any change in </w:t>
      </w:r>
      <w:r w:rsidR="32A9297C" w:rsidRPr="00564774">
        <w:t xml:space="preserve">ADL </w:t>
      </w:r>
      <w:r w:rsidR="620684C4" w:rsidRPr="00564774">
        <w:t>performance</w:t>
      </w:r>
      <w:r w:rsidR="2D172159" w:rsidRPr="00564774">
        <w:t xml:space="preserve"> should prompt consideration of </w:t>
      </w:r>
      <w:r w:rsidR="49ED8671" w:rsidRPr="00564774">
        <w:t xml:space="preserve">strategies to slow decline </w:t>
      </w:r>
      <w:r w:rsidR="29640777" w:rsidRPr="00564774">
        <w:t>and/</w:t>
      </w:r>
      <w:r w:rsidR="49ED8671" w:rsidRPr="00564774">
        <w:t>or promote recovery.</w:t>
      </w:r>
      <w:r w:rsidR="34800527" w:rsidRPr="00564774">
        <w:t xml:space="preserve"> </w:t>
      </w:r>
      <w:r w:rsidR="27488FE6" w:rsidRPr="00564774">
        <w:t>In the ca</w:t>
      </w:r>
      <w:r w:rsidR="43B37C38" w:rsidRPr="00564774">
        <w:t>s</w:t>
      </w:r>
      <w:r w:rsidR="27488FE6" w:rsidRPr="00564774">
        <w:t xml:space="preserve">e of sudden </w:t>
      </w:r>
      <w:r w:rsidR="32A9297C" w:rsidRPr="00564774">
        <w:t xml:space="preserve">ADL </w:t>
      </w:r>
      <w:r w:rsidR="0655DD95" w:rsidRPr="00564774">
        <w:t>decline</w:t>
      </w:r>
      <w:r w:rsidR="27488FE6" w:rsidRPr="00564774">
        <w:t>, there is a need for careful assessment and prescription of rehabilitati</w:t>
      </w:r>
      <w:r w:rsidR="596458E1" w:rsidRPr="00564774">
        <w:t>ve</w:t>
      </w:r>
      <w:r w:rsidR="27488FE6" w:rsidRPr="00564774">
        <w:t xml:space="preserve"> strategies for recovery</w:t>
      </w:r>
      <w:r w:rsidR="65A335D1" w:rsidRPr="00564774">
        <w:t>.</w:t>
      </w:r>
      <w:r w:rsidR="009253DC">
        <w:rPr>
          <w:rFonts w:ascii="ZWAdobeF" w:hAnsi="ZWAdobeF" w:cs="ZWAdobeF"/>
          <w:color w:val="auto"/>
          <w:sz w:val="2"/>
          <w:szCs w:val="2"/>
        </w:rPr>
        <w:t>124F</w:t>
      </w:r>
      <w:r w:rsidR="00E77107" w:rsidRPr="00AC7E48">
        <w:rPr>
          <w:vertAlign w:val="superscript"/>
        </w:rPr>
        <w:endnoteReference w:id="126"/>
      </w:r>
    </w:p>
    <w:p w14:paraId="0E1D94CA" w14:textId="6EAD3CD5" w:rsidR="007E6CDA" w:rsidRPr="00564774" w:rsidRDefault="007648B9" w:rsidP="00314F78">
      <w:r w:rsidRPr="00564774">
        <w:t>Specific interventions targeted at encouraging mobility</w:t>
      </w:r>
      <w:r w:rsidR="00FA04A4" w:rsidRPr="00564774">
        <w:t xml:space="preserve"> and promoting independence </w:t>
      </w:r>
      <w:r w:rsidR="005A2B1C" w:rsidRPr="00564774">
        <w:t>can improve outcomes, including:</w:t>
      </w:r>
    </w:p>
    <w:p w14:paraId="6F384326" w14:textId="4BC1271D" w:rsidR="005A2B1C" w:rsidRPr="00564774" w:rsidRDefault="3CE76DE5" w:rsidP="00314F78">
      <w:pPr>
        <w:pStyle w:val="ListBullet"/>
      </w:pPr>
      <w:r w:rsidRPr="00564774">
        <w:rPr>
          <w:rStyle w:val="Strong"/>
        </w:rPr>
        <w:t>Physical rehabilitation</w:t>
      </w:r>
      <w:r w:rsidR="5BC0C095" w:rsidRPr="00564774">
        <w:rPr>
          <w:rStyle w:val="Strong"/>
        </w:rPr>
        <w:t xml:space="preserve"> and reablement</w:t>
      </w:r>
      <w:r w:rsidR="6073A5B9" w:rsidRPr="00564774">
        <w:t>:</w:t>
      </w:r>
      <w:r w:rsidR="009253DC">
        <w:rPr>
          <w:rFonts w:ascii="ZWAdobeF" w:hAnsi="ZWAdobeF" w:cs="ZWAdobeF"/>
          <w:sz w:val="2"/>
          <w:szCs w:val="2"/>
        </w:rPr>
        <w:t>125F</w:t>
      </w:r>
      <w:r w:rsidR="0041430E" w:rsidRPr="00517432">
        <w:rPr>
          <w:rStyle w:val="EndnoteReference"/>
        </w:rPr>
        <w:endnoteReference w:id="127"/>
      </w:r>
      <w:r w:rsidR="1104B5B3" w:rsidRPr="00517432">
        <w:rPr>
          <w:rStyle w:val="EndnoteReference"/>
        </w:rPr>
        <w:t xml:space="preserve"> </w:t>
      </w:r>
      <w:r w:rsidR="763B511B" w:rsidRPr="00564774">
        <w:t xml:space="preserve">Rehabilitation can </w:t>
      </w:r>
      <w:r w:rsidR="2215C84C" w:rsidRPr="00564774">
        <w:t>restore</w:t>
      </w:r>
      <w:r w:rsidR="763B511B" w:rsidRPr="00564774">
        <w:t xml:space="preserve"> </w:t>
      </w:r>
      <w:r w:rsidR="32A9297C" w:rsidRPr="00564774">
        <w:t xml:space="preserve">ADL </w:t>
      </w:r>
      <w:r w:rsidR="0D78269D" w:rsidRPr="00564774">
        <w:t>function</w:t>
      </w:r>
      <w:r w:rsidR="763B511B" w:rsidRPr="00564774">
        <w:t xml:space="preserve"> and minimise adverse events</w:t>
      </w:r>
      <w:r w:rsidR="7F619D49" w:rsidRPr="00564774">
        <w:t>. Interventions</w:t>
      </w:r>
      <w:r w:rsidR="393F6DD9" w:rsidRPr="00564774">
        <w:t xml:space="preserve"> should be designed according to current best-practice for maximum sustainability, cost-effectiveness and suitability. </w:t>
      </w:r>
      <w:r w:rsidR="6831EADF" w:rsidRPr="00564774">
        <w:t>Rehabilitation is critically important for care recipients who sustain an injury or experience a major medical illness.</w:t>
      </w:r>
    </w:p>
    <w:p w14:paraId="6F11DE9D" w14:textId="4C0659ED" w:rsidR="000142A3" w:rsidRPr="00564774" w:rsidRDefault="751BBEB1" w:rsidP="00314F78">
      <w:pPr>
        <w:pStyle w:val="ListBullet"/>
      </w:pPr>
      <w:r w:rsidRPr="00564774">
        <w:rPr>
          <w:rStyle w:val="Strong"/>
        </w:rPr>
        <w:t xml:space="preserve">Specialist </w:t>
      </w:r>
      <w:r w:rsidR="6073A5B9" w:rsidRPr="00564774">
        <w:rPr>
          <w:rStyle w:val="Strong"/>
        </w:rPr>
        <w:t>c</w:t>
      </w:r>
      <w:r w:rsidRPr="00564774">
        <w:rPr>
          <w:rStyle w:val="Strong"/>
        </w:rPr>
        <w:t>are</w:t>
      </w:r>
      <w:r w:rsidR="6073A5B9" w:rsidRPr="00564774">
        <w:t>:</w:t>
      </w:r>
      <w:r w:rsidR="009253DC">
        <w:rPr>
          <w:rFonts w:ascii="ZWAdobeF" w:hAnsi="ZWAdobeF" w:cs="ZWAdobeF"/>
          <w:sz w:val="2"/>
          <w:szCs w:val="2"/>
        </w:rPr>
        <w:t>126F</w:t>
      </w:r>
      <w:r w:rsidR="004521ED" w:rsidRPr="00517432">
        <w:rPr>
          <w:rStyle w:val="EndnoteReference"/>
        </w:rPr>
        <w:endnoteReference w:id="128"/>
      </w:r>
      <w:r w:rsidRPr="00517432">
        <w:rPr>
          <w:rStyle w:val="EndnoteReference"/>
        </w:rPr>
        <w:t xml:space="preserve"> </w:t>
      </w:r>
      <w:r w:rsidR="6D7CAD57" w:rsidRPr="00564774">
        <w:t xml:space="preserve">Consultation with </w:t>
      </w:r>
      <w:r w:rsidR="3E62E5E7" w:rsidRPr="00564774">
        <w:t xml:space="preserve">geriatricians or other external specialists </w:t>
      </w:r>
      <w:r w:rsidR="32A9297C" w:rsidRPr="00564774">
        <w:t>will</w:t>
      </w:r>
      <w:r w:rsidR="3E62E5E7" w:rsidRPr="00564774">
        <w:t xml:space="preserve"> inform </w:t>
      </w:r>
      <w:r w:rsidR="32A9297C" w:rsidRPr="00564774">
        <w:t xml:space="preserve">ongoing care, </w:t>
      </w:r>
      <w:r w:rsidR="78B6F297" w:rsidRPr="00564774">
        <w:t xml:space="preserve">preventive </w:t>
      </w:r>
      <w:r w:rsidR="32A9297C" w:rsidRPr="00564774">
        <w:t>programs and</w:t>
      </w:r>
      <w:r w:rsidR="78B6F297" w:rsidRPr="00564774">
        <w:t xml:space="preserve"> recovery programs</w:t>
      </w:r>
      <w:r w:rsidR="6DB6BEBE" w:rsidRPr="00564774">
        <w:t>.</w:t>
      </w:r>
    </w:p>
    <w:p w14:paraId="15D26D12" w14:textId="2AB4C37F" w:rsidR="008A7FEB" w:rsidRPr="00564774" w:rsidRDefault="3E0C58F1" w:rsidP="00314F78">
      <w:pPr>
        <w:pStyle w:val="ListBullet"/>
      </w:pPr>
      <w:r w:rsidRPr="00564774">
        <w:rPr>
          <w:rStyle w:val="Strong"/>
        </w:rPr>
        <w:t xml:space="preserve">Early identification and </w:t>
      </w:r>
      <w:r w:rsidR="786BF832" w:rsidRPr="00564774">
        <w:rPr>
          <w:rStyle w:val="Strong"/>
        </w:rPr>
        <w:t>assessment</w:t>
      </w:r>
      <w:r w:rsidR="6073A5B9" w:rsidRPr="00564774">
        <w:t>:</w:t>
      </w:r>
      <w:r w:rsidR="00C57709" w:rsidRPr="00564774">
        <w:rPr>
          <w:vertAlign w:val="superscript"/>
        </w:rPr>
        <w:fldChar w:fldCharType="begin"/>
      </w:r>
      <w:r w:rsidR="00C57709" w:rsidRPr="00564774">
        <w:rPr>
          <w:vertAlign w:val="superscript"/>
        </w:rPr>
        <w:instrText xml:space="preserve"> ADDIN ZOTERO_ITEM CSL_CITATION {"citationID":"BfWreIhK","properties":{"formattedCitation":"(9)","plainCitation":"(9)","noteIndex":0},"citationItems":[{"id":4003,"uris":["http://zotero.org/users/8870508/items/3FYI5KEX"],"itemData":{"id":4003,"type":"article-journal","container-title":"Journal of the American Medical Directors Association","DOI":"10.1016/j.jamda.2016.11.019","ISSN":"15258610","issue":"2","journalAbbreviation":"Journal of the American Medical Directors Association","language":"en","page":"105-110","source":"DOI.org (Crossref)","title":"Prevention of Functional Decline by Reframing the Role of Nursing Homes?","volume":"18","author":[{"family":"Laffon de Mazières","given":"Clarisse"},{"family":"Morley","given":"John E."},{"family":"Levy","given":"Cari"},{"family":"Agenes","given":"Fabien"},{"family":"Barbagallo","given":"Mario"},{"family":"Cesari","given":"Matteo"},{"family":"De Souto Barreto","given":"Philipe"},{"family":"Donini","given":"Lorenzo Maria"},{"family":"Fitten","given":"Jaime"},{"family":"Franco","given":"Alain"},{"family":"Izquierdo","given":"Mikel"},{"family":"Kane","given":"Rosalie A."},{"family":"Martin","given":"Finbarr C."},{"family":"Onder","given":"Graziano"},{"family":"Ouslander","given":"Joseph"},{"family":"Pitkälä","given":"Kaisu"},{"family":"Saliba","given":"Debra"},{"family":"Sinclair","given":"Alan"},{"family":"Manas","given":"Leocadio Rodriguez"},{"family":"Vellas","given":"Bruno"},{"family":"Rolland","given":"Yves"}],"issued":{"date-parts":[["2017",2]]},"citation-key":"laffondemazieresPreventionFunctionalDecline2017"}}],"schema":"https://github.com/citation-style-language/schema/raw/master/csl-citation.json"} </w:instrText>
      </w:r>
      <w:r w:rsidR="00C57709" w:rsidRPr="00564774">
        <w:rPr>
          <w:vertAlign w:val="superscript"/>
        </w:rPr>
        <w:fldChar w:fldCharType="separate"/>
      </w:r>
      <w:r w:rsidR="009253DC">
        <w:rPr>
          <w:rFonts w:ascii="ZWAdobeF" w:hAnsi="ZWAdobeF" w:cs="ZWAdobeF"/>
          <w:sz w:val="2"/>
          <w:szCs w:val="2"/>
        </w:rPr>
        <w:t>127F</w:t>
      </w:r>
      <w:r w:rsidR="00C57709" w:rsidRPr="00564774">
        <w:rPr>
          <w:vertAlign w:val="superscript"/>
        </w:rPr>
        <w:endnoteReference w:id="129"/>
      </w:r>
      <w:r w:rsidR="00C57709" w:rsidRPr="00564774">
        <w:rPr>
          <w:vertAlign w:val="superscript"/>
        </w:rPr>
        <w:fldChar w:fldCharType="end"/>
      </w:r>
      <w:r w:rsidR="1104B5B3" w:rsidRPr="00564774">
        <w:t xml:space="preserve"> </w:t>
      </w:r>
      <w:r w:rsidR="39FD4EF6" w:rsidRPr="00564774">
        <w:t>Care</w:t>
      </w:r>
      <w:r w:rsidR="32A9297C" w:rsidRPr="00564774">
        <w:t>ful</w:t>
      </w:r>
      <w:r w:rsidR="39FD4EF6" w:rsidRPr="00564774">
        <w:t xml:space="preserve"> consideration of the likely trajectory of function, and the extent to</w:t>
      </w:r>
      <w:r w:rsidR="022F45F9" w:rsidRPr="00564774">
        <w:t xml:space="preserve"> which this can be influenced requires a multidisciplinary per</w:t>
      </w:r>
      <w:r w:rsidR="150842B0" w:rsidRPr="00564774">
        <w:t xml:space="preserve">spective that should be offered at entry </w:t>
      </w:r>
      <w:r w:rsidR="32A9297C" w:rsidRPr="00564774">
        <w:t xml:space="preserve">to residential </w:t>
      </w:r>
      <w:r w:rsidR="61BDFDF0" w:rsidRPr="00564774">
        <w:t xml:space="preserve">aged </w:t>
      </w:r>
      <w:r w:rsidR="32A9297C" w:rsidRPr="00564774">
        <w:t xml:space="preserve">care </w:t>
      </w:r>
      <w:r w:rsidR="150842B0" w:rsidRPr="00564774">
        <w:t>and periodically</w:t>
      </w:r>
      <w:r w:rsidR="5FEE4B6A" w:rsidRPr="00564774">
        <w:t xml:space="preserve"> with individual care plan review</w:t>
      </w:r>
      <w:r w:rsidR="150842B0" w:rsidRPr="00564774">
        <w:t xml:space="preserve">. </w:t>
      </w:r>
      <w:r w:rsidR="0EC6772A" w:rsidRPr="00564774">
        <w:t xml:space="preserve">These assessments can be </w:t>
      </w:r>
      <w:r w:rsidR="75C3E5FB" w:rsidRPr="00564774">
        <w:t>enhanced by the use of</w:t>
      </w:r>
      <w:r w:rsidR="506828DE" w:rsidRPr="00564774">
        <w:t xml:space="preserve"> formal </w:t>
      </w:r>
      <w:r w:rsidR="786BF832" w:rsidRPr="00564774">
        <w:t xml:space="preserve">assessment tools </w:t>
      </w:r>
      <w:r w:rsidR="363F9829" w:rsidRPr="00564774">
        <w:t>to</w:t>
      </w:r>
      <w:r w:rsidR="591030BA" w:rsidRPr="00564774">
        <w:t xml:space="preserve"> help define</w:t>
      </w:r>
      <w:r w:rsidR="1E39A7BD" w:rsidRPr="00564774">
        <w:t>, measure,</w:t>
      </w:r>
      <w:r w:rsidR="591030BA" w:rsidRPr="00564774">
        <w:t xml:space="preserve"> and monitor </w:t>
      </w:r>
      <w:r w:rsidR="32A9297C" w:rsidRPr="00564774">
        <w:t xml:space="preserve">ADL </w:t>
      </w:r>
      <w:r w:rsidR="591030BA" w:rsidRPr="00564774">
        <w:t xml:space="preserve">function, </w:t>
      </w:r>
      <w:r w:rsidR="6D1BCA08" w:rsidRPr="00564774">
        <w:t xml:space="preserve">which may assist in </w:t>
      </w:r>
      <w:r w:rsidR="32A9297C" w:rsidRPr="00564774">
        <w:t xml:space="preserve">outcome </w:t>
      </w:r>
      <w:r w:rsidR="6D1BCA08" w:rsidRPr="00564774">
        <w:t>predicti</w:t>
      </w:r>
      <w:r w:rsidR="32A9297C" w:rsidRPr="00564774">
        <w:t>on</w:t>
      </w:r>
      <w:r w:rsidR="786BF832" w:rsidRPr="00564774">
        <w:t xml:space="preserve">. </w:t>
      </w:r>
      <w:r w:rsidR="433060EF" w:rsidRPr="00564774">
        <w:t>Examples include</w:t>
      </w:r>
      <w:r w:rsidR="5669B07D" w:rsidRPr="00564774">
        <w:t xml:space="preserve"> f</w:t>
      </w:r>
      <w:r w:rsidR="4C20B41D" w:rsidRPr="00564774">
        <w:t>railty assessment, cognitive assessment</w:t>
      </w:r>
      <w:r w:rsidR="2A271CA1" w:rsidRPr="00564774">
        <w:t>, nutritional evaluation, mobility assessment</w:t>
      </w:r>
      <w:r w:rsidR="39CA7E98" w:rsidRPr="00564774">
        <w:t>,</w:t>
      </w:r>
      <w:r w:rsidR="713D2910" w:rsidRPr="00564774">
        <w:t xml:space="preserve"> </w:t>
      </w:r>
      <w:r w:rsidR="39CA7E98" w:rsidRPr="00564774">
        <w:t>continence assessment</w:t>
      </w:r>
      <w:r w:rsidR="786BF832" w:rsidRPr="00564774">
        <w:t xml:space="preserve"> and functional activity assessment</w:t>
      </w:r>
      <w:r w:rsidR="1104B5B3" w:rsidRPr="00564774">
        <w:t>.</w:t>
      </w:r>
    </w:p>
    <w:p w14:paraId="4767B235" w14:textId="73BCB647" w:rsidR="006C3826" w:rsidRPr="00564774" w:rsidRDefault="786BF832" w:rsidP="00314F78">
      <w:pPr>
        <w:pStyle w:val="ListBullet"/>
      </w:pPr>
      <w:r w:rsidRPr="00564774">
        <w:rPr>
          <w:rStyle w:val="Strong"/>
        </w:rPr>
        <w:t xml:space="preserve">Targeted intervention </w:t>
      </w:r>
      <w:r w:rsidR="28FF16F7" w:rsidRPr="00564774">
        <w:rPr>
          <w:rStyle w:val="Strong"/>
        </w:rPr>
        <w:t>and</w:t>
      </w:r>
      <w:r w:rsidR="0094D55F" w:rsidRPr="00564774">
        <w:rPr>
          <w:rStyle w:val="Strong"/>
        </w:rPr>
        <w:t xml:space="preserve"> care planning</w:t>
      </w:r>
      <w:r w:rsidR="6073A5B9" w:rsidRPr="00564774">
        <w:t>:</w:t>
      </w:r>
      <w:r w:rsidR="009253DC">
        <w:rPr>
          <w:rFonts w:ascii="ZWAdobeF" w:hAnsi="ZWAdobeF" w:cs="ZWAdobeF"/>
          <w:sz w:val="2"/>
          <w:szCs w:val="2"/>
        </w:rPr>
        <w:t>128F</w:t>
      </w:r>
      <w:r w:rsidR="004521ED" w:rsidRPr="00517432">
        <w:rPr>
          <w:rStyle w:val="EndnoteReference"/>
        </w:rPr>
        <w:endnoteReference w:id="130"/>
      </w:r>
      <w:r w:rsidR="1104B5B3" w:rsidRPr="00517432">
        <w:rPr>
          <w:rStyle w:val="EndnoteReference"/>
        </w:rPr>
        <w:t xml:space="preserve"> </w:t>
      </w:r>
      <w:r w:rsidRPr="00564774">
        <w:t xml:space="preserve">Proactive prevention of </w:t>
      </w:r>
      <w:r w:rsidR="32A9297C" w:rsidRPr="00564774">
        <w:t>ADL</w:t>
      </w:r>
      <w:r w:rsidRPr="00564774">
        <w:t xml:space="preserve"> decline may improve cost-effectiveness</w:t>
      </w:r>
      <w:r w:rsidR="12E7EC8D" w:rsidRPr="00564774">
        <w:t xml:space="preserve"> of care provision</w:t>
      </w:r>
      <w:r w:rsidRPr="00564774">
        <w:t xml:space="preserve"> and improve independence. Targeting interventions to assessment findings and using collaborative care planning can </w:t>
      </w:r>
      <w:r w:rsidR="32A9297C" w:rsidRPr="00564774">
        <w:t>improve care</w:t>
      </w:r>
      <w:r w:rsidRPr="00564774">
        <w:t xml:space="preserve"> appropriate</w:t>
      </w:r>
      <w:r w:rsidR="32A9297C" w:rsidRPr="00564774">
        <w:t>ness and</w:t>
      </w:r>
      <w:r w:rsidRPr="00564774">
        <w:t xml:space="preserve"> care</w:t>
      </w:r>
      <w:r w:rsidR="32A9297C" w:rsidRPr="00564774">
        <w:t xml:space="preserve"> outcomes</w:t>
      </w:r>
      <w:r w:rsidRPr="00564774">
        <w:t>. Examples include prescription of assistive devices, physical activity, falls prevention strategies</w:t>
      </w:r>
      <w:r w:rsidR="3431C4B9" w:rsidRPr="00564774">
        <w:t>,</w:t>
      </w:r>
      <w:r w:rsidRPr="00564774">
        <w:t xml:space="preserve"> </w:t>
      </w:r>
      <w:r w:rsidR="39CA7E98" w:rsidRPr="00564774">
        <w:t xml:space="preserve">toileting programs </w:t>
      </w:r>
      <w:r w:rsidRPr="00564774">
        <w:t>and nutritional interventions.</w:t>
      </w:r>
    </w:p>
    <w:p w14:paraId="513B82B2" w14:textId="6C31773F" w:rsidR="00ED0891" w:rsidRPr="00564774" w:rsidRDefault="5EB8FD1C" w:rsidP="00314F78">
      <w:pPr>
        <w:pStyle w:val="ListBullet"/>
      </w:pPr>
      <w:r w:rsidRPr="00564774">
        <w:rPr>
          <w:rStyle w:val="Strong"/>
        </w:rPr>
        <w:t>An enabling environment</w:t>
      </w:r>
      <w:r w:rsidR="6073A5B9" w:rsidRPr="00564774">
        <w:t>:</w:t>
      </w:r>
      <w:r w:rsidR="009253DC">
        <w:rPr>
          <w:rFonts w:ascii="ZWAdobeF" w:hAnsi="ZWAdobeF" w:cs="ZWAdobeF"/>
          <w:sz w:val="2"/>
          <w:szCs w:val="2"/>
        </w:rPr>
        <w:t>129F</w:t>
      </w:r>
      <w:r w:rsidR="00ED0891" w:rsidRPr="00517432">
        <w:rPr>
          <w:rStyle w:val="EndnoteReference"/>
        </w:rPr>
        <w:endnoteReference w:id="131"/>
      </w:r>
      <w:r w:rsidR="65C57659" w:rsidRPr="00517432">
        <w:rPr>
          <w:rStyle w:val="EndnoteReference"/>
        </w:rPr>
        <w:t xml:space="preserve"> </w:t>
      </w:r>
      <w:r w:rsidR="009253DC">
        <w:rPr>
          <w:rFonts w:ascii="ZWAdobeF" w:hAnsi="ZWAdobeF" w:cs="ZWAdobeF"/>
          <w:sz w:val="2"/>
          <w:szCs w:val="2"/>
        </w:rPr>
        <w:t>130F</w:t>
      </w:r>
      <w:r w:rsidR="00ED0891" w:rsidRPr="00517432">
        <w:rPr>
          <w:rStyle w:val="EndnoteReference"/>
        </w:rPr>
        <w:endnoteReference w:id="132"/>
      </w:r>
      <w:r w:rsidR="6EBF0BBB" w:rsidRPr="00564774">
        <w:t xml:space="preserve">A </w:t>
      </w:r>
      <w:r w:rsidR="2F76B814" w:rsidRPr="00564774">
        <w:t>service</w:t>
      </w:r>
      <w:r w:rsidR="6EBF0BBB" w:rsidRPr="00564774">
        <w:t xml:space="preserve"> level </w:t>
      </w:r>
      <w:r w:rsidR="5702E018" w:rsidRPr="00564774">
        <w:t>program should be in place that is designed to promote and preserve</w:t>
      </w:r>
      <w:r w:rsidR="61BDFDF0" w:rsidRPr="00564774">
        <w:t xml:space="preserve"> ADL</w:t>
      </w:r>
      <w:r w:rsidR="5702E018" w:rsidRPr="00564774">
        <w:t xml:space="preserve"> independen</w:t>
      </w:r>
      <w:r w:rsidR="61BDFDF0" w:rsidRPr="00564774">
        <w:t>ce</w:t>
      </w:r>
      <w:r w:rsidR="5702E018" w:rsidRPr="00564774">
        <w:t>.</w:t>
      </w:r>
      <w:r w:rsidR="65C57659" w:rsidRPr="00564774">
        <w:t xml:space="preserve"> </w:t>
      </w:r>
      <w:r w:rsidR="5702E018" w:rsidRPr="00564774">
        <w:t>This might include</w:t>
      </w:r>
      <w:r w:rsidR="1F8CD61F" w:rsidRPr="00564774">
        <w:t xml:space="preserve"> </w:t>
      </w:r>
      <w:r w:rsidR="67B63F51" w:rsidRPr="00564774">
        <w:t xml:space="preserve">group </w:t>
      </w:r>
      <w:r w:rsidR="61BDFDF0" w:rsidRPr="00564774">
        <w:t xml:space="preserve">approaches </w:t>
      </w:r>
      <w:r w:rsidR="67B63F51" w:rsidRPr="00564774">
        <w:t xml:space="preserve">(e.g. exercise classes) or individual level </w:t>
      </w:r>
      <w:r w:rsidR="0391CB3A" w:rsidRPr="00564774">
        <w:t xml:space="preserve">approaches (e.g. ensuring that </w:t>
      </w:r>
      <w:r w:rsidR="616882BC" w:rsidRPr="00564774">
        <w:lastRenderedPageBreak/>
        <w:t xml:space="preserve">care recipients are </w:t>
      </w:r>
      <w:r w:rsidR="5B2290D8" w:rsidRPr="00564774">
        <w:t xml:space="preserve">supported to retain </w:t>
      </w:r>
      <w:r w:rsidR="009677BB" w:rsidRPr="00564774">
        <w:t>mobility or</w:t>
      </w:r>
      <w:r w:rsidR="58F9673D" w:rsidRPr="00564774">
        <w:t xml:space="preserve"> </w:t>
      </w:r>
      <w:r w:rsidR="4C68B657" w:rsidRPr="00564774">
        <w:t>dress themselves as much as possible</w:t>
      </w:r>
      <w:r w:rsidR="6A6D8C9E" w:rsidRPr="00564774">
        <w:t>)</w:t>
      </w:r>
      <w:r w:rsidR="65C57659" w:rsidRPr="00564774">
        <w:t>.</w:t>
      </w:r>
    </w:p>
    <w:p w14:paraId="670316A8" w14:textId="40B8A0ED" w:rsidR="00DD1CBB" w:rsidRPr="00564774" w:rsidRDefault="1C4F8E2A" w:rsidP="00314F78">
      <w:pPr>
        <w:pStyle w:val="ListBullet"/>
      </w:pPr>
      <w:r w:rsidRPr="00564774">
        <w:rPr>
          <w:rStyle w:val="Strong"/>
        </w:rPr>
        <w:t>Workforce planning and professional development</w:t>
      </w:r>
      <w:r w:rsidR="6073A5B9" w:rsidRPr="00564774">
        <w:t>:</w:t>
      </w:r>
      <w:r w:rsidR="009253DC">
        <w:rPr>
          <w:rFonts w:ascii="ZWAdobeF" w:hAnsi="ZWAdobeF" w:cs="ZWAdobeF"/>
          <w:sz w:val="2"/>
          <w:szCs w:val="2"/>
        </w:rPr>
        <w:t>131F</w:t>
      </w:r>
      <w:r w:rsidR="009D6C73" w:rsidRPr="00517432">
        <w:rPr>
          <w:rStyle w:val="EndnoteReference"/>
        </w:rPr>
        <w:endnoteReference w:id="133"/>
      </w:r>
      <w:r w:rsidR="5E7E198B" w:rsidRPr="00564774">
        <w:t xml:space="preserve"> </w:t>
      </w:r>
      <w:r w:rsidR="363F9829" w:rsidRPr="00564774">
        <w:t>Education and t</w:t>
      </w:r>
      <w:r w:rsidR="1CC0BFA6" w:rsidRPr="00564774">
        <w:t>raining program</w:t>
      </w:r>
      <w:r w:rsidR="433060EF" w:rsidRPr="00564774">
        <w:t>s designed</w:t>
      </w:r>
      <w:r w:rsidR="1CC0BFA6" w:rsidRPr="00564774">
        <w:t xml:space="preserve"> </w:t>
      </w:r>
      <w:r w:rsidR="363F9829" w:rsidRPr="00564774">
        <w:t>for</w:t>
      </w:r>
      <w:r w:rsidR="1CC0BFA6" w:rsidRPr="00564774">
        <w:t xml:space="preserve"> carers</w:t>
      </w:r>
      <w:r w:rsidR="3FE5A6AC" w:rsidRPr="00564774">
        <w:t xml:space="preserve"> </w:t>
      </w:r>
      <w:r w:rsidR="363F9829" w:rsidRPr="00564774">
        <w:t>and staff can significantly improve care recipient function. Examples include training</w:t>
      </w:r>
      <w:r w:rsidR="5E7E198B" w:rsidRPr="00564774">
        <w:t xml:space="preserve"> in </w:t>
      </w:r>
      <w:r w:rsidR="117E4841" w:rsidRPr="00564774">
        <w:t xml:space="preserve">reablement and </w:t>
      </w:r>
      <w:r w:rsidR="61BDFDF0" w:rsidRPr="00564774">
        <w:t>ADL</w:t>
      </w:r>
      <w:r w:rsidR="5A3AF617" w:rsidRPr="00564774">
        <w:t xml:space="preserve"> preservation,</w:t>
      </w:r>
      <w:r w:rsidR="339E00F9" w:rsidRPr="00564774">
        <w:t xml:space="preserve"> depression</w:t>
      </w:r>
      <w:r w:rsidR="3FE5A6AC" w:rsidRPr="00564774">
        <w:t xml:space="preserve"> and</w:t>
      </w:r>
      <w:r w:rsidR="339E00F9" w:rsidRPr="00564774">
        <w:t xml:space="preserve"> apathy management</w:t>
      </w:r>
      <w:r w:rsidR="4D23A5B8" w:rsidRPr="00564774">
        <w:t>, manual handling,</w:t>
      </w:r>
      <w:r w:rsidR="3FE5A6AC" w:rsidRPr="00564774">
        <w:t xml:space="preserve"> and</w:t>
      </w:r>
      <w:r w:rsidR="4D23A5B8" w:rsidRPr="00564774">
        <w:t xml:space="preserve"> continence </w:t>
      </w:r>
      <w:r w:rsidR="39CA7E98" w:rsidRPr="00564774">
        <w:t xml:space="preserve">assessment, </w:t>
      </w:r>
      <w:r w:rsidR="4D23A5B8" w:rsidRPr="00564774">
        <w:t>management</w:t>
      </w:r>
      <w:r w:rsidR="39CA7E98" w:rsidRPr="00564774">
        <w:t xml:space="preserve"> and care</w:t>
      </w:r>
      <w:r w:rsidR="4B46342D" w:rsidRPr="00564774">
        <w:t xml:space="preserve">. </w:t>
      </w:r>
      <w:r w:rsidR="61BDFDF0" w:rsidRPr="00564774">
        <w:t>P</w:t>
      </w:r>
      <w:r w:rsidR="4B46342D" w:rsidRPr="00564774">
        <w:t xml:space="preserve">rograms </w:t>
      </w:r>
      <w:r w:rsidR="61BDFDF0" w:rsidRPr="00564774">
        <w:t xml:space="preserve">for care recipients </w:t>
      </w:r>
      <w:r w:rsidR="51E61065" w:rsidRPr="00564774">
        <w:t xml:space="preserve">run by trained staff can </w:t>
      </w:r>
      <w:r w:rsidR="1417973F" w:rsidRPr="00564774">
        <w:t>improve ADLs</w:t>
      </w:r>
      <w:r w:rsidR="69DDD5E6" w:rsidRPr="00564774">
        <w:t xml:space="preserve"> with a lasting effect (changes sustained over </w:t>
      </w:r>
      <w:r w:rsidR="5E7E198B" w:rsidRPr="00564774">
        <w:t>six</w:t>
      </w:r>
      <w:r w:rsidR="69DDD5E6" w:rsidRPr="00564774">
        <w:t xml:space="preserve"> months).</w:t>
      </w:r>
    </w:p>
    <w:p w14:paraId="4FFEF9DD" w14:textId="2A442693" w:rsidR="00FB6D4C" w:rsidRPr="004A09AA" w:rsidRDefault="00DB1063" w:rsidP="00F2392D">
      <w:pPr>
        <w:sectPr w:rsidR="00FB6D4C" w:rsidRPr="004A09AA" w:rsidSect="00404CCE">
          <w:endnotePr>
            <w:numFmt w:val="decimal"/>
          </w:endnotePr>
          <w:pgSz w:w="11906" w:h="16838"/>
          <w:pgMar w:top="1440" w:right="1440" w:bottom="1440" w:left="1440" w:header="708" w:footer="708" w:gutter="0"/>
          <w:cols w:space="708"/>
          <w:docGrid w:linePitch="360"/>
        </w:sectPr>
      </w:pPr>
      <w:r w:rsidRPr="00D82644">
        <w:fldChar w:fldCharType="begin" w:fldLock="1"/>
      </w:r>
      <w:r w:rsidRPr="00D82644">
        <w:instrText xml:space="preserve"> REF _Ref105084793 \h </w:instrText>
      </w:r>
      <w:r w:rsidRPr="00D82644">
        <w:fldChar w:fldCharType="separate"/>
      </w:r>
      <w:r w:rsidR="618E129D" w:rsidRPr="00D82644">
        <w:t>Figure </w:t>
      </w:r>
      <w:r w:rsidR="618E129D" w:rsidRPr="00D82644">
        <w:rPr>
          <w:noProof/>
        </w:rPr>
        <w:t>35</w:t>
      </w:r>
      <w:r w:rsidRPr="00D82644">
        <w:fldChar w:fldCharType="end"/>
      </w:r>
      <w:r w:rsidR="5779C7EC" w:rsidRPr="004A09AA">
        <w:t xml:space="preserve"> outlines important aspects of care that</w:t>
      </w:r>
      <w:r w:rsidR="05DE4C8A" w:rsidRPr="004A09AA">
        <w:t xml:space="preserve"> can</w:t>
      </w:r>
      <w:r w:rsidR="5779C7EC" w:rsidRPr="004A09AA">
        <w:t xml:space="preserve"> </w:t>
      </w:r>
      <w:r w:rsidR="05DE4C8A" w:rsidRPr="00F2392D">
        <w:t>improve</w:t>
      </w:r>
      <w:r w:rsidR="05DE4C8A" w:rsidRPr="004A09AA">
        <w:t xml:space="preserve"> or maintain function</w:t>
      </w:r>
      <w:r w:rsidR="5779C7EC" w:rsidRPr="004A09AA">
        <w:t>.</w:t>
      </w:r>
    </w:p>
    <w:p w14:paraId="6CEA6A3B" w14:textId="04C8146F" w:rsidR="003F1465" w:rsidRPr="00564774" w:rsidRDefault="009963C6" w:rsidP="00314F78">
      <w:pPr>
        <w:pStyle w:val="Caption"/>
      </w:pPr>
      <w:bookmarkStart w:id="57" w:name="_Ref105084793"/>
      <w:r w:rsidRPr="00564774">
        <w:lastRenderedPageBreak/>
        <w:t>FIGURE </w:t>
      </w:r>
      <w:r w:rsidR="00FB5553" w:rsidRPr="00564774">
        <w:fldChar w:fldCharType="begin"/>
      </w:r>
      <w:r w:rsidR="00FB5553" w:rsidRPr="00564774">
        <w:instrText>SEQ Figure \* ARABIC</w:instrText>
      </w:r>
      <w:r w:rsidR="00FB5553" w:rsidRPr="00564774">
        <w:fldChar w:fldCharType="separate"/>
      </w:r>
      <w:r w:rsidR="003A30D7">
        <w:rPr>
          <w:noProof/>
        </w:rPr>
        <w:t>35</w:t>
      </w:r>
      <w:r w:rsidR="00FB5553" w:rsidRPr="00564774">
        <w:fldChar w:fldCharType="end"/>
      </w:r>
      <w:bookmarkEnd w:id="57"/>
      <w:r w:rsidRPr="00564774">
        <w:t>: ACTIVITIES OF DAILY LIVING IMPROVEMENT FRAMEWORK</w:t>
      </w:r>
      <w:r w:rsidR="009253DC">
        <w:rPr>
          <w:rFonts w:ascii="ZWAdobeF" w:hAnsi="ZWAdobeF" w:cs="ZWAdobeF"/>
          <w:b w:val="0"/>
          <w:color w:val="auto"/>
          <w:sz w:val="2"/>
          <w:szCs w:val="2"/>
        </w:rPr>
        <w:t>132F</w:t>
      </w:r>
      <w:r w:rsidR="009D6C73" w:rsidRPr="00454D17">
        <w:rPr>
          <w:rStyle w:val="EndnoteReference"/>
        </w:rPr>
        <w:endnoteReference w:id="134"/>
      </w:r>
      <w:r w:rsidRPr="00454D17">
        <w:rPr>
          <w:rStyle w:val="EndnoteReference"/>
        </w:rPr>
        <w:t xml:space="preserve"> </w:t>
      </w:r>
      <w:r w:rsidR="009253DC">
        <w:rPr>
          <w:rFonts w:ascii="ZWAdobeF" w:hAnsi="ZWAdobeF" w:cs="ZWAdobeF"/>
          <w:b w:val="0"/>
          <w:color w:val="auto"/>
          <w:sz w:val="2"/>
          <w:szCs w:val="2"/>
        </w:rPr>
        <w:t>133F</w:t>
      </w:r>
      <w:r w:rsidR="0041052B" w:rsidRPr="00454D17">
        <w:rPr>
          <w:rStyle w:val="EndnoteReference"/>
        </w:rPr>
        <w:endnoteReference w:id="135"/>
      </w:r>
      <w:r w:rsidRPr="00454D17">
        <w:rPr>
          <w:rStyle w:val="EndnoteReference"/>
        </w:rPr>
        <w:t xml:space="preserve"> </w:t>
      </w:r>
      <w:r w:rsidR="009253DC">
        <w:rPr>
          <w:rFonts w:ascii="ZWAdobeF" w:hAnsi="ZWAdobeF" w:cs="ZWAdobeF"/>
          <w:b w:val="0"/>
          <w:color w:val="auto"/>
          <w:sz w:val="2"/>
          <w:szCs w:val="2"/>
        </w:rPr>
        <w:t>134F</w:t>
      </w:r>
      <w:r w:rsidR="0041052B" w:rsidRPr="00454D17">
        <w:rPr>
          <w:rStyle w:val="EndnoteReference"/>
        </w:rPr>
        <w:endnoteReference w:id="136"/>
      </w:r>
      <w:r w:rsidRPr="00454D17">
        <w:rPr>
          <w:rStyle w:val="EndnoteReference"/>
        </w:rPr>
        <w:t xml:space="preserve"> </w:t>
      </w:r>
      <w:r w:rsidR="009253DC">
        <w:rPr>
          <w:rFonts w:ascii="ZWAdobeF" w:hAnsi="ZWAdobeF" w:cs="ZWAdobeF"/>
          <w:b w:val="0"/>
          <w:color w:val="auto"/>
          <w:sz w:val="2"/>
          <w:szCs w:val="2"/>
        </w:rPr>
        <w:t>135F</w:t>
      </w:r>
      <w:r w:rsidR="0041052B" w:rsidRPr="00454D17">
        <w:rPr>
          <w:rStyle w:val="EndnoteReference"/>
        </w:rPr>
        <w:endnoteReference w:id="137"/>
      </w:r>
      <w:r w:rsidRPr="00454D17">
        <w:rPr>
          <w:rStyle w:val="EndnoteReference"/>
        </w:rPr>
        <w:t xml:space="preserve"> </w:t>
      </w:r>
      <w:r w:rsidR="009253DC">
        <w:rPr>
          <w:rFonts w:ascii="ZWAdobeF" w:hAnsi="ZWAdobeF" w:cs="ZWAdobeF"/>
          <w:b w:val="0"/>
          <w:color w:val="auto"/>
          <w:sz w:val="2"/>
          <w:szCs w:val="2"/>
        </w:rPr>
        <w:t>136F</w:t>
      </w:r>
      <w:r w:rsidR="0041052B" w:rsidRPr="00454D17">
        <w:rPr>
          <w:rStyle w:val="EndnoteReference"/>
        </w:rPr>
        <w:endnoteReference w:id="138"/>
      </w:r>
      <w:r w:rsidRPr="00454D17">
        <w:rPr>
          <w:rStyle w:val="EndnoteReference"/>
        </w:rPr>
        <w:t xml:space="preserve"> </w:t>
      </w:r>
      <w:r w:rsidR="009253DC">
        <w:rPr>
          <w:rFonts w:ascii="ZWAdobeF" w:hAnsi="ZWAdobeF" w:cs="ZWAdobeF"/>
          <w:b w:val="0"/>
          <w:color w:val="auto"/>
          <w:sz w:val="2"/>
          <w:szCs w:val="2"/>
        </w:rPr>
        <w:t>137F</w:t>
      </w:r>
      <w:r w:rsidR="0041052B" w:rsidRPr="00454D17">
        <w:rPr>
          <w:rStyle w:val="EndnoteReference"/>
        </w:rPr>
        <w:endnoteReference w:id="139"/>
      </w:r>
      <w:r w:rsidRPr="00454D17">
        <w:rPr>
          <w:rStyle w:val="EndnoteReference"/>
        </w:rPr>
        <w:t xml:space="preserve"> </w:t>
      </w:r>
      <w:r w:rsidR="009253DC">
        <w:rPr>
          <w:rFonts w:ascii="ZWAdobeF" w:hAnsi="ZWAdobeF" w:cs="ZWAdobeF"/>
          <w:b w:val="0"/>
          <w:color w:val="auto"/>
          <w:sz w:val="2"/>
          <w:szCs w:val="2"/>
        </w:rPr>
        <w:t>138F</w:t>
      </w:r>
      <w:r w:rsidR="0041052B" w:rsidRPr="00454D17">
        <w:rPr>
          <w:rStyle w:val="EndnoteReference"/>
        </w:rPr>
        <w:endnoteReference w:id="140"/>
      </w:r>
    </w:p>
    <w:p w14:paraId="1361A447" w14:textId="6691DE37" w:rsidR="001B5B5B" w:rsidRDefault="00C7065F" w:rsidP="00314F78">
      <w:r>
        <w:rPr>
          <w:noProof/>
        </w:rPr>
        <w:drawing>
          <wp:inline distT="0" distB="0" distL="0" distR="0" wp14:anchorId="002B5975" wp14:editId="70537FF3">
            <wp:extent cx="9657080" cy="4420235"/>
            <wp:effectExtent l="0" t="0" r="1270" b="0"/>
            <wp:docPr id="38" name="Picture 38" descr="P7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731#yIS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57080" cy="4420235"/>
                    </a:xfrm>
                    <a:prstGeom prst="rect">
                      <a:avLst/>
                    </a:prstGeom>
                    <a:noFill/>
                  </pic:spPr>
                </pic:pic>
              </a:graphicData>
            </a:graphic>
          </wp:inline>
        </w:drawing>
      </w:r>
    </w:p>
    <w:p w14:paraId="7F8C5ED4" w14:textId="46DD3C52" w:rsidR="00FB5553" w:rsidRPr="002765D3" w:rsidRDefault="00FB5553" w:rsidP="00314F78">
      <w:pPr>
        <w:sectPr w:rsidR="00FB5553" w:rsidRPr="002765D3" w:rsidSect="0080715A">
          <w:headerReference w:type="even" r:id="rId182"/>
          <w:headerReference w:type="default" r:id="rId183"/>
          <w:headerReference w:type="first" r:id="rId184"/>
          <w:endnotePr>
            <w:numFmt w:val="decimal"/>
          </w:endnotePr>
          <w:pgSz w:w="16838" w:h="11906" w:orient="landscape" w:code="9"/>
          <w:pgMar w:top="1560" w:right="1134" w:bottom="1134" w:left="1134" w:header="567" w:footer="567" w:gutter="0"/>
          <w:cols w:space="708"/>
          <w:docGrid w:linePitch="360"/>
        </w:sectPr>
      </w:pPr>
    </w:p>
    <w:p w14:paraId="13E1B8EA" w14:textId="28D033F6" w:rsidR="00FE4824" w:rsidRPr="00AD045C" w:rsidRDefault="66A7EB9D" w:rsidP="00314F78">
      <w:r w:rsidRPr="00AD045C">
        <w:lastRenderedPageBreak/>
        <w:t xml:space="preserve">The checklist below will help assess care recipients who are at risk of </w:t>
      </w:r>
      <w:r w:rsidR="5CF534BB" w:rsidRPr="00AD045C">
        <w:t xml:space="preserve">ADL </w:t>
      </w:r>
      <w:r w:rsidRPr="00AD045C">
        <w:t xml:space="preserve">decline and identify support and prevention strategies to reduce </w:t>
      </w:r>
      <w:r w:rsidR="5CF534BB" w:rsidRPr="00AD045C">
        <w:t>ADL</w:t>
      </w:r>
      <w:r w:rsidRPr="00AD045C">
        <w:t xml:space="preserve"> decline and mitigate consequences.</w:t>
      </w:r>
    </w:p>
    <w:p w14:paraId="557FA6AC" w14:textId="3E155FC6" w:rsidR="00FE4824" w:rsidRPr="00564774" w:rsidRDefault="009963C6" w:rsidP="00314F78">
      <w:pPr>
        <w:pStyle w:val="Caption"/>
      </w:pPr>
      <w:r w:rsidRPr="00564774">
        <w:t>FIGURE </w:t>
      </w:r>
      <w:r w:rsidR="7CEBB769" w:rsidRPr="00564774">
        <w:fldChar w:fldCharType="begin"/>
      </w:r>
      <w:r w:rsidR="7CEBB769" w:rsidRPr="00564774">
        <w:instrText>SEQ Figure \* ARABIC</w:instrText>
      </w:r>
      <w:r w:rsidR="7CEBB769" w:rsidRPr="00564774">
        <w:fldChar w:fldCharType="separate"/>
      </w:r>
      <w:r w:rsidR="003A30D7">
        <w:rPr>
          <w:noProof/>
        </w:rPr>
        <w:t>36</w:t>
      </w:r>
      <w:r w:rsidR="7CEBB769" w:rsidRPr="00564774">
        <w:fldChar w:fldCharType="end"/>
      </w:r>
      <w:r w:rsidRPr="00564774">
        <w:t>: CHECKLIST FOR THE PREVENTION OF ACTIVITIES OF DAILY LIVING DECLINE</w:t>
      </w:r>
    </w:p>
    <w:p w14:paraId="717FFD21" w14:textId="4EDF1AB8" w:rsidR="00742407" w:rsidRPr="002765D3" w:rsidRDefault="00CF0345" w:rsidP="00314F78">
      <w:pPr>
        <w:pStyle w:val="ChecklistHeading"/>
        <w:sectPr w:rsidR="00742407" w:rsidRPr="002765D3" w:rsidSect="00742407">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58304" behindDoc="0" locked="0" layoutInCell="1" allowOverlap="1" wp14:anchorId="1414C636" wp14:editId="423ACFFD">
            <wp:simplePos x="0" y="0"/>
            <wp:positionH relativeFrom="column">
              <wp:posOffset>-23940</wp:posOffset>
            </wp:positionH>
            <wp:positionV relativeFrom="paragraph">
              <wp:posOffset>297180</wp:posOffset>
            </wp:positionV>
            <wp:extent cx="539496" cy="540000"/>
            <wp:effectExtent l="0" t="0" r="0" b="0"/>
            <wp:wrapSquare wrapText="bothSides"/>
            <wp:docPr id="429" name="Picture 13" descr="P735#y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3" descr="P735#y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8F0288">
        <w:t xml:space="preserve">Checklist </w:t>
      </w:r>
      <w:r w:rsidR="00DD39DA">
        <w:t>for</w:t>
      </w:r>
      <w:r w:rsidR="008F0288">
        <w:t xml:space="preserve"> </w:t>
      </w:r>
      <w:r w:rsidR="00D15A4A">
        <w:t xml:space="preserve">the </w:t>
      </w:r>
      <w:r w:rsidR="008F0288">
        <w:t>pre</w:t>
      </w:r>
      <w:r w:rsidR="00DD39DA">
        <w:t>vention</w:t>
      </w:r>
      <w:r w:rsidR="008F0288">
        <w:t xml:space="preserve"> </w:t>
      </w:r>
      <w:r w:rsidR="00DD39DA">
        <w:t xml:space="preserve">of </w:t>
      </w:r>
      <w:r w:rsidR="003C18FF">
        <w:t>activities of daily living</w:t>
      </w:r>
      <w:r w:rsidR="00DD39DA">
        <w:t xml:space="preserve"> decline</w:t>
      </w:r>
    </w:p>
    <w:p w14:paraId="2F81DF14" w14:textId="2526718E" w:rsidR="000463EE" w:rsidRPr="002765D3" w:rsidRDefault="000463EE" w:rsidP="00314F78">
      <w:pPr>
        <w:pStyle w:val="TableHeader"/>
      </w:pPr>
      <w:r w:rsidRPr="002765D3">
        <w:t xml:space="preserve">Undertake </w:t>
      </w:r>
      <w:r>
        <w:t>ADL a</w:t>
      </w:r>
      <w:r w:rsidRPr="002765D3">
        <w:t xml:space="preserve">ssessments </w:t>
      </w:r>
      <w:r>
        <w:t>r</w:t>
      </w:r>
      <w:r w:rsidRPr="002765D3">
        <w:t>egularly</w:t>
      </w:r>
    </w:p>
    <w:p w14:paraId="2457C182" w14:textId="6503C13F" w:rsidR="000463EE" w:rsidRPr="00564774" w:rsidRDefault="007C23BD" w:rsidP="00314F78">
      <w:pPr>
        <w:pStyle w:val="ListBullet"/>
      </w:pPr>
      <w:r w:rsidRPr="002765D3">
        <w:rPr>
          <w:noProof/>
        </w:rPr>
        <w:drawing>
          <wp:anchor distT="0" distB="0" distL="114300" distR="114300" simplePos="0" relativeHeight="251658306" behindDoc="0" locked="0" layoutInCell="1" allowOverlap="1" wp14:anchorId="2EF0BB98" wp14:editId="58FC63FB">
            <wp:simplePos x="0" y="0"/>
            <wp:positionH relativeFrom="column">
              <wp:posOffset>2495550</wp:posOffset>
            </wp:positionH>
            <wp:positionV relativeFrom="paragraph">
              <wp:posOffset>382270</wp:posOffset>
            </wp:positionV>
            <wp:extent cx="539496" cy="540000"/>
            <wp:effectExtent l="0" t="0" r="0" b="0"/>
            <wp:wrapSquare wrapText="bothSides"/>
            <wp:docPr id="16" name="Picture 15" descr="P737#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P737#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61E05CE0" w:rsidRPr="00564774">
        <w:t>Conduct ADL assessments at least quarterly, or more frequently in response to changes, including:</w:t>
      </w:r>
    </w:p>
    <w:p w14:paraId="55A75764" w14:textId="7AE958E2" w:rsidR="000463EE" w:rsidRPr="00564774" w:rsidRDefault="000463EE" w:rsidP="00314F78">
      <w:pPr>
        <w:pStyle w:val="ListBullet2"/>
      </w:pPr>
      <w:r w:rsidRPr="00564774">
        <w:t>on entry to a residential aged care service</w:t>
      </w:r>
    </w:p>
    <w:p w14:paraId="0FD075E4" w14:textId="77777777" w:rsidR="000463EE" w:rsidRPr="00564774" w:rsidRDefault="000463EE" w:rsidP="00314F78">
      <w:pPr>
        <w:pStyle w:val="ListBullet2"/>
      </w:pPr>
      <w:r w:rsidRPr="00564774">
        <w:t>when a care recipient returns from different care setting</w:t>
      </w:r>
    </w:p>
    <w:p w14:paraId="4B476825" w14:textId="77777777" w:rsidR="000463EE" w:rsidRPr="00564774" w:rsidRDefault="000463EE" w:rsidP="00314F78">
      <w:pPr>
        <w:pStyle w:val="ListBullet2"/>
      </w:pPr>
      <w:r w:rsidRPr="00564774">
        <w:t>after a change in health status.</w:t>
      </w:r>
    </w:p>
    <w:p w14:paraId="0D7335C0" w14:textId="77777777" w:rsidR="000463EE" w:rsidRPr="00564774" w:rsidRDefault="61E05CE0" w:rsidP="00314F78">
      <w:pPr>
        <w:pStyle w:val="ListBullet2"/>
      </w:pPr>
      <w:r w:rsidRPr="00564774">
        <w:t>Identify any recent changes in ADL function.</w:t>
      </w:r>
    </w:p>
    <w:p w14:paraId="17E1C638" w14:textId="77777777" w:rsidR="000463EE" w:rsidRPr="00564774" w:rsidRDefault="61E05CE0" w:rsidP="00314F78">
      <w:pPr>
        <w:pStyle w:val="ListBullet"/>
      </w:pPr>
      <w:r w:rsidRPr="00564774">
        <w:t>Identify and assess any risk factors for future ADL decline, such as:</w:t>
      </w:r>
    </w:p>
    <w:p w14:paraId="4B7E000D" w14:textId="77777777" w:rsidR="000463EE" w:rsidRPr="00564774" w:rsidRDefault="000463EE" w:rsidP="00314F78">
      <w:pPr>
        <w:pStyle w:val="ListBullet2"/>
      </w:pPr>
      <w:r w:rsidRPr="00564774">
        <w:t>cognition</w:t>
      </w:r>
    </w:p>
    <w:p w14:paraId="3BD4C4EB" w14:textId="77777777" w:rsidR="000463EE" w:rsidRPr="00564774" w:rsidRDefault="000463EE" w:rsidP="00314F78">
      <w:pPr>
        <w:pStyle w:val="ListBullet2"/>
      </w:pPr>
      <w:r w:rsidRPr="00564774">
        <w:t>nutrition</w:t>
      </w:r>
    </w:p>
    <w:p w14:paraId="6C934F2C" w14:textId="28AE9DF6" w:rsidR="000463EE" w:rsidRPr="00564774" w:rsidRDefault="00CF0345" w:rsidP="00314F78">
      <w:pPr>
        <w:pStyle w:val="ListBullet2"/>
      </w:pPr>
      <w:r w:rsidRPr="002765D3">
        <w:rPr>
          <w:noProof/>
        </w:rPr>
        <w:drawing>
          <wp:anchor distT="0" distB="0" distL="114300" distR="114300" simplePos="0" relativeHeight="251658305" behindDoc="0" locked="0" layoutInCell="1" allowOverlap="1" wp14:anchorId="3A18DE05" wp14:editId="691823AA">
            <wp:simplePos x="0" y="0"/>
            <wp:positionH relativeFrom="column">
              <wp:posOffset>-619068</wp:posOffset>
            </wp:positionH>
            <wp:positionV relativeFrom="paragraph">
              <wp:posOffset>230876</wp:posOffset>
            </wp:positionV>
            <wp:extent cx="539496" cy="540000"/>
            <wp:effectExtent l="0" t="0" r="0" b="0"/>
            <wp:wrapSquare wrapText="bothSides"/>
            <wp:docPr id="15" name="Picture 14" descr="P745#y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745#y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000463EE" w:rsidRPr="00564774">
        <w:t>mobility</w:t>
      </w:r>
    </w:p>
    <w:p w14:paraId="6A514916" w14:textId="42FAC043" w:rsidR="000463EE" w:rsidRPr="00564774" w:rsidRDefault="000463EE" w:rsidP="00314F78">
      <w:pPr>
        <w:pStyle w:val="ListBullet2"/>
      </w:pPr>
      <w:r w:rsidRPr="00564774">
        <w:t>continence.</w:t>
      </w:r>
    </w:p>
    <w:p w14:paraId="4D4A507E" w14:textId="6DA530A2" w:rsidR="000463EE" w:rsidRPr="002765D3" w:rsidRDefault="000463EE" w:rsidP="00314F78">
      <w:pPr>
        <w:pStyle w:val="TableHeader"/>
      </w:pPr>
      <w:r w:rsidRPr="002765D3">
        <w:t xml:space="preserve">Document </w:t>
      </w:r>
      <w:r>
        <w:t>f</w:t>
      </w:r>
      <w:r w:rsidRPr="002765D3">
        <w:t xml:space="preserve">indings in a </w:t>
      </w:r>
      <w:r>
        <w:t>c</w:t>
      </w:r>
      <w:r w:rsidRPr="002765D3">
        <w:t xml:space="preserve">are </w:t>
      </w:r>
      <w:r>
        <w:t>p</w:t>
      </w:r>
      <w:r w:rsidRPr="002765D3">
        <w:t>lan</w:t>
      </w:r>
    </w:p>
    <w:p w14:paraId="36FED7C0" w14:textId="7D03CF7C" w:rsidR="000463EE" w:rsidRPr="002765D3" w:rsidRDefault="00CF0345" w:rsidP="00314F78">
      <w:pPr>
        <w:pStyle w:val="ListBullet"/>
      </w:pPr>
      <w:r w:rsidRPr="002765D3">
        <w:rPr>
          <w:noProof/>
        </w:rPr>
        <w:drawing>
          <wp:anchor distT="0" distB="0" distL="114300" distR="114300" simplePos="0" relativeHeight="251658307" behindDoc="0" locked="0" layoutInCell="1" allowOverlap="1" wp14:anchorId="1E1176E4" wp14:editId="1CCC18F6">
            <wp:simplePos x="0" y="0"/>
            <wp:positionH relativeFrom="column">
              <wp:posOffset>2522220</wp:posOffset>
            </wp:positionH>
            <wp:positionV relativeFrom="paragraph">
              <wp:posOffset>395605</wp:posOffset>
            </wp:positionV>
            <wp:extent cx="539496" cy="540000"/>
            <wp:effectExtent l="0" t="0" r="0" b="0"/>
            <wp:wrapSquare wrapText="bothSides"/>
            <wp:docPr id="17" name="Picture 16" descr="P748#y1">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P748#y1">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0463EE" w:rsidRPr="67FEE58B">
        <w:rPr>
          <w:lang w:eastAsia="en-AU"/>
        </w:rPr>
        <w:t>Document the findings from the care recipient’s ADL assessment in their care plan, including any changes</w:t>
      </w:r>
      <w:r w:rsidR="000463EE">
        <w:t>.</w:t>
      </w:r>
    </w:p>
    <w:p w14:paraId="69A7C2C1" w14:textId="77777777" w:rsidR="000463EE" w:rsidRPr="002765D3" w:rsidRDefault="61E05CE0" w:rsidP="00314F78">
      <w:pPr>
        <w:pStyle w:val="ListBullet"/>
      </w:pPr>
      <w:r w:rsidRPr="189D3658">
        <w:rPr>
          <w:lang w:eastAsia="en-AU"/>
        </w:rPr>
        <w:t>Identify and document suitable prevention strategies</w:t>
      </w:r>
      <w:r w:rsidRPr="189D3658">
        <w:t xml:space="preserve">, including </w:t>
      </w:r>
      <w:r w:rsidRPr="189D3658">
        <w:rPr>
          <w:lang w:eastAsia="en-AU"/>
        </w:rPr>
        <w:t xml:space="preserve">their proposed </w:t>
      </w:r>
      <w:r w:rsidRPr="189D3658">
        <w:t>frequency and timing.</w:t>
      </w:r>
    </w:p>
    <w:p w14:paraId="63E7566E" w14:textId="77777777" w:rsidR="000463EE" w:rsidRPr="002765D3" w:rsidRDefault="000463EE" w:rsidP="00314F78">
      <w:pPr>
        <w:pStyle w:val="ListBullet"/>
        <w:rPr>
          <w:lang w:eastAsia="en-AU"/>
        </w:rPr>
      </w:pPr>
      <w:r>
        <w:rPr>
          <w:lang w:eastAsia="en-AU"/>
        </w:rPr>
        <w:t>Undertake collaborative care planning, ensuring alignment with the care recipient’s</w:t>
      </w:r>
      <w:r w:rsidRPr="002765D3">
        <w:rPr>
          <w:lang w:eastAsia="en-AU"/>
        </w:rPr>
        <w:t xml:space="preserve"> preferences for management</w:t>
      </w:r>
      <w:r>
        <w:rPr>
          <w:lang w:eastAsia="en-AU"/>
        </w:rPr>
        <w:t>.</w:t>
      </w:r>
    </w:p>
    <w:p w14:paraId="3CEB9E84" w14:textId="77777777" w:rsidR="000463EE" w:rsidRPr="002765D3" w:rsidRDefault="61E05CE0" w:rsidP="00314F78">
      <w:pPr>
        <w:pStyle w:val="ListBullet"/>
      </w:pPr>
      <w:r w:rsidRPr="189D3658">
        <w:t>Document goals for improving or maintaining ADL function.</w:t>
      </w:r>
    </w:p>
    <w:p w14:paraId="362CFEA7" w14:textId="77777777" w:rsidR="000463EE" w:rsidRPr="002765D3" w:rsidRDefault="000463EE" w:rsidP="00314F78">
      <w:pPr>
        <w:pStyle w:val="ListBullet"/>
      </w:pPr>
      <w:r>
        <w:t>Monitor for risk factors of ADL decline.</w:t>
      </w:r>
    </w:p>
    <w:p w14:paraId="57D71399" w14:textId="32657885" w:rsidR="000463EE" w:rsidRPr="002765D3" w:rsidRDefault="61E05CE0" w:rsidP="00314F78">
      <w:pPr>
        <w:pStyle w:val="TableHeader"/>
      </w:pPr>
      <w:r w:rsidRPr="189D3658">
        <w:t>Implement appropriate support strategies that prevent ADL decline</w:t>
      </w:r>
    </w:p>
    <w:p w14:paraId="7117C1E6" w14:textId="77777777" w:rsidR="000463EE" w:rsidRDefault="000463EE" w:rsidP="00314F78">
      <w:pPr>
        <w:pStyle w:val="ListBullet"/>
      </w:pPr>
      <w:r>
        <w:t>Undertake collaborative care planning.</w:t>
      </w:r>
    </w:p>
    <w:p w14:paraId="37769548" w14:textId="77777777" w:rsidR="000463EE" w:rsidRPr="002765D3" w:rsidRDefault="000463EE" w:rsidP="00314F78">
      <w:pPr>
        <w:pStyle w:val="ListBullet"/>
      </w:pPr>
      <w:r>
        <w:t>Promote autonomy in routine day to day activities.</w:t>
      </w:r>
    </w:p>
    <w:p w14:paraId="5B49C764" w14:textId="77777777" w:rsidR="000463EE" w:rsidRDefault="61E05CE0" w:rsidP="00314F78">
      <w:pPr>
        <w:pStyle w:val="ListBullet"/>
      </w:pPr>
      <w:r w:rsidRPr="189D3658">
        <w:t>Provide therapy and deliver interventions where required, for example:</w:t>
      </w:r>
    </w:p>
    <w:p w14:paraId="3873382C" w14:textId="77777777" w:rsidR="000463EE" w:rsidRDefault="000463EE" w:rsidP="00314F78">
      <w:pPr>
        <w:pStyle w:val="ListBullet2"/>
      </w:pPr>
      <w:r>
        <w:t>occupational therapy, physiotherapy, nutrition, continence professional and dietetics</w:t>
      </w:r>
    </w:p>
    <w:p w14:paraId="373EB897" w14:textId="77777777" w:rsidR="000463EE" w:rsidRDefault="000463EE" w:rsidP="00314F78">
      <w:pPr>
        <w:pStyle w:val="ListBullet2"/>
      </w:pPr>
      <w:r>
        <w:t>exercise and physical activity</w:t>
      </w:r>
    </w:p>
    <w:p w14:paraId="7C3C5311" w14:textId="77777777" w:rsidR="000463EE" w:rsidRDefault="000463EE" w:rsidP="00314F78">
      <w:pPr>
        <w:pStyle w:val="ListBullet2"/>
      </w:pPr>
      <w:r>
        <w:t>prescription of assistive devices</w:t>
      </w:r>
    </w:p>
    <w:p w14:paraId="314BA7B1" w14:textId="77777777" w:rsidR="000463EE" w:rsidRDefault="000463EE" w:rsidP="00314F78">
      <w:pPr>
        <w:pStyle w:val="ListBullet2"/>
      </w:pPr>
      <w:r>
        <w:t>medication management.</w:t>
      </w:r>
    </w:p>
    <w:p w14:paraId="3E6CF629" w14:textId="760CF0BB" w:rsidR="000463EE" w:rsidRPr="002765D3" w:rsidRDefault="000463EE" w:rsidP="00314F78">
      <w:pPr>
        <w:pStyle w:val="ListBullet"/>
      </w:pPr>
      <w:r>
        <w:t>Implement restorative interventions following acute illness or deterioration.</w:t>
      </w:r>
    </w:p>
    <w:p w14:paraId="41840EC1" w14:textId="38B11873" w:rsidR="000463EE" w:rsidRPr="002765D3" w:rsidRDefault="000463EE" w:rsidP="00314F78">
      <w:pPr>
        <w:pStyle w:val="TableHeader"/>
      </w:pPr>
      <w:r>
        <w:t>Ongoing monitoring between ADL assessments</w:t>
      </w:r>
    </w:p>
    <w:p w14:paraId="0236DA9C" w14:textId="77777777" w:rsidR="000463EE" w:rsidRDefault="000463EE" w:rsidP="00314F78">
      <w:pPr>
        <w:pStyle w:val="ListBullet"/>
      </w:pPr>
      <w:r>
        <w:t>Monitor ADL function.</w:t>
      </w:r>
    </w:p>
    <w:p w14:paraId="0D6D33A5" w14:textId="77777777" w:rsidR="000463EE" w:rsidRPr="002765D3" w:rsidRDefault="000463EE" w:rsidP="00314F78">
      <w:pPr>
        <w:pStyle w:val="ListBullet"/>
      </w:pPr>
      <w:r>
        <w:t>Monitor risk factors.</w:t>
      </w:r>
    </w:p>
    <w:p w14:paraId="3162F16C" w14:textId="76CAA8A9" w:rsidR="000463EE" w:rsidRPr="002765D3" w:rsidRDefault="61E05CE0" w:rsidP="00314F78">
      <w:pPr>
        <w:pStyle w:val="ListBullet"/>
      </w:pPr>
      <w:r w:rsidRPr="189D3658">
        <w:t>Assess appropriateness of current strategies to maintain ADLs and quality of life.</w:t>
      </w:r>
    </w:p>
    <w:p w14:paraId="3366F74A" w14:textId="77777777" w:rsidR="00742407" w:rsidRPr="002765D3" w:rsidRDefault="00742407" w:rsidP="00314F78">
      <w:pPr>
        <w:sectPr w:rsidR="00742407" w:rsidRPr="002765D3" w:rsidSect="000463EE">
          <w:headerReference w:type="even" r:id="rId186"/>
          <w:headerReference w:type="default" r:id="rId187"/>
          <w:headerReference w:type="first" r:id="rId188"/>
          <w:endnotePr>
            <w:numFmt w:val="decimal"/>
          </w:endnotePr>
          <w:type w:val="continuous"/>
          <w:pgSz w:w="11906" w:h="16838" w:code="9"/>
          <w:pgMar w:top="1701" w:right="1134" w:bottom="1134" w:left="2098" w:header="567" w:footer="567" w:gutter="0"/>
          <w:cols w:num="2" w:space="1418"/>
          <w:docGrid w:linePitch="360"/>
        </w:sectPr>
      </w:pPr>
    </w:p>
    <w:p w14:paraId="47CC644F" w14:textId="5FCC58FB" w:rsidR="001B3992" w:rsidRPr="009F12EA" w:rsidRDefault="00AF1A96" w:rsidP="0059348C">
      <w:pPr>
        <w:pStyle w:val="Heading2"/>
      </w:pPr>
      <w:r w:rsidRPr="009F12EA">
        <w:lastRenderedPageBreak/>
        <w:t xml:space="preserve">Quality improvement for </w:t>
      </w:r>
      <w:r w:rsidR="00715B2A" w:rsidRPr="009F12EA">
        <w:t>activities of daily living</w:t>
      </w:r>
    </w:p>
    <w:p w14:paraId="1AADFD7B" w14:textId="56663849" w:rsidR="00A30139" w:rsidRPr="009F12EA" w:rsidRDefault="3405B2C0" w:rsidP="00314F78">
      <w:r w:rsidRPr="009F12EA">
        <w:t xml:space="preserve">Quality </w:t>
      </w:r>
      <w:r w:rsidR="00D8727B" w:rsidRPr="009F12EA">
        <w:t>i</w:t>
      </w:r>
      <w:r w:rsidRPr="009F12EA">
        <w:t xml:space="preserve">mprovement can help providers increase quality of </w:t>
      </w:r>
      <w:r w:rsidR="004A6AE6" w:rsidRPr="009F12EA">
        <w:t>care</w:t>
      </w:r>
      <w:r w:rsidRPr="009F12EA">
        <w:t xml:space="preserve"> for care recipients experiencing </w:t>
      </w:r>
      <w:r w:rsidR="003C18FF" w:rsidRPr="009F12EA">
        <w:t>ADL</w:t>
      </w:r>
      <w:r w:rsidRPr="009F12EA">
        <w:t xml:space="preserve"> decline. Quality </w:t>
      </w:r>
      <w:r w:rsidR="00D8727B" w:rsidRPr="009F12EA">
        <w:t>i</w:t>
      </w:r>
      <w:r w:rsidRPr="009F12EA">
        <w:t>mprovement activities should be ongoing and part of business-as-usual for approved providers.</w:t>
      </w:r>
    </w:p>
    <w:p w14:paraId="1FE2107B" w14:textId="33AC5425" w:rsidR="00A30139" w:rsidRPr="009F12EA" w:rsidRDefault="00A30139" w:rsidP="00314F78">
      <w:r w:rsidRPr="009F12EA">
        <w:t>The QI Program will help prompt when a specific quality improvement activity should be undertaken. It is important to review the QI Program data reports through</w:t>
      </w:r>
      <w:r w:rsidR="00B26274" w:rsidRPr="009F12EA">
        <w:t xml:space="preserve"> GPMS</w:t>
      </w:r>
      <w:r w:rsidRPr="009F12EA">
        <w:t xml:space="preserve"> and compare against national </w:t>
      </w:r>
      <w:r w:rsidR="0084075D" w:rsidRPr="009F12EA">
        <w:t>averages</w:t>
      </w:r>
      <w:r w:rsidRPr="009F12EA">
        <w:t xml:space="preserve"> and other services to understand where quality improvement activities should be focused.</w:t>
      </w:r>
    </w:p>
    <w:p w14:paraId="4354748A" w14:textId="28CB59C3" w:rsidR="006D1221" w:rsidRPr="00D82644" w:rsidRDefault="7286CEE4" w:rsidP="00314F78">
      <w:r w:rsidRPr="009F12EA">
        <w:t xml:space="preserve">The </w:t>
      </w:r>
      <w:r w:rsidRPr="009F12EA">
        <w:rPr>
          <w:rStyle w:val="Strong"/>
        </w:rPr>
        <w:t>Plan-Do-Check-Act tool</w:t>
      </w:r>
      <w:r w:rsidR="00200332" w:rsidRPr="009F12EA">
        <w:t xml:space="preserve"> (section 2.3)</w:t>
      </w:r>
      <w:r w:rsidRPr="009F12EA">
        <w:t xml:space="preserve"> is a useful tool to plan, deliver and monitor quality improvement activities focused on preserving </w:t>
      </w:r>
      <w:r w:rsidR="5CF534BB" w:rsidRPr="009F12EA">
        <w:t xml:space="preserve">ADL </w:t>
      </w:r>
      <w:r w:rsidRPr="009F12EA">
        <w:t>function</w:t>
      </w:r>
      <w:r w:rsidRPr="00D82644">
        <w:t>.</w:t>
      </w:r>
      <w:r w:rsidRPr="00D82644">
        <w:br w:type="page"/>
      </w:r>
    </w:p>
    <w:p w14:paraId="16649B9D" w14:textId="01B41FC7" w:rsidR="00C226B7" w:rsidRPr="009F12EA" w:rsidRDefault="25ADF242" w:rsidP="0059348C">
      <w:pPr>
        <w:pStyle w:val="Heading2"/>
      </w:pPr>
      <w:r w:rsidRPr="009F12EA">
        <w:lastRenderedPageBreak/>
        <w:t>Example tools, guidance and resources to support continuous quality improvement</w:t>
      </w:r>
    </w:p>
    <w:p w14:paraId="01F9A2D8" w14:textId="74445F2C" w:rsidR="00572372" w:rsidRPr="009F12EA" w:rsidRDefault="00572372" w:rsidP="00314F78">
      <w:pPr>
        <w:pStyle w:val="ListBullet"/>
      </w:pPr>
      <w:hyperlink r:id="rId189">
        <w:r w:rsidRPr="009F12EA">
          <w:rPr>
            <w:rStyle w:val="Hyperlink"/>
          </w:rPr>
          <w:t>Barthel Index</w:t>
        </w:r>
      </w:hyperlink>
      <w:r w:rsidRPr="009F12EA">
        <w:t xml:space="preserve"> — an ordinal scale used to measure performance in activities of daily living, and the selected assessment tool that must be used in the QI Program — available in Part A: Appendix Why is helping residents with Activities of Daily Living (ADLs) so important?</w:t>
      </w:r>
    </w:p>
    <w:p w14:paraId="30CB6D5F" w14:textId="111EA60F" w:rsidR="004D4999" w:rsidRPr="009F12EA" w:rsidRDefault="25ADF242" w:rsidP="00314F78">
      <w:pPr>
        <w:pStyle w:val="ListBullet"/>
      </w:pPr>
      <w:hyperlink r:id="rId190">
        <w:r w:rsidRPr="009F12EA">
          <w:rPr>
            <w:rStyle w:val="Hyperlink"/>
          </w:rPr>
          <w:t>AN-ACC Reference Manual</w:t>
        </w:r>
      </w:hyperlink>
      <w:r w:rsidR="74433CB6" w:rsidRPr="009F12EA">
        <w:t xml:space="preserve"> — </w:t>
      </w:r>
      <w:r w:rsidR="01038C81" w:rsidRPr="009F12EA">
        <w:t xml:space="preserve">provides additional </w:t>
      </w:r>
      <w:r w:rsidRPr="009F12EA">
        <w:t xml:space="preserve">ADL related </w:t>
      </w:r>
      <w:r w:rsidR="01038C81" w:rsidRPr="009F12EA">
        <w:t xml:space="preserve">assessment </w:t>
      </w:r>
      <w:r w:rsidRPr="009F12EA">
        <w:t>tools includ</w:t>
      </w:r>
      <w:r w:rsidR="01038C81" w:rsidRPr="009F12EA">
        <w:t>ing</w:t>
      </w:r>
      <w:r w:rsidRPr="009F12EA">
        <w:t xml:space="preserve"> the Resource Utilisation Groups </w:t>
      </w:r>
      <w:r w:rsidR="0BE1D699" w:rsidRPr="009F12EA">
        <w:t>—</w:t>
      </w:r>
      <w:r w:rsidRPr="009F12EA">
        <w:t xml:space="preserve"> Activities of Daily Living (RUG-ADL), Rockwood Clinical Frailty Scale, Australia-modified Karnofsky Performance Status (AKPS), De Morton Mobility Index (DEMMI) and the Australian Functional Measure</w:t>
      </w:r>
      <w:r w:rsidR="01038C81" w:rsidRPr="009F12EA">
        <w:t>, available online in the ANACC Reference Manual on the Australian Department of Health and Aged Care website</w:t>
      </w:r>
    </w:p>
    <w:p w14:paraId="7EFF75A2" w14:textId="68A7D018" w:rsidR="0009222E" w:rsidRPr="009F12EA" w:rsidRDefault="2AE06233" w:rsidP="00314F78">
      <w:pPr>
        <w:pStyle w:val="ListBullet"/>
      </w:pPr>
      <w:hyperlink r:id="rId191" w:anchor=":~:text=A%20reablement%20approach%20to%20aged%20care%20is%20emphasised,taking%20over%20tasks%20they%20can%20do%20for%20themselves." w:history="1">
        <w:r w:rsidRPr="009F12EA">
          <w:rPr>
            <w:rStyle w:val="Hyperlink"/>
          </w:rPr>
          <w:t>About rehabilitation, reablement and restorative care</w:t>
        </w:r>
      </w:hyperlink>
      <w:r w:rsidR="00494AF0" w:rsidRPr="009F12EA">
        <w:t xml:space="preserve"> </w:t>
      </w:r>
      <w:r w:rsidR="0021451E" w:rsidRPr="009F12EA">
        <w:t>—</w:t>
      </w:r>
      <w:r w:rsidR="004D4999" w:rsidRPr="009F12EA">
        <w:t xml:space="preserve"> </w:t>
      </w:r>
      <w:r w:rsidR="78E29FD0" w:rsidRPr="009F12EA">
        <w:t xml:space="preserve">overview </w:t>
      </w:r>
      <w:r w:rsidR="37488BFB" w:rsidRPr="009F12EA">
        <w:t>of terminology and references from Aged Care Research &amp; Industry Innovation Australia</w:t>
      </w:r>
    </w:p>
    <w:p w14:paraId="16EA8BE1" w14:textId="6920B222" w:rsidR="00C54DCD" w:rsidRPr="009F12EA" w:rsidRDefault="000B27FB" w:rsidP="00314F78">
      <w:pPr>
        <w:pStyle w:val="ListBullet"/>
      </w:pPr>
      <w:hyperlink r:id="rId192" w:history="1">
        <w:r w:rsidRPr="009F12EA">
          <w:rPr>
            <w:rStyle w:val="Hyperlink"/>
          </w:rPr>
          <w:t xml:space="preserve">Services and supports for daily living: </w:t>
        </w:r>
        <w:r w:rsidR="00AA1344" w:rsidRPr="009F12EA">
          <w:rPr>
            <w:rStyle w:val="Hyperlink"/>
          </w:rPr>
          <w:t>Standard 4</w:t>
        </w:r>
      </w:hyperlink>
      <w:r w:rsidR="0021451E" w:rsidRPr="009F12EA">
        <w:t xml:space="preserve"> — p</w:t>
      </w:r>
      <w:r w:rsidR="00AA1344" w:rsidRPr="009F12EA">
        <w:t xml:space="preserve">rovides guidance and resources relating to </w:t>
      </w:r>
      <w:r w:rsidR="0097211B" w:rsidRPr="009F12EA">
        <w:t>services and supports for daily living</w:t>
      </w:r>
      <w:r w:rsidRPr="009F12EA">
        <w:t xml:space="preserve"> — Aged Care Quality and Safety Commission</w:t>
      </w:r>
    </w:p>
    <w:p w14:paraId="5357CECF" w14:textId="77777777" w:rsidR="009F12EA" w:rsidRPr="009F12EA" w:rsidRDefault="25ADF242" w:rsidP="00314F78">
      <w:pPr>
        <w:rPr>
          <w:rStyle w:val="Emphasis"/>
        </w:rPr>
      </w:pPr>
      <w:r w:rsidRPr="009F12EA">
        <w:rPr>
          <w:rStyle w:val="Emphasis"/>
        </w:rPr>
        <w:t>Some tools, guidance and resources may be updated over time; it is important to ensure you are looking at the most recent version.</w:t>
      </w:r>
    </w:p>
    <w:p w14:paraId="4084060D" w14:textId="6B2DB3CE" w:rsidR="00C226B7" w:rsidRPr="00454D17" w:rsidRDefault="25ADF242" w:rsidP="00314F78">
      <w:r w:rsidRPr="00454D17">
        <w:br w:type="page"/>
      </w:r>
    </w:p>
    <w:p w14:paraId="39C1F06D" w14:textId="77777777" w:rsidR="000E38E1" w:rsidRPr="002765D3" w:rsidRDefault="000E38E1" w:rsidP="00314F78">
      <w:pPr>
        <w:sectPr w:rsidR="000E38E1" w:rsidRPr="002765D3" w:rsidSect="00D51A3F">
          <w:headerReference w:type="default" r:id="rId193"/>
          <w:headerReference w:type="first" r:id="rId194"/>
          <w:footerReference w:type="first" r:id="rId195"/>
          <w:endnotePr>
            <w:numFmt w:val="decimal"/>
          </w:endnotePr>
          <w:type w:val="continuous"/>
          <w:pgSz w:w="11906" w:h="16838" w:code="9"/>
          <w:pgMar w:top="1247" w:right="1134" w:bottom="964" w:left="1134" w:header="567" w:footer="567" w:gutter="0"/>
          <w:cols w:space="708"/>
          <w:docGrid w:linePitch="360"/>
        </w:sectPr>
      </w:pPr>
    </w:p>
    <w:p w14:paraId="4E2C505E" w14:textId="3A31FA49" w:rsidR="00DD2F3F" w:rsidRPr="00085E47" w:rsidRDefault="00085E47" w:rsidP="00085E47">
      <w:pPr>
        <w:pStyle w:val="Heading1"/>
      </w:pPr>
      <w:bookmarkStart w:id="58" w:name="_Toc193889896"/>
      <w:r>
        <w:rPr>
          <w:noProof/>
        </w:rPr>
        <w:lastRenderedPageBreak/>
        <w:drawing>
          <wp:anchor distT="0" distB="0" distL="114300" distR="114300" simplePos="0" relativeHeight="251658275" behindDoc="1" locked="0" layoutInCell="1" allowOverlap="1" wp14:anchorId="45B342DD" wp14:editId="1D354B0B">
            <wp:simplePos x="0" y="0"/>
            <wp:positionH relativeFrom="margin">
              <wp:posOffset>-791845</wp:posOffset>
            </wp:positionH>
            <wp:positionV relativeFrom="paragraph">
              <wp:posOffset>436509</wp:posOffset>
            </wp:positionV>
            <wp:extent cx="7704000" cy="1440000"/>
            <wp:effectExtent l="0" t="0" r="0" b="8255"/>
            <wp:wrapNone/>
            <wp:docPr id="1275589585" name="Picture 5" descr="P7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89585" name="Picture 5" descr="P779#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B68" w:rsidRPr="009F12EA">
        <w:t>Inc</w:t>
      </w:r>
      <w:r w:rsidR="00BA28C4" w:rsidRPr="009F12EA">
        <w:t xml:space="preserve">ontinence </w:t>
      </w:r>
      <w:r w:rsidR="00574B68" w:rsidRPr="009F12EA">
        <w:t>care</w:t>
      </w:r>
      <w:bookmarkEnd w:id="58"/>
    </w:p>
    <w:p w14:paraId="6C24B6BF" w14:textId="1DB169BB" w:rsidR="00273DF8" w:rsidRPr="007E1F3F" w:rsidRDefault="00085E47" w:rsidP="00273DF8">
      <w:pPr>
        <w:pStyle w:val="Headerwhite"/>
      </w:pPr>
      <w:r w:rsidRPr="002765D3">
        <w:rPr>
          <w:noProof/>
        </w:rPr>
        <w:drawing>
          <wp:anchor distT="0" distB="0" distL="114300" distR="114300" simplePos="0" relativeHeight="251658271" behindDoc="0" locked="0" layoutInCell="1" allowOverlap="1" wp14:anchorId="7AE81EFF" wp14:editId="467D1056">
            <wp:simplePos x="0" y="0"/>
            <wp:positionH relativeFrom="column">
              <wp:posOffset>-189230</wp:posOffset>
            </wp:positionH>
            <wp:positionV relativeFrom="paragraph">
              <wp:posOffset>322844</wp:posOffset>
            </wp:positionV>
            <wp:extent cx="1080135" cy="1080135"/>
            <wp:effectExtent l="0" t="0" r="5715" b="5715"/>
            <wp:wrapSquare wrapText="bothSides"/>
            <wp:docPr id="2091994680" name="Picture 202" descr="P7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0" name="Picture 202" descr="P780#y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anchor>
        </w:drawing>
      </w:r>
      <w:r w:rsidR="00273DF8" w:rsidRPr="189D3658">
        <w:t>Incontinence is the loss of bladder and bowel control, which can impact independence, health and quality of life. Incontinence Associated Dermatitis (IAD) is an irritant contact dermatitis associated with incontinence. Aged care providers can ensure access to treatment and care to support continence and deliver appropriate incontinence care.</w:t>
      </w:r>
    </w:p>
    <w:p w14:paraId="6FBB5FBD" w14:textId="7294DC9E" w:rsidR="00BA28C4" w:rsidRPr="009F12EA" w:rsidRDefault="00BA28C4" w:rsidP="0059348C">
      <w:pPr>
        <w:pStyle w:val="Heading2"/>
      </w:pPr>
      <w:r w:rsidRPr="009F12EA">
        <w:t xml:space="preserve">Overview of </w:t>
      </w:r>
      <w:r w:rsidR="00415610" w:rsidRPr="009F12EA">
        <w:t>incontinence care</w:t>
      </w:r>
    </w:p>
    <w:p w14:paraId="1EEFCA62" w14:textId="07688F81" w:rsidR="00BA28C4" w:rsidRPr="009F12EA" w:rsidRDefault="00DB1063" w:rsidP="00314F78">
      <w:r w:rsidRPr="009F12EA">
        <w:fldChar w:fldCharType="begin" w:fldLock="1"/>
      </w:r>
      <w:r w:rsidRPr="009F12EA">
        <w:instrText xml:space="preserve"> REF _Ref105084834 \h </w:instrText>
      </w:r>
      <w:r w:rsidR="009F12EA">
        <w:instrText xml:space="preserve"> \* MERGEFORMAT </w:instrText>
      </w:r>
      <w:r w:rsidRPr="009F12EA">
        <w:fldChar w:fldCharType="separate"/>
      </w:r>
      <w:r w:rsidR="009F0B74" w:rsidRPr="009F12EA">
        <w:t>Figure 37</w:t>
      </w:r>
      <w:r w:rsidRPr="009F12EA">
        <w:fldChar w:fldCharType="end"/>
      </w:r>
      <w:r w:rsidR="00BA28C4" w:rsidRPr="009F12EA">
        <w:t xml:space="preserve"> below provides an overview of </w:t>
      </w:r>
      <w:r w:rsidR="00415610" w:rsidRPr="009F12EA">
        <w:t>in</w:t>
      </w:r>
      <w:r w:rsidR="00BA28C4" w:rsidRPr="009F12EA">
        <w:t>continence in residential aged care services.</w:t>
      </w:r>
      <w:r w:rsidR="00E33323" w:rsidRPr="009F12EA">
        <w:t xml:space="preserve"> The data and references have been </w:t>
      </w:r>
      <w:r w:rsidR="006852D6" w:rsidRPr="009F12EA">
        <w:t>reviewed</w:t>
      </w:r>
      <w:r w:rsidR="00E33323" w:rsidRPr="009F12EA">
        <w:t xml:space="preserve"> March 2025.</w:t>
      </w:r>
    </w:p>
    <w:p w14:paraId="233B9786" w14:textId="6D3B91EA" w:rsidR="00BA28C4" w:rsidRPr="009F12EA" w:rsidRDefault="0014411A" w:rsidP="00314F78">
      <w:pPr>
        <w:pStyle w:val="Caption"/>
      </w:pPr>
      <w:bookmarkStart w:id="59" w:name="_Ref105084834"/>
      <w:r w:rsidRPr="009F12EA">
        <w:t>FIGURE </w:t>
      </w:r>
      <w:r w:rsidR="00BA28C4" w:rsidRPr="009F12EA">
        <w:fldChar w:fldCharType="begin"/>
      </w:r>
      <w:r w:rsidR="00BA28C4" w:rsidRPr="009F12EA">
        <w:instrText>SEQ Figure \* ARABIC</w:instrText>
      </w:r>
      <w:r w:rsidR="00BA28C4" w:rsidRPr="009F12EA">
        <w:fldChar w:fldCharType="separate"/>
      </w:r>
      <w:r w:rsidR="003A30D7">
        <w:rPr>
          <w:noProof/>
        </w:rPr>
        <w:t>37</w:t>
      </w:r>
      <w:r w:rsidR="00BA28C4" w:rsidRPr="009F12EA">
        <w:fldChar w:fldCharType="end"/>
      </w:r>
      <w:bookmarkEnd w:id="59"/>
      <w:r w:rsidRPr="009F12EA">
        <w:t>: INCONTINENCE IN RESIDENTIAL AGED CARE</w:t>
      </w:r>
      <w:r w:rsidR="009253DC">
        <w:rPr>
          <w:rFonts w:ascii="ZWAdobeF" w:hAnsi="ZWAdobeF" w:cs="ZWAdobeF"/>
          <w:b w:val="0"/>
          <w:color w:val="auto"/>
          <w:sz w:val="2"/>
          <w:szCs w:val="2"/>
        </w:rPr>
        <w:t>139F</w:t>
      </w:r>
      <w:r w:rsidR="004455AD" w:rsidRPr="00454D17">
        <w:rPr>
          <w:rStyle w:val="EndnoteReference"/>
        </w:rPr>
        <w:endnoteReference w:id="141"/>
      </w:r>
      <w:r w:rsidRPr="00454D17">
        <w:rPr>
          <w:rStyle w:val="EndnoteReference"/>
        </w:rPr>
        <w:t xml:space="preserve"> </w:t>
      </w:r>
      <w:r w:rsidR="009253DC">
        <w:rPr>
          <w:rFonts w:ascii="ZWAdobeF" w:hAnsi="ZWAdobeF" w:cs="ZWAdobeF"/>
          <w:b w:val="0"/>
          <w:color w:val="auto"/>
          <w:sz w:val="2"/>
          <w:szCs w:val="2"/>
        </w:rPr>
        <w:t>140F</w:t>
      </w:r>
      <w:r w:rsidR="00CE7D48" w:rsidRPr="00454D17">
        <w:rPr>
          <w:rStyle w:val="EndnoteReference"/>
        </w:rPr>
        <w:endnoteReference w:id="142"/>
      </w:r>
    </w:p>
    <w:p w14:paraId="4030A206" w14:textId="5B97B966" w:rsidR="00BA28C4" w:rsidRPr="002765D3" w:rsidRDefault="009C1A82" w:rsidP="00314F78">
      <w:r>
        <w:rPr>
          <w:noProof/>
        </w:rPr>
        <w:drawing>
          <wp:inline distT="0" distB="0" distL="0" distR="0" wp14:anchorId="3BF9BDF3" wp14:editId="3B9882B3">
            <wp:extent cx="5980692" cy="3867150"/>
            <wp:effectExtent l="0" t="0" r="0" b="0"/>
            <wp:docPr id="30" name="Picture 30" descr="P7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84#yIS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84801" cy="3869807"/>
                    </a:xfrm>
                    <a:prstGeom prst="rect">
                      <a:avLst/>
                    </a:prstGeom>
                    <a:noFill/>
                  </pic:spPr>
                </pic:pic>
              </a:graphicData>
            </a:graphic>
          </wp:inline>
        </w:drawing>
      </w:r>
      <w:r w:rsidR="00762324">
        <w:br w:type="page"/>
      </w:r>
    </w:p>
    <w:p w14:paraId="24C48D2C" w14:textId="6180DCAB" w:rsidR="00BA28C4" w:rsidRPr="009F12EA" w:rsidRDefault="000E5859" w:rsidP="0059348C">
      <w:pPr>
        <w:pStyle w:val="Heading2"/>
      </w:pPr>
      <w:r w:rsidRPr="009F12EA">
        <w:lastRenderedPageBreak/>
        <w:t xml:space="preserve">Understanding </w:t>
      </w:r>
      <w:r w:rsidR="00415610" w:rsidRPr="009F12EA">
        <w:t>in</w:t>
      </w:r>
      <w:r w:rsidRPr="009F12EA">
        <w:t>c</w:t>
      </w:r>
      <w:r w:rsidR="00BA28C4" w:rsidRPr="009F12EA">
        <w:t>ontinence in residential aged care</w:t>
      </w:r>
    </w:p>
    <w:p w14:paraId="31481BAB" w14:textId="08E70ACE" w:rsidR="00265331" w:rsidRPr="009F12EA" w:rsidRDefault="1843DA13" w:rsidP="00314F78">
      <w:r w:rsidRPr="009F12EA">
        <w:t xml:space="preserve">For the purposes of the QI Program, </w:t>
      </w:r>
      <w:r w:rsidR="71EFA6BC" w:rsidRPr="009F12EA">
        <w:t xml:space="preserve">incontinence is any accidental or involuntary loss of urine from the bladder (urinary incontinence) or faeces from the bowel (faecal incontinence). Incontinence can range in severity from a small leak to complete loss of bladder or bowel control. </w:t>
      </w:r>
      <w:r w:rsidR="00D87590" w:rsidRPr="00FD1B87">
        <w:t>Under</w:t>
      </w:r>
      <w:r w:rsidR="373C92A1" w:rsidRPr="00FD1B87">
        <w:t xml:space="preserve"> the QI Program, a care recipient has </w:t>
      </w:r>
      <w:r w:rsidR="373C92A1" w:rsidRPr="00454D17">
        <w:rPr>
          <w:rStyle w:val="Strong"/>
        </w:rPr>
        <w:t>incontinence</w:t>
      </w:r>
      <w:r w:rsidR="373C92A1" w:rsidRPr="00FD1B87">
        <w:t xml:space="preserve"> if bladder incontinence occurs more than once a day or bowel incontinence more than once a week, or if they require urinary catheters for passing urine.</w:t>
      </w:r>
      <w:r w:rsidR="373C92A1" w:rsidRPr="009F12EA">
        <w:t xml:space="preserve"> </w:t>
      </w:r>
    </w:p>
    <w:p w14:paraId="1290469F" w14:textId="1712F6D4" w:rsidR="00265331" w:rsidRPr="009F12EA" w:rsidRDefault="00265331" w:rsidP="00314F78">
      <w:r w:rsidRPr="009F12EA">
        <w:t xml:space="preserve">IAD is a type of irritant contact dermatitis arising primarily from inadequate </w:t>
      </w:r>
      <w:r w:rsidR="00D95836" w:rsidRPr="009F12EA">
        <w:t>in</w:t>
      </w:r>
      <w:r w:rsidRPr="009F12EA">
        <w:t>continence management.</w:t>
      </w:r>
    </w:p>
    <w:p w14:paraId="595CECB3" w14:textId="0CF2F5A5" w:rsidR="00192A0E" w:rsidRPr="009F12EA" w:rsidRDefault="71EFA6BC" w:rsidP="00314F78">
      <w:r w:rsidRPr="009F12EA">
        <w:t>A</w:t>
      </w:r>
      <w:r w:rsidR="2E9A3713" w:rsidRPr="009F12EA">
        <w:t xml:space="preserve">ged care providers </w:t>
      </w:r>
      <w:r w:rsidRPr="009F12EA">
        <w:t>can ensure people have access to the right treatments and support to assist bladder and bowel control and reduce risk factors for the development of IAD.</w:t>
      </w:r>
    </w:p>
    <w:p w14:paraId="26247C23" w14:textId="17A1F54A" w:rsidR="00930A69" w:rsidRPr="009F12EA" w:rsidRDefault="24509B3A" w:rsidP="00314F78">
      <w:r w:rsidRPr="009F12EA">
        <w:t>Incontinence is the third highest reason for transfer to residential aged care.</w:t>
      </w:r>
      <w:r w:rsidR="009253DC">
        <w:rPr>
          <w:rFonts w:ascii="ZWAdobeF" w:hAnsi="ZWAdobeF" w:cs="ZWAdobeF"/>
          <w:color w:val="auto"/>
          <w:sz w:val="2"/>
          <w:szCs w:val="2"/>
        </w:rPr>
        <w:t>141F</w:t>
      </w:r>
      <w:r w:rsidR="0055684A" w:rsidRPr="009F12EA">
        <w:rPr>
          <w:vertAlign w:val="superscript"/>
        </w:rPr>
        <w:endnoteReference w:id="143"/>
      </w:r>
      <w:r w:rsidR="4183A41E" w:rsidRPr="009F12EA">
        <w:rPr>
          <w:vertAlign w:val="superscript"/>
        </w:rPr>
        <w:t xml:space="preserve"> </w:t>
      </w:r>
      <w:r w:rsidR="4183A41E" w:rsidRPr="009F12EA">
        <w:t>I</w:t>
      </w:r>
      <w:r w:rsidR="0E0A1A34" w:rsidRPr="009F12EA">
        <w:t xml:space="preserve">nappropriate management of incontinence consistently ranks amongst the top </w:t>
      </w:r>
      <w:r w:rsidR="192336C7" w:rsidRPr="009F12EA">
        <w:t>ten</w:t>
      </w:r>
      <w:r w:rsidR="0E0A1A34" w:rsidRPr="009F12EA">
        <w:t xml:space="preserve"> consumer complaints made to the Aged Care Quality and Safety Commission (ACQSC), a clear indication that </w:t>
      </w:r>
      <w:r w:rsidR="280C7752" w:rsidRPr="009F12EA">
        <w:t>in</w:t>
      </w:r>
      <w:r w:rsidR="0E0A1A34" w:rsidRPr="009F12EA">
        <w:t>continence management in residential aged care can be improved.</w:t>
      </w:r>
      <w:r w:rsidR="009253DC">
        <w:rPr>
          <w:rFonts w:ascii="ZWAdobeF" w:hAnsi="ZWAdobeF" w:cs="ZWAdobeF"/>
          <w:color w:val="auto"/>
          <w:sz w:val="2"/>
          <w:szCs w:val="2"/>
        </w:rPr>
        <w:t>142F</w:t>
      </w:r>
      <w:r w:rsidR="00930A69" w:rsidRPr="009F12EA">
        <w:rPr>
          <w:vertAlign w:val="superscript"/>
        </w:rPr>
        <w:endnoteReference w:id="144"/>
      </w:r>
    </w:p>
    <w:p w14:paraId="4C79BD06" w14:textId="25082CB2" w:rsidR="004701A7" w:rsidRPr="009F12EA" w:rsidRDefault="2060610A" w:rsidP="00314F78">
      <w:r w:rsidRPr="009F12EA">
        <w:t>Prevalence of incontinence in Australian residential aged care is estimated between 75 and 81</w:t>
      </w:r>
      <w:r w:rsidR="00991D40" w:rsidRPr="009F12EA">
        <w:t xml:space="preserve"> per cent</w:t>
      </w:r>
      <w:r w:rsidRPr="009F12EA">
        <w:t>.</w:t>
      </w:r>
      <w:r w:rsidR="009253DC">
        <w:rPr>
          <w:rFonts w:ascii="ZWAdobeF" w:hAnsi="ZWAdobeF" w:cs="ZWAdobeF"/>
          <w:color w:val="auto"/>
          <w:sz w:val="2"/>
          <w:szCs w:val="2"/>
        </w:rPr>
        <w:t>143F</w:t>
      </w:r>
      <w:r w:rsidR="00514B88" w:rsidRPr="009F12EA">
        <w:rPr>
          <w:vertAlign w:val="superscript"/>
        </w:rPr>
        <w:endnoteReference w:id="145"/>
      </w:r>
      <w:r w:rsidRPr="009F12EA">
        <w:t xml:space="preserve"> In 2009, 67</w:t>
      </w:r>
      <w:r w:rsidR="00991D40" w:rsidRPr="009F12EA">
        <w:t xml:space="preserve"> per cent</w:t>
      </w:r>
      <w:r w:rsidRPr="009F12EA">
        <w:t xml:space="preserve"> of care recipients in residential aged care required care for urinary incontinence, and 55</w:t>
      </w:r>
      <w:r w:rsidR="00991D40" w:rsidRPr="009F12EA">
        <w:t xml:space="preserve"> per cent</w:t>
      </w:r>
      <w:r w:rsidRPr="009F12EA">
        <w:t xml:space="preserve"> were reported to require care for faecal incontinence</w:t>
      </w:r>
      <w:r w:rsidR="00CD206A" w:rsidRPr="009F12EA">
        <w:t>.</w:t>
      </w:r>
      <w:r w:rsidR="009253DC">
        <w:rPr>
          <w:rFonts w:ascii="ZWAdobeF" w:hAnsi="ZWAdobeF" w:cs="ZWAdobeF"/>
          <w:color w:val="auto"/>
          <w:sz w:val="2"/>
          <w:szCs w:val="2"/>
        </w:rPr>
        <w:t>144F</w:t>
      </w:r>
      <w:r w:rsidR="00CD206A" w:rsidRPr="009F12EA">
        <w:rPr>
          <w:vertAlign w:val="superscript"/>
        </w:rPr>
        <w:endnoteReference w:id="146"/>
      </w:r>
      <w:r w:rsidR="00CD206A" w:rsidRPr="009F12EA">
        <w:t xml:space="preserve"> </w:t>
      </w:r>
      <w:r w:rsidR="004701A7" w:rsidRPr="009F12EA">
        <w:t xml:space="preserve">Prevalence </w:t>
      </w:r>
      <w:r w:rsidR="003926B7" w:rsidRPr="009F12EA">
        <w:t>of IAD in Australian residential aged care is currently unknown, however is likely to be similar to pressure injuries.</w:t>
      </w:r>
      <w:r w:rsidR="009253DC">
        <w:rPr>
          <w:rFonts w:ascii="ZWAdobeF" w:hAnsi="ZWAdobeF" w:cs="ZWAdobeF"/>
          <w:color w:val="auto"/>
          <w:sz w:val="2"/>
          <w:szCs w:val="2"/>
        </w:rPr>
        <w:t>145F</w:t>
      </w:r>
      <w:r w:rsidR="003926B7" w:rsidRPr="009F12EA">
        <w:rPr>
          <w:vertAlign w:val="superscript"/>
        </w:rPr>
        <w:endnoteReference w:id="147"/>
      </w:r>
      <w:r w:rsidR="003926B7" w:rsidRPr="009F12EA">
        <w:rPr>
          <w:vertAlign w:val="superscript"/>
        </w:rPr>
        <w:t xml:space="preserve"> </w:t>
      </w:r>
      <w:r w:rsidR="0048671B" w:rsidRPr="009F12EA">
        <w:t xml:space="preserve">A review of the literature on prevalence estimates </w:t>
      </w:r>
      <w:r w:rsidR="003926B7" w:rsidRPr="009F12EA">
        <w:t xml:space="preserve">of </w:t>
      </w:r>
      <w:r w:rsidR="004701A7" w:rsidRPr="009F12EA">
        <w:t>IAD</w:t>
      </w:r>
      <w:r w:rsidR="003926B7" w:rsidRPr="009F12EA">
        <w:t xml:space="preserve"> </w:t>
      </w:r>
      <w:r w:rsidR="005B38DB" w:rsidRPr="009F12EA">
        <w:t xml:space="preserve">in </w:t>
      </w:r>
      <w:r w:rsidR="0048671B" w:rsidRPr="009F12EA">
        <w:t>residential aged care settings varies, but has been reported</w:t>
      </w:r>
      <w:r w:rsidR="005B38DB" w:rsidRPr="009F12EA">
        <w:t xml:space="preserve"> </w:t>
      </w:r>
      <w:r w:rsidR="004701A7" w:rsidRPr="009F12EA">
        <w:t>between 6 and 23 per cent.</w:t>
      </w:r>
      <w:r w:rsidR="009253DC">
        <w:rPr>
          <w:rFonts w:ascii="ZWAdobeF" w:hAnsi="ZWAdobeF" w:cs="ZWAdobeF"/>
          <w:color w:val="auto"/>
          <w:sz w:val="2"/>
          <w:szCs w:val="2"/>
        </w:rPr>
        <w:t>146F</w:t>
      </w:r>
      <w:r w:rsidR="0048671B" w:rsidRPr="009F12EA">
        <w:rPr>
          <w:vertAlign w:val="superscript"/>
        </w:rPr>
        <w:endnoteReference w:id="148"/>
      </w:r>
      <w:r w:rsidR="00D95836" w:rsidRPr="009F12EA">
        <w:t xml:space="preserve"> The frequency of IAD with good continence management and skin care can be reduced.</w:t>
      </w:r>
    </w:p>
    <w:p w14:paraId="192642D6" w14:textId="76524DAC" w:rsidR="00BA28C4" w:rsidRPr="009F12EA" w:rsidRDefault="24F5D2F1" w:rsidP="00314F78">
      <w:r w:rsidRPr="009F12EA">
        <w:t>R</w:t>
      </w:r>
      <w:r w:rsidR="0800A6EF" w:rsidRPr="009F12EA">
        <w:t>eliable</w:t>
      </w:r>
      <w:r w:rsidR="6587B54F" w:rsidRPr="009F12EA">
        <w:t xml:space="preserve"> quality </w:t>
      </w:r>
      <w:r w:rsidR="1578731F" w:rsidRPr="009F12EA">
        <w:t xml:space="preserve">indicators </w:t>
      </w:r>
      <w:r w:rsidR="58B90061" w:rsidRPr="009F12EA">
        <w:t>that measure the outcome</w:t>
      </w:r>
      <w:r w:rsidR="5BF6FE9E" w:rsidRPr="009F12EA">
        <w:t>s</w:t>
      </w:r>
      <w:r w:rsidR="58B90061" w:rsidRPr="009F12EA">
        <w:t xml:space="preserve"> of </w:t>
      </w:r>
      <w:r w:rsidR="280C7752" w:rsidRPr="009F12EA">
        <w:t>in</w:t>
      </w:r>
      <w:r w:rsidR="58B90061" w:rsidRPr="009F12EA">
        <w:t>continence care</w:t>
      </w:r>
      <w:r w:rsidRPr="009F12EA">
        <w:t xml:space="preserve"> are not available</w:t>
      </w:r>
      <w:r w:rsidR="35BFA08E" w:rsidRPr="009F12EA">
        <w:t xml:space="preserve">. </w:t>
      </w:r>
      <w:r w:rsidRPr="009F12EA">
        <w:t xml:space="preserve">However, </w:t>
      </w:r>
      <w:r w:rsidR="4ED6822F" w:rsidRPr="009F12EA">
        <w:t xml:space="preserve">quality of incontinence care </w:t>
      </w:r>
      <w:r w:rsidR="280C7752" w:rsidRPr="009F12EA">
        <w:t>may</w:t>
      </w:r>
      <w:r w:rsidR="4ED6822F" w:rsidRPr="009F12EA">
        <w:t xml:space="preserve"> be measured by the prevalence of poor outcomes</w:t>
      </w:r>
      <w:r w:rsidR="7706C9FD" w:rsidRPr="009F12EA">
        <w:t>.</w:t>
      </w:r>
      <w:r w:rsidRPr="009F12EA">
        <w:t xml:space="preserve"> </w:t>
      </w:r>
      <w:r w:rsidR="4ED6822F" w:rsidRPr="009F12EA">
        <w:t xml:space="preserve">IAD </w:t>
      </w:r>
      <w:r w:rsidRPr="009F12EA">
        <w:t xml:space="preserve">can be </w:t>
      </w:r>
      <w:r w:rsidR="09ECD40D" w:rsidRPr="009F12EA">
        <w:t xml:space="preserve">reliably </w:t>
      </w:r>
      <w:r w:rsidR="00193198" w:rsidRPr="009F12EA">
        <w:t>measured and</w:t>
      </w:r>
      <w:r w:rsidRPr="009F12EA">
        <w:t xml:space="preserve"> </w:t>
      </w:r>
      <w:r w:rsidR="280C7752" w:rsidRPr="009F12EA">
        <w:t xml:space="preserve">is suitable </w:t>
      </w:r>
      <w:r w:rsidRPr="009F12EA">
        <w:t xml:space="preserve">as an indirect measure of </w:t>
      </w:r>
      <w:r w:rsidR="7706C9FD" w:rsidRPr="009F12EA">
        <w:t>in</w:t>
      </w:r>
      <w:r w:rsidRPr="009F12EA">
        <w:t>continence care</w:t>
      </w:r>
      <w:r w:rsidR="280C7752" w:rsidRPr="009F12EA">
        <w:t xml:space="preserve"> quality</w:t>
      </w:r>
      <w:r w:rsidRPr="009F12EA">
        <w:t>.</w:t>
      </w:r>
    </w:p>
    <w:p w14:paraId="2F93DBCF" w14:textId="7F70BB09" w:rsidR="00D03876" w:rsidRPr="009F12EA" w:rsidRDefault="008676D6" w:rsidP="00314F78">
      <w:r w:rsidRPr="009F12EA">
        <w:t>F</w:t>
      </w:r>
      <w:r w:rsidR="00807586" w:rsidRPr="009F12EA">
        <w:t xml:space="preserve">actors that </w:t>
      </w:r>
      <w:r w:rsidR="00AB5404" w:rsidRPr="009F12EA">
        <w:t xml:space="preserve">drive the frequency of IAD also affect the </w:t>
      </w:r>
      <w:r w:rsidR="0085199E" w:rsidRPr="009F12EA">
        <w:t>rate of pressure injury</w:t>
      </w:r>
      <w:r w:rsidR="007351F4" w:rsidRPr="009F12EA">
        <w:t xml:space="preserve"> </w:t>
      </w:r>
      <w:r w:rsidR="00C31564" w:rsidRPr="009F12EA">
        <w:t>—</w:t>
      </w:r>
      <w:r w:rsidR="007351F4" w:rsidRPr="009F12EA">
        <w:t xml:space="preserve"> </w:t>
      </w:r>
      <w:r w:rsidR="00D95836" w:rsidRPr="009F12EA">
        <w:t>in</w:t>
      </w:r>
      <w:r w:rsidR="00C51045" w:rsidRPr="009F12EA">
        <w:t xml:space="preserve">continence </w:t>
      </w:r>
      <w:r w:rsidR="001811BB" w:rsidRPr="009F12EA">
        <w:t>management and skin care.</w:t>
      </w:r>
    </w:p>
    <w:p w14:paraId="5B66187F" w14:textId="3E3E998D" w:rsidR="00BA28C4" w:rsidRPr="009F12EA" w:rsidRDefault="00BA28C4" w:rsidP="00314F78">
      <w:r w:rsidRPr="009F12EA">
        <w:t xml:space="preserve">Details of collection and reporting requirements for </w:t>
      </w:r>
      <w:r w:rsidR="001E0211" w:rsidRPr="009F12EA">
        <w:t xml:space="preserve">the </w:t>
      </w:r>
      <w:r w:rsidR="009C72D0" w:rsidRPr="009F12EA">
        <w:t>in</w:t>
      </w:r>
      <w:r w:rsidRPr="009F12EA">
        <w:t xml:space="preserve">continence </w:t>
      </w:r>
      <w:r w:rsidR="009C72D0" w:rsidRPr="009F12EA">
        <w:t xml:space="preserve">care </w:t>
      </w:r>
      <w:r w:rsidR="001E0211" w:rsidRPr="009F12EA">
        <w:t xml:space="preserve">quality indicator </w:t>
      </w:r>
      <w:r w:rsidRPr="009F12EA">
        <w:t>can be found in Part</w:t>
      </w:r>
      <w:r w:rsidR="00322144" w:rsidRPr="009F12EA">
        <w:t> </w:t>
      </w:r>
      <w:r w:rsidRPr="009F12EA">
        <w:t>A.</w:t>
      </w:r>
    </w:p>
    <w:p w14:paraId="3F49B83F" w14:textId="1602D50B" w:rsidR="00BA28C4" w:rsidRPr="002739DE" w:rsidRDefault="00BA28C4" w:rsidP="0059348C">
      <w:pPr>
        <w:pStyle w:val="Heading2"/>
      </w:pPr>
      <w:r w:rsidRPr="002739DE">
        <w:t>Causes of incontinence</w:t>
      </w:r>
    </w:p>
    <w:p w14:paraId="7F5F9BF0" w14:textId="2489748F" w:rsidR="004F7610" w:rsidRPr="002739DE" w:rsidRDefault="004F7610" w:rsidP="00314F78">
      <w:r w:rsidRPr="002739DE">
        <w:t>There are a wide variety of causes of incontinence</w:t>
      </w:r>
      <w:r w:rsidR="007310E4" w:rsidRPr="002739DE">
        <w:t xml:space="preserve">, </w:t>
      </w:r>
      <w:r w:rsidR="00B924E5" w:rsidRPr="002739DE">
        <w:t>including</w:t>
      </w:r>
      <w:r w:rsidR="00033051" w:rsidRPr="002739DE">
        <w:t xml:space="preserve"> general health, neurological </w:t>
      </w:r>
      <w:r w:rsidR="006B361B" w:rsidRPr="002739DE">
        <w:t>con</w:t>
      </w:r>
      <w:r w:rsidR="00AB446F" w:rsidRPr="002739DE">
        <w:t>ditions</w:t>
      </w:r>
      <w:r w:rsidR="00926713" w:rsidRPr="002739DE">
        <w:t>, and muscular dysfunction</w:t>
      </w:r>
      <w:r w:rsidR="00AB446F" w:rsidRPr="002739DE">
        <w:t xml:space="preserve">. </w:t>
      </w:r>
      <w:r w:rsidR="00926713" w:rsidRPr="002739DE">
        <w:t>For</w:t>
      </w:r>
      <w:r w:rsidR="005A4A61" w:rsidRPr="002739DE">
        <w:t xml:space="preserve"> many </w:t>
      </w:r>
      <w:r w:rsidR="00E13E5E" w:rsidRPr="002739DE">
        <w:t>care recipients</w:t>
      </w:r>
      <w:r w:rsidR="005A4A61" w:rsidRPr="002739DE">
        <w:t>, the</w:t>
      </w:r>
      <w:r w:rsidR="00E13E5E" w:rsidRPr="002739DE">
        <w:t xml:space="preserve"> cause of their incontinence</w:t>
      </w:r>
      <w:r w:rsidR="005A4A61" w:rsidRPr="002739DE">
        <w:t xml:space="preserve"> is mult</w:t>
      </w:r>
      <w:r w:rsidR="007F67F2" w:rsidRPr="002739DE">
        <w:t>i</w:t>
      </w:r>
      <w:r w:rsidR="000654EC" w:rsidRPr="002739DE">
        <w:t>-dimensional</w:t>
      </w:r>
      <w:r w:rsidR="00700B7F" w:rsidRPr="002739DE">
        <w:t>.</w:t>
      </w:r>
    </w:p>
    <w:p w14:paraId="0A2E24D4" w14:textId="45A760C9" w:rsidR="00BA28C4" w:rsidRPr="002739DE" w:rsidRDefault="0E0A1A34" w:rsidP="00314F78">
      <w:r w:rsidRPr="002739DE">
        <w:t>Commonly associated conditions are</w:t>
      </w:r>
      <w:r w:rsidR="6073A5B9" w:rsidRPr="002739DE">
        <w:t>:</w:t>
      </w:r>
      <w:r w:rsidR="009253DC">
        <w:rPr>
          <w:rFonts w:ascii="ZWAdobeF" w:hAnsi="ZWAdobeF" w:cs="ZWAdobeF"/>
          <w:color w:val="auto"/>
          <w:sz w:val="2"/>
          <w:szCs w:val="2"/>
        </w:rPr>
        <w:t>147F</w:t>
      </w:r>
      <w:r w:rsidR="00930A69" w:rsidRPr="002739DE">
        <w:rPr>
          <w:vertAlign w:val="superscript"/>
        </w:rPr>
        <w:endnoteReference w:id="149"/>
      </w:r>
    </w:p>
    <w:p w14:paraId="2747879F" w14:textId="6E3EB9D5" w:rsidR="00BA28C4" w:rsidRPr="002739DE" w:rsidRDefault="00BA28C4" w:rsidP="00314F78">
      <w:pPr>
        <w:pStyle w:val="ListBullet"/>
      </w:pPr>
      <w:r w:rsidRPr="002739DE">
        <w:t xml:space="preserve">pelvic </w:t>
      </w:r>
      <w:r w:rsidR="00930A69" w:rsidRPr="002739DE">
        <w:t>f</w:t>
      </w:r>
      <w:r w:rsidRPr="002739DE">
        <w:t xml:space="preserve">loor </w:t>
      </w:r>
      <w:r w:rsidR="00144052" w:rsidRPr="002739DE">
        <w:t>weakness/</w:t>
      </w:r>
      <w:r w:rsidRPr="002739DE">
        <w:t>dysfunction/damage</w:t>
      </w:r>
    </w:p>
    <w:p w14:paraId="7E2AB7D9" w14:textId="0D330AF7" w:rsidR="00BA28C4" w:rsidRPr="002739DE" w:rsidRDefault="00937409" w:rsidP="00314F78">
      <w:pPr>
        <w:pStyle w:val="ListBullet"/>
      </w:pPr>
      <w:r w:rsidRPr="002739DE">
        <w:t>rectal</w:t>
      </w:r>
      <w:r w:rsidR="00BA28C4" w:rsidRPr="002739DE">
        <w:t xml:space="preserve"> dysfunction/damage</w:t>
      </w:r>
    </w:p>
    <w:p w14:paraId="47DBFEE9" w14:textId="77777777" w:rsidR="00BA28C4" w:rsidRPr="002739DE" w:rsidRDefault="00BA28C4" w:rsidP="00314F78">
      <w:pPr>
        <w:pStyle w:val="ListBullet"/>
      </w:pPr>
      <w:r w:rsidRPr="002739DE">
        <w:t>pregnancy and childbirth</w:t>
      </w:r>
    </w:p>
    <w:p w14:paraId="5DCF0CE1" w14:textId="77777777" w:rsidR="00BA28C4" w:rsidRPr="002739DE" w:rsidRDefault="00BA28C4" w:rsidP="00314F78">
      <w:pPr>
        <w:pStyle w:val="ListBullet"/>
      </w:pPr>
      <w:r w:rsidRPr="002739DE">
        <w:t>menopause</w:t>
      </w:r>
    </w:p>
    <w:p w14:paraId="6B2E0494" w14:textId="77777777" w:rsidR="00BA28C4" w:rsidRPr="002739DE" w:rsidRDefault="00BA28C4" w:rsidP="00314F78">
      <w:pPr>
        <w:pStyle w:val="ListBullet"/>
      </w:pPr>
      <w:r w:rsidRPr="002739DE">
        <w:lastRenderedPageBreak/>
        <w:t>prostate enlargement</w:t>
      </w:r>
    </w:p>
    <w:p w14:paraId="5F7290BC" w14:textId="7D7E5DCB" w:rsidR="00BA28C4" w:rsidRPr="002739DE" w:rsidRDefault="00653E0A" w:rsidP="00314F78">
      <w:pPr>
        <w:pStyle w:val="ListBullet"/>
      </w:pPr>
      <w:r w:rsidRPr="002739DE">
        <w:t xml:space="preserve">urinary or faecal </w:t>
      </w:r>
      <w:r w:rsidR="00BA28C4" w:rsidRPr="002739DE">
        <w:t>obstruction</w:t>
      </w:r>
    </w:p>
    <w:p w14:paraId="3297D2F3" w14:textId="48FBB71A" w:rsidR="00937409" w:rsidRPr="002739DE" w:rsidRDefault="00BA28C4" w:rsidP="00314F78">
      <w:pPr>
        <w:pStyle w:val="ListBullet"/>
      </w:pPr>
      <w:r w:rsidRPr="002739DE">
        <w:t>neurological disorders</w:t>
      </w:r>
    </w:p>
    <w:p w14:paraId="47CF8D60" w14:textId="268175C3" w:rsidR="00136BCD" w:rsidRPr="002739DE" w:rsidRDefault="00136BCD" w:rsidP="00314F78">
      <w:pPr>
        <w:pStyle w:val="ListBullet"/>
      </w:pPr>
      <w:r w:rsidRPr="002739DE">
        <w:t>pain</w:t>
      </w:r>
    </w:p>
    <w:p w14:paraId="0E30FCBA" w14:textId="2B7F2D5B" w:rsidR="00937409" w:rsidRPr="002739DE" w:rsidRDefault="00937409" w:rsidP="00314F78">
      <w:pPr>
        <w:pStyle w:val="ListBullet"/>
      </w:pPr>
      <w:r w:rsidRPr="002739DE">
        <w:t>cognitive impairment</w:t>
      </w:r>
    </w:p>
    <w:p w14:paraId="49275696" w14:textId="48D1A10A" w:rsidR="00BA28C4" w:rsidRPr="002739DE" w:rsidRDefault="00937409" w:rsidP="00314F78">
      <w:pPr>
        <w:pStyle w:val="ListBullet"/>
      </w:pPr>
      <w:r w:rsidRPr="002739DE">
        <w:t>mobility and functional impairment</w:t>
      </w:r>
      <w:r w:rsidR="00144052" w:rsidRPr="002739DE">
        <w:t>.</w:t>
      </w:r>
    </w:p>
    <w:p w14:paraId="591280B2" w14:textId="341F5BA1" w:rsidR="00BA28C4" w:rsidRPr="002739DE" w:rsidRDefault="00BA28C4" w:rsidP="0059348C">
      <w:pPr>
        <w:pStyle w:val="Heading2"/>
      </w:pPr>
      <w:r w:rsidRPr="002739DE">
        <w:t>Risk factors for incontinence</w:t>
      </w:r>
    </w:p>
    <w:p w14:paraId="5D246C9C" w14:textId="4138E63C" w:rsidR="005047FC" w:rsidRPr="002739DE" w:rsidRDefault="3E48C6DD" w:rsidP="00314F78">
      <w:r w:rsidRPr="002739DE">
        <w:t xml:space="preserve">There are many risk factors for incontinence in </w:t>
      </w:r>
      <w:r w:rsidR="44D63BA3" w:rsidRPr="002739DE">
        <w:t xml:space="preserve">older </w:t>
      </w:r>
      <w:r w:rsidRPr="002739DE">
        <w:t>adults, including social, physical, psychological, emotional</w:t>
      </w:r>
      <w:r w:rsidR="1C5B9B4A" w:rsidRPr="002739DE">
        <w:t>, and environmental</w:t>
      </w:r>
      <w:r w:rsidR="7DDD4841" w:rsidRPr="002739DE">
        <w:t xml:space="preserve"> (</w:t>
      </w:r>
      <w:r w:rsidRPr="002739DE">
        <w:t xml:space="preserve">the care </w:t>
      </w:r>
      <w:r w:rsidR="7DDD4841" w:rsidRPr="002739DE">
        <w:t>facility)</w:t>
      </w:r>
      <w:r w:rsidRPr="002739DE">
        <w:t>, as described in</w:t>
      </w:r>
      <w:r w:rsidR="50C8165C" w:rsidRPr="002739DE">
        <w:t xml:space="preserve"> Figure 38</w:t>
      </w:r>
      <w:r w:rsidRPr="002739DE">
        <w:t>.</w:t>
      </w:r>
      <w:r w:rsidR="009253DC">
        <w:rPr>
          <w:rFonts w:ascii="ZWAdobeF" w:hAnsi="ZWAdobeF" w:cs="ZWAdobeF"/>
          <w:color w:val="auto"/>
          <w:sz w:val="2"/>
          <w:szCs w:val="2"/>
        </w:rPr>
        <w:t>148F</w:t>
      </w:r>
      <w:r w:rsidR="005047FC" w:rsidRPr="002739DE">
        <w:rPr>
          <w:vertAlign w:val="superscript"/>
        </w:rPr>
        <w:endnoteReference w:id="150"/>
      </w:r>
    </w:p>
    <w:p w14:paraId="5ED2EEEA" w14:textId="047CEF63" w:rsidR="005047FC" w:rsidRPr="002739DE" w:rsidRDefault="00C666B9" w:rsidP="00314F78">
      <w:pPr>
        <w:pStyle w:val="Caption"/>
      </w:pPr>
      <w:r w:rsidRPr="002739DE">
        <w:t>FIGURE </w:t>
      </w:r>
      <w:r w:rsidR="005047FC" w:rsidRPr="002739DE">
        <w:fldChar w:fldCharType="begin"/>
      </w:r>
      <w:r w:rsidR="005047FC" w:rsidRPr="002739DE">
        <w:instrText>SEQ Figure \* ARABIC</w:instrText>
      </w:r>
      <w:r w:rsidR="005047FC" w:rsidRPr="002739DE">
        <w:fldChar w:fldCharType="separate"/>
      </w:r>
      <w:r w:rsidR="003A30D7">
        <w:rPr>
          <w:noProof/>
        </w:rPr>
        <w:t>38</w:t>
      </w:r>
      <w:r w:rsidR="005047FC" w:rsidRPr="002739DE">
        <w:fldChar w:fldCharType="end"/>
      </w:r>
      <w:r w:rsidRPr="002739DE">
        <w:t>: RISK FACTORS FOR INCONTINENCE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7A3735" w:rsidRPr="002765D3" w14:paraId="411EBBD1" w14:textId="77777777" w:rsidTr="189D3658">
        <w:trPr>
          <w:tblHeader/>
        </w:trPr>
        <w:tc>
          <w:tcPr>
            <w:tcW w:w="2407" w:type="dxa"/>
            <w:tcBorders>
              <w:bottom w:val="nil"/>
            </w:tcBorders>
            <w:shd w:val="clear" w:color="auto" w:fill="004C90" w:themeFill="accent1"/>
            <w:vAlign w:val="center"/>
          </w:tcPr>
          <w:p w14:paraId="07481EB6" w14:textId="4BA136A8" w:rsidR="007A3735" w:rsidRPr="002765D3" w:rsidRDefault="007A3735" w:rsidP="00314F78">
            <w:pPr>
              <w:pStyle w:val="GraphicBlockHeading"/>
            </w:pPr>
            <w:r w:rsidRPr="002765D3">
              <w:t>SOCIAL CAUSES</w:t>
            </w:r>
          </w:p>
        </w:tc>
        <w:tc>
          <w:tcPr>
            <w:tcW w:w="2407" w:type="dxa"/>
            <w:tcBorders>
              <w:bottom w:val="nil"/>
            </w:tcBorders>
            <w:shd w:val="clear" w:color="auto" w:fill="00B3C3" w:themeFill="accent2"/>
            <w:vAlign w:val="center"/>
          </w:tcPr>
          <w:p w14:paraId="74CECEBB" w14:textId="02BAB090" w:rsidR="007A3735" w:rsidRPr="002765D3" w:rsidRDefault="007A3735" w:rsidP="00314F78">
            <w:pPr>
              <w:pStyle w:val="GraphicBlockHeading"/>
            </w:pPr>
            <w:r w:rsidRPr="002765D3">
              <w:t xml:space="preserve">PHYSICAL </w:t>
            </w:r>
            <w:r>
              <w:t>RISK FACTORS</w:t>
            </w:r>
          </w:p>
        </w:tc>
        <w:tc>
          <w:tcPr>
            <w:tcW w:w="2407" w:type="dxa"/>
            <w:tcBorders>
              <w:bottom w:val="nil"/>
            </w:tcBorders>
            <w:shd w:val="clear" w:color="auto" w:fill="0090D4" w:themeFill="accent3"/>
            <w:vAlign w:val="center"/>
          </w:tcPr>
          <w:p w14:paraId="3CDDD8FD" w14:textId="48AB3AB8" w:rsidR="007A3735" w:rsidRPr="002765D3" w:rsidRDefault="009B357B" w:rsidP="00314F78">
            <w:pPr>
              <w:pStyle w:val="GraphicBlockHeading"/>
            </w:pPr>
            <w:r>
              <w:t xml:space="preserve">COGNITIVE, </w:t>
            </w:r>
            <w:r w:rsidR="007A3735" w:rsidRPr="002765D3">
              <w:t xml:space="preserve">PSYCHOLOGICAL AND EMOTIONAL </w:t>
            </w:r>
            <w:r w:rsidR="007A3735">
              <w:t>RISK FACTORS</w:t>
            </w:r>
          </w:p>
        </w:tc>
        <w:tc>
          <w:tcPr>
            <w:tcW w:w="2407" w:type="dxa"/>
            <w:tcBorders>
              <w:bottom w:val="nil"/>
            </w:tcBorders>
            <w:shd w:val="clear" w:color="auto" w:fill="008995" w:themeFill="accent4"/>
            <w:vAlign w:val="center"/>
          </w:tcPr>
          <w:p w14:paraId="25DA41E5" w14:textId="4F143C82" w:rsidR="007A3735" w:rsidRPr="002765D3" w:rsidRDefault="007A3735" w:rsidP="00314F78">
            <w:pPr>
              <w:pStyle w:val="GraphicBlockHeading"/>
            </w:pPr>
            <w:r w:rsidRPr="002765D3">
              <w:t xml:space="preserve">CARE SETTING </w:t>
            </w:r>
            <w:r>
              <w:t>RISK FACTORS</w:t>
            </w:r>
          </w:p>
        </w:tc>
      </w:tr>
      <w:tr w:rsidR="007A3735" w:rsidRPr="002765D3" w14:paraId="04BAFF81" w14:textId="77777777" w:rsidTr="189D3658">
        <w:tc>
          <w:tcPr>
            <w:tcW w:w="2407" w:type="dxa"/>
            <w:tcBorders>
              <w:bottom w:val="nil"/>
            </w:tcBorders>
          </w:tcPr>
          <w:p w14:paraId="4D0E52B4" w14:textId="77777777" w:rsidR="007A3735" w:rsidRPr="003005A7" w:rsidRDefault="007A3735" w:rsidP="00314F78">
            <w:pPr>
              <w:pStyle w:val="TableHeader"/>
            </w:pPr>
            <w:r w:rsidRPr="003005A7">
              <w:t>Cultural factors</w:t>
            </w:r>
          </w:p>
          <w:p w14:paraId="784CB7D9" w14:textId="7C1015FA" w:rsidR="004F79D0" w:rsidRPr="002D142A" w:rsidRDefault="002D0A03" w:rsidP="00314F78">
            <w:r w:rsidRPr="002D142A">
              <w:t>Around condition, s</w:t>
            </w:r>
            <w:r w:rsidR="004F79D0" w:rsidRPr="002D142A">
              <w:t xml:space="preserve">ensitivity seeking help, </w:t>
            </w:r>
            <w:r w:rsidR="005A0905" w:rsidRPr="002D142A">
              <w:t>support from</w:t>
            </w:r>
            <w:r w:rsidR="004F79D0" w:rsidRPr="002D142A">
              <w:t xml:space="preserve"> carers</w:t>
            </w:r>
            <w:r w:rsidR="005A0905" w:rsidRPr="002D142A">
              <w:t xml:space="preserve"> of a different</w:t>
            </w:r>
            <w:r w:rsidR="004F79D0" w:rsidRPr="002D142A">
              <w:t xml:space="preserve"> </w:t>
            </w:r>
            <w:r w:rsidR="005A0905" w:rsidRPr="002D142A">
              <w:t>gender</w:t>
            </w:r>
            <w:r w:rsidR="00B639DF" w:rsidRPr="002D142A">
              <w:t xml:space="preserve">, </w:t>
            </w:r>
            <w:r w:rsidR="009B357B" w:rsidRPr="002D142A">
              <w:t xml:space="preserve">or deficient </w:t>
            </w:r>
            <w:r w:rsidR="00B639DF" w:rsidRPr="002D142A">
              <w:t xml:space="preserve">cultural </w:t>
            </w:r>
            <w:r w:rsidR="009B357B" w:rsidRPr="002D142A">
              <w:t>safety</w:t>
            </w:r>
          </w:p>
        </w:tc>
        <w:tc>
          <w:tcPr>
            <w:tcW w:w="2407" w:type="dxa"/>
            <w:tcBorders>
              <w:bottom w:val="nil"/>
            </w:tcBorders>
          </w:tcPr>
          <w:p w14:paraId="3235F399" w14:textId="4F361F4B" w:rsidR="007A3735" w:rsidRPr="002D142A" w:rsidRDefault="007A3735" w:rsidP="00314F78">
            <w:pPr>
              <w:rPr>
                <w:rStyle w:val="Strong"/>
              </w:rPr>
            </w:pPr>
            <w:r w:rsidRPr="002D142A">
              <w:rPr>
                <w:rStyle w:val="Strong"/>
              </w:rPr>
              <w:t>Physiological changes of ageing</w:t>
            </w:r>
          </w:p>
          <w:p w14:paraId="6A5B4E9E" w14:textId="0EDF74CB" w:rsidR="007A3735" w:rsidRPr="003005A7" w:rsidRDefault="007A3735" w:rsidP="00314F78">
            <w:pPr>
              <w:pStyle w:val="TableHeader"/>
            </w:pPr>
            <w:r w:rsidRPr="003005A7">
              <w:t>Comorbi</w:t>
            </w:r>
            <w:r w:rsidR="007A4E57" w:rsidRPr="003005A7">
              <w:t>di</w:t>
            </w:r>
            <w:r w:rsidRPr="003005A7">
              <w:t>ties</w:t>
            </w:r>
          </w:p>
          <w:p w14:paraId="5ACF007C" w14:textId="48494C2B" w:rsidR="007A3735" w:rsidRPr="002739DE" w:rsidRDefault="007A3735" w:rsidP="00314F78">
            <w:r w:rsidRPr="002739DE">
              <w:t>Acute illness, cancer, pain, constipation</w:t>
            </w:r>
          </w:p>
          <w:p w14:paraId="52526EF6" w14:textId="77777777" w:rsidR="007A3735" w:rsidRPr="003005A7" w:rsidRDefault="007A3735" w:rsidP="00314F78">
            <w:pPr>
              <w:pStyle w:val="TableHeader"/>
            </w:pPr>
            <w:r w:rsidRPr="003005A7">
              <w:t>Medication related</w:t>
            </w:r>
          </w:p>
          <w:p w14:paraId="3F77AC02" w14:textId="335F0094" w:rsidR="007A3735" w:rsidRPr="002739DE" w:rsidRDefault="007A3735" w:rsidP="00314F78">
            <w:r w:rsidRPr="002739DE">
              <w:t>Polypharmacy</w:t>
            </w:r>
            <w:r w:rsidR="007A4E57" w:rsidRPr="002739DE">
              <w:t>, diuretic medicines</w:t>
            </w:r>
            <w:r w:rsidR="00E80198" w:rsidRPr="002739DE">
              <w:t>, analgesics</w:t>
            </w:r>
          </w:p>
          <w:p w14:paraId="6D0E9DFE" w14:textId="77777777" w:rsidR="007A3735" w:rsidRPr="003005A7" w:rsidRDefault="007A3735" w:rsidP="00314F78">
            <w:pPr>
              <w:pStyle w:val="TableHeader"/>
            </w:pPr>
            <w:r w:rsidRPr="003005A7">
              <w:t>Functional issues</w:t>
            </w:r>
          </w:p>
          <w:p w14:paraId="55316408" w14:textId="77777777" w:rsidR="007A3735" w:rsidRPr="002D142A" w:rsidRDefault="007A3735" w:rsidP="00314F78">
            <w:r w:rsidRPr="002D142A">
              <w:t>Dexterity, mobility impairment, vision</w:t>
            </w:r>
          </w:p>
          <w:p w14:paraId="13E2787A" w14:textId="77777777" w:rsidR="007A4E57" w:rsidRPr="002D142A" w:rsidRDefault="007A4E57" w:rsidP="00314F78">
            <w:pPr>
              <w:rPr>
                <w:rStyle w:val="Strong"/>
              </w:rPr>
            </w:pPr>
            <w:r w:rsidRPr="002D142A">
              <w:rPr>
                <w:rStyle w:val="Strong"/>
              </w:rPr>
              <w:t>Communication issues</w:t>
            </w:r>
          </w:p>
          <w:p w14:paraId="66CE73EF" w14:textId="59442EFD" w:rsidR="0021451E" w:rsidRPr="002739DE" w:rsidRDefault="0021451E" w:rsidP="00314F78">
            <w:r w:rsidRPr="002739DE">
              <w:t>Deafness, aphasia</w:t>
            </w:r>
          </w:p>
        </w:tc>
        <w:tc>
          <w:tcPr>
            <w:tcW w:w="2407" w:type="dxa"/>
            <w:tcBorders>
              <w:bottom w:val="nil"/>
            </w:tcBorders>
          </w:tcPr>
          <w:p w14:paraId="3E962E8A" w14:textId="77777777" w:rsidR="00E430A3" w:rsidRDefault="007A3735" w:rsidP="00314F78">
            <w:pPr>
              <w:pStyle w:val="TableHeader"/>
            </w:pPr>
            <w:r w:rsidRPr="002765D3">
              <w:t>Mood disorders</w:t>
            </w:r>
          </w:p>
          <w:p w14:paraId="25C75028" w14:textId="22842C4A" w:rsidR="007A3735" w:rsidRPr="00E430A3" w:rsidRDefault="007A3735" w:rsidP="00314F78">
            <w:r w:rsidRPr="00E430A3">
              <w:t>Anxiety, depression</w:t>
            </w:r>
          </w:p>
          <w:p w14:paraId="6A5AC65A" w14:textId="77777777" w:rsidR="007A3735" w:rsidRPr="003005A7" w:rsidRDefault="007A3735" w:rsidP="00314F78">
            <w:pPr>
              <w:pStyle w:val="TableHeader"/>
            </w:pPr>
            <w:r w:rsidRPr="003005A7">
              <w:t>Cognitive impairment</w:t>
            </w:r>
          </w:p>
          <w:p w14:paraId="4062316E" w14:textId="25F24A18" w:rsidR="007A3735" w:rsidRPr="002739DE" w:rsidRDefault="007A3735" w:rsidP="00314F78">
            <w:r w:rsidRPr="002739DE">
              <w:t xml:space="preserve">Alzheimer’s disease, Lewy body dementia, </w:t>
            </w:r>
            <w:r w:rsidR="00E80198" w:rsidRPr="002739DE">
              <w:t>vascular dementia</w:t>
            </w:r>
            <w:r w:rsidR="009B357B" w:rsidRPr="002739DE">
              <w:t xml:space="preserve">, </w:t>
            </w:r>
            <w:r w:rsidRPr="002739DE">
              <w:t>stroke</w:t>
            </w:r>
          </w:p>
        </w:tc>
        <w:tc>
          <w:tcPr>
            <w:tcW w:w="2407" w:type="dxa"/>
            <w:tcBorders>
              <w:bottom w:val="nil"/>
            </w:tcBorders>
          </w:tcPr>
          <w:p w14:paraId="153D3017" w14:textId="77777777" w:rsidR="00E430A3" w:rsidRDefault="007A3735" w:rsidP="00314F78">
            <w:pPr>
              <w:pStyle w:val="TableHeader"/>
            </w:pPr>
            <w:r w:rsidRPr="002765D3">
              <w:t>Staff</w:t>
            </w:r>
          </w:p>
          <w:p w14:paraId="69CDE31C" w14:textId="665991D9" w:rsidR="007A3735" w:rsidRPr="00E430A3" w:rsidRDefault="09FF46D4" w:rsidP="00314F78">
            <w:r w:rsidRPr="00E430A3">
              <w:t xml:space="preserve">Limited staff to assist with </w:t>
            </w:r>
            <w:r w:rsidR="1046BEC8" w:rsidRPr="00E430A3">
              <w:t>toileting</w:t>
            </w:r>
            <w:r w:rsidRPr="00E430A3">
              <w:t xml:space="preserve">, limited skills to identify and respond to </w:t>
            </w:r>
            <w:r w:rsidR="1046BEC8" w:rsidRPr="00E430A3">
              <w:t>incontinence</w:t>
            </w:r>
            <w:r w:rsidRPr="00E430A3">
              <w:t xml:space="preserve">, </w:t>
            </w:r>
            <w:r w:rsidR="1046BEC8" w:rsidRPr="00E430A3">
              <w:t>limited access to specialist continence care</w:t>
            </w:r>
            <w:r w:rsidR="2E4EA035" w:rsidRPr="00E430A3">
              <w:t>, deficient cultural safety</w:t>
            </w:r>
          </w:p>
          <w:p w14:paraId="033DE119" w14:textId="77777777" w:rsidR="003005A7" w:rsidRDefault="007A4E57" w:rsidP="00314F78">
            <w:pPr>
              <w:pStyle w:val="TableHeader"/>
            </w:pPr>
            <w:r>
              <w:t>Continence aids</w:t>
            </w:r>
          </w:p>
          <w:p w14:paraId="2A75D00B" w14:textId="6AC784C8" w:rsidR="007A3735" w:rsidRPr="002739DE" w:rsidRDefault="007A3735" w:rsidP="00314F78">
            <w:r w:rsidRPr="003005A7">
              <w:t xml:space="preserve">Limited </w:t>
            </w:r>
            <w:r w:rsidR="007A4E57" w:rsidRPr="003005A7">
              <w:t>choices or</w:t>
            </w:r>
            <w:r w:rsidR="007A4E57" w:rsidRPr="002739DE">
              <w:t xml:space="preserve"> access</w:t>
            </w:r>
          </w:p>
        </w:tc>
      </w:tr>
    </w:tbl>
    <w:p w14:paraId="315FF6B2" w14:textId="51814B1F" w:rsidR="00BA28C4" w:rsidRPr="002739DE" w:rsidRDefault="00BA28C4" w:rsidP="0059348C">
      <w:pPr>
        <w:pStyle w:val="Heading2"/>
      </w:pPr>
      <w:r w:rsidRPr="002739DE">
        <w:t>Adverse clinical events</w:t>
      </w:r>
      <w:r w:rsidR="00687809" w:rsidRPr="002739DE">
        <w:t xml:space="preserve"> associated with</w:t>
      </w:r>
      <w:r w:rsidRPr="002739DE">
        <w:t xml:space="preserve"> incontinence</w:t>
      </w:r>
    </w:p>
    <w:p w14:paraId="4987CE19" w14:textId="3EE55A79" w:rsidR="00BA28C4" w:rsidRPr="002739DE" w:rsidRDefault="0E0A1A34" w:rsidP="00314F78">
      <w:r w:rsidRPr="002739DE">
        <w:t xml:space="preserve">Incontinence exposes </w:t>
      </w:r>
      <w:r w:rsidR="34626D9A" w:rsidRPr="002739DE">
        <w:t>care recipients</w:t>
      </w:r>
      <w:r w:rsidRPr="002739DE">
        <w:t xml:space="preserve"> to complications that can have significant impact on health and </w:t>
      </w:r>
      <w:r w:rsidR="7EA8EE00" w:rsidRPr="002739DE">
        <w:t>wellbeing</w:t>
      </w:r>
      <w:r w:rsidRPr="002739DE">
        <w:t>, including</w:t>
      </w:r>
      <w:r w:rsidR="6073A5B9" w:rsidRPr="002739DE">
        <w:t>:</w:t>
      </w:r>
      <w:r w:rsidR="009253DC">
        <w:rPr>
          <w:rFonts w:ascii="ZWAdobeF" w:hAnsi="ZWAdobeF" w:cs="ZWAdobeF"/>
          <w:color w:val="auto"/>
          <w:sz w:val="2"/>
          <w:szCs w:val="2"/>
        </w:rPr>
        <w:t>149F</w:t>
      </w:r>
      <w:r w:rsidR="00930A69" w:rsidRPr="002739DE">
        <w:rPr>
          <w:vertAlign w:val="superscript"/>
        </w:rPr>
        <w:endnoteReference w:id="151"/>
      </w:r>
    </w:p>
    <w:p w14:paraId="1A3B85DA" w14:textId="77777777" w:rsidR="00BA28C4" w:rsidRPr="002739DE" w:rsidRDefault="00BA28C4" w:rsidP="00314F78">
      <w:pPr>
        <w:pStyle w:val="ListBullet"/>
      </w:pPr>
      <w:r w:rsidRPr="002739DE">
        <w:t>decreased quality of life</w:t>
      </w:r>
    </w:p>
    <w:p w14:paraId="7FFFF76C" w14:textId="401D14E5" w:rsidR="00BA28C4" w:rsidRPr="002739DE" w:rsidRDefault="00BA28C4" w:rsidP="00314F78">
      <w:pPr>
        <w:pStyle w:val="ListBullet"/>
      </w:pPr>
      <w:r w:rsidRPr="002739DE">
        <w:t>social withdrawal and depression</w:t>
      </w:r>
    </w:p>
    <w:p w14:paraId="19C3EB57" w14:textId="28C8AA75" w:rsidR="00BA28C4" w:rsidRPr="002739DE" w:rsidRDefault="00BA28C4" w:rsidP="00314F78">
      <w:pPr>
        <w:pStyle w:val="ListBullet"/>
      </w:pPr>
      <w:r w:rsidRPr="002739DE">
        <w:t>increas</w:t>
      </w:r>
      <w:r w:rsidR="00CD0D70" w:rsidRPr="002739DE">
        <w:t>ed</w:t>
      </w:r>
      <w:r w:rsidRPr="002739DE">
        <w:t xml:space="preserve"> falls risk</w:t>
      </w:r>
    </w:p>
    <w:p w14:paraId="0C281AE3" w14:textId="77777777" w:rsidR="00BA28C4" w:rsidRPr="002739DE" w:rsidRDefault="00BA28C4" w:rsidP="00314F78">
      <w:pPr>
        <w:pStyle w:val="ListBullet"/>
      </w:pPr>
      <w:r w:rsidRPr="002739DE">
        <w:t>functional decline from disuse atrophy</w:t>
      </w:r>
    </w:p>
    <w:p w14:paraId="1A702A7C" w14:textId="56D60DAC" w:rsidR="00050697" w:rsidRPr="002739DE" w:rsidRDefault="26A25D55" w:rsidP="00314F78">
      <w:pPr>
        <w:pStyle w:val="ListBullet"/>
      </w:pPr>
      <w:r w:rsidRPr="002739DE">
        <w:t xml:space="preserve">skin and tissue breakdown (e.g. </w:t>
      </w:r>
      <w:r w:rsidR="00EC3398" w:rsidRPr="002739DE">
        <w:t xml:space="preserve">pressure injury and </w:t>
      </w:r>
      <w:r w:rsidRPr="002739DE">
        <w:t>incontinence associated dermatitis)</w:t>
      </w:r>
    </w:p>
    <w:p w14:paraId="76527C1C" w14:textId="138F6C1B" w:rsidR="00BA28C4" w:rsidRPr="002739DE" w:rsidRDefault="26A25D55" w:rsidP="00314F78">
      <w:pPr>
        <w:pStyle w:val="ListBullet"/>
      </w:pPr>
      <w:r w:rsidRPr="002739DE">
        <w:lastRenderedPageBreak/>
        <w:t>urinary tract infections</w:t>
      </w:r>
      <w:r w:rsidR="126AC809" w:rsidRPr="002739DE">
        <w:t>.</w:t>
      </w:r>
    </w:p>
    <w:p w14:paraId="66487BB4" w14:textId="313E20A9" w:rsidR="00BA28C4" w:rsidRPr="002739DE" w:rsidRDefault="024186BA" w:rsidP="0059348C">
      <w:pPr>
        <w:pStyle w:val="Heading2"/>
      </w:pPr>
      <w:r w:rsidRPr="002739DE">
        <w:t>Prevention and management of incontinence</w:t>
      </w:r>
    </w:p>
    <w:p w14:paraId="61A4C24F" w14:textId="26B927CA" w:rsidR="00325FE0" w:rsidRPr="002739DE" w:rsidRDefault="00325FE0" w:rsidP="00314F78">
      <w:r w:rsidRPr="002739DE">
        <w:t xml:space="preserve">Care recipients should be assessed for </w:t>
      </w:r>
      <w:r w:rsidR="009C72D0" w:rsidRPr="002739DE">
        <w:t>in</w:t>
      </w:r>
      <w:r w:rsidRPr="002739DE">
        <w:t xml:space="preserve">continence </w:t>
      </w:r>
      <w:r w:rsidR="001C6051" w:rsidRPr="002739DE">
        <w:t xml:space="preserve">regularly, including risk factors and effectiveness of current </w:t>
      </w:r>
      <w:r w:rsidR="009C72D0" w:rsidRPr="002739DE">
        <w:t>in</w:t>
      </w:r>
      <w:r w:rsidR="00AB5627" w:rsidRPr="002739DE">
        <w:t xml:space="preserve">continence care. </w:t>
      </w:r>
      <w:r w:rsidR="00E43FB0" w:rsidRPr="002739DE">
        <w:t>These assessments should be carried out by trained staff</w:t>
      </w:r>
      <w:r w:rsidR="00CD0D70" w:rsidRPr="002739DE">
        <w:t xml:space="preserve"> as part of the care recipient’s routine personal care</w:t>
      </w:r>
      <w:r w:rsidR="004A57EF" w:rsidRPr="002739DE">
        <w:t>.</w:t>
      </w:r>
    </w:p>
    <w:p w14:paraId="6EBA8CBB" w14:textId="7FCCA327" w:rsidR="00FE79D1" w:rsidRPr="002739DE" w:rsidRDefault="3459E3DC" w:rsidP="00314F78">
      <w:r w:rsidRPr="002739DE">
        <w:t xml:space="preserve">Quality incontinence care is achieved </w:t>
      </w:r>
      <w:r w:rsidR="34D1AED2" w:rsidRPr="002739DE">
        <w:t xml:space="preserve">through a systems approach </w:t>
      </w:r>
      <w:r w:rsidR="6253DE7E" w:rsidRPr="002739DE">
        <w:t>with</w:t>
      </w:r>
      <w:r w:rsidR="7612B7EA" w:rsidRPr="002739DE">
        <w:t xml:space="preserve"> consideration </w:t>
      </w:r>
      <w:r w:rsidR="2BB4EAA8" w:rsidRPr="002739DE">
        <w:t xml:space="preserve">of </w:t>
      </w:r>
      <w:r w:rsidR="388E6CEF" w:rsidRPr="002739DE">
        <w:t>service</w:t>
      </w:r>
      <w:r w:rsidR="2BB4EAA8" w:rsidRPr="002739DE">
        <w:t xml:space="preserve"> level factors and</w:t>
      </w:r>
      <w:r w:rsidR="48B22E70" w:rsidRPr="002739DE">
        <w:t xml:space="preserve"> a</w:t>
      </w:r>
      <w:r w:rsidR="2BB4EAA8" w:rsidRPr="002739DE">
        <w:t xml:space="preserve"> care recipient’s individual circumstances. </w:t>
      </w:r>
      <w:r w:rsidR="6253DE7E" w:rsidRPr="002739DE">
        <w:t xml:space="preserve">A range of active and passive continence management strategies should be discussed in consultation with </w:t>
      </w:r>
      <w:r w:rsidR="75781D00" w:rsidRPr="002739DE">
        <w:t xml:space="preserve">care recipients to ensure a person-centric management strategy is implemented </w:t>
      </w:r>
      <w:r w:rsidR="666ED444" w:rsidRPr="002739DE">
        <w:t xml:space="preserve">that meets care recipient needs without compromising physical, emotional or social wellbeing. </w:t>
      </w:r>
      <w:r w:rsidR="619FC530" w:rsidRPr="002739DE">
        <w:t xml:space="preserve">Examples of incontinence care interventions </w:t>
      </w:r>
      <w:r w:rsidR="1E41D194" w:rsidRPr="002739DE">
        <w:t>include</w:t>
      </w:r>
      <w:r w:rsidR="50C8165C" w:rsidRPr="002739DE">
        <w:t>:</w:t>
      </w:r>
      <w:r w:rsidR="009253DC">
        <w:rPr>
          <w:rFonts w:ascii="ZWAdobeF" w:hAnsi="ZWAdobeF" w:cs="ZWAdobeF"/>
          <w:color w:val="auto"/>
          <w:sz w:val="2"/>
          <w:szCs w:val="2"/>
        </w:rPr>
        <w:t>150F</w:t>
      </w:r>
      <w:r w:rsidR="009D44B6" w:rsidRPr="002739DE">
        <w:rPr>
          <w:vertAlign w:val="superscript"/>
        </w:rPr>
        <w:endnoteReference w:id="152"/>
      </w:r>
    </w:p>
    <w:p w14:paraId="443EC9EB" w14:textId="2A646A2E" w:rsidR="009A6E93" w:rsidRPr="002739DE" w:rsidRDefault="009A6E93" w:rsidP="00314F78">
      <w:pPr>
        <w:pStyle w:val="ListBullet"/>
        <w:rPr>
          <w:rStyle w:val="Strong"/>
        </w:rPr>
      </w:pPr>
      <w:r w:rsidRPr="002739DE">
        <w:rPr>
          <w:rStyle w:val="Strong"/>
        </w:rPr>
        <w:t>Active</w:t>
      </w:r>
      <w:r w:rsidR="00E15C1E" w:rsidRPr="002739DE">
        <w:rPr>
          <w:rStyle w:val="Strong"/>
        </w:rPr>
        <w:t xml:space="preserve"> </w:t>
      </w:r>
      <w:r w:rsidR="009B357B" w:rsidRPr="002739DE">
        <w:rPr>
          <w:rStyle w:val="Strong"/>
        </w:rPr>
        <w:t>t</w:t>
      </w:r>
      <w:r w:rsidR="00E15C1E" w:rsidRPr="002739DE">
        <w:rPr>
          <w:rStyle w:val="Strong"/>
        </w:rPr>
        <w:t>reatment</w:t>
      </w:r>
    </w:p>
    <w:p w14:paraId="37D51829" w14:textId="694A402C" w:rsidR="009A6E93" w:rsidRPr="00D82644" w:rsidRDefault="009B2DFA" w:rsidP="00314F78">
      <w:pPr>
        <w:pStyle w:val="ListBullet2"/>
      </w:pPr>
      <w:r w:rsidRPr="00D82644">
        <w:t>l</w:t>
      </w:r>
      <w:r w:rsidR="009A6E93" w:rsidRPr="00D82644">
        <w:t>ifestyle interventions</w:t>
      </w:r>
      <w:r w:rsidR="00E15C1E" w:rsidRPr="00D82644">
        <w:t xml:space="preserve"> </w:t>
      </w:r>
      <w:r w:rsidR="00F662D5" w:rsidRPr="00D82644">
        <w:t>(</w:t>
      </w:r>
      <w:r w:rsidR="00B82853" w:rsidRPr="00D82644">
        <w:t>e.g.</w:t>
      </w:r>
      <w:r w:rsidR="00E15C1E" w:rsidRPr="00D82644">
        <w:t xml:space="preserve"> fluid and dietary modifications</w:t>
      </w:r>
      <w:r w:rsidR="00F662D5" w:rsidRPr="00D82644">
        <w:t>)</w:t>
      </w:r>
    </w:p>
    <w:p w14:paraId="050CA3EE" w14:textId="608CD38A" w:rsidR="009A6E93" w:rsidRPr="00D82644" w:rsidRDefault="009B2DFA" w:rsidP="00314F78">
      <w:pPr>
        <w:pStyle w:val="ListBullet2"/>
      </w:pPr>
      <w:r w:rsidRPr="00D82644">
        <w:t>p</w:t>
      </w:r>
      <w:r w:rsidR="009A6E93" w:rsidRPr="00D82644">
        <w:t xml:space="preserve">hysical </w:t>
      </w:r>
      <w:r w:rsidRPr="00D82644">
        <w:t>t</w:t>
      </w:r>
      <w:r w:rsidR="009A6E93" w:rsidRPr="00D82644">
        <w:t>herapies</w:t>
      </w:r>
      <w:r w:rsidR="00D649C2" w:rsidRPr="00D82644">
        <w:t xml:space="preserve"> </w:t>
      </w:r>
      <w:r w:rsidR="00F662D5" w:rsidRPr="00D82644">
        <w:t>(</w:t>
      </w:r>
      <w:r w:rsidR="00B82853" w:rsidRPr="00D82644">
        <w:t>e.g.</w:t>
      </w:r>
      <w:r w:rsidR="00D649C2" w:rsidRPr="00D82644">
        <w:t xml:space="preserve"> pelvic floor exercises</w:t>
      </w:r>
      <w:r w:rsidR="00F662D5" w:rsidRPr="00D82644">
        <w:t>)</w:t>
      </w:r>
    </w:p>
    <w:p w14:paraId="50F99C6E" w14:textId="26C81558" w:rsidR="009A6E93" w:rsidRPr="00D82644" w:rsidRDefault="009B2DFA" w:rsidP="00314F78">
      <w:pPr>
        <w:pStyle w:val="ListBullet2"/>
      </w:pPr>
      <w:r w:rsidRPr="00D82644">
        <w:t>b</w:t>
      </w:r>
      <w:r w:rsidR="009A6E93" w:rsidRPr="00D82644">
        <w:t xml:space="preserve">ehavioural </w:t>
      </w:r>
      <w:r w:rsidRPr="00D82644">
        <w:t>t</w:t>
      </w:r>
      <w:r w:rsidR="009A6E93" w:rsidRPr="00D82644">
        <w:t>herapies</w:t>
      </w:r>
      <w:r w:rsidR="00D649C2" w:rsidRPr="00D82644">
        <w:t xml:space="preserve"> </w:t>
      </w:r>
      <w:r w:rsidR="00F662D5" w:rsidRPr="00D82644">
        <w:t>(</w:t>
      </w:r>
      <w:r w:rsidR="00B82853" w:rsidRPr="00D82644">
        <w:t>e.g.</w:t>
      </w:r>
      <w:r w:rsidR="00D649C2" w:rsidRPr="00D82644">
        <w:t xml:space="preserve"> bladder training, toileting regimes, double voiding</w:t>
      </w:r>
      <w:r w:rsidR="00F662D5" w:rsidRPr="00D82644">
        <w:t>)</w:t>
      </w:r>
    </w:p>
    <w:p w14:paraId="12F2FFEE" w14:textId="4B249B5B" w:rsidR="009A6E93" w:rsidRPr="00D82644" w:rsidRDefault="00B82853" w:rsidP="00314F78">
      <w:pPr>
        <w:pStyle w:val="ListBullet2"/>
      </w:pPr>
      <w:r w:rsidRPr="00D82644">
        <w:t xml:space="preserve">assistive </w:t>
      </w:r>
      <w:r w:rsidR="009A6E93" w:rsidRPr="00D82644">
        <w:t>devices</w:t>
      </w:r>
      <w:r w:rsidR="00D649C2" w:rsidRPr="00D82644">
        <w:t xml:space="preserve"> </w:t>
      </w:r>
      <w:r w:rsidR="00F662D5" w:rsidRPr="00D82644">
        <w:t>(</w:t>
      </w:r>
      <w:r w:rsidRPr="00D82644">
        <w:t xml:space="preserve">e.g. </w:t>
      </w:r>
      <w:r w:rsidR="00D649C2" w:rsidRPr="00D82644">
        <w:t>commodes, female and male urin</w:t>
      </w:r>
      <w:r w:rsidRPr="00D82644">
        <w:t>a</w:t>
      </w:r>
      <w:r w:rsidR="00D649C2" w:rsidRPr="00D82644">
        <w:t>ls, vaginal pessaries</w:t>
      </w:r>
      <w:r w:rsidR="00F662D5" w:rsidRPr="00D82644">
        <w:t>, electrical stimulators, biofeedback devices)</w:t>
      </w:r>
    </w:p>
    <w:p w14:paraId="0F510A62" w14:textId="678E3AAF" w:rsidR="009A6E93" w:rsidRPr="00D82644" w:rsidRDefault="001921F5" w:rsidP="00314F78">
      <w:pPr>
        <w:pStyle w:val="ListBullet2"/>
      </w:pPr>
      <w:r w:rsidRPr="00D82644">
        <w:t>m</w:t>
      </w:r>
      <w:r w:rsidR="009A6E93" w:rsidRPr="00D82644">
        <w:t>edication</w:t>
      </w:r>
      <w:r w:rsidR="00D649C2" w:rsidRPr="00D82644">
        <w:t xml:space="preserve"> </w:t>
      </w:r>
      <w:r w:rsidR="00F662D5" w:rsidRPr="00D82644">
        <w:t>(</w:t>
      </w:r>
      <w:r w:rsidR="00B82853" w:rsidRPr="00D82644">
        <w:t xml:space="preserve">e.g. </w:t>
      </w:r>
      <w:r w:rsidR="00F662D5" w:rsidRPr="00D82644">
        <w:t xml:space="preserve">those that </w:t>
      </w:r>
      <w:r w:rsidR="00B82853" w:rsidRPr="00D82644">
        <w:t>regulate stool form</w:t>
      </w:r>
      <w:r w:rsidR="00F662D5" w:rsidRPr="00D82644">
        <w:t>, hormones, overactive bladder)</w:t>
      </w:r>
    </w:p>
    <w:p w14:paraId="53D79789" w14:textId="084994B2" w:rsidR="009A6E93" w:rsidRPr="00D82644" w:rsidRDefault="009A6E93" w:rsidP="00314F78">
      <w:pPr>
        <w:pStyle w:val="ListBullet2"/>
      </w:pPr>
      <w:r w:rsidRPr="00D82644">
        <w:t xml:space="preserve">surgical </w:t>
      </w:r>
      <w:r w:rsidR="00D649C2" w:rsidRPr="00D82644">
        <w:t>or interventional</w:t>
      </w:r>
      <w:r w:rsidR="00B82853" w:rsidRPr="00D82644">
        <w:t xml:space="preserve"> </w:t>
      </w:r>
      <w:r w:rsidRPr="00D82644">
        <w:t>procedures</w:t>
      </w:r>
      <w:r w:rsidR="00991D40" w:rsidRPr="00D82644">
        <w:t>.</w:t>
      </w:r>
    </w:p>
    <w:p w14:paraId="10DD39D7" w14:textId="09DA1AB4" w:rsidR="009A6E93" w:rsidRPr="002739DE" w:rsidRDefault="00D649C2" w:rsidP="00314F78">
      <w:pPr>
        <w:pStyle w:val="ListBullet"/>
      </w:pPr>
      <w:r w:rsidRPr="002739DE">
        <w:t>Containment</w:t>
      </w:r>
    </w:p>
    <w:p w14:paraId="1200A322" w14:textId="56D60DAC" w:rsidR="009A6E93" w:rsidRPr="00D82644" w:rsidRDefault="001921F5" w:rsidP="00314F78">
      <w:pPr>
        <w:pStyle w:val="ListBullet2"/>
      </w:pPr>
      <w:r w:rsidRPr="00D82644">
        <w:t>absorbent continence aids (e.g. p</w:t>
      </w:r>
      <w:r w:rsidR="009A6E93" w:rsidRPr="00D82644">
        <w:t>ads</w:t>
      </w:r>
      <w:r w:rsidRPr="00D82644">
        <w:t xml:space="preserve"> and absorbent underwear)</w:t>
      </w:r>
    </w:p>
    <w:p w14:paraId="3D7F0167" w14:textId="56D60DAC" w:rsidR="009A6E93" w:rsidRPr="00D82644" w:rsidRDefault="001921F5" w:rsidP="00314F78">
      <w:pPr>
        <w:pStyle w:val="ListBullet2"/>
      </w:pPr>
      <w:r w:rsidRPr="00D82644">
        <w:t>catheters (e.g. supra-pubic catheter, indwelling urethral c</w:t>
      </w:r>
      <w:r w:rsidR="009A6E93" w:rsidRPr="00D82644">
        <w:t>atheter</w:t>
      </w:r>
      <w:r w:rsidRPr="00D82644">
        <w:t xml:space="preserve"> and intermittent catheter)</w:t>
      </w:r>
    </w:p>
    <w:p w14:paraId="4C65B325" w14:textId="09A6F811" w:rsidR="009A6E93" w:rsidRPr="00D82644" w:rsidRDefault="001921F5" w:rsidP="00314F78">
      <w:pPr>
        <w:pStyle w:val="ListBullet2"/>
      </w:pPr>
      <w:r w:rsidRPr="00D82644">
        <w:t>external urinary drainage (</w:t>
      </w:r>
      <w:r w:rsidR="00F662D5" w:rsidRPr="00D82644">
        <w:t xml:space="preserve">e.g. </w:t>
      </w:r>
      <w:r w:rsidRPr="00D82644">
        <w:t>c</w:t>
      </w:r>
      <w:r w:rsidR="009A6E93" w:rsidRPr="00D82644">
        <w:t xml:space="preserve">ondom </w:t>
      </w:r>
      <w:r w:rsidRPr="00D82644">
        <w:t>catheter)</w:t>
      </w:r>
    </w:p>
    <w:p w14:paraId="08413104" w14:textId="7E77E8C4" w:rsidR="003E709A" w:rsidRPr="00D82644" w:rsidRDefault="001921F5" w:rsidP="00314F78">
      <w:pPr>
        <w:pStyle w:val="ListBullet2"/>
      </w:pPr>
      <w:r w:rsidRPr="00D82644">
        <w:t>b</w:t>
      </w:r>
      <w:r w:rsidR="009A6E93" w:rsidRPr="00D82644">
        <w:t>ed</w:t>
      </w:r>
      <w:r w:rsidRPr="00D82644">
        <w:t xml:space="preserve"> or surface</w:t>
      </w:r>
      <w:r w:rsidR="009A6E93" w:rsidRPr="00D82644">
        <w:t xml:space="preserve"> protection</w:t>
      </w:r>
      <w:r w:rsidR="00991D40" w:rsidRPr="00D82644">
        <w:t>.</w:t>
      </w:r>
    </w:p>
    <w:p w14:paraId="5A27EF8D" w14:textId="491DC838" w:rsidR="00BA28C4" w:rsidRPr="002739DE" w:rsidRDefault="50C8165C" w:rsidP="00314F78">
      <w:r w:rsidRPr="002739DE">
        <w:t>Figure 39</w:t>
      </w:r>
      <w:r w:rsidR="0E0A1A34" w:rsidRPr="002739DE">
        <w:t xml:space="preserve"> outlines important aspects of </w:t>
      </w:r>
      <w:r w:rsidR="667C1BEF" w:rsidRPr="002739DE">
        <w:t>high quality incontinence care in residential aged care</w:t>
      </w:r>
      <w:r w:rsidR="0E0A1A34" w:rsidRPr="002739DE">
        <w:t>.</w:t>
      </w:r>
    </w:p>
    <w:p w14:paraId="1696D793" w14:textId="77777777" w:rsidR="006C278D" w:rsidRPr="004A09AA" w:rsidRDefault="006C278D" w:rsidP="00314F78"/>
    <w:p w14:paraId="1CC9EA64" w14:textId="1FB4121F" w:rsidR="006C278D" w:rsidRPr="004A09AA" w:rsidRDefault="006C278D" w:rsidP="00314F78">
      <w:pPr>
        <w:sectPr w:rsidR="006C278D" w:rsidRPr="004A09AA" w:rsidSect="00CE53D5">
          <w:headerReference w:type="even" r:id="rId198"/>
          <w:headerReference w:type="default" r:id="rId199"/>
          <w:headerReference w:type="first" r:id="rId200"/>
          <w:endnotePr>
            <w:numFmt w:val="decimal"/>
          </w:endnotePr>
          <w:pgSz w:w="11906" w:h="16838" w:code="9"/>
          <w:pgMar w:top="1701" w:right="1134" w:bottom="1134" w:left="1134" w:header="567" w:footer="567" w:gutter="0"/>
          <w:cols w:space="708"/>
          <w:docGrid w:linePitch="360"/>
        </w:sectPr>
      </w:pPr>
    </w:p>
    <w:p w14:paraId="49DA701C" w14:textId="1EEFA6EA" w:rsidR="009E691B" w:rsidRPr="002739DE" w:rsidRDefault="00301C99" w:rsidP="00314F78">
      <w:pPr>
        <w:pStyle w:val="Caption"/>
      </w:pPr>
      <w:r w:rsidRPr="002739DE">
        <w:lastRenderedPageBreak/>
        <w:t>FIGURE </w:t>
      </w:r>
      <w:r w:rsidR="009B0232" w:rsidRPr="002739DE">
        <w:fldChar w:fldCharType="begin"/>
      </w:r>
      <w:r w:rsidR="009B0232" w:rsidRPr="002739DE">
        <w:instrText>SEQ Figure \* ARABIC</w:instrText>
      </w:r>
      <w:r w:rsidR="009B0232" w:rsidRPr="002739DE">
        <w:fldChar w:fldCharType="separate"/>
      </w:r>
      <w:r w:rsidR="003A30D7">
        <w:rPr>
          <w:noProof/>
        </w:rPr>
        <w:t>39</w:t>
      </w:r>
      <w:r w:rsidR="009B0232" w:rsidRPr="002739DE">
        <w:fldChar w:fldCharType="end"/>
      </w:r>
      <w:r w:rsidRPr="002739DE">
        <w:t>: INCONTINENCE MANAGEMENT</w:t>
      </w:r>
      <w:r w:rsidR="009253DC">
        <w:rPr>
          <w:rFonts w:ascii="ZWAdobeF" w:hAnsi="ZWAdobeF" w:cs="ZWAdobeF"/>
          <w:b w:val="0"/>
          <w:color w:val="auto"/>
          <w:sz w:val="2"/>
          <w:szCs w:val="2"/>
        </w:rPr>
        <w:t>151F</w:t>
      </w:r>
      <w:r w:rsidR="009B3EFE" w:rsidRPr="00454D17">
        <w:rPr>
          <w:rStyle w:val="EndnoteReference"/>
        </w:rPr>
        <w:endnoteReference w:id="153"/>
      </w:r>
      <w:r w:rsidRPr="00454D17">
        <w:rPr>
          <w:rStyle w:val="EndnoteReference"/>
        </w:rPr>
        <w:t xml:space="preserve"> </w:t>
      </w:r>
      <w:r w:rsidR="009253DC">
        <w:rPr>
          <w:rFonts w:ascii="ZWAdobeF" w:hAnsi="ZWAdobeF" w:cs="ZWAdobeF"/>
          <w:b w:val="0"/>
          <w:color w:val="auto"/>
          <w:sz w:val="2"/>
          <w:szCs w:val="2"/>
        </w:rPr>
        <w:t>152F</w:t>
      </w:r>
      <w:r w:rsidR="009B3EFE" w:rsidRPr="00454D17">
        <w:rPr>
          <w:rStyle w:val="EndnoteReference"/>
        </w:rPr>
        <w:endnoteReference w:id="154"/>
      </w:r>
      <w:r w:rsidRPr="00454D17">
        <w:rPr>
          <w:rStyle w:val="EndnoteReference"/>
        </w:rPr>
        <w:t xml:space="preserve"> </w:t>
      </w:r>
      <w:r w:rsidR="009253DC">
        <w:rPr>
          <w:rFonts w:ascii="ZWAdobeF" w:hAnsi="ZWAdobeF" w:cs="ZWAdobeF"/>
          <w:b w:val="0"/>
          <w:color w:val="auto"/>
          <w:sz w:val="2"/>
          <w:szCs w:val="2"/>
        </w:rPr>
        <w:t>153F</w:t>
      </w:r>
      <w:r w:rsidR="009B3EFE" w:rsidRPr="00454D17">
        <w:rPr>
          <w:rStyle w:val="EndnoteReference"/>
        </w:rPr>
        <w:endnoteReference w:id="155"/>
      </w:r>
      <w:r w:rsidRPr="00454D17">
        <w:rPr>
          <w:rStyle w:val="EndnoteReference"/>
        </w:rPr>
        <w:t xml:space="preserve"> </w:t>
      </w:r>
      <w:r w:rsidR="009253DC">
        <w:rPr>
          <w:rFonts w:ascii="ZWAdobeF" w:hAnsi="ZWAdobeF" w:cs="ZWAdobeF"/>
          <w:b w:val="0"/>
          <w:color w:val="auto"/>
          <w:sz w:val="2"/>
          <w:szCs w:val="2"/>
        </w:rPr>
        <w:t>154F</w:t>
      </w:r>
      <w:r w:rsidR="009B3EFE" w:rsidRPr="00454D17">
        <w:rPr>
          <w:rStyle w:val="EndnoteReference"/>
        </w:rPr>
        <w:endnoteReference w:id="156"/>
      </w:r>
      <w:r w:rsidRPr="00454D17">
        <w:rPr>
          <w:rStyle w:val="EndnoteReference"/>
        </w:rPr>
        <w:t xml:space="preserve"> </w:t>
      </w:r>
      <w:r w:rsidR="009253DC">
        <w:rPr>
          <w:rFonts w:ascii="ZWAdobeF" w:hAnsi="ZWAdobeF" w:cs="ZWAdobeF"/>
          <w:b w:val="0"/>
          <w:color w:val="auto"/>
          <w:sz w:val="2"/>
          <w:szCs w:val="2"/>
        </w:rPr>
        <w:t>155F</w:t>
      </w:r>
      <w:r w:rsidR="00CD2945" w:rsidRPr="00454D17">
        <w:rPr>
          <w:rStyle w:val="EndnoteReference"/>
        </w:rPr>
        <w:endnoteReference w:id="157"/>
      </w:r>
      <w:r w:rsidRPr="00454D17">
        <w:rPr>
          <w:rStyle w:val="EndnoteReference"/>
        </w:rPr>
        <w:t xml:space="preserve"> </w:t>
      </w:r>
      <w:r w:rsidR="009253DC">
        <w:rPr>
          <w:rFonts w:ascii="ZWAdobeF" w:hAnsi="ZWAdobeF" w:cs="ZWAdobeF"/>
          <w:b w:val="0"/>
          <w:color w:val="auto"/>
          <w:sz w:val="2"/>
          <w:szCs w:val="2"/>
        </w:rPr>
        <w:t>156F</w:t>
      </w:r>
      <w:r w:rsidR="00CD2945" w:rsidRPr="00454D17">
        <w:rPr>
          <w:rStyle w:val="EndnoteReference"/>
        </w:rPr>
        <w:endnoteReference w:id="158"/>
      </w:r>
      <w:r w:rsidRPr="00454D17">
        <w:rPr>
          <w:rStyle w:val="EndnoteReference"/>
        </w:rPr>
        <w:t xml:space="preserve"> </w:t>
      </w:r>
      <w:r w:rsidR="009253DC">
        <w:rPr>
          <w:rFonts w:ascii="ZWAdobeF" w:hAnsi="ZWAdobeF" w:cs="ZWAdobeF"/>
          <w:b w:val="0"/>
          <w:color w:val="auto"/>
          <w:sz w:val="2"/>
          <w:szCs w:val="2"/>
        </w:rPr>
        <w:t>157F</w:t>
      </w:r>
      <w:r w:rsidR="00CD2945" w:rsidRPr="00454D17">
        <w:rPr>
          <w:rStyle w:val="EndnoteReference"/>
        </w:rPr>
        <w:endnoteReference w:id="159"/>
      </w:r>
      <w:r w:rsidRPr="00454D17">
        <w:rPr>
          <w:rStyle w:val="EndnoteReference"/>
        </w:rPr>
        <w:t xml:space="preserve"> </w:t>
      </w:r>
      <w:r w:rsidR="009253DC">
        <w:rPr>
          <w:rFonts w:ascii="ZWAdobeF" w:hAnsi="ZWAdobeF" w:cs="ZWAdobeF"/>
          <w:b w:val="0"/>
          <w:color w:val="auto"/>
          <w:sz w:val="2"/>
          <w:szCs w:val="2"/>
        </w:rPr>
        <w:t>158F</w:t>
      </w:r>
      <w:r w:rsidR="00CD2945" w:rsidRPr="00454D17">
        <w:rPr>
          <w:rStyle w:val="EndnoteReference"/>
        </w:rPr>
        <w:endnoteReference w:id="160"/>
      </w:r>
    </w:p>
    <w:p w14:paraId="10DA63E4" w14:textId="15EE688C" w:rsidR="00586CD0" w:rsidRPr="002765D3" w:rsidRDefault="00515CCA" w:rsidP="00314F78">
      <w:pPr>
        <w:sectPr w:rsidR="00586CD0" w:rsidRPr="002765D3" w:rsidSect="00CE53D5">
          <w:endnotePr>
            <w:numFmt w:val="decimal"/>
          </w:endnotePr>
          <w:pgSz w:w="16838" w:h="11906" w:orient="landscape" w:code="9"/>
          <w:pgMar w:top="1134" w:right="1134" w:bottom="851" w:left="1134" w:header="567" w:footer="567" w:gutter="0"/>
          <w:cols w:space="708"/>
          <w:docGrid w:linePitch="360"/>
        </w:sectPr>
      </w:pPr>
      <w:r>
        <w:rPr>
          <w:noProof/>
        </w:rPr>
        <w:drawing>
          <wp:inline distT="0" distB="0" distL="0" distR="0" wp14:anchorId="4D951605" wp14:editId="4D7B248B">
            <wp:extent cx="9247506" cy="5643028"/>
            <wp:effectExtent l="0" t="0" r="0" b="0"/>
            <wp:docPr id="27" name="Picture 27" descr="P8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62#yIS1"/>
                    <pic:cNvPicPr/>
                  </pic:nvPicPr>
                  <pic:blipFill>
                    <a:blip r:embed="rId201">
                      <a:extLst>
                        <a:ext uri="{28A0092B-C50C-407E-A947-70E740481C1C}">
                          <a14:useLocalDpi xmlns:a14="http://schemas.microsoft.com/office/drawing/2010/main" val="0"/>
                        </a:ext>
                      </a:extLst>
                    </a:blip>
                    <a:stretch>
                      <a:fillRect/>
                    </a:stretch>
                  </pic:blipFill>
                  <pic:spPr>
                    <a:xfrm>
                      <a:off x="0" y="0"/>
                      <a:ext cx="9247506" cy="5643028"/>
                    </a:xfrm>
                    <a:prstGeom prst="rect">
                      <a:avLst/>
                    </a:prstGeom>
                  </pic:spPr>
                </pic:pic>
              </a:graphicData>
            </a:graphic>
          </wp:inline>
        </w:drawing>
      </w:r>
    </w:p>
    <w:p w14:paraId="14AD758A" w14:textId="5F8E1E79" w:rsidR="00C3006A" w:rsidRPr="002739DE" w:rsidRDefault="00301C99" w:rsidP="00314F78">
      <w:pPr>
        <w:pStyle w:val="Caption"/>
      </w:pPr>
      <w:r w:rsidRPr="002739DE">
        <w:lastRenderedPageBreak/>
        <w:t>FIGURE </w:t>
      </w:r>
      <w:r w:rsidR="007B5531" w:rsidRPr="002739DE">
        <w:fldChar w:fldCharType="begin"/>
      </w:r>
      <w:r w:rsidR="007B5531" w:rsidRPr="002739DE">
        <w:instrText>SEQ Figure \* ARABIC</w:instrText>
      </w:r>
      <w:r w:rsidR="007B5531" w:rsidRPr="002739DE">
        <w:fldChar w:fldCharType="separate"/>
      </w:r>
      <w:r w:rsidR="003A30D7">
        <w:rPr>
          <w:noProof/>
        </w:rPr>
        <w:t>40</w:t>
      </w:r>
      <w:r w:rsidR="007B5531" w:rsidRPr="002739DE">
        <w:fldChar w:fldCharType="end"/>
      </w:r>
      <w:r w:rsidRPr="002739DE">
        <w:t>: INCONTINENCE ASSOCIATED DERMATITIS MANAGEMENT USING THE ACTED FRAMEWORK</w:t>
      </w:r>
      <w:r w:rsidR="009253DC">
        <w:rPr>
          <w:rFonts w:ascii="ZWAdobeF" w:hAnsi="ZWAdobeF" w:cs="ZWAdobeF"/>
          <w:b w:val="0"/>
          <w:color w:val="auto"/>
          <w:sz w:val="2"/>
          <w:szCs w:val="2"/>
        </w:rPr>
        <w:t>159F</w:t>
      </w:r>
      <w:r w:rsidR="00615EE2" w:rsidRPr="00454D17">
        <w:rPr>
          <w:rStyle w:val="EndnoteReference"/>
        </w:rPr>
        <w:endnoteReference w:id="161"/>
      </w:r>
    </w:p>
    <w:p w14:paraId="5BB401E8" w14:textId="77777777" w:rsidR="00CB541E" w:rsidRPr="00454D17" w:rsidRDefault="52E8D084" w:rsidP="00314F78">
      <w:pPr>
        <w:pStyle w:val="FilledBlock-DarkBlue"/>
      </w:pPr>
      <w:r w:rsidRPr="00454D17">
        <w:t xml:space="preserve">Incontinence associated dermatitis (IAD) is defined as a specific type of irritant contact dermatitis characterised by erythema and oedema of the peri-anal or genital skin. In some cases, IAD is accompanied by bullae, erosion or secondary cutaneous infection. IAD is often associated with poor quality incontinence care, often as a result of prolonged exposure to soiled pads. For the purposes of the QI Program, it must be evaluated using the Ghent Global IAD Categorisation Tool. IAD may be managed using the ACTED framework. </w:t>
      </w:r>
    </w:p>
    <w:p w14:paraId="7873AADF" w14:textId="60A0A8AB" w:rsidR="001A4000" w:rsidRPr="004A09AA" w:rsidRDefault="00F62864" w:rsidP="00314F78">
      <w:r w:rsidRPr="004A09AA">
        <w:rPr>
          <w:noProof/>
        </w:rPr>
        <w:drawing>
          <wp:inline distT="0" distB="0" distL="0" distR="0" wp14:anchorId="6956289D" wp14:editId="63C6C1F2">
            <wp:extent cx="6212205" cy="4566285"/>
            <wp:effectExtent l="0" t="0" r="0" b="0"/>
            <wp:docPr id="1898" name="Picture 1898" descr="P8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descr="P865#yIS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12205" cy="4566285"/>
                    </a:xfrm>
                    <a:prstGeom prst="rect">
                      <a:avLst/>
                    </a:prstGeom>
                    <a:noFill/>
                  </pic:spPr>
                </pic:pic>
              </a:graphicData>
            </a:graphic>
          </wp:inline>
        </w:drawing>
      </w:r>
    </w:p>
    <w:p w14:paraId="4898ADB2" w14:textId="77777777" w:rsidR="00672756" w:rsidRPr="00FD1B87" w:rsidRDefault="00672756" w:rsidP="00314F78">
      <w:r>
        <w:br w:type="page"/>
      </w:r>
    </w:p>
    <w:p w14:paraId="554059A3" w14:textId="4E7A659A" w:rsidR="00CC2B5A" w:rsidRPr="002739DE" w:rsidRDefault="0E0A1A34" w:rsidP="00314F78">
      <w:r w:rsidRPr="002739DE">
        <w:lastRenderedPageBreak/>
        <w:t>The checklist below will help assess care recipients who are at risk of incontinence and identify support and prevention strategies.</w:t>
      </w:r>
    </w:p>
    <w:p w14:paraId="43966386" w14:textId="46D0A6A6" w:rsidR="00BA28C4" w:rsidRPr="002739DE" w:rsidRDefault="00301C99" w:rsidP="00314F78">
      <w:pPr>
        <w:pStyle w:val="Caption"/>
      </w:pPr>
      <w:r w:rsidRPr="002739DE">
        <w:t>FIGURE </w:t>
      </w:r>
      <w:r w:rsidR="0E0A1A34" w:rsidRPr="002739DE">
        <w:fldChar w:fldCharType="begin"/>
      </w:r>
      <w:r w:rsidR="0E0A1A34" w:rsidRPr="002739DE">
        <w:instrText>SEQ Figure \* ARABIC</w:instrText>
      </w:r>
      <w:r w:rsidR="0E0A1A34" w:rsidRPr="002739DE">
        <w:fldChar w:fldCharType="separate"/>
      </w:r>
      <w:r w:rsidR="003A30D7">
        <w:rPr>
          <w:noProof/>
        </w:rPr>
        <w:t>41</w:t>
      </w:r>
      <w:r w:rsidR="0E0A1A34" w:rsidRPr="002739DE">
        <w:fldChar w:fldCharType="end"/>
      </w:r>
      <w:r w:rsidRPr="002739DE">
        <w:t>: CHECKLIST FOR THE MANAGEMENT OF INCONTINENCE AND PREVENTION OF IAD</w:t>
      </w:r>
    </w:p>
    <w:p w14:paraId="78028AD2" w14:textId="36F2E82A" w:rsidR="00964AED" w:rsidRPr="00D45BEE" w:rsidRDefault="00273DF8" w:rsidP="00314F78">
      <w:pPr>
        <w:pStyle w:val="ChecklistHeading"/>
      </w:pPr>
      <w:r w:rsidRPr="002765D3">
        <w:rPr>
          <w:noProof/>
        </w:rPr>
        <w:drawing>
          <wp:anchor distT="0" distB="0" distL="114300" distR="114300" simplePos="0" relativeHeight="251658266" behindDoc="0" locked="0" layoutInCell="1" allowOverlap="1" wp14:anchorId="267F6534" wp14:editId="739905A6">
            <wp:simplePos x="0" y="0"/>
            <wp:positionH relativeFrom="column">
              <wp:posOffset>-5715</wp:posOffset>
            </wp:positionH>
            <wp:positionV relativeFrom="paragraph">
              <wp:posOffset>300990</wp:posOffset>
            </wp:positionV>
            <wp:extent cx="539496" cy="540000"/>
            <wp:effectExtent l="0" t="0" r="0" b="0"/>
            <wp:wrapSquare wrapText="bothSides"/>
            <wp:docPr id="82" name="Picture 13" descr="P869#y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3" descr="P869#y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964AED" w:rsidRPr="00D45BEE">
        <w:t xml:space="preserve">Checklist </w:t>
      </w:r>
      <w:r w:rsidR="00DD39DA">
        <w:t>for</w:t>
      </w:r>
      <w:r w:rsidR="00D15A4A">
        <w:t xml:space="preserve"> the </w:t>
      </w:r>
      <w:r w:rsidR="00964AED" w:rsidRPr="00D45BEE">
        <w:t>manag</w:t>
      </w:r>
      <w:r w:rsidR="00D15A4A">
        <w:t>ement</w:t>
      </w:r>
      <w:r w:rsidR="00964AED" w:rsidRPr="00D45BEE">
        <w:t xml:space="preserve"> </w:t>
      </w:r>
      <w:r w:rsidR="00D15A4A">
        <w:t xml:space="preserve">of </w:t>
      </w:r>
      <w:r w:rsidR="00964AED" w:rsidRPr="00D45BEE">
        <w:t>incontinence</w:t>
      </w:r>
      <w:r w:rsidR="00715B2A">
        <w:t xml:space="preserve"> and prevent</w:t>
      </w:r>
      <w:r w:rsidR="00DD39DA">
        <w:t>ion</w:t>
      </w:r>
      <w:r w:rsidR="00D15A4A">
        <w:t xml:space="preserve"> of</w:t>
      </w:r>
      <w:r w:rsidR="00715B2A">
        <w:t xml:space="preserve"> IAD</w:t>
      </w:r>
    </w:p>
    <w:p w14:paraId="254F4306" w14:textId="77777777" w:rsidR="003B1C84" w:rsidRPr="002765D3" w:rsidRDefault="003B1C84" w:rsidP="00314F78">
      <w:pPr>
        <w:pStyle w:val="ChecklistHeading"/>
        <w:sectPr w:rsidR="003B1C84" w:rsidRPr="002765D3" w:rsidSect="00742407">
          <w:endnotePr>
            <w:numFmt w:val="decimal"/>
          </w:endnotePr>
          <w:pgSz w:w="11906" w:h="16838" w:code="9"/>
          <w:pgMar w:top="1701" w:right="1134" w:bottom="1134" w:left="1134" w:header="567" w:footer="567" w:gutter="0"/>
          <w:cols w:space="567"/>
          <w:docGrid w:linePitch="360"/>
        </w:sectPr>
      </w:pPr>
    </w:p>
    <w:p w14:paraId="4DCF586E" w14:textId="1E1A6C84" w:rsidR="00443AFF" w:rsidRPr="002765D3" w:rsidRDefault="00443AFF" w:rsidP="00314F78">
      <w:pPr>
        <w:pStyle w:val="TableHeader"/>
      </w:pPr>
      <w:r>
        <w:t>Undertake a b</w:t>
      </w:r>
      <w:r w:rsidRPr="002765D3">
        <w:t xml:space="preserve">aseline </w:t>
      </w:r>
      <w:r>
        <w:t>a</w:t>
      </w:r>
      <w:r w:rsidRPr="002765D3">
        <w:t>ssessment</w:t>
      </w:r>
    </w:p>
    <w:p w14:paraId="26804BA1" w14:textId="665C956C" w:rsidR="00443AFF" w:rsidRPr="00A0680B" w:rsidRDefault="00443AFF" w:rsidP="00314F78">
      <w:pPr>
        <w:pStyle w:val="ListBullet"/>
      </w:pPr>
      <w:r w:rsidRPr="34D45A33">
        <w:rPr>
          <w:lang w:eastAsia="en-AU"/>
        </w:rPr>
        <w:t>A</w:t>
      </w:r>
      <w:r w:rsidRPr="00A0680B">
        <w:t>ssess incontinence using a suitable assessment tool.</w:t>
      </w:r>
    </w:p>
    <w:p w14:paraId="22E226E6" w14:textId="7909E361" w:rsidR="00443AFF" w:rsidRPr="00A0680B" w:rsidRDefault="0EA4ED1C" w:rsidP="00314F78">
      <w:pPr>
        <w:pStyle w:val="ListBullet"/>
      </w:pPr>
      <w:r w:rsidRPr="189D3658">
        <w:t>Identify any changes in continence and note the specific area of change.</w:t>
      </w:r>
    </w:p>
    <w:p w14:paraId="58FAFD00" w14:textId="3C889245" w:rsidR="00443AFF" w:rsidRPr="002765D3" w:rsidRDefault="00273DF8" w:rsidP="00314F78">
      <w:pPr>
        <w:pStyle w:val="ListBullet"/>
        <w:rPr>
          <w:lang w:eastAsia="en-AU"/>
        </w:rPr>
      </w:pPr>
      <w:r w:rsidRPr="002765D3">
        <w:rPr>
          <w:noProof/>
        </w:rPr>
        <w:drawing>
          <wp:anchor distT="0" distB="0" distL="114300" distR="114300" simplePos="0" relativeHeight="251658269" behindDoc="0" locked="0" layoutInCell="1" allowOverlap="1" wp14:anchorId="7A10CFBA" wp14:editId="1990C35C">
            <wp:simplePos x="0" y="0"/>
            <wp:positionH relativeFrom="column">
              <wp:posOffset>2515870</wp:posOffset>
            </wp:positionH>
            <wp:positionV relativeFrom="paragraph">
              <wp:posOffset>324485</wp:posOffset>
            </wp:positionV>
            <wp:extent cx="539115" cy="539750"/>
            <wp:effectExtent l="0" t="0" r="0" b="0"/>
            <wp:wrapSquare wrapText="bothSides"/>
            <wp:docPr id="85" name="Picture 16" descr="P874#y2">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6" descr="P874#y2">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58267" behindDoc="0" locked="0" layoutInCell="1" allowOverlap="1" wp14:anchorId="1369CC52" wp14:editId="53E64C84">
            <wp:simplePos x="0" y="0"/>
            <wp:positionH relativeFrom="column">
              <wp:posOffset>-617855</wp:posOffset>
            </wp:positionH>
            <wp:positionV relativeFrom="paragraph">
              <wp:posOffset>571500</wp:posOffset>
            </wp:positionV>
            <wp:extent cx="539496" cy="540000"/>
            <wp:effectExtent l="0" t="0" r="0" b="0"/>
            <wp:wrapSquare wrapText="bothSides"/>
            <wp:docPr id="83" name="Picture 14" descr="P874#y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4" descr="P874#y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14:sizeRelH relativeFrom="margin">
              <wp14:pctWidth>0</wp14:pctWidth>
            </wp14:sizeRelH>
          </wp:anchor>
        </w:drawing>
      </w:r>
      <w:r w:rsidR="0EA4ED1C" w:rsidRPr="189D3658">
        <w:t>Identify any risk factors for inconti</w:t>
      </w:r>
      <w:r w:rsidR="0EA4ED1C" w:rsidRPr="189D3658">
        <w:rPr>
          <w:lang w:eastAsia="en-AU"/>
        </w:rPr>
        <w:t>nence (e.g. comorbidities, medications, mobility issues).</w:t>
      </w:r>
    </w:p>
    <w:p w14:paraId="4648E85C" w14:textId="07EEB823" w:rsidR="00443AFF" w:rsidRPr="002765D3" w:rsidRDefault="00443AFF" w:rsidP="00314F78">
      <w:pPr>
        <w:pStyle w:val="TableHeader"/>
      </w:pPr>
      <w:r>
        <w:t>Undertake ongoing s</w:t>
      </w:r>
      <w:r w:rsidRPr="002765D3">
        <w:t>creening</w:t>
      </w:r>
      <w:r>
        <w:t xml:space="preserve"> and comprehensive assessment</w:t>
      </w:r>
    </w:p>
    <w:p w14:paraId="7606F380" w14:textId="77777777" w:rsidR="00443AFF" w:rsidRPr="00BF28D6" w:rsidRDefault="00443AFF" w:rsidP="00314F78">
      <w:pPr>
        <w:pStyle w:val="ListBullet"/>
      </w:pPr>
      <w:r w:rsidRPr="00BF28D6">
        <w:t>Screen care recipients regularly and provide comprehensive assessment in response to changes, including:</w:t>
      </w:r>
    </w:p>
    <w:p w14:paraId="03B86CCA" w14:textId="77777777" w:rsidR="00443AFF" w:rsidRPr="00BF28D6" w:rsidRDefault="00443AFF" w:rsidP="00314F78">
      <w:pPr>
        <w:pStyle w:val="ListBullet2"/>
      </w:pPr>
      <w:r w:rsidRPr="00BF28D6">
        <w:t>when first admitted to a residential aged care service (full assessment)</w:t>
      </w:r>
    </w:p>
    <w:p w14:paraId="55323B74" w14:textId="77777777" w:rsidR="00443AFF" w:rsidRPr="00BF28D6" w:rsidRDefault="00443AFF" w:rsidP="00314F78">
      <w:pPr>
        <w:pStyle w:val="ListBullet2"/>
      </w:pPr>
      <w:r w:rsidRPr="00BF28D6">
        <w:t>at pad change or when emptying bladder/bowels (assess skin integrity, assess frequency of incontinence e.g. daily, greater than 3 times)</w:t>
      </w:r>
    </w:p>
    <w:p w14:paraId="031FA238" w14:textId="77777777" w:rsidR="00443AFF" w:rsidRPr="00BF28D6" w:rsidRDefault="00443AFF" w:rsidP="00314F78">
      <w:pPr>
        <w:pStyle w:val="ListBullet2"/>
      </w:pPr>
      <w:r w:rsidRPr="00BF28D6">
        <w:t>after a change in health status</w:t>
      </w:r>
    </w:p>
    <w:p w14:paraId="6F9EDFFC" w14:textId="77777777" w:rsidR="00443AFF" w:rsidRPr="00BF28D6" w:rsidRDefault="00443AFF" w:rsidP="00314F78">
      <w:pPr>
        <w:pStyle w:val="ListBullet2"/>
      </w:pPr>
      <w:r w:rsidRPr="00BF28D6">
        <w:t>on return from a different care setting (e.g. following hospital admission or homestay).</w:t>
      </w:r>
    </w:p>
    <w:p w14:paraId="526019DB" w14:textId="6A5379DA" w:rsidR="00443AFF" w:rsidRPr="002765D3" w:rsidRDefault="00273DF8" w:rsidP="00314F78">
      <w:pPr>
        <w:pStyle w:val="TableHeader"/>
      </w:pPr>
      <w:r w:rsidRPr="002765D3">
        <w:rPr>
          <w:noProof/>
        </w:rPr>
        <w:drawing>
          <wp:anchor distT="0" distB="0" distL="114300" distR="114300" simplePos="0" relativeHeight="251658268" behindDoc="0" locked="0" layoutInCell="1" allowOverlap="1" wp14:anchorId="1F76A2B9" wp14:editId="746A7896">
            <wp:simplePos x="0" y="0"/>
            <wp:positionH relativeFrom="column">
              <wp:posOffset>-598805</wp:posOffset>
            </wp:positionH>
            <wp:positionV relativeFrom="paragraph">
              <wp:posOffset>-635</wp:posOffset>
            </wp:positionV>
            <wp:extent cx="539496" cy="540000"/>
            <wp:effectExtent l="0" t="0" r="0" b="0"/>
            <wp:wrapSquare wrapText="bothSides"/>
            <wp:docPr id="84" name="Picture 15" descr="P881#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5" descr="P881#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00443AFF" w:rsidRPr="002765D3">
        <w:t>Document</w:t>
      </w:r>
      <w:r w:rsidR="00443AFF">
        <w:t xml:space="preserve"> findings in care record and undertake collaborative care planning</w:t>
      </w:r>
    </w:p>
    <w:p w14:paraId="4BCCCC9C" w14:textId="3735765A" w:rsidR="00443AFF" w:rsidRPr="00873046" w:rsidRDefault="00443AFF" w:rsidP="00314F78">
      <w:pPr>
        <w:pStyle w:val="ListBullet"/>
      </w:pPr>
      <w:r w:rsidRPr="00873046">
        <w:t>Document care recipient’s assessment findings in their care record (e.g. changes in continence, mobility, cognition, other adverse clinical events).</w:t>
      </w:r>
    </w:p>
    <w:p w14:paraId="0AD265A6" w14:textId="77777777" w:rsidR="00443AFF" w:rsidRPr="00873046" w:rsidRDefault="00443AFF" w:rsidP="00314F78">
      <w:pPr>
        <w:pStyle w:val="ListBullet"/>
      </w:pPr>
      <w:r w:rsidRPr="00873046">
        <w:t>Document risk factors for incontinence.</w:t>
      </w:r>
    </w:p>
    <w:p w14:paraId="44925723" w14:textId="77777777" w:rsidR="00443AFF" w:rsidRPr="00873046" w:rsidRDefault="00443AFF" w:rsidP="00314F78">
      <w:pPr>
        <w:pStyle w:val="ListBullet"/>
      </w:pPr>
      <w:r w:rsidRPr="00873046">
        <w:t>Undertake collaborative care planning, ensuring alignment with care recipient’s needs and preferences for management.</w:t>
      </w:r>
    </w:p>
    <w:p w14:paraId="3D25BEA5" w14:textId="77777777" w:rsidR="00443AFF" w:rsidRPr="002765D3" w:rsidRDefault="0EA4ED1C" w:rsidP="00314F78">
      <w:pPr>
        <w:pStyle w:val="ListBullet"/>
        <w:rPr>
          <w:lang w:eastAsia="en-AU"/>
        </w:rPr>
      </w:pPr>
      <w:r w:rsidRPr="189D3658">
        <w:t>Identify and document suitable prevention strategies</w:t>
      </w:r>
      <w:r w:rsidRPr="189D3658">
        <w:rPr>
          <w:lang w:eastAsia="en-AU"/>
        </w:rPr>
        <w:t>.</w:t>
      </w:r>
    </w:p>
    <w:p w14:paraId="2BA59530" w14:textId="54863ABF" w:rsidR="00443AFF" w:rsidRPr="002765D3" w:rsidRDefault="00443AFF" w:rsidP="00314F78">
      <w:pPr>
        <w:pStyle w:val="TableHeader"/>
      </w:pPr>
      <w:r w:rsidRPr="002765D3">
        <w:t xml:space="preserve">Implement </w:t>
      </w:r>
      <w:r>
        <w:t xml:space="preserve">appropriate </w:t>
      </w:r>
      <w:r w:rsidRPr="002765D3">
        <w:t xml:space="preserve">multi-faceted strategies </w:t>
      </w:r>
      <w:r>
        <w:t>aligned with care recipient’s need and preferences</w:t>
      </w:r>
    </w:p>
    <w:p w14:paraId="0A590B76" w14:textId="77777777" w:rsidR="00443AFF" w:rsidRPr="00A0680B" w:rsidRDefault="00443AFF" w:rsidP="00314F78">
      <w:pPr>
        <w:pStyle w:val="ListBullet"/>
      </w:pPr>
      <w:r w:rsidRPr="34D45A33">
        <w:rPr>
          <w:lang w:eastAsia="en-AU"/>
        </w:rPr>
        <w:t>Imp</w:t>
      </w:r>
      <w:r w:rsidRPr="00A0680B">
        <w:t>lement a continence management strategy including toileting regime/plan</w:t>
      </w:r>
    </w:p>
    <w:p w14:paraId="15196A1D" w14:textId="77777777" w:rsidR="00443AFF" w:rsidRPr="002765D3" w:rsidRDefault="00443AFF" w:rsidP="00314F78">
      <w:pPr>
        <w:pStyle w:val="ListBullet"/>
        <w:rPr>
          <w:lang w:eastAsia="en-AU"/>
        </w:rPr>
      </w:pPr>
      <w:r w:rsidRPr="00A0680B">
        <w:t>Select suitable continence aids and m</w:t>
      </w:r>
      <w:r w:rsidRPr="34D45A33">
        <w:rPr>
          <w:lang w:eastAsia="en-AU"/>
        </w:rPr>
        <w:t>anagement strategy, considering</w:t>
      </w:r>
    </w:p>
    <w:p w14:paraId="0B088F83" w14:textId="77777777" w:rsidR="00443AFF" w:rsidRPr="002765D3" w:rsidRDefault="00443AFF" w:rsidP="00314F78">
      <w:pPr>
        <w:pStyle w:val="ListBullet2"/>
      </w:pPr>
      <w:r w:rsidRPr="34D45A33">
        <w:t>skin integrity</w:t>
      </w:r>
    </w:p>
    <w:p w14:paraId="6276582C" w14:textId="77777777" w:rsidR="00443AFF" w:rsidRDefault="00443AFF" w:rsidP="00314F78">
      <w:pPr>
        <w:pStyle w:val="ListBullet2"/>
      </w:pPr>
      <w:r w:rsidRPr="34D45A33">
        <w:t>frequency of changes</w:t>
      </w:r>
    </w:p>
    <w:p w14:paraId="71218A0A" w14:textId="77777777" w:rsidR="00443AFF" w:rsidRDefault="00443AFF" w:rsidP="00314F78">
      <w:pPr>
        <w:pStyle w:val="ListBullet2"/>
      </w:pPr>
      <w:r>
        <w:t>severity and type of incontinence</w:t>
      </w:r>
    </w:p>
    <w:p w14:paraId="2EB99DB7" w14:textId="77777777" w:rsidR="00443AFF" w:rsidRDefault="0EA4ED1C" w:rsidP="00314F78">
      <w:pPr>
        <w:pStyle w:val="ListBullet2"/>
      </w:pPr>
      <w:r w:rsidRPr="189D3658">
        <w:t>level of independence, mobility and dexterity</w:t>
      </w:r>
    </w:p>
    <w:p w14:paraId="21E44787" w14:textId="77777777" w:rsidR="00443AFF" w:rsidRPr="002765D3" w:rsidRDefault="00443AFF" w:rsidP="00314F78">
      <w:pPr>
        <w:pStyle w:val="ListBullet2"/>
      </w:pPr>
      <w:r>
        <w:t>care recipient’s abilities and preferences.</w:t>
      </w:r>
    </w:p>
    <w:p w14:paraId="4D98DBE9" w14:textId="77777777" w:rsidR="00443AFF" w:rsidRPr="002765D3" w:rsidRDefault="0EA4ED1C" w:rsidP="00314F78">
      <w:pPr>
        <w:pStyle w:val="ListBullet"/>
        <w:rPr>
          <w:lang w:eastAsia="en-AU"/>
        </w:rPr>
      </w:pPr>
      <w:r w:rsidRPr="189D3658">
        <w:rPr>
          <w:lang w:eastAsia="en-AU"/>
        </w:rPr>
        <w:t>Engage appropriate clinical care:</w:t>
      </w:r>
    </w:p>
    <w:p w14:paraId="7C3959A0" w14:textId="77777777" w:rsidR="00443AFF" w:rsidRPr="002765D3" w:rsidRDefault="00443AFF" w:rsidP="00314F78">
      <w:pPr>
        <w:pStyle w:val="ListBullet2"/>
      </w:pPr>
      <w:r>
        <w:t>p</w:t>
      </w:r>
      <w:r w:rsidRPr="34D45A33">
        <w:t>harmacist</w:t>
      </w:r>
    </w:p>
    <w:p w14:paraId="3F30431D" w14:textId="77777777" w:rsidR="00443AFF" w:rsidRPr="002765D3" w:rsidRDefault="00443AFF" w:rsidP="00314F78">
      <w:pPr>
        <w:pStyle w:val="ListBullet2"/>
      </w:pPr>
      <w:r>
        <w:t>p</w:t>
      </w:r>
      <w:r w:rsidRPr="34D45A33">
        <w:t>hysiotherapist</w:t>
      </w:r>
    </w:p>
    <w:p w14:paraId="398B9045" w14:textId="17FB8D6D" w:rsidR="00443AFF" w:rsidRPr="002765D3" w:rsidRDefault="00443AFF" w:rsidP="00314F78">
      <w:pPr>
        <w:pStyle w:val="ListBullet2"/>
      </w:pPr>
      <w:r>
        <w:t>o</w:t>
      </w:r>
      <w:r w:rsidRPr="34D45A33">
        <w:t>ccupational therapist</w:t>
      </w:r>
    </w:p>
    <w:p w14:paraId="3A2A6DA6" w14:textId="77777777" w:rsidR="00443AFF" w:rsidRPr="002765D3" w:rsidRDefault="00443AFF" w:rsidP="00314F78">
      <w:pPr>
        <w:pStyle w:val="ListBullet2"/>
      </w:pPr>
      <w:r>
        <w:t>d</w:t>
      </w:r>
      <w:r w:rsidRPr="34D45A33">
        <w:t>iet</w:t>
      </w:r>
      <w:r>
        <w:t>itian</w:t>
      </w:r>
    </w:p>
    <w:p w14:paraId="08BD5732" w14:textId="77777777" w:rsidR="00443AFF" w:rsidRPr="002765D3" w:rsidRDefault="00443AFF" w:rsidP="00314F78">
      <w:pPr>
        <w:pStyle w:val="ListBullet2"/>
      </w:pPr>
      <w:r>
        <w:t>c</w:t>
      </w:r>
      <w:r w:rsidRPr="34D45A33">
        <w:t>ontinence nurse</w:t>
      </w:r>
    </w:p>
    <w:p w14:paraId="62C6BD21" w14:textId="77777777" w:rsidR="00443AFF" w:rsidRPr="002765D3" w:rsidRDefault="00443AFF" w:rsidP="00314F78">
      <w:pPr>
        <w:pStyle w:val="ListBullet2"/>
      </w:pPr>
      <w:r>
        <w:t>g</w:t>
      </w:r>
      <w:r w:rsidRPr="34D45A33">
        <w:t>eriatrician</w:t>
      </w:r>
    </w:p>
    <w:p w14:paraId="7D527C04" w14:textId="77777777" w:rsidR="00443AFF" w:rsidRPr="002765D3" w:rsidRDefault="00443AFF" w:rsidP="00314F78">
      <w:pPr>
        <w:pStyle w:val="ListBullet2"/>
      </w:pPr>
      <w:r>
        <w:t>u</w:t>
      </w:r>
      <w:r w:rsidRPr="34D45A33">
        <w:t>rologist/</w:t>
      </w:r>
      <w:r>
        <w:t>colorectal surgeon</w:t>
      </w:r>
      <w:r w:rsidRPr="34D45A33">
        <w:t>.</w:t>
      </w:r>
    </w:p>
    <w:p w14:paraId="446680FB" w14:textId="190A307E" w:rsidR="00443AFF" w:rsidRPr="002765D3" w:rsidRDefault="00273DF8" w:rsidP="00314F78">
      <w:pPr>
        <w:pStyle w:val="TableHeader"/>
      </w:pPr>
      <w:r w:rsidRPr="002765D3">
        <w:rPr>
          <w:noProof/>
        </w:rPr>
        <w:drawing>
          <wp:anchor distT="0" distB="0" distL="114300" distR="114300" simplePos="0" relativeHeight="251658270" behindDoc="0" locked="0" layoutInCell="1" allowOverlap="1" wp14:anchorId="46DE39AD" wp14:editId="42EF16E4">
            <wp:simplePos x="0" y="0"/>
            <wp:positionH relativeFrom="column">
              <wp:posOffset>-527979</wp:posOffset>
            </wp:positionH>
            <wp:positionV relativeFrom="paragraph">
              <wp:posOffset>15884</wp:posOffset>
            </wp:positionV>
            <wp:extent cx="539496" cy="540000"/>
            <wp:effectExtent l="0" t="0" r="0" b="0"/>
            <wp:wrapSquare wrapText="bothSides"/>
            <wp:docPr id="86" name="Picture 17" descr="P902#y1">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7" descr="P902#y1">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496" cy="540000"/>
                    </a:xfrm>
                    <a:prstGeom prst="rect">
                      <a:avLst/>
                    </a:prstGeom>
                  </pic:spPr>
                </pic:pic>
              </a:graphicData>
            </a:graphic>
          </wp:anchor>
        </w:drawing>
      </w:r>
      <w:r w:rsidR="00443AFF" w:rsidRPr="002765D3">
        <w:t>Recogni</w:t>
      </w:r>
      <w:r w:rsidR="00443AFF">
        <w:t>se</w:t>
      </w:r>
      <w:r w:rsidR="00443AFF" w:rsidRPr="002765D3">
        <w:t xml:space="preserve"> and manage adverse </w:t>
      </w:r>
      <w:r w:rsidR="00443AFF">
        <w:t xml:space="preserve">clinical </w:t>
      </w:r>
      <w:r w:rsidR="00443AFF" w:rsidRPr="002765D3">
        <w:t>events</w:t>
      </w:r>
      <w:r w:rsidR="00443AFF">
        <w:t xml:space="preserve"> associated with incontinence</w:t>
      </w:r>
    </w:p>
    <w:p w14:paraId="2B6EF6F3" w14:textId="77777777" w:rsidR="00443AFF" w:rsidRPr="00A0680B" w:rsidRDefault="00443AFF" w:rsidP="00314F78">
      <w:pPr>
        <w:pStyle w:val="ListBullet"/>
      </w:pPr>
      <w:r>
        <w:lastRenderedPageBreak/>
        <w:t>Skin and tissue breakdown (e.g. pre</w:t>
      </w:r>
      <w:r w:rsidRPr="00A0680B">
        <w:t>ssure injury and incontinence associated dermatitis).</w:t>
      </w:r>
    </w:p>
    <w:p w14:paraId="5B0492FB" w14:textId="77777777" w:rsidR="00443AFF" w:rsidRPr="00A0680B" w:rsidRDefault="00443AFF" w:rsidP="00314F78">
      <w:pPr>
        <w:pStyle w:val="ListBullet"/>
      </w:pPr>
      <w:r w:rsidRPr="00A0680B">
        <w:t>Falls.</w:t>
      </w:r>
    </w:p>
    <w:p w14:paraId="598784B1" w14:textId="77777777" w:rsidR="00443AFF" w:rsidRPr="00A0680B" w:rsidRDefault="00443AFF" w:rsidP="00314F78">
      <w:pPr>
        <w:pStyle w:val="ListBullet"/>
      </w:pPr>
      <w:r w:rsidRPr="00A0680B">
        <w:t>Activity of daily living decline.</w:t>
      </w:r>
    </w:p>
    <w:p w14:paraId="3EFA6E84" w14:textId="77777777" w:rsidR="00443AFF" w:rsidRPr="00A0680B" w:rsidRDefault="00443AFF" w:rsidP="00314F78">
      <w:pPr>
        <w:pStyle w:val="ListBullet"/>
      </w:pPr>
      <w:r w:rsidRPr="00A0680B">
        <w:t>Infection.</w:t>
      </w:r>
    </w:p>
    <w:p w14:paraId="286E8D3B" w14:textId="77777777" w:rsidR="00443AFF" w:rsidRPr="00A0680B" w:rsidRDefault="00443AFF" w:rsidP="00314F78">
      <w:pPr>
        <w:pStyle w:val="ListBullet"/>
      </w:pPr>
      <w:r w:rsidRPr="00A0680B">
        <w:t>Social withdrawal.</w:t>
      </w:r>
    </w:p>
    <w:p w14:paraId="342CCAA7" w14:textId="2B34CD66" w:rsidR="00443AFF" w:rsidRPr="002765D3" w:rsidRDefault="00443AFF" w:rsidP="00314F78">
      <w:pPr>
        <w:pStyle w:val="ListBullet"/>
      </w:pPr>
      <w:r w:rsidRPr="00A0680B">
        <w:t xml:space="preserve">Reduced </w:t>
      </w:r>
      <w:r>
        <w:t>quality of life.</w:t>
      </w:r>
    </w:p>
    <w:p w14:paraId="58D40C41" w14:textId="77777777" w:rsidR="003B1C84" w:rsidRPr="004A09AA" w:rsidRDefault="003B1C84" w:rsidP="00314F78"/>
    <w:p w14:paraId="59E6FCF8" w14:textId="77777777" w:rsidR="003B1C84" w:rsidRPr="002765D3" w:rsidRDefault="003B1C84" w:rsidP="00314F78">
      <w:pPr>
        <w:sectPr w:rsidR="003B1C84" w:rsidRPr="002765D3" w:rsidSect="009F2BB4">
          <w:headerReference w:type="even" r:id="rId204"/>
          <w:headerReference w:type="default" r:id="rId205"/>
          <w:headerReference w:type="first" r:id="rId206"/>
          <w:endnotePr>
            <w:numFmt w:val="decimal"/>
          </w:endnotePr>
          <w:type w:val="continuous"/>
          <w:pgSz w:w="11906" w:h="16838" w:code="9"/>
          <w:pgMar w:top="1701" w:right="1134" w:bottom="1134" w:left="2098" w:header="567" w:footer="567" w:gutter="0"/>
          <w:cols w:num="2" w:space="1418"/>
          <w:docGrid w:linePitch="360"/>
        </w:sectPr>
      </w:pPr>
    </w:p>
    <w:p w14:paraId="3970B021" w14:textId="352CB7A5" w:rsidR="00BA28C4" w:rsidRPr="00BF28D6" w:rsidRDefault="00BA28C4" w:rsidP="0059348C">
      <w:pPr>
        <w:pStyle w:val="Heading2"/>
      </w:pPr>
      <w:r w:rsidRPr="00BF28D6">
        <w:t xml:space="preserve">Quality improvement for </w:t>
      </w:r>
      <w:r w:rsidR="00DD39DA" w:rsidRPr="00BF28D6">
        <w:t>in</w:t>
      </w:r>
      <w:r w:rsidRPr="00BF28D6">
        <w:t>continence</w:t>
      </w:r>
    </w:p>
    <w:p w14:paraId="2DA3030C" w14:textId="6CF644EE" w:rsidR="001D1A7F" w:rsidRPr="00BF28D6" w:rsidRDefault="7DDDB239" w:rsidP="00314F78">
      <w:r w:rsidRPr="00BF28D6">
        <w:t xml:space="preserve">Quality improvement can help providers increase quality of </w:t>
      </w:r>
      <w:r w:rsidR="773FA81B" w:rsidRPr="00BF28D6">
        <w:t>care</w:t>
      </w:r>
      <w:r w:rsidRPr="00BF28D6">
        <w:t xml:space="preserve"> for care recipients experiencing </w:t>
      </w:r>
      <w:r w:rsidR="47D3BE1E" w:rsidRPr="00BF28D6">
        <w:t>incontinence</w:t>
      </w:r>
      <w:r w:rsidR="00DD39DA" w:rsidRPr="00BF28D6">
        <w:t xml:space="preserve"> and/or IAD</w:t>
      </w:r>
      <w:r w:rsidRPr="00BF28D6">
        <w:t>. Quality improvement activities should be ongoing and part of business-as-usual for approved providers.</w:t>
      </w:r>
      <w:r w:rsidR="001D1A7F" w:rsidRPr="00BF28D6">
        <w:t xml:space="preserve"> The QI Program will help prompt when a specific quality improvement activity should be undertaken. It is important to review the QI Program data reports through</w:t>
      </w:r>
      <w:r w:rsidR="00B26274" w:rsidRPr="00BF28D6">
        <w:t xml:space="preserve"> GPMS</w:t>
      </w:r>
      <w:r w:rsidR="001D1A7F" w:rsidRPr="00BF28D6">
        <w:t xml:space="preserve"> and compare against national </w:t>
      </w:r>
      <w:r w:rsidR="0084075D" w:rsidRPr="00BF28D6">
        <w:t>averages</w:t>
      </w:r>
      <w:r w:rsidR="001D1A7F" w:rsidRPr="00BF28D6">
        <w:t xml:space="preserve"> and other services to understand where quality improvement activities should be focused.</w:t>
      </w:r>
    </w:p>
    <w:p w14:paraId="5551FA03" w14:textId="120C1729" w:rsidR="003F7F81" w:rsidRPr="00D82644" w:rsidRDefault="32680DA2" w:rsidP="00314F78">
      <w:r w:rsidRPr="00BF28D6">
        <w:t xml:space="preserve">The </w:t>
      </w:r>
      <w:r w:rsidRPr="00BF28D6">
        <w:rPr>
          <w:rStyle w:val="Strong"/>
        </w:rPr>
        <w:t>Plan-Do-Check-Act tool</w:t>
      </w:r>
      <w:r w:rsidR="008A1154" w:rsidRPr="00BF28D6">
        <w:t xml:space="preserve"> (section 2.3)</w:t>
      </w:r>
      <w:r w:rsidRPr="00BF28D6">
        <w:t xml:space="preserve"> is a useful tool to plan, deliver and monitor quality improvement activities focused on managing incontinence.</w:t>
      </w:r>
      <w:r w:rsidRPr="00D82644">
        <w:br w:type="page"/>
      </w:r>
    </w:p>
    <w:p w14:paraId="44A5440F" w14:textId="483BBBCF" w:rsidR="00BA28C4" w:rsidRPr="00BF28D6" w:rsidRDefault="0E0A1A34" w:rsidP="0059348C">
      <w:pPr>
        <w:pStyle w:val="Heading2"/>
      </w:pPr>
      <w:r w:rsidRPr="00BF28D6">
        <w:lastRenderedPageBreak/>
        <w:t>Example tools, guidance and resources to support continuous quality improvement</w:t>
      </w:r>
    </w:p>
    <w:p w14:paraId="74C6BE01" w14:textId="4EA5E7F4" w:rsidR="00F562B8" w:rsidRPr="00D82644" w:rsidRDefault="60C6795F" w:rsidP="00314F78">
      <w:pPr>
        <w:pStyle w:val="ListBullet"/>
      </w:pPr>
      <w:hyperlink r:id="rId207" w:history="1">
        <w:r w:rsidRPr="00D82644">
          <w:rPr>
            <w:rStyle w:val="Hyperlink"/>
            <w:b/>
            <w:bCs/>
          </w:rPr>
          <w:t>Ghent Global IAD Categorisation Tool</w:t>
        </w:r>
      </w:hyperlink>
      <w:r w:rsidRPr="00D82644">
        <w:t xml:space="preserve"> </w:t>
      </w:r>
      <w:r w:rsidRPr="00454D17">
        <w:t xml:space="preserve">— </w:t>
      </w:r>
      <w:r w:rsidR="5E1FFA4F" w:rsidRPr="00454D17">
        <w:t xml:space="preserve">provides </w:t>
      </w:r>
      <w:r w:rsidRPr="00454D17">
        <w:t xml:space="preserve">standardised approach to IAD recognition, management, documentation and is the </w:t>
      </w:r>
      <w:r w:rsidR="018D031E" w:rsidRPr="00454D17">
        <w:t>selected</w:t>
      </w:r>
      <w:r w:rsidRPr="00454D17">
        <w:t xml:space="preserve"> </w:t>
      </w:r>
      <w:r w:rsidR="0E70169B" w:rsidRPr="00454D17">
        <w:t xml:space="preserve">IAD assessment tool </w:t>
      </w:r>
      <w:r w:rsidR="018D031E" w:rsidRPr="00454D17">
        <w:t>that must be used in the</w:t>
      </w:r>
      <w:r w:rsidR="0E70169B" w:rsidRPr="00454D17">
        <w:t xml:space="preserve"> QI</w:t>
      </w:r>
      <w:r w:rsidR="5E1FFA4F" w:rsidRPr="00454D17">
        <w:t> </w:t>
      </w:r>
      <w:r w:rsidR="0E70169B" w:rsidRPr="00454D17">
        <w:t>Program</w:t>
      </w:r>
      <w:r w:rsidR="0A8A619E" w:rsidRPr="00454D17">
        <w:t xml:space="preserve"> — Ghent University</w:t>
      </w:r>
      <w:r w:rsidR="5E1FFA4F" w:rsidRPr="00454D17">
        <w:t xml:space="preserve"> —</w:t>
      </w:r>
      <w:r w:rsidRPr="00454D17">
        <w:t xml:space="preserve"> </w:t>
      </w:r>
      <w:r w:rsidR="5E1FFA4F" w:rsidRPr="00454D17">
        <w:t>a</w:t>
      </w:r>
      <w:r w:rsidR="74E7B5BF" w:rsidRPr="00454D17">
        <w:t>vailable in Part A</w:t>
      </w:r>
      <w:r w:rsidR="5E1FFA4F" w:rsidRPr="00454D17">
        <w:t>:</w:t>
      </w:r>
      <w:r w:rsidR="74E7B5BF" w:rsidRPr="00454D17">
        <w:t xml:space="preserve"> Appendix </w:t>
      </w:r>
      <w:r w:rsidR="2DE7A38C" w:rsidRPr="00454D17">
        <w:t>B</w:t>
      </w:r>
    </w:p>
    <w:bookmarkStart w:id="60" w:name="_Hlk111806592"/>
    <w:p w14:paraId="591A6D28" w14:textId="58817405" w:rsidR="00862935" w:rsidRPr="00D82644" w:rsidRDefault="002679BC" w:rsidP="00314F78">
      <w:pPr>
        <w:pStyle w:val="ListBullet"/>
      </w:pPr>
      <w:r w:rsidRPr="00D82644">
        <w:fldChar w:fldCharType="begin"/>
      </w:r>
      <w:r w:rsidRPr="00D82644">
        <w:instrText xml:space="preserve">HYPERLINK "https://www.nari.net.au/model-of-continence-care#:~:text=This%20research%20co-designed%20and%20evaluated%20a%20best%20practice%20model%20for" </w:instrText>
      </w:r>
      <w:r w:rsidRPr="00D82644">
        <w:fldChar w:fldCharType="separate"/>
      </w:r>
      <w:hyperlink r:id="rId208" w:anchor=":~:text=Continence%20SMART%20Care%20(CSC)%20is,that%20optimises%20their%20functional%20ability" w:history="1">
        <w:r w:rsidR="002613CD" w:rsidRPr="00D82644">
          <w:rPr>
            <w:rStyle w:val="Hyperlink"/>
            <w:b/>
            <w:bCs/>
          </w:rPr>
          <w:t xml:space="preserve">Model of Continence Care (previously </w:t>
        </w:r>
        <w:r w:rsidR="00862935" w:rsidRPr="00D82644">
          <w:rPr>
            <w:rStyle w:val="Hyperlink"/>
            <w:b/>
            <w:bCs/>
          </w:rPr>
          <w:t>Continence SMART Care</w:t>
        </w:r>
        <w:r w:rsidRPr="00D82644">
          <w:rPr>
            <w:rStyle w:val="Hyperlink"/>
            <w:b/>
            <w:bCs/>
          </w:rPr>
          <w:t>)</w:t>
        </w:r>
      </w:hyperlink>
      <w:r w:rsidRPr="00D82644">
        <w:fldChar w:fldCharType="end"/>
      </w:r>
      <w:r w:rsidR="00862935" w:rsidRPr="00D82644">
        <w:t xml:space="preserve"> </w:t>
      </w:r>
      <w:r w:rsidR="00862935" w:rsidRPr="00454D17">
        <w:t xml:space="preserve">— </w:t>
      </w:r>
      <w:r w:rsidR="00D914D8" w:rsidRPr="00454D17">
        <w:t>an</w:t>
      </w:r>
      <w:r w:rsidR="00862935" w:rsidRPr="00454D17">
        <w:t xml:space="preserve"> evidence-based, person centred, clinically informed practice model of continence care</w:t>
      </w:r>
      <w:r w:rsidR="00D914D8" w:rsidRPr="00454D17">
        <w:t xml:space="preserve"> for aged care — </w:t>
      </w:r>
      <w:r w:rsidR="4F0A04DD" w:rsidRPr="00454D17">
        <w:t xml:space="preserve">National Aging Research Institute </w:t>
      </w:r>
    </w:p>
    <w:bookmarkEnd w:id="60"/>
    <w:p w14:paraId="26702584" w14:textId="33F36CA0" w:rsidR="00862935" w:rsidRPr="00273F10" w:rsidRDefault="00862935" w:rsidP="00314F78">
      <w:pPr>
        <w:pStyle w:val="ListBullet"/>
      </w:pPr>
      <w:r>
        <w:fldChar w:fldCharType="begin"/>
      </w:r>
      <w:r>
        <w:instrText>HYPERLINK "https://images.skintghent.be/2018491033795_iad-best-practice-document.pdf"</w:instrText>
      </w:r>
      <w:r>
        <w:fldChar w:fldCharType="separate"/>
      </w:r>
      <w:r w:rsidRPr="00D82644">
        <w:rPr>
          <w:rStyle w:val="Hyperlink"/>
          <w:b/>
          <w:bCs/>
        </w:rPr>
        <w:t>Incontinence-associated dermatitis: Moving prevention forward: Addressing evidence gaps for best practice</w:t>
      </w:r>
      <w:r>
        <w:fldChar w:fldCharType="end"/>
      </w:r>
      <w:r w:rsidRPr="00D82644">
        <w:t xml:space="preserve"> — </w:t>
      </w:r>
      <w:r w:rsidRPr="00273F10">
        <w:t>practical guidance on how to assess, prevent and manage IAD based on available evidence and expert opinion</w:t>
      </w:r>
      <w:r w:rsidR="00ED4839" w:rsidRPr="00273F10">
        <w:t xml:space="preserve"> — Wounds International</w:t>
      </w:r>
    </w:p>
    <w:p w14:paraId="60B199C8" w14:textId="1C9B0314" w:rsidR="00862935" w:rsidRPr="00273F10" w:rsidRDefault="73696DF5" w:rsidP="00314F78">
      <w:pPr>
        <w:pStyle w:val="ListBullet"/>
      </w:pPr>
      <w:hyperlink r:id="rId209">
        <w:r w:rsidRPr="00273F10">
          <w:rPr>
            <w:rStyle w:val="Hyperlink"/>
          </w:rPr>
          <w:t>Incontinence Associated Dermatitis Best Practice Principles</w:t>
        </w:r>
      </w:hyperlink>
      <w:r w:rsidRPr="00273F10">
        <w:t xml:space="preserve"> — </w:t>
      </w:r>
      <w:r w:rsidR="5F0F7097" w:rsidRPr="00273F10">
        <w:t xml:space="preserve">best practice principles </w:t>
      </w:r>
      <w:r w:rsidRPr="00273F10">
        <w:t>provid</w:t>
      </w:r>
      <w:r w:rsidR="5F0F7097" w:rsidRPr="00273F10">
        <w:t>ing</w:t>
      </w:r>
      <w:r w:rsidRPr="00273F10">
        <w:t xml:space="preserve"> information about IAD risk factors, recognition, assessment, prevention and management — N</w:t>
      </w:r>
      <w:r w:rsidR="28FA3421" w:rsidRPr="00273F10">
        <w:t xml:space="preserve">ew </w:t>
      </w:r>
      <w:r w:rsidRPr="00273F10">
        <w:t>S</w:t>
      </w:r>
      <w:r w:rsidR="28FA3421" w:rsidRPr="00273F10">
        <w:t xml:space="preserve">outh </w:t>
      </w:r>
      <w:r w:rsidRPr="00273F10">
        <w:t>W</w:t>
      </w:r>
      <w:r w:rsidR="28FA3421" w:rsidRPr="00273F10">
        <w:t>ales</w:t>
      </w:r>
      <w:r w:rsidRPr="00273F10">
        <w:t xml:space="preserve"> Health Clinical Excellence Commission</w:t>
      </w:r>
    </w:p>
    <w:p w14:paraId="01210485" w14:textId="6B574B9C" w:rsidR="00BA28C4" w:rsidRPr="00D82644" w:rsidRDefault="00BA28C4" w:rsidP="00314F78">
      <w:pPr>
        <w:pStyle w:val="ListBullet"/>
      </w:pPr>
      <w:hyperlink r:id="rId210" w:history="1">
        <w:r w:rsidRPr="00D82644">
          <w:rPr>
            <w:rStyle w:val="Hyperlink"/>
            <w:b/>
            <w:bCs/>
          </w:rPr>
          <w:t>Incontinence in Australia</w:t>
        </w:r>
      </w:hyperlink>
      <w:r w:rsidR="00EB2481" w:rsidRPr="00D82644">
        <w:t xml:space="preserve"> </w:t>
      </w:r>
      <w:r w:rsidR="00EB2481" w:rsidRPr="00454D17">
        <w:t xml:space="preserve">— </w:t>
      </w:r>
      <w:r w:rsidR="00ED4839" w:rsidRPr="00454D17">
        <w:t xml:space="preserve">report </w:t>
      </w:r>
      <w:r w:rsidR="00EB2481" w:rsidRPr="00D82644">
        <w:t>p</w:t>
      </w:r>
      <w:r w:rsidRPr="00D82644">
        <w:t>rovid</w:t>
      </w:r>
      <w:r w:rsidR="00ED4839" w:rsidRPr="00D82644">
        <w:t>ing</w:t>
      </w:r>
      <w:r w:rsidRPr="00D82644">
        <w:t xml:space="preserve"> background information and prevalence of incontinence in Australia, as well as hospital and residential aged care admissions relating to continence</w:t>
      </w:r>
      <w:r w:rsidR="000B27FB" w:rsidRPr="00D82644">
        <w:t xml:space="preserve"> — Australian Institute of Health and Welfare</w:t>
      </w:r>
    </w:p>
    <w:bookmarkStart w:id="61" w:name="_Hlk112065356"/>
    <w:p w14:paraId="09EEDF67" w14:textId="0EFCA08E" w:rsidR="00BA28C4" w:rsidRPr="00D82644" w:rsidRDefault="00862935" w:rsidP="00314F78">
      <w:pPr>
        <w:pStyle w:val="ListBullet"/>
      </w:pPr>
      <w:r w:rsidRPr="00D82644">
        <w:rPr>
          <w:sz w:val="20"/>
        </w:rPr>
        <w:fldChar w:fldCharType="begin"/>
      </w:r>
      <w:r w:rsidR="00F20117" w:rsidRPr="00D82644">
        <w:instrText>HYPERLINK "https://journals.lww.com/aswcjournal/Fulltext/2018/11000/Incontinence_Associated_Dermatitis__State_of_the.4.aspx"</w:instrText>
      </w:r>
      <w:r w:rsidRPr="00D82644">
        <w:rPr>
          <w:sz w:val="20"/>
        </w:rPr>
      </w:r>
      <w:r w:rsidRPr="00D82644">
        <w:rPr>
          <w:sz w:val="20"/>
        </w:rPr>
        <w:fldChar w:fldCharType="separate"/>
      </w:r>
      <w:r w:rsidR="00BA28C4" w:rsidRPr="00D82644">
        <w:rPr>
          <w:rStyle w:val="Hyperlink"/>
          <w:b/>
          <w:bCs/>
        </w:rPr>
        <w:t>Literature Review of Incontinence Associated Dermatitis</w:t>
      </w:r>
      <w:r w:rsidRPr="00D82644">
        <w:rPr>
          <w:rStyle w:val="Hyperlink"/>
          <w:b/>
          <w:bCs/>
        </w:rPr>
        <w:fldChar w:fldCharType="end"/>
      </w:r>
      <w:r w:rsidR="00EB2481" w:rsidRPr="00D82644">
        <w:t xml:space="preserve"> </w:t>
      </w:r>
      <w:r w:rsidR="00EB2481" w:rsidRPr="00454D17">
        <w:t xml:space="preserve">— </w:t>
      </w:r>
      <w:r w:rsidR="009A04BA" w:rsidRPr="00454D17">
        <w:t xml:space="preserve">journal article </w:t>
      </w:r>
      <w:r w:rsidR="00BA28C4" w:rsidRPr="00D82644">
        <w:t>discuss</w:t>
      </w:r>
      <w:r w:rsidR="009A04BA" w:rsidRPr="00D82644">
        <w:t>ing</w:t>
      </w:r>
      <w:r w:rsidR="00BA28C4" w:rsidRPr="00D82644">
        <w:t xml:space="preserve"> best practice strategies for managing IAD</w:t>
      </w:r>
      <w:r w:rsidR="009A04BA" w:rsidRPr="00D82644">
        <w:t xml:space="preserve"> — Advances in Skin &amp; Wound Care</w:t>
      </w:r>
    </w:p>
    <w:p w14:paraId="39895A70" w14:textId="0CA81BF7" w:rsidR="00FD7FCE" w:rsidRPr="00D82644" w:rsidRDefault="31372BE4" w:rsidP="00314F78">
      <w:pPr>
        <w:pStyle w:val="ListBullet"/>
      </w:pPr>
      <w:hyperlink r:id="rId211">
        <w:r w:rsidRPr="00D82644">
          <w:rPr>
            <w:rStyle w:val="Hyperlink"/>
            <w:b/>
            <w:bCs/>
          </w:rPr>
          <w:t>National Continence Helpline</w:t>
        </w:r>
      </w:hyperlink>
      <w:r w:rsidRPr="00D82644">
        <w:t xml:space="preserve"> </w:t>
      </w:r>
      <w:r w:rsidR="7C8B7242" w:rsidRPr="00D82644">
        <w:t>—</w:t>
      </w:r>
      <w:r w:rsidRPr="00D82644">
        <w:t xml:space="preserve"> </w:t>
      </w:r>
      <w:r w:rsidR="7C8B7242" w:rsidRPr="00D82644">
        <w:t xml:space="preserve">a free confidential hotline providing information, advice and support from continence nurses — </w:t>
      </w:r>
      <w:r w:rsidRPr="00D82644">
        <w:t>call 1800 33 00 66 Monday to Friday 8am-8pm AEST/AEDT</w:t>
      </w:r>
      <w:r w:rsidR="7C8B7242" w:rsidRPr="00D82644">
        <w:t>—</w:t>
      </w:r>
      <w:r w:rsidRPr="00D82644">
        <w:t xml:space="preserve"> Continence Foundation of Australia</w:t>
      </w:r>
    </w:p>
    <w:p w14:paraId="655F47F0" w14:textId="32DC1C95" w:rsidR="00FD7FCE" w:rsidRPr="00D82644" w:rsidRDefault="00FD7FCE" w:rsidP="00314F78">
      <w:pPr>
        <w:pStyle w:val="ListBullet"/>
      </w:pPr>
      <w:hyperlink r:id="rId212" w:history="1">
        <w:r w:rsidRPr="00D82644">
          <w:rPr>
            <w:rStyle w:val="Hyperlink"/>
            <w:b/>
            <w:bCs/>
          </w:rPr>
          <w:t xml:space="preserve">Continence Resources </w:t>
        </w:r>
        <w:r w:rsidR="00193198" w:rsidRPr="00D82644">
          <w:rPr>
            <w:rStyle w:val="Hyperlink"/>
            <w:b/>
            <w:bCs/>
          </w:rPr>
          <w:t>for</w:t>
        </w:r>
        <w:r w:rsidRPr="00D82644">
          <w:rPr>
            <w:rStyle w:val="Hyperlink"/>
            <w:b/>
            <w:bCs/>
          </w:rPr>
          <w:t xml:space="preserve"> Aged Care</w:t>
        </w:r>
      </w:hyperlink>
      <w:r w:rsidRPr="00D82644">
        <w:t xml:space="preserve"> </w:t>
      </w:r>
      <w:r w:rsidR="009A04BA" w:rsidRPr="00D82644">
        <w:t xml:space="preserve">— </w:t>
      </w:r>
      <w:r w:rsidRPr="00D82644">
        <w:t xml:space="preserve">free resources to help guide best practice continence assessment and management </w:t>
      </w:r>
      <w:r w:rsidR="009A04BA" w:rsidRPr="00D82644">
        <w:t>—</w:t>
      </w:r>
      <w:r w:rsidRPr="00D82644">
        <w:t xml:space="preserve"> Continence Foundation of Australia</w:t>
      </w:r>
    </w:p>
    <w:p w14:paraId="1357A672" w14:textId="0E099321" w:rsidR="00FD7FCE" w:rsidRPr="00D82644" w:rsidRDefault="00FD7FCE" w:rsidP="00314F78">
      <w:pPr>
        <w:pStyle w:val="ListBullet"/>
      </w:pPr>
      <w:hyperlink r:id="rId213" w:history="1">
        <w:r w:rsidRPr="00D82644">
          <w:rPr>
            <w:rStyle w:val="Hyperlink"/>
            <w:b/>
            <w:bCs/>
          </w:rPr>
          <w:t>Continence Support Now</w:t>
        </w:r>
      </w:hyperlink>
      <w:r w:rsidR="009A04BA" w:rsidRPr="00D82644">
        <w:t xml:space="preserve"> — a</w:t>
      </w:r>
      <w:r w:rsidRPr="00D82644">
        <w:t xml:space="preserve"> free pocket guide for disability and aged care workers providing bladder and bowel support </w:t>
      </w:r>
      <w:r w:rsidR="009A04BA" w:rsidRPr="00D82644">
        <w:t>—</w:t>
      </w:r>
      <w:r w:rsidRPr="00D82644">
        <w:t xml:space="preserve"> Continence Foundation of Australia</w:t>
      </w:r>
    </w:p>
    <w:p w14:paraId="160C6FDD" w14:textId="205E0559" w:rsidR="00FD7FCE" w:rsidRPr="00D82644" w:rsidRDefault="00FD7FCE" w:rsidP="00314F78">
      <w:pPr>
        <w:pStyle w:val="ListBullet"/>
      </w:pPr>
      <w:hyperlink r:id="rId214" w:history="1">
        <w:r w:rsidRPr="00D82644">
          <w:rPr>
            <w:rStyle w:val="Hyperlink"/>
            <w:b/>
            <w:bCs/>
          </w:rPr>
          <w:t>Continence Learning</w:t>
        </w:r>
      </w:hyperlink>
      <w:r w:rsidRPr="00D82644">
        <w:t xml:space="preserve"> </w:t>
      </w:r>
      <w:r w:rsidR="009A04BA" w:rsidRPr="00D82644">
        <w:t xml:space="preserve">— </w:t>
      </w:r>
      <w:r w:rsidRPr="00D82644">
        <w:t xml:space="preserve">courses and information to support learning in relation to continence </w:t>
      </w:r>
      <w:r w:rsidR="009A04BA" w:rsidRPr="00D82644">
        <w:t>—</w:t>
      </w:r>
      <w:r w:rsidRPr="00D82644">
        <w:t xml:space="preserve"> Continence Foundation of Australia</w:t>
      </w:r>
    </w:p>
    <w:bookmarkEnd w:id="61"/>
    <w:p w14:paraId="5E50889B" w14:textId="6F6FDCC3" w:rsidR="00BA28C4" w:rsidRPr="00BF28D6" w:rsidRDefault="00BA28C4" w:rsidP="00314F78">
      <w:pPr>
        <w:rPr>
          <w:rStyle w:val="Emphasis"/>
        </w:rPr>
      </w:pPr>
      <w:r w:rsidRPr="00BF28D6">
        <w:rPr>
          <w:rStyle w:val="Emphasis"/>
        </w:rPr>
        <w:t>Some tools, guidance and resources may be updated over time; it is important to ensure you are looking at the most recent version.</w:t>
      </w:r>
    </w:p>
    <w:p w14:paraId="35C9B9EF" w14:textId="77777777" w:rsidR="00BF28D6" w:rsidRPr="00454D17" w:rsidRDefault="00BF28D6" w:rsidP="00314F78"/>
    <w:bookmarkEnd w:id="53"/>
    <w:p w14:paraId="57DE0793" w14:textId="77777777" w:rsidR="00F21BDC" w:rsidRPr="002765D3" w:rsidRDefault="00F21BDC" w:rsidP="00314F78">
      <w:pPr>
        <w:sectPr w:rsidR="00F21BDC" w:rsidRPr="002765D3" w:rsidSect="003F59B7">
          <w:headerReference w:type="even" r:id="rId215"/>
          <w:headerReference w:type="first" r:id="rId216"/>
          <w:footerReference w:type="first" r:id="rId217"/>
          <w:endnotePr>
            <w:numFmt w:val="decimal"/>
          </w:endnotePr>
          <w:type w:val="continuous"/>
          <w:pgSz w:w="11906" w:h="16838" w:code="9"/>
          <w:pgMar w:top="1701" w:right="1134" w:bottom="567" w:left="1134" w:header="567" w:footer="567" w:gutter="0"/>
          <w:cols w:space="708"/>
          <w:docGrid w:linePitch="360"/>
        </w:sectPr>
      </w:pPr>
    </w:p>
    <w:p w14:paraId="75195FCF" w14:textId="4FB67F43" w:rsidR="00CE29F4" w:rsidRDefault="00261777" w:rsidP="0059348C">
      <w:pPr>
        <w:pStyle w:val="Heading1"/>
      </w:pPr>
      <w:bookmarkStart w:id="62" w:name="_Toc193889897"/>
      <w:r>
        <w:rPr>
          <w:noProof/>
        </w:rPr>
        <w:lastRenderedPageBreak/>
        <w:drawing>
          <wp:anchor distT="0" distB="0" distL="114300" distR="114300" simplePos="0" relativeHeight="251658274" behindDoc="1" locked="0" layoutInCell="1" allowOverlap="1" wp14:anchorId="5B21F851" wp14:editId="1C4E4630">
            <wp:simplePos x="0" y="0"/>
            <wp:positionH relativeFrom="page">
              <wp:align>left</wp:align>
            </wp:positionH>
            <wp:positionV relativeFrom="paragraph">
              <wp:posOffset>443602</wp:posOffset>
            </wp:positionV>
            <wp:extent cx="7701566" cy="1233578"/>
            <wp:effectExtent l="0" t="0" r="0" b="5080"/>
            <wp:wrapNone/>
            <wp:docPr id="1094383499" name="Picture 5" descr="P9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83499" name="Picture 5" descr="P928#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23500" cy="1237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9F4" w:rsidRPr="00BF28D6">
        <w:t>Hospitalisation</w:t>
      </w:r>
      <w:bookmarkEnd w:id="62"/>
    </w:p>
    <w:p w14:paraId="3F1C0CF5" w14:textId="75E0E4CD" w:rsidR="00A8314B" w:rsidRPr="007E1F3F" w:rsidRDefault="00C65CB8" w:rsidP="00C65CB8">
      <w:pPr>
        <w:pStyle w:val="Headerwhite"/>
      </w:pPr>
      <w:r w:rsidRPr="002765D3">
        <w:rPr>
          <w:noProof/>
        </w:rPr>
        <w:drawing>
          <wp:anchor distT="0" distB="0" distL="114300" distR="114300" simplePos="0" relativeHeight="251658272" behindDoc="0" locked="0" layoutInCell="1" allowOverlap="1" wp14:anchorId="7E6DD704" wp14:editId="6EEAF736">
            <wp:simplePos x="0" y="0"/>
            <wp:positionH relativeFrom="margin">
              <wp:align>left</wp:align>
            </wp:positionH>
            <wp:positionV relativeFrom="paragraph">
              <wp:posOffset>200768</wp:posOffset>
            </wp:positionV>
            <wp:extent cx="991870" cy="991870"/>
            <wp:effectExtent l="0" t="0" r="0" b="0"/>
            <wp:wrapSquare wrapText="bothSides"/>
            <wp:docPr id="2091994676" name="Picture 223" descr="P9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76" name="Picture 223" descr="P929#y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94951" cy="994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14B" w:rsidRPr="189D3658">
        <w:t>Many emergency department presentations or admissions to hospital are avoidable if care recipients have timely access to appropriate healthcare services. Excessive transfers of care recipients to the emergency department may indicate poor care quality or access.</w:t>
      </w:r>
    </w:p>
    <w:p w14:paraId="75B7DD47" w14:textId="2DF4359D" w:rsidR="00CE29F4" w:rsidRPr="00BF28D6" w:rsidRDefault="00CE29F4" w:rsidP="00C65CB8">
      <w:pPr>
        <w:pStyle w:val="Heading2"/>
      </w:pPr>
      <w:r w:rsidRPr="00C65CB8">
        <w:t>Overview</w:t>
      </w:r>
      <w:r w:rsidRPr="00BF28D6">
        <w:t xml:space="preserve"> of hospitalisation</w:t>
      </w:r>
    </w:p>
    <w:p w14:paraId="168AB39F" w14:textId="57CB6DF6" w:rsidR="001B5B91" w:rsidRPr="00BF28D6" w:rsidRDefault="2060610A" w:rsidP="00314F78">
      <w:r w:rsidRPr="00BF28D6">
        <w:t xml:space="preserve">Care recipients are often transferred to a hospital to receive care that may not be available in the </w:t>
      </w:r>
      <w:r w:rsidR="001B5B91" w:rsidRPr="00BF28D6">
        <w:t>residential aged care service</w:t>
      </w:r>
      <w:r w:rsidRPr="00BF28D6">
        <w:t>. Some of these transfers are considered avoidable, either through prevention of the illness that results in the need for transfer, or by management of the problem locally</w:t>
      </w:r>
      <w:r w:rsidR="001B5B91" w:rsidRPr="00BF28D6">
        <w:t xml:space="preserve"> at the residential aged care service.</w:t>
      </w:r>
    </w:p>
    <w:p w14:paraId="360D381A" w14:textId="4A53EF1A" w:rsidR="00607DE7" w:rsidRPr="00454D17" w:rsidRDefault="00301C99" w:rsidP="00314F78">
      <w:pPr>
        <w:pStyle w:val="Caption"/>
        <w:rPr>
          <w:rStyle w:val="EndnoteReference"/>
        </w:rPr>
      </w:pPr>
      <w:bookmarkStart w:id="63" w:name="_Ref105139995"/>
      <w:r w:rsidRPr="00BF28D6">
        <w:t>FIGURE </w:t>
      </w:r>
      <w:bookmarkEnd w:id="63"/>
      <w:r w:rsidR="00531A57" w:rsidRPr="00BF28D6">
        <w:fldChar w:fldCharType="begin"/>
      </w:r>
      <w:r w:rsidR="00531A57" w:rsidRPr="00BF28D6">
        <w:instrText>SEQ Figure \* ARABIC</w:instrText>
      </w:r>
      <w:r w:rsidR="00531A57" w:rsidRPr="00BF28D6">
        <w:fldChar w:fldCharType="separate"/>
      </w:r>
      <w:r w:rsidR="003A30D7">
        <w:rPr>
          <w:noProof/>
        </w:rPr>
        <w:t>42</w:t>
      </w:r>
      <w:r w:rsidR="00531A57" w:rsidRPr="00BF28D6">
        <w:fldChar w:fldCharType="end"/>
      </w:r>
      <w:r w:rsidRPr="00BF28D6">
        <w:t>: HOSPITALISATION IN RESIDENTIAL AGED CARE</w:t>
      </w:r>
      <w:r w:rsidR="009253DC">
        <w:rPr>
          <w:rFonts w:ascii="ZWAdobeF" w:hAnsi="ZWAdobeF" w:cs="ZWAdobeF"/>
          <w:b w:val="0"/>
          <w:color w:val="auto"/>
          <w:sz w:val="2"/>
          <w:szCs w:val="2"/>
        </w:rPr>
        <w:t>160F</w:t>
      </w:r>
      <w:r w:rsidR="001754A2" w:rsidRPr="00454D17">
        <w:rPr>
          <w:rStyle w:val="EndnoteReference"/>
        </w:rPr>
        <w:endnoteReference w:id="162"/>
      </w:r>
      <w:r w:rsidRPr="00454D17">
        <w:rPr>
          <w:rStyle w:val="EndnoteReference"/>
        </w:rPr>
        <w:t xml:space="preserve"> </w:t>
      </w:r>
      <w:r w:rsidR="009253DC">
        <w:rPr>
          <w:rFonts w:ascii="ZWAdobeF" w:hAnsi="ZWAdobeF" w:cs="ZWAdobeF"/>
          <w:b w:val="0"/>
          <w:color w:val="auto"/>
          <w:sz w:val="2"/>
          <w:szCs w:val="2"/>
        </w:rPr>
        <w:t>161F</w:t>
      </w:r>
      <w:r w:rsidR="00DA67E6" w:rsidRPr="00454D17">
        <w:rPr>
          <w:rStyle w:val="EndnoteReference"/>
        </w:rPr>
        <w:endnoteReference w:id="163"/>
      </w:r>
      <w:r w:rsidRPr="00454D17">
        <w:rPr>
          <w:rStyle w:val="EndnoteReference"/>
        </w:rPr>
        <w:t xml:space="preserve"> </w:t>
      </w:r>
      <w:r w:rsidR="009253DC">
        <w:rPr>
          <w:rFonts w:ascii="ZWAdobeF" w:hAnsi="ZWAdobeF" w:cs="ZWAdobeF"/>
          <w:b w:val="0"/>
          <w:color w:val="auto"/>
          <w:sz w:val="2"/>
          <w:szCs w:val="2"/>
        </w:rPr>
        <w:t>162F</w:t>
      </w:r>
      <w:r w:rsidR="00DA67E6" w:rsidRPr="00454D17">
        <w:rPr>
          <w:rStyle w:val="EndnoteReference"/>
        </w:rPr>
        <w:endnoteReference w:id="164"/>
      </w:r>
      <w:r w:rsidRPr="00454D17">
        <w:rPr>
          <w:rStyle w:val="EndnoteReference"/>
        </w:rPr>
        <w:t xml:space="preserve"> </w:t>
      </w:r>
      <w:r w:rsidR="009253DC">
        <w:rPr>
          <w:rFonts w:ascii="ZWAdobeF" w:hAnsi="ZWAdobeF" w:cs="ZWAdobeF"/>
          <w:b w:val="0"/>
          <w:color w:val="auto"/>
          <w:sz w:val="2"/>
          <w:szCs w:val="2"/>
        </w:rPr>
        <w:t>163F</w:t>
      </w:r>
      <w:r w:rsidR="00273EB6" w:rsidRPr="00454D17">
        <w:rPr>
          <w:rStyle w:val="EndnoteReference"/>
        </w:rPr>
        <w:endnoteReference w:id="165"/>
      </w:r>
    </w:p>
    <w:p w14:paraId="7FCF0F01" w14:textId="659B923F" w:rsidR="00CE29F4" w:rsidRPr="004A09AA" w:rsidRDefault="00513170" w:rsidP="00314F78">
      <w:r w:rsidRPr="004A09AA">
        <w:rPr>
          <w:noProof/>
        </w:rPr>
        <w:drawing>
          <wp:inline distT="0" distB="0" distL="0" distR="0" wp14:anchorId="6D380A95" wp14:editId="0A082EE2">
            <wp:extent cx="6103771" cy="5343525"/>
            <wp:effectExtent l="0" t="0" r="0" b="0"/>
            <wp:docPr id="42" name="Picture 42" descr="P9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933#yIS1"/>
                    <pic:cNvPicPr/>
                  </pic:nvPicPr>
                  <pic:blipFill>
                    <a:blip r:embed="rId219">
                      <a:extLst>
                        <a:ext uri="{28A0092B-C50C-407E-A947-70E740481C1C}">
                          <a14:useLocalDpi xmlns:a14="http://schemas.microsoft.com/office/drawing/2010/main" val="0"/>
                        </a:ext>
                      </a:extLst>
                    </a:blip>
                    <a:stretch>
                      <a:fillRect/>
                    </a:stretch>
                  </pic:blipFill>
                  <pic:spPr>
                    <a:xfrm>
                      <a:off x="0" y="0"/>
                      <a:ext cx="6103771" cy="5343525"/>
                    </a:xfrm>
                    <a:prstGeom prst="rect">
                      <a:avLst/>
                    </a:prstGeom>
                  </pic:spPr>
                </pic:pic>
              </a:graphicData>
            </a:graphic>
          </wp:inline>
        </w:drawing>
      </w:r>
    </w:p>
    <w:p w14:paraId="44EA4D62" w14:textId="61EEA58A" w:rsidR="00E13101" w:rsidRPr="00BF28D6" w:rsidRDefault="00CE29F4" w:rsidP="0059348C">
      <w:pPr>
        <w:pStyle w:val="Heading2"/>
      </w:pPr>
      <w:r w:rsidRPr="00BF28D6">
        <w:lastRenderedPageBreak/>
        <w:t>Hospitalisation in residential aged care</w:t>
      </w:r>
    </w:p>
    <w:p w14:paraId="180849FA" w14:textId="0933BFE7" w:rsidR="00DD2A33" w:rsidRPr="00BF28D6" w:rsidRDefault="59FCF1AF" w:rsidP="00314F78">
      <w:r w:rsidRPr="00BF28D6">
        <w:t xml:space="preserve">Many emergency department presentations </w:t>
      </w:r>
      <w:r w:rsidR="34040900" w:rsidRPr="00BF28D6">
        <w:t xml:space="preserve">and </w:t>
      </w:r>
      <w:r w:rsidR="401492E5" w:rsidRPr="00BF28D6">
        <w:t xml:space="preserve">admissions to hospital </w:t>
      </w:r>
      <w:r w:rsidRPr="00BF28D6">
        <w:t>are avoidable if care recipients have timely access to appropriate care.</w:t>
      </w:r>
      <w:r w:rsidR="26B53636" w:rsidRPr="00BF28D6">
        <w:t xml:space="preserve"> </w:t>
      </w:r>
      <w:r w:rsidRPr="00BF28D6">
        <w:t>E</w:t>
      </w:r>
      <w:r w:rsidR="3B43C394" w:rsidRPr="00BF28D6">
        <w:t xml:space="preserve">xcessive </w:t>
      </w:r>
      <w:r w:rsidR="3720794A" w:rsidRPr="00BF28D6">
        <w:t xml:space="preserve">transfers </w:t>
      </w:r>
      <w:r w:rsidR="573BCE23" w:rsidRPr="00BF28D6">
        <w:t xml:space="preserve">to </w:t>
      </w:r>
      <w:r w:rsidR="0EC486AC" w:rsidRPr="00BF28D6">
        <w:t xml:space="preserve">hospital </w:t>
      </w:r>
      <w:r w:rsidR="573BCE23" w:rsidRPr="00BF28D6">
        <w:t xml:space="preserve">may indicate poor </w:t>
      </w:r>
      <w:r w:rsidR="65B79AC2" w:rsidRPr="00BF28D6">
        <w:t>care</w:t>
      </w:r>
      <w:r w:rsidRPr="00BF28D6">
        <w:t xml:space="preserve"> quality and access</w:t>
      </w:r>
      <w:r w:rsidR="573BCE23" w:rsidRPr="00BF28D6">
        <w:t xml:space="preserve">. </w:t>
      </w:r>
    </w:p>
    <w:p w14:paraId="018948E6" w14:textId="4F984E39" w:rsidR="004B616E" w:rsidRPr="00BF28D6" w:rsidRDefault="6004394B" w:rsidP="00314F78">
      <w:r w:rsidRPr="00BF28D6">
        <w:t>Hospitalisation is</w:t>
      </w:r>
      <w:r w:rsidR="65B79AC2" w:rsidRPr="00BF28D6">
        <w:t xml:space="preserve"> </w:t>
      </w:r>
      <w:r w:rsidR="3DC1AEFE" w:rsidRPr="00BF28D6">
        <w:t xml:space="preserve">recognised as an important and necessary </w:t>
      </w:r>
      <w:r w:rsidR="59FCF1AF" w:rsidRPr="00BF28D6">
        <w:t>channel</w:t>
      </w:r>
      <w:r w:rsidR="3DC1AEFE" w:rsidRPr="00BF28D6">
        <w:t xml:space="preserve"> of care</w:t>
      </w:r>
      <w:r w:rsidR="0CDD3F2C" w:rsidRPr="00BF28D6">
        <w:t>,</w:t>
      </w:r>
      <w:r w:rsidR="59FCF1AF" w:rsidRPr="00BF28D6">
        <w:t xml:space="preserve"> including for older Australians.</w:t>
      </w:r>
      <w:r w:rsidR="58007C2A" w:rsidRPr="00BF28D6">
        <w:t xml:space="preserve"> </w:t>
      </w:r>
      <w:r w:rsidR="59FCF1AF" w:rsidRPr="00BF28D6">
        <w:t xml:space="preserve">Aged care services </w:t>
      </w:r>
      <w:r w:rsidR="58007C2A" w:rsidRPr="00BF28D6">
        <w:t>should n</w:t>
      </w:r>
      <w:r w:rsidR="59FCF1AF" w:rsidRPr="00BF28D6">
        <w:t>ever</w:t>
      </w:r>
      <w:r w:rsidR="58007C2A" w:rsidRPr="00BF28D6">
        <w:t xml:space="preserve"> </w:t>
      </w:r>
      <w:r w:rsidR="59FCF1AF" w:rsidRPr="00BF28D6">
        <w:t xml:space="preserve">avoid or prevent hospital transfer or emergency department presentation if it is </w:t>
      </w:r>
      <w:r w:rsidR="6021B37E" w:rsidRPr="00BF28D6">
        <w:t>required</w:t>
      </w:r>
      <w:r w:rsidR="4B873DBD" w:rsidRPr="00BF28D6">
        <w:t>.</w:t>
      </w:r>
      <w:r w:rsidR="009253DC">
        <w:rPr>
          <w:rFonts w:ascii="ZWAdobeF" w:hAnsi="ZWAdobeF" w:cs="ZWAdobeF"/>
          <w:color w:val="auto"/>
          <w:sz w:val="2"/>
          <w:szCs w:val="2"/>
        </w:rPr>
        <w:t>164F</w:t>
      </w:r>
      <w:r w:rsidR="000F2B32" w:rsidRPr="00BF28D6">
        <w:rPr>
          <w:vertAlign w:val="superscript"/>
        </w:rPr>
        <w:endnoteReference w:id="166"/>
      </w:r>
    </w:p>
    <w:p w14:paraId="78D7ED76" w14:textId="20FDB740" w:rsidR="00AD0E7D" w:rsidRPr="00BF28D6" w:rsidRDefault="03F290F4" w:rsidP="00314F78">
      <w:r w:rsidRPr="00BF28D6">
        <w:t>To support</w:t>
      </w:r>
      <w:r w:rsidR="31AADEFC" w:rsidRPr="00BF28D6">
        <w:t xml:space="preserve"> quality </w:t>
      </w:r>
      <w:r w:rsidRPr="00BF28D6">
        <w:t>of care,</w:t>
      </w:r>
      <w:r w:rsidR="31AADEFC" w:rsidRPr="00BF28D6">
        <w:t xml:space="preserve"> </w:t>
      </w:r>
      <w:r w:rsidRPr="00BF28D6">
        <w:t xml:space="preserve">it </w:t>
      </w:r>
      <w:r w:rsidR="46E5765D" w:rsidRPr="00BF28D6">
        <w:t xml:space="preserve">is </w:t>
      </w:r>
      <w:r w:rsidRPr="00BF28D6">
        <w:t xml:space="preserve">important </w:t>
      </w:r>
      <w:r w:rsidR="31AADEFC" w:rsidRPr="00BF28D6">
        <w:t xml:space="preserve">to identify </w:t>
      </w:r>
      <w:r w:rsidRPr="00BF28D6">
        <w:t>and monitor</w:t>
      </w:r>
      <w:r w:rsidR="31AADEFC" w:rsidRPr="00BF28D6">
        <w:t xml:space="preserve"> </w:t>
      </w:r>
      <w:r w:rsidR="38FE75AC" w:rsidRPr="00BF28D6">
        <w:t xml:space="preserve">emergency department presentations </w:t>
      </w:r>
      <w:r w:rsidR="31AADEFC" w:rsidRPr="00BF28D6">
        <w:t xml:space="preserve">that </w:t>
      </w:r>
      <w:r w:rsidR="620F4CA7" w:rsidRPr="00BF28D6">
        <w:t xml:space="preserve">could be avoided with </w:t>
      </w:r>
      <w:r w:rsidR="46028A52" w:rsidRPr="00BF28D6">
        <w:t xml:space="preserve">appropriate </w:t>
      </w:r>
      <w:r w:rsidR="68450623" w:rsidRPr="00BF28D6">
        <w:t>care</w:t>
      </w:r>
      <w:r w:rsidR="31AADEFC" w:rsidRPr="00BF28D6">
        <w:t>.</w:t>
      </w:r>
      <w:r w:rsidR="69AC3F2A" w:rsidRPr="00BF28D6">
        <w:t xml:space="preserve"> </w:t>
      </w:r>
      <w:r w:rsidR="7715A30E" w:rsidRPr="00BF28D6">
        <w:t>There are two circumstances that give rise to inappropriate hospitalisations</w:t>
      </w:r>
      <w:r w:rsidR="5E35D6C8" w:rsidRPr="00BF28D6">
        <w:t>:</w:t>
      </w:r>
      <w:r w:rsidR="009253DC">
        <w:rPr>
          <w:rFonts w:ascii="ZWAdobeF" w:hAnsi="ZWAdobeF" w:cs="ZWAdobeF"/>
          <w:color w:val="auto"/>
          <w:sz w:val="2"/>
          <w:szCs w:val="2"/>
        </w:rPr>
        <w:t>165F</w:t>
      </w:r>
      <w:r w:rsidR="00827F87" w:rsidRPr="00BF28D6">
        <w:rPr>
          <w:vertAlign w:val="superscript"/>
        </w:rPr>
        <w:endnoteReference w:id="167"/>
      </w:r>
    </w:p>
    <w:p w14:paraId="5A616499" w14:textId="1D096201" w:rsidR="00CC0DCD" w:rsidRPr="006A2666" w:rsidRDefault="0F04D54B" w:rsidP="00314F78">
      <w:pPr>
        <w:pStyle w:val="ListBullet"/>
      </w:pPr>
      <w:r w:rsidRPr="006A2666">
        <w:rPr>
          <w:rStyle w:val="Strong"/>
        </w:rPr>
        <w:t xml:space="preserve">Inadequate </w:t>
      </w:r>
      <w:r w:rsidR="5C2C08A0" w:rsidRPr="006A2666">
        <w:rPr>
          <w:rStyle w:val="Strong"/>
        </w:rPr>
        <w:t xml:space="preserve">expertise </w:t>
      </w:r>
      <w:r w:rsidR="446013B4" w:rsidRPr="006A2666">
        <w:rPr>
          <w:rStyle w:val="Strong"/>
        </w:rPr>
        <w:t>and/or</w:t>
      </w:r>
      <w:r w:rsidR="5C2C08A0" w:rsidRPr="006A2666">
        <w:rPr>
          <w:rStyle w:val="Strong"/>
        </w:rPr>
        <w:t xml:space="preserve"> </w:t>
      </w:r>
      <w:r w:rsidR="2083AE06" w:rsidRPr="006A2666">
        <w:rPr>
          <w:rStyle w:val="Strong"/>
        </w:rPr>
        <w:t>resources</w:t>
      </w:r>
      <w:r w:rsidR="2083AE06" w:rsidRPr="006A2666">
        <w:t xml:space="preserve"> </w:t>
      </w:r>
      <w:r w:rsidR="5C2C08A0" w:rsidRPr="006A2666">
        <w:t xml:space="preserve">at the </w:t>
      </w:r>
      <w:r w:rsidR="2F02697E" w:rsidRPr="006A2666">
        <w:t xml:space="preserve">residential aged care </w:t>
      </w:r>
      <w:r w:rsidR="766909FE" w:rsidRPr="006A2666">
        <w:t>service</w:t>
      </w:r>
      <w:r w:rsidR="5C2C08A0" w:rsidRPr="006A2666">
        <w:t xml:space="preserve">: </w:t>
      </w:r>
      <w:r w:rsidR="74AAB1A5" w:rsidRPr="006A2666">
        <w:t>Many illnesses or incidents</w:t>
      </w:r>
      <w:r w:rsidR="703A6DC7" w:rsidRPr="006A2666">
        <w:t xml:space="preserve"> are best managed</w:t>
      </w:r>
      <w:r w:rsidR="47EF5581" w:rsidRPr="006A2666">
        <w:t xml:space="preserve"> at the </w:t>
      </w:r>
      <w:r w:rsidR="766909FE" w:rsidRPr="006A2666">
        <w:t>residential aged care service</w:t>
      </w:r>
      <w:r w:rsidR="4BF49083" w:rsidRPr="006A2666">
        <w:t>. T</w:t>
      </w:r>
      <w:r w:rsidR="31AADEFC" w:rsidRPr="006A2666">
        <w:t>his includes conditions that are relatively minor</w:t>
      </w:r>
      <w:r w:rsidR="46E5765D" w:rsidRPr="006A2666">
        <w:t>, where transfer to hospital is inconsistent with the care recipient’s preferences,</w:t>
      </w:r>
      <w:r w:rsidR="31AADEFC" w:rsidRPr="006A2666">
        <w:t xml:space="preserve"> or where hospital care offers </w:t>
      </w:r>
      <w:r w:rsidR="46E5765D" w:rsidRPr="006A2666">
        <w:t>limited</w:t>
      </w:r>
      <w:r w:rsidR="31AADEFC" w:rsidRPr="006A2666">
        <w:t xml:space="preserve"> value</w:t>
      </w:r>
      <w:r w:rsidR="3FF17F40" w:rsidRPr="006A2666">
        <w:t>, or</w:t>
      </w:r>
    </w:p>
    <w:p w14:paraId="1F8F04DC" w14:textId="2D6272C1" w:rsidR="00AD0E7D" w:rsidRPr="006A2666" w:rsidRDefault="00163AE2" w:rsidP="00314F78">
      <w:pPr>
        <w:pStyle w:val="ListBullet"/>
      </w:pPr>
      <w:r w:rsidRPr="006A2666">
        <w:rPr>
          <w:rStyle w:val="Strong"/>
        </w:rPr>
        <w:t>Avoidable illnesses or injuries</w:t>
      </w:r>
      <w:r w:rsidR="00AB2E34" w:rsidRPr="006A2666">
        <w:t>:</w:t>
      </w:r>
      <w:r w:rsidRPr="006A2666">
        <w:t xml:space="preserve"> This occurs w</w:t>
      </w:r>
      <w:r w:rsidR="008A2BC6" w:rsidRPr="006A2666">
        <w:t xml:space="preserve">hen the condition </w:t>
      </w:r>
      <w:r w:rsidR="00AD0E7D" w:rsidRPr="006A2666">
        <w:t xml:space="preserve">results from inadequate </w:t>
      </w:r>
      <w:r w:rsidR="00A906D1" w:rsidRPr="006A2666">
        <w:t>provision of</w:t>
      </w:r>
      <w:r w:rsidR="008A2BC6" w:rsidRPr="006A2666">
        <w:t xml:space="preserve"> care or services </w:t>
      </w:r>
      <w:r w:rsidR="00DB6667" w:rsidRPr="006A2666">
        <w:t>(</w:t>
      </w:r>
      <w:r w:rsidR="00AD0E7D" w:rsidRPr="006A2666">
        <w:t>e.g. fall</w:t>
      </w:r>
      <w:r w:rsidR="00DB6667" w:rsidRPr="006A2666">
        <w:t>s resulting in injur</w:t>
      </w:r>
      <w:r w:rsidR="00B4274C" w:rsidRPr="006A2666">
        <w:t>y</w:t>
      </w:r>
      <w:r w:rsidR="00E77D4E" w:rsidRPr="006A2666">
        <w:t>,</w:t>
      </w:r>
      <w:r w:rsidR="008A2BC6" w:rsidRPr="006A2666">
        <w:t xml:space="preserve"> </w:t>
      </w:r>
      <w:r w:rsidR="00D008FC" w:rsidRPr="006A2666">
        <w:t xml:space="preserve">poorly maintained vaccination program, </w:t>
      </w:r>
      <w:r w:rsidR="008A2BC6" w:rsidRPr="006A2666">
        <w:t>or</w:t>
      </w:r>
      <w:r w:rsidR="00E77D4E" w:rsidRPr="006A2666">
        <w:t xml:space="preserve"> development of a</w:t>
      </w:r>
      <w:r w:rsidR="00AD0E7D" w:rsidRPr="006A2666">
        <w:t xml:space="preserve"> pressure injury)</w:t>
      </w:r>
      <w:r w:rsidR="0003410C" w:rsidRPr="006A2666">
        <w:t>.</w:t>
      </w:r>
    </w:p>
    <w:p w14:paraId="5FC2C1C3" w14:textId="1CFEA117" w:rsidR="001E0211" w:rsidRPr="006A2666" w:rsidRDefault="001E0211" w:rsidP="00314F78">
      <w:r w:rsidRPr="006A2666">
        <w:t xml:space="preserve">Details of collection and reporting requirements for the hospitalisation quality indicator can be found in </w:t>
      </w:r>
      <w:r w:rsidR="00947D9F" w:rsidRPr="006A2666">
        <w:t xml:space="preserve">QI Program Manual </w:t>
      </w:r>
      <w:r w:rsidRPr="006A2666">
        <w:t>Part A.</w:t>
      </w:r>
    </w:p>
    <w:p w14:paraId="380FFA70" w14:textId="67E1631D" w:rsidR="00CE29F4" w:rsidRPr="006A2666" w:rsidRDefault="00CE29F4" w:rsidP="0059348C">
      <w:pPr>
        <w:pStyle w:val="Heading2"/>
      </w:pPr>
      <w:r w:rsidRPr="006A2666">
        <w:t>Causes of hospitalisation</w:t>
      </w:r>
    </w:p>
    <w:p w14:paraId="58075F2C" w14:textId="061F2D9C" w:rsidR="00CE29F4" w:rsidRPr="006A2666" w:rsidRDefault="3DC1AEFE" w:rsidP="00314F78">
      <w:r w:rsidRPr="006A2666">
        <w:t>Hospitalisation is necessary when</w:t>
      </w:r>
      <w:r w:rsidR="50EB904B" w:rsidRPr="006A2666">
        <w:t>:</w:t>
      </w:r>
      <w:r w:rsidR="009253DC">
        <w:rPr>
          <w:rFonts w:ascii="ZWAdobeF" w:hAnsi="ZWAdobeF" w:cs="ZWAdobeF"/>
          <w:color w:val="auto"/>
          <w:sz w:val="2"/>
          <w:szCs w:val="2"/>
        </w:rPr>
        <w:t>166F</w:t>
      </w:r>
      <w:r w:rsidR="00876912" w:rsidRPr="006A2666">
        <w:rPr>
          <w:vertAlign w:val="superscript"/>
        </w:rPr>
        <w:endnoteReference w:id="168"/>
      </w:r>
      <w:r w:rsidRPr="006A2666">
        <w:rPr>
          <w:vertAlign w:val="superscript"/>
        </w:rPr>
        <w:t xml:space="preserve"> </w:t>
      </w:r>
      <w:r w:rsidR="009253DC">
        <w:rPr>
          <w:rFonts w:ascii="ZWAdobeF" w:hAnsi="ZWAdobeF" w:cs="ZWAdobeF"/>
          <w:color w:val="auto"/>
          <w:sz w:val="2"/>
          <w:szCs w:val="2"/>
        </w:rPr>
        <w:t>167F</w:t>
      </w:r>
      <w:r w:rsidR="009D44B6" w:rsidRPr="006A2666">
        <w:rPr>
          <w:vertAlign w:val="superscript"/>
        </w:rPr>
        <w:endnoteReference w:id="169"/>
      </w:r>
    </w:p>
    <w:p w14:paraId="2DDAF593" w14:textId="70D8412F" w:rsidR="00CE29F4" w:rsidRPr="00D82644" w:rsidRDefault="14BE7751" w:rsidP="00314F78">
      <w:pPr>
        <w:pStyle w:val="ListBullet"/>
      </w:pPr>
      <w:r w:rsidRPr="00D82644">
        <w:t>there is a requirement for investigation or treatment available exclusively at the hospital</w:t>
      </w:r>
    </w:p>
    <w:p w14:paraId="440BD308" w14:textId="47304C38" w:rsidR="00CE29F4" w:rsidRPr="00D82644" w:rsidRDefault="2005ADBF" w:rsidP="00314F78">
      <w:pPr>
        <w:pStyle w:val="ListBullet"/>
      </w:pPr>
      <w:r w:rsidRPr="00D82644">
        <w:t xml:space="preserve">the </w:t>
      </w:r>
      <w:r w:rsidR="1EC1FF5F" w:rsidRPr="00D82644">
        <w:t xml:space="preserve">appropriate type and/or standard of care is not available at the </w:t>
      </w:r>
      <w:r w:rsidR="50EB904B" w:rsidRPr="00D82644">
        <w:t>residential aged care service</w:t>
      </w:r>
    </w:p>
    <w:p w14:paraId="6C3B34D3" w14:textId="23090399" w:rsidR="00521DE6" w:rsidRPr="00D82644" w:rsidRDefault="1EC1FF5F" w:rsidP="00314F78">
      <w:pPr>
        <w:pStyle w:val="ListBullet"/>
      </w:pPr>
      <w:r w:rsidRPr="00D82644">
        <w:t xml:space="preserve">hospitalisation is the preference of the </w:t>
      </w:r>
      <w:r w:rsidR="39FB3C84" w:rsidRPr="00D82644">
        <w:t>care recipient</w:t>
      </w:r>
      <w:r w:rsidRPr="00D82644">
        <w:t xml:space="preserve"> or surrogate decision makers and is appropriate.</w:t>
      </w:r>
    </w:p>
    <w:p w14:paraId="2577D9BE" w14:textId="75257769" w:rsidR="002155DE" w:rsidRPr="006A2666" w:rsidRDefault="0FA0883A" w:rsidP="00314F78">
      <w:r w:rsidRPr="006A2666">
        <w:t xml:space="preserve">Common causes of </w:t>
      </w:r>
      <w:r w:rsidR="6F817D29" w:rsidRPr="006A2666">
        <w:t xml:space="preserve">emergency department presentation or unplanned </w:t>
      </w:r>
      <w:r w:rsidR="0B2446A9" w:rsidRPr="006A2666">
        <w:t>hospitalisation</w:t>
      </w:r>
      <w:r w:rsidR="6F817D29" w:rsidRPr="006A2666">
        <w:t xml:space="preserve"> from residential aged care are</w:t>
      </w:r>
      <w:r w:rsidR="50C8165C" w:rsidRPr="006A2666">
        <w:t>:</w:t>
      </w:r>
      <w:r w:rsidR="009253DC">
        <w:rPr>
          <w:rFonts w:ascii="ZWAdobeF" w:hAnsi="ZWAdobeF" w:cs="ZWAdobeF"/>
          <w:color w:val="auto"/>
          <w:sz w:val="2"/>
          <w:szCs w:val="2"/>
        </w:rPr>
        <w:t>168F</w:t>
      </w:r>
      <w:r w:rsidR="009D44B6" w:rsidRPr="006A2666">
        <w:rPr>
          <w:vertAlign w:val="superscript"/>
        </w:rPr>
        <w:endnoteReference w:id="170"/>
      </w:r>
    </w:p>
    <w:p w14:paraId="60E529E5" w14:textId="1C712E64" w:rsidR="009C4E02" w:rsidRPr="00D82644" w:rsidRDefault="009C4E02" w:rsidP="00314F78">
      <w:pPr>
        <w:pStyle w:val="ListBullet"/>
      </w:pPr>
      <w:r w:rsidRPr="00D82644">
        <w:t>cognitive decline</w:t>
      </w:r>
    </w:p>
    <w:p w14:paraId="528532A6" w14:textId="7495EC4E" w:rsidR="009C4E02" w:rsidRPr="00D82644" w:rsidRDefault="009C4E02" w:rsidP="00314F78">
      <w:pPr>
        <w:pStyle w:val="ListBullet"/>
      </w:pPr>
      <w:r w:rsidRPr="00D82644">
        <w:t>dementia</w:t>
      </w:r>
      <w:r w:rsidR="00D90707" w:rsidRPr="00D82644">
        <w:t xml:space="preserve"> and delirium</w:t>
      </w:r>
    </w:p>
    <w:p w14:paraId="5AF4D8D4" w14:textId="4D5163A1" w:rsidR="009C4E02" w:rsidRPr="00D82644" w:rsidRDefault="00E959E4" w:rsidP="00314F78">
      <w:pPr>
        <w:pStyle w:val="ListBullet"/>
      </w:pPr>
      <w:r w:rsidRPr="00D82644">
        <w:t>activity of daily living</w:t>
      </w:r>
      <w:r w:rsidR="00306997" w:rsidRPr="00D82644">
        <w:t xml:space="preserve"> decline</w:t>
      </w:r>
    </w:p>
    <w:p w14:paraId="7E2F24A3" w14:textId="0227D635" w:rsidR="009C4E02" w:rsidRPr="00D82644" w:rsidRDefault="009C4E02" w:rsidP="00314F78">
      <w:pPr>
        <w:pStyle w:val="ListBullet"/>
      </w:pPr>
      <w:r w:rsidRPr="00D82644">
        <w:t>falls</w:t>
      </w:r>
    </w:p>
    <w:p w14:paraId="719D896F" w14:textId="0C3FAEF6" w:rsidR="009C4E02" w:rsidRPr="00D82644" w:rsidRDefault="009C4E02" w:rsidP="00314F78">
      <w:pPr>
        <w:pStyle w:val="ListBullet"/>
      </w:pPr>
      <w:r w:rsidRPr="00D82644">
        <w:t>fractures</w:t>
      </w:r>
    </w:p>
    <w:p w14:paraId="43AE49DB" w14:textId="627060D5" w:rsidR="009C4E02" w:rsidRPr="00D82644" w:rsidRDefault="009C4E02" w:rsidP="00314F78">
      <w:pPr>
        <w:pStyle w:val="ListBullet"/>
      </w:pPr>
      <w:r w:rsidRPr="00D82644">
        <w:t>reduced mobility</w:t>
      </w:r>
    </w:p>
    <w:p w14:paraId="10542B02" w14:textId="6E057542" w:rsidR="009C4E02" w:rsidRPr="00D82644" w:rsidRDefault="009C4E02" w:rsidP="00314F78">
      <w:pPr>
        <w:pStyle w:val="ListBullet"/>
      </w:pPr>
      <w:r w:rsidRPr="00D82644">
        <w:t>malnutrition</w:t>
      </w:r>
    </w:p>
    <w:p w14:paraId="0802940B" w14:textId="521FB498" w:rsidR="009C4E02" w:rsidRPr="00D82644" w:rsidRDefault="009C4E02" w:rsidP="00314F78">
      <w:pPr>
        <w:pStyle w:val="ListBullet"/>
      </w:pPr>
      <w:r w:rsidRPr="00D82644">
        <w:t>medication mismanagement</w:t>
      </w:r>
    </w:p>
    <w:p w14:paraId="65F612D4" w14:textId="7721434C" w:rsidR="009C4E02" w:rsidRPr="00D82644" w:rsidRDefault="009C4E02" w:rsidP="00314F78">
      <w:pPr>
        <w:pStyle w:val="ListBullet"/>
      </w:pPr>
      <w:r w:rsidRPr="00D82644">
        <w:t>inadequate ambulatory care</w:t>
      </w:r>
    </w:p>
    <w:p w14:paraId="2C3D4EFF" w14:textId="255FF9F8" w:rsidR="009C4E02" w:rsidRPr="00D82644" w:rsidRDefault="0B2446A9" w:rsidP="00314F78">
      <w:pPr>
        <w:pStyle w:val="ListBullet"/>
      </w:pPr>
      <w:r w:rsidRPr="00D82644">
        <w:t>inadequate assistance with activities of daily living</w:t>
      </w:r>
    </w:p>
    <w:p w14:paraId="6CB2C9FA" w14:textId="0804EB8C" w:rsidR="00EF16B3" w:rsidRPr="00D82644" w:rsidRDefault="0B2446A9" w:rsidP="00314F78">
      <w:pPr>
        <w:pStyle w:val="ListBullet"/>
      </w:pPr>
      <w:r w:rsidRPr="00D82644">
        <w:t>chronic conditions that are not adequately monitored</w:t>
      </w:r>
      <w:r w:rsidR="38FE75AC" w:rsidRPr="00D82644">
        <w:t xml:space="preserve"> or managed</w:t>
      </w:r>
      <w:r w:rsidRPr="00D82644">
        <w:t>.</w:t>
      </w:r>
    </w:p>
    <w:p w14:paraId="0EC26EEB" w14:textId="647DB78D" w:rsidR="00891385" w:rsidRPr="006A2666" w:rsidRDefault="00891385" w:rsidP="0059348C">
      <w:pPr>
        <w:pStyle w:val="Heading2"/>
      </w:pPr>
      <w:r w:rsidRPr="006A2666">
        <w:lastRenderedPageBreak/>
        <w:t>Risk factors for hospitalisation</w:t>
      </w:r>
    </w:p>
    <w:p w14:paraId="0C4E12D5" w14:textId="0C88E26F" w:rsidR="00163AE2" w:rsidRPr="006A2666" w:rsidRDefault="00163AE2" w:rsidP="00314F78">
      <w:pPr>
        <w:rPr>
          <w:rStyle w:val="Strong"/>
        </w:rPr>
      </w:pPr>
      <w:r w:rsidRPr="006A2666">
        <w:rPr>
          <w:rStyle w:val="Strong"/>
        </w:rPr>
        <w:t>Individual risk factors</w:t>
      </w:r>
    </w:p>
    <w:p w14:paraId="3EA114DD" w14:textId="3962EAC2" w:rsidR="007A671E" w:rsidRPr="006A2666" w:rsidRDefault="58AA5BE4" w:rsidP="00314F78">
      <w:r w:rsidRPr="006A2666">
        <w:t xml:space="preserve">Rates of hospitalisation are influenced by the characteristics of the care recipient, the residential aged care </w:t>
      </w:r>
      <w:r w:rsidR="388E6CEF" w:rsidRPr="006A2666">
        <w:t>service</w:t>
      </w:r>
      <w:r w:rsidRPr="006A2666">
        <w:t xml:space="preserve">, access to and provision of timely </w:t>
      </w:r>
      <w:r w:rsidR="38FE75AC" w:rsidRPr="006A2666">
        <w:t xml:space="preserve">healthcare </w:t>
      </w:r>
      <w:r w:rsidRPr="006A2666">
        <w:t>services</w:t>
      </w:r>
      <w:r w:rsidR="23BD223A" w:rsidRPr="006A2666">
        <w:t>,</w:t>
      </w:r>
      <w:r w:rsidRPr="006A2666">
        <w:t xml:space="preserve"> and the broader health system.</w:t>
      </w:r>
      <w:r w:rsidR="009253DC">
        <w:rPr>
          <w:rFonts w:ascii="ZWAdobeF" w:hAnsi="ZWAdobeF" w:cs="ZWAdobeF"/>
          <w:color w:val="auto"/>
          <w:sz w:val="2"/>
          <w:szCs w:val="2"/>
        </w:rPr>
        <w:t>169F</w:t>
      </w:r>
      <w:r w:rsidR="007E7A4E" w:rsidRPr="006A2666">
        <w:rPr>
          <w:vertAlign w:val="superscript"/>
        </w:rPr>
        <w:endnoteReference w:id="171"/>
      </w:r>
    </w:p>
    <w:p w14:paraId="401BCAE5" w14:textId="22D4F8CF" w:rsidR="00A12EE5" w:rsidRPr="006A2666" w:rsidRDefault="666E653D" w:rsidP="00314F78">
      <w:r w:rsidRPr="006A2666">
        <w:t xml:space="preserve">In Australia, the strongest predictors of unplanned hospitalisation or emergency department presentation from residential aged care </w:t>
      </w:r>
      <w:r w:rsidR="7ED88B77" w:rsidRPr="006A2666">
        <w:t xml:space="preserve">at the individual care recipient level </w:t>
      </w:r>
      <w:r w:rsidRPr="006A2666">
        <w:t>are:</w:t>
      </w:r>
      <w:r w:rsidR="009253DC">
        <w:rPr>
          <w:rFonts w:ascii="ZWAdobeF" w:hAnsi="ZWAdobeF" w:cs="ZWAdobeF"/>
          <w:color w:val="auto"/>
          <w:sz w:val="2"/>
          <w:szCs w:val="2"/>
        </w:rPr>
        <w:t>170F</w:t>
      </w:r>
      <w:r w:rsidR="00702A25" w:rsidRPr="006A2666">
        <w:rPr>
          <w:vertAlign w:val="superscript"/>
        </w:rPr>
        <w:endnoteReference w:id="172"/>
      </w:r>
    </w:p>
    <w:p w14:paraId="05438D09" w14:textId="26B62DB5" w:rsidR="00A12EE5" w:rsidRPr="006A2666" w:rsidRDefault="766909FE" w:rsidP="00314F78">
      <w:pPr>
        <w:pStyle w:val="ListBullet"/>
      </w:pPr>
      <w:r w:rsidRPr="006A2666">
        <w:t>Care recipient needs and attributes</w:t>
      </w:r>
      <w:r w:rsidR="666E653D" w:rsidRPr="006A2666">
        <w:t xml:space="preserve"> — being male, higher age, </w:t>
      </w:r>
      <w:r w:rsidR="2A65DC14" w:rsidRPr="006A2666">
        <w:t xml:space="preserve">history of </w:t>
      </w:r>
      <w:r w:rsidR="666E653D" w:rsidRPr="006A2666">
        <w:t xml:space="preserve">delirium, higher activity of daily living </w:t>
      </w:r>
      <w:r w:rsidR="6CC45473" w:rsidRPr="006A2666">
        <w:t>needs</w:t>
      </w:r>
      <w:r w:rsidR="666E653D" w:rsidRPr="006A2666">
        <w:t>, complex behaviour and complex care needs</w:t>
      </w:r>
    </w:p>
    <w:p w14:paraId="0B863D95" w14:textId="360438F8" w:rsidR="00A12EE5" w:rsidRPr="006A2666" w:rsidRDefault="003D2AE8" w:rsidP="00314F78">
      <w:pPr>
        <w:pStyle w:val="ListBullet"/>
      </w:pPr>
      <w:r w:rsidRPr="006A2666">
        <w:t>Healthcare support</w:t>
      </w:r>
      <w:r w:rsidR="00A12EE5" w:rsidRPr="006A2666">
        <w:t xml:space="preserve"> — number and recency of healthcare use (including hospital and general practitioner attendance)</w:t>
      </w:r>
    </w:p>
    <w:p w14:paraId="37F53028" w14:textId="6F20F209" w:rsidR="00A12EE5" w:rsidRPr="006A2666" w:rsidRDefault="003D2AE8" w:rsidP="00314F78">
      <w:pPr>
        <w:pStyle w:val="ListBullet"/>
      </w:pPr>
      <w:r w:rsidRPr="006A2666">
        <w:t xml:space="preserve">Medication </w:t>
      </w:r>
      <w:r w:rsidR="00A12EE5" w:rsidRPr="006A2666">
        <w:t xml:space="preserve">— </w:t>
      </w:r>
      <w:r w:rsidRPr="006A2666">
        <w:t>use of a</w:t>
      </w:r>
      <w:r w:rsidR="00A12EE5" w:rsidRPr="006A2666">
        <w:t xml:space="preserve"> high sedative load</w:t>
      </w:r>
      <w:r w:rsidRPr="006A2666">
        <w:t xml:space="preserve"> or </w:t>
      </w:r>
      <w:r w:rsidR="00A12EE5" w:rsidRPr="006A2666">
        <w:t>polypharmacy.</w:t>
      </w:r>
    </w:p>
    <w:p w14:paraId="128F4060" w14:textId="2A6678F6" w:rsidR="00163AE2" w:rsidRPr="006A2666" w:rsidRDefault="00163AE2" w:rsidP="00314F78">
      <w:pPr>
        <w:rPr>
          <w:rStyle w:val="Strong"/>
        </w:rPr>
      </w:pPr>
      <w:r w:rsidRPr="006A2666">
        <w:rPr>
          <w:rStyle w:val="Strong"/>
        </w:rPr>
        <w:t>Service risk factors</w:t>
      </w:r>
    </w:p>
    <w:p w14:paraId="7FB8B29A" w14:textId="23B50766" w:rsidR="00333F2C" w:rsidRPr="006A2666" w:rsidRDefault="7ED88B77" w:rsidP="00314F78">
      <w:r w:rsidRPr="006A2666">
        <w:t xml:space="preserve">Risk factors at the organisational level include poor access to </w:t>
      </w:r>
      <w:r w:rsidR="16972677" w:rsidRPr="006A2666">
        <w:t>specialist</w:t>
      </w:r>
      <w:r w:rsidRPr="006A2666">
        <w:t xml:space="preserve"> medical and nursing expertise, poor contingency planning for minor acute illnesses and lack of</w:t>
      </w:r>
      <w:r w:rsidR="2029606A" w:rsidRPr="006A2666">
        <w:t xml:space="preserve"> </w:t>
      </w:r>
      <w:r w:rsidR="6CC45473" w:rsidRPr="006A2666">
        <w:t>ongoing coordination</w:t>
      </w:r>
      <w:r w:rsidRPr="006A2666">
        <w:t xml:space="preserve"> with local specialist services and hospitals.</w:t>
      </w:r>
    </w:p>
    <w:p w14:paraId="078B86CB" w14:textId="1CC28555" w:rsidR="2060610A" w:rsidRPr="006A2666" w:rsidRDefault="6587B54F" w:rsidP="00314F78">
      <w:r w:rsidRPr="006A2666">
        <w:t xml:space="preserve">Of these risk factors, several may be </w:t>
      </w:r>
      <w:r w:rsidR="6CC45473" w:rsidRPr="006A2666">
        <w:t xml:space="preserve">measured, monitored and/or </w:t>
      </w:r>
      <w:r w:rsidRPr="006A2666">
        <w:t xml:space="preserve">influenced by </w:t>
      </w:r>
      <w:r w:rsidR="51CFBE14" w:rsidRPr="006A2666">
        <w:t>services</w:t>
      </w:r>
      <w:r w:rsidRPr="006A2666">
        <w:t xml:space="preserve">, </w:t>
      </w:r>
      <w:r w:rsidR="7ED88B77" w:rsidRPr="006A2666">
        <w:t xml:space="preserve">at both the organisational and individual care recipient level, </w:t>
      </w:r>
      <w:r w:rsidRPr="006A2666">
        <w:t>and these should be the focus of risk mitigation.</w:t>
      </w:r>
    </w:p>
    <w:p w14:paraId="3430837B" w14:textId="34837442" w:rsidR="00891385" w:rsidRPr="006A2666" w:rsidRDefault="00891385" w:rsidP="0059348C">
      <w:pPr>
        <w:pStyle w:val="Heading2"/>
      </w:pPr>
      <w:r w:rsidRPr="006A2666">
        <w:t>Adverse clinical events and hospitalisation</w:t>
      </w:r>
    </w:p>
    <w:p w14:paraId="0E427056" w14:textId="5F59D8FE" w:rsidR="00CE29F4" w:rsidRPr="006A2666" w:rsidRDefault="3DC1AEFE" w:rsidP="00314F78">
      <w:r w:rsidRPr="006A2666">
        <w:t>Hospitalisation expose</w:t>
      </w:r>
      <w:r w:rsidR="76745E4E" w:rsidRPr="006A2666">
        <w:t>s</w:t>
      </w:r>
      <w:r w:rsidRPr="006A2666">
        <w:t xml:space="preserve"> </w:t>
      </w:r>
      <w:r w:rsidR="34626D9A" w:rsidRPr="006A2666">
        <w:t>care recipients</w:t>
      </w:r>
      <w:r w:rsidRPr="006A2666">
        <w:t xml:space="preserve"> to hospital-acquired complications</w:t>
      </w:r>
      <w:r w:rsidR="46E17B8D" w:rsidRPr="006A2666">
        <w:t>.</w:t>
      </w:r>
      <w:r w:rsidR="009253DC">
        <w:rPr>
          <w:rFonts w:ascii="ZWAdobeF" w:hAnsi="ZWAdobeF" w:cs="ZWAdobeF"/>
          <w:color w:val="auto"/>
          <w:sz w:val="2"/>
          <w:szCs w:val="2"/>
        </w:rPr>
        <w:t>171F</w:t>
      </w:r>
      <w:r w:rsidR="00876912" w:rsidRPr="006A2666">
        <w:rPr>
          <w:vertAlign w:val="superscript"/>
        </w:rPr>
        <w:endnoteReference w:id="173"/>
      </w:r>
      <w:r w:rsidR="46E17B8D" w:rsidRPr="006A2666">
        <w:rPr>
          <w:vertAlign w:val="superscript"/>
        </w:rPr>
        <w:t xml:space="preserve"> </w:t>
      </w:r>
      <w:r w:rsidRPr="006A2666">
        <w:t xml:space="preserve">These can have significant impacts on the </w:t>
      </w:r>
      <w:r w:rsidR="35241704" w:rsidRPr="006A2666">
        <w:t>care recipient</w:t>
      </w:r>
      <w:r w:rsidR="147361CC" w:rsidRPr="006A2666">
        <w:t>,</w:t>
      </w:r>
      <w:r w:rsidRPr="006A2666">
        <w:t xml:space="preserve"> and the</w:t>
      </w:r>
      <w:r w:rsidR="7656F59F" w:rsidRPr="006A2666">
        <w:t>ir subsequent independence and care requirements</w:t>
      </w:r>
      <w:r w:rsidRPr="006A2666">
        <w:t xml:space="preserve">. Common hospital acquired complications </w:t>
      </w:r>
      <w:r w:rsidR="7656F59F" w:rsidRPr="006A2666">
        <w:t>include</w:t>
      </w:r>
      <w:r w:rsidRPr="006A2666">
        <w:t>:</w:t>
      </w:r>
    </w:p>
    <w:p w14:paraId="25DC40BA" w14:textId="1D5D83BC" w:rsidR="00CE29F4" w:rsidRPr="006A2666" w:rsidRDefault="14BE7751" w:rsidP="00314F78">
      <w:pPr>
        <w:pStyle w:val="ListBullet"/>
      </w:pPr>
      <w:r w:rsidRPr="006A2666">
        <w:t>infection</w:t>
      </w:r>
    </w:p>
    <w:p w14:paraId="0DABDCDD" w14:textId="30E373F6" w:rsidR="00CE29F4" w:rsidRPr="006A2666" w:rsidRDefault="14BE7751" w:rsidP="00314F78">
      <w:pPr>
        <w:pStyle w:val="ListBullet"/>
      </w:pPr>
      <w:r w:rsidRPr="006A2666">
        <w:t>malnutrition</w:t>
      </w:r>
    </w:p>
    <w:p w14:paraId="1544D418" w14:textId="2361B115" w:rsidR="00CE29F4" w:rsidRPr="006A2666" w:rsidRDefault="14BE7751" w:rsidP="00314F78">
      <w:pPr>
        <w:pStyle w:val="ListBullet"/>
      </w:pPr>
      <w:r w:rsidRPr="006A2666">
        <w:t>cardiac complications</w:t>
      </w:r>
    </w:p>
    <w:p w14:paraId="0C894CFA" w14:textId="422177B2" w:rsidR="00CE29F4" w:rsidRPr="006A2666" w:rsidRDefault="14BE7751" w:rsidP="00314F78">
      <w:pPr>
        <w:pStyle w:val="ListBullet"/>
      </w:pPr>
      <w:r w:rsidRPr="006A2666">
        <w:t>delirium</w:t>
      </w:r>
    </w:p>
    <w:p w14:paraId="0A5AC567" w14:textId="3DF1E106" w:rsidR="00CE29F4" w:rsidRPr="006A2666" w:rsidRDefault="14BE7751" w:rsidP="00314F78">
      <w:pPr>
        <w:pStyle w:val="ListBullet"/>
      </w:pPr>
      <w:r w:rsidRPr="006A2666">
        <w:t>depression</w:t>
      </w:r>
    </w:p>
    <w:p w14:paraId="538FFC54" w14:textId="53274785" w:rsidR="00FB0D47" w:rsidRPr="006A2666" w:rsidRDefault="00FB0D47" w:rsidP="00314F78">
      <w:pPr>
        <w:pStyle w:val="ListBullet"/>
      </w:pPr>
      <w:r w:rsidRPr="006A2666">
        <w:t>deconditioning</w:t>
      </w:r>
    </w:p>
    <w:p w14:paraId="24EF94F5" w14:textId="75FED6CA" w:rsidR="00554ACF" w:rsidRPr="006A2666" w:rsidRDefault="00554ACF" w:rsidP="00314F78">
      <w:pPr>
        <w:pStyle w:val="ListBullet"/>
      </w:pPr>
      <w:r w:rsidRPr="006A2666">
        <w:t>falls</w:t>
      </w:r>
    </w:p>
    <w:p w14:paraId="5753A4D5" w14:textId="468E4604" w:rsidR="00CE29F4" w:rsidRPr="006A2666" w:rsidRDefault="00FB0D47" w:rsidP="00314F78">
      <w:pPr>
        <w:pStyle w:val="ListBullet"/>
      </w:pPr>
      <w:r w:rsidRPr="006A2666">
        <w:t>reduced independence and mobility</w:t>
      </w:r>
      <w:r w:rsidR="120C3A8D" w:rsidRPr="006A2666">
        <w:t>.</w:t>
      </w:r>
    </w:p>
    <w:p w14:paraId="4BE2367C" w14:textId="4C797B4B" w:rsidR="00CE29F4" w:rsidRPr="006A2666" w:rsidRDefault="00CE29F4" w:rsidP="0059348C">
      <w:pPr>
        <w:pStyle w:val="Heading2"/>
      </w:pPr>
      <w:r w:rsidRPr="006A2666">
        <w:t>Prevention and management of hospitalisation</w:t>
      </w:r>
    </w:p>
    <w:p w14:paraId="4603FF61" w14:textId="78F2455C" w:rsidR="00A53B58" w:rsidRPr="006A2666" w:rsidRDefault="00653CEF" w:rsidP="00314F78">
      <w:r w:rsidRPr="006A2666">
        <w:t>E</w:t>
      </w:r>
      <w:r w:rsidR="557869B3" w:rsidRPr="006A2666">
        <w:t>mergency department presentations</w:t>
      </w:r>
      <w:r w:rsidR="1B9F9EBF" w:rsidRPr="006A2666">
        <w:t xml:space="preserve"> </w:t>
      </w:r>
      <w:r w:rsidR="3CF54213" w:rsidRPr="006A2666">
        <w:t xml:space="preserve">and admissions to hospital </w:t>
      </w:r>
      <w:r w:rsidR="1B9F9EBF" w:rsidRPr="006A2666">
        <w:t xml:space="preserve">can be </w:t>
      </w:r>
      <w:r w:rsidR="51BA3860" w:rsidRPr="006A2666">
        <w:t>reduced</w:t>
      </w:r>
      <w:r w:rsidR="1B9F9EBF" w:rsidRPr="006A2666">
        <w:t xml:space="preserve"> with a systematic, person-centred approach. </w:t>
      </w:r>
      <w:r w:rsidR="29D35647" w:rsidRPr="006A2666">
        <w:t xml:space="preserve">This includes focusing on access to </w:t>
      </w:r>
      <w:r w:rsidR="3668CBC7" w:rsidRPr="006A2666">
        <w:t>resources to provide approp</w:t>
      </w:r>
      <w:r w:rsidR="7A544168" w:rsidRPr="006A2666">
        <w:t>riate care</w:t>
      </w:r>
      <w:r w:rsidR="29D35647" w:rsidRPr="006A2666">
        <w:t xml:space="preserve"> such as</w:t>
      </w:r>
      <w:r w:rsidR="24D6641C" w:rsidRPr="006A2666">
        <w:t xml:space="preserve"> skilled staff</w:t>
      </w:r>
      <w:r w:rsidR="316BCBCE" w:rsidRPr="006A2666">
        <w:t>;</w:t>
      </w:r>
      <w:r w:rsidR="24D6641C" w:rsidRPr="006A2666">
        <w:t xml:space="preserve"> </w:t>
      </w:r>
      <w:r w:rsidR="00FC25E0" w:rsidRPr="006A2666">
        <w:t>primary</w:t>
      </w:r>
      <w:r w:rsidR="29D35647" w:rsidRPr="006A2666">
        <w:t>, specialist and preventive</w:t>
      </w:r>
      <w:r w:rsidR="00FC25E0" w:rsidRPr="006A2666">
        <w:t xml:space="preserve"> </w:t>
      </w:r>
      <w:r w:rsidR="29D35647" w:rsidRPr="006A2666">
        <w:t>health</w:t>
      </w:r>
      <w:r w:rsidR="00FC25E0" w:rsidRPr="006A2666">
        <w:t>care</w:t>
      </w:r>
      <w:r w:rsidR="316BCBCE" w:rsidRPr="006A2666">
        <w:t>;</w:t>
      </w:r>
      <w:r w:rsidR="3F722120" w:rsidRPr="006A2666">
        <w:t xml:space="preserve"> and </w:t>
      </w:r>
      <w:r w:rsidR="29D35647" w:rsidRPr="006A2666">
        <w:t xml:space="preserve">practices </w:t>
      </w:r>
      <w:r w:rsidR="29D35647" w:rsidRPr="006A2666">
        <w:lastRenderedPageBreak/>
        <w:t xml:space="preserve">to </w:t>
      </w:r>
      <w:r w:rsidR="1B99CC74" w:rsidRPr="006A2666">
        <w:t>identif</w:t>
      </w:r>
      <w:r w:rsidR="29D35647" w:rsidRPr="006A2666">
        <w:t>y</w:t>
      </w:r>
      <w:r w:rsidR="1B99CC74" w:rsidRPr="006A2666">
        <w:t>, manage</w:t>
      </w:r>
      <w:r w:rsidR="0E2E3FBF" w:rsidRPr="006A2666">
        <w:t>, monitor</w:t>
      </w:r>
      <w:r w:rsidR="1B99CC74" w:rsidRPr="006A2666">
        <w:t xml:space="preserve"> and </w:t>
      </w:r>
      <w:r w:rsidR="29D35647" w:rsidRPr="006A2666">
        <w:t>escalate care needs</w:t>
      </w:r>
      <w:r w:rsidR="05058635" w:rsidRPr="006A2666">
        <w:t>.</w:t>
      </w:r>
      <w:r w:rsidR="4DDB5C65" w:rsidRPr="006A2666">
        <w:t xml:space="preserve"> </w:t>
      </w:r>
      <w:r w:rsidR="57233BD8" w:rsidRPr="006A2666">
        <w:t>Care planning and management should align with care recipient preferences</w:t>
      </w:r>
      <w:r w:rsidR="56793F1A" w:rsidRPr="006A2666">
        <w:t xml:space="preserve">, including </w:t>
      </w:r>
      <w:r w:rsidR="100B0586" w:rsidRPr="006A2666">
        <w:t xml:space="preserve">for </w:t>
      </w:r>
      <w:r w:rsidR="56793F1A" w:rsidRPr="006A2666">
        <w:t>end</w:t>
      </w:r>
      <w:r w:rsidR="100B0586" w:rsidRPr="006A2666">
        <w:t>-</w:t>
      </w:r>
      <w:r w:rsidR="56793F1A" w:rsidRPr="006A2666">
        <w:t>of</w:t>
      </w:r>
      <w:r w:rsidR="100B0586" w:rsidRPr="006A2666">
        <w:t>-</w:t>
      </w:r>
      <w:r w:rsidR="56793F1A" w:rsidRPr="006A2666">
        <w:t>life care.</w:t>
      </w:r>
    </w:p>
    <w:p w14:paraId="57A27713" w14:textId="156A4D9B" w:rsidR="00542A04" w:rsidRPr="006A2666" w:rsidRDefault="009B6C96" w:rsidP="00314F78">
      <w:r w:rsidRPr="006A2666">
        <w:t xml:space="preserve">The rates of </w:t>
      </w:r>
      <w:r w:rsidR="002F04D6" w:rsidRPr="006A2666">
        <w:t xml:space="preserve">avoidable hospitalisations can be minimised by strategies </w:t>
      </w:r>
      <w:r w:rsidR="00642A93" w:rsidRPr="006A2666">
        <w:t>at two levels:</w:t>
      </w:r>
    </w:p>
    <w:p w14:paraId="7E5405E0" w14:textId="2A7B3CD6" w:rsidR="009B6C96" w:rsidRPr="006A2666" w:rsidRDefault="50CB7C1D" w:rsidP="00314F78">
      <w:pPr>
        <w:pStyle w:val="ListBullet"/>
      </w:pPr>
      <w:r w:rsidRPr="006A2666">
        <w:t>o</w:t>
      </w:r>
      <w:r w:rsidR="47A88A38" w:rsidRPr="006A2666">
        <w:t xml:space="preserve">rganisation level to ensure that </w:t>
      </w:r>
      <w:r w:rsidR="6FDDE8F9" w:rsidRPr="006A2666">
        <w:t xml:space="preserve">expertise, </w:t>
      </w:r>
      <w:r w:rsidR="00653CEF" w:rsidRPr="006A2666">
        <w:t>resources</w:t>
      </w:r>
      <w:r w:rsidR="6FDDE8F9" w:rsidRPr="006A2666">
        <w:t xml:space="preserve"> and systems are available to manage </w:t>
      </w:r>
      <w:r w:rsidR="49D80FB0" w:rsidRPr="006A2666">
        <w:t xml:space="preserve">minor conditions </w:t>
      </w:r>
      <w:r w:rsidR="115138BF" w:rsidRPr="006A2666">
        <w:t xml:space="preserve">within the </w:t>
      </w:r>
      <w:r w:rsidR="1A490FF7" w:rsidRPr="006A2666">
        <w:t>facility</w:t>
      </w:r>
      <w:r w:rsidR="115138BF" w:rsidRPr="006A2666">
        <w:t>.</w:t>
      </w:r>
    </w:p>
    <w:p w14:paraId="49328EEC" w14:textId="0AC0AABF" w:rsidR="00542A04" w:rsidRPr="006A2666" w:rsidRDefault="004F428F" w:rsidP="00314F78">
      <w:pPr>
        <w:pStyle w:val="ListBullet"/>
      </w:pPr>
      <w:r w:rsidRPr="006A2666">
        <w:t>c</w:t>
      </w:r>
      <w:r w:rsidR="00542A04" w:rsidRPr="006A2666">
        <w:t>are deliver</w:t>
      </w:r>
      <w:r w:rsidR="00FB0A3A" w:rsidRPr="006A2666">
        <w:t>y</w:t>
      </w:r>
      <w:r w:rsidR="00542A04" w:rsidRPr="006A2666">
        <w:t xml:space="preserve"> level to ensure that </w:t>
      </w:r>
      <w:r w:rsidR="008E129F" w:rsidRPr="006A2666">
        <w:t>illnesses</w:t>
      </w:r>
      <w:r w:rsidR="00F475D5" w:rsidRPr="006A2666">
        <w:t xml:space="preserve"> and incidents</w:t>
      </w:r>
      <w:r w:rsidR="008E129F" w:rsidRPr="006A2666">
        <w:t xml:space="preserve"> that require hospitalisation are </w:t>
      </w:r>
      <w:r w:rsidR="0047108B" w:rsidRPr="006A2666">
        <w:t>minimised</w:t>
      </w:r>
      <w:r w:rsidR="00566534" w:rsidRPr="006A2666">
        <w:t>.</w:t>
      </w:r>
    </w:p>
    <w:p w14:paraId="095E60A3" w14:textId="7E7E39A9" w:rsidR="00FA597C" w:rsidRPr="006A2666" w:rsidRDefault="00FA597C" w:rsidP="00314F78">
      <w:r w:rsidRPr="006A2666">
        <w:t>Strategies to minimise avoidable hospitalisations at a care delivery level may include:</w:t>
      </w:r>
    </w:p>
    <w:p w14:paraId="03D7CA91" w14:textId="14E6602B" w:rsidR="00CE29F4" w:rsidRPr="00FD1B87" w:rsidRDefault="7EE0E2F6" w:rsidP="00314F78">
      <w:pPr>
        <w:pStyle w:val="ListBullet"/>
      </w:pPr>
      <w:r w:rsidRPr="00517432">
        <w:rPr>
          <w:rStyle w:val="Strong"/>
        </w:rPr>
        <w:t>Early identification of risk factors</w:t>
      </w:r>
      <w:r w:rsidRPr="00FD1B87">
        <w:t xml:space="preserve">: Unmet healthcare needs are cited as the underlying factor for </w:t>
      </w:r>
      <w:r w:rsidR="0042FBE7" w:rsidRPr="00FD1B87">
        <w:t>emergency department presentations</w:t>
      </w:r>
      <w:r w:rsidR="557869B3" w:rsidRPr="00FD1B87">
        <w:t>. I</w:t>
      </w:r>
      <w:r w:rsidRPr="00FD1B87">
        <w:t xml:space="preserve">dentifying </w:t>
      </w:r>
      <w:r w:rsidR="0042FBE7" w:rsidRPr="00FD1B87">
        <w:t>health and care needs</w:t>
      </w:r>
      <w:r w:rsidRPr="00FD1B87">
        <w:t xml:space="preserve"> and providing interventions before conditions deteriorate </w:t>
      </w:r>
      <w:r w:rsidR="0042FBE7" w:rsidRPr="00FD1B87">
        <w:t xml:space="preserve">can </w:t>
      </w:r>
      <w:r w:rsidRPr="00FD1B87">
        <w:t>reduce both cost and burden of care.</w:t>
      </w:r>
      <w:r w:rsidR="009253DC">
        <w:rPr>
          <w:rFonts w:ascii="ZWAdobeF" w:hAnsi="ZWAdobeF" w:cs="ZWAdobeF"/>
          <w:sz w:val="2"/>
          <w:szCs w:val="2"/>
        </w:rPr>
        <w:t>172F</w:t>
      </w:r>
      <w:r w:rsidR="000B5AD1" w:rsidRPr="00FD1B87">
        <w:endnoteReference w:id="174"/>
      </w:r>
      <w:r w:rsidR="5DCF556F" w:rsidRPr="00FD1B87">
        <w:t xml:space="preserve"> </w:t>
      </w:r>
      <w:r w:rsidR="1CD48791" w:rsidRPr="00FD1B87">
        <w:t xml:space="preserve">This </w:t>
      </w:r>
      <w:r w:rsidR="41EED08A" w:rsidRPr="00FD1B87">
        <w:t>is supported</w:t>
      </w:r>
      <w:r w:rsidR="1CD48791" w:rsidRPr="00FD1B87">
        <w:t xml:space="preserve"> by </w:t>
      </w:r>
      <w:r w:rsidR="41EED08A" w:rsidRPr="00FD1B87">
        <w:t>understanding which</w:t>
      </w:r>
      <w:r w:rsidR="5DCF556F" w:rsidRPr="00FD1B87">
        <w:t xml:space="preserve"> care recipients have the strongest predictors for unplanned hospitalisation or emergency department presentation. </w:t>
      </w:r>
      <w:r w:rsidR="41EED08A" w:rsidRPr="00FD1B87">
        <w:t>For example, this could include</w:t>
      </w:r>
      <w:r w:rsidR="5DCF556F" w:rsidRPr="00FD1B87">
        <w:t xml:space="preserve"> care recipients that are higher age, have a history of delirium, higher activity of daily living needs, have recently required healthcare and who </w:t>
      </w:r>
      <w:r w:rsidR="45941C48" w:rsidRPr="00FD1B87">
        <w:t>use</w:t>
      </w:r>
      <w:r w:rsidR="5DCF556F" w:rsidRPr="00FD1B87">
        <w:t xml:space="preserve"> high sedative load or polypharmacy.</w:t>
      </w:r>
    </w:p>
    <w:p w14:paraId="0882D4A7" w14:textId="65040791" w:rsidR="00CE29F4" w:rsidRPr="00FD1B87" w:rsidRDefault="7EE0E2F6" w:rsidP="00314F78">
      <w:pPr>
        <w:pStyle w:val="ListBullet"/>
      </w:pPr>
      <w:r w:rsidRPr="00517432">
        <w:rPr>
          <w:rStyle w:val="Strong"/>
        </w:rPr>
        <w:t xml:space="preserve">Monitoring </w:t>
      </w:r>
      <w:r w:rsidR="604E7AA3" w:rsidRPr="00517432">
        <w:rPr>
          <w:rStyle w:val="Strong"/>
        </w:rPr>
        <w:t xml:space="preserve">care recipient </w:t>
      </w:r>
      <w:r w:rsidRPr="00517432">
        <w:rPr>
          <w:rStyle w:val="Strong"/>
        </w:rPr>
        <w:t>progress</w:t>
      </w:r>
      <w:r w:rsidRPr="00FD1B87">
        <w:t xml:space="preserve">: Early identification of risk factors and </w:t>
      </w:r>
      <w:r w:rsidR="0042FBE7" w:rsidRPr="00FD1B87">
        <w:t>changes in</w:t>
      </w:r>
      <w:r w:rsidR="4730382D" w:rsidRPr="00FD1B87">
        <w:t xml:space="preserve"> health status</w:t>
      </w:r>
      <w:r w:rsidRPr="00FD1B87">
        <w:t xml:space="preserve"> guides decisions about further monitoring requirements, facilitates communication with primary care providers, identifies appropriate hospital transfer requirements and informs management strategies to maintain quality care.</w:t>
      </w:r>
      <w:r w:rsidR="009253DC">
        <w:rPr>
          <w:rFonts w:ascii="ZWAdobeF" w:hAnsi="ZWAdobeF" w:cs="ZWAdobeF"/>
          <w:sz w:val="2"/>
          <w:szCs w:val="2"/>
        </w:rPr>
        <w:t>173F</w:t>
      </w:r>
      <w:r w:rsidR="000B5AD1" w:rsidRPr="00FD1B87">
        <w:endnoteReference w:id="175"/>
      </w:r>
    </w:p>
    <w:p w14:paraId="1E24B215" w14:textId="1F7AA8E6" w:rsidR="00CE29F4" w:rsidRPr="00FD1B87" w:rsidRDefault="7EE0E2F6" w:rsidP="00314F78">
      <w:pPr>
        <w:pStyle w:val="ListBullet"/>
      </w:pPr>
      <w:r w:rsidRPr="00517432">
        <w:rPr>
          <w:rStyle w:val="Strong"/>
        </w:rPr>
        <w:t>Care provision by appropriately skilled pr</w:t>
      </w:r>
      <w:r w:rsidR="604E7AA3" w:rsidRPr="00517432">
        <w:rPr>
          <w:rStyle w:val="Strong"/>
        </w:rPr>
        <w:t>oviders</w:t>
      </w:r>
      <w:r w:rsidR="7AC53290" w:rsidRPr="00FD1B87">
        <w:t>:</w:t>
      </w:r>
      <w:r w:rsidRPr="00FD1B87">
        <w:t xml:space="preserve"> </w:t>
      </w:r>
      <w:r w:rsidR="604E7AA3" w:rsidRPr="00FD1B87">
        <w:t>A</w:t>
      </w:r>
      <w:r w:rsidRPr="00FD1B87">
        <w:t xml:space="preserve">ccess to skilled </w:t>
      </w:r>
      <w:r w:rsidR="604E7AA3" w:rsidRPr="00FD1B87">
        <w:t xml:space="preserve">carers, </w:t>
      </w:r>
      <w:r w:rsidRPr="00FD1B87">
        <w:t>nurses</w:t>
      </w:r>
      <w:r w:rsidR="604E7AA3" w:rsidRPr="00FD1B87">
        <w:t xml:space="preserve"> and other healthcare providers</w:t>
      </w:r>
      <w:r w:rsidRPr="00FD1B87">
        <w:t xml:space="preserve"> with appropriate education and training, combined with </w:t>
      </w:r>
      <w:r w:rsidR="604E7AA3" w:rsidRPr="00FD1B87">
        <w:t>skilled staff</w:t>
      </w:r>
      <w:r w:rsidRPr="00FD1B87">
        <w:t xml:space="preserve"> to provide appropriate interventions, is associated with lower hospitalisation rates.</w:t>
      </w:r>
      <w:r w:rsidR="009253DC">
        <w:rPr>
          <w:rFonts w:ascii="ZWAdobeF" w:hAnsi="ZWAdobeF" w:cs="ZWAdobeF"/>
          <w:sz w:val="2"/>
          <w:szCs w:val="2"/>
        </w:rPr>
        <w:t>174F</w:t>
      </w:r>
      <w:r w:rsidR="000B5AD1" w:rsidRPr="00FD1B87">
        <w:endnoteReference w:id="176"/>
      </w:r>
      <w:r w:rsidR="7AC53290" w:rsidRPr="00FD1B87">
        <w:t xml:space="preserve"> </w:t>
      </w:r>
      <w:r w:rsidR="009253DC">
        <w:rPr>
          <w:rFonts w:ascii="ZWAdobeF" w:hAnsi="ZWAdobeF" w:cs="ZWAdobeF"/>
          <w:sz w:val="2"/>
          <w:szCs w:val="2"/>
        </w:rPr>
        <w:t>175F</w:t>
      </w:r>
      <w:r w:rsidR="000B5AD1" w:rsidRPr="00FD1B87">
        <w:endnoteReference w:id="177"/>
      </w:r>
    </w:p>
    <w:p w14:paraId="00D097F0" w14:textId="3FAE33C8" w:rsidR="00CE29F4" w:rsidRPr="00FD1B87" w:rsidRDefault="7EE0E2F6" w:rsidP="00314F78">
      <w:pPr>
        <w:pStyle w:val="ListBullet"/>
      </w:pPr>
      <w:r w:rsidRPr="00517432">
        <w:rPr>
          <w:rStyle w:val="Strong"/>
        </w:rPr>
        <w:t xml:space="preserve">Using multidisciplinary teams coordinated by </w:t>
      </w:r>
      <w:r w:rsidR="0042FBE7" w:rsidRPr="00517432">
        <w:rPr>
          <w:rStyle w:val="Strong"/>
        </w:rPr>
        <w:t>residential aged care</w:t>
      </w:r>
      <w:r w:rsidRPr="00517432">
        <w:rPr>
          <w:rStyle w:val="Strong"/>
        </w:rPr>
        <w:t xml:space="preserve"> staff</w:t>
      </w:r>
      <w:r w:rsidRPr="00FD1B87">
        <w:t xml:space="preserve">: </w:t>
      </w:r>
      <w:r w:rsidR="17FBD4BF" w:rsidRPr="00FD1B87">
        <w:t xml:space="preserve">Access to </w:t>
      </w:r>
      <w:r w:rsidRPr="00FD1B87">
        <w:t xml:space="preserve">primary </w:t>
      </w:r>
      <w:r w:rsidR="17FBD4BF" w:rsidRPr="00FD1B87">
        <w:t xml:space="preserve">and specialist </w:t>
      </w:r>
      <w:r w:rsidRPr="00FD1B87">
        <w:t xml:space="preserve">care networks </w:t>
      </w:r>
      <w:r w:rsidR="17FBD4BF" w:rsidRPr="00FD1B87">
        <w:t xml:space="preserve">to </w:t>
      </w:r>
      <w:r w:rsidRPr="00FD1B87">
        <w:t xml:space="preserve">provide </w:t>
      </w:r>
      <w:r w:rsidR="17FBD4BF" w:rsidRPr="00FD1B87">
        <w:t>care</w:t>
      </w:r>
      <w:r w:rsidRPr="00FD1B87">
        <w:t xml:space="preserve"> specific </w:t>
      </w:r>
      <w:r w:rsidR="17FBD4BF" w:rsidRPr="00FD1B87">
        <w:t xml:space="preserve">to </w:t>
      </w:r>
      <w:r w:rsidRPr="00FD1B87">
        <w:t xml:space="preserve">individual </w:t>
      </w:r>
      <w:r w:rsidR="17FBD4BF" w:rsidRPr="00FD1B87">
        <w:t xml:space="preserve">care </w:t>
      </w:r>
      <w:r w:rsidRPr="00FD1B87">
        <w:t>needs (communication channels, telehealth, transport to outpatient appointments)</w:t>
      </w:r>
      <w:r w:rsidR="6D3CFF9C" w:rsidRPr="00FD1B87">
        <w:t xml:space="preserve"> can prevent </w:t>
      </w:r>
      <w:r w:rsidR="3AA3D471" w:rsidRPr="00FD1B87">
        <w:t>the requirement for hospitalisation</w:t>
      </w:r>
      <w:r w:rsidRPr="00FD1B87">
        <w:t>.</w:t>
      </w:r>
      <w:r w:rsidR="009253DC">
        <w:rPr>
          <w:rFonts w:ascii="ZWAdobeF" w:hAnsi="ZWAdobeF" w:cs="ZWAdobeF"/>
          <w:sz w:val="2"/>
          <w:szCs w:val="2"/>
        </w:rPr>
        <w:t>176F</w:t>
      </w:r>
      <w:r w:rsidR="000B5AD1" w:rsidRPr="00FD1B87">
        <w:endnoteReference w:id="178"/>
      </w:r>
      <w:r w:rsidR="17FBD4BF" w:rsidRPr="00FD1B87">
        <w:t xml:space="preserve"> Trained staff </w:t>
      </w:r>
      <w:r w:rsidR="57233BD8" w:rsidRPr="00FD1B87">
        <w:t xml:space="preserve">provide </w:t>
      </w:r>
      <w:r w:rsidR="17FBD4BF" w:rsidRPr="00FD1B87">
        <w:t xml:space="preserve">guidance to embed changes in daily practices </w:t>
      </w:r>
      <w:r w:rsidR="3AA3D471" w:rsidRPr="00FD1B87">
        <w:t>and</w:t>
      </w:r>
      <w:r w:rsidR="17FBD4BF" w:rsidRPr="00FD1B87">
        <w:t xml:space="preserve"> improve care outcomes.</w:t>
      </w:r>
    </w:p>
    <w:p w14:paraId="5D619087" w14:textId="0E1E08B0" w:rsidR="00CE29F4" w:rsidRPr="00445B8B" w:rsidRDefault="7EE0E2F6" w:rsidP="00314F78">
      <w:pPr>
        <w:pStyle w:val="ListNumber"/>
      </w:pPr>
      <w:r w:rsidRPr="00445B8B">
        <w:rPr>
          <w:rStyle w:val="Strong"/>
        </w:rPr>
        <w:t xml:space="preserve">Support with </w:t>
      </w:r>
      <w:r w:rsidR="612EBDD9" w:rsidRPr="00445B8B">
        <w:rPr>
          <w:rStyle w:val="Strong"/>
        </w:rPr>
        <w:t>appropriate</w:t>
      </w:r>
      <w:r w:rsidRPr="00445B8B">
        <w:rPr>
          <w:rStyle w:val="Strong"/>
        </w:rPr>
        <w:t xml:space="preserve"> resources</w:t>
      </w:r>
      <w:r w:rsidR="17FBD4BF" w:rsidRPr="00445B8B">
        <w:t>:</w:t>
      </w:r>
      <w:r w:rsidRPr="00445B8B">
        <w:t xml:space="preserve"> Including appropriately integrated communication systems such</w:t>
      </w:r>
      <w:r w:rsidR="37FD3919" w:rsidRPr="00445B8B">
        <w:t> </w:t>
      </w:r>
      <w:r w:rsidRPr="00445B8B">
        <w:t>as:</w:t>
      </w:r>
    </w:p>
    <w:p w14:paraId="02F269AF" w14:textId="7AFFA90F" w:rsidR="00CE29F4" w:rsidRPr="00445B8B" w:rsidRDefault="7EE0E2F6" w:rsidP="00314F78">
      <w:pPr>
        <w:pStyle w:val="ListBullet2"/>
      </w:pPr>
      <w:r w:rsidRPr="00445B8B">
        <w:t xml:space="preserve">Health </w:t>
      </w:r>
      <w:r w:rsidR="05237440" w:rsidRPr="00445B8B">
        <w:t>i</w:t>
      </w:r>
      <w:r w:rsidRPr="00445B8B">
        <w:t xml:space="preserve">nformation </w:t>
      </w:r>
      <w:r w:rsidR="05237440" w:rsidRPr="00445B8B">
        <w:t>t</w:t>
      </w:r>
      <w:r w:rsidRPr="00445B8B">
        <w:t xml:space="preserve">echnology improves communication and outcomes, offering access to care staff that facilitate effective early identification and </w:t>
      </w:r>
      <w:r w:rsidR="257C9383" w:rsidRPr="00445B8B">
        <w:t>continued</w:t>
      </w:r>
      <w:r w:rsidRPr="00445B8B">
        <w:t xml:space="preserve"> monitoring of </w:t>
      </w:r>
      <w:r w:rsidR="4B41979D" w:rsidRPr="00445B8B">
        <w:t>care recipient’s</w:t>
      </w:r>
      <w:r w:rsidRPr="00445B8B">
        <w:t xml:space="preserve"> health condition, leading to improvements in safety and reduced hospitalisation.</w:t>
      </w:r>
      <w:r w:rsidR="009253DC">
        <w:rPr>
          <w:rFonts w:ascii="ZWAdobeF" w:hAnsi="ZWAdobeF" w:cs="ZWAdobeF"/>
          <w:sz w:val="2"/>
          <w:szCs w:val="2"/>
        </w:rPr>
        <w:t>177F</w:t>
      </w:r>
      <w:r w:rsidR="000B5AD1" w:rsidRPr="00454D17">
        <w:rPr>
          <w:rStyle w:val="EndnoteReference"/>
        </w:rPr>
        <w:endnoteReference w:id="179"/>
      </w:r>
      <w:r w:rsidR="7E79E7B9" w:rsidRPr="00454D17">
        <w:rPr>
          <w:rStyle w:val="EndnoteReference"/>
        </w:rPr>
        <w:t xml:space="preserve"> </w:t>
      </w:r>
      <w:r w:rsidR="009253DC">
        <w:rPr>
          <w:rFonts w:ascii="ZWAdobeF" w:hAnsi="ZWAdobeF" w:cs="ZWAdobeF"/>
          <w:sz w:val="2"/>
          <w:szCs w:val="2"/>
        </w:rPr>
        <w:t>178F</w:t>
      </w:r>
      <w:r w:rsidR="00924350" w:rsidRPr="00454D17">
        <w:rPr>
          <w:rStyle w:val="EndnoteReference"/>
        </w:rPr>
        <w:endnoteReference w:id="180"/>
      </w:r>
    </w:p>
    <w:p w14:paraId="1D45A10F" w14:textId="72E99AEF" w:rsidR="00FB0D47" w:rsidRPr="00445B8B" w:rsidRDefault="00FB0D47" w:rsidP="00314F78">
      <w:pPr>
        <w:pStyle w:val="ListBullet2"/>
      </w:pPr>
      <w:r w:rsidRPr="00445B8B">
        <w:t>In</w:t>
      </w:r>
      <w:r w:rsidR="008F764C" w:rsidRPr="00445B8B">
        <w:t>-</w:t>
      </w:r>
      <w:r w:rsidRPr="00445B8B">
        <w:t>reach and outreach specialist care teams to optimise access to care and care integration.</w:t>
      </w:r>
    </w:p>
    <w:p w14:paraId="28CD06F6" w14:textId="4A8F7037" w:rsidR="00CE29F4" w:rsidRPr="00445B8B" w:rsidRDefault="7EE0E2F6" w:rsidP="00314F78">
      <w:pPr>
        <w:pStyle w:val="ListBullet2"/>
      </w:pPr>
      <w:r w:rsidRPr="00445B8B">
        <w:t>Telehealth provides expanded access to care and addresses coverage gaps, particularly in rural/remote areas, reducing staff burnout and costs, providing timely access to specialist input and improving outcomes.</w:t>
      </w:r>
      <w:r w:rsidR="009253DC">
        <w:rPr>
          <w:rFonts w:ascii="ZWAdobeF" w:hAnsi="ZWAdobeF" w:cs="ZWAdobeF"/>
          <w:sz w:val="2"/>
          <w:szCs w:val="2"/>
        </w:rPr>
        <w:t>179F</w:t>
      </w:r>
      <w:r w:rsidR="000B5AD1" w:rsidRPr="00454D17">
        <w:rPr>
          <w:rStyle w:val="EndnoteReference"/>
        </w:rPr>
        <w:endnoteReference w:id="181"/>
      </w:r>
      <w:r w:rsidR="7AC53290" w:rsidRPr="00454D17">
        <w:rPr>
          <w:rStyle w:val="EndnoteReference"/>
        </w:rPr>
        <w:t xml:space="preserve"> </w:t>
      </w:r>
      <w:r w:rsidR="009253DC">
        <w:rPr>
          <w:rFonts w:ascii="ZWAdobeF" w:hAnsi="ZWAdobeF" w:cs="ZWAdobeF"/>
          <w:sz w:val="2"/>
          <w:szCs w:val="2"/>
        </w:rPr>
        <w:t>180F</w:t>
      </w:r>
      <w:r w:rsidR="000B5AD1" w:rsidRPr="00454D17">
        <w:rPr>
          <w:rStyle w:val="EndnoteReference"/>
        </w:rPr>
        <w:endnoteReference w:id="182"/>
      </w:r>
      <w:r w:rsidR="7AC53290" w:rsidRPr="00454D17">
        <w:rPr>
          <w:rStyle w:val="EndnoteReference"/>
        </w:rPr>
        <w:t xml:space="preserve"> </w:t>
      </w:r>
      <w:r w:rsidR="009253DC">
        <w:rPr>
          <w:rFonts w:ascii="ZWAdobeF" w:hAnsi="ZWAdobeF" w:cs="ZWAdobeF"/>
          <w:sz w:val="2"/>
          <w:szCs w:val="2"/>
        </w:rPr>
        <w:t>181F</w:t>
      </w:r>
      <w:r w:rsidR="000B5AD1" w:rsidRPr="00454D17">
        <w:rPr>
          <w:rStyle w:val="EndnoteReference"/>
        </w:rPr>
        <w:endnoteReference w:id="183"/>
      </w:r>
    </w:p>
    <w:p w14:paraId="5C90E189" w14:textId="6B348226" w:rsidR="00CE29F4" w:rsidRPr="002765D3" w:rsidRDefault="17FBD4BF" w:rsidP="00314F78">
      <w:pPr>
        <w:pStyle w:val="ListNumber"/>
        <w:sectPr w:rsidR="00CE29F4" w:rsidRPr="002765D3" w:rsidSect="00CE53D5">
          <w:headerReference w:type="even" r:id="rId220"/>
          <w:headerReference w:type="default" r:id="rId221"/>
          <w:headerReference w:type="first" r:id="rId222"/>
          <w:endnotePr>
            <w:numFmt w:val="decimal"/>
          </w:endnotePr>
          <w:pgSz w:w="11906" w:h="16838" w:code="9"/>
          <w:pgMar w:top="1701" w:right="1134" w:bottom="1134" w:left="1134" w:header="567" w:footer="567" w:gutter="0"/>
          <w:cols w:space="708"/>
          <w:docGrid w:linePitch="360"/>
        </w:sectPr>
      </w:pPr>
      <w:r w:rsidRPr="00445B8B">
        <w:rPr>
          <w:rStyle w:val="Strong"/>
        </w:rPr>
        <w:t>Collaborative</w:t>
      </w:r>
      <w:r w:rsidR="7EE0E2F6" w:rsidRPr="00445B8B">
        <w:rPr>
          <w:rStyle w:val="Strong"/>
        </w:rPr>
        <w:t xml:space="preserve"> care</w:t>
      </w:r>
      <w:r w:rsidRPr="00445B8B">
        <w:rPr>
          <w:rStyle w:val="Strong"/>
        </w:rPr>
        <w:t xml:space="preserve"> </w:t>
      </w:r>
      <w:r w:rsidR="7EE0E2F6" w:rsidRPr="00445B8B">
        <w:rPr>
          <w:rStyle w:val="Strong"/>
        </w:rPr>
        <w:t xml:space="preserve">planning, including </w:t>
      </w:r>
      <w:r w:rsidR="64A30D52" w:rsidRPr="00445B8B">
        <w:rPr>
          <w:rStyle w:val="Strong"/>
        </w:rPr>
        <w:t>advance care planning</w:t>
      </w:r>
      <w:r w:rsidR="7EE0E2F6" w:rsidRPr="00445B8B">
        <w:t xml:space="preserve">: Completion of advanced care </w:t>
      </w:r>
      <w:r w:rsidR="64A30D52" w:rsidRPr="00445B8B">
        <w:t>planning with</w:t>
      </w:r>
      <w:r w:rsidR="7EE0E2F6" w:rsidRPr="00445B8B">
        <w:t xml:space="preserve"> </w:t>
      </w:r>
      <w:r w:rsidR="4B41979D" w:rsidRPr="00445B8B">
        <w:t>care recipients</w:t>
      </w:r>
      <w:r w:rsidR="64A30D52" w:rsidRPr="00445B8B">
        <w:t>,</w:t>
      </w:r>
      <w:r w:rsidR="7EE0E2F6" w:rsidRPr="00445B8B">
        <w:t xml:space="preserve"> their families </w:t>
      </w:r>
      <w:r w:rsidR="7893FEC3" w:rsidRPr="00445B8B">
        <w:t>or</w:t>
      </w:r>
      <w:r w:rsidR="64A30D52" w:rsidRPr="00445B8B">
        <w:t xml:space="preserve"> representatives </w:t>
      </w:r>
      <w:r w:rsidR="7EE0E2F6" w:rsidRPr="00445B8B">
        <w:t>is associated with reduced hospitalisation</w:t>
      </w:r>
      <w:r w:rsidR="0042FBE7" w:rsidRPr="00445B8B">
        <w:t xml:space="preserve"> and care provision that aligns with care recipient preferences</w:t>
      </w:r>
      <w:r w:rsidR="7EE0E2F6" w:rsidRPr="00517432">
        <w:rPr>
          <w:rStyle w:val="EndnoteReference"/>
        </w:rPr>
        <w:t>.</w:t>
      </w:r>
      <w:r w:rsidR="009253DC">
        <w:rPr>
          <w:rFonts w:ascii="ZWAdobeF" w:hAnsi="ZWAdobeF" w:cs="ZWAdobeF"/>
          <w:color w:val="auto"/>
          <w:sz w:val="2"/>
          <w:szCs w:val="2"/>
        </w:rPr>
        <w:t>182F</w:t>
      </w:r>
      <w:r w:rsidR="000B5AD1" w:rsidRPr="00517432">
        <w:rPr>
          <w:rStyle w:val="EndnoteReference"/>
        </w:rPr>
        <w:endnoteReference w:id="184"/>
      </w:r>
      <w:r w:rsidR="7AC53290" w:rsidRPr="00517432">
        <w:rPr>
          <w:rStyle w:val="EndnoteReference"/>
        </w:rPr>
        <w:t xml:space="preserve"> </w:t>
      </w:r>
      <w:r w:rsidR="009253DC">
        <w:rPr>
          <w:rFonts w:ascii="ZWAdobeF" w:hAnsi="ZWAdobeF" w:cs="ZWAdobeF"/>
          <w:color w:val="auto"/>
          <w:sz w:val="2"/>
          <w:szCs w:val="2"/>
        </w:rPr>
        <w:t>183F</w:t>
      </w:r>
      <w:r w:rsidR="000B5AD1" w:rsidRPr="00517432">
        <w:rPr>
          <w:rStyle w:val="EndnoteReference"/>
        </w:rPr>
        <w:endnoteReference w:id="185"/>
      </w:r>
      <w:r w:rsidR="7AC53290" w:rsidRPr="00517432">
        <w:rPr>
          <w:rStyle w:val="EndnoteReference"/>
        </w:rPr>
        <w:t xml:space="preserve"> </w:t>
      </w:r>
      <w:r w:rsidR="009253DC">
        <w:rPr>
          <w:rFonts w:ascii="ZWAdobeF" w:hAnsi="ZWAdobeF" w:cs="ZWAdobeF"/>
          <w:color w:val="auto"/>
          <w:sz w:val="2"/>
          <w:szCs w:val="2"/>
        </w:rPr>
        <w:t>184F</w:t>
      </w:r>
      <w:r w:rsidR="000B5AD1" w:rsidRPr="00517432">
        <w:rPr>
          <w:rStyle w:val="EndnoteReference"/>
        </w:rPr>
        <w:endnoteReference w:id="186"/>
      </w:r>
      <w:r w:rsidR="7AC53290" w:rsidRPr="189D3658">
        <w:rPr>
          <w:rStyle w:val="EndnoteReference"/>
        </w:rPr>
        <w:t xml:space="preserve"> </w:t>
      </w:r>
      <w:r w:rsidR="009253DC">
        <w:rPr>
          <w:rFonts w:ascii="ZWAdobeF" w:hAnsi="ZWAdobeF" w:cs="ZWAdobeF"/>
          <w:color w:val="auto"/>
          <w:sz w:val="2"/>
          <w:szCs w:val="2"/>
        </w:rPr>
        <w:t>185F</w:t>
      </w:r>
      <w:r w:rsidR="000B5AD1" w:rsidRPr="189D3658">
        <w:rPr>
          <w:rStyle w:val="EndnoteReference"/>
        </w:rPr>
        <w:endnoteReference w:id="187"/>
      </w:r>
    </w:p>
    <w:p w14:paraId="01FFFB19" w14:textId="67BCF005" w:rsidR="00E54F84" w:rsidRPr="00445B8B" w:rsidRDefault="00705AB3" w:rsidP="00314F78">
      <w:pPr>
        <w:pStyle w:val="Caption"/>
      </w:pPr>
      <w:r w:rsidRPr="00445B8B">
        <w:lastRenderedPageBreak/>
        <w:t>FIGURE </w:t>
      </w:r>
      <w:r w:rsidR="00531A57" w:rsidRPr="00445B8B">
        <w:fldChar w:fldCharType="begin"/>
      </w:r>
      <w:r w:rsidR="00531A57" w:rsidRPr="00445B8B">
        <w:instrText>SEQ Figure \* ARABIC</w:instrText>
      </w:r>
      <w:r w:rsidR="00531A57" w:rsidRPr="00445B8B">
        <w:fldChar w:fldCharType="separate"/>
      </w:r>
      <w:r w:rsidR="003A30D7">
        <w:rPr>
          <w:noProof/>
        </w:rPr>
        <w:t>43</w:t>
      </w:r>
      <w:r w:rsidR="00531A57" w:rsidRPr="00445B8B">
        <w:fldChar w:fldCharType="end"/>
      </w:r>
      <w:r w:rsidRPr="00445B8B">
        <w:t>: PREVENTING AVOIDABLE HOSPITALISATION</w:t>
      </w:r>
    </w:p>
    <w:p w14:paraId="5E16458C" w14:textId="76813E66" w:rsidR="007A48CE" w:rsidRPr="007A48CE" w:rsidRDefault="00213DD7" w:rsidP="00314F78">
      <w:r>
        <w:rPr>
          <w:noProof/>
        </w:rPr>
        <w:drawing>
          <wp:inline distT="0" distB="0" distL="0" distR="0" wp14:anchorId="75A00FD6" wp14:editId="4EAB35A6">
            <wp:extent cx="9376410" cy="5218430"/>
            <wp:effectExtent l="0" t="0" r="0" b="0"/>
            <wp:docPr id="1860" name="Picture 1860" descr="P9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P994#yIS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376410" cy="5218430"/>
                    </a:xfrm>
                    <a:prstGeom prst="rect">
                      <a:avLst/>
                    </a:prstGeom>
                    <a:noFill/>
                  </pic:spPr>
                </pic:pic>
              </a:graphicData>
            </a:graphic>
          </wp:inline>
        </w:drawing>
      </w:r>
    </w:p>
    <w:p w14:paraId="4E2E4AAE" w14:textId="4CB6E6A3" w:rsidR="00CE29F4" w:rsidRPr="002765D3" w:rsidRDefault="00CE29F4" w:rsidP="00314F78">
      <w:pPr>
        <w:sectPr w:rsidR="00CE29F4" w:rsidRPr="002765D3" w:rsidSect="001F0906">
          <w:pgSz w:w="16838" w:h="11906" w:orient="landscape" w:code="9"/>
          <w:pgMar w:top="1134" w:right="1134" w:bottom="1134" w:left="1134" w:header="567" w:footer="567" w:gutter="0"/>
          <w:cols w:space="708"/>
          <w:docGrid w:linePitch="360"/>
        </w:sectPr>
      </w:pPr>
    </w:p>
    <w:p w14:paraId="60F3C2E9" w14:textId="101A430F" w:rsidR="00CE29F4" w:rsidRPr="00AD045C" w:rsidRDefault="3DC1AEFE" w:rsidP="00314F78">
      <w:r w:rsidRPr="00AD045C">
        <w:lastRenderedPageBreak/>
        <w:t xml:space="preserve">The checklist below will help assess care recipients who are at risk of hospitalisation and identify support and prevention strategies to </w:t>
      </w:r>
      <w:r w:rsidR="09FC2347" w:rsidRPr="00AD045C">
        <w:t xml:space="preserve">reduce the risk of </w:t>
      </w:r>
      <w:r w:rsidR="1A5E93C5" w:rsidRPr="00AD045C">
        <w:t>avoidable</w:t>
      </w:r>
      <w:r w:rsidRPr="00AD045C">
        <w:t xml:space="preserve"> hospitalisation.</w:t>
      </w:r>
    </w:p>
    <w:p w14:paraId="44D9FE3E" w14:textId="07C0B82A" w:rsidR="00DA2FD2" w:rsidRPr="00445B8B" w:rsidRDefault="00705AB3" w:rsidP="00314F78">
      <w:pPr>
        <w:pStyle w:val="Caption"/>
      </w:pPr>
      <w:r w:rsidRPr="00445B8B">
        <w:t>FIGURE </w:t>
      </w:r>
      <w:r w:rsidR="178BD716" w:rsidRPr="00445B8B">
        <w:fldChar w:fldCharType="begin"/>
      </w:r>
      <w:r w:rsidR="178BD716" w:rsidRPr="00445B8B">
        <w:instrText>SEQ Figure \* ARABIC</w:instrText>
      </w:r>
      <w:r w:rsidR="178BD716" w:rsidRPr="00445B8B">
        <w:fldChar w:fldCharType="separate"/>
      </w:r>
      <w:r w:rsidR="003A30D7">
        <w:rPr>
          <w:noProof/>
        </w:rPr>
        <w:t>44</w:t>
      </w:r>
      <w:r w:rsidR="178BD716" w:rsidRPr="00445B8B">
        <w:fldChar w:fldCharType="end"/>
      </w:r>
      <w:r w:rsidRPr="00445B8B">
        <w:t>: CHECKLIST FOR THE PREVENTION OF AVOIDABLE HOSPITALISATION</w:t>
      </w:r>
    </w:p>
    <w:p w14:paraId="0B7F07BB" w14:textId="0F0131EF" w:rsidR="00D65A8C" w:rsidRPr="002765D3" w:rsidRDefault="00A8314B" w:rsidP="00314F78">
      <w:pPr>
        <w:pStyle w:val="ChecklistHeading"/>
        <w:sectPr w:rsidR="00D65A8C" w:rsidRPr="002765D3" w:rsidSect="00742407">
          <w:headerReference w:type="even" r:id="rId224"/>
          <w:headerReference w:type="default" r:id="rId225"/>
          <w:headerReference w:type="first" r:id="rId226"/>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58262" behindDoc="0" locked="0" layoutInCell="1" allowOverlap="1" wp14:anchorId="4A897921" wp14:editId="284A6ABF">
            <wp:simplePos x="0" y="0"/>
            <wp:positionH relativeFrom="column">
              <wp:posOffset>-158115</wp:posOffset>
            </wp:positionH>
            <wp:positionV relativeFrom="paragraph">
              <wp:posOffset>291465</wp:posOffset>
            </wp:positionV>
            <wp:extent cx="539496" cy="540000"/>
            <wp:effectExtent l="0" t="0" r="0" b="0"/>
            <wp:wrapSquare wrapText="bothSides"/>
            <wp:docPr id="89" name="Picture 13" descr="P998#y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3" descr="P998#y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D65A8C" w:rsidRPr="002765D3">
        <w:t xml:space="preserve">Checklist for </w:t>
      </w:r>
      <w:r w:rsidR="00D15A4A">
        <w:t xml:space="preserve">the </w:t>
      </w:r>
      <w:r w:rsidR="00F24CEC">
        <w:t>prevention of avoidable hospitalisation</w:t>
      </w:r>
    </w:p>
    <w:p w14:paraId="0239784A" w14:textId="620FB0DE" w:rsidR="009B64D4" w:rsidRPr="002765D3" w:rsidRDefault="009B64D4" w:rsidP="00314F78">
      <w:pPr>
        <w:pStyle w:val="TableHeader"/>
      </w:pPr>
      <w:r>
        <w:t>Use a s</w:t>
      </w:r>
      <w:r w:rsidRPr="002765D3">
        <w:t xml:space="preserve">ystems </w:t>
      </w:r>
      <w:r>
        <w:t>a</w:t>
      </w:r>
      <w:r w:rsidRPr="002765D3">
        <w:t>pproach</w:t>
      </w:r>
    </w:p>
    <w:p w14:paraId="71C860DB" w14:textId="77777777" w:rsidR="009B64D4" w:rsidRPr="007E438E" w:rsidRDefault="02AE6BFF" w:rsidP="00314F78">
      <w:pPr>
        <w:pStyle w:val="ListBullet"/>
      </w:pPr>
      <w:r w:rsidRPr="189D3658">
        <w:t>Routinely check and monitor risk factors for hospitalisation.</w:t>
      </w:r>
    </w:p>
    <w:p w14:paraId="2F38B7AF" w14:textId="77777777" w:rsidR="009B64D4" w:rsidRPr="007E438E" w:rsidRDefault="02AE6BFF" w:rsidP="00314F78">
      <w:pPr>
        <w:pStyle w:val="ListBullet"/>
      </w:pPr>
      <w:r w:rsidRPr="189D3658">
        <w:t>Ensure appropriate management strategies are in place to optimise health and wellbeing.</w:t>
      </w:r>
    </w:p>
    <w:p w14:paraId="2DEB8460" w14:textId="77777777" w:rsidR="009B64D4" w:rsidRPr="007E438E" w:rsidRDefault="009B64D4" w:rsidP="00314F78">
      <w:pPr>
        <w:pStyle w:val="ListBullet"/>
      </w:pPr>
      <w:r w:rsidRPr="007E438E">
        <w:t>Provide collaborative multidisciplinary care.</w:t>
      </w:r>
    </w:p>
    <w:p w14:paraId="3F421B82" w14:textId="7D0F4115" w:rsidR="009B64D4" w:rsidRPr="002765D3" w:rsidRDefault="00A8314B" w:rsidP="00314F78">
      <w:pPr>
        <w:pStyle w:val="ListBullet"/>
      </w:pPr>
      <w:r w:rsidRPr="002765D3">
        <w:rPr>
          <w:noProof/>
        </w:rPr>
        <w:drawing>
          <wp:anchor distT="0" distB="0" distL="114300" distR="114300" simplePos="0" relativeHeight="251658265" behindDoc="0" locked="0" layoutInCell="1" allowOverlap="1" wp14:anchorId="49BB920E" wp14:editId="0610C7A0">
            <wp:simplePos x="0" y="0"/>
            <wp:positionH relativeFrom="column">
              <wp:posOffset>2515870</wp:posOffset>
            </wp:positionH>
            <wp:positionV relativeFrom="paragraph">
              <wp:posOffset>659765</wp:posOffset>
            </wp:positionV>
            <wp:extent cx="539115" cy="539750"/>
            <wp:effectExtent l="0" t="0" r="0" b="0"/>
            <wp:wrapSquare wrapText="bothSides"/>
            <wp:docPr id="92" name="Picture 16" descr="P1003#y2">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6" descr="P1003#y2">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58263" behindDoc="0" locked="0" layoutInCell="1" allowOverlap="1" wp14:anchorId="08B3B6F8" wp14:editId="4D40B2DF">
            <wp:simplePos x="0" y="0"/>
            <wp:positionH relativeFrom="margin">
              <wp:posOffset>-123825</wp:posOffset>
            </wp:positionH>
            <wp:positionV relativeFrom="paragraph">
              <wp:posOffset>774065</wp:posOffset>
            </wp:positionV>
            <wp:extent cx="539115" cy="539750"/>
            <wp:effectExtent l="0" t="0" r="0" b="0"/>
            <wp:wrapSquare wrapText="bothSides"/>
            <wp:docPr id="90" name="Picture 14" descr="P1003#y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4" descr="P1003#y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115" cy="539750"/>
                    </a:xfrm>
                    <a:prstGeom prst="rect">
                      <a:avLst/>
                    </a:prstGeom>
                  </pic:spPr>
                </pic:pic>
              </a:graphicData>
            </a:graphic>
          </wp:anchor>
        </w:drawing>
      </w:r>
      <w:r w:rsidR="009B64D4" w:rsidRPr="007E438E">
        <w:t>Use integrated health information techno</w:t>
      </w:r>
      <w:r w:rsidR="009B64D4">
        <w:t>logy systems for improved communication and information sharing.</w:t>
      </w:r>
    </w:p>
    <w:p w14:paraId="6275D87F" w14:textId="579EC781" w:rsidR="009B64D4" w:rsidRPr="002765D3" w:rsidRDefault="009B64D4" w:rsidP="00314F78">
      <w:pPr>
        <w:pStyle w:val="TableHeader"/>
      </w:pPr>
      <w:r>
        <w:t>Deliver p</w:t>
      </w:r>
      <w:r w:rsidRPr="002765D3">
        <w:t xml:space="preserve">reventive </w:t>
      </w:r>
      <w:r>
        <w:t>c</w:t>
      </w:r>
      <w:r w:rsidRPr="002765D3">
        <w:t xml:space="preserve">are and </w:t>
      </w:r>
      <w:r>
        <w:t>t</w:t>
      </w:r>
      <w:r w:rsidRPr="002765D3">
        <w:t>reatment</w:t>
      </w:r>
    </w:p>
    <w:p w14:paraId="5DFF7DCA" w14:textId="77777777" w:rsidR="009B64D4" w:rsidRPr="002765D3" w:rsidRDefault="02AE6BFF" w:rsidP="00314F78">
      <w:pPr>
        <w:pStyle w:val="ListBullet"/>
      </w:pPr>
      <w:r w:rsidRPr="189D3658">
        <w:t>Coordinate timely vaccination.</w:t>
      </w:r>
    </w:p>
    <w:p w14:paraId="2D899FAD" w14:textId="77777777" w:rsidR="009B64D4" w:rsidRPr="002765D3" w:rsidRDefault="009B64D4" w:rsidP="00314F78">
      <w:pPr>
        <w:pStyle w:val="ListBullet"/>
      </w:pPr>
      <w:r>
        <w:t>Ensure preventive measures are in place to avoid acute episodes.</w:t>
      </w:r>
    </w:p>
    <w:p w14:paraId="13BF7BE7" w14:textId="77777777" w:rsidR="009B64D4" w:rsidRDefault="009B64D4" w:rsidP="00314F78">
      <w:pPr>
        <w:pStyle w:val="ListBullet"/>
      </w:pPr>
      <w:r>
        <w:t>Provide evidence-based care for chronic health conditions.</w:t>
      </w:r>
    </w:p>
    <w:p w14:paraId="1A7EBB7E" w14:textId="28B76051" w:rsidR="009B64D4" w:rsidRPr="00445B8B" w:rsidRDefault="00A8314B" w:rsidP="00314F78">
      <w:pPr>
        <w:pStyle w:val="ListBullet"/>
      </w:pPr>
      <w:r w:rsidRPr="002765D3">
        <w:rPr>
          <w:noProof/>
        </w:rPr>
        <w:drawing>
          <wp:anchor distT="0" distB="0" distL="114300" distR="114300" simplePos="0" relativeHeight="251658264" behindDoc="0" locked="0" layoutInCell="1" allowOverlap="1" wp14:anchorId="35FC1C72" wp14:editId="4DCF2AF8">
            <wp:simplePos x="0" y="0"/>
            <wp:positionH relativeFrom="column">
              <wp:posOffset>-694055</wp:posOffset>
            </wp:positionH>
            <wp:positionV relativeFrom="paragraph">
              <wp:posOffset>612140</wp:posOffset>
            </wp:positionV>
            <wp:extent cx="539115" cy="539750"/>
            <wp:effectExtent l="0" t="0" r="0" b="0"/>
            <wp:wrapSquare wrapText="bothSides"/>
            <wp:docPr id="91" name="Picture 15" descr="P1008#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5" descr="P1008#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009B64D4" w:rsidRPr="67FEE58B">
        <w:rPr>
          <w:lang w:eastAsia="en-AU"/>
        </w:rPr>
        <w:t>Undertake collaborative care planning ensuring alignment with care recipient’s needs and preferences for management.</w:t>
      </w:r>
    </w:p>
    <w:p w14:paraId="0AEC5E04" w14:textId="33BB04E4" w:rsidR="009B64D4" w:rsidRPr="002765D3" w:rsidRDefault="02AE6BFF" w:rsidP="00314F78">
      <w:pPr>
        <w:pStyle w:val="TableHeader"/>
      </w:pPr>
      <w:r w:rsidRPr="189D3658">
        <w:t>Provide appropriate resourcing</w:t>
      </w:r>
    </w:p>
    <w:p w14:paraId="28DF7EFE" w14:textId="77777777" w:rsidR="009B64D4" w:rsidRPr="002765D3" w:rsidRDefault="02AE6BFF" w:rsidP="00314F78">
      <w:pPr>
        <w:pStyle w:val="ListBullet"/>
      </w:pPr>
      <w:r w:rsidRPr="189D3658">
        <w:t>Enable access to skilled staff at appropriate times.</w:t>
      </w:r>
    </w:p>
    <w:p w14:paraId="2117B150" w14:textId="77777777" w:rsidR="009B64D4" w:rsidRPr="002765D3" w:rsidRDefault="02AE6BFF" w:rsidP="00314F78">
      <w:pPr>
        <w:pStyle w:val="ListBullet"/>
      </w:pPr>
      <w:r w:rsidRPr="189D3658">
        <w:t>Ensure appropriate equipment and resources are available.</w:t>
      </w:r>
    </w:p>
    <w:p w14:paraId="24FA1824" w14:textId="77777777" w:rsidR="009B64D4" w:rsidRPr="002765D3" w:rsidRDefault="009B64D4" w:rsidP="00314F78">
      <w:pPr>
        <w:pStyle w:val="ListBullet"/>
      </w:pPr>
      <w:r>
        <w:t>Establish suitable programs to access hospital in-reach/outreach services.</w:t>
      </w:r>
    </w:p>
    <w:p w14:paraId="297CDAE5" w14:textId="77777777" w:rsidR="009B64D4" w:rsidRPr="002765D3" w:rsidRDefault="009B64D4" w:rsidP="00314F78">
      <w:pPr>
        <w:pStyle w:val="ListBullet"/>
      </w:pPr>
      <w:r>
        <w:t>Develop and use collaborative networks using local primary healthcare providers.</w:t>
      </w:r>
    </w:p>
    <w:p w14:paraId="35E65769" w14:textId="5A863749" w:rsidR="009B64D4" w:rsidRPr="002765D3" w:rsidRDefault="009B64D4" w:rsidP="00314F78">
      <w:pPr>
        <w:pStyle w:val="ListBullet"/>
      </w:pPr>
      <w:r>
        <w:t>Provide access to relevant specialist care, including via outpatient services and telehealth.</w:t>
      </w:r>
    </w:p>
    <w:p w14:paraId="7CB97A5A" w14:textId="59C1B970" w:rsidR="009B64D4" w:rsidRPr="002765D3" w:rsidRDefault="009B64D4" w:rsidP="00314F78">
      <w:pPr>
        <w:pStyle w:val="TableHeader"/>
      </w:pPr>
      <w:r>
        <w:t>Undertake</w:t>
      </w:r>
      <w:r w:rsidRPr="002765D3">
        <w:t xml:space="preserve"> </w:t>
      </w:r>
      <w:r>
        <w:t>collaborative</w:t>
      </w:r>
      <w:r w:rsidRPr="002765D3">
        <w:t xml:space="preserve"> care planning</w:t>
      </w:r>
    </w:p>
    <w:p w14:paraId="7297CD8C" w14:textId="77777777" w:rsidR="009B64D4" w:rsidRPr="002765D3" w:rsidRDefault="009B64D4" w:rsidP="00314F78">
      <w:pPr>
        <w:pStyle w:val="ListBullet"/>
      </w:pPr>
      <w:r>
        <w:t>Document all relevant information clearly in an individual care plan, providing clarity for all care providers and decision makers.</w:t>
      </w:r>
    </w:p>
    <w:p w14:paraId="44B561A1" w14:textId="77777777" w:rsidR="009B64D4" w:rsidRPr="002765D3" w:rsidRDefault="009B64D4" w:rsidP="00314F78">
      <w:pPr>
        <w:pStyle w:val="ListBullet"/>
      </w:pPr>
      <w:r>
        <w:t>Provide care and documented interventions as per care plan to meet care needs.</w:t>
      </w:r>
    </w:p>
    <w:p w14:paraId="7D6F3B5F" w14:textId="77777777" w:rsidR="009B64D4" w:rsidRDefault="009B64D4" w:rsidP="00314F78">
      <w:pPr>
        <w:pStyle w:val="ListBullet"/>
      </w:pPr>
      <w:r>
        <w:t>Regularly review (quarterly or when health status changes) care plan with care recipient, their family or representative.</w:t>
      </w:r>
    </w:p>
    <w:p w14:paraId="2A4AA652" w14:textId="2563224C" w:rsidR="00DA2FD2" w:rsidRPr="002765D3" w:rsidRDefault="02AE6BFF" w:rsidP="00314F78">
      <w:pPr>
        <w:pStyle w:val="ListBullet"/>
      </w:pPr>
      <w:r w:rsidRPr="189D3658">
        <w:t>Identify and document service and care recipient expectations.</w:t>
      </w:r>
    </w:p>
    <w:p w14:paraId="0CDB6C16" w14:textId="77777777" w:rsidR="00DA2FD2" w:rsidRPr="002765D3" w:rsidRDefault="00DA2FD2" w:rsidP="00314F78">
      <w:pPr>
        <w:sectPr w:rsidR="00DA2FD2" w:rsidRPr="002765D3" w:rsidSect="009B64D4">
          <w:headerReference w:type="even" r:id="rId227"/>
          <w:headerReference w:type="default" r:id="rId228"/>
          <w:headerReference w:type="first" r:id="rId229"/>
          <w:endnotePr>
            <w:numFmt w:val="decimal"/>
          </w:endnotePr>
          <w:type w:val="continuous"/>
          <w:pgSz w:w="11906" w:h="16838" w:code="9"/>
          <w:pgMar w:top="1701" w:right="1134" w:bottom="1134" w:left="2098" w:header="567" w:footer="567" w:gutter="0"/>
          <w:cols w:num="2" w:space="1418"/>
          <w:docGrid w:linePitch="360"/>
        </w:sectPr>
      </w:pPr>
    </w:p>
    <w:p w14:paraId="4AEF48D1" w14:textId="5D5D76E0" w:rsidR="00CE29F4" w:rsidRPr="00445B8B" w:rsidRDefault="00CE29F4" w:rsidP="0059348C">
      <w:pPr>
        <w:pStyle w:val="Heading2"/>
      </w:pPr>
      <w:r w:rsidRPr="00445B8B">
        <w:t xml:space="preserve">Quality improvement for </w:t>
      </w:r>
      <w:r w:rsidR="002C673E" w:rsidRPr="00445B8B">
        <w:t>h</w:t>
      </w:r>
      <w:r w:rsidRPr="00445B8B">
        <w:t>ospitalisation</w:t>
      </w:r>
    </w:p>
    <w:p w14:paraId="58C9539D" w14:textId="5FFFE4A4" w:rsidR="00CE29F4" w:rsidRPr="00445B8B" w:rsidRDefault="00CE29F4" w:rsidP="00314F78">
      <w:r w:rsidRPr="00445B8B">
        <w:t xml:space="preserve">Quality improvement can help providers increase </w:t>
      </w:r>
      <w:r w:rsidR="002331E0" w:rsidRPr="00445B8B">
        <w:t xml:space="preserve">the </w:t>
      </w:r>
      <w:r w:rsidRPr="00445B8B">
        <w:t xml:space="preserve">quality of </w:t>
      </w:r>
      <w:r w:rsidR="002331E0" w:rsidRPr="00445B8B">
        <w:t>care</w:t>
      </w:r>
      <w:r w:rsidRPr="00445B8B">
        <w:t xml:space="preserve"> for care recipients </w:t>
      </w:r>
      <w:r w:rsidR="1F9FB060" w:rsidRPr="00445B8B">
        <w:t xml:space="preserve">who are </w:t>
      </w:r>
      <w:r w:rsidR="0A8D10D1" w:rsidRPr="00445B8B">
        <w:t>at elevated</w:t>
      </w:r>
      <w:r w:rsidR="002331E0" w:rsidRPr="00445B8B">
        <w:t xml:space="preserve"> risk of </w:t>
      </w:r>
      <w:r w:rsidR="00F24CEC" w:rsidRPr="00445B8B">
        <w:t>avoidable</w:t>
      </w:r>
      <w:r w:rsidR="002331E0" w:rsidRPr="00445B8B">
        <w:t xml:space="preserve"> hospitalisation</w:t>
      </w:r>
      <w:r w:rsidRPr="00445B8B">
        <w:t xml:space="preserve">. Quality improvement activities should be ongoing and part of business-as-usual </w:t>
      </w:r>
      <w:r w:rsidR="00550D72" w:rsidRPr="00445B8B">
        <w:t xml:space="preserve">activities </w:t>
      </w:r>
      <w:r w:rsidRPr="00445B8B">
        <w:t>for providers.</w:t>
      </w:r>
    </w:p>
    <w:p w14:paraId="3E999822" w14:textId="1D2BDFDF" w:rsidR="00CE29F4" w:rsidRPr="00445B8B" w:rsidRDefault="00CE29F4" w:rsidP="00314F78">
      <w:r w:rsidRPr="00445B8B">
        <w:t xml:space="preserve">The QI Program will help prompt when a specific quality improvement activity should be undertaken. It is important to review the QI Program data reports through </w:t>
      </w:r>
      <w:r w:rsidR="00B26274" w:rsidRPr="00445B8B">
        <w:t xml:space="preserve">GPMS </w:t>
      </w:r>
      <w:r w:rsidRPr="00445B8B">
        <w:t xml:space="preserve">and compare against national </w:t>
      </w:r>
      <w:r w:rsidR="0084075D" w:rsidRPr="00445B8B">
        <w:t>averages</w:t>
      </w:r>
      <w:r w:rsidRPr="00445B8B">
        <w:t xml:space="preserve"> and other services to understand where quality improvement activities should be focused.</w:t>
      </w:r>
    </w:p>
    <w:p w14:paraId="295EB591" w14:textId="3446830C" w:rsidR="003F173B" w:rsidRPr="004A09AA" w:rsidRDefault="3DC1AEFE" w:rsidP="00A8314B">
      <w:r w:rsidRPr="00445B8B">
        <w:t xml:space="preserve">The </w:t>
      </w:r>
      <w:r w:rsidRPr="00445B8B">
        <w:rPr>
          <w:rStyle w:val="Strong"/>
        </w:rPr>
        <w:t xml:space="preserve">Plan-Do-Check-Act tool </w:t>
      </w:r>
      <w:r w:rsidR="006D63F3" w:rsidRPr="00445B8B">
        <w:rPr>
          <w:rStyle w:val="Strong"/>
        </w:rPr>
        <w:t>(</w:t>
      </w:r>
      <w:r w:rsidR="006D63F3" w:rsidRPr="00445B8B">
        <w:t xml:space="preserve">section 2.3) </w:t>
      </w:r>
      <w:r w:rsidRPr="00445B8B">
        <w:t xml:space="preserve">is a useful tool to plan, deliver and monitor quality improvement activities focused on </w:t>
      </w:r>
      <w:r w:rsidR="1DD74A9F" w:rsidRPr="00445B8B">
        <w:t xml:space="preserve">reducing </w:t>
      </w:r>
      <w:r w:rsidR="1A5E93C5" w:rsidRPr="00445B8B">
        <w:t>avoidable</w:t>
      </w:r>
      <w:r w:rsidR="1DD74A9F" w:rsidRPr="00445B8B">
        <w:t xml:space="preserve"> hospital admissions</w:t>
      </w:r>
      <w:r w:rsidRPr="00445B8B">
        <w:t>.</w:t>
      </w:r>
      <w:r w:rsidR="00CE29F4" w:rsidRPr="004A09AA">
        <w:br w:type="page"/>
      </w:r>
    </w:p>
    <w:p w14:paraId="7D755322" w14:textId="636CB478" w:rsidR="00CE29F4" w:rsidRPr="00445B8B" w:rsidRDefault="3DC1AEFE" w:rsidP="0059348C">
      <w:pPr>
        <w:pStyle w:val="Heading2"/>
      </w:pPr>
      <w:r w:rsidRPr="00445B8B">
        <w:lastRenderedPageBreak/>
        <w:t>Example tools, guidance and resources to support continuous quality improvement</w:t>
      </w:r>
    </w:p>
    <w:p w14:paraId="5D7B4310" w14:textId="68A29979" w:rsidR="00724761" w:rsidRPr="00445B8B" w:rsidRDefault="638A5D7D" w:rsidP="00314F78">
      <w:pPr>
        <w:pStyle w:val="ListBullet"/>
      </w:pPr>
      <w:r w:rsidRPr="00445B8B">
        <w:t xml:space="preserve">Engage with your local health service and/or Primary Health Network to participate in suitable programs e.g. hospital in the home, aged care rapid response teams, in-reach/outreach specialist services, integrated care programs, paramedic extended care options, falls prevention programs. Examples include, </w:t>
      </w:r>
      <w:hyperlink r:id="rId230" w:history="1">
        <w:r w:rsidRPr="00445B8B">
          <w:rPr>
            <w:rStyle w:val="Hyperlink"/>
          </w:rPr>
          <w:t>Aged Care Emergency (ACE) pilot program for the provision of Extended Care Paramedic (ECP) responses to Residential Aged Care Facilities</w:t>
        </w:r>
      </w:hyperlink>
      <w:r w:rsidRPr="00445B8B">
        <w:t>.</w:t>
      </w:r>
    </w:p>
    <w:p w14:paraId="4A05070B" w14:textId="6B7B49A3" w:rsidR="000E7F02" w:rsidRPr="00445B8B" w:rsidRDefault="00724761" w:rsidP="00314F78">
      <w:pPr>
        <w:pStyle w:val="ListBullet"/>
      </w:pPr>
      <w:hyperlink r:id="rId231" w:anchor=":~:text=PHNs%20will%20help%20guide%20and,maintaining%20residents'%20online%20medical%20records" w:history="1">
        <w:r w:rsidRPr="00445B8B">
          <w:rPr>
            <w:rStyle w:val="Hyperlink"/>
          </w:rPr>
          <w:t>Engage with your Primary Health Network</w:t>
        </w:r>
      </w:hyperlink>
      <w:r w:rsidRPr="00445B8B">
        <w:t xml:space="preserve"> for support to develop afterhours care plans</w:t>
      </w:r>
    </w:p>
    <w:p w14:paraId="3D15AD2B" w14:textId="6DAB5790" w:rsidR="00724761" w:rsidRPr="00445B8B" w:rsidRDefault="00724761" w:rsidP="00314F78">
      <w:pPr>
        <w:pStyle w:val="ListBullet"/>
      </w:pPr>
      <w:hyperlink r:id="rId232" w:history="1">
        <w:r w:rsidRPr="00445B8B">
          <w:rPr>
            <w:rStyle w:val="Hyperlink"/>
          </w:rPr>
          <w:t>Looking at how to reduce hospitalisation in aged care facilities by improving aged care support services</w:t>
        </w:r>
      </w:hyperlink>
      <w:r w:rsidRPr="00445B8B">
        <w:t xml:space="preserve"> — news article providing six areas to review when trying to reduce hospitalisation in aged care — Aged Care Prepare</w:t>
      </w:r>
    </w:p>
    <w:p w14:paraId="2E5534D6" w14:textId="614B16A3" w:rsidR="000E7F02" w:rsidRPr="00445B8B" w:rsidRDefault="000E7F02" w:rsidP="00314F78">
      <w:pPr>
        <w:pStyle w:val="ListBullet"/>
      </w:pPr>
      <w:hyperlink r:id="rId233" w:history="1">
        <w:r w:rsidRPr="00445B8B">
          <w:rPr>
            <w:rStyle w:val="Hyperlink"/>
          </w:rPr>
          <w:t>Agency for Healthcare Research and Quality</w:t>
        </w:r>
      </w:hyperlink>
      <w:r w:rsidRPr="00445B8B">
        <w:t xml:space="preserve"> — online training modules for improving patient safety in long term care facilities (USA based)</w:t>
      </w:r>
    </w:p>
    <w:p w14:paraId="15D8BE33" w14:textId="401EDBAF" w:rsidR="000E7F02" w:rsidRPr="00445B8B" w:rsidRDefault="000E7F02" w:rsidP="00314F78">
      <w:pPr>
        <w:pStyle w:val="ListBullet"/>
      </w:pPr>
      <w:r w:rsidRPr="00445B8B">
        <w:t xml:space="preserve">Advance care planning resources — planning documents, training and education resources are available at </w:t>
      </w:r>
      <w:hyperlink r:id="rId234" w:history="1">
        <w:r w:rsidRPr="00445B8B">
          <w:rPr>
            <w:rStyle w:val="Hyperlink"/>
          </w:rPr>
          <w:t>Advanced Care Planning Australia</w:t>
        </w:r>
      </w:hyperlink>
      <w:r w:rsidRPr="00445B8B">
        <w:t xml:space="preserve"> or </w:t>
      </w:r>
      <w:hyperlink r:id="rId235" w:history="1">
        <w:r w:rsidRPr="00445B8B">
          <w:rPr>
            <w:rStyle w:val="Hyperlink"/>
          </w:rPr>
          <w:t>End of Life Directions for Aged Care</w:t>
        </w:r>
      </w:hyperlink>
    </w:p>
    <w:p w14:paraId="370576CE" w14:textId="7ADEAFBF" w:rsidR="000E7F02" w:rsidRPr="00445B8B" w:rsidRDefault="000E7F02" w:rsidP="00314F78">
      <w:pPr>
        <w:pStyle w:val="ListBullet"/>
      </w:pPr>
      <w:hyperlink r:id="rId236" w:history="1">
        <w:r w:rsidRPr="00445B8B">
          <w:rPr>
            <w:rStyle w:val="Hyperlink"/>
          </w:rPr>
          <w:t>Study identifies how to minimise resident infection-related hospitalisations</w:t>
        </w:r>
      </w:hyperlink>
      <w:r w:rsidRPr="00445B8B">
        <w:t xml:space="preserve"> — news article describing Monash University study on prevention of infection related hospitalisations — Australian Ageing Agenda</w:t>
      </w:r>
    </w:p>
    <w:p w14:paraId="2DA9D0C0" w14:textId="4C093729" w:rsidR="00CE29F4" w:rsidRPr="00445B8B" w:rsidRDefault="00F14F18" w:rsidP="00314F78">
      <w:pPr>
        <w:pStyle w:val="ListBullet"/>
      </w:pPr>
      <w:hyperlink r:id="rId237" w:history="1">
        <w:r w:rsidRPr="00445B8B">
          <w:rPr>
            <w:rStyle w:val="Hyperlink"/>
          </w:rPr>
          <w:t>A guide to the potentially preventable hospitalisations indicator in Australia</w:t>
        </w:r>
      </w:hyperlink>
      <w:r w:rsidRPr="00445B8B">
        <w:t xml:space="preserve"> </w:t>
      </w:r>
      <w:r w:rsidR="00EB2481" w:rsidRPr="00445B8B">
        <w:t xml:space="preserve">— </w:t>
      </w:r>
      <w:r w:rsidR="00CE29F4" w:rsidRPr="00445B8B">
        <w:t>guid</w:t>
      </w:r>
      <w:r w:rsidRPr="00445B8B">
        <w:t>e providing information</w:t>
      </w:r>
      <w:r w:rsidR="00CE29F4" w:rsidRPr="00445B8B">
        <w:t xml:space="preserve"> on </w:t>
      </w:r>
      <w:r w:rsidR="00433CC3" w:rsidRPr="00445B8B">
        <w:t xml:space="preserve">potentially </w:t>
      </w:r>
      <w:r w:rsidR="00CE29F4" w:rsidRPr="00445B8B">
        <w:t>prevent</w:t>
      </w:r>
      <w:r w:rsidR="00433CC3" w:rsidRPr="00445B8B">
        <w:t>able</w:t>
      </w:r>
      <w:r w:rsidR="00CE29F4" w:rsidRPr="00445B8B">
        <w:t xml:space="preserve"> hospital admissions </w:t>
      </w:r>
      <w:r w:rsidRPr="00445B8B">
        <w:t xml:space="preserve">— </w:t>
      </w:r>
      <w:r w:rsidR="00CE29F4" w:rsidRPr="00445B8B">
        <w:t>A</w:t>
      </w:r>
      <w:r w:rsidRPr="00445B8B">
        <w:t>ustralian Commission on Safety and Quality in Health Care</w:t>
      </w:r>
    </w:p>
    <w:p w14:paraId="66BA19A2" w14:textId="643A387E" w:rsidR="00CE29F4" w:rsidRPr="00445B8B" w:rsidRDefault="00C8064E" w:rsidP="00314F78">
      <w:pPr>
        <w:pStyle w:val="ListBullet"/>
      </w:pPr>
      <w:hyperlink r:id="rId238" w:history="1">
        <w:r w:rsidRPr="00445B8B">
          <w:rPr>
            <w:rStyle w:val="Hyperlink"/>
          </w:rPr>
          <w:t>Disparities in potentially preventable hospitalisations across Australia, 2020-21 to 2021-22</w:t>
        </w:r>
      </w:hyperlink>
      <w:r w:rsidR="00EB2481" w:rsidRPr="00445B8B">
        <w:t xml:space="preserve"> — </w:t>
      </w:r>
      <w:r w:rsidR="00F14F18" w:rsidRPr="00445B8B">
        <w:t xml:space="preserve">report providing </w:t>
      </w:r>
      <w:r w:rsidR="00CE29F4" w:rsidRPr="00445B8B">
        <w:t>information and data on hospital admissions and differences between demographic groups</w:t>
      </w:r>
      <w:r w:rsidR="00F14F18" w:rsidRPr="00445B8B">
        <w:t xml:space="preserve"> — Australian Institute of Health and Welfare</w:t>
      </w:r>
    </w:p>
    <w:p w14:paraId="37C46ADC" w14:textId="67AB933A" w:rsidR="00CE29F4" w:rsidRPr="00445B8B" w:rsidRDefault="00CE29F4" w:rsidP="00314F78">
      <w:pPr>
        <w:rPr>
          <w:rStyle w:val="Emphasis"/>
        </w:rPr>
      </w:pPr>
      <w:r w:rsidRPr="00445B8B">
        <w:rPr>
          <w:rStyle w:val="Emphasis"/>
        </w:rPr>
        <w:t>Some tools, guidance and resources may be updated over time; it is important to ensure you are looking at the most recent version.</w:t>
      </w:r>
    </w:p>
    <w:p w14:paraId="59F33522" w14:textId="77777777" w:rsidR="003670C1" w:rsidRPr="004A09AA" w:rsidRDefault="003670C1" w:rsidP="00314F78"/>
    <w:p w14:paraId="74D2F535" w14:textId="5B7F7035" w:rsidR="00445B8B" w:rsidRPr="004A09AA" w:rsidRDefault="00445B8B" w:rsidP="00314F78">
      <w:pPr>
        <w:sectPr w:rsidR="00445B8B" w:rsidRPr="004A09AA" w:rsidSect="00807FD7">
          <w:headerReference w:type="first" r:id="rId239"/>
          <w:footerReference w:type="first" r:id="rId240"/>
          <w:type w:val="continuous"/>
          <w:pgSz w:w="11906" w:h="16838" w:code="9"/>
          <w:pgMar w:top="1701" w:right="1134" w:bottom="1134" w:left="1134" w:header="567" w:footer="567" w:gutter="0"/>
          <w:cols w:space="708"/>
          <w:docGrid w:linePitch="360"/>
        </w:sectPr>
      </w:pPr>
    </w:p>
    <w:p w14:paraId="429D73E9" w14:textId="7BBA1AEB" w:rsidR="00607DE7" w:rsidRPr="00445B8B" w:rsidRDefault="00261777" w:rsidP="0059348C">
      <w:pPr>
        <w:pStyle w:val="Heading1"/>
      </w:pPr>
      <w:bookmarkStart w:id="64" w:name="_Toc193889898"/>
      <w:r>
        <w:rPr>
          <w:noProof/>
        </w:rPr>
        <w:lastRenderedPageBreak/>
        <w:drawing>
          <wp:anchor distT="0" distB="0" distL="114300" distR="114300" simplePos="0" relativeHeight="251658273" behindDoc="1" locked="0" layoutInCell="1" allowOverlap="1" wp14:anchorId="1972B864" wp14:editId="2A2C1E0E">
            <wp:simplePos x="0" y="0"/>
            <wp:positionH relativeFrom="page">
              <wp:posOffset>-136525</wp:posOffset>
            </wp:positionH>
            <wp:positionV relativeFrom="paragraph">
              <wp:posOffset>436616</wp:posOffset>
            </wp:positionV>
            <wp:extent cx="7704000" cy="1440000"/>
            <wp:effectExtent l="0" t="0" r="0" b="8255"/>
            <wp:wrapNone/>
            <wp:docPr id="584050863" name="Picture 5" descr="P10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50863" name="Picture 5" descr="P1037#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DE7" w:rsidRPr="00445B8B">
        <w:t>Workforce</w:t>
      </w:r>
      <w:bookmarkEnd w:id="64"/>
    </w:p>
    <w:p w14:paraId="291B7A36" w14:textId="71DB0E22" w:rsidR="0067687E" w:rsidRPr="002765D3" w:rsidRDefault="0067687E" w:rsidP="0067687E">
      <w:pPr>
        <w:pStyle w:val="Headerwhite"/>
      </w:pPr>
      <w:r w:rsidRPr="002765D3">
        <w:rPr>
          <w:noProof/>
        </w:rPr>
        <w:drawing>
          <wp:anchor distT="0" distB="0" distL="114300" distR="114300" simplePos="0" relativeHeight="251658261" behindDoc="0" locked="0" layoutInCell="1" allowOverlap="1" wp14:anchorId="55164EDA" wp14:editId="351A909C">
            <wp:simplePos x="0" y="0"/>
            <wp:positionH relativeFrom="margin">
              <wp:align>left</wp:align>
            </wp:positionH>
            <wp:positionV relativeFrom="paragraph">
              <wp:posOffset>217685</wp:posOffset>
            </wp:positionV>
            <wp:extent cx="1043305" cy="1043305"/>
            <wp:effectExtent l="0" t="0" r="4445" b="4445"/>
            <wp:wrapSquare wrapText="bothSides"/>
            <wp:docPr id="2091994682" name="Picture 244" descr="P10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2" name="Picture 244" descr="P1038#y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89D3658">
        <w:t>The aged care workforce is critical to providing quality services to meet the needs of older Australians. There are well established links between the capacity of aged care staff and the quality of care provided. Many older Australians, their families and representatives have reported that continuity of care is the critical element for care recipient wellbeing in residential aged care.</w:t>
      </w:r>
    </w:p>
    <w:p w14:paraId="22BD4F6C" w14:textId="10DF71E1" w:rsidR="00607DE7" w:rsidRPr="00445B8B" w:rsidRDefault="00607DE7" w:rsidP="0059348C">
      <w:pPr>
        <w:pStyle w:val="Heading2"/>
      </w:pPr>
      <w:r w:rsidRPr="00445B8B">
        <w:t>Overview of workforce</w:t>
      </w:r>
    </w:p>
    <w:p w14:paraId="52CFC708" w14:textId="5871CB7D" w:rsidR="00C53B75" w:rsidRPr="00445B8B" w:rsidRDefault="7DE4A122" w:rsidP="00314F78">
      <w:r w:rsidRPr="00445B8B">
        <w:t>Commonwealth-subsidised residential aged care services are expected to have ‘a workforce that is sufficient, and is skilled and qualified, to provide safe, respectful and quality care and services</w:t>
      </w:r>
      <w:r w:rsidR="00F20904" w:rsidRPr="00445B8B">
        <w:t>’</w:t>
      </w:r>
      <w:r w:rsidRPr="00445B8B">
        <w:t>.</w:t>
      </w:r>
      <w:r w:rsidR="009253DC">
        <w:rPr>
          <w:rFonts w:ascii="ZWAdobeF" w:hAnsi="ZWAdobeF" w:cs="ZWAdobeF"/>
          <w:color w:val="auto"/>
          <w:sz w:val="2"/>
          <w:szCs w:val="2"/>
        </w:rPr>
        <w:t>186F</w:t>
      </w:r>
      <w:r w:rsidR="00392098" w:rsidRPr="00445B8B">
        <w:endnoteReference w:id="188"/>
      </w:r>
    </w:p>
    <w:p w14:paraId="7FB45AAD" w14:textId="2098529A" w:rsidR="00973BBF" w:rsidRPr="00445B8B" w:rsidRDefault="77B0590B" w:rsidP="00314F78">
      <w:r w:rsidRPr="00445B8B">
        <w:t xml:space="preserve">The Royal Commission into Aged care Quality and Safety highlighted </w:t>
      </w:r>
      <w:r w:rsidR="327B405B" w:rsidRPr="00445B8B">
        <w:t xml:space="preserve">the significance of </w:t>
      </w:r>
      <w:r w:rsidR="2848AA68" w:rsidRPr="00445B8B">
        <w:t xml:space="preserve">workforce </w:t>
      </w:r>
      <w:r w:rsidRPr="00445B8B">
        <w:t xml:space="preserve">continuity </w:t>
      </w:r>
      <w:r w:rsidR="2848AA68" w:rsidRPr="00445B8B">
        <w:t>and stability to deliver high-quality</w:t>
      </w:r>
      <w:r w:rsidR="56BA8D92" w:rsidRPr="00445B8B">
        <w:t>,</w:t>
      </w:r>
      <w:r w:rsidR="2848AA68" w:rsidRPr="00445B8B">
        <w:t xml:space="preserve"> person-centred care.</w:t>
      </w:r>
      <w:r w:rsidR="009253DC">
        <w:rPr>
          <w:rFonts w:ascii="ZWAdobeF" w:hAnsi="ZWAdobeF" w:cs="ZWAdobeF"/>
          <w:color w:val="auto"/>
          <w:sz w:val="2"/>
          <w:szCs w:val="2"/>
        </w:rPr>
        <w:t>187F</w:t>
      </w:r>
      <w:r w:rsidR="009D6C73" w:rsidRPr="00445B8B">
        <w:rPr>
          <w:vertAlign w:val="superscript"/>
        </w:rPr>
        <w:endnoteReference w:id="189"/>
      </w:r>
    </w:p>
    <w:p w14:paraId="5AC621CB" w14:textId="0EA5AFC5" w:rsidR="00607DE7" w:rsidRPr="00445B8B" w:rsidRDefault="178BD716" w:rsidP="00314F78">
      <w:r w:rsidRPr="00445B8B">
        <w:t xml:space="preserve">The </w:t>
      </w:r>
      <w:r w:rsidR="35660D39" w:rsidRPr="00445B8B">
        <w:t>a</w:t>
      </w:r>
      <w:r w:rsidRPr="00445B8B">
        <w:t xml:space="preserve">ged </w:t>
      </w:r>
      <w:r w:rsidR="35660D39" w:rsidRPr="00445B8B">
        <w:t>c</w:t>
      </w:r>
      <w:r w:rsidRPr="00445B8B">
        <w:t>are workforce is a vast network of people who work together to deliver a continuum of care to</w:t>
      </w:r>
      <w:r w:rsidR="55EAC1F9" w:rsidRPr="00445B8B">
        <w:t xml:space="preserve"> </w:t>
      </w:r>
      <w:r w:rsidR="388E6CEF" w:rsidRPr="00445B8B">
        <w:t>older</w:t>
      </w:r>
      <w:r w:rsidRPr="00445B8B">
        <w:t xml:space="preserve"> Australians.</w:t>
      </w:r>
      <w:r w:rsidR="009253DC">
        <w:rPr>
          <w:rFonts w:ascii="ZWAdobeF" w:hAnsi="ZWAdobeF" w:cs="ZWAdobeF"/>
          <w:color w:val="auto"/>
          <w:sz w:val="2"/>
          <w:szCs w:val="2"/>
        </w:rPr>
        <w:t>188F</w:t>
      </w:r>
      <w:r w:rsidR="003F3C72" w:rsidRPr="00445B8B">
        <w:rPr>
          <w:vertAlign w:val="superscript"/>
        </w:rPr>
        <w:endnoteReference w:id="190"/>
      </w:r>
    </w:p>
    <w:p w14:paraId="2694AD84" w14:textId="65810F2A" w:rsidR="00673912" w:rsidRPr="00445B8B" w:rsidRDefault="00673912" w:rsidP="00314F78">
      <w:r w:rsidRPr="00445B8B">
        <w:t xml:space="preserve">In 2020, there were over 208,903 direct care workers </w:t>
      </w:r>
      <w:r w:rsidR="002F2A40" w:rsidRPr="00445B8B">
        <w:t xml:space="preserve">or 129,151 full time equivalent positions </w:t>
      </w:r>
      <w:r w:rsidRPr="00445B8B">
        <w:t>employed in residential aged care.</w:t>
      </w:r>
    </w:p>
    <w:p w14:paraId="79B204AD" w14:textId="0AC5A8CC" w:rsidR="00607DE7" w:rsidRPr="00445B8B" w:rsidRDefault="00705AB3" w:rsidP="00314F78">
      <w:pPr>
        <w:pStyle w:val="Caption"/>
      </w:pPr>
      <w:bookmarkStart w:id="65" w:name="_Ref105140076"/>
      <w:r w:rsidRPr="00445B8B">
        <w:t>FIGURE </w:t>
      </w:r>
      <w:bookmarkEnd w:id="65"/>
      <w:r w:rsidR="00531A57" w:rsidRPr="00445B8B">
        <w:fldChar w:fldCharType="begin"/>
      </w:r>
      <w:r w:rsidR="00531A57" w:rsidRPr="00445B8B">
        <w:instrText>SEQ Figure \* ARABIC</w:instrText>
      </w:r>
      <w:r w:rsidR="00531A57" w:rsidRPr="00445B8B">
        <w:fldChar w:fldCharType="separate"/>
      </w:r>
      <w:r w:rsidR="003A30D7">
        <w:rPr>
          <w:noProof/>
        </w:rPr>
        <w:t>45</w:t>
      </w:r>
      <w:r w:rsidR="00531A57" w:rsidRPr="00445B8B">
        <w:fldChar w:fldCharType="end"/>
      </w:r>
      <w:r w:rsidRPr="00445B8B">
        <w:t>: WORKFORCE IN RESIDENTIAL AGED CARE</w:t>
      </w:r>
      <w:r w:rsidR="009253DC">
        <w:rPr>
          <w:rFonts w:ascii="ZWAdobeF" w:hAnsi="ZWAdobeF" w:cs="ZWAdobeF"/>
          <w:b w:val="0"/>
          <w:color w:val="auto"/>
          <w:sz w:val="2"/>
          <w:szCs w:val="2"/>
        </w:rPr>
        <w:t>189F</w:t>
      </w:r>
      <w:r w:rsidR="00BC3005" w:rsidRPr="00454D17">
        <w:rPr>
          <w:rStyle w:val="EndnoteReference"/>
        </w:rPr>
        <w:endnoteReference w:id="191"/>
      </w:r>
      <w:r w:rsidRPr="00454D17">
        <w:rPr>
          <w:rStyle w:val="EndnoteReference"/>
        </w:rPr>
        <w:t xml:space="preserve"> </w:t>
      </w:r>
      <w:r w:rsidR="009253DC">
        <w:rPr>
          <w:rFonts w:ascii="ZWAdobeF" w:hAnsi="ZWAdobeF" w:cs="ZWAdobeF"/>
          <w:b w:val="0"/>
          <w:color w:val="auto"/>
          <w:sz w:val="2"/>
          <w:szCs w:val="2"/>
        </w:rPr>
        <w:t>190F</w:t>
      </w:r>
      <w:r w:rsidR="0030053C" w:rsidRPr="00454D17">
        <w:rPr>
          <w:rStyle w:val="EndnoteReference"/>
        </w:rPr>
        <w:endnoteReference w:id="192"/>
      </w:r>
    </w:p>
    <w:p w14:paraId="2858C26D" w14:textId="05A86F68" w:rsidR="000D2D63" w:rsidRPr="000D2D63" w:rsidRDefault="00216F65" w:rsidP="00314F78">
      <w:r>
        <w:rPr>
          <w:noProof/>
        </w:rPr>
        <w:drawing>
          <wp:inline distT="0" distB="0" distL="0" distR="0" wp14:anchorId="0F9235A7" wp14:editId="7BD38AFC">
            <wp:extent cx="5786864" cy="4105275"/>
            <wp:effectExtent l="0" t="0" r="0" b="0"/>
            <wp:docPr id="50" name="Picture 50" descr="P10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045#yIS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807076" cy="4119614"/>
                    </a:xfrm>
                    <a:prstGeom prst="rect">
                      <a:avLst/>
                    </a:prstGeom>
                    <a:noFill/>
                  </pic:spPr>
                </pic:pic>
              </a:graphicData>
            </a:graphic>
          </wp:inline>
        </w:drawing>
      </w:r>
    </w:p>
    <w:p w14:paraId="3D6A5C2E" w14:textId="73DE9D12" w:rsidR="00607DE7" w:rsidRPr="00445B8B" w:rsidRDefault="00607DE7" w:rsidP="0059348C">
      <w:pPr>
        <w:pStyle w:val="Heading2"/>
      </w:pPr>
      <w:r w:rsidRPr="00445B8B">
        <w:lastRenderedPageBreak/>
        <w:t>The residential aged care workforce</w:t>
      </w:r>
    </w:p>
    <w:p w14:paraId="337CC4EB" w14:textId="75116237" w:rsidR="00201608" w:rsidRPr="00445B8B" w:rsidRDefault="00BC2CF9" w:rsidP="00314F78">
      <w:r w:rsidRPr="00445B8B">
        <w:t>For the purposes of the QI Program, workforce turnover measures employed staff who stopped working during the quarter.</w:t>
      </w:r>
    </w:p>
    <w:p w14:paraId="11DE0455" w14:textId="3FC06CFA" w:rsidR="00BA50E8" w:rsidRPr="00445B8B" w:rsidRDefault="63DFA7CE" w:rsidP="00314F78">
      <w:r w:rsidRPr="00445B8B">
        <w:t>While many dedicated and compassionate people work in aged care</w:t>
      </w:r>
      <w:r w:rsidR="178BD716" w:rsidRPr="00445B8B">
        <w:t xml:space="preserve">, </w:t>
      </w:r>
      <w:r w:rsidR="486695A5" w:rsidRPr="00445B8B">
        <w:t xml:space="preserve">it is recognised </w:t>
      </w:r>
      <w:r w:rsidR="36370189" w:rsidRPr="00445B8B">
        <w:t>that</w:t>
      </w:r>
      <w:r w:rsidR="178BD716" w:rsidRPr="00445B8B">
        <w:t xml:space="preserve"> systemic workforce issues </w:t>
      </w:r>
      <w:r w:rsidR="36370189" w:rsidRPr="00445B8B">
        <w:t>exist</w:t>
      </w:r>
      <w:r w:rsidR="4707ED47" w:rsidRPr="00445B8B">
        <w:t>,</w:t>
      </w:r>
      <w:r w:rsidR="3C930FF6" w:rsidRPr="00445B8B">
        <w:t xml:space="preserve"> </w:t>
      </w:r>
      <w:r w:rsidR="178BD716" w:rsidRPr="00445B8B">
        <w:t>reduc</w:t>
      </w:r>
      <w:r w:rsidR="36370189" w:rsidRPr="00445B8B">
        <w:t>ing</w:t>
      </w:r>
      <w:r w:rsidR="178BD716" w:rsidRPr="00445B8B">
        <w:t xml:space="preserve"> capacity to provide quality care.</w:t>
      </w:r>
      <w:r w:rsidR="486695A5" w:rsidRPr="00445B8B">
        <w:t xml:space="preserve"> </w:t>
      </w:r>
      <w:r w:rsidR="57637E06" w:rsidRPr="00445B8B">
        <w:t>Seventy</w:t>
      </w:r>
      <w:r w:rsidR="6F456032" w:rsidRPr="00445B8B">
        <w:t xml:space="preserve"> per cent</w:t>
      </w:r>
      <w:r w:rsidR="178BD716" w:rsidRPr="00445B8B">
        <w:t xml:space="preserve"> of submissions to the Royal Commission in</w:t>
      </w:r>
      <w:r w:rsidR="2848AA68" w:rsidRPr="00445B8B">
        <w:t>to</w:t>
      </w:r>
      <w:r w:rsidR="178BD716" w:rsidRPr="00445B8B">
        <w:t xml:space="preserve"> Aged Care </w:t>
      </w:r>
      <w:r w:rsidR="2848AA68" w:rsidRPr="00445B8B">
        <w:t xml:space="preserve">Quality and Safety </w:t>
      </w:r>
      <w:r w:rsidR="178BD716" w:rsidRPr="00445B8B">
        <w:t xml:space="preserve">identified staff shortages as the principal barrier to having </w:t>
      </w:r>
      <w:r w:rsidR="35241704" w:rsidRPr="00445B8B">
        <w:t>care recipient</w:t>
      </w:r>
      <w:r w:rsidR="178BD716" w:rsidRPr="00445B8B">
        <w:t xml:space="preserve"> care needs met, the consequences of which can be serious or fatal.</w:t>
      </w:r>
    </w:p>
    <w:p w14:paraId="1598FDB5" w14:textId="505EB366" w:rsidR="004A1FD4" w:rsidRPr="00445B8B" w:rsidRDefault="6587B54F" w:rsidP="00314F78">
      <w:r w:rsidRPr="00445B8B">
        <w:t>Workforce shortages and other factors contribute to higher staff turnover</w:t>
      </w:r>
      <w:r w:rsidR="5AFAD23B" w:rsidRPr="00445B8B">
        <w:t>, which subsequently exacerbates</w:t>
      </w:r>
      <w:r w:rsidRPr="00445B8B">
        <w:t xml:space="preserve"> workforce </w:t>
      </w:r>
      <w:r w:rsidR="46D6CDD2" w:rsidRPr="00445B8B">
        <w:t xml:space="preserve">shortages and </w:t>
      </w:r>
      <w:r w:rsidR="781DCA4A" w:rsidRPr="00445B8B">
        <w:t xml:space="preserve">disrupts continuity of care, </w:t>
      </w:r>
      <w:r w:rsidR="32B90EDB" w:rsidRPr="00445B8B">
        <w:t xml:space="preserve">filtering down to impact on quality of care </w:t>
      </w:r>
      <w:r w:rsidR="71C473F9" w:rsidRPr="00445B8B">
        <w:t>and quality of life</w:t>
      </w:r>
      <w:r w:rsidR="62DB7891" w:rsidRPr="00445B8B">
        <w:t xml:space="preserve"> due to workers’ </w:t>
      </w:r>
      <w:r w:rsidR="46D6CDD2" w:rsidRPr="00445B8B">
        <w:t>reduce</w:t>
      </w:r>
      <w:r w:rsidR="62DB7891" w:rsidRPr="00445B8B">
        <w:t>d</w:t>
      </w:r>
      <w:r w:rsidRPr="00445B8B">
        <w:t xml:space="preserve"> familiarity with care recipients</w:t>
      </w:r>
      <w:r w:rsidR="0FFA658D" w:rsidRPr="00445B8B">
        <w:t>.</w:t>
      </w:r>
    </w:p>
    <w:p w14:paraId="45CA6FB8" w14:textId="4BB26351" w:rsidR="00607DE7" w:rsidRPr="00445B8B" w:rsidRDefault="00607DE7" w:rsidP="00314F78">
      <w:r w:rsidRPr="00445B8B">
        <w:t>Details of collection and reporting requirements for</w:t>
      </w:r>
      <w:r w:rsidR="00023EE4" w:rsidRPr="00445B8B">
        <w:t xml:space="preserve"> the w</w:t>
      </w:r>
      <w:r w:rsidRPr="00445B8B">
        <w:t>orkforce</w:t>
      </w:r>
      <w:r w:rsidR="00023EE4" w:rsidRPr="00445B8B">
        <w:t xml:space="preserve"> quality indicator </w:t>
      </w:r>
      <w:r w:rsidRPr="00445B8B">
        <w:t>can be found in Part A.</w:t>
      </w:r>
    </w:p>
    <w:p w14:paraId="0BD91632" w14:textId="3E3CA3B1" w:rsidR="00607DE7" w:rsidRPr="00445B8B" w:rsidRDefault="00607DE7" w:rsidP="0059348C">
      <w:pPr>
        <w:pStyle w:val="Heading2"/>
      </w:pPr>
      <w:r w:rsidRPr="00445B8B">
        <w:t xml:space="preserve">Causes of workforce </w:t>
      </w:r>
      <w:r w:rsidR="004C7861" w:rsidRPr="00445B8B">
        <w:t>shortages</w:t>
      </w:r>
    </w:p>
    <w:p w14:paraId="22352FF2" w14:textId="57BD620B" w:rsidR="00607DE7" w:rsidRPr="00445B8B" w:rsidRDefault="178BD716" w:rsidP="00314F78">
      <w:r w:rsidRPr="00445B8B">
        <w:t xml:space="preserve">Factors that </w:t>
      </w:r>
      <w:r w:rsidR="2BE7982D" w:rsidRPr="00445B8B">
        <w:t xml:space="preserve">impact workforce shortages and </w:t>
      </w:r>
      <w:r w:rsidRPr="00445B8B">
        <w:t>increase staff turnover are multi-faceted and diverse</w:t>
      </w:r>
      <w:r w:rsidR="26566C72" w:rsidRPr="00445B8B">
        <w:t xml:space="preserve">. </w:t>
      </w:r>
      <w:r w:rsidR="439B451F" w:rsidRPr="00445B8B">
        <w:t>Common</w:t>
      </w:r>
      <w:r w:rsidRPr="00445B8B">
        <w:t xml:space="preserve"> workplace features associated with </w:t>
      </w:r>
      <w:r w:rsidR="1A5E93C5" w:rsidRPr="00445B8B">
        <w:t xml:space="preserve">high </w:t>
      </w:r>
      <w:r w:rsidRPr="00445B8B">
        <w:t>staff turnover include:</w:t>
      </w:r>
    </w:p>
    <w:p w14:paraId="6D7D0EB9" w14:textId="104ED106" w:rsidR="00607DE7" w:rsidRPr="00445B8B" w:rsidRDefault="004C7861" w:rsidP="00314F78">
      <w:pPr>
        <w:pStyle w:val="ListBullet"/>
      </w:pPr>
      <w:r w:rsidRPr="00445B8B">
        <w:t xml:space="preserve">organisational </w:t>
      </w:r>
      <w:r w:rsidR="14BE7751" w:rsidRPr="00445B8B">
        <w:t>funding and design</w:t>
      </w:r>
    </w:p>
    <w:p w14:paraId="71AACC86" w14:textId="3A7F8C30" w:rsidR="00607DE7" w:rsidRPr="00445B8B" w:rsidRDefault="14BE7751" w:rsidP="00314F78">
      <w:pPr>
        <w:pStyle w:val="ListBullet"/>
      </w:pPr>
      <w:r w:rsidRPr="00445B8B">
        <w:t xml:space="preserve">insufficient </w:t>
      </w:r>
      <w:r w:rsidR="00CF1CDA" w:rsidRPr="00445B8B">
        <w:t xml:space="preserve">staff </w:t>
      </w:r>
      <w:r w:rsidRPr="00445B8B">
        <w:t>numbers</w:t>
      </w:r>
    </w:p>
    <w:p w14:paraId="407515E8" w14:textId="317ED38C" w:rsidR="00607DE7" w:rsidRPr="00445B8B" w:rsidRDefault="53DE4EC8" w:rsidP="00314F78">
      <w:pPr>
        <w:pStyle w:val="ListBullet"/>
      </w:pPr>
      <w:r w:rsidRPr="00445B8B">
        <w:t xml:space="preserve">misalignment of </w:t>
      </w:r>
      <w:r w:rsidR="3DF740B2" w:rsidRPr="00445B8B">
        <w:t xml:space="preserve">care </w:t>
      </w:r>
      <w:r w:rsidR="00B27E23" w:rsidRPr="00445B8B">
        <w:t>recipients’</w:t>
      </w:r>
      <w:r w:rsidRPr="00445B8B">
        <w:t xml:space="preserve"> </w:t>
      </w:r>
      <w:r w:rsidR="1EC1FF5F" w:rsidRPr="00445B8B">
        <w:t>needs</w:t>
      </w:r>
      <w:r w:rsidRPr="00445B8B">
        <w:t xml:space="preserve"> and staff skill</w:t>
      </w:r>
      <w:r w:rsidR="439B451F" w:rsidRPr="00445B8B">
        <w:t>-</w:t>
      </w:r>
      <w:r w:rsidRPr="00445B8B">
        <w:t>mix</w:t>
      </w:r>
    </w:p>
    <w:p w14:paraId="66D64E67" w14:textId="56D60DAC" w:rsidR="00607DE7" w:rsidRPr="00445B8B" w:rsidRDefault="14BE7751" w:rsidP="00314F78">
      <w:pPr>
        <w:pStyle w:val="ListBullet"/>
      </w:pPr>
      <w:r w:rsidRPr="00445B8B">
        <w:t>shortage of professional</w:t>
      </w:r>
      <w:r w:rsidR="00CF1CDA" w:rsidRPr="00445B8B">
        <w:t xml:space="preserve"> clinical</w:t>
      </w:r>
      <w:r w:rsidRPr="00445B8B">
        <w:t xml:space="preserve"> staff (</w:t>
      </w:r>
      <w:r w:rsidR="00CF1CDA" w:rsidRPr="00445B8B">
        <w:t>e.g. r</w:t>
      </w:r>
      <w:r w:rsidRPr="00445B8B">
        <w:t xml:space="preserve">egistered </w:t>
      </w:r>
      <w:r w:rsidR="00CF1CDA" w:rsidRPr="00445B8B">
        <w:t>n</w:t>
      </w:r>
      <w:r w:rsidRPr="00445B8B">
        <w:t xml:space="preserve">urses and </w:t>
      </w:r>
      <w:r w:rsidR="00CF1CDA" w:rsidRPr="00445B8B">
        <w:t>a</w:t>
      </w:r>
      <w:r w:rsidRPr="00445B8B">
        <w:t xml:space="preserve">llied </w:t>
      </w:r>
      <w:r w:rsidR="00CF1CDA" w:rsidRPr="00445B8B">
        <w:t>he</w:t>
      </w:r>
      <w:r w:rsidRPr="00445B8B">
        <w:t>alth)</w:t>
      </w:r>
    </w:p>
    <w:p w14:paraId="468ABF8D" w14:textId="6187C787" w:rsidR="00607DE7" w:rsidRPr="00445B8B" w:rsidRDefault="14BE7751" w:rsidP="00314F78">
      <w:pPr>
        <w:pStyle w:val="ListBullet"/>
      </w:pPr>
      <w:r w:rsidRPr="00445B8B">
        <w:t xml:space="preserve">undervalued </w:t>
      </w:r>
      <w:r w:rsidR="00CF1CDA" w:rsidRPr="00445B8B">
        <w:t>and underpaid staff</w:t>
      </w:r>
    </w:p>
    <w:p w14:paraId="2BAB598D" w14:textId="479A6DB0" w:rsidR="00607DE7" w:rsidRPr="00445B8B" w:rsidRDefault="14BE7751" w:rsidP="00314F78">
      <w:pPr>
        <w:pStyle w:val="ListBullet"/>
      </w:pPr>
      <w:r w:rsidRPr="00445B8B">
        <w:t>inadequate staff training and professional development</w:t>
      </w:r>
      <w:r w:rsidR="0089420B" w:rsidRPr="00445B8B">
        <w:t>.</w:t>
      </w:r>
    </w:p>
    <w:p w14:paraId="6C2EEF47" w14:textId="37609A4A" w:rsidR="00607DE7" w:rsidRPr="00445B8B" w:rsidRDefault="00607DE7" w:rsidP="0059348C">
      <w:pPr>
        <w:pStyle w:val="Heading2"/>
      </w:pPr>
      <w:r w:rsidRPr="00445B8B">
        <w:t>Risk factors for high staff turnover</w:t>
      </w:r>
    </w:p>
    <w:p w14:paraId="5F9E799E" w14:textId="77777777" w:rsidR="00607DE7" w:rsidRPr="00445B8B" w:rsidRDefault="178BD716" w:rsidP="00314F78">
      <w:r w:rsidRPr="00445B8B">
        <w:t>The main risk factors for staff turnover result from staff feeling unsupported or undervalued at work. These feelings and perceptions can arise from multiple factors, including:</w:t>
      </w:r>
    </w:p>
    <w:p w14:paraId="6A724249" w14:textId="77777777" w:rsidR="00E35C4B" w:rsidRPr="00445B8B" w:rsidRDefault="14BE7751" w:rsidP="00314F78">
      <w:pPr>
        <w:pStyle w:val="ListBullet"/>
      </w:pPr>
      <w:r w:rsidRPr="00445B8B">
        <w:t>inadequate leadership</w:t>
      </w:r>
    </w:p>
    <w:p w14:paraId="0FE4AEC0" w14:textId="7D3B09EC" w:rsidR="00E35C4B" w:rsidRPr="00445B8B" w:rsidRDefault="00E35C4B" w:rsidP="00314F78">
      <w:pPr>
        <w:pStyle w:val="ListBullet"/>
      </w:pPr>
      <w:r w:rsidRPr="00445B8B">
        <w:t>poor workplace culture</w:t>
      </w:r>
    </w:p>
    <w:p w14:paraId="7EF56CE8" w14:textId="77777777" w:rsidR="00E35C4B" w:rsidRPr="00445B8B" w:rsidRDefault="14BE7751" w:rsidP="00314F78">
      <w:pPr>
        <w:pStyle w:val="ListBullet"/>
      </w:pPr>
      <w:r w:rsidRPr="00445B8B">
        <w:t>staff shortages</w:t>
      </w:r>
    </w:p>
    <w:p w14:paraId="288A2034" w14:textId="77777777" w:rsidR="00607DE7" w:rsidRPr="00445B8B" w:rsidRDefault="14BE7751" w:rsidP="00314F78">
      <w:pPr>
        <w:pStyle w:val="ListBullet"/>
      </w:pPr>
      <w:r w:rsidRPr="00445B8B">
        <w:t>inadequate time to complete tasks</w:t>
      </w:r>
    </w:p>
    <w:p w14:paraId="7264E077" w14:textId="487B2DED" w:rsidR="00E35C4B" w:rsidRPr="00445B8B" w:rsidRDefault="00E35C4B" w:rsidP="00314F78">
      <w:pPr>
        <w:pStyle w:val="ListBullet"/>
      </w:pPr>
      <w:r w:rsidRPr="00445B8B">
        <w:t>inadequate training</w:t>
      </w:r>
    </w:p>
    <w:p w14:paraId="2E19A25E" w14:textId="539ABD81" w:rsidR="00607DE7" w:rsidRPr="00445B8B" w:rsidRDefault="14BE7751" w:rsidP="00314F78">
      <w:pPr>
        <w:pStyle w:val="ListBullet"/>
      </w:pPr>
      <w:r w:rsidRPr="00445B8B">
        <w:t>absence of career framework or opportunities for progression</w:t>
      </w:r>
    </w:p>
    <w:p w14:paraId="2876C5F1" w14:textId="652495F9" w:rsidR="00607DE7" w:rsidRPr="00445B8B" w:rsidRDefault="14BE7751" w:rsidP="00314F78">
      <w:pPr>
        <w:pStyle w:val="ListBullet"/>
      </w:pPr>
      <w:r w:rsidRPr="00445B8B">
        <w:t>lack of professional development</w:t>
      </w:r>
      <w:r w:rsidR="0089420B" w:rsidRPr="00445B8B">
        <w:t>.</w:t>
      </w:r>
    </w:p>
    <w:p w14:paraId="3021976D" w14:textId="50054B67" w:rsidR="00607DE7" w:rsidRPr="00445B8B" w:rsidRDefault="00531460" w:rsidP="0059348C">
      <w:pPr>
        <w:pStyle w:val="Heading2"/>
      </w:pPr>
      <w:r w:rsidRPr="00445B8B">
        <w:lastRenderedPageBreak/>
        <w:t>A</w:t>
      </w:r>
      <w:r w:rsidR="00607DE7" w:rsidRPr="00445B8B">
        <w:t>dverse clinical events and workforce</w:t>
      </w:r>
    </w:p>
    <w:p w14:paraId="13BAEAAC" w14:textId="1CC454D5" w:rsidR="00607DE7" w:rsidRPr="00445B8B" w:rsidRDefault="6322D116" w:rsidP="00314F78">
      <w:r w:rsidRPr="00445B8B">
        <w:t xml:space="preserve">There are well established links </w:t>
      </w:r>
      <w:r w:rsidR="178BD716" w:rsidRPr="00445B8B">
        <w:t xml:space="preserve">between </w:t>
      </w:r>
      <w:r w:rsidR="612EBDD9" w:rsidRPr="00445B8B">
        <w:t xml:space="preserve">the capacity of </w:t>
      </w:r>
      <w:r w:rsidR="62EFD3DF" w:rsidRPr="00445B8B">
        <w:t>aged care</w:t>
      </w:r>
      <w:r w:rsidR="439B451F" w:rsidRPr="00445B8B">
        <w:t xml:space="preserve"> </w:t>
      </w:r>
      <w:r w:rsidR="62EFD3DF" w:rsidRPr="00445B8B">
        <w:t xml:space="preserve">staff, both </w:t>
      </w:r>
      <w:r w:rsidR="612EBDD9" w:rsidRPr="00445B8B">
        <w:t xml:space="preserve">in </w:t>
      </w:r>
      <w:r w:rsidR="62EFD3DF" w:rsidRPr="00445B8B">
        <w:t>sufficiency and skill</w:t>
      </w:r>
      <w:r w:rsidR="612EBDD9" w:rsidRPr="00445B8B">
        <w:t>,</w:t>
      </w:r>
      <w:r w:rsidR="62EFD3DF" w:rsidRPr="00445B8B">
        <w:t xml:space="preserve"> </w:t>
      </w:r>
      <w:r w:rsidRPr="00445B8B">
        <w:t xml:space="preserve">and the </w:t>
      </w:r>
      <w:r w:rsidR="178BD716" w:rsidRPr="00445B8B">
        <w:t>quality of care</w:t>
      </w:r>
      <w:r w:rsidRPr="00445B8B">
        <w:t xml:space="preserve"> provided. </w:t>
      </w:r>
      <w:r w:rsidR="612EBDD9" w:rsidRPr="00445B8B">
        <w:t>T</w:t>
      </w:r>
      <w:r w:rsidR="178BD716" w:rsidRPr="00445B8B">
        <w:t>o provide high quality care</w:t>
      </w:r>
      <w:r w:rsidR="612EBDD9" w:rsidRPr="00445B8B">
        <w:t>, staff must</w:t>
      </w:r>
      <w:r w:rsidRPr="00445B8B">
        <w:t xml:space="preserve"> feel</w:t>
      </w:r>
      <w:r w:rsidR="178BD716" w:rsidRPr="00445B8B">
        <w:t xml:space="preserve"> supported, valued and fairly remunerated.</w:t>
      </w:r>
      <w:r w:rsidR="612EBDD9" w:rsidRPr="00445B8B">
        <w:t xml:space="preserve"> If staff needs are not met, </w:t>
      </w:r>
      <w:r w:rsidR="178BD716" w:rsidRPr="00445B8B">
        <w:t>disengage</w:t>
      </w:r>
      <w:r w:rsidR="612EBDD9" w:rsidRPr="00445B8B">
        <w:t>ment</w:t>
      </w:r>
      <w:r w:rsidR="178BD716" w:rsidRPr="00445B8B">
        <w:t xml:space="preserve">, inattention and low motivation </w:t>
      </w:r>
      <w:r w:rsidR="26566C72" w:rsidRPr="00445B8B">
        <w:t>is likely to occur</w:t>
      </w:r>
      <w:r w:rsidR="178BD716" w:rsidRPr="00445B8B">
        <w:t xml:space="preserve">. </w:t>
      </w:r>
      <w:r w:rsidR="612EBDD9" w:rsidRPr="00445B8B">
        <w:t>S</w:t>
      </w:r>
      <w:r w:rsidR="178BD716" w:rsidRPr="00445B8B">
        <w:t xml:space="preserve">taffing </w:t>
      </w:r>
      <w:r w:rsidR="612EBDD9" w:rsidRPr="00445B8B">
        <w:t xml:space="preserve">shortages and misaligned skill-mix </w:t>
      </w:r>
      <w:r w:rsidRPr="00445B8B">
        <w:t xml:space="preserve">can lead to </w:t>
      </w:r>
      <w:r w:rsidR="1A5E93C5" w:rsidRPr="00445B8B">
        <w:t>poor care and unmet care needs</w:t>
      </w:r>
      <w:r w:rsidR="178BD716" w:rsidRPr="00445B8B">
        <w:t>.</w:t>
      </w:r>
      <w:r w:rsidR="1CD48791" w:rsidRPr="00445B8B">
        <w:t xml:space="preserve"> Standard 7 o</w:t>
      </w:r>
      <w:r w:rsidR="25E69647" w:rsidRPr="00445B8B">
        <w:t>f</w:t>
      </w:r>
      <w:r w:rsidR="1CD48791" w:rsidRPr="00445B8B">
        <w:t xml:space="preserve"> the Aged Care Quality Standards requires care recipients to receive quality care and services by </w:t>
      </w:r>
      <w:r w:rsidR="25E69647" w:rsidRPr="00445B8B">
        <w:t>a skilled and qualified workforce who are</w:t>
      </w:r>
      <w:r w:rsidR="1CD48791" w:rsidRPr="00445B8B">
        <w:t xml:space="preserve"> knowledgeable, capable and caring.</w:t>
      </w:r>
      <w:r w:rsidR="009253DC">
        <w:rPr>
          <w:rFonts w:ascii="ZWAdobeF" w:hAnsi="ZWAdobeF" w:cs="ZWAdobeF"/>
          <w:color w:val="auto"/>
          <w:sz w:val="2"/>
          <w:szCs w:val="2"/>
        </w:rPr>
        <w:t>191F</w:t>
      </w:r>
      <w:r w:rsidR="00205B21" w:rsidRPr="00445B8B">
        <w:rPr>
          <w:vertAlign w:val="superscript"/>
        </w:rPr>
        <w:endnoteReference w:id="193"/>
      </w:r>
    </w:p>
    <w:p w14:paraId="3F550D2C" w14:textId="0711E2A5" w:rsidR="00607DE7" w:rsidRPr="00445B8B" w:rsidRDefault="00607DE7" w:rsidP="0059348C">
      <w:pPr>
        <w:pStyle w:val="Heading2"/>
      </w:pPr>
      <w:r w:rsidRPr="00445B8B">
        <w:t xml:space="preserve">Prevention and management of workforce </w:t>
      </w:r>
      <w:r w:rsidR="00F24CEC" w:rsidRPr="00445B8B">
        <w:t>turnover</w:t>
      </w:r>
    </w:p>
    <w:p w14:paraId="3CE719D1" w14:textId="489A96DF" w:rsidR="00607DE7" w:rsidRPr="00445B8B" w:rsidRDefault="00431338" w:rsidP="00314F78">
      <w:r w:rsidRPr="00445B8B">
        <w:t>Aged care</w:t>
      </w:r>
      <w:r w:rsidR="00221FE2" w:rsidRPr="00445B8B">
        <w:t xml:space="preserve"> is reliant upon </w:t>
      </w:r>
      <w:r w:rsidR="00607DE7" w:rsidRPr="00445B8B">
        <w:t>a</w:t>
      </w:r>
      <w:r w:rsidRPr="00445B8B">
        <w:t>ppropriately</w:t>
      </w:r>
      <w:r w:rsidR="00607DE7" w:rsidRPr="00445B8B">
        <w:t xml:space="preserve"> trained</w:t>
      </w:r>
      <w:r w:rsidR="00221FE2" w:rsidRPr="00445B8B">
        <w:t xml:space="preserve"> and engaged</w:t>
      </w:r>
      <w:r w:rsidR="00607DE7" w:rsidRPr="00445B8B">
        <w:t xml:space="preserve"> staff who </w:t>
      </w:r>
      <w:r w:rsidR="00221FE2" w:rsidRPr="00445B8B">
        <w:t xml:space="preserve">feel </w:t>
      </w:r>
      <w:r w:rsidR="00607DE7" w:rsidRPr="00445B8B">
        <w:t>valued and supported in their role, and who are given sufficient time to provide effective care.</w:t>
      </w:r>
    </w:p>
    <w:p w14:paraId="1B65DC0C" w14:textId="36A08D51" w:rsidR="0045042C" w:rsidRPr="00445B8B" w:rsidRDefault="2BE4C0BA" w:rsidP="00314F78">
      <w:r w:rsidRPr="00445B8B">
        <w:t xml:space="preserve">Specific </w:t>
      </w:r>
      <w:r w:rsidR="1F92FEB9" w:rsidRPr="00445B8B">
        <w:t xml:space="preserve">areas </w:t>
      </w:r>
      <w:r w:rsidRPr="00445B8B">
        <w:t>t</w:t>
      </w:r>
      <w:r w:rsidR="1C5AE5C8" w:rsidRPr="00445B8B">
        <w:t>hat can be targeted to</w:t>
      </w:r>
      <w:r w:rsidR="7A0F0274" w:rsidRPr="00445B8B">
        <w:t xml:space="preserve"> </w:t>
      </w:r>
      <w:r w:rsidR="7B3F1CAA" w:rsidRPr="00445B8B">
        <w:t>improve staff retention and care continuity</w:t>
      </w:r>
      <w:r w:rsidR="1F92FEB9" w:rsidRPr="00445B8B">
        <w:t xml:space="preserve"> can be </w:t>
      </w:r>
      <w:r w:rsidR="41EED08A" w:rsidRPr="00445B8B">
        <w:t>understood</w:t>
      </w:r>
      <w:r w:rsidR="1F92FEB9" w:rsidRPr="00445B8B">
        <w:t xml:space="preserve"> through worker satisfaction surveys and</w:t>
      </w:r>
      <w:r w:rsidR="1C5AE5C8" w:rsidRPr="00445B8B">
        <w:t xml:space="preserve"> </w:t>
      </w:r>
      <w:r w:rsidR="41EED08A" w:rsidRPr="00445B8B">
        <w:t>by ensuring</w:t>
      </w:r>
      <w:r w:rsidR="1F92FEB9" w:rsidRPr="00445B8B">
        <w:t xml:space="preserve"> information </w:t>
      </w:r>
      <w:r w:rsidR="1C5AE5C8" w:rsidRPr="00445B8B">
        <w:t xml:space="preserve">is </w:t>
      </w:r>
      <w:r w:rsidR="3FCFC1FA" w:rsidRPr="00445B8B">
        <w:t xml:space="preserve">encouraged to be </w:t>
      </w:r>
      <w:r w:rsidR="1C5AE5C8" w:rsidRPr="00445B8B">
        <w:t>shared</w:t>
      </w:r>
      <w:r w:rsidR="1F92FEB9" w:rsidRPr="00445B8B">
        <w:t xml:space="preserve"> across all levels in the organisation</w:t>
      </w:r>
      <w:r w:rsidR="41EED08A" w:rsidRPr="00445B8B">
        <w:t>, providing opportunities for staff to raise concerns</w:t>
      </w:r>
      <w:r w:rsidR="1F92FEB9" w:rsidRPr="00445B8B">
        <w:t xml:space="preserve">. </w:t>
      </w:r>
      <w:r w:rsidR="41EED08A" w:rsidRPr="00445B8B">
        <w:t>Interventions to support</w:t>
      </w:r>
      <w:r w:rsidR="1F92FEB9" w:rsidRPr="00445B8B">
        <w:t xml:space="preserve"> </w:t>
      </w:r>
      <w:r w:rsidR="41EED08A" w:rsidRPr="00445B8B">
        <w:t xml:space="preserve">workforce retention </w:t>
      </w:r>
      <w:r w:rsidR="1F92FEB9" w:rsidRPr="00445B8B">
        <w:t xml:space="preserve">could include </w:t>
      </w:r>
      <w:r w:rsidR="3FCFC1FA" w:rsidRPr="00445B8B">
        <w:t>establishing</w:t>
      </w:r>
      <w:r w:rsidR="1F92FEB9" w:rsidRPr="00445B8B">
        <w:t xml:space="preserve"> </w:t>
      </w:r>
      <w:r w:rsidR="3FCFC1FA" w:rsidRPr="00445B8B">
        <w:t xml:space="preserve">both formal and informal </w:t>
      </w:r>
      <w:r w:rsidR="1F92FEB9" w:rsidRPr="00445B8B">
        <w:t xml:space="preserve">forums where staff can provide </w:t>
      </w:r>
      <w:r w:rsidR="3FCFC1FA" w:rsidRPr="00445B8B">
        <w:t xml:space="preserve">regular </w:t>
      </w:r>
      <w:r w:rsidR="1F92FEB9" w:rsidRPr="00445B8B">
        <w:t xml:space="preserve">feedback, </w:t>
      </w:r>
      <w:r w:rsidR="28741B34" w:rsidRPr="00445B8B">
        <w:t xml:space="preserve">enabling participation in </w:t>
      </w:r>
      <w:r w:rsidR="1F92FEB9" w:rsidRPr="00445B8B">
        <w:t xml:space="preserve">mentoring </w:t>
      </w:r>
      <w:r w:rsidR="28741B34" w:rsidRPr="00445B8B">
        <w:t xml:space="preserve">programs </w:t>
      </w:r>
      <w:r w:rsidR="1F92FEB9" w:rsidRPr="00445B8B">
        <w:t xml:space="preserve">or </w:t>
      </w:r>
      <w:r w:rsidR="3FCFC1FA" w:rsidRPr="00445B8B">
        <w:t>providing staff with access to</w:t>
      </w:r>
      <w:r w:rsidR="1F92FEB9" w:rsidRPr="00445B8B">
        <w:t xml:space="preserve"> training programs</w:t>
      </w:r>
      <w:r w:rsidR="28741B34" w:rsidRPr="00445B8B">
        <w:t xml:space="preserve"> (both internal </w:t>
      </w:r>
      <w:r w:rsidR="00B27E23" w:rsidRPr="00445B8B">
        <w:t>and</w:t>
      </w:r>
      <w:r w:rsidR="28741B34" w:rsidRPr="00445B8B">
        <w:t xml:space="preserve"> external)</w:t>
      </w:r>
      <w:r w:rsidR="3FCFC1FA" w:rsidRPr="00445B8B">
        <w:t>, preferably during working hours</w:t>
      </w:r>
      <w:r w:rsidR="1F92FEB9" w:rsidRPr="00445B8B">
        <w:t>.</w:t>
      </w:r>
    </w:p>
    <w:p w14:paraId="534E5FCC" w14:textId="7515FA58" w:rsidR="004368D2" w:rsidRPr="00445B8B" w:rsidRDefault="1F92FEB9" w:rsidP="00314F78">
      <w:r w:rsidRPr="00445B8B">
        <w:t xml:space="preserve">Examples of areas </w:t>
      </w:r>
      <w:r w:rsidR="3FCFC1FA" w:rsidRPr="00445B8B">
        <w:t xml:space="preserve">where management could focus and </w:t>
      </w:r>
      <w:r w:rsidR="1C5AE5C8" w:rsidRPr="00445B8B">
        <w:t>where interventions may be required</w:t>
      </w:r>
      <w:r w:rsidRPr="00445B8B">
        <w:t xml:space="preserve"> </w:t>
      </w:r>
      <w:r w:rsidR="3FCFC1FA" w:rsidRPr="00445B8B">
        <w:t xml:space="preserve">to </w:t>
      </w:r>
      <w:r w:rsidR="41EED08A" w:rsidRPr="00445B8B">
        <w:t>mitigate</w:t>
      </w:r>
      <w:r w:rsidR="3FCFC1FA" w:rsidRPr="00445B8B">
        <w:t xml:space="preserve"> workforce turnover </w:t>
      </w:r>
      <w:r w:rsidR="2BE4C0BA" w:rsidRPr="00445B8B">
        <w:t>include</w:t>
      </w:r>
      <w:r w:rsidR="50C8165C" w:rsidRPr="00445B8B">
        <w:t>:</w:t>
      </w:r>
      <w:r w:rsidR="009253DC">
        <w:rPr>
          <w:rFonts w:ascii="ZWAdobeF" w:hAnsi="ZWAdobeF" w:cs="ZWAdobeF"/>
          <w:color w:val="auto"/>
          <w:sz w:val="2"/>
          <w:szCs w:val="2"/>
        </w:rPr>
        <w:t>192F</w:t>
      </w:r>
      <w:r w:rsidR="009D44B6" w:rsidRPr="00445B8B">
        <w:rPr>
          <w:vertAlign w:val="superscript"/>
        </w:rPr>
        <w:endnoteReference w:id="194"/>
      </w:r>
      <w:r w:rsidR="50C8165C" w:rsidRPr="00445B8B">
        <w:rPr>
          <w:vertAlign w:val="superscript"/>
        </w:rPr>
        <w:t xml:space="preserve"> </w:t>
      </w:r>
      <w:r w:rsidR="009253DC">
        <w:rPr>
          <w:rFonts w:ascii="ZWAdobeF" w:hAnsi="ZWAdobeF" w:cs="ZWAdobeF"/>
          <w:color w:val="auto"/>
          <w:sz w:val="2"/>
          <w:szCs w:val="2"/>
        </w:rPr>
        <w:t>193F</w:t>
      </w:r>
      <w:r w:rsidR="009D44B6" w:rsidRPr="00445B8B">
        <w:rPr>
          <w:vertAlign w:val="superscript"/>
        </w:rPr>
        <w:endnoteReference w:id="195"/>
      </w:r>
      <w:r w:rsidR="50C8165C" w:rsidRPr="00445B8B">
        <w:rPr>
          <w:vertAlign w:val="superscript"/>
        </w:rPr>
        <w:t xml:space="preserve"> </w:t>
      </w:r>
      <w:r w:rsidR="009253DC">
        <w:rPr>
          <w:rFonts w:ascii="ZWAdobeF" w:hAnsi="ZWAdobeF" w:cs="ZWAdobeF"/>
          <w:color w:val="auto"/>
          <w:sz w:val="2"/>
          <w:szCs w:val="2"/>
        </w:rPr>
        <w:t>194F</w:t>
      </w:r>
      <w:r w:rsidR="009D44B6" w:rsidRPr="00445B8B">
        <w:rPr>
          <w:vertAlign w:val="superscript"/>
        </w:rPr>
        <w:endnoteReference w:id="196"/>
      </w:r>
    </w:p>
    <w:p w14:paraId="08D62FAF" w14:textId="75BF682C" w:rsidR="00607DE7" w:rsidRPr="00445B8B" w:rsidRDefault="178BD716" w:rsidP="00314F78">
      <w:pPr>
        <w:pStyle w:val="ListBullet"/>
      </w:pPr>
      <w:r w:rsidRPr="00454D17">
        <w:rPr>
          <w:rStyle w:val="Strong"/>
        </w:rPr>
        <w:t>Working conditions</w:t>
      </w:r>
      <w:r w:rsidRPr="00445B8B">
        <w:t xml:space="preserve">: </w:t>
      </w:r>
      <w:r w:rsidR="05EE6DBA" w:rsidRPr="00445B8B">
        <w:t>Staff must be appropriately remunerated, valued and invested in. The workforce must be sufficient and suitably skilled to provide quality care.</w:t>
      </w:r>
    </w:p>
    <w:p w14:paraId="7AFCF32C" w14:textId="30BB7C79" w:rsidR="00692F00" w:rsidRPr="00445B8B" w:rsidRDefault="1F92FEB9" w:rsidP="00314F78">
      <w:pPr>
        <w:pStyle w:val="ListBullet"/>
      </w:pPr>
      <w:r w:rsidRPr="00454D17">
        <w:rPr>
          <w:rStyle w:val="Strong"/>
        </w:rPr>
        <w:t>Job satisfaction</w:t>
      </w:r>
      <w:r w:rsidRPr="00445B8B">
        <w:t>: Staff who are satisfied with their work and feel valued, supported and empowered will generally stay active and engaged, improving care quality along with staff and care recipient wellbeing.</w:t>
      </w:r>
    </w:p>
    <w:p w14:paraId="1BF00E5D" w14:textId="7DB0D1B5" w:rsidR="00607DE7" w:rsidRPr="00445B8B" w:rsidRDefault="178BD716" w:rsidP="00314F78">
      <w:pPr>
        <w:pStyle w:val="ListBullet"/>
      </w:pPr>
      <w:r w:rsidRPr="00454D17">
        <w:rPr>
          <w:rStyle w:val="Strong"/>
        </w:rPr>
        <w:t>Supportive and visionary management</w:t>
      </w:r>
      <w:r w:rsidRPr="00445B8B">
        <w:t xml:space="preserve">: </w:t>
      </w:r>
      <w:r w:rsidR="05EE6DBA" w:rsidRPr="00445B8B">
        <w:t>Staff shortages may require investment and innovation to improve working conditions, and identify alternative approaches to deliver care</w:t>
      </w:r>
      <w:r w:rsidR="7A0F0274" w:rsidRPr="00445B8B">
        <w:t xml:space="preserve"> e.g.</w:t>
      </w:r>
      <w:r w:rsidRPr="00445B8B">
        <w:t xml:space="preserve"> </w:t>
      </w:r>
      <w:r w:rsidR="7C2D5454" w:rsidRPr="00445B8B">
        <w:t xml:space="preserve">through </w:t>
      </w:r>
      <w:r w:rsidRPr="00445B8B">
        <w:t>optimised use of line management structures and incorporation of supportive technologies such as health information technology (HIT).</w:t>
      </w:r>
    </w:p>
    <w:p w14:paraId="6363CBB1" w14:textId="54217C79" w:rsidR="00607DE7" w:rsidRPr="00445B8B" w:rsidRDefault="00607DE7" w:rsidP="00314F78">
      <w:pPr>
        <w:pStyle w:val="ListBullet"/>
      </w:pPr>
      <w:r w:rsidRPr="00454D17">
        <w:rPr>
          <w:rStyle w:val="Strong"/>
        </w:rPr>
        <w:t>Supervision</w:t>
      </w:r>
      <w:r w:rsidR="00702C76" w:rsidRPr="00454D17">
        <w:rPr>
          <w:rStyle w:val="Strong"/>
        </w:rPr>
        <w:t xml:space="preserve"> and mentorship</w:t>
      </w:r>
      <w:r w:rsidRPr="00445B8B">
        <w:t xml:space="preserve">: Supervision </w:t>
      </w:r>
      <w:r w:rsidR="00702C76" w:rsidRPr="00445B8B">
        <w:t xml:space="preserve">and mentorship </w:t>
      </w:r>
      <w:r w:rsidRPr="00445B8B">
        <w:t xml:space="preserve">can support </w:t>
      </w:r>
      <w:r w:rsidR="00702C76" w:rsidRPr="00445B8B">
        <w:t>skill development and practi</w:t>
      </w:r>
      <w:r w:rsidR="005053C0" w:rsidRPr="00445B8B">
        <w:t>c</w:t>
      </w:r>
      <w:r w:rsidR="00702C76" w:rsidRPr="00445B8B">
        <w:t>e.</w:t>
      </w:r>
      <w:r w:rsidRPr="00445B8B">
        <w:t xml:space="preserve"> </w:t>
      </w:r>
      <w:r w:rsidR="00702C76" w:rsidRPr="00445B8B">
        <w:t xml:space="preserve">It can </w:t>
      </w:r>
      <w:r w:rsidRPr="00445B8B">
        <w:t>improve working conditions, resulting in improved performance and overall wellbeing of</w:t>
      </w:r>
      <w:r w:rsidR="00702C76" w:rsidRPr="00445B8B">
        <w:t xml:space="preserve"> staff</w:t>
      </w:r>
      <w:r w:rsidRPr="00445B8B">
        <w:t>.</w:t>
      </w:r>
    </w:p>
    <w:p w14:paraId="068A3134" w14:textId="036A1A39" w:rsidR="00607DE7" w:rsidRPr="00445B8B" w:rsidRDefault="00607DE7" w:rsidP="00314F78">
      <w:pPr>
        <w:pStyle w:val="ListBullet"/>
      </w:pPr>
      <w:r w:rsidRPr="00454D17">
        <w:rPr>
          <w:rStyle w:val="Strong"/>
        </w:rPr>
        <w:t>Empowering work culture</w:t>
      </w:r>
      <w:r w:rsidRPr="00445B8B">
        <w:t>: Staff who feel empowered have higher levels of self-worth, greater wellbeing and are more invested in their work.</w:t>
      </w:r>
    </w:p>
    <w:p w14:paraId="7E8E3A94" w14:textId="187CADCA" w:rsidR="00607DE7" w:rsidRPr="00445B8B" w:rsidRDefault="00607DE7" w:rsidP="00314F78">
      <w:pPr>
        <w:pStyle w:val="ListBullet"/>
      </w:pPr>
      <w:r w:rsidRPr="00454D17">
        <w:rPr>
          <w:rStyle w:val="Strong"/>
        </w:rPr>
        <w:t>Collaborative teams</w:t>
      </w:r>
      <w:r w:rsidRPr="00445B8B">
        <w:t>: Involvement in team</w:t>
      </w:r>
      <w:r w:rsidR="008B5F2A" w:rsidRPr="00445B8B">
        <w:t xml:space="preserve"> structures</w:t>
      </w:r>
      <w:r w:rsidRPr="00445B8B">
        <w:t xml:space="preserve"> and care planning has a </w:t>
      </w:r>
      <w:r w:rsidR="007311C1" w:rsidRPr="00445B8B">
        <w:t>beneficial</w:t>
      </w:r>
      <w:r w:rsidRPr="00445B8B">
        <w:t xml:space="preserve"> effect on team output, leading to </w:t>
      </w:r>
      <w:r w:rsidR="008B5F2A" w:rsidRPr="00445B8B">
        <w:t>efficiencies in</w:t>
      </w:r>
      <w:r w:rsidRPr="00445B8B">
        <w:t xml:space="preserve"> resource use.</w:t>
      </w:r>
    </w:p>
    <w:p w14:paraId="316A43CA" w14:textId="0223D0E3" w:rsidR="00607DE7" w:rsidRPr="00445B8B" w:rsidRDefault="178BD716" w:rsidP="00314F78">
      <w:pPr>
        <w:pStyle w:val="ListBullet"/>
      </w:pPr>
      <w:r w:rsidRPr="00454D17">
        <w:rPr>
          <w:rStyle w:val="Strong"/>
        </w:rPr>
        <w:t>High quality and relevant education</w:t>
      </w:r>
      <w:r w:rsidR="6A83E9D0" w:rsidRPr="00445B8B">
        <w:t xml:space="preserve">: </w:t>
      </w:r>
      <w:r w:rsidR="6401FBBC" w:rsidRPr="00445B8B">
        <w:t xml:space="preserve">Professional </w:t>
      </w:r>
      <w:r w:rsidR="6A83E9D0" w:rsidRPr="00445B8B">
        <w:t>d</w:t>
      </w:r>
      <w:r w:rsidR="6401FBBC" w:rsidRPr="00445B8B">
        <w:t xml:space="preserve">evelopment </w:t>
      </w:r>
      <w:r w:rsidR="6EA44B35" w:rsidRPr="00445B8B">
        <w:t xml:space="preserve">ensures the right training for the right staff at the right time that leads to provision of high-quality </w:t>
      </w:r>
      <w:r w:rsidR="5436E536" w:rsidRPr="00445B8B">
        <w:t xml:space="preserve">care. </w:t>
      </w:r>
      <w:r w:rsidR="388E6CEF" w:rsidRPr="00445B8B">
        <w:t>Service-</w:t>
      </w:r>
      <w:r w:rsidR="6A83E9D0" w:rsidRPr="00445B8B">
        <w:t xml:space="preserve">wide investment in professional development affords opportunities for </w:t>
      </w:r>
      <w:r w:rsidR="252085BF" w:rsidRPr="00445B8B">
        <w:t>staff</w:t>
      </w:r>
      <w:r w:rsidR="78BF5061" w:rsidRPr="00445B8B">
        <w:t xml:space="preserve"> </w:t>
      </w:r>
      <w:r w:rsidR="587087AA" w:rsidRPr="00445B8B">
        <w:t>to develop capacity, feelings of belonging</w:t>
      </w:r>
      <w:r w:rsidR="08409911" w:rsidRPr="00445B8B">
        <w:t>,</w:t>
      </w:r>
      <w:r w:rsidR="587087AA" w:rsidRPr="00445B8B">
        <w:t xml:space="preserve"> </w:t>
      </w:r>
      <w:r w:rsidR="2E3C86F0" w:rsidRPr="00445B8B">
        <w:t xml:space="preserve">and value as well as providing currency and relevancy to </w:t>
      </w:r>
      <w:r w:rsidR="08409911" w:rsidRPr="00445B8B">
        <w:t>skill sets.</w:t>
      </w:r>
    </w:p>
    <w:p w14:paraId="24D35BF7" w14:textId="78CC2573" w:rsidR="00653FFD" w:rsidRPr="004A09AA" w:rsidRDefault="00653FFD" w:rsidP="00314F78">
      <w:r w:rsidRPr="004A09AA">
        <w:br w:type="page"/>
      </w:r>
    </w:p>
    <w:p w14:paraId="5DAF60ED" w14:textId="7A483943" w:rsidR="00607DE7" w:rsidRPr="00445B8B" w:rsidRDefault="178BD716" w:rsidP="00314F78">
      <w:bookmarkStart w:id="66" w:name="_Hlk193297687"/>
      <w:r w:rsidRPr="00445B8B">
        <w:lastRenderedPageBreak/>
        <w:t>The checklist below will help assess risk of staff turnover and assist in identification, reporting and mediation of workforce issues.</w:t>
      </w:r>
    </w:p>
    <w:p w14:paraId="2B8951F2" w14:textId="3F5F9598" w:rsidR="00DA2FD2" w:rsidRPr="00445B8B" w:rsidRDefault="00705AB3" w:rsidP="00314F78">
      <w:pPr>
        <w:pStyle w:val="Caption"/>
      </w:pPr>
      <w:r w:rsidRPr="00445B8B">
        <w:t>FIGURE </w:t>
      </w:r>
      <w:r w:rsidR="00C243A1" w:rsidRPr="00445B8B">
        <w:fldChar w:fldCharType="begin"/>
      </w:r>
      <w:r w:rsidR="00C243A1" w:rsidRPr="00445B8B">
        <w:instrText>SEQ Figure \* ARABIC</w:instrText>
      </w:r>
      <w:r w:rsidR="00C243A1" w:rsidRPr="00445B8B">
        <w:fldChar w:fldCharType="separate"/>
      </w:r>
      <w:r w:rsidR="003A30D7">
        <w:rPr>
          <w:noProof/>
        </w:rPr>
        <w:t>46</w:t>
      </w:r>
      <w:r w:rsidR="00C243A1" w:rsidRPr="00445B8B">
        <w:fldChar w:fldCharType="end"/>
      </w:r>
      <w:r w:rsidRPr="00445B8B">
        <w:t>: CHECKLIST FOR DEVELOPING A POSITIVE WORKPLACE CULTURE</w:t>
      </w:r>
    </w:p>
    <w:p w14:paraId="75AA4198" w14:textId="35E0A031" w:rsidR="00293907" w:rsidRPr="00293907" w:rsidRDefault="00CF0345" w:rsidP="00314F78">
      <w:pPr>
        <w:pStyle w:val="ChecklistHeading"/>
      </w:pPr>
      <w:r w:rsidRPr="002765D3">
        <w:rPr>
          <w:noProof/>
        </w:rPr>
        <w:drawing>
          <wp:anchor distT="0" distB="0" distL="114300" distR="114300" simplePos="0" relativeHeight="251658299" behindDoc="0" locked="0" layoutInCell="1" allowOverlap="1" wp14:anchorId="4F3871CD" wp14:editId="056E4D4C">
            <wp:simplePos x="0" y="0"/>
            <wp:positionH relativeFrom="margin">
              <wp:align>left</wp:align>
            </wp:positionH>
            <wp:positionV relativeFrom="paragraph">
              <wp:posOffset>292279</wp:posOffset>
            </wp:positionV>
            <wp:extent cx="539496" cy="540000"/>
            <wp:effectExtent l="0" t="0" r="0" b="0"/>
            <wp:wrapSquare wrapText="bothSides"/>
            <wp:docPr id="96" name="Picture 13" descr="P1084#y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3" descr="P1084#y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293907" w:rsidRPr="002765D3">
        <w:t xml:space="preserve">Checklist for </w:t>
      </w:r>
      <w:r w:rsidR="00764ADE">
        <w:t>developing a positive workforce culture</w:t>
      </w:r>
    </w:p>
    <w:p w14:paraId="4E19819C" w14:textId="77777777" w:rsidR="00DA2FD2" w:rsidRPr="002765D3" w:rsidRDefault="00DA2FD2" w:rsidP="00314F78">
      <w:pPr>
        <w:pStyle w:val="ChecklistHeading"/>
        <w:sectPr w:rsidR="00DA2FD2" w:rsidRPr="002765D3" w:rsidSect="00CE53D5">
          <w:headerReference w:type="even" r:id="rId243"/>
          <w:headerReference w:type="default" r:id="rId244"/>
          <w:headerReference w:type="first" r:id="rId245"/>
          <w:endnotePr>
            <w:numFmt w:val="decimal"/>
          </w:endnotePr>
          <w:pgSz w:w="11906" w:h="16838" w:code="9"/>
          <w:pgMar w:top="1701" w:right="1134" w:bottom="1134" w:left="1134" w:header="567" w:footer="567" w:gutter="0"/>
          <w:cols w:space="567"/>
          <w:docGrid w:linePitch="360"/>
        </w:sectPr>
      </w:pPr>
    </w:p>
    <w:p w14:paraId="46CBFA75" w14:textId="035D85BF" w:rsidR="00844B58" w:rsidRPr="002765D3" w:rsidRDefault="00844B58" w:rsidP="00314F78">
      <w:pPr>
        <w:pStyle w:val="TableHeader"/>
      </w:pPr>
      <w:r>
        <w:t>Provide focused leadership</w:t>
      </w:r>
    </w:p>
    <w:p w14:paraId="1A5425CF" w14:textId="77777777" w:rsidR="00844B58" w:rsidRPr="008F26E8" w:rsidRDefault="00844B58" w:rsidP="00314F78">
      <w:pPr>
        <w:pStyle w:val="ListBullet"/>
      </w:pPr>
      <w:r>
        <w:t>D</w:t>
      </w:r>
      <w:r w:rsidRPr="008F26E8">
        <w:t>evelop collaborative service goals and articulate roles and responsibilities to achieve them.</w:t>
      </w:r>
    </w:p>
    <w:p w14:paraId="293B3EBB" w14:textId="77777777" w:rsidR="00844B58" w:rsidRPr="008F26E8" w:rsidRDefault="00844B58" w:rsidP="00314F78">
      <w:pPr>
        <w:pStyle w:val="ListBullet"/>
      </w:pPr>
      <w:r w:rsidRPr="008F26E8">
        <w:t>Support staff to work towards service goals.</w:t>
      </w:r>
    </w:p>
    <w:p w14:paraId="60E25F2D" w14:textId="77777777" w:rsidR="00844B58" w:rsidRPr="008F26E8" w:rsidRDefault="00844B58" w:rsidP="00314F78">
      <w:pPr>
        <w:pStyle w:val="ListBullet"/>
      </w:pPr>
      <w:r w:rsidRPr="008F26E8">
        <w:t>Monitor, evaluate and share progress towards service goals.</w:t>
      </w:r>
    </w:p>
    <w:p w14:paraId="676A39FB" w14:textId="77777777" w:rsidR="00844B58" w:rsidRPr="008F26E8" w:rsidRDefault="00844B58" w:rsidP="00314F78">
      <w:pPr>
        <w:pStyle w:val="ListBullet"/>
      </w:pPr>
      <w:r w:rsidRPr="008F26E8">
        <w:t>Use management frameworks to structure reporting activities.</w:t>
      </w:r>
    </w:p>
    <w:p w14:paraId="713F3CF4" w14:textId="3DC20F4D" w:rsidR="00844B58" w:rsidRPr="002765D3" w:rsidRDefault="00CF0345" w:rsidP="00314F78">
      <w:pPr>
        <w:pStyle w:val="ListBullet"/>
      </w:pPr>
      <w:r w:rsidRPr="002765D3">
        <w:rPr>
          <w:noProof/>
        </w:rPr>
        <w:drawing>
          <wp:anchor distT="0" distB="0" distL="114300" distR="114300" simplePos="0" relativeHeight="251658300" behindDoc="0" locked="0" layoutInCell="1" allowOverlap="1" wp14:anchorId="3293AA54" wp14:editId="6E5AB1F6">
            <wp:simplePos x="0" y="0"/>
            <wp:positionH relativeFrom="margin">
              <wp:align>left</wp:align>
            </wp:positionH>
            <wp:positionV relativeFrom="paragraph">
              <wp:posOffset>286109</wp:posOffset>
            </wp:positionV>
            <wp:extent cx="539496" cy="540000"/>
            <wp:effectExtent l="0" t="0" r="0" b="0"/>
            <wp:wrapSquare wrapText="bothSides"/>
            <wp:docPr id="97" name="Picture 14" descr="P1091#y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4" descr="P1091#y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69444273" w:rsidRPr="189D3658">
        <w:t>Ensure appropriate staff supervision and mentorship.</w:t>
      </w:r>
    </w:p>
    <w:p w14:paraId="349206E0" w14:textId="71AE3A83" w:rsidR="00844B58" w:rsidRPr="002765D3" w:rsidRDefault="00CF0345" w:rsidP="00314F78">
      <w:pPr>
        <w:pStyle w:val="TableHeader"/>
      </w:pPr>
      <w:r w:rsidRPr="002765D3">
        <w:rPr>
          <w:noProof/>
        </w:rPr>
        <w:drawing>
          <wp:anchor distT="0" distB="0" distL="114300" distR="114300" simplePos="0" relativeHeight="251658302" behindDoc="0" locked="0" layoutInCell="1" allowOverlap="1" wp14:anchorId="7E03843A" wp14:editId="1A42A5E1">
            <wp:simplePos x="0" y="0"/>
            <wp:positionH relativeFrom="column">
              <wp:posOffset>2557864</wp:posOffset>
            </wp:positionH>
            <wp:positionV relativeFrom="paragraph">
              <wp:posOffset>215349</wp:posOffset>
            </wp:positionV>
            <wp:extent cx="539496" cy="540000"/>
            <wp:effectExtent l="0" t="0" r="0" b="0"/>
            <wp:wrapSquare wrapText="bothSides"/>
            <wp:docPr id="99" name="Picture 16" descr="P1092#y1">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6" descr="P1092#y1">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844B58">
        <w:t>Create a positive</w:t>
      </w:r>
      <w:r w:rsidR="00844B58" w:rsidRPr="002765D3">
        <w:t xml:space="preserve"> work environment</w:t>
      </w:r>
    </w:p>
    <w:p w14:paraId="611E958A" w14:textId="77777777" w:rsidR="00844B58" w:rsidRPr="002765D3" w:rsidRDefault="00844B58" w:rsidP="00314F78">
      <w:pPr>
        <w:pStyle w:val="ListBullet"/>
      </w:pPr>
      <w:r>
        <w:t>Promote staff engagement.</w:t>
      </w:r>
    </w:p>
    <w:p w14:paraId="6D5BCAFD" w14:textId="77777777" w:rsidR="00844B58" w:rsidRPr="002765D3" w:rsidRDefault="00844B58" w:rsidP="00314F78">
      <w:pPr>
        <w:pStyle w:val="ListBullet"/>
      </w:pPr>
      <w:r>
        <w:t>Collaborate with staff to develop and achieve service</w:t>
      </w:r>
      <w:r w:rsidRPr="002765D3">
        <w:t xml:space="preserve"> goals</w:t>
      </w:r>
      <w:r>
        <w:t>.</w:t>
      </w:r>
    </w:p>
    <w:p w14:paraId="75872F69" w14:textId="77777777" w:rsidR="00844B58" w:rsidRPr="002765D3" w:rsidRDefault="00844B58" w:rsidP="00314F78">
      <w:pPr>
        <w:pStyle w:val="ListBullet"/>
      </w:pPr>
      <w:r>
        <w:t>Establish community and professional networks (e.g. with local services or professionals).</w:t>
      </w:r>
    </w:p>
    <w:p w14:paraId="5E32D7BD" w14:textId="77777777" w:rsidR="00844B58" w:rsidRPr="002765D3" w:rsidRDefault="00844B58" w:rsidP="00314F78">
      <w:pPr>
        <w:pStyle w:val="ListBullet"/>
      </w:pPr>
      <w:r>
        <w:t>Implement processes allowing for the escalation of staffing issues by any staff member e.g. reporting of shortages to professional line managers if and as they arise.</w:t>
      </w:r>
    </w:p>
    <w:p w14:paraId="5F8B4C98" w14:textId="77777777" w:rsidR="00844B58" w:rsidRPr="002765D3" w:rsidRDefault="69444273" w:rsidP="00314F78">
      <w:pPr>
        <w:pStyle w:val="ListBullet"/>
      </w:pPr>
      <w:r w:rsidRPr="189D3658">
        <w:t>Proactively seek assistance to resolve any workplace issues.</w:t>
      </w:r>
    </w:p>
    <w:p w14:paraId="7E064260" w14:textId="5EBAE564" w:rsidR="00844B58" w:rsidRPr="002765D3" w:rsidRDefault="00CF0345" w:rsidP="00314F78">
      <w:pPr>
        <w:pStyle w:val="ListBullet"/>
      </w:pPr>
      <w:r w:rsidRPr="002765D3">
        <w:rPr>
          <w:noProof/>
        </w:rPr>
        <w:drawing>
          <wp:anchor distT="0" distB="0" distL="114300" distR="114300" simplePos="0" relativeHeight="251658303" behindDoc="0" locked="0" layoutInCell="1" allowOverlap="1" wp14:anchorId="4DE177ED" wp14:editId="36E2BF95">
            <wp:simplePos x="0" y="0"/>
            <wp:positionH relativeFrom="column">
              <wp:posOffset>2580450</wp:posOffset>
            </wp:positionH>
            <wp:positionV relativeFrom="paragraph">
              <wp:posOffset>32385</wp:posOffset>
            </wp:positionV>
            <wp:extent cx="539496" cy="540000"/>
            <wp:effectExtent l="0" t="0" r="0" b="0"/>
            <wp:wrapSquare wrapText="bothSides"/>
            <wp:docPr id="100" name="Picture 17" descr="P1098#y1">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7" descr="P1098#y1">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496" cy="540000"/>
                    </a:xfrm>
                    <a:prstGeom prst="rect">
                      <a:avLst/>
                    </a:prstGeom>
                  </pic:spPr>
                </pic:pic>
              </a:graphicData>
            </a:graphic>
          </wp:anchor>
        </w:drawing>
      </w:r>
      <w:r w:rsidR="00844B58">
        <w:t>Consider new and</w:t>
      </w:r>
      <w:r w:rsidR="00844B58" w:rsidRPr="002765D3">
        <w:t xml:space="preserve"> innovative ways </w:t>
      </w:r>
      <w:r w:rsidR="00844B58">
        <w:t>of mitigating challenges.</w:t>
      </w:r>
    </w:p>
    <w:p w14:paraId="512D50F0" w14:textId="29C47BCA" w:rsidR="00844B58" w:rsidRPr="002765D3" w:rsidRDefault="00CF0345" w:rsidP="00314F78">
      <w:pPr>
        <w:pStyle w:val="ListBullet"/>
      </w:pPr>
      <w:r w:rsidRPr="002765D3">
        <w:rPr>
          <w:noProof/>
        </w:rPr>
        <w:drawing>
          <wp:anchor distT="0" distB="0" distL="114300" distR="114300" simplePos="0" relativeHeight="251658301" behindDoc="0" locked="0" layoutInCell="1" allowOverlap="1" wp14:anchorId="717F4ADE" wp14:editId="1324C1F4">
            <wp:simplePos x="0" y="0"/>
            <wp:positionH relativeFrom="column">
              <wp:posOffset>-542290</wp:posOffset>
            </wp:positionH>
            <wp:positionV relativeFrom="paragraph">
              <wp:posOffset>485511</wp:posOffset>
            </wp:positionV>
            <wp:extent cx="539496" cy="540000"/>
            <wp:effectExtent l="0" t="0" r="0" b="0"/>
            <wp:wrapSquare wrapText="bothSides"/>
            <wp:docPr id="98" name="Picture 15" descr="P1099#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5" descr="P1099#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anchor>
        </w:drawing>
      </w:r>
      <w:r w:rsidR="69444273" w:rsidRPr="189D3658">
        <w:t>Ensure frequent, honest and fair communication between staff and management.</w:t>
      </w:r>
    </w:p>
    <w:p w14:paraId="1D8A432A" w14:textId="473DD295" w:rsidR="00844B58" w:rsidRPr="002765D3" w:rsidRDefault="00844B58" w:rsidP="00314F78">
      <w:pPr>
        <w:pStyle w:val="TableHeader"/>
      </w:pPr>
      <w:r>
        <w:t>Ensure enough of the r</w:t>
      </w:r>
      <w:r w:rsidRPr="002765D3">
        <w:t xml:space="preserve">ight staff </w:t>
      </w:r>
      <w:r>
        <w:t>in</w:t>
      </w:r>
      <w:r w:rsidRPr="002765D3">
        <w:t xml:space="preserve"> the right </w:t>
      </w:r>
      <w:r>
        <w:t>roles</w:t>
      </w:r>
    </w:p>
    <w:p w14:paraId="5C3F5608" w14:textId="77777777" w:rsidR="00844B58" w:rsidRPr="00445B8B" w:rsidRDefault="00844B58" w:rsidP="00314F78">
      <w:pPr>
        <w:pStyle w:val="ListBullet"/>
      </w:pPr>
      <w:r w:rsidRPr="00445B8B">
        <w:t xml:space="preserve">Ensure staff have the training and skills to meet the needs and preferences of care recipients </w:t>
      </w:r>
      <w:r w:rsidRPr="00445B8B">
        <w:t>including relevance to individual and organisational scope of practice.</w:t>
      </w:r>
    </w:p>
    <w:p w14:paraId="04D45E75" w14:textId="77777777" w:rsidR="00844B58" w:rsidRPr="00445B8B" w:rsidRDefault="69444273" w:rsidP="00314F78">
      <w:pPr>
        <w:pStyle w:val="ListBullet"/>
      </w:pPr>
      <w:r w:rsidRPr="00445B8B">
        <w:t>Seek support and assistance from trained professionals whenever there is uncertainty.</w:t>
      </w:r>
    </w:p>
    <w:p w14:paraId="6238510B" w14:textId="218E82B9" w:rsidR="00844B58" w:rsidRPr="00445B8B" w:rsidRDefault="69444273" w:rsidP="00314F78">
      <w:pPr>
        <w:pStyle w:val="ListBullet"/>
      </w:pPr>
      <w:r w:rsidRPr="00445B8B">
        <w:t xml:space="preserve">Maintain a flexible and balanced approach to rostering that considers the case-mix and appropriate </w:t>
      </w:r>
      <w:r w:rsidR="00036E52" w:rsidRPr="00445B8B">
        <w:t>skill mix</w:t>
      </w:r>
      <w:r w:rsidRPr="00445B8B">
        <w:t xml:space="preserve"> required.</w:t>
      </w:r>
    </w:p>
    <w:p w14:paraId="258A0916" w14:textId="77777777" w:rsidR="00844B58" w:rsidRPr="00445B8B" w:rsidRDefault="00844B58" w:rsidP="00314F78">
      <w:pPr>
        <w:pStyle w:val="ListBullet"/>
      </w:pPr>
      <w:r w:rsidRPr="00445B8B">
        <w:t xml:space="preserve">Where possible, adopt an approach to rostering that supports care continuity allowing care recipients to become more familiar with staff. </w:t>
      </w:r>
    </w:p>
    <w:p w14:paraId="6A556FAD" w14:textId="790937CA" w:rsidR="00844B58" w:rsidRPr="002765D3" w:rsidRDefault="00844B58" w:rsidP="00314F78">
      <w:pPr>
        <w:pStyle w:val="TableHeader"/>
      </w:pPr>
      <w:r>
        <w:t>Prioritise e</w:t>
      </w:r>
      <w:r w:rsidRPr="002765D3">
        <w:t xml:space="preserve">ducation and </w:t>
      </w:r>
      <w:r>
        <w:t>t</w:t>
      </w:r>
      <w:r w:rsidRPr="002765D3">
        <w:t>raining</w:t>
      </w:r>
    </w:p>
    <w:p w14:paraId="6AAA2838" w14:textId="77777777" w:rsidR="00844B58" w:rsidRPr="00445B8B" w:rsidRDefault="69444273" w:rsidP="00314F78">
      <w:pPr>
        <w:pStyle w:val="ListBullet"/>
      </w:pPr>
      <w:r w:rsidRPr="00445B8B">
        <w:t>Identify areas of need or knowledge gaps and arrange appropriate training.</w:t>
      </w:r>
    </w:p>
    <w:p w14:paraId="1CD5ED86" w14:textId="77777777" w:rsidR="00844B58" w:rsidRPr="00445B8B" w:rsidRDefault="00844B58" w:rsidP="00314F78">
      <w:pPr>
        <w:pStyle w:val="ListBullet"/>
      </w:pPr>
      <w:r w:rsidRPr="00445B8B">
        <w:t>Undertake professional development planning with staff, including career planning.</w:t>
      </w:r>
    </w:p>
    <w:p w14:paraId="5605E6D9" w14:textId="77777777" w:rsidR="00844B58" w:rsidRPr="00445B8B" w:rsidRDefault="69444273" w:rsidP="00314F78">
      <w:pPr>
        <w:pStyle w:val="ListBullet"/>
      </w:pPr>
      <w:r w:rsidRPr="00445B8B">
        <w:t>Collaborate with staff and line managers to identify areas for professional development investment.</w:t>
      </w:r>
    </w:p>
    <w:p w14:paraId="3B760360" w14:textId="77777777" w:rsidR="00844B58" w:rsidRPr="00445B8B" w:rsidRDefault="69444273" w:rsidP="00314F78">
      <w:pPr>
        <w:pStyle w:val="ListBullet"/>
      </w:pPr>
      <w:r w:rsidRPr="00445B8B">
        <w:t>Ensure relevant registrations, qualifications and competencies associated with staff roles are maintained and recorded.</w:t>
      </w:r>
    </w:p>
    <w:p w14:paraId="0AD1B0CC" w14:textId="3643B671" w:rsidR="00844B58" w:rsidRPr="002765D3" w:rsidRDefault="00844B58" w:rsidP="00314F78">
      <w:pPr>
        <w:pStyle w:val="TableHeader"/>
      </w:pPr>
      <w:r>
        <w:t>Promote j</w:t>
      </w:r>
      <w:r w:rsidRPr="002765D3">
        <w:t xml:space="preserve">ob </w:t>
      </w:r>
      <w:r>
        <w:t>s</w:t>
      </w:r>
      <w:r w:rsidRPr="002765D3">
        <w:t>atisfaction</w:t>
      </w:r>
    </w:p>
    <w:p w14:paraId="29782866" w14:textId="77777777" w:rsidR="00844B58" w:rsidRPr="00445B8B" w:rsidRDefault="00844B58" w:rsidP="00314F78">
      <w:pPr>
        <w:pStyle w:val="ListBullet"/>
      </w:pPr>
      <w:r w:rsidRPr="00445B8B">
        <w:t>Promote staff engagement through team building and social activities.</w:t>
      </w:r>
    </w:p>
    <w:p w14:paraId="01B2A3EE" w14:textId="77777777" w:rsidR="00844B58" w:rsidRPr="00445B8B" w:rsidRDefault="00844B58" w:rsidP="00314F78">
      <w:pPr>
        <w:pStyle w:val="ListBullet"/>
      </w:pPr>
      <w:r w:rsidRPr="00445B8B">
        <w:t>Create a safe space to discuss workplace concerns without fear of retribution or punishment.</w:t>
      </w:r>
    </w:p>
    <w:p w14:paraId="1C605F2E" w14:textId="32BA850E" w:rsidR="00DA2FD2" w:rsidRPr="002765D3" w:rsidRDefault="00844B58" w:rsidP="00314F78">
      <w:pPr>
        <w:pStyle w:val="ListBullet"/>
      </w:pPr>
      <w:r w:rsidRPr="00445B8B">
        <w:t>Prioritise staff culture and values</w:t>
      </w:r>
      <w:r>
        <w:t>.</w:t>
      </w:r>
    </w:p>
    <w:p w14:paraId="38301B7D" w14:textId="77777777" w:rsidR="00DA2FD2" w:rsidRPr="002765D3" w:rsidRDefault="00DA2FD2" w:rsidP="00314F78">
      <w:pPr>
        <w:sectPr w:rsidR="00DA2FD2" w:rsidRPr="002765D3" w:rsidSect="00844B58">
          <w:headerReference w:type="even" r:id="rId246"/>
          <w:headerReference w:type="default" r:id="rId247"/>
          <w:headerReference w:type="first" r:id="rId248"/>
          <w:endnotePr>
            <w:numFmt w:val="decimal"/>
          </w:endnotePr>
          <w:type w:val="continuous"/>
          <w:pgSz w:w="11906" w:h="16838" w:code="9"/>
          <w:pgMar w:top="1701" w:right="1134" w:bottom="1134" w:left="2098" w:header="567" w:footer="567" w:gutter="0"/>
          <w:cols w:num="2" w:space="1418"/>
          <w:docGrid w:linePitch="360"/>
        </w:sectPr>
      </w:pPr>
    </w:p>
    <w:p w14:paraId="5EFD3340" w14:textId="45473FCC" w:rsidR="00607DE7" w:rsidRPr="00445B8B" w:rsidRDefault="00607DE7" w:rsidP="0059348C">
      <w:pPr>
        <w:pStyle w:val="Heading2"/>
      </w:pPr>
      <w:r w:rsidRPr="00445B8B">
        <w:lastRenderedPageBreak/>
        <w:t>Quality improvement for workforce</w:t>
      </w:r>
    </w:p>
    <w:bookmarkEnd w:id="66"/>
    <w:p w14:paraId="32A402BB" w14:textId="2DB76864" w:rsidR="00607DE7" w:rsidRPr="00445B8B" w:rsidRDefault="00607DE7" w:rsidP="00314F78">
      <w:r w:rsidRPr="00445B8B">
        <w:t xml:space="preserve">Quality improvement can help </w:t>
      </w:r>
      <w:r w:rsidR="00702C76" w:rsidRPr="00445B8B">
        <w:t xml:space="preserve">services reduce staff turnover and </w:t>
      </w:r>
      <w:r w:rsidR="00BC1085" w:rsidRPr="00445B8B">
        <w:t>improve continuity of care</w:t>
      </w:r>
      <w:r w:rsidRPr="00445B8B">
        <w:t>. Quality improvement activities should be ongoing and part of business-as-usual for approved providers.</w:t>
      </w:r>
    </w:p>
    <w:p w14:paraId="590989A9" w14:textId="6B50D7B1" w:rsidR="00607DE7" w:rsidRPr="00445B8B" w:rsidRDefault="00607DE7" w:rsidP="00314F78">
      <w:r w:rsidRPr="00445B8B">
        <w:t>The QI Program will help prompt when a specific quality improvement activity should be undertaken. It is important to review the QI Program data reports through</w:t>
      </w:r>
      <w:r w:rsidR="00B26274" w:rsidRPr="00445B8B">
        <w:t xml:space="preserve"> GPMS</w:t>
      </w:r>
      <w:r w:rsidRPr="00445B8B">
        <w:t xml:space="preserve"> and compare against national </w:t>
      </w:r>
      <w:r w:rsidR="0084075D" w:rsidRPr="00445B8B">
        <w:t>averages</w:t>
      </w:r>
      <w:r w:rsidRPr="00445B8B">
        <w:t xml:space="preserve"> and other services to understand where quality improvement activities should be focused.</w:t>
      </w:r>
    </w:p>
    <w:p w14:paraId="6607D32F" w14:textId="3C74F030" w:rsidR="00A022FE" w:rsidRPr="00D82644" w:rsidRDefault="178BD716" w:rsidP="00314F78">
      <w:r w:rsidRPr="00445B8B">
        <w:t xml:space="preserve">The </w:t>
      </w:r>
      <w:r w:rsidRPr="00445B8B">
        <w:rPr>
          <w:rStyle w:val="Strong"/>
        </w:rPr>
        <w:t>Plan-Do-Check-Act tool</w:t>
      </w:r>
      <w:r w:rsidRPr="00445B8B">
        <w:t xml:space="preserve"> </w:t>
      </w:r>
      <w:r w:rsidR="009B36F6" w:rsidRPr="00445B8B">
        <w:t xml:space="preserve">(section 2.3) </w:t>
      </w:r>
      <w:r w:rsidRPr="00445B8B">
        <w:t>is a useful tool to plan, deliver and monitor quality improvement activities focused on workforce.</w:t>
      </w:r>
      <w:r w:rsidRPr="00D82644">
        <w:br w:type="page"/>
      </w:r>
    </w:p>
    <w:p w14:paraId="326E45AE" w14:textId="043AB9B7" w:rsidR="00607DE7" w:rsidRPr="00445B8B" w:rsidRDefault="00445B8B" w:rsidP="0059348C">
      <w:pPr>
        <w:pStyle w:val="Heading2"/>
      </w:pPr>
      <w:r w:rsidRPr="00445B8B">
        <w:lastRenderedPageBreak/>
        <w:t>E</w:t>
      </w:r>
      <w:r w:rsidR="178BD716" w:rsidRPr="00445B8B">
        <w:t xml:space="preserve">xample tools, guidance and resources to </w:t>
      </w:r>
      <w:r w:rsidR="00607DE7" w:rsidRPr="00445B8B">
        <w:br/>
      </w:r>
      <w:r w:rsidR="178BD716" w:rsidRPr="00445B8B">
        <w:t>support continuous quality improvement</w:t>
      </w:r>
    </w:p>
    <w:p w14:paraId="4D54D7F7" w14:textId="5CB249AF" w:rsidR="00E92312" w:rsidRPr="00445B8B" w:rsidRDefault="58B34520" w:rsidP="00314F78">
      <w:pPr>
        <w:pStyle w:val="ListBullet"/>
      </w:pPr>
      <w:hyperlink r:id="rId249">
        <w:r w:rsidRPr="00445B8B">
          <w:rPr>
            <w:rStyle w:val="Hyperlink"/>
          </w:rPr>
          <w:t>Workforce Advisory Service</w:t>
        </w:r>
      </w:hyperlink>
      <w:r w:rsidRPr="00445B8B">
        <w:t xml:space="preserve"> —free, independent and confidential advice for residential aged care service providers to improve workforce planning — Department of Health and Aged Care</w:t>
      </w:r>
    </w:p>
    <w:p w14:paraId="13868F7F" w14:textId="477D8739" w:rsidR="00F62B25" w:rsidRPr="00445B8B" w:rsidRDefault="7385DB05" w:rsidP="00314F78">
      <w:pPr>
        <w:pStyle w:val="ListBullet"/>
      </w:pPr>
      <w:hyperlink r:id="rId250">
        <w:r w:rsidRPr="00445B8B">
          <w:rPr>
            <w:rStyle w:val="Hyperlink"/>
          </w:rPr>
          <w:t>Equip Aged Care Learning Packages</w:t>
        </w:r>
      </w:hyperlink>
      <w:r w:rsidR="58B34520" w:rsidRPr="00445B8B">
        <w:t xml:space="preserve"> — f</w:t>
      </w:r>
      <w:r w:rsidRPr="00445B8B">
        <w:t xml:space="preserve">ree online learning modules </w:t>
      </w:r>
      <w:r w:rsidR="58B34520" w:rsidRPr="00445B8B">
        <w:t xml:space="preserve">for anyone interested in the aged care sector, including personal </w:t>
      </w:r>
      <w:r w:rsidRPr="00445B8B">
        <w:t>care workers</w:t>
      </w:r>
      <w:r w:rsidR="58B34520" w:rsidRPr="00445B8B">
        <w:t>, nurses, allied health professionals, volunteers and families</w:t>
      </w:r>
      <w:r w:rsidRPr="00445B8B">
        <w:t xml:space="preserve"> </w:t>
      </w:r>
      <w:r w:rsidR="58B34520" w:rsidRPr="00445B8B">
        <w:t>—</w:t>
      </w:r>
      <w:r w:rsidR="35BF4963" w:rsidRPr="00445B8B">
        <w:t xml:space="preserve"> Department of Health and Aged Care</w:t>
      </w:r>
      <w:r w:rsidR="58B34520" w:rsidRPr="00445B8B">
        <w:t xml:space="preserve"> </w:t>
      </w:r>
    </w:p>
    <w:p w14:paraId="1604E0AC" w14:textId="7FA2DA88" w:rsidR="00F62B25" w:rsidRPr="00445B8B" w:rsidRDefault="7385DB05" w:rsidP="00314F78">
      <w:pPr>
        <w:pStyle w:val="ListBullet"/>
      </w:pPr>
      <w:hyperlink r:id="rId251">
        <w:r w:rsidRPr="00445B8B">
          <w:rPr>
            <w:rStyle w:val="Hyperlink"/>
          </w:rPr>
          <w:t>Aged Care Transition to Practice Program (ACTTP)</w:t>
        </w:r>
      </w:hyperlink>
      <w:r w:rsidR="58B34520" w:rsidRPr="00445B8B">
        <w:t xml:space="preserve"> — mentoring, training and support for</w:t>
      </w:r>
      <w:r w:rsidRPr="00445B8B">
        <w:t xml:space="preserve"> new aged care nurses </w:t>
      </w:r>
      <w:r w:rsidR="58B34520" w:rsidRPr="00445B8B">
        <w:t>— Department of Health and Aged Care</w:t>
      </w:r>
    </w:p>
    <w:p w14:paraId="039ECC3B" w14:textId="77777777" w:rsidR="007071F1" w:rsidRPr="00445B8B" w:rsidRDefault="35BF4963" w:rsidP="00314F78">
      <w:pPr>
        <w:pStyle w:val="ListBullet"/>
      </w:pPr>
      <w:hyperlink r:id="rId252">
        <w:r w:rsidRPr="00445B8B">
          <w:rPr>
            <w:rStyle w:val="Hyperlink"/>
          </w:rPr>
          <w:t>Aged Care Nursing and Allied Health Scholarships</w:t>
        </w:r>
      </w:hyperlink>
      <w:r w:rsidRPr="00445B8B">
        <w:t xml:space="preserve"> – provides funding for a range of scholarship opportunities for nurses, personal care workers and allied health workers. Preference is given to applicants living and working in rural, regional and remote areas – Department of Health and Aged Care </w:t>
      </w:r>
    </w:p>
    <w:p w14:paraId="50F31D69" w14:textId="4C50C28F" w:rsidR="000D7234" w:rsidRPr="00445B8B" w:rsidRDefault="4B7A3213" w:rsidP="00314F78">
      <w:pPr>
        <w:pStyle w:val="ListBullet"/>
      </w:pPr>
      <w:hyperlink r:id="rId253" w:anchor=":~:text=This%20report%20reviews%20the%20national%20and%20international%20staffing,and%20%282%29%20specification%20of%20%E2%80%98appropriate%E2%80%99%20%28not%20minimum%29%20levels." w:history="1">
        <w:r w:rsidRPr="00445B8B">
          <w:rPr>
            <w:rStyle w:val="Hyperlink"/>
          </w:rPr>
          <w:t>Research Paper 1: How Australian residential aged care staffing levels compare with international and national benchmarks</w:t>
        </w:r>
      </w:hyperlink>
      <w:r w:rsidRPr="00445B8B">
        <w:t xml:space="preserve"> — research paper investigating </w:t>
      </w:r>
      <w:r w:rsidR="1A0359DB" w:rsidRPr="00445B8B">
        <w:t>international and national staffing profiles for residential aged care services in order to better understand how staffing can be improved in Australia</w:t>
      </w:r>
      <w:r w:rsidRPr="00445B8B">
        <w:t xml:space="preserve"> — Royal Commission into Aged Care Quality and Safety</w:t>
      </w:r>
    </w:p>
    <w:p w14:paraId="4DD2CCF6" w14:textId="429668AF" w:rsidR="00A66ACF" w:rsidRPr="00445B8B" w:rsidRDefault="00A66ACF" w:rsidP="00314F78">
      <w:pPr>
        <w:pStyle w:val="ListBullet"/>
      </w:pPr>
      <w:hyperlink r:id="rId254" w:history="1">
        <w:r w:rsidRPr="00445B8B">
          <w:rPr>
            <w:rStyle w:val="Hyperlink"/>
          </w:rPr>
          <w:t>Aged Care Quality and Safety Commission</w:t>
        </w:r>
      </w:hyperlink>
      <w:r w:rsidRPr="00445B8B">
        <w:t xml:space="preserve"> </w:t>
      </w:r>
      <w:r w:rsidR="004D0B17" w:rsidRPr="00445B8B">
        <w:t>—</w:t>
      </w:r>
      <w:r w:rsidR="00C3109C" w:rsidRPr="00445B8B">
        <w:t xml:space="preserve"> </w:t>
      </w:r>
      <w:r w:rsidRPr="00445B8B">
        <w:t>educational resources and workshops for aged care providers</w:t>
      </w:r>
      <w:r w:rsidR="005709DE" w:rsidRPr="00445B8B">
        <w:t xml:space="preserve">, </w:t>
      </w:r>
      <w:r w:rsidRPr="00445B8B">
        <w:t>new workforce entrants and pre</w:t>
      </w:r>
      <w:r w:rsidR="009E7B5C" w:rsidRPr="00445B8B">
        <w:noBreakHyphen/>
      </w:r>
      <w:r w:rsidRPr="00445B8B">
        <w:t>existing staff</w:t>
      </w:r>
      <w:r w:rsidR="005709DE" w:rsidRPr="00445B8B">
        <w:t xml:space="preserve"> — Aged Care Quality and Safety Commission</w:t>
      </w:r>
    </w:p>
    <w:p w14:paraId="5AA3558D" w14:textId="5154F532" w:rsidR="006F6D2C" w:rsidRPr="00445B8B" w:rsidRDefault="0B328BA4" w:rsidP="00314F78">
      <w:pPr>
        <w:pStyle w:val="ListBullet"/>
      </w:pPr>
      <w:hyperlink r:id="rId255">
        <w:r w:rsidRPr="00445B8B">
          <w:rPr>
            <w:rStyle w:val="Hyperlink"/>
          </w:rPr>
          <w:t>Nursing guidelines for continuing professional development</w:t>
        </w:r>
      </w:hyperlink>
      <w:r w:rsidRPr="00445B8B">
        <w:t xml:space="preserve"> — </w:t>
      </w:r>
      <w:r w:rsidR="58B34520" w:rsidRPr="00445B8B">
        <w:t xml:space="preserve">guidelines </w:t>
      </w:r>
      <w:r w:rsidR="306CB14F" w:rsidRPr="00445B8B">
        <w:t>provid</w:t>
      </w:r>
      <w:r w:rsidR="58B34520" w:rsidRPr="00445B8B">
        <w:t>ing</w:t>
      </w:r>
      <w:r w:rsidR="306CB14F" w:rsidRPr="00445B8B">
        <w:t xml:space="preserve"> </w:t>
      </w:r>
      <w:r w:rsidRPr="00445B8B">
        <w:t>information for nurses regarding the expectations and requirements of the Nursing and Midwifery Board Australia — AHPRA</w:t>
      </w:r>
    </w:p>
    <w:p w14:paraId="7840BFDB" w14:textId="23379E2E" w:rsidR="00180F2E" w:rsidRPr="00445B8B" w:rsidRDefault="009E7B5C" w:rsidP="00314F78">
      <w:pPr>
        <w:pStyle w:val="ListBullet"/>
      </w:pPr>
      <w:hyperlink r:id="rId256" w:history="1">
        <w:r w:rsidRPr="00445B8B">
          <w:rPr>
            <w:rStyle w:val="Hyperlink"/>
          </w:rPr>
          <w:t>Aged Care Award</w:t>
        </w:r>
      </w:hyperlink>
      <w:r w:rsidRPr="00445B8B">
        <w:t xml:space="preserve"> — Fair Work Commission (previously fair work Australia)</w:t>
      </w:r>
    </w:p>
    <w:p w14:paraId="7A788F19" w14:textId="127A5450" w:rsidR="009A4AF1" w:rsidRPr="00445B8B" w:rsidRDefault="4EB38440" w:rsidP="00314F78">
      <w:pPr>
        <w:pStyle w:val="ListBullet"/>
      </w:pPr>
      <w:hyperlink r:id="rId257">
        <w:r w:rsidRPr="00445B8B">
          <w:rPr>
            <w:rStyle w:val="Hyperlink"/>
          </w:rPr>
          <w:t>The national imperative to improve nursing home quality</w:t>
        </w:r>
        <w:r w:rsidR="3AA748C8" w:rsidRPr="00445B8B">
          <w:rPr>
            <w:rStyle w:val="Hyperlink"/>
          </w:rPr>
          <w:t>: Honoring our commitment to residents</w:t>
        </w:r>
        <w:r w:rsidR="58B34520" w:rsidRPr="00445B8B">
          <w:rPr>
            <w:rStyle w:val="Hyperlink"/>
          </w:rPr>
          <w:t>,</w:t>
        </w:r>
        <w:r w:rsidR="3AA748C8" w:rsidRPr="00445B8B">
          <w:rPr>
            <w:rStyle w:val="Hyperlink"/>
          </w:rPr>
          <w:t xml:space="preserve"> families and staff</w:t>
        </w:r>
      </w:hyperlink>
      <w:r w:rsidR="4EDEF963" w:rsidRPr="00445B8B">
        <w:t xml:space="preserve"> </w:t>
      </w:r>
      <w:r w:rsidR="3AA748C8" w:rsidRPr="00445B8B">
        <w:t xml:space="preserve">— e-book </w:t>
      </w:r>
      <w:r w:rsidR="4EDEF963" w:rsidRPr="00445B8B">
        <w:t xml:space="preserve">discusses relevant workforce </w:t>
      </w:r>
      <w:r w:rsidR="5F4D1BD4" w:rsidRPr="00445B8B">
        <w:t>issues including administration, leadership, licensing, professional development, health and wellbeing of care workers and different types of care workers</w:t>
      </w:r>
      <w:r w:rsidR="3AA748C8" w:rsidRPr="00445B8B">
        <w:t xml:space="preserve"> — National Academies of Sciences, Engineering and Medicine, USA</w:t>
      </w:r>
    </w:p>
    <w:p w14:paraId="72223BB3" w14:textId="6F93217C" w:rsidR="00A16EE1" w:rsidRPr="00445B8B" w:rsidRDefault="00607DE7" w:rsidP="00314F78">
      <w:pPr>
        <w:rPr>
          <w:rStyle w:val="Emphasis"/>
        </w:rPr>
      </w:pPr>
      <w:r w:rsidRPr="00445B8B">
        <w:rPr>
          <w:rStyle w:val="Emphasis"/>
        </w:rPr>
        <w:t>Some tools, guidance and resources may be updated over time; it is important to ensure you are looking at the most recent version.</w:t>
      </w:r>
    </w:p>
    <w:p w14:paraId="082E5EEF" w14:textId="77777777" w:rsidR="00653FFD" w:rsidRDefault="00653FFD" w:rsidP="00314F78"/>
    <w:p w14:paraId="1EC40D5E" w14:textId="77777777" w:rsidR="00445B8B" w:rsidRPr="002765D3" w:rsidRDefault="00445B8B" w:rsidP="00314F78">
      <w:pPr>
        <w:sectPr w:rsidR="00445B8B" w:rsidRPr="002765D3" w:rsidSect="00823F3B">
          <w:headerReference w:type="even" r:id="rId258"/>
          <w:headerReference w:type="default" r:id="rId259"/>
          <w:headerReference w:type="first" r:id="rId260"/>
          <w:footerReference w:type="first" r:id="rId261"/>
          <w:endnotePr>
            <w:numFmt w:val="decimal"/>
          </w:endnotePr>
          <w:type w:val="continuous"/>
          <w:pgSz w:w="11906" w:h="16838" w:code="9"/>
          <w:pgMar w:top="1701" w:right="1134" w:bottom="1134" w:left="1134" w:header="567" w:footer="567" w:gutter="0"/>
          <w:cols w:space="708"/>
          <w:docGrid w:linePitch="360"/>
        </w:sectPr>
      </w:pPr>
    </w:p>
    <w:p w14:paraId="3D7527F1" w14:textId="53ADBE54" w:rsidR="00A16EE1" w:rsidRPr="00445B8B" w:rsidRDefault="00687828" w:rsidP="0059348C">
      <w:pPr>
        <w:pStyle w:val="Heading1"/>
      </w:pPr>
      <w:bookmarkStart w:id="67" w:name="_Toc193889899"/>
      <w:r>
        <w:rPr>
          <w:noProof/>
        </w:rPr>
        <w:lastRenderedPageBreak/>
        <w:drawing>
          <wp:anchor distT="0" distB="0" distL="114300" distR="114300" simplePos="0" relativeHeight="251658295" behindDoc="1" locked="0" layoutInCell="1" allowOverlap="1" wp14:anchorId="75D9A902" wp14:editId="631F22A8">
            <wp:simplePos x="0" y="0"/>
            <wp:positionH relativeFrom="page">
              <wp:align>left</wp:align>
            </wp:positionH>
            <wp:positionV relativeFrom="paragraph">
              <wp:posOffset>416284</wp:posOffset>
            </wp:positionV>
            <wp:extent cx="7704000" cy="1440000"/>
            <wp:effectExtent l="0" t="0" r="0" b="8255"/>
            <wp:wrapNone/>
            <wp:docPr id="403851296" name="Picture 5" descr="P11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51296" name="Picture 5" descr="P1132#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EE1" w:rsidRPr="00445B8B">
        <w:t>Consumer experience</w:t>
      </w:r>
      <w:bookmarkEnd w:id="67"/>
    </w:p>
    <w:p w14:paraId="749B953B" w14:textId="63C1D10A" w:rsidR="0067687E" w:rsidRPr="002765D3" w:rsidRDefault="0067687E" w:rsidP="0067687E">
      <w:pPr>
        <w:pStyle w:val="Headerwhite"/>
        <w:rPr>
          <w:highlight w:val="yellow"/>
        </w:rPr>
      </w:pPr>
      <w:r w:rsidRPr="00454D17">
        <w:rPr>
          <w:noProof/>
        </w:rPr>
        <w:drawing>
          <wp:anchor distT="0" distB="0" distL="114300" distR="114300" simplePos="0" relativeHeight="251658260" behindDoc="0" locked="0" layoutInCell="1" allowOverlap="1" wp14:anchorId="5CE0EBC0" wp14:editId="7DD5D54E">
            <wp:simplePos x="0" y="0"/>
            <wp:positionH relativeFrom="margin">
              <wp:align>left</wp:align>
            </wp:positionH>
            <wp:positionV relativeFrom="paragraph">
              <wp:posOffset>250011</wp:posOffset>
            </wp:positionV>
            <wp:extent cx="1080135" cy="1022350"/>
            <wp:effectExtent l="0" t="0" r="5715" b="6350"/>
            <wp:wrapSquare wrapText="bothSides"/>
            <wp:docPr id="212" name="Picture 212" descr="P11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1133#y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80135" cy="1022350"/>
                    </a:xfrm>
                    <a:prstGeom prst="rect">
                      <a:avLst/>
                    </a:prstGeom>
                    <a:noFill/>
                  </pic:spPr>
                </pic:pic>
              </a:graphicData>
            </a:graphic>
          </wp:anchor>
        </w:drawing>
      </w:r>
      <w:r w:rsidRPr="189D3658">
        <w:t>Consumer experience is crucial in capturing the consumer voice of older Australians. Consumer experience represents the perspective of care recipients, or their proxies, to support services tailor and improve quality of care.</w:t>
      </w:r>
    </w:p>
    <w:p w14:paraId="528A2D54" w14:textId="1EC30110" w:rsidR="00A16EE1" w:rsidRPr="00687828" w:rsidRDefault="00A16EE1" w:rsidP="00687828"/>
    <w:p w14:paraId="2B68613B" w14:textId="63411ACB" w:rsidR="00445B8B" w:rsidRDefault="00445B8B" w:rsidP="0059348C">
      <w:pPr>
        <w:pStyle w:val="Heading2"/>
        <w:sectPr w:rsidR="00445B8B" w:rsidSect="00CE53D5">
          <w:headerReference w:type="even" r:id="rId263"/>
          <w:headerReference w:type="default" r:id="rId264"/>
          <w:headerReference w:type="first" r:id="rId265"/>
          <w:endnotePr>
            <w:numFmt w:val="decimal"/>
          </w:endnotePr>
          <w:pgSz w:w="11906" w:h="16838" w:code="9"/>
          <w:pgMar w:top="1701" w:right="1134" w:bottom="1134" w:left="1134" w:header="567" w:footer="567" w:gutter="0"/>
          <w:cols w:space="708"/>
          <w:docGrid w:linePitch="360"/>
        </w:sectPr>
      </w:pPr>
    </w:p>
    <w:p w14:paraId="2071C56E" w14:textId="3BACF46F" w:rsidR="00A16EE1" w:rsidRPr="00445B8B" w:rsidRDefault="00A16EE1" w:rsidP="0059348C">
      <w:pPr>
        <w:pStyle w:val="Heading2"/>
      </w:pPr>
      <w:r w:rsidRPr="00445B8B">
        <w:t>Overview of consumer experience</w:t>
      </w:r>
    </w:p>
    <w:p w14:paraId="10E1D393" w14:textId="1E16F760" w:rsidR="00A16EE1" w:rsidRPr="00AE03F5" w:rsidRDefault="00531460" w:rsidP="00314F78">
      <w:r w:rsidRPr="00AE03F5">
        <w:fldChar w:fldCharType="begin" w:fldLock="1"/>
      </w:r>
      <w:r w:rsidRPr="00AE03F5">
        <w:instrText xml:space="preserve"> REF _Ref105140111 \h </w:instrText>
      </w:r>
      <w:r w:rsidR="00AE03F5">
        <w:instrText xml:space="preserve"> \* MERGEFORMAT </w:instrText>
      </w:r>
      <w:r w:rsidRPr="00AE03F5">
        <w:fldChar w:fldCharType="separate"/>
      </w:r>
      <w:r w:rsidR="009F0B74" w:rsidRPr="00AE03F5">
        <w:t>Figure </w:t>
      </w:r>
      <w:r w:rsidRPr="00AE03F5">
        <w:fldChar w:fldCharType="end"/>
      </w:r>
      <w:r w:rsidR="0074733C" w:rsidRPr="00AE03F5">
        <w:t xml:space="preserve">47 </w:t>
      </w:r>
      <w:r w:rsidR="00A16EE1" w:rsidRPr="00AE03F5">
        <w:t xml:space="preserve">provides an overview of consumer experience in residential aged care </w:t>
      </w:r>
      <w:r w:rsidR="00D3069A" w:rsidRPr="00AE03F5">
        <w:t>services</w:t>
      </w:r>
      <w:r w:rsidR="00A16EE1" w:rsidRPr="00AE03F5">
        <w:t>.</w:t>
      </w:r>
      <w:r w:rsidR="00D51158" w:rsidRPr="00AE03F5">
        <w:t xml:space="preserve"> The data and references have been reviewed</w:t>
      </w:r>
      <w:r w:rsidR="005B5701" w:rsidRPr="00AE03F5">
        <w:t xml:space="preserve"> March 2025.</w:t>
      </w:r>
    </w:p>
    <w:p w14:paraId="088303A0" w14:textId="2238BF22" w:rsidR="00A16EE1" w:rsidRPr="00AE03F5" w:rsidRDefault="00705AB3" w:rsidP="00314F78">
      <w:pPr>
        <w:pStyle w:val="Caption"/>
      </w:pPr>
      <w:bookmarkStart w:id="68" w:name="_Ref105140111"/>
      <w:r w:rsidRPr="00AE03F5">
        <w:t>FIGURE </w:t>
      </w:r>
      <w:bookmarkEnd w:id="68"/>
      <w:r w:rsidR="00531A57" w:rsidRPr="00AE03F5">
        <w:fldChar w:fldCharType="begin"/>
      </w:r>
      <w:r w:rsidR="00531A57" w:rsidRPr="00AE03F5">
        <w:instrText>SEQ Figure \* ARABIC</w:instrText>
      </w:r>
      <w:r w:rsidR="00531A57" w:rsidRPr="00AE03F5">
        <w:fldChar w:fldCharType="separate"/>
      </w:r>
      <w:r w:rsidR="003A30D7">
        <w:rPr>
          <w:noProof/>
        </w:rPr>
        <w:t>47</w:t>
      </w:r>
      <w:r w:rsidR="00531A57" w:rsidRPr="00AE03F5">
        <w:fldChar w:fldCharType="end"/>
      </w:r>
      <w:r w:rsidRPr="00AE03F5">
        <w:t>: CONSUMER EXPERIENCE IN RESIDENTIAL AGED CARE</w:t>
      </w:r>
      <w:r w:rsidR="009253DC">
        <w:rPr>
          <w:rFonts w:ascii="ZWAdobeF" w:hAnsi="ZWAdobeF" w:cs="ZWAdobeF"/>
          <w:b w:val="0"/>
          <w:color w:val="auto"/>
          <w:sz w:val="2"/>
          <w:szCs w:val="2"/>
        </w:rPr>
        <w:t>195F</w:t>
      </w:r>
      <w:r w:rsidR="0056246E" w:rsidRPr="00454D17">
        <w:rPr>
          <w:rStyle w:val="EndnoteReference"/>
        </w:rPr>
        <w:endnoteReference w:id="197"/>
      </w:r>
      <w:r w:rsidRPr="00454D17">
        <w:rPr>
          <w:rStyle w:val="EndnoteReference"/>
        </w:rPr>
        <w:t xml:space="preserve"> </w:t>
      </w:r>
      <w:r w:rsidR="009253DC">
        <w:rPr>
          <w:rFonts w:ascii="ZWAdobeF" w:hAnsi="ZWAdobeF" w:cs="ZWAdobeF"/>
          <w:b w:val="0"/>
          <w:color w:val="auto"/>
          <w:sz w:val="2"/>
          <w:szCs w:val="2"/>
        </w:rPr>
        <w:t>196F</w:t>
      </w:r>
      <w:r w:rsidR="0056246E" w:rsidRPr="00454D17">
        <w:rPr>
          <w:rStyle w:val="EndnoteReference"/>
        </w:rPr>
        <w:endnoteReference w:id="198"/>
      </w:r>
      <w:r w:rsidRPr="00454D17">
        <w:rPr>
          <w:rStyle w:val="EndnoteReference"/>
        </w:rPr>
        <w:t xml:space="preserve"> </w:t>
      </w:r>
      <w:r w:rsidR="009253DC">
        <w:rPr>
          <w:rFonts w:ascii="ZWAdobeF" w:hAnsi="ZWAdobeF" w:cs="ZWAdobeF"/>
          <w:b w:val="0"/>
          <w:color w:val="auto"/>
          <w:sz w:val="2"/>
          <w:szCs w:val="2"/>
        </w:rPr>
        <w:t>197F</w:t>
      </w:r>
      <w:r w:rsidR="009D44B6" w:rsidRPr="00454D17">
        <w:rPr>
          <w:rStyle w:val="EndnoteReference"/>
        </w:rPr>
        <w:endnoteReference w:id="199"/>
      </w:r>
    </w:p>
    <w:p w14:paraId="370B3A90" w14:textId="7BEC914E" w:rsidR="00A16EE1" w:rsidRPr="002765D3" w:rsidRDefault="00A60BA3" w:rsidP="00314F78">
      <w:r>
        <w:rPr>
          <w:noProof/>
        </w:rPr>
        <w:drawing>
          <wp:inline distT="0" distB="0" distL="0" distR="0" wp14:anchorId="60AE3A38" wp14:editId="6826C3C0">
            <wp:extent cx="6124757" cy="4981575"/>
            <wp:effectExtent l="0" t="0" r="9525" b="0"/>
            <wp:docPr id="44" name="Picture 44" descr="P11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1139#yIS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7489" cy="4983797"/>
                    </a:xfrm>
                    <a:prstGeom prst="rect">
                      <a:avLst/>
                    </a:prstGeom>
                    <a:noFill/>
                  </pic:spPr>
                </pic:pic>
              </a:graphicData>
            </a:graphic>
          </wp:inline>
        </w:drawing>
      </w:r>
      <w:r w:rsidR="00A16EE1" w:rsidRPr="002765D3">
        <w:br w:type="page"/>
      </w:r>
    </w:p>
    <w:p w14:paraId="44D27A62" w14:textId="5D07D0F3" w:rsidR="00A16EE1" w:rsidRPr="00AE03F5" w:rsidRDefault="00A16EE1" w:rsidP="0059348C">
      <w:pPr>
        <w:pStyle w:val="Heading2"/>
      </w:pPr>
      <w:r w:rsidRPr="00AE03F5">
        <w:lastRenderedPageBreak/>
        <w:t>Consumer experience in residential aged care</w:t>
      </w:r>
    </w:p>
    <w:p w14:paraId="59ADD3CC" w14:textId="0637AD84" w:rsidR="00A16EE1" w:rsidRPr="00AE03F5" w:rsidRDefault="034D76A8" w:rsidP="00314F78">
      <w:r w:rsidRPr="00AE03F5">
        <w:t>Collecting, monitoring and responding to c</w:t>
      </w:r>
      <w:r w:rsidR="7C9EB3A8" w:rsidRPr="00AE03F5">
        <w:t xml:space="preserve">onsumer experience is </w:t>
      </w:r>
      <w:r w:rsidRPr="00AE03F5">
        <w:t xml:space="preserve">necessary to appropriately listen to the voice of care recipients and </w:t>
      </w:r>
      <w:r w:rsidR="0684A1F1" w:rsidRPr="00AE03F5">
        <w:t>understand the effectiveness of aged care</w:t>
      </w:r>
      <w:r w:rsidR="7C9EB3A8" w:rsidRPr="00AE03F5">
        <w:t>.</w:t>
      </w:r>
      <w:r w:rsidR="3E841C23" w:rsidRPr="00AE03F5">
        <w:t xml:space="preserve"> </w:t>
      </w:r>
      <w:r w:rsidRPr="00AE03F5">
        <w:t>For the purposes of the QI Program,</w:t>
      </w:r>
      <w:r w:rsidR="7C9EB3A8" w:rsidRPr="00AE03F5">
        <w:t xml:space="preserve"> </w:t>
      </w:r>
      <w:r w:rsidR="3E841C23" w:rsidRPr="00AE03F5">
        <w:t>s</w:t>
      </w:r>
      <w:r w:rsidR="7C9EB3A8" w:rsidRPr="00AE03F5">
        <w:t xml:space="preserve">ix elements </w:t>
      </w:r>
      <w:r w:rsidRPr="00AE03F5">
        <w:t>of consumer experience are sought from</w:t>
      </w:r>
      <w:r w:rsidR="7C9EB3A8" w:rsidRPr="00AE03F5">
        <w:t xml:space="preserve"> care recipients</w:t>
      </w:r>
      <w:r w:rsidRPr="00AE03F5">
        <w:t>, or</w:t>
      </w:r>
      <w:r w:rsidR="7C9EB3A8" w:rsidRPr="00AE03F5">
        <w:t xml:space="preserve"> their families </w:t>
      </w:r>
      <w:r w:rsidR="58391368" w:rsidRPr="00AE03F5">
        <w:t>and</w:t>
      </w:r>
      <w:r w:rsidR="7893FEC3" w:rsidRPr="00AE03F5">
        <w:t xml:space="preserve"> representatives</w:t>
      </w:r>
      <w:r w:rsidR="58391368" w:rsidRPr="00AE03F5">
        <w:t>, these are</w:t>
      </w:r>
      <w:r w:rsidR="50C8165C" w:rsidRPr="00AE03F5">
        <w:t>:</w:t>
      </w:r>
      <w:r w:rsidR="009253DC">
        <w:rPr>
          <w:rFonts w:ascii="ZWAdobeF" w:hAnsi="ZWAdobeF" w:cs="ZWAdobeF"/>
          <w:color w:val="auto"/>
          <w:sz w:val="2"/>
          <w:szCs w:val="2"/>
        </w:rPr>
        <w:t>198F</w:t>
      </w:r>
      <w:r w:rsidR="00B21E11" w:rsidRPr="00AE03F5">
        <w:rPr>
          <w:vertAlign w:val="superscript"/>
        </w:rPr>
        <w:endnoteReference w:id="200"/>
      </w:r>
    </w:p>
    <w:p w14:paraId="189914C0" w14:textId="5C23A31C" w:rsidR="00A16EE1" w:rsidRPr="00454D17" w:rsidRDefault="00946B44" w:rsidP="00314F78">
      <w:pPr>
        <w:pStyle w:val="ListBullet"/>
      </w:pPr>
      <w:r w:rsidRPr="00454D17">
        <w:t>Being</w:t>
      </w:r>
      <w:r w:rsidR="00A16EE1" w:rsidRPr="00454D17">
        <w:t xml:space="preserve"> treated with respect and dignity</w:t>
      </w:r>
    </w:p>
    <w:p w14:paraId="43BDD833" w14:textId="5E3543D5" w:rsidR="00A16EE1" w:rsidRPr="00454D17" w:rsidRDefault="00946B44" w:rsidP="00314F78">
      <w:pPr>
        <w:pStyle w:val="ListBullet"/>
      </w:pPr>
      <w:r w:rsidRPr="00454D17">
        <w:t>S</w:t>
      </w:r>
      <w:r w:rsidR="00A16EE1" w:rsidRPr="00454D17">
        <w:t>upport to make decisions about care</w:t>
      </w:r>
    </w:p>
    <w:p w14:paraId="651BFD2F" w14:textId="3C783A57" w:rsidR="00A16EE1" w:rsidRPr="00AE03F5" w:rsidRDefault="2E673F09" w:rsidP="00314F78">
      <w:pPr>
        <w:pStyle w:val="ListBullet"/>
      </w:pPr>
      <w:r w:rsidRPr="00AE03F5">
        <w:t>C</w:t>
      </w:r>
      <w:r w:rsidR="7C9EB3A8" w:rsidRPr="00AE03F5">
        <w:t>are and support provided by staff with appropriate skills</w:t>
      </w:r>
      <w:r w:rsidR="0684A1F1" w:rsidRPr="00AE03F5">
        <w:t xml:space="preserve"> and training</w:t>
      </w:r>
    </w:p>
    <w:p w14:paraId="7DCCDA0C" w14:textId="6B62EE06" w:rsidR="00A16EE1" w:rsidRPr="00AE03F5" w:rsidRDefault="2E673F09" w:rsidP="00314F78">
      <w:pPr>
        <w:pStyle w:val="ListBullet"/>
      </w:pPr>
      <w:r w:rsidRPr="00AE03F5">
        <w:t>S</w:t>
      </w:r>
      <w:r w:rsidR="7C9EB3A8" w:rsidRPr="00AE03F5">
        <w:t>ervices and supports for daily living positive</w:t>
      </w:r>
      <w:r w:rsidR="58391368" w:rsidRPr="00AE03F5">
        <w:t>ly</w:t>
      </w:r>
      <w:r w:rsidR="7C9EB3A8" w:rsidRPr="00AE03F5">
        <w:t xml:space="preserve"> impact on overall health and wellbeing</w:t>
      </w:r>
    </w:p>
    <w:p w14:paraId="36D606BB" w14:textId="4D5254E4" w:rsidR="00A16EE1" w:rsidRPr="00AE03F5" w:rsidRDefault="3E841C23" w:rsidP="00314F78">
      <w:pPr>
        <w:pStyle w:val="ListBullet"/>
      </w:pPr>
      <w:r w:rsidRPr="00AE03F5">
        <w:t>S</w:t>
      </w:r>
      <w:r w:rsidR="7C9EB3A8" w:rsidRPr="00AE03F5">
        <w:t>upport and encourag</w:t>
      </w:r>
      <w:r w:rsidR="58391368" w:rsidRPr="00AE03F5">
        <w:t>ement</w:t>
      </w:r>
      <w:r w:rsidR="7C9EB3A8" w:rsidRPr="00AE03F5">
        <w:t xml:space="preserve"> to maintain social relationships and community connections</w:t>
      </w:r>
    </w:p>
    <w:p w14:paraId="4BCCFDE3" w14:textId="18475F13" w:rsidR="00A16EE1" w:rsidRPr="00454D17" w:rsidRDefault="002363E4" w:rsidP="00314F78">
      <w:pPr>
        <w:pStyle w:val="ListBullet"/>
      </w:pPr>
      <w:r w:rsidRPr="00454D17">
        <w:t>C</w:t>
      </w:r>
      <w:r w:rsidR="00A16EE1" w:rsidRPr="00454D17">
        <w:t xml:space="preserve">omfort </w:t>
      </w:r>
      <w:r w:rsidRPr="00454D17">
        <w:t xml:space="preserve">in </w:t>
      </w:r>
      <w:r w:rsidR="00A16EE1" w:rsidRPr="00454D17">
        <w:t>lodging complaints, with confidence that issues will be appropriately addressed.</w:t>
      </w:r>
    </w:p>
    <w:p w14:paraId="31001181" w14:textId="60DB3DBD" w:rsidR="001E0211" w:rsidRPr="00AE03F5" w:rsidRDefault="001E0211" w:rsidP="00314F78">
      <w:r w:rsidRPr="00AE03F5">
        <w:t>Details of collection and reporting requirements for the consumer experience quality indicator can be found in Part A.</w:t>
      </w:r>
    </w:p>
    <w:p w14:paraId="31D4DD1F" w14:textId="36120415" w:rsidR="00A16EE1" w:rsidRPr="00AE03F5" w:rsidRDefault="00A16EE1" w:rsidP="0059348C">
      <w:pPr>
        <w:pStyle w:val="Heading2"/>
      </w:pPr>
      <w:r w:rsidRPr="00AE03F5">
        <w:t>Risk factors affecting consumer experience</w:t>
      </w:r>
    </w:p>
    <w:p w14:paraId="784C201A" w14:textId="5731766B" w:rsidR="00392209" w:rsidRPr="00AE03F5" w:rsidRDefault="0D784161" w:rsidP="00314F78">
      <w:r w:rsidRPr="00AE03F5">
        <w:t xml:space="preserve">In </w:t>
      </w:r>
      <w:r w:rsidR="10393E8C" w:rsidRPr="00AE03F5">
        <w:t xml:space="preserve">residential </w:t>
      </w:r>
      <w:r w:rsidRPr="00AE03F5">
        <w:t>aged care, co</w:t>
      </w:r>
      <w:r w:rsidR="209D8C81" w:rsidRPr="00AE03F5">
        <w:t>nsumer experience</w:t>
      </w:r>
      <w:r w:rsidRPr="00AE03F5">
        <w:t xml:space="preserve"> </w:t>
      </w:r>
      <w:r w:rsidR="209D8C81" w:rsidRPr="00AE03F5">
        <w:t>is negatively impacted</w:t>
      </w:r>
      <w:r w:rsidR="10D3B283" w:rsidRPr="00AE03F5">
        <w:t xml:space="preserve"> when:</w:t>
      </w:r>
      <w:r w:rsidR="009253DC">
        <w:rPr>
          <w:rFonts w:ascii="ZWAdobeF" w:hAnsi="ZWAdobeF" w:cs="ZWAdobeF"/>
          <w:color w:val="auto"/>
          <w:sz w:val="2"/>
          <w:szCs w:val="2"/>
        </w:rPr>
        <w:t>199F</w:t>
      </w:r>
      <w:r w:rsidR="00BF73E5" w:rsidRPr="00AE03F5">
        <w:rPr>
          <w:vertAlign w:val="superscript"/>
        </w:rPr>
        <w:endnoteReference w:id="201"/>
      </w:r>
      <w:r w:rsidR="7858E358" w:rsidRPr="00AE03F5">
        <w:rPr>
          <w:vertAlign w:val="superscript"/>
        </w:rPr>
        <w:t xml:space="preserve"> </w:t>
      </w:r>
      <w:r w:rsidR="009253DC">
        <w:rPr>
          <w:rFonts w:ascii="ZWAdobeF" w:hAnsi="ZWAdobeF" w:cs="ZWAdobeF"/>
          <w:color w:val="auto"/>
          <w:sz w:val="2"/>
          <w:szCs w:val="2"/>
        </w:rPr>
        <w:t>200F</w:t>
      </w:r>
      <w:r w:rsidR="00BF73E5" w:rsidRPr="00AE03F5">
        <w:rPr>
          <w:vertAlign w:val="superscript"/>
        </w:rPr>
        <w:endnoteReference w:id="202"/>
      </w:r>
    </w:p>
    <w:p w14:paraId="34C2A57D" w14:textId="77777777" w:rsidR="00BF73E5" w:rsidRPr="00AE03F5" w:rsidRDefault="00BF73E5" w:rsidP="00314F78">
      <w:pPr>
        <w:pStyle w:val="ListBullet"/>
      </w:pPr>
      <w:r w:rsidRPr="00AE03F5">
        <w:t>transparent processes are not in place for feedback or complaints</w:t>
      </w:r>
    </w:p>
    <w:p w14:paraId="44A76D9F" w14:textId="0DF14B7E" w:rsidR="002363E4" w:rsidRPr="00AE03F5" w:rsidRDefault="002363E4" w:rsidP="00314F78">
      <w:pPr>
        <w:pStyle w:val="ListBullet"/>
      </w:pPr>
      <w:r w:rsidRPr="00AE03F5">
        <w:t>care recipients are afraid of negative consequences if they complain or speak</w:t>
      </w:r>
    </w:p>
    <w:p w14:paraId="0CE39D9B" w14:textId="77777777" w:rsidR="00BF73E5" w:rsidRPr="00AE03F5" w:rsidRDefault="00BF73E5" w:rsidP="00314F78">
      <w:pPr>
        <w:pStyle w:val="ListBullet"/>
      </w:pPr>
      <w:r w:rsidRPr="00AE03F5">
        <w:t>care recipients feel their opinion is not listened to or valued</w:t>
      </w:r>
    </w:p>
    <w:p w14:paraId="44E1E31A" w14:textId="77777777" w:rsidR="002363E4" w:rsidRPr="00AE03F5" w:rsidRDefault="002363E4" w:rsidP="00314F78">
      <w:pPr>
        <w:pStyle w:val="ListBullet"/>
      </w:pPr>
      <w:r w:rsidRPr="00AE03F5">
        <w:t>information sharing is not collaborative</w:t>
      </w:r>
    </w:p>
    <w:p w14:paraId="6C7D3370" w14:textId="63DD335E" w:rsidR="00392209" w:rsidRPr="00AE03F5" w:rsidRDefault="00392209" w:rsidP="00314F78">
      <w:pPr>
        <w:pStyle w:val="ListBullet"/>
      </w:pPr>
      <w:r w:rsidRPr="00AE03F5">
        <w:t xml:space="preserve">care </w:t>
      </w:r>
      <w:r w:rsidR="002363E4" w:rsidRPr="00AE03F5">
        <w:t>does not</w:t>
      </w:r>
      <w:r w:rsidRPr="00AE03F5">
        <w:t xml:space="preserve"> feel personalised</w:t>
      </w:r>
      <w:r w:rsidR="002363E4" w:rsidRPr="00AE03F5">
        <w:t xml:space="preserve"> or culturally appropriate</w:t>
      </w:r>
    </w:p>
    <w:p w14:paraId="6E2DBB74" w14:textId="0A9B8E24" w:rsidR="00392209" w:rsidRPr="00AE03F5" w:rsidRDefault="00417E9A" w:rsidP="00314F78">
      <w:pPr>
        <w:pStyle w:val="ListBullet"/>
      </w:pPr>
      <w:r w:rsidRPr="00AE03F5">
        <w:t xml:space="preserve">care recipients </w:t>
      </w:r>
      <w:r w:rsidR="000F6E3A" w:rsidRPr="00AE03F5">
        <w:t xml:space="preserve">feel </w:t>
      </w:r>
      <w:r w:rsidR="00552E21" w:rsidRPr="00AE03F5">
        <w:t>inferior to their carers</w:t>
      </w:r>
    </w:p>
    <w:p w14:paraId="7BDF362C" w14:textId="6D7BDA32" w:rsidR="002363E4" w:rsidRPr="00AE03F5" w:rsidRDefault="7858E358" w:rsidP="00314F78">
      <w:pPr>
        <w:pStyle w:val="ListBullet"/>
      </w:pPr>
      <w:r w:rsidRPr="00AE03F5">
        <w:t>opportunities to participate in community-based activities are not available.</w:t>
      </w:r>
    </w:p>
    <w:p w14:paraId="090957BA" w14:textId="675471E2" w:rsidR="00A16EE1" w:rsidRPr="00AE03F5" w:rsidRDefault="00A16EE1" w:rsidP="0059348C">
      <w:pPr>
        <w:pStyle w:val="Heading2"/>
      </w:pPr>
      <w:r w:rsidRPr="00AE03F5">
        <w:t>Adverse clinical events and consumer experience</w:t>
      </w:r>
    </w:p>
    <w:p w14:paraId="46773191" w14:textId="1F98BF4A" w:rsidR="00A16EE1" w:rsidRPr="00AE03F5" w:rsidRDefault="7C9EB3A8" w:rsidP="00314F78">
      <w:r w:rsidRPr="00AE03F5">
        <w:t>Negative experiences of residential aged care can lead to a range of physical, psychological and social issues for care recipients</w:t>
      </w:r>
      <w:r w:rsidR="344C6ECB" w:rsidRPr="00AE03F5">
        <w:t>, their families and representatives</w:t>
      </w:r>
      <w:r w:rsidRPr="00AE03F5">
        <w:t>, including</w:t>
      </w:r>
      <w:r w:rsidR="675B41E7" w:rsidRPr="00AE03F5">
        <w:t>:</w:t>
      </w:r>
      <w:r w:rsidR="009253DC">
        <w:rPr>
          <w:rFonts w:ascii="ZWAdobeF" w:hAnsi="ZWAdobeF" w:cs="ZWAdobeF"/>
          <w:color w:val="auto"/>
          <w:sz w:val="2"/>
          <w:szCs w:val="2"/>
        </w:rPr>
        <w:t>201F</w:t>
      </w:r>
      <w:r w:rsidR="009D6C73" w:rsidRPr="00AE03F5">
        <w:rPr>
          <w:vertAlign w:val="superscript"/>
        </w:rPr>
        <w:endnoteReference w:id="203"/>
      </w:r>
    </w:p>
    <w:p w14:paraId="146021DF" w14:textId="26FC2D5C" w:rsidR="00A16EE1" w:rsidRPr="00AE03F5" w:rsidRDefault="5C1EDA89" w:rsidP="00314F78">
      <w:pPr>
        <w:pStyle w:val="ListBullet"/>
      </w:pPr>
      <w:r w:rsidRPr="00AE03F5">
        <w:t>reduced engagement</w:t>
      </w:r>
      <w:r w:rsidR="00913101" w:rsidRPr="00AE03F5">
        <w:t>/withdrawal</w:t>
      </w:r>
    </w:p>
    <w:p w14:paraId="4700320A" w14:textId="100CB16D" w:rsidR="00A16EE1" w:rsidRPr="00AE03F5" w:rsidRDefault="5C1EDA89" w:rsidP="00314F78">
      <w:pPr>
        <w:pStyle w:val="ListBullet"/>
      </w:pPr>
      <w:r w:rsidRPr="00AE03F5">
        <w:t>resentment</w:t>
      </w:r>
    </w:p>
    <w:p w14:paraId="1C7DFB8B" w14:textId="77777777" w:rsidR="00913101" w:rsidRPr="00AE03F5" w:rsidRDefault="5C1EDA89" w:rsidP="00314F78">
      <w:pPr>
        <w:pStyle w:val="ListBullet"/>
      </w:pPr>
      <w:r w:rsidRPr="00AE03F5">
        <w:t>loss of autonomy</w:t>
      </w:r>
    </w:p>
    <w:p w14:paraId="2F9393FF" w14:textId="28609698" w:rsidR="00913101" w:rsidRPr="00AE03F5" w:rsidRDefault="00913101" w:rsidP="00314F78">
      <w:pPr>
        <w:pStyle w:val="ListBullet"/>
      </w:pPr>
      <w:r w:rsidRPr="00AE03F5">
        <w:t>distrust</w:t>
      </w:r>
    </w:p>
    <w:p w14:paraId="4542EC1C" w14:textId="415A089A" w:rsidR="00A16EE1" w:rsidRPr="00AE03F5" w:rsidRDefault="5C1EDA89" w:rsidP="00314F78">
      <w:pPr>
        <w:pStyle w:val="ListBullet"/>
      </w:pPr>
      <w:r w:rsidRPr="00AE03F5">
        <w:t>withholding constructive feedback for fear of retribution</w:t>
      </w:r>
    </w:p>
    <w:p w14:paraId="15044E82" w14:textId="77777777" w:rsidR="00913101" w:rsidRPr="00AE03F5" w:rsidRDefault="00913101" w:rsidP="00314F78">
      <w:pPr>
        <w:pStyle w:val="ListBullet"/>
      </w:pPr>
      <w:r w:rsidRPr="00AE03F5">
        <w:t>depression</w:t>
      </w:r>
    </w:p>
    <w:p w14:paraId="508E0E87" w14:textId="77777777" w:rsidR="00913101" w:rsidRPr="00AE03F5" w:rsidRDefault="00913101" w:rsidP="00314F78">
      <w:pPr>
        <w:pStyle w:val="ListBullet"/>
      </w:pPr>
      <w:r w:rsidRPr="00AE03F5">
        <w:t>neglect</w:t>
      </w:r>
    </w:p>
    <w:p w14:paraId="1C82955D" w14:textId="2D360A9E" w:rsidR="00913101" w:rsidRPr="00AE03F5" w:rsidRDefault="00913101" w:rsidP="00314F78">
      <w:pPr>
        <w:pStyle w:val="ListBullet"/>
      </w:pPr>
      <w:r w:rsidRPr="00AE03F5">
        <w:t>abuse</w:t>
      </w:r>
      <w:r w:rsidR="004A39B2" w:rsidRPr="00AE03F5">
        <w:t>.</w:t>
      </w:r>
    </w:p>
    <w:p w14:paraId="531AD659" w14:textId="1AC48D53" w:rsidR="00A16EE1" w:rsidRPr="00AE03F5" w:rsidRDefault="00A16EE1" w:rsidP="0059348C">
      <w:pPr>
        <w:pStyle w:val="Heading2"/>
      </w:pPr>
      <w:r w:rsidRPr="00AE03F5">
        <w:lastRenderedPageBreak/>
        <w:t xml:space="preserve">Management of </w:t>
      </w:r>
      <w:r w:rsidR="00017135" w:rsidRPr="00AE03F5">
        <w:t>c</w:t>
      </w:r>
      <w:r w:rsidRPr="00AE03F5">
        <w:t xml:space="preserve">onsumer </w:t>
      </w:r>
      <w:r w:rsidR="00017135" w:rsidRPr="00AE03F5">
        <w:t>e</w:t>
      </w:r>
      <w:r w:rsidRPr="00AE03F5">
        <w:t>xperience</w:t>
      </w:r>
    </w:p>
    <w:p w14:paraId="13C93D00" w14:textId="41EF3A3F" w:rsidR="00A16EE1" w:rsidRPr="00AE03F5" w:rsidRDefault="7C9EB3A8" w:rsidP="00314F78">
      <w:r w:rsidRPr="00AE03F5">
        <w:t xml:space="preserve">Awareness of </w:t>
      </w:r>
      <w:r w:rsidR="30EDDE9B" w:rsidRPr="00AE03F5">
        <w:t xml:space="preserve">factors that </w:t>
      </w:r>
      <w:r w:rsidRPr="00AE03F5">
        <w:t>contribut</w:t>
      </w:r>
      <w:r w:rsidR="30EDDE9B" w:rsidRPr="00AE03F5">
        <w:t>e</w:t>
      </w:r>
      <w:r w:rsidRPr="00AE03F5">
        <w:t xml:space="preserve"> </w:t>
      </w:r>
      <w:r w:rsidR="75A903D6" w:rsidRPr="00AE03F5">
        <w:t>to</w:t>
      </w:r>
      <w:r w:rsidRPr="00AE03F5">
        <w:t xml:space="preserve"> poor consumer experience reduces the risk of adverse clinical events and improves quality of life. </w:t>
      </w:r>
      <w:r w:rsidR="665C2A71" w:rsidRPr="00AE03F5">
        <w:t>M</w:t>
      </w:r>
      <w:r w:rsidRPr="00AE03F5">
        <w:t xml:space="preserve">easurement and reporting </w:t>
      </w:r>
      <w:r w:rsidR="469C587E" w:rsidRPr="00AE03F5">
        <w:t xml:space="preserve">by service providers can </w:t>
      </w:r>
      <w:r w:rsidR="10393E8C" w:rsidRPr="00AE03F5">
        <w:t xml:space="preserve">prompt recognition and management of </w:t>
      </w:r>
      <w:r w:rsidR="665C2A71" w:rsidRPr="00AE03F5">
        <w:t>consumer experience</w:t>
      </w:r>
      <w:r w:rsidR="10393E8C" w:rsidRPr="00AE03F5">
        <w:t xml:space="preserve"> and </w:t>
      </w:r>
      <w:r w:rsidR="469C587E" w:rsidRPr="00AE03F5">
        <w:t xml:space="preserve">assist with </w:t>
      </w:r>
      <w:r w:rsidR="10393E8C" w:rsidRPr="00AE03F5">
        <w:t xml:space="preserve">promoting and monitoring the progress of </w:t>
      </w:r>
      <w:r w:rsidR="2F76B814" w:rsidRPr="00AE03F5">
        <w:t>service</w:t>
      </w:r>
      <w:r w:rsidRPr="00AE03F5">
        <w:t>-wide quality improvement.</w:t>
      </w:r>
      <w:r w:rsidR="009253DC">
        <w:rPr>
          <w:rFonts w:ascii="ZWAdobeF" w:hAnsi="ZWAdobeF" w:cs="ZWAdobeF"/>
          <w:color w:val="auto"/>
          <w:sz w:val="2"/>
          <w:szCs w:val="2"/>
        </w:rPr>
        <w:t>202F</w:t>
      </w:r>
      <w:r w:rsidR="00B21E11" w:rsidRPr="00AE03F5">
        <w:rPr>
          <w:vertAlign w:val="superscript"/>
        </w:rPr>
        <w:endnoteReference w:id="204"/>
      </w:r>
    </w:p>
    <w:p w14:paraId="707D38CC" w14:textId="105870DB" w:rsidR="00A16EE1" w:rsidRPr="00AE03F5" w:rsidRDefault="00A16EE1" w:rsidP="0059348C">
      <w:pPr>
        <w:pStyle w:val="Heading2"/>
      </w:pPr>
      <w:r w:rsidRPr="00AE03F5">
        <w:t>Famil</w:t>
      </w:r>
      <w:r w:rsidR="00196FEE" w:rsidRPr="00AE03F5">
        <w:t>ies</w:t>
      </w:r>
      <w:r w:rsidRPr="00AE03F5">
        <w:t xml:space="preserve"> and </w:t>
      </w:r>
      <w:r w:rsidR="00196FEE" w:rsidRPr="00AE03F5">
        <w:t>representatives</w:t>
      </w:r>
    </w:p>
    <w:p w14:paraId="39CEDA16" w14:textId="119A5DDA" w:rsidR="00976488" w:rsidRPr="00AE03F5" w:rsidRDefault="6B981E3C" w:rsidP="00314F78">
      <w:r w:rsidRPr="00AE03F5">
        <w:t>Some care recipients may require a proxy to complete consumer experience</w:t>
      </w:r>
      <w:r w:rsidR="30C8F9EC" w:rsidRPr="00AE03F5">
        <w:t xml:space="preserve"> assessments</w:t>
      </w:r>
      <w:r w:rsidR="40DF7F6B" w:rsidRPr="00AE03F5">
        <w:t>.</w:t>
      </w:r>
      <w:r w:rsidR="009253DC">
        <w:rPr>
          <w:rFonts w:ascii="ZWAdobeF" w:hAnsi="ZWAdobeF" w:cs="ZWAdobeF"/>
          <w:color w:val="auto"/>
          <w:sz w:val="2"/>
          <w:szCs w:val="2"/>
        </w:rPr>
        <w:t>203F</w:t>
      </w:r>
      <w:r w:rsidR="00976488" w:rsidRPr="00AE03F5">
        <w:rPr>
          <w:vertAlign w:val="superscript"/>
        </w:rPr>
        <w:endnoteReference w:id="205"/>
      </w:r>
      <w:r w:rsidR="393A431B" w:rsidRPr="00AE03F5">
        <w:rPr>
          <w:vertAlign w:val="superscript"/>
        </w:rPr>
        <w:t xml:space="preserve"> </w:t>
      </w:r>
      <w:r w:rsidR="30C8F9EC" w:rsidRPr="00AE03F5">
        <w:t xml:space="preserve">This includes </w:t>
      </w:r>
      <w:r w:rsidR="7C9EB3A8" w:rsidRPr="00AE03F5">
        <w:t xml:space="preserve">care recipients </w:t>
      </w:r>
      <w:r w:rsidR="0107DD06" w:rsidRPr="00AE03F5">
        <w:t>who have</w:t>
      </w:r>
      <w:r w:rsidR="30C8F9EC" w:rsidRPr="00AE03F5">
        <w:t xml:space="preserve"> </w:t>
      </w:r>
      <w:r w:rsidR="7C9EB3A8" w:rsidRPr="00AE03F5">
        <w:t xml:space="preserve">severe cognitive or communication issues </w:t>
      </w:r>
      <w:r w:rsidR="3464DA44" w:rsidRPr="00AE03F5">
        <w:t>impact</w:t>
      </w:r>
      <w:r w:rsidR="665C2A71" w:rsidRPr="00AE03F5">
        <w:t>ing</w:t>
      </w:r>
      <w:r w:rsidR="3464DA44" w:rsidRPr="00AE03F5">
        <w:t xml:space="preserve"> </w:t>
      </w:r>
      <w:r w:rsidR="7C9EB3A8" w:rsidRPr="00AE03F5">
        <w:t>their ability to express their wishes and feelings</w:t>
      </w:r>
      <w:r w:rsidRPr="00AE03F5">
        <w:t xml:space="preserve">. </w:t>
      </w:r>
      <w:r w:rsidR="30C8F9EC" w:rsidRPr="00AE03F5">
        <w:t xml:space="preserve">The proxy should know the care recipient well and see them regularly. When completing the consumer experience assessment, the proxy should respond </w:t>
      </w:r>
      <w:r w:rsidR="76DE91DC" w:rsidRPr="00AE03F5">
        <w:t>based on their own knowledge of the care recipient and their quality of care experience at the time of completion</w:t>
      </w:r>
      <w:r w:rsidR="30C8F9EC" w:rsidRPr="00AE03F5">
        <w:t>, noting:</w:t>
      </w:r>
    </w:p>
    <w:p w14:paraId="225B13CF" w14:textId="1EFA5353" w:rsidR="00A16EE1" w:rsidRPr="00FD1B87" w:rsidRDefault="7C9EB3A8" w:rsidP="00314F78">
      <w:pPr>
        <w:pStyle w:val="ListBullet"/>
      </w:pPr>
      <w:r w:rsidRPr="00FD1B87">
        <w:t xml:space="preserve">Every attempt should be made to elicit the wishes and opinions of </w:t>
      </w:r>
      <w:r w:rsidR="30C8F9EC" w:rsidRPr="00FD1B87">
        <w:t xml:space="preserve">the </w:t>
      </w:r>
      <w:r w:rsidRPr="00FD1B87">
        <w:t>care recipient</w:t>
      </w:r>
      <w:r w:rsidR="23BF4F4B" w:rsidRPr="00FD1B87">
        <w:t>, recognising these may differ to the proxy</w:t>
      </w:r>
      <w:r w:rsidR="122A8936" w:rsidRPr="00FD1B87">
        <w:t xml:space="preserve">. </w:t>
      </w:r>
      <w:r w:rsidR="23BF4F4B" w:rsidRPr="00FD1B87">
        <w:t xml:space="preserve">Care recipients </w:t>
      </w:r>
      <w:r w:rsidRPr="00FD1B87">
        <w:t>may communicate in non-verbal ways, and their feelings may be elicited by observing their responses to care and various recreational and social activities</w:t>
      </w:r>
      <w:r w:rsidR="122A8936" w:rsidRPr="00FD1B87">
        <w:t xml:space="preserve">. </w:t>
      </w:r>
      <w:r w:rsidRPr="00FD1B87">
        <w:t xml:space="preserve">These responses form part of </w:t>
      </w:r>
      <w:r w:rsidR="26321CAB" w:rsidRPr="00FD1B87">
        <w:t>collaborative</w:t>
      </w:r>
      <w:r w:rsidRPr="00FD1B87">
        <w:t xml:space="preserve"> care planning and should be documented following </w:t>
      </w:r>
      <w:r w:rsidR="2F76B814" w:rsidRPr="00FD1B87">
        <w:t>service</w:t>
      </w:r>
      <w:r w:rsidRPr="00FD1B87">
        <w:t xml:space="preserve"> procedures.</w:t>
      </w:r>
    </w:p>
    <w:p w14:paraId="1B13BC73" w14:textId="06FC1BEC" w:rsidR="00A16EE1" w:rsidRPr="00FD1B87" w:rsidRDefault="23BF4F4B" w:rsidP="00314F78">
      <w:pPr>
        <w:pStyle w:val="ListBullet"/>
      </w:pPr>
      <w:r w:rsidRPr="00FD1B87">
        <w:t>Proxies, including f</w:t>
      </w:r>
      <w:r w:rsidR="7C9EB3A8" w:rsidRPr="00FD1B87">
        <w:t xml:space="preserve">amily and </w:t>
      </w:r>
      <w:r w:rsidR="2B7D8925" w:rsidRPr="00FD1B87">
        <w:t xml:space="preserve">representatives such as </w:t>
      </w:r>
      <w:r w:rsidR="7C9EB3A8" w:rsidRPr="00FD1B87">
        <w:t>substitute decision makers</w:t>
      </w:r>
      <w:r w:rsidRPr="00FD1B87">
        <w:t>,</w:t>
      </w:r>
      <w:r w:rsidR="7C9EB3A8" w:rsidRPr="00FD1B87">
        <w:t xml:space="preserve"> are often highly sensitive to the needs of care recipient</w:t>
      </w:r>
      <w:r w:rsidRPr="00FD1B87">
        <w:t>s</w:t>
      </w:r>
      <w:r w:rsidR="7C9EB3A8" w:rsidRPr="00FD1B87">
        <w:t>.</w:t>
      </w:r>
      <w:r w:rsidR="0A5BB7CF" w:rsidRPr="00FD1B87">
        <w:t xml:space="preserve"> </w:t>
      </w:r>
      <w:r w:rsidR="7C9EB3A8" w:rsidRPr="00FD1B87">
        <w:t>Their needs may be closely aligned with those of the care recipient.</w:t>
      </w:r>
      <w:r w:rsidR="0A5BB7CF" w:rsidRPr="00FD1B87">
        <w:t xml:space="preserve"> </w:t>
      </w:r>
      <w:r w:rsidR="7C9EB3A8" w:rsidRPr="00FD1B87">
        <w:t xml:space="preserve">Recognition of the views and needs of </w:t>
      </w:r>
      <w:r w:rsidRPr="00FD1B87">
        <w:t>these proxies</w:t>
      </w:r>
      <w:r w:rsidR="7C9EB3A8" w:rsidRPr="00FD1B87">
        <w:t xml:space="preserve"> should form part of the program of the </w:t>
      </w:r>
      <w:r w:rsidR="2F76B814" w:rsidRPr="00FD1B87">
        <w:t>service</w:t>
      </w:r>
      <w:r w:rsidR="7C9EB3A8" w:rsidRPr="00FD1B87">
        <w:t xml:space="preserve">, ensuring </w:t>
      </w:r>
      <w:r w:rsidRPr="00FD1B87">
        <w:t xml:space="preserve">that </w:t>
      </w:r>
      <w:r w:rsidR="7C9EB3A8" w:rsidRPr="00FD1B87">
        <w:t xml:space="preserve">they are welcome, can participate in the life of the </w:t>
      </w:r>
      <w:r w:rsidR="344C6ECB" w:rsidRPr="00FD1B87">
        <w:t>care recipient</w:t>
      </w:r>
      <w:r w:rsidR="7C9EB3A8" w:rsidRPr="00FD1B87">
        <w:t>, and that their voice is heard in arranging care.</w:t>
      </w:r>
    </w:p>
    <w:p w14:paraId="15FB53A3" w14:textId="2AD61031" w:rsidR="00A16EE1" w:rsidRPr="004A09AA" w:rsidRDefault="00EB0859" w:rsidP="00F2392D">
      <w:pPr>
        <w:sectPr w:rsidR="00A16EE1" w:rsidRPr="004A09AA" w:rsidSect="00445B8B">
          <w:endnotePr>
            <w:numFmt w:val="decimal"/>
          </w:endnotePr>
          <w:type w:val="continuous"/>
          <w:pgSz w:w="11906" w:h="16838" w:code="9"/>
          <w:pgMar w:top="1701" w:right="1134" w:bottom="1134" w:left="1134" w:header="567" w:footer="567" w:gutter="0"/>
          <w:cols w:space="708"/>
          <w:docGrid w:linePitch="360"/>
        </w:sectPr>
      </w:pPr>
      <w:r w:rsidRPr="00AE03F5">
        <w:fldChar w:fldCharType="begin" w:fldLock="1"/>
      </w:r>
      <w:r w:rsidRPr="00AE03F5">
        <w:instrText xml:space="preserve"> REF _Ref105140155 \h </w:instrText>
      </w:r>
      <w:r w:rsidR="00E00924" w:rsidRPr="00AE03F5">
        <w:instrText xml:space="preserve"> \* MERGEFORMAT </w:instrText>
      </w:r>
      <w:r w:rsidRPr="00AE03F5">
        <w:fldChar w:fldCharType="separate"/>
      </w:r>
      <w:r w:rsidR="009F0B74" w:rsidRPr="00AE03F5">
        <w:t>Figure </w:t>
      </w:r>
      <w:r w:rsidRPr="00AE03F5">
        <w:fldChar w:fldCharType="end"/>
      </w:r>
      <w:r w:rsidR="002B5CD7" w:rsidRPr="00AE03F5">
        <w:t>48</w:t>
      </w:r>
      <w:r w:rsidR="00A16EE1" w:rsidRPr="00AE03F5">
        <w:t xml:space="preserve"> outlines important aspects of care that optimise consumer experience</w:t>
      </w:r>
      <w:r w:rsidR="00A16EE1" w:rsidRPr="004A09AA">
        <w:t>.</w:t>
      </w:r>
    </w:p>
    <w:p w14:paraId="14AEB470" w14:textId="54295C7D" w:rsidR="0055157E" w:rsidRPr="00AE03F5" w:rsidRDefault="009A7D3B" w:rsidP="00314F78">
      <w:pPr>
        <w:pStyle w:val="Caption"/>
      </w:pPr>
      <w:bookmarkStart w:id="69" w:name="_Ref105140155"/>
      <w:r w:rsidRPr="00AE03F5">
        <w:lastRenderedPageBreak/>
        <w:t>FIGURE </w:t>
      </w:r>
      <w:bookmarkEnd w:id="69"/>
      <w:r w:rsidR="00531A57" w:rsidRPr="00AE03F5">
        <w:fldChar w:fldCharType="begin"/>
      </w:r>
      <w:r w:rsidR="00531A57" w:rsidRPr="00AE03F5">
        <w:instrText>SEQ Figure \* ARABIC</w:instrText>
      </w:r>
      <w:r w:rsidR="00531A57" w:rsidRPr="00AE03F5">
        <w:fldChar w:fldCharType="separate"/>
      </w:r>
      <w:r w:rsidR="003A30D7">
        <w:rPr>
          <w:noProof/>
        </w:rPr>
        <w:t>48</w:t>
      </w:r>
      <w:r w:rsidR="00531A57" w:rsidRPr="00AE03F5">
        <w:fldChar w:fldCharType="end"/>
      </w:r>
      <w:r w:rsidRPr="00AE03F5">
        <w:t>: MANAGING CONSUMER EXPERIENCE</w:t>
      </w:r>
      <w:r w:rsidR="009253DC">
        <w:rPr>
          <w:rFonts w:ascii="ZWAdobeF" w:hAnsi="ZWAdobeF" w:cs="ZWAdobeF"/>
          <w:b w:val="0"/>
          <w:color w:val="auto"/>
          <w:sz w:val="2"/>
          <w:szCs w:val="2"/>
        </w:rPr>
        <w:t>204F</w:t>
      </w:r>
      <w:r w:rsidR="00126161" w:rsidRPr="00454D17">
        <w:rPr>
          <w:rStyle w:val="EndnoteReference"/>
        </w:rPr>
        <w:endnoteReference w:id="206"/>
      </w:r>
      <w:r w:rsidRPr="00454D17">
        <w:rPr>
          <w:rStyle w:val="EndnoteReference"/>
        </w:rPr>
        <w:t xml:space="preserve"> </w:t>
      </w:r>
      <w:r w:rsidR="009253DC">
        <w:rPr>
          <w:rFonts w:ascii="ZWAdobeF" w:hAnsi="ZWAdobeF" w:cs="ZWAdobeF"/>
          <w:b w:val="0"/>
          <w:color w:val="auto"/>
          <w:sz w:val="2"/>
          <w:szCs w:val="2"/>
        </w:rPr>
        <w:t>205F</w:t>
      </w:r>
      <w:r w:rsidR="00126161" w:rsidRPr="00454D17">
        <w:rPr>
          <w:rStyle w:val="EndnoteReference"/>
        </w:rPr>
        <w:endnoteReference w:id="207"/>
      </w:r>
      <w:r w:rsidRPr="00454D17">
        <w:rPr>
          <w:rStyle w:val="EndnoteReference"/>
        </w:rPr>
        <w:t xml:space="preserve"> </w:t>
      </w:r>
      <w:r w:rsidR="009253DC">
        <w:rPr>
          <w:rFonts w:ascii="ZWAdobeF" w:hAnsi="ZWAdobeF" w:cs="ZWAdobeF"/>
          <w:b w:val="0"/>
          <w:color w:val="auto"/>
          <w:sz w:val="2"/>
          <w:szCs w:val="2"/>
        </w:rPr>
        <w:t>206F</w:t>
      </w:r>
      <w:r w:rsidR="009D44B6" w:rsidRPr="00454D17">
        <w:rPr>
          <w:rStyle w:val="EndnoteReference"/>
        </w:rPr>
        <w:endnoteReference w:id="208"/>
      </w:r>
      <w:r w:rsidRPr="00454D17">
        <w:rPr>
          <w:rStyle w:val="EndnoteReference"/>
        </w:rPr>
        <w:t xml:space="preserve"> </w:t>
      </w:r>
      <w:r w:rsidR="009253DC">
        <w:rPr>
          <w:rFonts w:ascii="ZWAdobeF" w:hAnsi="ZWAdobeF" w:cs="ZWAdobeF"/>
          <w:b w:val="0"/>
          <w:color w:val="auto"/>
          <w:sz w:val="2"/>
          <w:szCs w:val="2"/>
        </w:rPr>
        <w:t>207F</w:t>
      </w:r>
      <w:r w:rsidR="009D44B6" w:rsidRPr="00454D17">
        <w:rPr>
          <w:rStyle w:val="EndnoteReference"/>
        </w:rPr>
        <w:endnoteReference w:id="209"/>
      </w:r>
    </w:p>
    <w:p w14:paraId="1FAAFAA6" w14:textId="491E9A99" w:rsidR="00B50AEF" w:rsidRPr="00B50AEF" w:rsidRDefault="00EC78E5" w:rsidP="00314F78">
      <w:r>
        <w:rPr>
          <w:noProof/>
        </w:rPr>
        <w:drawing>
          <wp:inline distT="0" distB="0" distL="0" distR="0" wp14:anchorId="35A9A564" wp14:editId="218D5743">
            <wp:extent cx="9576000" cy="5291523"/>
            <wp:effectExtent l="0" t="0" r="0" b="0"/>
            <wp:docPr id="1895" name="Picture 1895" descr="P11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Picture 1895" descr="P1176#yIS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576000" cy="5291523"/>
                    </a:xfrm>
                    <a:prstGeom prst="rect">
                      <a:avLst/>
                    </a:prstGeom>
                    <a:noFill/>
                  </pic:spPr>
                </pic:pic>
              </a:graphicData>
            </a:graphic>
          </wp:inline>
        </w:drawing>
      </w:r>
    </w:p>
    <w:p w14:paraId="6D4600FD" w14:textId="4EC29E77" w:rsidR="00A16EE1" w:rsidRPr="002765D3" w:rsidRDefault="00A16EE1" w:rsidP="00314F78">
      <w:pPr>
        <w:sectPr w:rsidR="00A16EE1" w:rsidRPr="002765D3" w:rsidSect="001F0906">
          <w:headerReference w:type="default" r:id="rId268"/>
          <w:footerReference w:type="even" r:id="rId269"/>
          <w:headerReference w:type="first" r:id="rId270"/>
          <w:endnotePr>
            <w:numFmt w:val="decimal"/>
          </w:endnotePr>
          <w:pgSz w:w="16838" w:h="11906" w:orient="landscape" w:code="9"/>
          <w:pgMar w:top="1134" w:right="1134" w:bottom="1134" w:left="1134" w:header="567" w:footer="567" w:gutter="0"/>
          <w:cols w:space="708"/>
          <w:docGrid w:linePitch="360"/>
        </w:sectPr>
      </w:pPr>
    </w:p>
    <w:p w14:paraId="31A0D56F" w14:textId="77777777" w:rsidR="00A16EE1" w:rsidRPr="00AE03F5" w:rsidRDefault="7C9EB3A8" w:rsidP="00314F78">
      <w:r w:rsidRPr="00AE03F5">
        <w:lastRenderedPageBreak/>
        <w:t>The checklist below will help assess care recipients who are at risk of poor or declining consumer experience and identify support and prevention strategies:</w:t>
      </w:r>
    </w:p>
    <w:p w14:paraId="3645E8EB" w14:textId="66ACD208" w:rsidR="00DA2FD2" w:rsidRPr="00C67F44" w:rsidRDefault="009A7D3B" w:rsidP="00314F78">
      <w:pPr>
        <w:pStyle w:val="Caption"/>
      </w:pPr>
      <w:r w:rsidRPr="00C67F44">
        <w:t>FIGURE </w:t>
      </w:r>
      <w:r w:rsidR="00531A57" w:rsidRPr="00D51A3F">
        <w:rPr>
          <w:color w:val="3F4A75"/>
        </w:rPr>
        <w:fldChar w:fldCharType="begin"/>
      </w:r>
      <w:r w:rsidR="00531A57" w:rsidRPr="00D51A3F">
        <w:rPr>
          <w:color w:val="3F4A75"/>
        </w:rPr>
        <w:instrText>SEQ Figure \* ARABIC</w:instrText>
      </w:r>
      <w:r w:rsidR="00531A57" w:rsidRPr="00D51A3F">
        <w:rPr>
          <w:color w:val="3F4A75"/>
        </w:rPr>
        <w:fldChar w:fldCharType="separate"/>
      </w:r>
      <w:r w:rsidR="003A30D7">
        <w:rPr>
          <w:noProof/>
          <w:color w:val="3F4A75"/>
        </w:rPr>
        <w:t>49</w:t>
      </w:r>
      <w:r w:rsidR="00531A57" w:rsidRPr="00D51A3F">
        <w:rPr>
          <w:color w:val="3F4A75"/>
        </w:rPr>
        <w:fldChar w:fldCharType="end"/>
      </w:r>
      <w:r w:rsidRPr="00C67F44">
        <w:t>: CHECKLIST FOR IMPROVING CONSUMER EXPERIENCE</w:t>
      </w:r>
    </w:p>
    <w:p w14:paraId="06A4913A" w14:textId="224D09F9" w:rsidR="00764ADE" w:rsidRPr="00803D00" w:rsidRDefault="006705A7" w:rsidP="00314F78">
      <w:pPr>
        <w:pStyle w:val="ChecklistHeading"/>
      </w:pPr>
      <w:r w:rsidRPr="002765D3">
        <w:rPr>
          <w:noProof/>
        </w:rPr>
        <w:drawing>
          <wp:anchor distT="0" distB="0" distL="114300" distR="114300" simplePos="0" relativeHeight="251658253" behindDoc="0" locked="0" layoutInCell="1" allowOverlap="1" wp14:anchorId="323C435F" wp14:editId="3DFEE37B">
            <wp:simplePos x="0" y="0"/>
            <wp:positionH relativeFrom="column">
              <wp:posOffset>-110490</wp:posOffset>
            </wp:positionH>
            <wp:positionV relativeFrom="paragraph">
              <wp:posOffset>310515</wp:posOffset>
            </wp:positionV>
            <wp:extent cx="539496" cy="540000"/>
            <wp:effectExtent l="0" t="0" r="0" b="0"/>
            <wp:wrapSquare wrapText="bothSides"/>
            <wp:docPr id="103" name="Picture 13" descr="P1180#y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3" descr="P1180#y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764ADE" w:rsidRPr="00803D00">
        <w:t>Checklist for improving consumer experience</w:t>
      </w:r>
    </w:p>
    <w:p w14:paraId="33055E28" w14:textId="77777777" w:rsidR="00DA2FD2" w:rsidRPr="00803D00" w:rsidRDefault="00DA2FD2" w:rsidP="00314F78">
      <w:pPr>
        <w:pStyle w:val="ChecklistHeading"/>
        <w:sectPr w:rsidR="00DA2FD2" w:rsidRPr="00803D00" w:rsidSect="00742407">
          <w:headerReference w:type="even" r:id="rId271"/>
          <w:headerReference w:type="first" r:id="rId272"/>
          <w:endnotePr>
            <w:numFmt w:val="decimal"/>
          </w:endnotePr>
          <w:pgSz w:w="11906" w:h="16838" w:code="9"/>
          <w:pgMar w:top="1701" w:right="1134" w:bottom="1134" w:left="1134" w:header="567" w:footer="567" w:gutter="0"/>
          <w:cols w:space="567"/>
          <w:docGrid w:linePitch="360"/>
        </w:sectPr>
      </w:pPr>
    </w:p>
    <w:p w14:paraId="7C58E1C6" w14:textId="3ACB3F6D" w:rsidR="00844B58" w:rsidRPr="002765D3" w:rsidRDefault="00844B58" w:rsidP="00314F78">
      <w:pPr>
        <w:pStyle w:val="TableHeader"/>
      </w:pPr>
      <w:r w:rsidRPr="002765D3">
        <w:t xml:space="preserve">Educate </w:t>
      </w:r>
      <w:r>
        <w:t>staff</w:t>
      </w:r>
      <w:r w:rsidRPr="002765D3">
        <w:t xml:space="preserve"> about consumer experience</w:t>
      </w:r>
    </w:p>
    <w:p w14:paraId="78DA5379" w14:textId="77777777" w:rsidR="00844B58" w:rsidRPr="00AE03F5" w:rsidRDefault="00844B58" w:rsidP="00314F78">
      <w:pPr>
        <w:pStyle w:val="ListBullet"/>
      </w:pPr>
      <w:r w:rsidRPr="00AE03F5">
        <w:t>Explore opportunities for advancing staff skills and knowledge.</w:t>
      </w:r>
    </w:p>
    <w:p w14:paraId="6AC1548C" w14:textId="3CADC139" w:rsidR="00844B58" w:rsidRPr="00AE03F5" w:rsidRDefault="006705A7" w:rsidP="00314F78">
      <w:pPr>
        <w:pStyle w:val="ListBullet"/>
      </w:pPr>
      <w:r w:rsidRPr="002765D3">
        <w:rPr>
          <w:noProof/>
        </w:rPr>
        <w:drawing>
          <wp:anchor distT="0" distB="0" distL="114300" distR="114300" simplePos="0" relativeHeight="251658254" behindDoc="0" locked="0" layoutInCell="1" allowOverlap="1" wp14:anchorId="22C0C48B" wp14:editId="4B097678">
            <wp:simplePos x="0" y="0"/>
            <wp:positionH relativeFrom="column">
              <wp:posOffset>-675005</wp:posOffset>
            </wp:positionH>
            <wp:positionV relativeFrom="paragraph">
              <wp:posOffset>375285</wp:posOffset>
            </wp:positionV>
            <wp:extent cx="539496" cy="540000"/>
            <wp:effectExtent l="0" t="0" r="0" b="0"/>
            <wp:wrapSquare wrapText="bothSides"/>
            <wp:docPr id="104" name="Picture 14" descr="P1184#y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4" descr="P1184#y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00844B58" w:rsidRPr="00AE03F5">
        <w:t>Ensure alignment of staff skill-mix and case-mix.</w:t>
      </w:r>
    </w:p>
    <w:p w14:paraId="37030251" w14:textId="30AB7FDD" w:rsidR="00844B58" w:rsidRPr="0045042C" w:rsidRDefault="00844B58" w:rsidP="00314F78">
      <w:pPr>
        <w:pStyle w:val="TableHeader"/>
      </w:pPr>
      <w:r w:rsidRPr="0045042C">
        <w:t>Assessment and reassessment using QCE-ACC tool</w:t>
      </w:r>
    </w:p>
    <w:p w14:paraId="097CBA1E" w14:textId="71CEA8C8" w:rsidR="00844B58" w:rsidRPr="00AE03F5" w:rsidRDefault="006705A7" w:rsidP="00314F78">
      <w:pPr>
        <w:pStyle w:val="ListBullet"/>
      </w:pPr>
      <w:r w:rsidRPr="002765D3">
        <w:rPr>
          <w:noProof/>
        </w:rPr>
        <w:drawing>
          <wp:anchor distT="0" distB="0" distL="114300" distR="114300" simplePos="0" relativeHeight="251658258" behindDoc="0" locked="0" layoutInCell="1" allowOverlap="1" wp14:anchorId="58D53FB4" wp14:editId="17EE9905">
            <wp:simplePos x="0" y="0"/>
            <wp:positionH relativeFrom="column">
              <wp:posOffset>2506345</wp:posOffset>
            </wp:positionH>
            <wp:positionV relativeFrom="paragraph">
              <wp:posOffset>287655</wp:posOffset>
            </wp:positionV>
            <wp:extent cx="539496" cy="540000"/>
            <wp:effectExtent l="0" t="0" r="0" b="0"/>
            <wp:wrapSquare wrapText="bothSides"/>
            <wp:docPr id="107" name="Picture 17" descr="P1186#y1">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7" descr="P1186#y1">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496" cy="540000"/>
                    </a:xfrm>
                    <a:prstGeom prst="rect">
                      <a:avLst/>
                    </a:prstGeom>
                  </pic:spPr>
                </pic:pic>
              </a:graphicData>
            </a:graphic>
          </wp:anchor>
        </w:drawing>
      </w:r>
      <w:r w:rsidR="00844B58" w:rsidRPr="00AE03F5">
        <w:t>Assess with the QCE-ACC assessment tool.</w:t>
      </w:r>
    </w:p>
    <w:p w14:paraId="10FCB877" w14:textId="77777777" w:rsidR="00844B58" w:rsidRPr="00AE03F5" w:rsidRDefault="69444273" w:rsidP="00314F78">
      <w:pPr>
        <w:pStyle w:val="ListBullet"/>
      </w:pPr>
      <w:r w:rsidRPr="00AE03F5">
        <w:t>Identify any baseline indications of diminished consumer experience.</w:t>
      </w:r>
    </w:p>
    <w:p w14:paraId="4A3D5D1C" w14:textId="7934A11A" w:rsidR="00844B58" w:rsidRPr="00AE03F5" w:rsidRDefault="006705A7" w:rsidP="00314F78">
      <w:pPr>
        <w:pStyle w:val="ListBullet"/>
      </w:pPr>
      <w:r w:rsidRPr="002765D3">
        <w:rPr>
          <w:noProof/>
        </w:rPr>
        <w:drawing>
          <wp:anchor distT="0" distB="0" distL="114300" distR="114300" simplePos="0" relativeHeight="251658255" behindDoc="0" locked="0" layoutInCell="1" allowOverlap="1" wp14:anchorId="322E1195" wp14:editId="731563FE">
            <wp:simplePos x="0" y="0"/>
            <wp:positionH relativeFrom="margin">
              <wp:align>left</wp:align>
            </wp:positionH>
            <wp:positionV relativeFrom="paragraph">
              <wp:posOffset>593090</wp:posOffset>
            </wp:positionV>
            <wp:extent cx="539115" cy="539750"/>
            <wp:effectExtent l="0" t="0" r="0" b="0"/>
            <wp:wrapSquare wrapText="bothSides"/>
            <wp:docPr id="105" name="Picture 15" descr="P1188#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5" descr="P1188#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69444273" w:rsidRPr="00AE03F5">
        <w:t>Identify any risk factors for future deterioration of consumer experience.</w:t>
      </w:r>
    </w:p>
    <w:p w14:paraId="7342413C" w14:textId="707FFDB3" w:rsidR="00844B58" w:rsidRPr="002765D3" w:rsidRDefault="00844B58" w:rsidP="00314F78">
      <w:pPr>
        <w:pStyle w:val="TableHeader"/>
      </w:pPr>
      <w:r w:rsidRPr="002765D3">
        <w:t>Support active participation of care recipient in care</w:t>
      </w:r>
      <w:r>
        <w:t xml:space="preserve"> </w:t>
      </w:r>
      <w:r w:rsidRPr="002765D3">
        <w:t>planning</w:t>
      </w:r>
    </w:p>
    <w:p w14:paraId="4FCD7D67" w14:textId="0C4D9D7B" w:rsidR="00844B58" w:rsidRPr="00AE03F5" w:rsidRDefault="006705A7" w:rsidP="00314F78">
      <w:pPr>
        <w:pStyle w:val="ListBullet"/>
      </w:pPr>
      <w:r>
        <w:rPr>
          <w:noProof/>
        </w:rPr>
        <w:drawing>
          <wp:anchor distT="0" distB="0" distL="114300" distR="114300" simplePos="0" relativeHeight="251658257" behindDoc="0" locked="0" layoutInCell="1" allowOverlap="1" wp14:anchorId="71F558F1" wp14:editId="47E9B01B">
            <wp:simplePos x="0" y="0"/>
            <wp:positionH relativeFrom="column">
              <wp:posOffset>2560320</wp:posOffset>
            </wp:positionH>
            <wp:positionV relativeFrom="paragraph">
              <wp:posOffset>310515</wp:posOffset>
            </wp:positionV>
            <wp:extent cx="536575" cy="561975"/>
            <wp:effectExtent l="0" t="0" r="0" b="9525"/>
            <wp:wrapSquare wrapText="bothSides"/>
            <wp:docPr id="33" name="Picture 33" descr="P119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1190#y1"/>
                    <pic:cNvPicPr>
                      <a:picLocks noChangeAspect="1" noChangeArrowheads="1"/>
                    </pic:cNvPicPr>
                  </pic:nvPicPr>
                  <pic:blipFill rotWithShape="1">
                    <a:blip r:embed="rId273">
                      <a:extLst>
                        <a:ext uri="{28A0092B-C50C-407E-A947-70E740481C1C}">
                          <a14:useLocalDpi xmlns:a14="http://schemas.microsoft.com/office/drawing/2010/main" val="0"/>
                        </a:ext>
                      </a:extLst>
                    </a:blip>
                    <a:srcRect b="15392"/>
                    <a:stretch/>
                  </pic:blipFill>
                  <pic:spPr bwMode="auto">
                    <a:xfrm>
                      <a:off x="0" y="0"/>
                      <a:ext cx="536575" cy="561975"/>
                    </a:xfrm>
                    <a:prstGeom prst="rect">
                      <a:avLst/>
                    </a:prstGeom>
                    <a:noFill/>
                    <a:ln>
                      <a:noFill/>
                    </a:ln>
                    <a:extLst>
                      <a:ext uri="{53640926-AAD7-44D8-BBD7-CCE9431645EC}">
                        <a14:shadowObscured xmlns:a14="http://schemas.microsoft.com/office/drawing/2010/main"/>
                      </a:ext>
                    </a:extLst>
                  </pic:spPr>
                </pic:pic>
              </a:graphicData>
            </a:graphic>
          </wp:anchor>
        </w:drawing>
      </w:r>
      <w:r w:rsidR="69444273" w:rsidRPr="00AE03F5">
        <w:t>Foster trust and open communication about care recipient needs, preferences and goals.</w:t>
      </w:r>
    </w:p>
    <w:p w14:paraId="1950B3C2" w14:textId="77777777" w:rsidR="00844B58" w:rsidRPr="00AE03F5" w:rsidRDefault="00844B58" w:rsidP="00314F78">
      <w:pPr>
        <w:pStyle w:val="ListBullet"/>
      </w:pPr>
      <w:r w:rsidRPr="00AE03F5">
        <w:t>Provide options and information to support care recipient choice.</w:t>
      </w:r>
    </w:p>
    <w:p w14:paraId="480CDD10" w14:textId="77777777" w:rsidR="00844B58" w:rsidRPr="00AE03F5" w:rsidRDefault="00844B58" w:rsidP="00314F78">
      <w:pPr>
        <w:pStyle w:val="ListBullet"/>
      </w:pPr>
      <w:r w:rsidRPr="00AE03F5">
        <w:t>Encourage and respect care recipient participation in care planning.</w:t>
      </w:r>
    </w:p>
    <w:p w14:paraId="30898282" w14:textId="723D99A8" w:rsidR="00844B58" w:rsidRPr="00AE03F5" w:rsidRDefault="006705A7" w:rsidP="00314F78">
      <w:pPr>
        <w:pStyle w:val="ListBullet"/>
      </w:pPr>
      <w:r w:rsidRPr="002765D3">
        <w:rPr>
          <w:noProof/>
        </w:rPr>
        <w:drawing>
          <wp:anchor distT="0" distB="0" distL="114300" distR="114300" simplePos="0" relativeHeight="251658256" behindDoc="0" locked="0" layoutInCell="1" allowOverlap="1" wp14:anchorId="302096D1" wp14:editId="403CAB28">
            <wp:simplePos x="0" y="0"/>
            <wp:positionH relativeFrom="margin">
              <wp:align>left</wp:align>
            </wp:positionH>
            <wp:positionV relativeFrom="paragraph">
              <wp:posOffset>743585</wp:posOffset>
            </wp:positionV>
            <wp:extent cx="539496" cy="540000"/>
            <wp:effectExtent l="0" t="0" r="0" b="0"/>
            <wp:wrapSquare wrapText="bothSides"/>
            <wp:docPr id="106" name="Picture 16" descr="P1193#y1">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6" descr="P1193#y1">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844B58" w:rsidRPr="00AE03F5">
        <w:t>Incorporate collaborative care planning principles into workplace policies and procedures.</w:t>
      </w:r>
    </w:p>
    <w:p w14:paraId="60BF37F5" w14:textId="5F379435" w:rsidR="00844B58" w:rsidRDefault="00844B58" w:rsidP="00314F78">
      <w:pPr>
        <w:pStyle w:val="TableHeader"/>
      </w:pPr>
      <w:r w:rsidRPr="002765D3">
        <w:t>Broaden opportunities for care recipients’ involvement in activities</w:t>
      </w:r>
    </w:p>
    <w:p w14:paraId="22D2AE3D" w14:textId="77777777" w:rsidR="00844B58" w:rsidRPr="00AE03F5" w:rsidRDefault="00844B58" w:rsidP="00314F78">
      <w:pPr>
        <w:pStyle w:val="ListBullet"/>
      </w:pPr>
      <w:r w:rsidRPr="00AE03F5">
        <w:t>Explore opportunities for care recipients to contribute to activity program development.</w:t>
      </w:r>
    </w:p>
    <w:p w14:paraId="077313C9" w14:textId="77777777" w:rsidR="00844B58" w:rsidRPr="00AE03F5" w:rsidRDefault="69444273" w:rsidP="00314F78">
      <w:pPr>
        <w:pStyle w:val="ListBullet"/>
      </w:pPr>
      <w:r w:rsidRPr="00AE03F5">
        <w:t>Provide relevant, timely information about available activities and services.</w:t>
      </w:r>
    </w:p>
    <w:p w14:paraId="64CAAD48" w14:textId="77777777" w:rsidR="00844B58" w:rsidRPr="00AE03F5" w:rsidRDefault="69444273" w:rsidP="00314F78">
      <w:pPr>
        <w:pStyle w:val="ListBullet"/>
      </w:pPr>
      <w:r w:rsidRPr="00AE03F5">
        <w:t>Maximise level of care recipient participation, including through use of proxy or advocacy where indicated.</w:t>
      </w:r>
    </w:p>
    <w:p w14:paraId="4E6683E3" w14:textId="77777777" w:rsidR="00844B58" w:rsidRPr="00AE03F5" w:rsidRDefault="00844B58" w:rsidP="00314F78">
      <w:pPr>
        <w:pStyle w:val="ListBullet"/>
      </w:pPr>
      <w:r w:rsidRPr="00AE03F5">
        <w:t>Adjust activities to suit care recipient health profiles.</w:t>
      </w:r>
    </w:p>
    <w:p w14:paraId="6D240207" w14:textId="015D428C" w:rsidR="00844B58" w:rsidRPr="002765D3" w:rsidRDefault="00844B58" w:rsidP="00314F78">
      <w:pPr>
        <w:pStyle w:val="TableHeader"/>
      </w:pPr>
      <w:r w:rsidRPr="002765D3">
        <w:t>Strengthen community culture</w:t>
      </w:r>
    </w:p>
    <w:p w14:paraId="196EB73D" w14:textId="77777777" w:rsidR="00844B58" w:rsidRPr="00AE03F5" w:rsidRDefault="00844B58" w:rsidP="00314F78">
      <w:pPr>
        <w:pStyle w:val="ListBullet"/>
      </w:pPr>
      <w:r w:rsidRPr="00AE03F5">
        <w:t>Adapt service specific engagement strategies.</w:t>
      </w:r>
    </w:p>
    <w:p w14:paraId="477859D4" w14:textId="77777777" w:rsidR="00844B58" w:rsidRPr="00AE03F5" w:rsidRDefault="69444273" w:rsidP="00314F78">
      <w:pPr>
        <w:pStyle w:val="ListBullet"/>
      </w:pPr>
      <w:r w:rsidRPr="00AE03F5">
        <w:t>Encourage social interaction between care recipients, staff and the outside community.</w:t>
      </w:r>
    </w:p>
    <w:p w14:paraId="6F1AFC78" w14:textId="77777777" w:rsidR="00844B58" w:rsidRPr="00AE03F5" w:rsidRDefault="00844B58" w:rsidP="00314F78">
      <w:pPr>
        <w:pStyle w:val="ListBullet"/>
      </w:pPr>
      <w:r w:rsidRPr="00AE03F5">
        <w:t>Include care recipients in plans for community engagement activities.</w:t>
      </w:r>
    </w:p>
    <w:p w14:paraId="390D4453" w14:textId="31E3D420" w:rsidR="00844B58" w:rsidRPr="002765D3" w:rsidRDefault="00844B58" w:rsidP="00314F78">
      <w:pPr>
        <w:pStyle w:val="TableHeader"/>
      </w:pPr>
      <w:r w:rsidRPr="002765D3">
        <w:t>Create enabling and supportive environments</w:t>
      </w:r>
      <w:r>
        <w:t xml:space="preserve"> to improve health and wellbeing</w:t>
      </w:r>
    </w:p>
    <w:p w14:paraId="4D02FE24" w14:textId="77777777" w:rsidR="00844B58" w:rsidRPr="00AE03F5" w:rsidRDefault="00844B58" w:rsidP="00314F78">
      <w:pPr>
        <w:pStyle w:val="ListBullet"/>
      </w:pPr>
      <w:r w:rsidRPr="00AE03F5">
        <w:t>Promote open disclosure and encourage sharing of any health and wellbeing challenges.</w:t>
      </w:r>
    </w:p>
    <w:p w14:paraId="06DC8AB1" w14:textId="77777777" w:rsidR="00844B58" w:rsidRPr="00AE03F5" w:rsidRDefault="00844B58" w:rsidP="00314F78">
      <w:pPr>
        <w:pStyle w:val="ListBullet"/>
      </w:pPr>
      <w:r w:rsidRPr="00AE03F5">
        <w:t>Promote feedback systems, including informing care recipients of follow up actions and outcomes when complaints are handled.</w:t>
      </w:r>
    </w:p>
    <w:p w14:paraId="4EAC0F6F" w14:textId="4F8D2E1F" w:rsidR="00DA2FD2" w:rsidRPr="00AE03F5" w:rsidRDefault="69444273" w:rsidP="00314F78">
      <w:pPr>
        <w:pStyle w:val="ListBullet"/>
      </w:pPr>
      <w:r w:rsidRPr="00AE03F5">
        <w:t>Integrate systems to facilitate seamless monitoring, identification and management of poor quality care, as evidenced by low quality indicator performance.</w:t>
      </w:r>
    </w:p>
    <w:p w14:paraId="39D8EA38" w14:textId="77777777" w:rsidR="00DA2FD2" w:rsidRPr="006406BE" w:rsidRDefault="00DA2FD2" w:rsidP="00314F78">
      <w:pPr>
        <w:sectPr w:rsidR="00DA2FD2" w:rsidRPr="006406BE" w:rsidSect="00844B58">
          <w:headerReference w:type="even" r:id="rId274"/>
          <w:headerReference w:type="default" r:id="rId275"/>
          <w:headerReference w:type="first" r:id="rId276"/>
          <w:endnotePr>
            <w:numFmt w:val="decimal"/>
          </w:endnotePr>
          <w:type w:val="continuous"/>
          <w:pgSz w:w="11906" w:h="16838" w:code="9"/>
          <w:pgMar w:top="1701" w:right="1134" w:bottom="1134" w:left="2098" w:header="567" w:footer="567" w:gutter="0"/>
          <w:cols w:num="2" w:space="1418"/>
          <w:docGrid w:linePitch="360"/>
        </w:sectPr>
      </w:pPr>
    </w:p>
    <w:p w14:paraId="1BB0316B" w14:textId="63B8054E" w:rsidR="00A16EE1" w:rsidRPr="002765D3" w:rsidRDefault="00A16EE1" w:rsidP="0059348C">
      <w:pPr>
        <w:pStyle w:val="Heading2"/>
      </w:pPr>
      <w:r w:rsidRPr="002765D3">
        <w:lastRenderedPageBreak/>
        <w:t>Quality improvement for consumer experience</w:t>
      </w:r>
    </w:p>
    <w:p w14:paraId="5164A033" w14:textId="52C7CF47" w:rsidR="00A16EE1" w:rsidRPr="00AE03F5" w:rsidRDefault="00A16EE1" w:rsidP="00314F78">
      <w:r w:rsidRPr="00AE03F5">
        <w:t xml:space="preserve">Quality improvement can help providers increase quality of care experience for </w:t>
      </w:r>
      <w:r w:rsidR="00FC12FF" w:rsidRPr="00AE03F5">
        <w:t>older</w:t>
      </w:r>
      <w:r w:rsidRPr="00AE03F5">
        <w:t xml:space="preserve"> Australians in residential aged care. Quality improvement activities should be ongoing and part of business-as-usual for approved providers.</w:t>
      </w:r>
    </w:p>
    <w:p w14:paraId="1C62A590" w14:textId="2CD95CEF" w:rsidR="00A16EE1" w:rsidRPr="00AE03F5" w:rsidRDefault="00A16EE1" w:rsidP="00314F78">
      <w:r w:rsidRPr="00AE03F5">
        <w:t xml:space="preserve">The QI Program will help prompt when a specific quality improvement activity should be undertaken. It is important to review the QI Program data reports through </w:t>
      </w:r>
      <w:r w:rsidR="00B26274" w:rsidRPr="00AE03F5">
        <w:t xml:space="preserve">GPMS </w:t>
      </w:r>
      <w:r w:rsidRPr="00AE03F5">
        <w:t xml:space="preserve">and compare against national </w:t>
      </w:r>
      <w:r w:rsidR="0084075D" w:rsidRPr="00AE03F5">
        <w:t>averages</w:t>
      </w:r>
      <w:r w:rsidRPr="00AE03F5">
        <w:t xml:space="preserve"> and other services to understand where quality improvement activities should be focused.</w:t>
      </w:r>
    </w:p>
    <w:p w14:paraId="0F764169" w14:textId="0148532D" w:rsidR="00A16EE1" w:rsidRPr="00D82644" w:rsidRDefault="7C9EB3A8" w:rsidP="00314F78">
      <w:r w:rsidRPr="00AE03F5">
        <w:t xml:space="preserve">The </w:t>
      </w:r>
      <w:r w:rsidRPr="00AE03F5">
        <w:rPr>
          <w:rStyle w:val="Strong"/>
        </w:rPr>
        <w:t>Plan-Do-Check-Act tool</w:t>
      </w:r>
      <w:r w:rsidR="0089444D" w:rsidRPr="00AE03F5">
        <w:t xml:space="preserve"> (section 2.3)</w:t>
      </w:r>
      <w:r w:rsidRPr="00AE03F5">
        <w:t xml:space="preserve"> is a useful tool to plan, deliver and monitor quality improvement activities focused on optimising consumer experience.</w:t>
      </w:r>
      <w:r w:rsidRPr="00D82644">
        <w:br w:type="page"/>
      </w:r>
    </w:p>
    <w:p w14:paraId="2FCE26AA" w14:textId="38D48072" w:rsidR="00A16EE1" w:rsidRPr="002765D3" w:rsidRDefault="7C9EB3A8" w:rsidP="0059348C">
      <w:pPr>
        <w:pStyle w:val="Heading2"/>
      </w:pPr>
      <w:r w:rsidRPr="00AA0924">
        <w:lastRenderedPageBreak/>
        <w:t xml:space="preserve">Example tools, guidance and resources to </w:t>
      </w:r>
      <w:r w:rsidR="00A16EE1" w:rsidRPr="00AA0924">
        <w:br/>
      </w:r>
      <w:r w:rsidRPr="00AA0924">
        <w:t>support continuous quality improvement</w:t>
      </w:r>
    </w:p>
    <w:p w14:paraId="3D17FE95" w14:textId="1653CA1A" w:rsidR="00A16EE1" w:rsidRPr="00C94C85" w:rsidRDefault="7C9EB3A8" w:rsidP="00314F78">
      <w:pPr>
        <w:pStyle w:val="ListBullet"/>
      </w:pPr>
      <w:hyperlink r:id="rId277">
        <w:r w:rsidRPr="00C94C85">
          <w:rPr>
            <w:rStyle w:val="Hyperlink"/>
          </w:rPr>
          <w:t>QCE-ACC Quality of Care Experience Aged Care Consumers</w:t>
        </w:r>
        <w:r w:rsidR="47FBAE97" w:rsidRPr="00C94C85">
          <w:rPr>
            <w:rStyle w:val="Hyperlink"/>
          </w:rPr>
          <w:t>©</w:t>
        </w:r>
      </w:hyperlink>
      <w:r w:rsidR="4A667C5E" w:rsidRPr="00C94C85">
        <w:t xml:space="preserve"> — </w:t>
      </w:r>
      <w:r w:rsidRPr="00C94C85">
        <w:t>measure identifying aspects of care most important to</w:t>
      </w:r>
      <w:r w:rsidR="55EAC1F9" w:rsidRPr="00C94C85">
        <w:t xml:space="preserve"> senior</w:t>
      </w:r>
      <w:r w:rsidRPr="00C94C85">
        <w:t xml:space="preserve"> Australians</w:t>
      </w:r>
      <w:r w:rsidR="0837C6AE" w:rsidRPr="00C94C85">
        <w:t xml:space="preserve">, and the selected assessment tool that must be used in the QI Program — available in Part A: Appendix </w:t>
      </w:r>
      <w:r w:rsidR="45BA3DAC" w:rsidRPr="00C94C85">
        <w:t>C</w:t>
      </w:r>
    </w:p>
    <w:p w14:paraId="7FD4A997" w14:textId="277D0F14" w:rsidR="00494296" w:rsidRPr="00C94C85" w:rsidRDefault="00494296" w:rsidP="00314F78">
      <w:pPr>
        <w:pStyle w:val="ListBullet"/>
      </w:pPr>
      <w:hyperlink r:id="rId278" w:history="1">
        <w:r w:rsidRPr="00C94C85">
          <w:rPr>
            <w:rStyle w:val="Hyperlink"/>
          </w:rPr>
          <w:t>Care that is right for me: A resource for working with aged care consumers</w:t>
        </w:r>
      </w:hyperlink>
      <w:r w:rsidRPr="00C94C85">
        <w:t xml:space="preserve"> — resource has been designed to support providers of aged care to partner and engage with consumers to drive the delivery of consumer-centred care — Aged Care Quality and Safety Commission</w:t>
      </w:r>
    </w:p>
    <w:p w14:paraId="5C8E70F8" w14:textId="1AB1CB8A" w:rsidR="00A16EE1" w:rsidRPr="00C94C85" w:rsidRDefault="006D632B" w:rsidP="00314F78">
      <w:pPr>
        <w:pStyle w:val="ListBullet"/>
      </w:pPr>
      <w:hyperlink r:id="rId279" w:history="1">
        <w:r w:rsidRPr="00C94C85">
          <w:rPr>
            <w:rStyle w:val="Hyperlink"/>
          </w:rPr>
          <w:t>Research Paper 20: The quality of care experience and community expectations</w:t>
        </w:r>
      </w:hyperlink>
      <w:r w:rsidRPr="00C94C85">
        <w:t xml:space="preserve"> — research paper investigating understanding of older Australian’s experience of aged care and provides guidance on monitoring care recipient’s satisfaction with overall care provided — Royal Commission into Aged Care Quality and Safety</w:t>
      </w:r>
    </w:p>
    <w:p w14:paraId="5F90C7F0" w14:textId="4E4710C2" w:rsidR="00A16EE1" w:rsidRPr="00C94C85" w:rsidRDefault="006D632B" w:rsidP="00314F78">
      <w:pPr>
        <w:pStyle w:val="ListBullet"/>
      </w:pPr>
      <w:hyperlink r:id="rId280" w:history="1">
        <w:r w:rsidRPr="00C94C85">
          <w:rPr>
            <w:rStyle w:val="Hyperlink"/>
          </w:rPr>
          <w:t>Guidance and resources for providers to support the Aged Care Quality Standards</w:t>
        </w:r>
      </w:hyperlink>
      <w:r w:rsidR="009E39EE" w:rsidRPr="00C94C85">
        <w:t xml:space="preserve"> — </w:t>
      </w:r>
      <w:r w:rsidR="00A16EE1" w:rsidRPr="00C94C85">
        <w:t xml:space="preserve">online guidance and resources to support </w:t>
      </w:r>
      <w:r w:rsidR="00D1523C" w:rsidRPr="00C94C85">
        <w:t xml:space="preserve">aged care providers with </w:t>
      </w:r>
      <w:r w:rsidR="00A16EE1" w:rsidRPr="00C94C85">
        <w:t xml:space="preserve">implementation of </w:t>
      </w:r>
      <w:r w:rsidR="00D1523C" w:rsidRPr="00C94C85">
        <w:t xml:space="preserve">the </w:t>
      </w:r>
      <w:r w:rsidR="00A16EE1" w:rsidRPr="00C94C85">
        <w:t>Aged Care Quality Standards</w:t>
      </w:r>
      <w:r w:rsidRPr="00C94C85">
        <w:t xml:space="preserve"> — Aged Care Quality and Safety Commission</w:t>
      </w:r>
    </w:p>
    <w:p w14:paraId="350441C6" w14:textId="175AC8C2" w:rsidR="006D632B" w:rsidRPr="00C94C85" w:rsidRDefault="006D632B" w:rsidP="00314F78">
      <w:pPr>
        <w:pStyle w:val="ListBullet"/>
      </w:pPr>
      <w:hyperlink r:id="rId281" w:history="1">
        <w:r w:rsidRPr="00C94C85">
          <w:rPr>
            <w:rStyle w:val="Hyperlink"/>
          </w:rPr>
          <w:t>Aged Care Quality Standards consumer outcomes A2 poster</w:t>
        </w:r>
      </w:hyperlink>
      <w:r w:rsidRPr="00C94C85">
        <w:t xml:space="preserve"> — poster describing the consumer outcomes for the Aged Care Quality Standards — Aged Care Quality and Safety Commission</w:t>
      </w:r>
    </w:p>
    <w:p w14:paraId="33281D68" w14:textId="31DA37D6" w:rsidR="00A16EE1" w:rsidRPr="00C94C85" w:rsidRDefault="00A16EE1" w:rsidP="00314F78">
      <w:pPr>
        <w:pStyle w:val="ListBullet"/>
      </w:pPr>
      <w:hyperlink r:id="rId282" w:anchor="tab=tab_1">
        <w:r w:rsidRPr="00C94C85">
          <w:rPr>
            <w:rStyle w:val="Hyperlink"/>
          </w:rPr>
          <w:t>Quality of Care</w:t>
        </w:r>
      </w:hyperlink>
      <w:r w:rsidR="009E39EE" w:rsidRPr="00C94C85">
        <w:t xml:space="preserve"> — </w:t>
      </w:r>
      <w:r w:rsidRPr="00C94C85">
        <w:t xml:space="preserve">information and resources to support provision of </w:t>
      </w:r>
      <w:r w:rsidR="00DD6034" w:rsidRPr="00C94C85">
        <w:t>high</w:t>
      </w:r>
      <w:r w:rsidR="7F5A5E87" w:rsidRPr="00C94C85">
        <w:t xml:space="preserve"> </w:t>
      </w:r>
      <w:r w:rsidR="00DD6034" w:rsidRPr="00C94C85">
        <w:t>quality</w:t>
      </w:r>
      <w:r w:rsidRPr="00C94C85">
        <w:t xml:space="preserve"> healthcare, including strategies on consumer engagement</w:t>
      </w:r>
      <w:r w:rsidR="0030583F" w:rsidRPr="00C94C85">
        <w:t xml:space="preserve"> </w:t>
      </w:r>
      <w:r w:rsidR="00494296" w:rsidRPr="00C94C85">
        <w:t>— World Health Organization</w:t>
      </w:r>
    </w:p>
    <w:p w14:paraId="188FD54A" w14:textId="0435881D" w:rsidR="00A16EE1" w:rsidRPr="00C94C85" w:rsidRDefault="00A16EE1" w:rsidP="00314F78">
      <w:pPr>
        <w:rPr>
          <w:rStyle w:val="Emphasis"/>
        </w:rPr>
      </w:pPr>
      <w:r w:rsidRPr="00C94C85">
        <w:rPr>
          <w:rStyle w:val="Emphasis"/>
        </w:rPr>
        <w:t>Some tools, guidance and resources may be updated over time; it is important to ensure you are looking at the most recent version.</w:t>
      </w:r>
    </w:p>
    <w:p w14:paraId="6F929CED" w14:textId="77777777" w:rsidR="00C94C85" w:rsidRPr="00454D17" w:rsidRDefault="00C94C85" w:rsidP="00314F78"/>
    <w:p w14:paraId="7480F752" w14:textId="77777777" w:rsidR="00DF626C" w:rsidRPr="002765D3" w:rsidRDefault="00DF626C" w:rsidP="00314F78">
      <w:pPr>
        <w:sectPr w:rsidR="00DF626C" w:rsidRPr="002765D3" w:rsidSect="001801B3">
          <w:headerReference w:type="first" r:id="rId283"/>
          <w:footerReference w:type="first" r:id="rId284"/>
          <w:endnotePr>
            <w:numFmt w:val="decimal"/>
          </w:endnotePr>
          <w:type w:val="continuous"/>
          <w:pgSz w:w="11906" w:h="16838" w:code="9"/>
          <w:pgMar w:top="1701" w:right="1134" w:bottom="1134" w:left="1134" w:header="567" w:footer="567" w:gutter="0"/>
          <w:cols w:space="708"/>
          <w:docGrid w:linePitch="360"/>
        </w:sectPr>
      </w:pPr>
    </w:p>
    <w:p w14:paraId="4F97A26E" w14:textId="0E1DD8C9" w:rsidR="00D7090D" w:rsidRPr="00C94C85" w:rsidRDefault="00687828" w:rsidP="0059348C">
      <w:pPr>
        <w:pStyle w:val="Heading1"/>
      </w:pPr>
      <w:bookmarkStart w:id="70" w:name="_Toc193889900"/>
      <w:r>
        <w:rPr>
          <w:noProof/>
        </w:rPr>
        <w:lastRenderedPageBreak/>
        <w:drawing>
          <wp:anchor distT="0" distB="0" distL="114300" distR="114300" simplePos="0" relativeHeight="251658296" behindDoc="1" locked="0" layoutInCell="1" allowOverlap="1" wp14:anchorId="13C06D16" wp14:editId="63BBDE62">
            <wp:simplePos x="0" y="0"/>
            <wp:positionH relativeFrom="page">
              <wp:posOffset>-111760</wp:posOffset>
            </wp:positionH>
            <wp:positionV relativeFrom="paragraph">
              <wp:posOffset>463395</wp:posOffset>
            </wp:positionV>
            <wp:extent cx="7704000" cy="1440000"/>
            <wp:effectExtent l="0" t="0" r="0" b="8255"/>
            <wp:wrapNone/>
            <wp:docPr id="812643327" name="Picture 5" descr="P12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3327" name="Picture 5" descr="P1222#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90D" w:rsidRPr="00C94C85">
        <w:t>Quality of life</w:t>
      </w:r>
      <w:bookmarkEnd w:id="70"/>
    </w:p>
    <w:p w14:paraId="392454DB" w14:textId="7DF2694B" w:rsidR="00EC4288" w:rsidRPr="00454D17" w:rsidRDefault="005F4EDF" w:rsidP="005F4EDF">
      <w:pPr>
        <w:pStyle w:val="Headerwhite"/>
      </w:pPr>
      <w:r w:rsidRPr="002765D3">
        <w:rPr>
          <w:noProof/>
        </w:rPr>
        <w:drawing>
          <wp:anchor distT="0" distB="0" distL="114300" distR="114300" simplePos="0" relativeHeight="251658259" behindDoc="0" locked="0" layoutInCell="1" allowOverlap="1" wp14:anchorId="78C69EBD" wp14:editId="612482F7">
            <wp:simplePos x="0" y="0"/>
            <wp:positionH relativeFrom="margin">
              <wp:align>left</wp:align>
            </wp:positionH>
            <wp:positionV relativeFrom="paragraph">
              <wp:posOffset>278765</wp:posOffset>
            </wp:positionV>
            <wp:extent cx="1083945" cy="1083945"/>
            <wp:effectExtent l="0" t="0" r="1905" b="1905"/>
            <wp:wrapSquare wrapText="bothSides"/>
            <wp:docPr id="1736794113" name="Picture 286" descr="P12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3" name="Picture 286" descr="P1223#y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anchor>
        </w:drawing>
      </w:r>
      <w:r w:rsidR="06FF2755" w:rsidRPr="00454D17">
        <w:t>The Royal Commission into Aged Care Quality and Safety noted quality of life should be the constant and predominant aim of aged care. Although the care needs of older Australians may change over time, the desire for a good quality of life does not diminish. Regular monitoring of quality of life is an important part of routine care supporting quality.</w:t>
      </w:r>
    </w:p>
    <w:p w14:paraId="7DE79349" w14:textId="17BD855B" w:rsidR="00D7090D" w:rsidRPr="00C94C85" w:rsidRDefault="00D7090D" w:rsidP="0059348C">
      <w:pPr>
        <w:pStyle w:val="Heading2"/>
      </w:pPr>
      <w:r w:rsidRPr="00C94C85">
        <w:t xml:space="preserve">Overview of </w:t>
      </w:r>
      <w:r w:rsidR="001918F3" w:rsidRPr="00C94C85">
        <w:t>q</w:t>
      </w:r>
      <w:r w:rsidRPr="00C94C85">
        <w:t xml:space="preserve">uality of </w:t>
      </w:r>
      <w:r w:rsidR="001918F3" w:rsidRPr="00C94C85">
        <w:t>l</w:t>
      </w:r>
      <w:r w:rsidRPr="00C94C85">
        <w:t>ife</w:t>
      </w:r>
    </w:p>
    <w:p w14:paraId="5D3D3EE0" w14:textId="43DFFA04" w:rsidR="00D7090D" w:rsidRPr="00D82644" w:rsidRDefault="007571D0" w:rsidP="00314F78">
      <w:r w:rsidRPr="00C94C85">
        <w:t xml:space="preserve">Figure 50 </w:t>
      </w:r>
      <w:r w:rsidR="00D7090D" w:rsidRPr="00C94C85">
        <w:t>provides an overview of quality of life in residential aged care services.</w:t>
      </w:r>
      <w:r w:rsidR="00E91A78" w:rsidRPr="00C94C85">
        <w:t xml:space="preserve"> </w:t>
      </w:r>
      <w:r w:rsidR="002C6D27" w:rsidRPr="00C94C85">
        <w:t>The data and references have been reviewed March 2025.</w:t>
      </w:r>
    </w:p>
    <w:p w14:paraId="106711D9" w14:textId="237257BB" w:rsidR="00D7090D" w:rsidRPr="00C94C85" w:rsidRDefault="00FF5C84" w:rsidP="00314F78">
      <w:pPr>
        <w:pStyle w:val="Caption"/>
      </w:pPr>
      <w:bookmarkStart w:id="71" w:name="_Ref105140238"/>
      <w:r w:rsidRPr="00C94C85">
        <w:t>FIGURE </w:t>
      </w:r>
      <w:bookmarkEnd w:id="71"/>
      <w:r w:rsidR="00531A57" w:rsidRPr="00C94C85">
        <w:fldChar w:fldCharType="begin"/>
      </w:r>
      <w:r w:rsidR="00531A57" w:rsidRPr="00C94C85">
        <w:instrText>SEQ Figure \* ARABIC</w:instrText>
      </w:r>
      <w:r w:rsidR="00531A57" w:rsidRPr="00C94C85">
        <w:fldChar w:fldCharType="separate"/>
      </w:r>
      <w:r w:rsidR="003A30D7">
        <w:rPr>
          <w:noProof/>
        </w:rPr>
        <w:t>50</w:t>
      </w:r>
      <w:r w:rsidR="00531A57" w:rsidRPr="00C94C85">
        <w:fldChar w:fldCharType="end"/>
      </w:r>
      <w:r w:rsidRPr="00C94C85">
        <w:t>: QUALITY OF LIFE IN RESIDENTIAL AGED CARE</w:t>
      </w:r>
      <w:r w:rsidR="009253DC">
        <w:rPr>
          <w:rFonts w:ascii="ZWAdobeF" w:hAnsi="ZWAdobeF" w:cs="ZWAdobeF"/>
          <w:b w:val="0"/>
          <w:color w:val="auto"/>
          <w:sz w:val="2"/>
          <w:szCs w:val="2"/>
        </w:rPr>
        <w:t>208F</w:t>
      </w:r>
      <w:r w:rsidR="004618B8" w:rsidRPr="00454D17">
        <w:rPr>
          <w:rStyle w:val="EndnoteReference"/>
        </w:rPr>
        <w:endnoteReference w:id="210"/>
      </w:r>
      <w:r w:rsidRPr="00454D17">
        <w:rPr>
          <w:rStyle w:val="EndnoteReference"/>
        </w:rPr>
        <w:t xml:space="preserve"> </w:t>
      </w:r>
      <w:r w:rsidR="009253DC">
        <w:rPr>
          <w:rFonts w:ascii="ZWAdobeF" w:hAnsi="ZWAdobeF" w:cs="ZWAdobeF"/>
          <w:b w:val="0"/>
          <w:color w:val="auto"/>
          <w:sz w:val="2"/>
          <w:szCs w:val="2"/>
        </w:rPr>
        <w:t>209F</w:t>
      </w:r>
      <w:r w:rsidR="004618B8" w:rsidRPr="00454D17">
        <w:rPr>
          <w:rStyle w:val="EndnoteReference"/>
        </w:rPr>
        <w:endnoteReference w:id="211"/>
      </w:r>
    </w:p>
    <w:p w14:paraId="63651CA4" w14:textId="75A3DF3F" w:rsidR="003371BE" w:rsidRPr="003371BE" w:rsidRDefault="00A60BA3" w:rsidP="00314F78">
      <w:r>
        <w:rPr>
          <w:noProof/>
        </w:rPr>
        <w:drawing>
          <wp:inline distT="0" distB="0" distL="0" distR="0" wp14:anchorId="121A3469" wp14:editId="51AFC5C9">
            <wp:extent cx="5863605" cy="4114800"/>
            <wp:effectExtent l="0" t="0" r="3810" b="0"/>
            <wp:docPr id="1868" name="Picture 1868" descr="P1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Picture 1868" descr="P1227#yIS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67862" cy="4117787"/>
                    </a:xfrm>
                    <a:prstGeom prst="rect">
                      <a:avLst/>
                    </a:prstGeom>
                    <a:noFill/>
                  </pic:spPr>
                </pic:pic>
              </a:graphicData>
            </a:graphic>
          </wp:inline>
        </w:drawing>
      </w:r>
    </w:p>
    <w:p w14:paraId="40405833" w14:textId="293449F9" w:rsidR="00D7090D" w:rsidRPr="00C94C85" w:rsidRDefault="00D7090D" w:rsidP="0059348C">
      <w:pPr>
        <w:pStyle w:val="Heading2"/>
      </w:pPr>
      <w:r w:rsidRPr="00C94C85">
        <w:t>Quality of life in residential aged care</w:t>
      </w:r>
    </w:p>
    <w:p w14:paraId="7F8466B4" w14:textId="7B225082" w:rsidR="00D7090D" w:rsidRPr="00C94C85" w:rsidRDefault="5D1E8F55" w:rsidP="00314F78">
      <w:r w:rsidRPr="00C94C85">
        <w:t xml:space="preserve">For the purposes of the QI program, </w:t>
      </w:r>
      <w:r w:rsidR="6A3FADE1" w:rsidRPr="00C94C85">
        <w:t>q</w:t>
      </w:r>
      <w:r w:rsidR="4CC20EC3" w:rsidRPr="00C94C85">
        <w:t>uality of life is</w:t>
      </w:r>
      <w:r w:rsidR="4F2E8A18" w:rsidRPr="00C94C85">
        <w:t xml:space="preserve"> defined by a person’s perception of their </w:t>
      </w:r>
      <w:r w:rsidR="68AAF39B" w:rsidRPr="00C94C85">
        <w:t>position and purpose</w:t>
      </w:r>
      <w:r w:rsidR="251CFA43" w:rsidRPr="00C94C85">
        <w:t xml:space="preserve">, including </w:t>
      </w:r>
      <w:r w:rsidR="14A1DC84" w:rsidRPr="00C94C85">
        <w:t xml:space="preserve">emotional, physical, material and social wellbeing. It is an important </w:t>
      </w:r>
      <w:r w:rsidR="62B1E0D0" w:rsidRPr="00C94C85">
        <w:t xml:space="preserve">element of aged care, </w:t>
      </w:r>
      <w:r w:rsidR="78FFBAB0" w:rsidRPr="00C94C85">
        <w:t xml:space="preserve">providing consideration for the environment, goals, expectations, standards, and concerns that care recipients may have. </w:t>
      </w:r>
      <w:r w:rsidR="4CC20EC3" w:rsidRPr="00C94C85">
        <w:t xml:space="preserve">The Royal Commission </w:t>
      </w:r>
      <w:r w:rsidR="2848AA68" w:rsidRPr="00C94C85">
        <w:t xml:space="preserve">into Aged Care </w:t>
      </w:r>
      <w:r w:rsidR="2848AA68" w:rsidRPr="00C94C85">
        <w:lastRenderedPageBreak/>
        <w:t xml:space="preserve">Quality and Safety </w:t>
      </w:r>
      <w:r w:rsidR="4CC20EC3" w:rsidRPr="00C94C85">
        <w:t xml:space="preserve">identified large deficits in the collection of quality of life information and recommended </w:t>
      </w:r>
      <w:r w:rsidR="47446A15" w:rsidRPr="00C94C85">
        <w:t>implementation</w:t>
      </w:r>
      <w:r w:rsidR="4CC20EC3" w:rsidRPr="00C94C85">
        <w:t xml:space="preserve"> of a quality of life measure.</w:t>
      </w:r>
      <w:r w:rsidR="009253DC">
        <w:rPr>
          <w:rFonts w:ascii="ZWAdobeF" w:hAnsi="ZWAdobeF" w:cs="ZWAdobeF"/>
          <w:color w:val="auto"/>
          <w:sz w:val="2"/>
          <w:szCs w:val="2"/>
        </w:rPr>
        <w:t>210F</w:t>
      </w:r>
      <w:r w:rsidR="00173A41" w:rsidRPr="00C94C85">
        <w:rPr>
          <w:vertAlign w:val="superscript"/>
        </w:rPr>
        <w:endnoteReference w:id="212"/>
      </w:r>
    </w:p>
    <w:p w14:paraId="5EDE6F9A" w14:textId="6B6FD808" w:rsidR="00D7090D" w:rsidRPr="00C94C85" w:rsidRDefault="4CC20EC3" w:rsidP="00314F78">
      <w:r w:rsidRPr="00C94C85">
        <w:t xml:space="preserve">Quality of life is linked to aspects of </w:t>
      </w:r>
      <w:r w:rsidR="300E0EC0" w:rsidRPr="00C94C85">
        <w:t xml:space="preserve">an individual’s </w:t>
      </w:r>
      <w:r w:rsidRPr="00C94C85">
        <w:t>care and experience</w:t>
      </w:r>
      <w:r w:rsidR="300E0EC0" w:rsidRPr="00C94C85">
        <w:t xml:space="preserve">; including </w:t>
      </w:r>
      <w:r w:rsidRPr="00C94C85">
        <w:t>physically, mentally, emotionally</w:t>
      </w:r>
      <w:r w:rsidR="759070CB" w:rsidRPr="00C94C85">
        <w:t>,</w:t>
      </w:r>
      <w:r w:rsidRPr="00C94C85">
        <w:t xml:space="preserve"> and environmentally.</w:t>
      </w:r>
      <w:r w:rsidR="009253DC">
        <w:rPr>
          <w:rFonts w:ascii="ZWAdobeF" w:hAnsi="ZWAdobeF" w:cs="ZWAdobeF"/>
          <w:color w:val="auto"/>
          <w:sz w:val="2"/>
          <w:szCs w:val="2"/>
        </w:rPr>
        <w:t>211F</w:t>
      </w:r>
      <w:r w:rsidR="00173A41" w:rsidRPr="00C94C85">
        <w:rPr>
          <w:vertAlign w:val="superscript"/>
        </w:rPr>
        <w:endnoteReference w:id="213"/>
      </w:r>
      <w:r w:rsidRPr="00C94C85">
        <w:t xml:space="preserve"> </w:t>
      </w:r>
      <w:r w:rsidR="52CECD1A" w:rsidRPr="00C94C85">
        <w:t>Tools to measure q</w:t>
      </w:r>
      <w:r w:rsidRPr="00C94C85">
        <w:t xml:space="preserve">uality of life </w:t>
      </w:r>
      <w:r w:rsidR="52CECD1A" w:rsidRPr="00C94C85">
        <w:t xml:space="preserve">recognise </w:t>
      </w:r>
      <w:r w:rsidR="300E0EC0" w:rsidRPr="00C94C85">
        <w:t xml:space="preserve">that </w:t>
      </w:r>
      <w:r w:rsidRPr="00C94C85">
        <w:t>values change over the life course, and older people, while valuing health, also value independence, safety and control.</w:t>
      </w:r>
      <w:r w:rsidR="009253DC">
        <w:rPr>
          <w:rFonts w:ascii="ZWAdobeF" w:hAnsi="ZWAdobeF" w:cs="ZWAdobeF"/>
          <w:color w:val="auto"/>
          <w:sz w:val="2"/>
          <w:szCs w:val="2"/>
        </w:rPr>
        <w:t>212F</w:t>
      </w:r>
      <w:r w:rsidR="00173A41" w:rsidRPr="00C94C85">
        <w:rPr>
          <w:vertAlign w:val="superscript"/>
        </w:rPr>
        <w:endnoteReference w:id="214"/>
      </w:r>
      <w:r w:rsidR="1B368645" w:rsidRPr="00C94C85">
        <w:rPr>
          <w:vertAlign w:val="superscript"/>
        </w:rPr>
        <w:t xml:space="preserve"> </w:t>
      </w:r>
      <w:r w:rsidR="009253DC">
        <w:rPr>
          <w:rFonts w:ascii="ZWAdobeF" w:hAnsi="ZWAdobeF" w:cs="ZWAdobeF"/>
          <w:color w:val="auto"/>
          <w:sz w:val="2"/>
          <w:szCs w:val="2"/>
        </w:rPr>
        <w:t>213F</w:t>
      </w:r>
      <w:r w:rsidR="007F6013" w:rsidRPr="00C94C85">
        <w:rPr>
          <w:vertAlign w:val="superscript"/>
        </w:rPr>
        <w:endnoteReference w:id="215"/>
      </w:r>
      <w:r w:rsidR="435AA594" w:rsidRPr="00C94C85">
        <w:t xml:space="preserve"> </w:t>
      </w:r>
    </w:p>
    <w:p w14:paraId="6B9E42C8" w14:textId="3CBF9FB8" w:rsidR="00D7090D" w:rsidRPr="00C94C85" w:rsidRDefault="4CC20EC3" w:rsidP="00314F78">
      <w:r w:rsidRPr="00C94C85">
        <w:t xml:space="preserve">Optimal quality of life is perceived </w:t>
      </w:r>
      <w:r w:rsidR="52CECD1A" w:rsidRPr="00C94C85">
        <w:t>when care and services promote</w:t>
      </w:r>
      <w:r w:rsidRPr="00C94C85">
        <w:t>:</w:t>
      </w:r>
      <w:r w:rsidR="009253DC">
        <w:rPr>
          <w:rFonts w:ascii="ZWAdobeF" w:hAnsi="ZWAdobeF" w:cs="ZWAdobeF"/>
          <w:color w:val="auto"/>
          <w:sz w:val="2"/>
          <w:szCs w:val="2"/>
        </w:rPr>
        <w:t>214F</w:t>
      </w:r>
      <w:r w:rsidR="0089420B" w:rsidRPr="00C94C85">
        <w:rPr>
          <w:vertAlign w:val="superscript"/>
        </w:rPr>
        <w:endnoteReference w:id="216"/>
      </w:r>
    </w:p>
    <w:p w14:paraId="3174EE84" w14:textId="28EE5FD3" w:rsidR="00D7090D" w:rsidRPr="00C94C85" w:rsidRDefault="4ADBF8EB" w:rsidP="00314F78">
      <w:pPr>
        <w:pStyle w:val="ListBullet"/>
      </w:pPr>
      <w:r w:rsidRPr="00C94C85">
        <w:t>enjoyment</w:t>
      </w:r>
    </w:p>
    <w:p w14:paraId="6DEEFB2B" w14:textId="13408F83" w:rsidR="00D7090D" w:rsidRPr="00C94C85" w:rsidRDefault="4ADBF8EB" w:rsidP="00314F78">
      <w:pPr>
        <w:pStyle w:val="ListBullet"/>
      </w:pPr>
      <w:r w:rsidRPr="00C94C85">
        <w:t>participation</w:t>
      </w:r>
    </w:p>
    <w:p w14:paraId="042689D3" w14:textId="02A77783" w:rsidR="00D7090D" w:rsidRPr="00C94C85" w:rsidRDefault="4ADBF8EB" w:rsidP="00314F78">
      <w:pPr>
        <w:pStyle w:val="ListBullet"/>
      </w:pPr>
      <w:r w:rsidRPr="00C94C85">
        <w:t>expression and creative activities</w:t>
      </w:r>
    </w:p>
    <w:p w14:paraId="55821807" w14:textId="4484452F" w:rsidR="00D7090D" w:rsidRPr="00C94C85" w:rsidRDefault="3F958F93" w:rsidP="00314F78">
      <w:pPr>
        <w:pStyle w:val="ListBullet"/>
      </w:pPr>
      <w:r w:rsidRPr="00C94C85">
        <w:t>maximum physical, mental and psychological function</w:t>
      </w:r>
    </w:p>
    <w:p w14:paraId="7AE09D1B" w14:textId="56D60DAC" w:rsidR="00D7090D" w:rsidRPr="00C94C85" w:rsidRDefault="3F958F93" w:rsidP="00314F78">
      <w:pPr>
        <w:pStyle w:val="ListBullet"/>
      </w:pPr>
      <w:r w:rsidRPr="00C94C85">
        <w:t>ongoing opportunities, stimulation and rehabilitation</w:t>
      </w:r>
    </w:p>
    <w:p w14:paraId="15F8097A" w14:textId="56D60DAC" w:rsidR="00D7090D" w:rsidRPr="00C94C85" w:rsidRDefault="3F958F93" w:rsidP="00314F78">
      <w:pPr>
        <w:pStyle w:val="ListBullet"/>
      </w:pPr>
      <w:r w:rsidRPr="00C94C85">
        <w:t>mitigation of displeasure, anxiety and boredom</w:t>
      </w:r>
    </w:p>
    <w:p w14:paraId="679039C0" w14:textId="77DCA838" w:rsidR="00D7090D" w:rsidRPr="00C94C85" w:rsidRDefault="4ADBF8EB" w:rsidP="00314F78">
      <w:pPr>
        <w:pStyle w:val="ListBullet"/>
      </w:pPr>
      <w:r w:rsidRPr="00C94C85">
        <w:t>creation of legacy and life review</w:t>
      </w:r>
    </w:p>
    <w:p w14:paraId="23046FF1" w14:textId="19504A62" w:rsidR="00D7090D" w:rsidRPr="00C94C85" w:rsidRDefault="4ADBF8EB" w:rsidP="00314F78">
      <w:pPr>
        <w:pStyle w:val="ListBullet"/>
      </w:pPr>
      <w:r w:rsidRPr="00C94C85">
        <w:t>expression of spirituality and religious practices</w:t>
      </w:r>
      <w:r w:rsidR="0ACB93B8" w:rsidRPr="00C94C85">
        <w:t>.</w:t>
      </w:r>
    </w:p>
    <w:p w14:paraId="7C472752" w14:textId="774256F1" w:rsidR="00D7090D" w:rsidRPr="00C94C85" w:rsidRDefault="4CC20EC3" w:rsidP="00314F78">
      <w:r w:rsidRPr="00C94C85">
        <w:t xml:space="preserve">Details of collection and reporting requirements for </w:t>
      </w:r>
      <w:r w:rsidR="0F9488D7" w:rsidRPr="00C94C85">
        <w:t xml:space="preserve">the </w:t>
      </w:r>
      <w:r w:rsidR="300E0EC0" w:rsidRPr="00C94C85">
        <w:t>quality of life</w:t>
      </w:r>
      <w:r w:rsidRPr="00C94C85">
        <w:t xml:space="preserve"> </w:t>
      </w:r>
      <w:r w:rsidR="0F9488D7" w:rsidRPr="00C94C85">
        <w:t xml:space="preserve">quality indicator </w:t>
      </w:r>
      <w:r w:rsidRPr="00C94C85">
        <w:t>can be found in Part A.</w:t>
      </w:r>
    </w:p>
    <w:p w14:paraId="679C34B5" w14:textId="6AF48542" w:rsidR="00D7090D" w:rsidRPr="00C94C85" w:rsidRDefault="00D7090D" w:rsidP="0059348C">
      <w:pPr>
        <w:pStyle w:val="Heading2"/>
      </w:pPr>
      <w:r w:rsidRPr="00C94C85">
        <w:t>Predictors of quality of life</w:t>
      </w:r>
    </w:p>
    <w:p w14:paraId="33E07844" w14:textId="1E5F3694" w:rsidR="0073122B" w:rsidRPr="00C94C85" w:rsidRDefault="1C5AE5C8" w:rsidP="00314F78">
      <w:pPr>
        <w:pStyle w:val="ListBullet"/>
      </w:pPr>
      <w:r w:rsidRPr="00C94C85">
        <w:t>There are both modifiable and non-modifiable factors that contribute to quality of life. Predisposing predictors of quality of life include</w:t>
      </w:r>
      <w:r w:rsidR="0884984A" w:rsidRPr="00C94C85">
        <w:t>:</w:t>
      </w:r>
      <w:r w:rsidR="009253DC">
        <w:rPr>
          <w:rFonts w:ascii="ZWAdobeF" w:hAnsi="ZWAdobeF" w:cs="ZWAdobeF"/>
          <w:sz w:val="2"/>
          <w:szCs w:val="2"/>
        </w:rPr>
        <w:t>215F</w:t>
      </w:r>
      <w:r w:rsidR="0073122B" w:rsidRPr="00C94C85">
        <w:endnoteReference w:id="217"/>
      </w:r>
    </w:p>
    <w:p w14:paraId="11EB1DC8" w14:textId="713A66E7" w:rsidR="0073122B" w:rsidRPr="00C94C85" w:rsidRDefault="0073122B" w:rsidP="00314F78">
      <w:pPr>
        <w:pStyle w:val="ListBullet"/>
      </w:pPr>
      <w:r w:rsidRPr="00C94C85">
        <w:t>demographic factors (such as age, gender, geographic location, socio-economic status)</w:t>
      </w:r>
    </w:p>
    <w:p w14:paraId="688AADFE" w14:textId="66B4F6F2" w:rsidR="0073122B" w:rsidRPr="00C94C85" w:rsidRDefault="0073122B" w:rsidP="00314F78">
      <w:pPr>
        <w:pStyle w:val="ListBullet"/>
      </w:pPr>
      <w:r w:rsidRPr="00C94C85">
        <w:t>social factors (such as marital status and social participation)</w:t>
      </w:r>
    </w:p>
    <w:p w14:paraId="47729D8C" w14:textId="56783B23" w:rsidR="0073122B" w:rsidRPr="00C94C85" w:rsidRDefault="0884984A" w:rsidP="00314F78">
      <w:pPr>
        <w:pStyle w:val="ListBullet"/>
      </w:pPr>
      <w:r w:rsidRPr="00C94C85">
        <w:t>individual factors (such as mobility, independence, health and healthcare requirements).</w:t>
      </w:r>
    </w:p>
    <w:p w14:paraId="70CD5FE1" w14:textId="6FC897BB" w:rsidR="00D7090D" w:rsidRPr="00C94C85" w:rsidRDefault="0EBA4DA0" w:rsidP="00314F78">
      <w:pPr>
        <w:pStyle w:val="ListBullet"/>
      </w:pPr>
      <w:r w:rsidRPr="00C94C85">
        <w:t xml:space="preserve">Modifiable factors </w:t>
      </w:r>
      <w:r w:rsidR="0884984A" w:rsidRPr="00C94C85">
        <w:t xml:space="preserve">can </w:t>
      </w:r>
      <w:r w:rsidR="1C5AE5C8" w:rsidRPr="00C94C85">
        <w:t xml:space="preserve">be influenced </w:t>
      </w:r>
      <w:r w:rsidR="0884984A" w:rsidRPr="00C94C85">
        <w:t>by</w:t>
      </w:r>
      <w:r w:rsidR="1C5AE5C8" w:rsidRPr="00C94C85">
        <w:t xml:space="preserve"> service</w:t>
      </w:r>
      <w:r w:rsidR="0884984A" w:rsidRPr="00C94C85">
        <w:t>s</w:t>
      </w:r>
      <w:r w:rsidR="437BE253" w:rsidRPr="00C94C85">
        <w:t xml:space="preserve"> </w:t>
      </w:r>
      <w:r w:rsidR="1C5AE5C8" w:rsidRPr="00C94C85">
        <w:t>and staff</w:t>
      </w:r>
      <w:r w:rsidR="0884984A" w:rsidRPr="00C94C85">
        <w:t xml:space="preserve"> </w:t>
      </w:r>
      <w:r w:rsidRPr="00C94C85">
        <w:t xml:space="preserve">through </w:t>
      </w:r>
      <w:r w:rsidR="0884984A" w:rsidRPr="00C94C85">
        <w:t>collaborative care planning, appropriate care provision and access to healthcare</w:t>
      </w:r>
      <w:r w:rsidR="1C5AE5C8" w:rsidRPr="00C94C85">
        <w:t>.</w:t>
      </w:r>
    </w:p>
    <w:p w14:paraId="08AFED8D" w14:textId="1E6DA294" w:rsidR="00D7090D" w:rsidRPr="00C94C85" w:rsidRDefault="00D7090D" w:rsidP="0059348C">
      <w:pPr>
        <w:pStyle w:val="Heading2"/>
      </w:pPr>
      <w:r w:rsidRPr="00C94C85">
        <w:t>Risk factors for diminishing quality of life</w:t>
      </w:r>
    </w:p>
    <w:p w14:paraId="5359098B" w14:textId="45BD9259" w:rsidR="00A43A5A" w:rsidRPr="00C94C85" w:rsidRDefault="1C5AE5C8" w:rsidP="00314F78">
      <w:r w:rsidRPr="00C94C85">
        <w:t>There are many risk factors for diminishing quality of life across physical, mental and social domains, including:</w:t>
      </w:r>
      <w:r w:rsidR="009253DC">
        <w:rPr>
          <w:rFonts w:ascii="ZWAdobeF" w:hAnsi="ZWAdobeF" w:cs="ZWAdobeF"/>
          <w:color w:val="auto"/>
          <w:sz w:val="2"/>
          <w:szCs w:val="2"/>
        </w:rPr>
        <w:t>216F</w:t>
      </w:r>
      <w:r w:rsidR="00A43A5A" w:rsidRPr="00C94C85">
        <w:rPr>
          <w:vertAlign w:val="superscript"/>
        </w:rPr>
        <w:endnoteReference w:id="218"/>
      </w:r>
    </w:p>
    <w:p w14:paraId="6038FF3B" w14:textId="4AAFBFAC" w:rsidR="00D7090D" w:rsidRPr="00DE1002" w:rsidRDefault="4ADBF8EB" w:rsidP="00314F78">
      <w:pPr>
        <w:pStyle w:val="ListBullet"/>
      </w:pPr>
      <w:r w:rsidRPr="00DE1002">
        <w:t>Physical</w:t>
      </w:r>
    </w:p>
    <w:p w14:paraId="05A45F71" w14:textId="77777777" w:rsidR="00D7090D" w:rsidRPr="00C94C85" w:rsidRDefault="4ADBF8EB" w:rsidP="00314F78">
      <w:pPr>
        <w:pStyle w:val="ListBullet2"/>
      </w:pPr>
      <w:r w:rsidRPr="00C94C85">
        <w:t>functional decline and mobility loss</w:t>
      </w:r>
    </w:p>
    <w:p w14:paraId="0DEE1FD6" w14:textId="506B976E" w:rsidR="00D7090D" w:rsidRPr="00C94C85" w:rsidRDefault="4ADBF8EB" w:rsidP="00314F78">
      <w:pPr>
        <w:pStyle w:val="ListBullet2"/>
      </w:pPr>
      <w:r w:rsidRPr="00C94C85">
        <w:t>hearing and vision loss</w:t>
      </w:r>
    </w:p>
    <w:p w14:paraId="0348078C" w14:textId="77777777" w:rsidR="00D7090D" w:rsidRPr="00C94C85" w:rsidRDefault="4ADBF8EB" w:rsidP="00314F78">
      <w:pPr>
        <w:pStyle w:val="ListBullet2"/>
      </w:pPr>
      <w:r w:rsidRPr="00C94C85">
        <w:t>oral health</w:t>
      </w:r>
    </w:p>
    <w:p w14:paraId="6FA80B60" w14:textId="77777777" w:rsidR="00E52FCB" w:rsidRPr="00C94C85" w:rsidRDefault="4ADBF8EB" w:rsidP="00314F78">
      <w:pPr>
        <w:pStyle w:val="ListBullet2"/>
      </w:pPr>
      <w:r w:rsidRPr="00C94C85">
        <w:t>continence</w:t>
      </w:r>
    </w:p>
    <w:p w14:paraId="7D563F2D" w14:textId="2B71DB48" w:rsidR="00D7090D" w:rsidRPr="00C94C85" w:rsidRDefault="00E52FCB" w:rsidP="00314F78">
      <w:pPr>
        <w:pStyle w:val="ListBullet2"/>
      </w:pPr>
      <w:r w:rsidRPr="00C94C85">
        <w:t>pain</w:t>
      </w:r>
      <w:r w:rsidR="6DA814CE" w:rsidRPr="00C94C85">
        <w:t>.</w:t>
      </w:r>
    </w:p>
    <w:p w14:paraId="70C29FD4" w14:textId="77777777" w:rsidR="00D7090D" w:rsidRPr="00DE1002" w:rsidRDefault="4ADBF8EB" w:rsidP="00314F78">
      <w:pPr>
        <w:pStyle w:val="ListBullet"/>
      </w:pPr>
      <w:r w:rsidRPr="00DE1002">
        <w:t>Mental</w:t>
      </w:r>
    </w:p>
    <w:p w14:paraId="757A69F2" w14:textId="77777777" w:rsidR="00D7090D" w:rsidRPr="00C94C85" w:rsidRDefault="4ADBF8EB" w:rsidP="00314F78">
      <w:pPr>
        <w:pStyle w:val="ListBullet2"/>
      </w:pPr>
      <w:r w:rsidRPr="00C94C85">
        <w:t>depression</w:t>
      </w:r>
    </w:p>
    <w:p w14:paraId="743F5256" w14:textId="77777777" w:rsidR="00D7090D" w:rsidRPr="00C94C85" w:rsidRDefault="4ADBF8EB" w:rsidP="00314F78">
      <w:pPr>
        <w:pStyle w:val="ListBullet2"/>
      </w:pPr>
      <w:r w:rsidRPr="00C94C85">
        <w:lastRenderedPageBreak/>
        <w:t>cognitive impairment</w:t>
      </w:r>
    </w:p>
    <w:p w14:paraId="3C469CF6" w14:textId="1FE02D1F" w:rsidR="00D7090D" w:rsidRPr="00C94C85" w:rsidRDefault="4ADBF8EB" w:rsidP="00314F78">
      <w:pPr>
        <w:pStyle w:val="ListBullet2"/>
      </w:pPr>
      <w:r w:rsidRPr="00C94C85">
        <w:t>dementia</w:t>
      </w:r>
      <w:r w:rsidR="6DA814CE" w:rsidRPr="00C94C85">
        <w:t>.</w:t>
      </w:r>
    </w:p>
    <w:p w14:paraId="7C005C9C" w14:textId="77777777" w:rsidR="00D7090D" w:rsidRPr="00DE1002" w:rsidRDefault="4ADBF8EB" w:rsidP="00314F78">
      <w:pPr>
        <w:pStyle w:val="ListBullet"/>
      </w:pPr>
      <w:r w:rsidRPr="00DE1002">
        <w:t>Social</w:t>
      </w:r>
    </w:p>
    <w:p w14:paraId="34EDC54F" w14:textId="77777777" w:rsidR="00D7090D" w:rsidRPr="00C94C85" w:rsidRDefault="4ADBF8EB" w:rsidP="00314F78">
      <w:pPr>
        <w:pStyle w:val="ListBullet2"/>
      </w:pPr>
      <w:r w:rsidRPr="00C94C85">
        <w:t>inadequate financial resources</w:t>
      </w:r>
    </w:p>
    <w:p w14:paraId="20B72C43" w14:textId="77777777" w:rsidR="00D7090D" w:rsidRPr="00C94C85" w:rsidRDefault="4ADBF8EB" w:rsidP="00314F78">
      <w:pPr>
        <w:pStyle w:val="ListBullet2"/>
      </w:pPr>
      <w:r w:rsidRPr="00C94C85">
        <w:t>social isolation</w:t>
      </w:r>
    </w:p>
    <w:p w14:paraId="2E29C189" w14:textId="77777777" w:rsidR="00D7090D" w:rsidRPr="00C94C85" w:rsidRDefault="4ADBF8EB" w:rsidP="00314F78">
      <w:pPr>
        <w:pStyle w:val="ListBullet2"/>
      </w:pPr>
      <w:r w:rsidRPr="00C94C85">
        <w:t>boredom</w:t>
      </w:r>
    </w:p>
    <w:p w14:paraId="12F26B48" w14:textId="762FCE82" w:rsidR="00D7090D" w:rsidRPr="00C94C85" w:rsidRDefault="4ADBF8EB" w:rsidP="00314F78">
      <w:pPr>
        <w:pStyle w:val="ListBullet2"/>
      </w:pPr>
      <w:r w:rsidRPr="00C94C85">
        <w:t>anxiety</w:t>
      </w:r>
      <w:r w:rsidR="6DA814CE" w:rsidRPr="00C94C85">
        <w:t>.</w:t>
      </w:r>
    </w:p>
    <w:p w14:paraId="1D206992" w14:textId="0F353C53" w:rsidR="00D7090D" w:rsidRPr="00D82644" w:rsidRDefault="4CC20EC3" w:rsidP="00314F78">
      <w:r w:rsidRPr="00C94C85">
        <w:t>The majority of risk factors are able to be influenced by the provision of high</w:t>
      </w:r>
      <w:r w:rsidR="3C4F5780" w:rsidRPr="00C94C85">
        <w:t>-</w:t>
      </w:r>
      <w:r w:rsidRPr="00C94C85">
        <w:t xml:space="preserve">quality care in residential aged care </w:t>
      </w:r>
      <w:r w:rsidR="675B41E7" w:rsidRPr="00C94C85">
        <w:t>services</w:t>
      </w:r>
      <w:r w:rsidRPr="00C94C85">
        <w:t>. Factors identified by</w:t>
      </w:r>
      <w:r w:rsidR="55EAC1F9" w:rsidRPr="00C94C85">
        <w:t xml:space="preserve"> </w:t>
      </w:r>
      <w:r w:rsidR="388E6CEF" w:rsidRPr="00C94C85">
        <w:t>older</w:t>
      </w:r>
      <w:r w:rsidRPr="00C94C85">
        <w:t xml:space="preserve"> Australians </w:t>
      </w:r>
      <w:r w:rsidR="1AAC03F3" w:rsidRPr="00C94C85">
        <w:t>i</w:t>
      </w:r>
      <w:r w:rsidR="00410B4B" w:rsidRPr="00C94C85">
        <w:t>n</w:t>
      </w:r>
      <w:r w:rsidR="1AAC03F3" w:rsidRPr="00C94C85">
        <w:t xml:space="preserve"> a survey </w:t>
      </w:r>
      <w:r w:rsidR="00F976FE" w:rsidRPr="00C94C85">
        <w:t>conducted in 2018</w:t>
      </w:r>
      <w:r w:rsidR="0065181F" w:rsidRPr="00C94C85">
        <w:t xml:space="preserve"> </w:t>
      </w:r>
      <w:r w:rsidRPr="00C94C85">
        <w:t>as being important to quality of life are illustrated in</w:t>
      </w:r>
      <w:r w:rsidR="1473B8E6" w:rsidRPr="00C94C85">
        <w:t xml:space="preserve"> Figure 51</w:t>
      </w:r>
      <w:r w:rsidRPr="00D82644">
        <w:t>.</w:t>
      </w:r>
      <w:r w:rsidRPr="00D82644">
        <w:br w:type="page"/>
      </w:r>
    </w:p>
    <w:p w14:paraId="7F7EC068" w14:textId="55E63218" w:rsidR="00D7090D" w:rsidRPr="00C94C85" w:rsidRDefault="00FF5C84" w:rsidP="00314F78">
      <w:pPr>
        <w:pStyle w:val="Caption"/>
      </w:pPr>
      <w:bookmarkStart w:id="72" w:name="_Ref105140339"/>
      <w:r w:rsidRPr="00C94C85">
        <w:lastRenderedPageBreak/>
        <w:t>FIGURE </w:t>
      </w:r>
      <w:bookmarkEnd w:id="72"/>
      <w:r w:rsidR="00531A57" w:rsidRPr="00C94C85">
        <w:fldChar w:fldCharType="begin"/>
      </w:r>
      <w:r w:rsidR="00531A57" w:rsidRPr="00C94C85">
        <w:instrText>SEQ Figure \* ARABIC</w:instrText>
      </w:r>
      <w:r w:rsidR="00531A57" w:rsidRPr="00C94C85">
        <w:fldChar w:fldCharType="separate"/>
      </w:r>
      <w:r w:rsidR="003A30D7">
        <w:rPr>
          <w:noProof/>
        </w:rPr>
        <w:t>51</w:t>
      </w:r>
      <w:r w:rsidR="00531A57" w:rsidRPr="00C94C85">
        <w:fldChar w:fldCharType="end"/>
      </w:r>
      <w:r w:rsidRPr="00C94C85">
        <w:t xml:space="preserve">: </w:t>
      </w:r>
      <w:r w:rsidR="00FE174F" w:rsidRPr="00C94C85">
        <w:t>R</w:t>
      </w:r>
      <w:r w:rsidR="00D7090D" w:rsidRPr="00C94C85">
        <w:t>ELATIVE IMPORTANCE TO QUALITY OF LIFE IN RESIDENTIAL AGED CARE</w:t>
      </w:r>
      <w:r w:rsidR="009253DC">
        <w:rPr>
          <w:rFonts w:ascii="ZWAdobeF" w:hAnsi="ZWAdobeF" w:cs="ZWAdobeF"/>
          <w:b w:val="0"/>
          <w:color w:val="auto"/>
          <w:sz w:val="2"/>
          <w:szCs w:val="2"/>
        </w:rPr>
        <w:t>217F</w:t>
      </w:r>
      <w:r w:rsidR="00173A41" w:rsidRPr="00454D17">
        <w:rPr>
          <w:rStyle w:val="EndnoteReference"/>
        </w:rPr>
        <w:endnoteReference w:id="219"/>
      </w:r>
    </w:p>
    <w:p w14:paraId="7EE03D30" w14:textId="2C56BDC5" w:rsidR="00E43210" w:rsidRPr="00E43210" w:rsidRDefault="009B5EF6" w:rsidP="00314F78">
      <w:r>
        <w:rPr>
          <w:noProof/>
        </w:rPr>
        <w:drawing>
          <wp:inline distT="0" distB="0" distL="0" distR="0" wp14:anchorId="0B6F0D67" wp14:editId="2D1185DA">
            <wp:extent cx="6034037" cy="5737225"/>
            <wp:effectExtent l="0" t="0" r="0" b="0"/>
            <wp:docPr id="1872" name="Picture 1872" descr="P1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P1266#yIS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039490" cy="5742410"/>
                    </a:xfrm>
                    <a:prstGeom prst="rect">
                      <a:avLst/>
                    </a:prstGeom>
                    <a:noFill/>
                  </pic:spPr>
                </pic:pic>
              </a:graphicData>
            </a:graphic>
          </wp:inline>
        </w:drawing>
      </w:r>
    </w:p>
    <w:p w14:paraId="1BD48D94" w14:textId="77777777" w:rsidR="00D7090D" w:rsidRPr="004A09AA" w:rsidRDefault="00D7090D" w:rsidP="00314F78">
      <w:r w:rsidRPr="004A09AA">
        <w:br w:type="page"/>
      </w:r>
    </w:p>
    <w:p w14:paraId="44481931" w14:textId="4EFF1838" w:rsidR="00D7090D" w:rsidRPr="00C94C85" w:rsidRDefault="00D7090D" w:rsidP="0059348C">
      <w:pPr>
        <w:pStyle w:val="Heading2"/>
      </w:pPr>
      <w:r w:rsidRPr="00C94C85">
        <w:lastRenderedPageBreak/>
        <w:t>Adverse clinical events and quality of life</w:t>
      </w:r>
    </w:p>
    <w:p w14:paraId="70392315" w14:textId="7BF3B4AB" w:rsidR="00D7090D" w:rsidRPr="00C94C85" w:rsidRDefault="1592CE56" w:rsidP="00314F78">
      <w:r w:rsidRPr="00C94C85">
        <w:t>Poor</w:t>
      </w:r>
      <w:r w:rsidR="4CC20EC3" w:rsidRPr="00C94C85">
        <w:t xml:space="preserve"> quality of life </w:t>
      </w:r>
      <w:r w:rsidRPr="00C94C85">
        <w:t xml:space="preserve">is associated with </w:t>
      </w:r>
      <w:r w:rsidR="4CC20EC3" w:rsidRPr="00C94C85">
        <w:t xml:space="preserve">depression and </w:t>
      </w:r>
      <w:r w:rsidRPr="00C94C85">
        <w:t xml:space="preserve">can impact a care </w:t>
      </w:r>
      <w:r w:rsidR="59E12FE6" w:rsidRPr="00C94C85">
        <w:t>recipient’s</w:t>
      </w:r>
      <w:r w:rsidRPr="00C94C85">
        <w:t xml:space="preserve"> ability to </w:t>
      </w:r>
      <w:r w:rsidR="4CC20EC3" w:rsidRPr="00C94C85">
        <w:t>respond to life circumstances.</w:t>
      </w:r>
      <w:r w:rsidR="009253DC">
        <w:rPr>
          <w:rFonts w:ascii="ZWAdobeF" w:hAnsi="ZWAdobeF" w:cs="ZWAdobeF"/>
          <w:color w:val="auto"/>
          <w:sz w:val="2"/>
          <w:szCs w:val="2"/>
        </w:rPr>
        <w:t>218F</w:t>
      </w:r>
      <w:r w:rsidR="00173A41" w:rsidRPr="00C94C85">
        <w:rPr>
          <w:vertAlign w:val="superscript"/>
        </w:rPr>
        <w:endnoteReference w:id="220"/>
      </w:r>
      <w:r w:rsidR="4CC20EC3" w:rsidRPr="00C94C85">
        <w:rPr>
          <w:vertAlign w:val="superscript"/>
        </w:rPr>
        <w:t xml:space="preserve"> </w:t>
      </w:r>
      <w:r w:rsidR="4CC20EC3" w:rsidRPr="00C94C85">
        <w:t>Reduced quality of life and general dissatisfaction can deepen depressive states and reduce resilience</w:t>
      </w:r>
      <w:r w:rsidR="50089113" w:rsidRPr="00C94C85">
        <w:t>. Whil</w:t>
      </w:r>
      <w:r w:rsidR="0107DD06" w:rsidRPr="00C94C85">
        <w:t>e</w:t>
      </w:r>
      <w:r w:rsidR="50089113" w:rsidRPr="00C94C85">
        <w:t xml:space="preserve"> </w:t>
      </w:r>
      <w:r w:rsidR="4CC20EC3" w:rsidRPr="00C94C85">
        <w:t xml:space="preserve">improvements in quality of life can improve attitudes and behaviours associated with overall </w:t>
      </w:r>
      <w:r w:rsidR="7EA8EE00" w:rsidRPr="00C94C85">
        <w:t>wellbeing</w:t>
      </w:r>
      <w:r w:rsidR="4CC20EC3" w:rsidRPr="00C94C85">
        <w:t>, reducing healthcare burden and associated costs.</w:t>
      </w:r>
    </w:p>
    <w:p w14:paraId="3BB4E64D" w14:textId="5B4C9E40" w:rsidR="00D7090D" w:rsidRPr="00C94C85" w:rsidRDefault="00D7090D" w:rsidP="0059348C">
      <w:pPr>
        <w:pStyle w:val="Heading2"/>
      </w:pPr>
      <w:r w:rsidRPr="00C94C85">
        <w:t>Improvement and maintenance of quality of life</w:t>
      </w:r>
    </w:p>
    <w:p w14:paraId="6CF23E93" w14:textId="5A46AF04" w:rsidR="000F5C3C" w:rsidRPr="00C94C85" w:rsidRDefault="00D7090D" w:rsidP="00314F78">
      <w:r w:rsidRPr="00C94C85">
        <w:t xml:space="preserve">Awareness of contributors to quality of life can reduce the risk of adverse clinical outcomes and improve overall </w:t>
      </w:r>
      <w:r w:rsidR="00EA742F" w:rsidRPr="00C94C85">
        <w:t>wellbeing</w:t>
      </w:r>
      <w:r w:rsidRPr="00C94C85">
        <w:t>.</w:t>
      </w:r>
    </w:p>
    <w:p w14:paraId="2CB0A1FA" w14:textId="0C0F9285" w:rsidR="00D7090D" w:rsidRPr="00C94C85" w:rsidRDefault="4CC20EC3" w:rsidP="00314F78">
      <w:r w:rsidRPr="00C94C85">
        <w:t>Common areas of need influenc</w:t>
      </w:r>
      <w:r w:rsidR="76A32078" w:rsidRPr="00C94C85">
        <w:t xml:space="preserve">ing </w:t>
      </w:r>
      <w:r w:rsidRPr="00C94C85">
        <w:t>quality of life</w:t>
      </w:r>
      <w:r w:rsidR="76A32078" w:rsidRPr="00C94C85">
        <w:t xml:space="preserve"> as</w:t>
      </w:r>
      <w:r w:rsidRPr="00C94C85">
        <w:t xml:space="preserve"> </w:t>
      </w:r>
      <w:r w:rsidR="76A32078" w:rsidRPr="00C94C85">
        <w:t xml:space="preserve">identified in residential aged care </w:t>
      </w:r>
      <w:r w:rsidRPr="00C94C85">
        <w:t>include:</w:t>
      </w:r>
    </w:p>
    <w:p w14:paraId="0F42B2FD" w14:textId="77777777" w:rsidR="00D7090D" w:rsidRPr="00C94C85" w:rsidRDefault="4ADBF8EB" w:rsidP="00314F78">
      <w:pPr>
        <w:pStyle w:val="ListBullet"/>
      </w:pPr>
      <w:r w:rsidRPr="00C94C85">
        <w:t>hearing and vision</w:t>
      </w:r>
    </w:p>
    <w:p w14:paraId="0CD94C1C" w14:textId="77777777" w:rsidR="00D7090D" w:rsidRPr="00C94C85" w:rsidRDefault="4ADBF8EB" w:rsidP="00314F78">
      <w:pPr>
        <w:pStyle w:val="ListBullet"/>
      </w:pPr>
      <w:r w:rsidRPr="00C94C85">
        <w:t>oral health</w:t>
      </w:r>
    </w:p>
    <w:p w14:paraId="07498A7E" w14:textId="4C749E61" w:rsidR="00D7090D" w:rsidRPr="00C94C85" w:rsidRDefault="4ADBF8EB" w:rsidP="00314F78">
      <w:pPr>
        <w:pStyle w:val="ListBullet"/>
      </w:pPr>
      <w:r w:rsidRPr="00C94C85">
        <w:t>continence</w:t>
      </w:r>
    </w:p>
    <w:p w14:paraId="2B52BFB8" w14:textId="77777777" w:rsidR="00D7090D" w:rsidRPr="00C94C85" w:rsidRDefault="4ADBF8EB" w:rsidP="00314F78">
      <w:pPr>
        <w:pStyle w:val="ListBullet"/>
      </w:pPr>
      <w:r w:rsidRPr="00C94C85">
        <w:t>functional ability</w:t>
      </w:r>
    </w:p>
    <w:p w14:paraId="2091B54F" w14:textId="77777777" w:rsidR="00D7090D" w:rsidRPr="00C94C85" w:rsidRDefault="4ADBF8EB" w:rsidP="00314F78">
      <w:pPr>
        <w:pStyle w:val="ListBullet"/>
      </w:pPr>
      <w:r w:rsidRPr="00C94C85">
        <w:t>pain</w:t>
      </w:r>
    </w:p>
    <w:p w14:paraId="10E56BC6" w14:textId="77777777" w:rsidR="00D7090D" w:rsidRPr="00C94C85" w:rsidRDefault="4ADBF8EB" w:rsidP="00314F78">
      <w:pPr>
        <w:pStyle w:val="ListBullet"/>
      </w:pPr>
      <w:r w:rsidRPr="00C94C85">
        <w:t>psychological health</w:t>
      </w:r>
    </w:p>
    <w:p w14:paraId="4C6436C3" w14:textId="77777777" w:rsidR="00D7090D" w:rsidRPr="00C94C85" w:rsidRDefault="4ADBF8EB" w:rsidP="00314F78">
      <w:pPr>
        <w:pStyle w:val="ListBullet"/>
      </w:pPr>
      <w:r w:rsidRPr="00C94C85">
        <w:t>cultural preferences</w:t>
      </w:r>
    </w:p>
    <w:p w14:paraId="3B95BAA5" w14:textId="23123FAC" w:rsidR="00D7090D" w:rsidRPr="00C94C85" w:rsidRDefault="4ADBF8EB" w:rsidP="00314F78">
      <w:pPr>
        <w:pStyle w:val="ListBullet"/>
      </w:pPr>
      <w:r w:rsidRPr="00C94C85">
        <w:t>spirituality</w:t>
      </w:r>
      <w:r w:rsidR="6DA814CE" w:rsidRPr="00C94C85">
        <w:t>.</w:t>
      </w:r>
    </w:p>
    <w:p w14:paraId="63872F23" w14:textId="7792841D" w:rsidR="000F5C3C" w:rsidRPr="00C94C85" w:rsidRDefault="4CC20EC3" w:rsidP="00314F78">
      <w:r w:rsidRPr="00C94C85">
        <w:t xml:space="preserve">These needs should be incorporated into a comprehensive, </w:t>
      </w:r>
      <w:r w:rsidR="26321CAB" w:rsidRPr="00C94C85">
        <w:t>collaborative</w:t>
      </w:r>
      <w:r w:rsidRPr="00C94C85">
        <w:t xml:space="preserve"> care plan.</w:t>
      </w:r>
      <w:r w:rsidR="003A30D7">
        <w:rPr>
          <w:rFonts w:ascii="ZWAdobeF" w:hAnsi="ZWAdobeF" w:cs="ZWAdobeF"/>
          <w:color w:val="auto"/>
          <w:sz w:val="2"/>
          <w:szCs w:val="2"/>
        </w:rPr>
        <w:t>219F</w:t>
      </w:r>
      <w:r w:rsidR="00173A41" w:rsidRPr="00C94C85">
        <w:rPr>
          <w:vertAlign w:val="superscript"/>
        </w:rPr>
        <w:endnoteReference w:id="221"/>
      </w:r>
    </w:p>
    <w:p w14:paraId="72683B2E" w14:textId="0DAD58DB" w:rsidR="00D7090D" w:rsidRPr="00C94C85" w:rsidRDefault="4CC20EC3" w:rsidP="00314F78">
      <w:r w:rsidRPr="00C94C85">
        <w:t>Physical activity has been shown to reduce depression, improve or maintain functional ability and improve quality of life.</w:t>
      </w:r>
      <w:r w:rsidR="003A30D7">
        <w:rPr>
          <w:rFonts w:ascii="ZWAdobeF" w:hAnsi="ZWAdobeF" w:cs="ZWAdobeF"/>
          <w:color w:val="auto"/>
          <w:sz w:val="2"/>
          <w:szCs w:val="2"/>
        </w:rPr>
        <w:t>220F</w:t>
      </w:r>
      <w:r w:rsidR="00173A41" w:rsidRPr="00C94C85">
        <w:rPr>
          <w:vertAlign w:val="superscript"/>
        </w:rPr>
        <w:endnoteReference w:id="222"/>
      </w:r>
      <w:r w:rsidRPr="00C94C85">
        <w:t xml:space="preserve"> Reducing loneliness without the need for physical activity has also shown improvements in overall quality of life, including therapies such as:</w:t>
      </w:r>
      <w:r w:rsidR="003A30D7">
        <w:rPr>
          <w:rFonts w:ascii="ZWAdobeF" w:hAnsi="ZWAdobeF" w:cs="ZWAdobeF"/>
          <w:color w:val="auto"/>
          <w:sz w:val="2"/>
          <w:szCs w:val="2"/>
        </w:rPr>
        <w:t>221F</w:t>
      </w:r>
      <w:r w:rsidR="0089420B" w:rsidRPr="00C94C85">
        <w:rPr>
          <w:vertAlign w:val="superscript"/>
        </w:rPr>
        <w:endnoteReference w:id="223"/>
      </w:r>
    </w:p>
    <w:p w14:paraId="23B353EA" w14:textId="77777777" w:rsidR="00D7090D" w:rsidRPr="00C94C85" w:rsidRDefault="4ADBF8EB" w:rsidP="00314F78">
      <w:pPr>
        <w:pStyle w:val="ListBullet"/>
      </w:pPr>
      <w:r w:rsidRPr="00C94C85">
        <w:t>reminiscence therapy</w:t>
      </w:r>
    </w:p>
    <w:p w14:paraId="31A709C1" w14:textId="77777777" w:rsidR="00D7090D" w:rsidRPr="00C94C85" w:rsidRDefault="4ADBF8EB" w:rsidP="00314F78">
      <w:pPr>
        <w:pStyle w:val="ListBullet"/>
      </w:pPr>
      <w:r w:rsidRPr="00C94C85">
        <w:t>laughter</w:t>
      </w:r>
    </w:p>
    <w:p w14:paraId="702E1178" w14:textId="77777777" w:rsidR="00D7090D" w:rsidRPr="00C94C85" w:rsidRDefault="4ADBF8EB" w:rsidP="00314F78">
      <w:pPr>
        <w:pStyle w:val="ListBullet"/>
      </w:pPr>
      <w:r w:rsidRPr="00C94C85">
        <w:t>horticulture</w:t>
      </w:r>
    </w:p>
    <w:p w14:paraId="32611910" w14:textId="77777777" w:rsidR="00D7090D" w:rsidRPr="00C94C85" w:rsidRDefault="4ADBF8EB" w:rsidP="00314F78">
      <w:pPr>
        <w:pStyle w:val="ListBullet"/>
      </w:pPr>
      <w:r w:rsidRPr="00C94C85">
        <w:t>videoconferencing family and friends</w:t>
      </w:r>
    </w:p>
    <w:p w14:paraId="520B4704" w14:textId="0B9AF167" w:rsidR="00D7090D" w:rsidRPr="00C94C85" w:rsidRDefault="4ADBF8EB" w:rsidP="00314F78">
      <w:pPr>
        <w:pStyle w:val="ListBullet"/>
      </w:pPr>
      <w:r w:rsidRPr="00C94C85">
        <w:t xml:space="preserve">robotics and </w:t>
      </w:r>
      <w:r w:rsidR="008A2250" w:rsidRPr="00C94C85">
        <w:t>artificial intelligence interaction</w:t>
      </w:r>
    </w:p>
    <w:p w14:paraId="15B033E1" w14:textId="68F26179" w:rsidR="00D7090D" w:rsidRPr="00C94C85" w:rsidRDefault="4ADBF8EB" w:rsidP="00314F78">
      <w:pPr>
        <w:pStyle w:val="ListBullet"/>
      </w:pPr>
      <w:r w:rsidRPr="00C94C85">
        <w:t>logotherapy</w:t>
      </w:r>
      <w:r w:rsidR="001651F1" w:rsidRPr="00C94C85">
        <w:t xml:space="preserve"> (a form of psychotherapy</w:t>
      </w:r>
      <w:r w:rsidR="00B81186" w:rsidRPr="00C94C85">
        <w:t xml:space="preserve"> </w:t>
      </w:r>
      <w:r w:rsidR="00C7234C" w:rsidRPr="00C94C85">
        <w:t>encouraging participation through</w:t>
      </w:r>
      <w:r w:rsidR="00161A03" w:rsidRPr="00C94C85">
        <w:t xml:space="preserve"> doing, creating, experiencing and attitude</w:t>
      </w:r>
      <w:r w:rsidR="00C7234C" w:rsidRPr="00C94C85">
        <w:t xml:space="preserve"> modulation</w:t>
      </w:r>
      <w:r w:rsidR="001651F1" w:rsidRPr="00C94C85">
        <w:t>)</w:t>
      </w:r>
    </w:p>
    <w:p w14:paraId="23C306E5" w14:textId="67B142B0" w:rsidR="00D7090D" w:rsidRPr="00C94C85" w:rsidRDefault="4ADBF8EB" w:rsidP="00314F78">
      <w:pPr>
        <w:pStyle w:val="ListBullet"/>
      </w:pPr>
      <w:r w:rsidRPr="00C94C85">
        <w:t>pet therapy</w:t>
      </w:r>
      <w:r w:rsidR="6DA814CE" w:rsidRPr="00C94C85">
        <w:t>.</w:t>
      </w:r>
    </w:p>
    <w:p w14:paraId="0BEC55F6" w14:textId="4E367D8F" w:rsidR="00D7090D" w:rsidRPr="00C94C85" w:rsidRDefault="4CC20EC3" w:rsidP="00314F78">
      <w:r w:rsidRPr="00C94C85">
        <w:t>Multi-targeted strategies have shown improvements in global and executive function as well as memory in persons with dementia, including combinations of:</w:t>
      </w:r>
      <w:r w:rsidR="003A30D7">
        <w:rPr>
          <w:rFonts w:ascii="ZWAdobeF" w:hAnsi="ZWAdobeF" w:cs="ZWAdobeF"/>
          <w:color w:val="auto"/>
          <w:sz w:val="2"/>
          <w:szCs w:val="2"/>
        </w:rPr>
        <w:t>222F</w:t>
      </w:r>
      <w:r w:rsidR="009D44B6" w:rsidRPr="00C94C85">
        <w:rPr>
          <w:vertAlign w:val="superscript"/>
        </w:rPr>
        <w:endnoteReference w:id="224"/>
      </w:r>
    </w:p>
    <w:p w14:paraId="04AA7EE2" w14:textId="77777777" w:rsidR="00D7090D" w:rsidRPr="00C94C85" w:rsidRDefault="4ADBF8EB" w:rsidP="00314F78">
      <w:pPr>
        <w:pStyle w:val="ListBullet"/>
      </w:pPr>
      <w:r w:rsidRPr="00C94C85">
        <w:t>exercise</w:t>
      </w:r>
    </w:p>
    <w:p w14:paraId="1BD266A4" w14:textId="77777777" w:rsidR="00D7090D" w:rsidRPr="00C94C85" w:rsidRDefault="4ADBF8EB" w:rsidP="00314F78">
      <w:pPr>
        <w:pStyle w:val="ListBullet"/>
      </w:pPr>
      <w:r w:rsidRPr="00C94C85">
        <w:t>cognitive training</w:t>
      </w:r>
    </w:p>
    <w:p w14:paraId="71B86071" w14:textId="151DADFE" w:rsidR="00D7090D" w:rsidRPr="00C94C85" w:rsidRDefault="44F9BDC4" w:rsidP="00314F78">
      <w:pPr>
        <w:pStyle w:val="ListBullet"/>
      </w:pPr>
      <w:r w:rsidRPr="00C94C85">
        <w:t>ADL</w:t>
      </w:r>
      <w:r w:rsidR="4ADBF8EB" w:rsidRPr="00C94C85">
        <w:t xml:space="preserve"> practice</w:t>
      </w:r>
    </w:p>
    <w:p w14:paraId="4958B81A" w14:textId="4BCE31A4" w:rsidR="00D7090D" w:rsidRPr="00C94C85" w:rsidRDefault="4ADBF8EB" w:rsidP="00314F78">
      <w:pPr>
        <w:pStyle w:val="ListBullet"/>
      </w:pPr>
      <w:r w:rsidRPr="00C94C85">
        <w:t>activity interventions</w:t>
      </w:r>
      <w:r w:rsidR="00AB127C" w:rsidRPr="00C94C85">
        <w:t>.</w:t>
      </w:r>
    </w:p>
    <w:p w14:paraId="1405482D" w14:textId="1B7BB30A" w:rsidR="00173A41" w:rsidRPr="00C94C85" w:rsidRDefault="4CC20EC3" w:rsidP="00314F78">
      <w:r w:rsidRPr="00C94C85">
        <w:lastRenderedPageBreak/>
        <w:t>Activities allowing expression can include</w:t>
      </w:r>
      <w:r w:rsidR="1E9E1251" w:rsidRPr="00C94C85">
        <w:t>:</w:t>
      </w:r>
      <w:r w:rsidR="003A30D7">
        <w:rPr>
          <w:rFonts w:ascii="ZWAdobeF" w:hAnsi="ZWAdobeF" w:cs="ZWAdobeF"/>
          <w:color w:val="auto"/>
          <w:sz w:val="2"/>
          <w:szCs w:val="2"/>
        </w:rPr>
        <w:t>223F</w:t>
      </w:r>
      <w:r w:rsidR="0089420B" w:rsidRPr="00C94C85">
        <w:rPr>
          <w:vertAlign w:val="superscript"/>
        </w:rPr>
        <w:endnoteReference w:id="225"/>
      </w:r>
    </w:p>
    <w:p w14:paraId="4919336F" w14:textId="56D60DAC" w:rsidR="00D7090D" w:rsidRPr="00C94C85" w:rsidRDefault="4ADBF8EB" w:rsidP="00314F78">
      <w:pPr>
        <w:pStyle w:val="ListBullet"/>
      </w:pPr>
      <w:r w:rsidRPr="00C94C85">
        <w:t>wellness</w:t>
      </w:r>
      <w:r w:rsidR="00AB127C" w:rsidRPr="00C94C85">
        <w:t xml:space="preserve"> (</w:t>
      </w:r>
      <w:r w:rsidRPr="00C94C85">
        <w:t>e.g. tai-chi and yoga</w:t>
      </w:r>
      <w:r w:rsidR="00AB127C" w:rsidRPr="00C94C85">
        <w:t>)</w:t>
      </w:r>
    </w:p>
    <w:p w14:paraId="66D71525" w14:textId="77777777" w:rsidR="00D7090D" w:rsidRPr="00C94C85" w:rsidRDefault="4ADBF8EB" w:rsidP="00314F78">
      <w:pPr>
        <w:pStyle w:val="ListBullet"/>
      </w:pPr>
      <w:r w:rsidRPr="00C94C85">
        <w:t>physical activity</w:t>
      </w:r>
    </w:p>
    <w:p w14:paraId="645314E4" w14:textId="77777777" w:rsidR="00D7090D" w:rsidRPr="00C94C85" w:rsidRDefault="4ADBF8EB" w:rsidP="00314F78">
      <w:pPr>
        <w:pStyle w:val="ListBullet"/>
      </w:pPr>
      <w:r w:rsidRPr="00C94C85">
        <w:t>art</w:t>
      </w:r>
    </w:p>
    <w:p w14:paraId="2F13E448" w14:textId="6EB9A536" w:rsidR="7B4951A8" w:rsidRPr="00C94C85" w:rsidRDefault="58EE89E9" w:rsidP="00314F78">
      <w:pPr>
        <w:pStyle w:val="ListBullet"/>
      </w:pPr>
      <w:r w:rsidRPr="00C94C85">
        <w:t>recreational strategies and activities that assist care recipients to socialise with others</w:t>
      </w:r>
    </w:p>
    <w:p w14:paraId="7E024C15" w14:textId="77777777" w:rsidR="00D7090D" w:rsidRPr="00C94C85" w:rsidRDefault="4ADBF8EB" w:rsidP="00314F78">
      <w:pPr>
        <w:pStyle w:val="ListBullet"/>
      </w:pPr>
      <w:r w:rsidRPr="00C94C85">
        <w:t>music therapy</w:t>
      </w:r>
    </w:p>
    <w:p w14:paraId="392DB28C" w14:textId="64B50E62" w:rsidR="00D7090D" w:rsidRPr="00C94C85" w:rsidRDefault="0089420B" w:rsidP="00314F78">
      <w:pPr>
        <w:pStyle w:val="ListBullet"/>
      </w:pPr>
      <w:r w:rsidRPr="00C94C85">
        <w:t>o</w:t>
      </w:r>
      <w:r w:rsidR="4ADBF8EB" w:rsidRPr="00C94C85">
        <w:t>bservance of cultural and religious practices</w:t>
      </w:r>
      <w:r w:rsidR="0ACB93B8" w:rsidRPr="00C94C85">
        <w:t>.</w:t>
      </w:r>
    </w:p>
    <w:p w14:paraId="69AD7C49" w14:textId="10F5AEF4" w:rsidR="00D7090D" w:rsidRPr="00D82644" w:rsidRDefault="006E1F37" w:rsidP="00314F78">
      <w:r w:rsidRPr="00C94C85">
        <w:t xml:space="preserve">Figure 52 </w:t>
      </w:r>
      <w:r w:rsidR="00D7090D" w:rsidRPr="00C94C85">
        <w:t xml:space="preserve">outlines important aspects of care that maximise </w:t>
      </w:r>
      <w:r w:rsidR="000F5C3C" w:rsidRPr="00C94C85">
        <w:t>q</w:t>
      </w:r>
      <w:r w:rsidR="00D7090D" w:rsidRPr="00C94C85">
        <w:t xml:space="preserve">uality of </w:t>
      </w:r>
      <w:r w:rsidR="000F5C3C" w:rsidRPr="00C94C85">
        <w:t>l</w:t>
      </w:r>
      <w:r w:rsidR="00D7090D" w:rsidRPr="00C94C85">
        <w:t>ife for</w:t>
      </w:r>
      <w:r w:rsidR="00A8609F" w:rsidRPr="00C94C85">
        <w:t xml:space="preserve"> </w:t>
      </w:r>
      <w:r w:rsidR="00FC12FF" w:rsidRPr="00C94C85">
        <w:t>older</w:t>
      </w:r>
      <w:r w:rsidR="00D7090D" w:rsidRPr="00C94C85">
        <w:t xml:space="preserve"> Australians living in residential aged care</w:t>
      </w:r>
      <w:r w:rsidR="00D7090D" w:rsidRPr="00D82644">
        <w:t>.</w:t>
      </w:r>
    </w:p>
    <w:p w14:paraId="3F85ED49" w14:textId="676954D3" w:rsidR="00D7090D" w:rsidRPr="004A09AA" w:rsidRDefault="00D7090D" w:rsidP="00314F78">
      <w:pPr>
        <w:sectPr w:rsidR="00D7090D" w:rsidRPr="004A09AA" w:rsidSect="00CE53D5">
          <w:headerReference w:type="even" r:id="rId288"/>
          <w:headerReference w:type="default" r:id="rId289"/>
          <w:headerReference w:type="first" r:id="rId290"/>
          <w:endnotePr>
            <w:numFmt w:val="decimal"/>
          </w:endnotePr>
          <w:pgSz w:w="11906" w:h="16838" w:code="9"/>
          <w:pgMar w:top="1701" w:right="1134" w:bottom="1134" w:left="1134" w:header="567" w:footer="567" w:gutter="0"/>
          <w:cols w:space="708"/>
          <w:docGrid w:linePitch="360"/>
        </w:sectPr>
      </w:pPr>
    </w:p>
    <w:p w14:paraId="1A805E68" w14:textId="44D0F936" w:rsidR="00473C70" w:rsidRPr="00C94C85" w:rsidRDefault="00FF5C84" w:rsidP="00314F78">
      <w:pPr>
        <w:pStyle w:val="Caption"/>
      </w:pPr>
      <w:bookmarkStart w:id="73" w:name="_Ref105140438"/>
      <w:r w:rsidRPr="00C94C85">
        <w:lastRenderedPageBreak/>
        <w:t>FIGURE </w:t>
      </w:r>
      <w:bookmarkEnd w:id="73"/>
      <w:r w:rsidR="00531A57" w:rsidRPr="00C94C85">
        <w:fldChar w:fldCharType="begin"/>
      </w:r>
      <w:r w:rsidR="00531A57" w:rsidRPr="00C94C85">
        <w:instrText>SEQ Figure \* ARABIC</w:instrText>
      </w:r>
      <w:r w:rsidR="00531A57" w:rsidRPr="00C94C85">
        <w:fldChar w:fldCharType="separate"/>
      </w:r>
      <w:r w:rsidR="003A30D7">
        <w:rPr>
          <w:noProof/>
        </w:rPr>
        <w:t>52</w:t>
      </w:r>
      <w:r w:rsidR="00531A57" w:rsidRPr="00C94C85">
        <w:fldChar w:fldCharType="end"/>
      </w:r>
      <w:r w:rsidRPr="00C94C85">
        <w:t>: MANAGEMENT OF QUALITY OF LIFE</w:t>
      </w:r>
      <w:r w:rsidR="003A30D7">
        <w:rPr>
          <w:rFonts w:ascii="ZWAdobeF" w:hAnsi="ZWAdobeF" w:cs="ZWAdobeF"/>
          <w:b w:val="0"/>
          <w:color w:val="auto"/>
          <w:sz w:val="2"/>
          <w:szCs w:val="2"/>
        </w:rPr>
        <w:t>224F</w:t>
      </w:r>
      <w:r w:rsidR="00173A41" w:rsidRPr="00454D17">
        <w:rPr>
          <w:rStyle w:val="EndnoteReference"/>
        </w:rPr>
        <w:endnoteReference w:id="226"/>
      </w:r>
    </w:p>
    <w:p w14:paraId="50475E04" w14:textId="3AF7A2FC" w:rsidR="00B71839" w:rsidRPr="00F316EF" w:rsidRDefault="001B6918" w:rsidP="00314F78">
      <w:r>
        <w:rPr>
          <w:noProof/>
        </w:rPr>
        <w:drawing>
          <wp:inline distT="0" distB="0" distL="0" distR="0" wp14:anchorId="6F807552" wp14:editId="6007FEEC">
            <wp:extent cx="9394825" cy="5151755"/>
            <wp:effectExtent l="0" t="0" r="0" b="0"/>
            <wp:docPr id="1896" name="Picture 1896" descr="P13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descr="P1305#yIS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394825" cy="5151755"/>
                    </a:xfrm>
                    <a:prstGeom prst="rect">
                      <a:avLst/>
                    </a:prstGeom>
                    <a:noFill/>
                  </pic:spPr>
                </pic:pic>
              </a:graphicData>
            </a:graphic>
          </wp:inline>
        </w:drawing>
      </w:r>
    </w:p>
    <w:p w14:paraId="5B98C2B8" w14:textId="1B39A1F8" w:rsidR="00D7090D" w:rsidRPr="002765D3" w:rsidRDefault="00D7090D" w:rsidP="00314F78">
      <w:pPr>
        <w:sectPr w:rsidR="00D7090D" w:rsidRPr="002765D3" w:rsidSect="001F0906">
          <w:endnotePr>
            <w:numFmt w:val="decimal"/>
          </w:endnotePr>
          <w:pgSz w:w="16838" w:h="11906" w:orient="landscape" w:code="9"/>
          <w:pgMar w:top="1134" w:right="1134" w:bottom="1134" w:left="1134" w:header="567" w:footer="567" w:gutter="0"/>
          <w:cols w:space="708"/>
          <w:docGrid w:linePitch="360"/>
        </w:sectPr>
      </w:pPr>
    </w:p>
    <w:p w14:paraId="0E72F18D" w14:textId="3C4588F4" w:rsidR="00D7090D" w:rsidRPr="00C94C85" w:rsidRDefault="4CC20EC3" w:rsidP="00314F78">
      <w:r w:rsidRPr="00C94C85">
        <w:lastRenderedPageBreak/>
        <w:t>The checklist below will help assess care recipients who are at risk of reduced quality of life and identify support and prevention strategies.</w:t>
      </w:r>
    </w:p>
    <w:p w14:paraId="5DE5CA9C" w14:textId="2033F356" w:rsidR="00DA2FD2" w:rsidRPr="00C94C85" w:rsidRDefault="00FF5C84" w:rsidP="00314F78">
      <w:pPr>
        <w:pStyle w:val="Caption"/>
      </w:pPr>
      <w:r w:rsidRPr="00C94C85">
        <w:t>FIGURE </w:t>
      </w:r>
      <w:r w:rsidR="00531A57" w:rsidRPr="00C94C85">
        <w:fldChar w:fldCharType="begin"/>
      </w:r>
      <w:r w:rsidR="00531A57" w:rsidRPr="00C94C85">
        <w:instrText>SEQ Figure \* ARABIC</w:instrText>
      </w:r>
      <w:r w:rsidR="00531A57" w:rsidRPr="00C94C85">
        <w:fldChar w:fldCharType="separate"/>
      </w:r>
      <w:r w:rsidR="003A30D7">
        <w:rPr>
          <w:noProof/>
        </w:rPr>
        <w:t>53</w:t>
      </w:r>
      <w:r w:rsidR="00531A57" w:rsidRPr="00C94C85">
        <w:fldChar w:fldCharType="end"/>
      </w:r>
      <w:r w:rsidRPr="00C94C85">
        <w:t>: CHECKLIST FOR IMPROVING QUALITY OF LIFE</w:t>
      </w:r>
    </w:p>
    <w:p w14:paraId="0851F268" w14:textId="752722E4" w:rsidR="00992B08" w:rsidRPr="00992B08" w:rsidRDefault="00002E5A" w:rsidP="00314F78">
      <w:pPr>
        <w:pStyle w:val="ChecklistHeading"/>
        <w:sectPr w:rsidR="00992B08" w:rsidRPr="00992B08" w:rsidSect="00742407">
          <w:headerReference w:type="even" r:id="rId292"/>
          <w:headerReference w:type="default" r:id="rId293"/>
          <w:headerReference w:type="first" r:id="rId294"/>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58250" behindDoc="0" locked="0" layoutInCell="1" allowOverlap="1" wp14:anchorId="2E1B6E37" wp14:editId="025596CA">
            <wp:simplePos x="0" y="0"/>
            <wp:positionH relativeFrom="column">
              <wp:posOffset>3108960</wp:posOffset>
            </wp:positionH>
            <wp:positionV relativeFrom="paragraph">
              <wp:posOffset>329565</wp:posOffset>
            </wp:positionV>
            <wp:extent cx="539115" cy="539750"/>
            <wp:effectExtent l="0" t="0" r="0" b="0"/>
            <wp:wrapSquare wrapText="bothSides"/>
            <wp:docPr id="112321012" name="Picture 15" descr="P1309#y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012" name="Picture 15" descr="P1309#y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58251" behindDoc="0" locked="0" layoutInCell="1" allowOverlap="1" wp14:anchorId="708CE4E9" wp14:editId="06C5C952">
            <wp:simplePos x="0" y="0"/>
            <wp:positionH relativeFrom="column">
              <wp:posOffset>-196215</wp:posOffset>
            </wp:positionH>
            <wp:positionV relativeFrom="paragraph">
              <wp:posOffset>329565</wp:posOffset>
            </wp:positionV>
            <wp:extent cx="539496" cy="540000"/>
            <wp:effectExtent l="0" t="0" r="0" b="0"/>
            <wp:wrapSquare wrapText="bothSides"/>
            <wp:docPr id="430" name="Picture 13" descr="P1309#y2">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3" descr="P1309#y2">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anchor>
        </w:drawing>
      </w:r>
      <w:r w:rsidR="00992B08" w:rsidRPr="00875BB3">
        <w:t>Checklist for improving quality of life</w:t>
      </w:r>
    </w:p>
    <w:p w14:paraId="4360758F" w14:textId="03B3C8A9" w:rsidR="00CC59E5" w:rsidRPr="00314F78" w:rsidRDefault="00CC59E5" w:rsidP="00314F78">
      <w:pPr>
        <w:pStyle w:val="TableHeader"/>
      </w:pPr>
      <w:r w:rsidRPr="00314F78">
        <w:t>Assessment and reassessment using QOL-ACC tool</w:t>
      </w:r>
    </w:p>
    <w:p w14:paraId="668AD034" w14:textId="77777777" w:rsidR="00CC59E5" w:rsidRPr="00C94C85" w:rsidRDefault="00CC59E5" w:rsidP="00314F78">
      <w:pPr>
        <w:pStyle w:val="ListBullet"/>
      </w:pPr>
      <w:r w:rsidRPr="00C94C85">
        <w:t>Assess with the QOL-ACC assessment tool.</w:t>
      </w:r>
    </w:p>
    <w:p w14:paraId="76625240" w14:textId="77777777" w:rsidR="00CC59E5" w:rsidRPr="00C94C85" w:rsidRDefault="7D9A74BE" w:rsidP="00314F78">
      <w:pPr>
        <w:pStyle w:val="ListBullet"/>
      </w:pPr>
      <w:r w:rsidRPr="00C94C85">
        <w:t>Identify any baseline indications of diminished quality of life.</w:t>
      </w:r>
    </w:p>
    <w:p w14:paraId="34FA48A7" w14:textId="338F5A20" w:rsidR="00CC59E5" w:rsidRPr="00C94C85" w:rsidRDefault="00002E5A" w:rsidP="00314F78">
      <w:pPr>
        <w:pStyle w:val="ListBullet"/>
      </w:pPr>
      <w:r w:rsidRPr="002765D3">
        <w:rPr>
          <w:noProof/>
        </w:rPr>
        <w:drawing>
          <wp:anchor distT="0" distB="0" distL="114300" distR="114300" simplePos="0" relativeHeight="251658252" behindDoc="0" locked="0" layoutInCell="1" allowOverlap="1" wp14:anchorId="2BC33A0D" wp14:editId="54C66AF7">
            <wp:simplePos x="0" y="0"/>
            <wp:positionH relativeFrom="column">
              <wp:posOffset>-779780</wp:posOffset>
            </wp:positionH>
            <wp:positionV relativeFrom="paragraph">
              <wp:posOffset>343535</wp:posOffset>
            </wp:positionV>
            <wp:extent cx="539496" cy="540000"/>
            <wp:effectExtent l="0" t="0" r="0" b="0"/>
            <wp:wrapSquare wrapText="bothSides"/>
            <wp:docPr id="111" name="Picture 14" descr="P1313#y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4" descr="P1313#y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anchor>
        </w:drawing>
      </w:r>
      <w:r w:rsidR="7D9A74BE" w:rsidRPr="00C94C85">
        <w:t>Identify any risk factors for future deterioration of quality of life.</w:t>
      </w:r>
    </w:p>
    <w:p w14:paraId="2CDECB25" w14:textId="3B8334DA" w:rsidR="00CC59E5" w:rsidRPr="002765D3" w:rsidRDefault="00CC59E5" w:rsidP="00314F78">
      <w:pPr>
        <w:pStyle w:val="TableHeader"/>
      </w:pPr>
      <w:r>
        <w:t>Review the</w:t>
      </w:r>
      <w:r w:rsidRPr="002765D3">
        <w:t xml:space="preserve"> care plan</w:t>
      </w:r>
    </w:p>
    <w:p w14:paraId="7A240FBF" w14:textId="77777777" w:rsidR="00CC59E5" w:rsidRPr="00C94C85" w:rsidRDefault="00CC59E5" w:rsidP="00314F78">
      <w:pPr>
        <w:pStyle w:val="ListBullet"/>
      </w:pPr>
      <w:r w:rsidRPr="00C94C85">
        <w:t>Review and document in the care plan:</w:t>
      </w:r>
    </w:p>
    <w:p w14:paraId="547D1EC4" w14:textId="77777777" w:rsidR="00CC59E5" w:rsidRPr="00C94C85" w:rsidRDefault="00CC59E5" w:rsidP="00314F78">
      <w:pPr>
        <w:pStyle w:val="ListBullet2"/>
      </w:pPr>
      <w:r w:rsidRPr="00C94C85">
        <w:t>care recipient’s preferences for care and care goals</w:t>
      </w:r>
    </w:p>
    <w:p w14:paraId="5F12178C" w14:textId="77777777" w:rsidR="00CC59E5" w:rsidRPr="00C94C85" w:rsidRDefault="00CC59E5" w:rsidP="00314F78">
      <w:pPr>
        <w:pStyle w:val="ListBullet2"/>
      </w:pPr>
      <w:r w:rsidRPr="00C94C85">
        <w:t>care recipient’s current health status</w:t>
      </w:r>
    </w:p>
    <w:p w14:paraId="541E479A" w14:textId="77777777" w:rsidR="00CC59E5" w:rsidRPr="00C94C85" w:rsidRDefault="7D9A74BE" w:rsidP="00314F78">
      <w:pPr>
        <w:pStyle w:val="ListBullet2"/>
      </w:pPr>
      <w:r w:rsidRPr="00C94C85">
        <w:t>identified risk factors for reduced quality of life</w:t>
      </w:r>
    </w:p>
    <w:p w14:paraId="28ADAE72" w14:textId="451CF802" w:rsidR="00CC59E5" w:rsidRPr="00C94C85" w:rsidRDefault="00002E5A" w:rsidP="00314F78">
      <w:pPr>
        <w:pStyle w:val="ListBullet2"/>
      </w:pPr>
      <w:r w:rsidRPr="002765D3">
        <w:rPr>
          <w:noProof/>
        </w:rPr>
        <w:drawing>
          <wp:anchor distT="0" distB="0" distL="114300" distR="114300" simplePos="0" relativeHeight="251658249" behindDoc="0" locked="0" layoutInCell="1" allowOverlap="1" wp14:anchorId="3D9F08C3" wp14:editId="079828A5">
            <wp:simplePos x="0" y="0"/>
            <wp:positionH relativeFrom="column">
              <wp:posOffset>2500630</wp:posOffset>
            </wp:positionH>
            <wp:positionV relativeFrom="paragraph">
              <wp:posOffset>215900</wp:posOffset>
            </wp:positionV>
            <wp:extent cx="539496" cy="540000"/>
            <wp:effectExtent l="0" t="0" r="0" b="0"/>
            <wp:wrapSquare wrapText="bothSides"/>
            <wp:docPr id="113" name="Picture 16" descr="P1319#y1">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6" descr="P1319#y1">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anchor>
        </w:drawing>
      </w:r>
      <w:r w:rsidR="00CC59E5" w:rsidRPr="00C94C85">
        <w:t>quality of life improvement strategies</w:t>
      </w:r>
    </w:p>
    <w:p w14:paraId="2A0A1A8A" w14:textId="56F30BEA" w:rsidR="00CC59E5" w:rsidRPr="00C94C85" w:rsidRDefault="00CC59E5" w:rsidP="00314F78">
      <w:pPr>
        <w:pStyle w:val="ListBullet2"/>
      </w:pPr>
      <w:r w:rsidRPr="00C94C85">
        <w:t>undertake collaborative care planning.</w:t>
      </w:r>
    </w:p>
    <w:p w14:paraId="277F4F2A" w14:textId="77777777" w:rsidR="00002E5A" w:rsidRDefault="00CC59E5" w:rsidP="00002E5A">
      <w:pPr>
        <w:pStyle w:val="ListBullet2"/>
      </w:pPr>
      <w:r w:rsidRPr="00C94C85">
        <w:t>Frequency and timing of improvement strategies.</w:t>
      </w:r>
    </w:p>
    <w:p w14:paraId="1E2ACE90" w14:textId="45BE102C" w:rsidR="00CC59E5" w:rsidRPr="00517432" w:rsidRDefault="00314F78" w:rsidP="00517432">
      <w:pPr>
        <w:pStyle w:val="TableHeader"/>
      </w:pPr>
      <w:r w:rsidRPr="00517432">
        <w:br w:type="column"/>
      </w:r>
      <w:r w:rsidR="00CC59E5" w:rsidRPr="00517432">
        <w:t>Implement enabling strategies with a focus on strategies to prevent diminished quality of life such as:</w:t>
      </w:r>
    </w:p>
    <w:p w14:paraId="6B432581" w14:textId="77777777" w:rsidR="00CC59E5" w:rsidRPr="00143109" w:rsidRDefault="00CC59E5" w:rsidP="00314F78">
      <w:pPr>
        <w:pStyle w:val="ListBullet"/>
      </w:pPr>
      <w:r w:rsidRPr="00143109">
        <w:t>Ensure involvement of the care recipient in decision-making about their circumstances.</w:t>
      </w:r>
    </w:p>
    <w:p w14:paraId="0A02B2BD" w14:textId="77777777" w:rsidR="00CC59E5" w:rsidRPr="00143109" w:rsidRDefault="7D9A74BE" w:rsidP="00314F78">
      <w:pPr>
        <w:pStyle w:val="ListBullet"/>
      </w:pPr>
      <w:r w:rsidRPr="00143109">
        <w:t>Promote appropriate and timely access to health-related interventions, analgesia, medication reviews etc.</w:t>
      </w:r>
    </w:p>
    <w:p w14:paraId="248FAD4A" w14:textId="77777777" w:rsidR="00CC59E5" w:rsidRPr="00143109" w:rsidRDefault="7D9A74BE" w:rsidP="00314F78">
      <w:pPr>
        <w:pStyle w:val="ListBullet"/>
      </w:pPr>
      <w:r w:rsidRPr="00143109">
        <w:t>Use appropriate and individualised exercise and activity plans.</w:t>
      </w:r>
    </w:p>
    <w:p w14:paraId="36F7C54D" w14:textId="77777777" w:rsidR="00CC59E5" w:rsidRPr="00143109" w:rsidRDefault="00CC59E5" w:rsidP="00314F78">
      <w:pPr>
        <w:pStyle w:val="ListBullet"/>
      </w:pPr>
      <w:r w:rsidRPr="00143109">
        <w:t>Encourage care recipient engagement in available activities that match identified interests.</w:t>
      </w:r>
    </w:p>
    <w:p w14:paraId="5A58F782" w14:textId="77777777" w:rsidR="00CC59E5" w:rsidRPr="00143109" w:rsidRDefault="00CC59E5" w:rsidP="00314F78">
      <w:pPr>
        <w:pStyle w:val="ListBullet"/>
      </w:pPr>
      <w:r w:rsidRPr="00143109">
        <w:t>Foster community interactions and engagement.</w:t>
      </w:r>
    </w:p>
    <w:p w14:paraId="2B813840" w14:textId="55AAF300" w:rsidR="00CC59E5" w:rsidRPr="00314F78" w:rsidRDefault="7D9A74BE" w:rsidP="00314F78">
      <w:pPr>
        <w:pStyle w:val="TableHeader"/>
      </w:pPr>
      <w:r w:rsidRPr="00314F78">
        <w:t>Action items identified in assessment</w:t>
      </w:r>
    </w:p>
    <w:p w14:paraId="1757CAF7" w14:textId="77777777" w:rsidR="00CC59E5" w:rsidRPr="00143109" w:rsidRDefault="00CC59E5" w:rsidP="00314F78">
      <w:pPr>
        <w:pStyle w:val="ListBullet"/>
      </w:pPr>
      <w:r w:rsidRPr="00143109">
        <w:t>Check for withdrawal, increase in disruptive behaviours or expression of dissatisfaction.</w:t>
      </w:r>
    </w:p>
    <w:p w14:paraId="1E1225CC" w14:textId="77777777" w:rsidR="00CC59E5" w:rsidRPr="00143109" w:rsidRDefault="7D9A74BE" w:rsidP="00314F78">
      <w:pPr>
        <w:pStyle w:val="ListBullet"/>
      </w:pPr>
      <w:r w:rsidRPr="00143109">
        <w:t>Assess appropriateness of current strategies to maintain quality of life.</w:t>
      </w:r>
    </w:p>
    <w:p w14:paraId="3923FEA4" w14:textId="77777777" w:rsidR="00DA2FD2" w:rsidRPr="002765D3" w:rsidRDefault="00DA2FD2" w:rsidP="00314F78">
      <w:pPr>
        <w:sectPr w:rsidR="00DA2FD2" w:rsidRPr="002765D3" w:rsidSect="00CC59E5">
          <w:headerReference w:type="even" r:id="rId295"/>
          <w:headerReference w:type="default" r:id="rId296"/>
          <w:headerReference w:type="first" r:id="rId297"/>
          <w:endnotePr>
            <w:numFmt w:val="decimal"/>
          </w:endnotePr>
          <w:type w:val="continuous"/>
          <w:pgSz w:w="11906" w:h="16838" w:code="9"/>
          <w:pgMar w:top="1701" w:right="1134" w:bottom="1134" w:left="2098" w:header="567" w:footer="567" w:gutter="0"/>
          <w:cols w:num="2" w:space="1418"/>
          <w:docGrid w:linePitch="360"/>
        </w:sectPr>
      </w:pPr>
    </w:p>
    <w:p w14:paraId="17824377" w14:textId="21DC1248" w:rsidR="00D7090D" w:rsidRPr="00143109" w:rsidRDefault="00D7090D" w:rsidP="0059348C">
      <w:pPr>
        <w:pStyle w:val="Heading2"/>
      </w:pPr>
      <w:r w:rsidRPr="00143109">
        <w:t>Quality improvement for quality of life</w:t>
      </w:r>
    </w:p>
    <w:p w14:paraId="7B62F62E" w14:textId="296DAA0D" w:rsidR="00D7090D" w:rsidRPr="00143109" w:rsidRDefault="00D7090D" w:rsidP="00314F78">
      <w:r w:rsidRPr="00143109">
        <w:t xml:space="preserve">Quality improvement can help providers improve quality of </w:t>
      </w:r>
      <w:r w:rsidR="00E24768" w:rsidRPr="00143109">
        <w:t>life</w:t>
      </w:r>
      <w:r w:rsidR="00BD1FFA" w:rsidRPr="00143109">
        <w:t xml:space="preserve"> for </w:t>
      </w:r>
      <w:r w:rsidR="00FC12FF" w:rsidRPr="00143109">
        <w:t>older</w:t>
      </w:r>
      <w:r w:rsidR="00BD1FFA" w:rsidRPr="00143109">
        <w:t xml:space="preserve"> Australians in residential aged care</w:t>
      </w:r>
      <w:r w:rsidRPr="00143109">
        <w:t>. Quality improvement activities should be ongoing and part of business-as-usual for approved providers.</w:t>
      </w:r>
    </w:p>
    <w:p w14:paraId="1E8B4DA1" w14:textId="528974B6" w:rsidR="00D7090D" w:rsidRPr="00143109" w:rsidRDefault="019C103A" w:rsidP="00314F78">
      <w:r w:rsidRPr="00143109">
        <w:t xml:space="preserve">The QI Program will help prompt when a specific activity should be undertaken. It is important to review the QI Program data reports through </w:t>
      </w:r>
      <w:r w:rsidR="4950C97D" w:rsidRPr="00143109">
        <w:t xml:space="preserve">GPMS </w:t>
      </w:r>
      <w:r w:rsidRPr="00143109">
        <w:t xml:space="preserve">and compare against national </w:t>
      </w:r>
      <w:r w:rsidR="5023AA57" w:rsidRPr="00143109">
        <w:t>averages</w:t>
      </w:r>
      <w:r w:rsidRPr="00143109">
        <w:t xml:space="preserve"> and other services to understand where quality improvement activities should be focused.</w:t>
      </w:r>
    </w:p>
    <w:p w14:paraId="612DEA56" w14:textId="77777777" w:rsidR="00D7090D" w:rsidRPr="00D82644" w:rsidRDefault="4CC20EC3" w:rsidP="00314F78">
      <w:r w:rsidRPr="00143109">
        <w:t xml:space="preserve">The </w:t>
      </w:r>
      <w:r w:rsidRPr="00143109">
        <w:rPr>
          <w:rStyle w:val="Strong"/>
        </w:rPr>
        <w:t>Plan-Do-Check-Act</w:t>
      </w:r>
      <w:r w:rsidRPr="00143109">
        <w:t xml:space="preserve"> </w:t>
      </w:r>
      <w:r w:rsidRPr="00143109">
        <w:rPr>
          <w:rStyle w:val="Strong"/>
        </w:rPr>
        <w:t>tool</w:t>
      </w:r>
      <w:r w:rsidRPr="00143109">
        <w:t xml:space="preserve"> is a useful tool to plan, deliver and monitor quality improvement activities focused on relevant quality of life aspects.</w:t>
      </w:r>
      <w:r w:rsidRPr="00D82644">
        <w:br w:type="page"/>
      </w:r>
    </w:p>
    <w:p w14:paraId="2D430D03" w14:textId="7506E6D3" w:rsidR="00D7090D" w:rsidRPr="00143109" w:rsidRDefault="4CC20EC3" w:rsidP="0059348C">
      <w:pPr>
        <w:pStyle w:val="Heading2"/>
      </w:pPr>
      <w:r w:rsidRPr="00143109">
        <w:lastRenderedPageBreak/>
        <w:t>Example tools, guidance and resources to support continuous quality improvement</w:t>
      </w:r>
    </w:p>
    <w:p w14:paraId="76C453FD" w14:textId="77777777" w:rsidR="000106BE" w:rsidRPr="00143109" w:rsidRDefault="4AD4FF3D" w:rsidP="00314F78">
      <w:pPr>
        <w:pStyle w:val="ListBullet"/>
      </w:pPr>
      <w:hyperlink r:id="rId298">
        <w:r w:rsidRPr="00143109">
          <w:rPr>
            <w:rStyle w:val="Hyperlink"/>
          </w:rPr>
          <w:t>QOL-ACC Quality of Life Aged Care Consumers©</w:t>
        </w:r>
      </w:hyperlink>
      <w:r w:rsidR="4A667C5E" w:rsidRPr="00143109">
        <w:t xml:space="preserve"> — </w:t>
      </w:r>
      <w:r w:rsidRPr="00143109">
        <w:t>measure identifying aspects of quality of life most important to senior Australians</w:t>
      </w:r>
      <w:r w:rsidR="5CCFB064" w:rsidRPr="00143109">
        <w:t>,</w:t>
      </w:r>
      <w:r w:rsidRPr="00143109">
        <w:t xml:space="preserve"> a</w:t>
      </w:r>
      <w:r w:rsidR="5CCFB064" w:rsidRPr="00143109">
        <w:t>nd</w:t>
      </w:r>
      <w:r w:rsidR="4A667C5E" w:rsidRPr="00143109">
        <w:t xml:space="preserve"> the selected quality of life assessment tool that must be used in the QI Program</w:t>
      </w:r>
      <w:r w:rsidR="5CCFB064" w:rsidRPr="00143109">
        <w:t xml:space="preserve"> —</w:t>
      </w:r>
      <w:r w:rsidR="4A667C5E" w:rsidRPr="00143109">
        <w:t xml:space="preserve"> </w:t>
      </w:r>
      <w:r w:rsidR="5CCFB064" w:rsidRPr="00143109">
        <w:t>a</w:t>
      </w:r>
      <w:r w:rsidR="5B28A34B" w:rsidRPr="00143109">
        <w:t xml:space="preserve">vailable </w:t>
      </w:r>
      <w:r w:rsidR="5CCFB064" w:rsidRPr="00143109">
        <w:t>in Part A: Appendix D</w:t>
      </w:r>
    </w:p>
    <w:p w14:paraId="41240B9B" w14:textId="4D465696" w:rsidR="009B3811" w:rsidRPr="00143109" w:rsidRDefault="436199CA" w:rsidP="00314F78">
      <w:pPr>
        <w:pStyle w:val="ListBullet"/>
      </w:pPr>
      <w:bookmarkStart w:id="74" w:name="_Hlk125032746"/>
      <w:r w:rsidRPr="00143109">
        <w:t xml:space="preserve"> </w:t>
      </w:r>
      <w:hyperlink r:id="rId299" w:history="1">
        <w:r w:rsidRPr="00143109">
          <w:rPr>
            <w:rStyle w:val="Hyperlink"/>
          </w:rPr>
          <w:t>Good Spirit Good Life</w:t>
        </w:r>
      </w:hyperlink>
      <w:r w:rsidR="5D2F1F8F" w:rsidRPr="00143109">
        <w:t xml:space="preserve"> </w:t>
      </w:r>
      <w:r w:rsidR="2B0C18EC" w:rsidRPr="00143109">
        <w:t>—</w:t>
      </w:r>
      <w:r w:rsidR="5D2F1F8F" w:rsidRPr="00143109">
        <w:t xml:space="preserve"> </w:t>
      </w:r>
      <w:r w:rsidR="2B0C18EC" w:rsidRPr="00143109">
        <w:t xml:space="preserve">is a quality of life </w:t>
      </w:r>
      <w:r w:rsidR="5D2F1F8F" w:rsidRPr="00143109">
        <w:t>assessment tool and framework for use by health and aged care services to identify and enhance the quality of life of</w:t>
      </w:r>
      <w:r w:rsidR="2B0C18EC" w:rsidRPr="00143109">
        <w:t xml:space="preserve"> older Aboriginal </w:t>
      </w:r>
      <w:r w:rsidR="5D2F1F8F" w:rsidRPr="00143109">
        <w:t xml:space="preserve">Australians — </w:t>
      </w:r>
      <w:r w:rsidR="6DE75AF9" w:rsidRPr="00143109">
        <w:t>Aboriginal Ageing Well Research</w:t>
      </w:r>
    </w:p>
    <w:bookmarkEnd w:id="74"/>
    <w:p w14:paraId="435069A7" w14:textId="112FDA9D" w:rsidR="00D7090D" w:rsidRPr="00143109" w:rsidRDefault="00102D38" w:rsidP="00314F78">
      <w:pPr>
        <w:pStyle w:val="ListBullet"/>
      </w:pPr>
      <w:r w:rsidRPr="00143109">
        <w:fldChar w:fldCharType="begin"/>
      </w:r>
      <w:r w:rsidRPr="00143109">
        <w:instrText xml:space="preserve"> HYPERLINK "https://bmcgeriatr.biomedcentral.com/articles/10.1186/s12877-021-02614-y" </w:instrText>
      </w:r>
      <w:r w:rsidRPr="00143109">
        <w:fldChar w:fldCharType="separate"/>
      </w:r>
      <w:r w:rsidR="1CD2DB58" w:rsidRPr="00143109">
        <w:rPr>
          <w:rStyle w:val="Hyperlink"/>
        </w:rPr>
        <w:t>The integration of mixed methods data to develop the Quality of Life – Aged Care Consumers (QOL-ACC) instrument</w:t>
      </w:r>
      <w:r w:rsidRPr="00143109">
        <w:fldChar w:fldCharType="end"/>
      </w:r>
      <w:r w:rsidR="1CD2DB58" w:rsidRPr="00143109">
        <w:t xml:space="preserve"> — journal article describing the collection and integration of mixed methods data to facilitate the final selection of items for the QOL-ACC</w:t>
      </w:r>
    </w:p>
    <w:p w14:paraId="6908D2C7" w14:textId="73E27B6B" w:rsidR="00CF5331" w:rsidRPr="00143109" w:rsidRDefault="00CF5331" w:rsidP="00314F78">
      <w:pPr>
        <w:pStyle w:val="ListBullet"/>
      </w:pPr>
      <w:hyperlink r:id="rId300" w:history="1">
        <w:r w:rsidRPr="00143109">
          <w:rPr>
            <w:rStyle w:val="Hyperlink"/>
          </w:rPr>
          <w:t>Services and supports for daily living: Standard 4</w:t>
        </w:r>
      </w:hyperlink>
      <w:r w:rsidRPr="00143109">
        <w:t xml:space="preserve"> — provides guidance and resources relating to services and supports for daily living — Aged Care Quality and Safety Commission</w:t>
      </w:r>
    </w:p>
    <w:p w14:paraId="4FF88DFC" w14:textId="52A5B586" w:rsidR="00CC0F2A" w:rsidRPr="00143109" w:rsidRDefault="00CC0F2A" w:rsidP="00314F78">
      <w:pPr>
        <w:pStyle w:val="ListBullet"/>
      </w:pPr>
      <w:hyperlink r:id="rId301" w:history="1">
        <w:r w:rsidRPr="00143109">
          <w:rPr>
            <w:rStyle w:val="Hyperlink"/>
          </w:rPr>
          <w:t>Measurement tools for assessing quality of life, consumer satisfaction and consumer experience across residential and in-home aged care: a summary report</w:t>
        </w:r>
      </w:hyperlink>
      <w:r w:rsidRPr="00143109">
        <w:t xml:space="preserve"> — evidence review of validated tools to measure quality of life, consumer experience or consumer satisfaction — Caring Futures Institute, Flinders University</w:t>
      </w:r>
    </w:p>
    <w:p w14:paraId="024BD662" w14:textId="3EC4A56D" w:rsidR="00FE1D76" w:rsidRPr="00143109" w:rsidRDefault="005619C8" w:rsidP="00314F78">
      <w:pPr>
        <w:pStyle w:val="ListBullet"/>
      </w:pPr>
      <w:hyperlink r:id="rId302" w:history="1">
        <w:r w:rsidRPr="00143109">
          <w:rPr>
            <w:rStyle w:val="Hyperlink"/>
          </w:rPr>
          <w:t>Quality of life tools to support measurement of aged care quality</w:t>
        </w:r>
      </w:hyperlink>
      <w:r w:rsidRPr="00143109">
        <w:t xml:space="preserve"> </w:t>
      </w:r>
      <w:bookmarkStart w:id="75" w:name="_Hlk125032532"/>
      <w:r w:rsidRPr="00143109">
        <w:t>—</w:t>
      </w:r>
      <w:bookmarkEnd w:id="75"/>
      <w:r w:rsidRPr="00143109">
        <w:t xml:space="preserve"> research paper evaluating quality of life tools to support and measure aged care quality — </w:t>
      </w:r>
      <w:r w:rsidR="00FE1D76" w:rsidRPr="00143109">
        <w:t xml:space="preserve">Deeble </w:t>
      </w:r>
      <w:r w:rsidR="00A90155" w:rsidRPr="00143109">
        <w:t>Institute for Health Policy Research</w:t>
      </w:r>
    </w:p>
    <w:p w14:paraId="51B2E93D" w14:textId="05056EF9" w:rsidR="004338CD" w:rsidRPr="00143109" w:rsidRDefault="004338CD" w:rsidP="00314F78">
      <w:pPr>
        <w:pStyle w:val="ListBullet"/>
      </w:pPr>
      <w:hyperlink r:id="rId303" w:history="1">
        <w:r w:rsidRPr="00143109">
          <w:rPr>
            <w:rStyle w:val="Hyperlink"/>
          </w:rPr>
          <w:t>What does quality of life mean to older adults? A thematic synthesis</w:t>
        </w:r>
      </w:hyperlink>
      <w:r w:rsidRPr="00143109">
        <w:t xml:space="preserve"> — journal article providing a systematic reviews qualitative studies exploring the meaning of quality of life for older adults</w:t>
      </w:r>
    </w:p>
    <w:p w14:paraId="3AE205D6" w14:textId="3C7EF0DE" w:rsidR="00D822A8" w:rsidRPr="00143109" w:rsidRDefault="55283F22" w:rsidP="00314F78">
      <w:pPr>
        <w:pStyle w:val="ListBullet"/>
      </w:pPr>
      <w:hyperlink r:id="rId304">
        <w:r w:rsidRPr="00143109">
          <w:rPr>
            <w:rStyle w:val="Hyperlink"/>
          </w:rPr>
          <w:t>Quality of life factors for older Australians</w:t>
        </w:r>
      </w:hyperlink>
      <w:r w:rsidRPr="00143109">
        <w:t xml:space="preserve"> — a news article describing what factors </w:t>
      </w:r>
      <w:r w:rsidR="2CD5E57F" w:rsidRPr="00143109">
        <w:t xml:space="preserve">are important for good </w:t>
      </w:r>
      <w:r w:rsidRPr="00143109">
        <w:t xml:space="preserve">quality of life factors </w:t>
      </w:r>
      <w:r w:rsidR="2CD5E57F" w:rsidRPr="00143109">
        <w:t>from the perspective of the older Australian</w:t>
      </w:r>
      <w:r w:rsidRPr="00143109">
        <w:t xml:space="preserve"> — Aged Care Guide</w:t>
      </w:r>
    </w:p>
    <w:p w14:paraId="5070A047" w14:textId="5C5622AD" w:rsidR="00613C47" w:rsidRPr="00143109" w:rsidRDefault="00613C47" w:rsidP="00314F78">
      <w:pPr>
        <w:pStyle w:val="ListBullet"/>
      </w:pPr>
      <w:hyperlink r:id="rId305" w:anchor="/details?url=https://www.cdc.gov/hrqol/index.htm" w:history="1">
        <w:r w:rsidRPr="00143109">
          <w:rPr>
            <w:rStyle w:val="Hyperlink"/>
          </w:rPr>
          <w:t xml:space="preserve">Health Related Quality of Life </w:t>
        </w:r>
        <w:r w:rsidR="004C6C66" w:rsidRPr="00143109">
          <w:rPr>
            <w:rStyle w:val="Hyperlink"/>
          </w:rPr>
          <w:t>Page</w:t>
        </w:r>
      </w:hyperlink>
      <w:r w:rsidR="004C6C66" w:rsidRPr="00143109">
        <w:t xml:space="preserve"> </w:t>
      </w:r>
      <w:r w:rsidR="005619C8" w:rsidRPr="00143109">
        <w:t xml:space="preserve">— website with </w:t>
      </w:r>
      <w:r w:rsidR="004C6C66" w:rsidRPr="00143109">
        <w:t xml:space="preserve">links to </w:t>
      </w:r>
      <w:r w:rsidR="0041359E" w:rsidRPr="00143109">
        <w:t>tools, guidance and resources that support quality of life improvemen</w:t>
      </w:r>
      <w:r w:rsidR="009C4C9C" w:rsidRPr="00143109">
        <w:t>t</w:t>
      </w:r>
      <w:r w:rsidR="005619C8" w:rsidRPr="00143109">
        <w:t xml:space="preserve"> — Centers for Disease Control and Prevention</w:t>
      </w:r>
    </w:p>
    <w:p w14:paraId="78399E19" w14:textId="19152FC2" w:rsidR="00D822A8" w:rsidRPr="00143109" w:rsidRDefault="55283F22" w:rsidP="00314F78">
      <w:pPr>
        <w:pStyle w:val="ListBullet"/>
      </w:pPr>
      <w:hyperlink r:id="rId306">
        <w:r w:rsidRPr="00143109">
          <w:rPr>
            <w:rStyle w:val="Hyperlink"/>
          </w:rPr>
          <w:t>GEN Aged Care Data</w:t>
        </w:r>
      </w:hyperlink>
      <w:r w:rsidRPr="00143109">
        <w:t xml:space="preserve"> —repository of information about aged care, including capacity and activity in aged care with a focus on people, assessments and services — Australian Institute of Health and Welfare</w:t>
      </w:r>
    </w:p>
    <w:p w14:paraId="2194EC67" w14:textId="0C55A668" w:rsidR="00D7090D" w:rsidRPr="00143109" w:rsidRDefault="019C103A" w:rsidP="00314F78">
      <w:pPr>
        <w:rPr>
          <w:rStyle w:val="Emphasis"/>
        </w:rPr>
      </w:pPr>
      <w:r w:rsidRPr="00143109">
        <w:rPr>
          <w:rStyle w:val="Emphasis"/>
        </w:rPr>
        <w:t>Some tools, guidance and resources may be updated over time; it is important to ensure you are looking at the most recent version.</w:t>
      </w:r>
    </w:p>
    <w:p w14:paraId="314313E2" w14:textId="77777777" w:rsidR="00143109" w:rsidRPr="00143109" w:rsidRDefault="00143109" w:rsidP="00314F78"/>
    <w:p w14:paraId="49CFF5D8" w14:textId="77777777" w:rsidR="001E32A4" w:rsidRPr="00E64A17" w:rsidRDefault="001E32A4" w:rsidP="00314F78">
      <w:pPr>
        <w:sectPr w:rsidR="001E32A4" w:rsidRPr="00E64A17" w:rsidSect="00FD2216">
          <w:headerReference w:type="default" r:id="rId307"/>
          <w:footerReference w:type="default" r:id="rId308"/>
          <w:headerReference w:type="first" r:id="rId309"/>
          <w:type w:val="continuous"/>
          <w:pgSz w:w="11906" w:h="16838" w:code="9"/>
          <w:pgMar w:top="1701" w:right="1134" w:bottom="1134" w:left="1134" w:header="567" w:footer="567" w:gutter="0"/>
          <w:cols w:space="708"/>
          <w:docGrid w:linePitch="360"/>
        </w:sectPr>
      </w:pPr>
      <w:bookmarkStart w:id="76" w:name="_Hlk181023453"/>
      <w:bookmarkEnd w:id="76"/>
    </w:p>
    <w:p w14:paraId="5949D1EF" w14:textId="6734045C" w:rsidR="001E32A4" w:rsidRPr="00143109" w:rsidRDefault="001E32A4" w:rsidP="0059348C">
      <w:pPr>
        <w:pStyle w:val="Heading1"/>
      </w:pPr>
      <w:bookmarkStart w:id="77" w:name="_Toc181610966"/>
      <w:bookmarkStart w:id="78" w:name="_Toc193889901"/>
      <w:r w:rsidRPr="00143109">
        <w:lastRenderedPageBreak/>
        <w:t>Enrolled Nursing</w:t>
      </w:r>
      <w:bookmarkEnd w:id="77"/>
      <w:bookmarkEnd w:id="78"/>
    </w:p>
    <w:p w14:paraId="0007AEE5" w14:textId="2A9B20E0" w:rsidR="001E32A4" w:rsidRPr="00143109" w:rsidRDefault="001E32A4" w:rsidP="0059348C">
      <w:pPr>
        <w:pStyle w:val="Heading2"/>
      </w:pPr>
      <w:bookmarkStart w:id="79" w:name="_Toc181610967"/>
      <w:r w:rsidRPr="00143109">
        <w:t>Overview of Enrolled Nursing</w:t>
      </w:r>
      <w:bookmarkEnd w:id="79"/>
    </w:p>
    <w:p w14:paraId="41CD3E57" w14:textId="098D068F" w:rsidR="001E32A4" w:rsidRPr="00143109" w:rsidRDefault="001E32A4" w:rsidP="00314F78">
      <w:pPr>
        <w:pStyle w:val="Caption"/>
      </w:pPr>
      <w:r w:rsidRPr="00143109">
        <w:t>FIGURE 54: ENROLLED NURSING IN RESIDENTIAL AGED CARE</w:t>
      </w:r>
      <w:r w:rsidR="003A30D7">
        <w:rPr>
          <w:rFonts w:ascii="ZWAdobeF" w:hAnsi="ZWAdobeF" w:cs="ZWAdobeF"/>
          <w:b w:val="0"/>
          <w:color w:val="auto"/>
          <w:sz w:val="2"/>
          <w:szCs w:val="2"/>
        </w:rPr>
        <w:t>225F</w:t>
      </w:r>
      <w:r w:rsidRPr="00454D17">
        <w:rPr>
          <w:rStyle w:val="EndnoteReference"/>
        </w:rPr>
        <w:endnoteReference w:id="227"/>
      </w:r>
      <w:r w:rsidR="00300095" w:rsidRPr="00454D17">
        <w:rPr>
          <w:rStyle w:val="EndnoteReference"/>
        </w:rPr>
        <w:t xml:space="preserve"> </w:t>
      </w:r>
      <w:r w:rsidR="003A30D7">
        <w:rPr>
          <w:rFonts w:ascii="ZWAdobeF" w:hAnsi="ZWAdobeF" w:cs="ZWAdobeF"/>
          <w:b w:val="0"/>
          <w:color w:val="auto"/>
          <w:sz w:val="2"/>
          <w:szCs w:val="2"/>
        </w:rPr>
        <w:t>226F</w:t>
      </w:r>
      <w:r w:rsidRPr="00454D17">
        <w:rPr>
          <w:rStyle w:val="EndnoteReference"/>
        </w:rPr>
        <w:endnoteReference w:id="228"/>
      </w:r>
      <w:r w:rsidR="00300095" w:rsidRPr="00454D17">
        <w:rPr>
          <w:rStyle w:val="EndnoteReference"/>
        </w:rPr>
        <w:t xml:space="preserve"> </w:t>
      </w:r>
      <w:r w:rsidR="003A30D7">
        <w:rPr>
          <w:rFonts w:ascii="ZWAdobeF" w:hAnsi="ZWAdobeF" w:cs="ZWAdobeF"/>
          <w:b w:val="0"/>
          <w:color w:val="auto"/>
          <w:sz w:val="2"/>
          <w:szCs w:val="2"/>
        </w:rPr>
        <w:t>227F</w:t>
      </w:r>
      <w:r w:rsidRPr="00454D17">
        <w:rPr>
          <w:rStyle w:val="EndnoteReference"/>
        </w:rPr>
        <w:endnoteReference w:id="229"/>
      </w:r>
    </w:p>
    <w:p w14:paraId="79DD5D74" w14:textId="77777777" w:rsidR="001E32A4" w:rsidRDefault="001E32A4" w:rsidP="00314F78">
      <w:r>
        <w:rPr>
          <w:noProof/>
        </w:rPr>
        <w:drawing>
          <wp:inline distT="0" distB="0" distL="0" distR="0" wp14:anchorId="2C30B4E4" wp14:editId="26F64E2D">
            <wp:extent cx="6124574" cy="4810124"/>
            <wp:effectExtent l="0" t="0" r="0" b="0"/>
            <wp:docPr id="131506237" name="Picture 131506237" descr="P13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6237" name="Picture 131506237" descr="P1353#yIS1"/>
                    <pic:cNvPicPr/>
                  </pic:nvPicPr>
                  <pic:blipFill>
                    <a:blip r:embed="rId310">
                      <a:extLst>
                        <a:ext uri="{28A0092B-C50C-407E-A947-70E740481C1C}">
                          <a14:useLocalDpi xmlns:a14="http://schemas.microsoft.com/office/drawing/2010/main" val="0"/>
                        </a:ext>
                      </a:extLst>
                    </a:blip>
                    <a:stretch>
                      <a:fillRect/>
                    </a:stretch>
                  </pic:blipFill>
                  <pic:spPr>
                    <a:xfrm>
                      <a:off x="0" y="0"/>
                      <a:ext cx="6124574" cy="4810124"/>
                    </a:xfrm>
                    <a:prstGeom prst="rect">
                      <a:avLst/>
                    </a:prstGeom>
                  </pic:spPr>
                </pic:pic>
              </a:graphicData>
            </a:graphic>
          </wp:inline>
        </w:drawing>
      </w:r>
    </w:p>
    <w:p w14:paraId="3C572E6A" w14:textId="0A0E106A" w:rsidR="001E32A4" w:rsidRPr="007C64A2" w:rsidRDefault="001E32A4" w:rsidP="0059348C">
      <w:pPr>
        <w:pStyle w:val="Heading2"/>
      </w:pPr>
      <w:bookmarkStart w:id="80" w:name="_Toc181610968"/>
      <w:r w:rsidRPr="007C64A2">
        <w:t>Enrolled Nursing in residential aged care</w:t>
      </w:r>
      <w:bookmarkEnd w:id="80"/>
    </w:p>
    <w:p w14:paraId="7B5FBF49" w14:textId="0241449A" w:rsidR="00C304FE" w:rsidRPr="00FD1B87" w:rsidRDefault="00C304FE" w:rsidP="00314F78">
      <w:r w:rsidRPr="00FD1B87">
        <w:t>Enrolled nurses (ENs) provide nursing care under the supervision of a Registered Nurse (RN) or Nurse Practitioner (NP)</w:t>
      </w:r>
      <w:r w:rsidR="003A30D7">
        <w:rPr>
          <w:rFonts w:ascii="ZWAdobeF" w:hAnsi="ZWAdobeF" w:cs="ZWAdobeF"/>
          <w:color w:val="auto"/>
          <w:sz w:val="2"/>
          <w:szCs w:val="2"/>
        </w:rPr>
        <w:t>228F</w:t>
      </w:r>
      <w:r w:rsidRPr="00314F78">
        <w:rPr>
          <w:rStyle w:val="EndnoteReference"/>
        </w:rPr>
        <w:endnoteReference w:id="230"/>
      </w:r>
      <w:r w:rsidRPr="00FD1B87">
        <w:t xml:space="preserve">. ENs have the knowledge and skills to: </w:t>
      </w:r>
    </w:p>
    <w:p w14:paraId="233A52FA" w14:textId="77777777" w:rsidR="00C304FE" w:rsidRPr="007C64A2" w:rsidRDefault="00C304FE" w:rsidP="00314F78">
      <w:pPr>
        <w:pStyle w:val="ListBullet"/>
      </w:pPr>
      <w:r w:rsidRPr="007C64A2">
        <w:t>provide physical and emotional care,</w:t>
      </w:r>
    </w:p>
    <w:p w14:paraId="0F8DF340" w14:textId="77777777" w:rsidR="00C304FE" w:rsidRPr="00454D17" w:rsidRDefault="00C304FE" w:rsidP="00314F78">
      <w:pPr>
        <w:pStyle w:val="ListBullet"/>
      </w:pPr>
      <w:r w:rsidRPr="007C64A2">
        <w:t>engage in reflective and analytical practice,</w:t>
      </w:r>
    </w:p>
    <w:p w14:paraId="53B99B17" w14:textId="77777777" w:rsidR="00C304FE" w:rsidRPr="007C64A2" w:rsidRDefault="00C304FE" w:rsidP="00314F78">
      <w:pPr>
        <w:pStyle w:val="ListBullet"/>
      </w:pPr>
      <w:r w:rsidRPr="007C64A2">
        <w:t>administer medication,</w:t>
      </w:r>
    </w:p>
    <w:p w14:paraId="127FAE14" w14:textId="77777777" w:rsidR="00C304FE" w:rsidRPr="007C64A2" w:rsidRDefault="00C304FE" w:rsidP="00314F78">
      <w:pPr>
        <w:pStyle w:val="ListBullet"/>
      </w:pPr>
      <w:r w:rsidRPr="007C64A2">
        <w:t>maintain infection prevention and control,</w:t>
      </w:r>
    </w:p>
    <w:p w14:paraId="4745FE3F" w14:textId="77777777" w:rsidR="00C304FE" w:rsidRPr="007C64A2" w:rsidRDefault="00C304FE" w:rsidP="00314F78">
      <w:pPr>
        <w:pStyle w:val="ListBullet"/>
      </w:pPr>
      <w:r w:rsidRPr="007C64A2">
        <w:t xml:space="preserve">perform clinical assessments, and; </w:t>
      </w:r>
    </w:p>
    <w:p w14:paraId="63378D94" w14:textId="77777777" w:rsidR="00C304FE" w:rsidRPr="007C64A2" w:rsidRDefault="00C304FE" w:rsidP="00314F78">
      <w:pPr>
        <w:pStyle w:val="ListBullet"/>
      </w:pPr>
      <w:r w:rsidRPr="007C64A2">
        <w:t xml:space="preserve">contribute to care planning. </w:t>
      </w:r>
    </w:p>
    <w:p w14:paraId="20897966" w14:textId="5804797A" w:rsidR="001E32A4" w:rsidRPr="00FD1B87" w:rsidRDefault="00C304FE" w:rsidP="00314F78">
      <w:r w:rsidRPr="00FD1B87">
        <w:lastRenderedPageBreak/>
        <w:t>ENs are essential members of the aged care team, providing valuable contributions to the care of older people. They collaborate closely with other healthcare workers and provide important clinical expertise, working under the supervision of RNs and within multidisciplinary teams</w:t>
      </w:r>
      <w:r w:rsidR="001E7BF7" w:rsidRPr="00FD1B87">
        <w:t>.</w:t>
      </w:r>
    </w:p>
    <w:p w14:paraId="09F8DB5C" w14:textId="05D2FD2B" w:rsidR="001E32A4" w:rsidRPr="007C64A2" w:rsidRDefault="001E32A4" w:rsidP="0059348C">
      <w:pPr>
        <w:pStyle w:val="Heading2"/>
      </w:pPr>
      <w:bookmarkStart w:id="81" w:name="_Toc181610971"/>
      <w:r w:rsidRPr="007C64A2">
        <w:t xml:space="preserve">Adverse clinical events and </w:t>
      </w:r>
      <w:r w:rsidR="00476B88" w:rsidRPr="007C64A2">
        <w:t>insufficient</w:t>
      </w:r>
      <w:r w:rsidR="00E41B55" w:rsidRPr="007C64A2">
        <w:t xml:space="preserve"> </w:t>
      </w:r>
      <w:r w:rsidR="00BE1606" w:rsidRPr="007C64A2">
        <w:t>en</w:t>
      </w:r>
      <w:r w:rsidRPr="007C64A2">
        <w:t>rolled nursing staff</w:t>
      </w:r>
      <w:bookmarkEnd w:id="81"/>
    </w:p>
    <w:p w14:paraId="4D8C4E74" w14:textId="1DF974B2" w:rsidR="00782337" w:rsidRPr="00FD1B87" w:rsidRDefault="00782337" w:rsidP="00314F78">
      <w:r w:rsidRPr="00FD1B87">
        <w:t xml:space="preserve">There are well established links between the capacity of aged care staff and the quality of care provided. Standard 7 of the Aged Care Quality Standards requires </w:t>
      </w:r>
      <w:r w:rsidR="00FE012F" w:rsidRPr="00FD1B87">
        <w:t>care recipients</w:t>
      </w:r>
      <w:r w:rsidRPr="00FD1B87">
        <w:t xml:space="preserve"> to receive quality care and services by a skilled and qualified workforce who are knowledgeable, capable and caring. The main duties of an EN encompass direct care, clinical care, and care coordination. Therefore, the loss of ENs in aged care can negatively impact both the safety of </w:t>
      </w:r>
      <w:r w:rsidR="00F848D2" w:rsidRPr="00FD1B87">
        <w:t>care recipients</w:t>
      </w:r>
      <w:r w:rsidRPr="00FD1B87">
        <w:t xml:space="preserve"> and other aged care staff. </w:t>
      </w:r>
    </w:p>
    <w:p w14:paraId="1AAA9EB8" w14:textId="1CF17CF6" w:rsidR="00782337" w:rsidRPr="00FD1B87" w:rsidRDefault="00782337" w:rsidP="00314F78">
      <w:r w:rsidRPr="00FD1B87">
        <w:t xml:space="preserve">Reducing EN staffing in favour of other care staff such as </w:t>
      </w:r>
      <w:r w:rsidR="006604AC" w:rsidRPr="00FD1B87">
        <w:t>Personal care workers (</w:t>
      </w:r>
      <w:r w:rsidRPr="00FD1B87">
        <w:t>PCWs</w:t>
      </w:r>
      <w:r w:rsidR="006604AC" w:rsidRPr="00FD1B87">
        <w:t>)</w:t>
      </w:r>
      <w:r w:rsidRPr="00FD1B87">
        <w:t xml:space="preserve"> can pose risks for clinical safety and quality of care</w:t>
      </w:r>
      <w:r w:rsidR="003A30D7">
        <w:rPr>
          <w:rFonts w:ascii="ZWAdobeF" w:hAnsi="ZWAdobeF" w:cs="ZWAdobeF"/>
          <w:color w:val="auto"/>
          <w:sz w:val="2"/>
          <w:szCs w:val="2"/>
        </w:rPr>
        <w:t>229F</w:t>
      </w:r>
      <w:r w:rsidRPr="00314F78">
        <w:rPr>
          <w:rStyle w:val="EndnoteReference"/>
        </w:rPr>
        <w:endnoteReference w:id="231"/>
      </w:r>
      <w:r w:rsidRPr="00FD1B87">
        <w:t>. Most PCWs in aged care have an entry level Certificate III, but the quality of training can be variable. Providing safe, high quality, person-centred care for older people involves the ability to:</w:t>
      </w:r>
    </w:p>
    <w:p w14:paraId="1E97C5DF" w14:textId="4C0A05A6" w:rsidR="00782337" w:rsidRPr="007C64A2" w:rsidRDefault="00782337" w:rsidP="00314F78">
      <w:pPr>
        <w:pStyle w:val="ListBullet"/>
      </w:pPr>
      <w:r w:rsidRPr="007C64A2">
        <w:t xml:space="preserve">respond to </w:t>
      </w:r>
      <w:r w:rsidR="006604AC" w:rsidRPr="007C64A2">
        <w:t xml:space="preserve">an </w:t>
      </w:r>
      <w:r w:rsidRPr="007C64A2">
        <w:t xml:space="preserve">older </w:t>
      </w:r>
      <w:r w:rsidR="00EE4D92" w:rsidRPr="007C64A2">
        <w:t>person’s</w:t>
      </w:r>
      <w:r w:rsidRPr="007C64A2">
        <w:t xml:space="preserve"> preferences and needs</w:t>
      </w:r>
      <w:r w:rsidR="000A046E" w:rsidRPr="007C64A2">
        <w:t>,</w:t>
      </w:r>
    </w:p>
    <w:p w14:paraId="3F8ECB5C" w14:textId="500661C4" w:rsidR="00782337" w:rsidRPr="007C64A2" w:rsidRDefault="00782337" w:rsidP="00314F78">
      <w:pPr>
        <w:pStyle w:val="ListBullet"/>
      </w:pPr>
      <w:r w:rsidRPr="007C64A2">
        <w:t>work closely with other health professionals</w:t>
      </w:r>
      <w:r w:rsidR="000A046E" w:rsidRPr="007C64A2">
        <w:t>,</w:t>
      </w:r>
    </w:p>
    <w:p w14:paraId="641C6FF9" w14:textId="77777777" w:rsidR="00782337" w:rsidRPr="007C64A2" w:rsidRDefault="00782337" w:rsidP="00314F78">
      <w:pPr>
        <w:pStyle w:val="ListBullet"/>
      </w:pPr>
      <w:r w:rsidRPr="007C64A2">
        <w:t xml:space="preserve">accurately assess, plan, treat and respond, </w:t>
      </w:r>
    </w:p>
    <w:p w14:paraId="32007E59" w14:textId="77777777" w:rsidR="00782337" w:rsidRPr="007C64A2" w:rsidRDefault="00782337" w:rsidP="00314F78">
      <w:pPr>
        <w:pStyle w:val="ListBullet"/>
      </w:pPr>
      <w:r w:rsidRPr="007C64A2">
        <w:t xml:space="preserve">identify and respond to signs of physical and psychological deterioration, and; </w:t>
      </w:r>
    </w:p>
    <w:p w14:paraId="57FBDC78" w14:textId="77539D41" w:rsidR="00782337" w:rsidRPr="007C64A2" w:rsidRDefault="00782337" w:rsidP="00314F78">
      <w:pPr>
        <w:pStyle w:val="ListBullet"/>
      </w:pPr>
      <w:r w:rsidRPr="007C64A2">
        <w:t>appropriately escalate concerns</w:t>
      </w:r>
      <w:r w:rsidR="003A30D7">
        <w:rPr>
          <w:rFonts w:ascii="ZWAdobeF" w:hAnsi="ZWAdobeF" w:cs="ZWAdobeF"/>
          <w:sz w:val="2"/>
          <w:szCs w:val="2"/>
        </w:rPr>
        <w:t>230F</w:t>
      </w:r>
      <w:r w:rsidRPr="00517432">
        <w:rPr>
          <w:rStyle w:val="EndnoteReference"/>
        </w:rPr>
        <w:endnoteReference w:id="232"/>
      </w:r>
      <w:r w:rsidRPr="007C64A2">
        <w:t>.</w:t>
      </w:r>
    </w:p>
    <w:p w14:paraId="7445D403" w14:textId="10AD046B" w:rsidR="00782337" w:rsidRPr="00FD1B87" w:rsidRDefault="00782337" w:rsidP="00314F78">
      <w:r w:rsidRPr="00FD1B87">
        <w:t xml:space="preserve">The lack of effective surveillance of older people’s health and wellbeing contributes to poor outcomes when those needs are not promptly addressed, possibly leading to avoidable hospital admissions or further loss of independence. </w:t>
      </w:r>
    </w:p>
    <w:p w14:paraId="214A42C5" w14:textId="6BF8CE11" w:rsidR="001E32A4" w:rsidRPr="00314F78" w:rsidRDefault="00877475" w:rsidP="00314F78">
      <w:bookmarkStart w:id="82" w:name="_Toc181610972"/>
      <w:r w:rsidRPr="00314F78">
        <w:br w:type="page"/>
      </w:r>
      <w:r w:rsidR="001E32A4" w:rsidRPr="00314F78">
        <w:lastRenderedPageBreak/>
        <w:t xml:space="preserve">Preventing </w:t>
      </w:r>
      <w:r w:rsidR="008608DF" w:rsidRPr="00314F78">
        <w:t>insufficient</w:t>
      </w:r>
      <w:r w:rsidR="001E32A4" w:rsidRPr="00314F78">
        <w:t xml:space="preserve"> enrolled nursing staff in aged care</w:t>
      </w:r>
      <w:bookmarkEnd w:id="82"/>
    </w:p>
    <w:p w14:paraId="38F04793" w14:textId="77777777" w:rsidR="001E32A4" w:rsidRPr="007C64A2" w:rsidRDefault="001E32A4" w:rsidP="00314F78">
      <w:pPr>
        <w:pStyle w:val="Caption"/>
      </w:pPr>
      <w:r w:rsidRPr="007C64A2">
        <w:t>FIGURE 55: CHECKLIST FOR PROMOTING ADEQUATE ENROLLED NURSING STAFFING</w:t>
      </w:r>
    </w:p>
    <w:p w14:paraId="74F69B3B" w14:textId="77777777" w:rsidR="001E32A4" w:rsidRPr="00454D17" w:rsidRDefault="001E32A4" w:rsidP="00314F78">
      <w:pPr>
        <w:pStyle w:val="ChecklistHeading"/>
      </w:pPr>
      <w:r w:rsidRPr="00454D17">
        <w:t>Checklist for promoting adequate enrolled nursing staffing</w:t>
      </w:r>
    </w:p>
    <w:tbl>
      <w:tblPr>
        <w:tblStyle w:val="TableGrid"/>
        <w:tblpPr w:leftFromText="180" w:rightFromText="180" w:vertAnchor="text" w:horzAnchor="margin" w:tblpXSpec="center" w:tblpY="40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3859"/>
        <w:gridCol w:w="1066"/>
        <w:gridCol w:w="3647"/>
      </w:tblGrid>
      <w:tr w:rsidR="001E32A4" w14:paraId="6871AF96" w14:textId="77777777" w:rsidTr="00473140">
        <w:trPr>
          <w:trHeight w:val="4798"/>
        </w:trPr>
        <w:tc>
          <w:tcPr>
            <w:tcW w:w="553" w:type="pct"/>
          </w:tcPr>
          <w:p w14:paraId="26DB2E9B" w14:textId="759459C3" w:rsidR="001E32A4" w:rsidRPr="002D142A" w:rsidRDefault="00877475" w:rsidP="00314F78">
            <w:r w:rsidRPr="002D142A">
              <w:rPr>
                <w:noProof/>
              </w:rPr>
              <w:drawing>
                <wp:anchor distT="0" distB="0" distL="114300" distR="114300" simplePos="0" relativeHeight="251658245" behindDoc="1" locked="0" layoutInCell="1" allowOverlap="1" wp14:anchorId="0E64CF67" wp14:editId="4EAB1750">
                  <wp:simplePos x="0" y="0"/>
                  <wp:positionH relativeFrom="column">
                    <wp:posOffset>25400</wp:posOffset>
                  </wp:positionH>
                  <wp:positionV relativeFrom="paragraph">
                    <wp:posOffset>2466975</wp:posOffset>
                  </wp:positionV>
                  <wp:extent cx="539115" cy="539750"/>
                  <wp:effectExtent l="0" t="0" r="0" b="0"/>
                  <wp:wrapTight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ight>
                  <wp:docPr id="1198773655" name="Picture 17" descr="P1375C1T3#y1">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73655" name="Picture 17" descr="P1375C1T3#y1">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r w:rsidRPr="002D142A">
              <w:rPr>
                <w:noProof/>
              </w:rPr>
              <w:drawing>
                <wp:anchor distT="0" distB="0" distL="114300" distR="114300" simplePos="0" relativeHeight="251658246" behindDoc="0" locked="0" layoutInCell="1" allowOverlap="1" wp14:anchorId="3948EFCC" wp14:editId="6A68D5A7">
                  <wp:simplePos x="0" y="0"/>
                  <wp:positionH relativeFrom="column">
                    <wp:posOffset>-8890</wp:posOffset>
                  </wp:positionH>
                  <wp:positionV relativeFrom="paragraph">
                    <wp:posOffset>0</wp:posOffset>
                  </wp:positionV>
                  <wp:extent cx="539115" cy="539750"/>
                  <wp:effectExtent l="0" t="0" r="0" b="0"/>
                  <wp:wrapThrough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hrough>
                  <wp:docPr id="859178316" name="Picture 15" descr="P1375C1T3#y2">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78316" name="Picture 15" descr="P1375C1T3#y2">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115" cy="539750"/>
                          </a:xfrm>
                          <a:prstGeom prst="rect">
                            <a:avLst/>
                          </a:prstGeom>
                        </pic:spPr>
                      </pic:pic>
                    </a:graphicData>
                  </a:graphic>
                </wp:anchor>
              </w:drawing>
            </w:r>
          </w:p>
        </w:tc>
        <w:tc>
          <w:tcPr>
            <w:tcW w:w="2002" w:type="pct"/>
          </w:tcPr>
          <w:p w14:paraId="74CBC126" w14:textId="77777777" w:rsidR="001E32A4" w:rsidRPr="00EB7F6C" w:rsidRDefault="001E32A4" w:rsidP="00314F78">
            <w:pPr>
              <w:pStyle w:val="TableHeader"/>
            </w:pPr>
            <w:r w:rsidRPr="00EB7F6C">
              <w:t xml:space="preserve">Create a collaborative work environment </w:t>
            </w:r>
          </w:p>
          <w:p w14:paraId="47BDCE1C" w14:textId="77777777" w:rsidR="001E32A4" w:rsidRPr="007978C7" w:rsidRDefault="001E32A4" w:rsidP="00314F78">
            <w:pPr>
              <w:pStyle w:val="ListBullet"/>
            </w:pPr>
            <w:r w:rsidRPr="007978C7">
              <w:t>Collaborate with nursing staff to develop and achieve service goals.</w:t>
            </w:r>
          </w:p>
          <w:p w14:paraId="5798D306" w14:textId="77777777" w:rsidR="001E32A4" w:rsidRPr="007978C7" w:rsidRDefault="001E32A4" w:rsidP="00314F78">
            <w:pPr>
              <w:pStyle w:val="ListBullet"/>
            </w:pPr>
            <w:r w:rsidRPr="007978C7">
              <w:t>Ensure appropriate nursing staff supervision and mentorship.</w:t>
            </w:r>
          </w:p>
          <w:p w14:paraId="1CE478A1" w14:textId="77777777" w:rsidR="001E32A4" w:rsidRPr="007978C7" w:rsidRDefault="001E32A4" w:rsidP="00314F78">
            <w:pPr>
              <w:pStyle w:val="ListBullet"/>
            </w:pPr>
            <w:r w:rsidRPr="007978C7">
              <w:t>Develop collaborative service goals and articulate roles and responsibilities to achieve them.</w:t>
            </w:r>
          </w:p>
          <w:p w14:paraId="03F47E1A" w14:textId="77777777" w:rsidR="001E32A4" w:rsidRPr="007978C7" w:rsidRDefault="001E32A4" w:rsidP="00314F78">
            <w:pPr>
              <w:pStyle w:val="ListBullet"/>
            </w:pPr>
            <w:r w:rsidRPr="007978C7">
              <w:t>Establish nursing professional networks (e.g. with local services or professionals).</w:t>
            </w:r>
          </w:p>
          <w:p w14:paraId="5596551B" w14:textId="77777777" w:rsidR="001E32A4" w:rsidRPr="00E35054" w:rsidRDefault="001E32A4" w:rsidP="00314F78">
            <w:pPr>
              <w:pStyle w:val="ListBullet"/>
            </w:pPr>
            <w:r w:rsidRPr="000E640F">
              <w:t>Promote staff engagement through team building and social activities.</w:t>
            </w:r>
          </w:p>
          <w:p w14:paraId="0D05207F" w14:textId="77777777" w:rsidR="001E32A4" w:rsidRPr="00B64DEA" w:rsidRDefault="001E32A4" w:rsidP="00314F78">
            <w:pPr>
              <w:pStyle w:val="TableHeader"/>
            </w:pPr>
            <w:r w:rsidRPr="00B64DEA">
              <w:t>Monitor care minutes delivery according to staffing category</w:t>
            </w:r>
          </w:p>
          <w:p w14:paraId="18BC6BA7" w14:textId="37878DFE" w:rsidR="001E32A4" w:rsidRPr="00877475" w:rsidRDefault="001E32A4" w:rsidP="00314F78">
            <w:pPr>
              <w:pStyle w:val="ListBullet"/>
            </w:pPr>
            <w:r w:rsidRPr="00877475">
              <w:t xml:space="preserve">Track the proportion of care minutes delivered by RNs, ENs and PCWs as a proportion of the total </w:t>
            </w:r>
            <w:r w:rsidR="00451D92" w:rsidRPr="00877475">
              <w:t>workforce and</w:t>
            </w:r>
            <w:r w:rsidRPr="00877475">
              <w:t xml:space="preserve"> evaluate how the staffing and skills mix continues to meet assessed care needs of residents. </w:t>
            </w:r>
            <w:r w:rsidR="005E350A" w:rsidRPr="00877475">
              <w:t>R</w:t>
            </w:r>
            <w:r w:rsidRPr="00877475" w:rsidDel="53CAA713">
              <w:t>eflect on how this fits case-mix.</w:t>
            </w:r>
          </w:p>
          <w:p w14:paraId="0F7AA307" w14:textId="77777777" w:rsidR="001E32A4" w:rsidRPr="00E529FE" w:rsidRDefault="001E32A4" w:rsidP="00314F78">
            <w:pPr>
              <w:pStyle w:val="ListBullet"/>
              <w:rPr>
                <w:rFonts w:cs="Arial"/>
              </w:rPr>
            </w:pPr>
            <w:r w:rsidRPr="00877475">
              <w:t>Meet up to 10% of service-level RN minutes targets with care time provided by EN, where possible.</w:t>
            </w:r>
          </w:p>
        </w:tc>
        <w:tc>
          <w:tcPr>
            <w:tcW w:w="553" w:type="pct"/>
          </w:tcPr>
          <w:p w14:paraId="6ECD0511" w14:textId="468D8298" w:rsidR="001E32A4" w:rsidRPr="002765D3" w:rsidRDefault="001E32A4" w:rsidP="00314F78">
            <w:pPr>
              <w:rPr>
                <w:noProof/>
              </w:rPr>
            </w:pPr>
            <w:r w:rsidRPr="002765D3">
              <w:rPr>
                <w:noProof/>
              </w:rPr>
              <w:drawing>
                <wp:anchor distT="0" distB="0" distL="114300" distR="114300" simplePos="0" relativeHeight="251658247" behindDoc="1" locked="0" layoutInCell="1" allowOverlap="1" wp14:anchorId="4D58B942" wp14:editId="4B565BA9">
                  <wp:simplePos x="0" y="0"/>
                  <wp:positionH relativeFrom="column">
                    <wp:posOffset>-15240</wp:posOffset>
                  </wp:positionH>
                  <wp:positionV relativeFrom="paragraph">
                    <wp:posOffset>0</wp:posOffset>
                  </wp:positionV>
                  <wp:extent cx="539115" cy="539750"/>
                  <wp:effectExtent l="0" t="0" r="0" b="0"/>
                  <wp:wrapThrough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hrough>
                  <wp:docPr id="540749241" name="Picture 16" descr="P1385C3T3#y1">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9241" name="Picture 16" descr="P1385C3T3#y1">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115" cy="539750"/>
                          </a:xfrm>
                          <a:prstGeom prst="rect">
                            <a:avLst/>
                          </a:prstGeom>
                        </pic:spPr>
                      </pic:pic>
                    </a:graphicData>
                  </a:graphic>
                </wp:anchor>
              </w:drawing>
            </w:r>
          </w:p>
        </w:tc>
        <w:tc>
          <w:tcPr>
            <w:tcW w:w="1892" w:type="pct"/>
          </w:tcPr>
          <w:p w14:paraId="516EBF56" w14:textId="77777777" w:rsidR="001E32A4" w:rsidRPr="000C33D5" w:rsidRDefault="001E32A4" w:rsidP="00314F78">
            <w:pPr>
              <w:pStyle w:val="TableHeader"/>
            </w:pPr>
            <w:r w:rsidRPr="5CA5DF0A">
              <w:t>Act on staff and resident concerns about nursing care capacity and quality</w:t>
            </w:r>
          </w:p>
          <w:p w14:paraId="68871117" w14:textId="77777777" w:rsidR="00936268" w:rsidRPr="00877475" w:rsidRDefault="00936268" w:rsidP="00314F78">
            <w:pPr>
              <w:pStyle w:val="ListBullet"/>
            </w:pPr>
            <w:r w:rsidRPr="00877475">
              <w:t>Create a safe space to discuss workplace concerns without fear of retribution or punishment.</w:t>
            </w:r>
          </w:p>
          <w:p w14:paraId="20A799B7" w14:textId="77777777" w:rsidR="00936268" w:rsidRPr="00877475" w:rsidRDefault="00936268" w:rsidP="00314F78">
            <w:pPr>
              <w:pStyle w:val="ListBullet"/>
            </w:pPr>
            <w:r w:rsidRPr="00877475">
              <w:t>Implement processes allowing for the escalation of staffing issues by any staff member, resident or representative e.g. reporting of staff shortages to line managers if they arise.</w:t>
            </w:r>
          </w:p>
          <w:p w14:paraId="58C0CCB5" w14:textId="665F1732" w:rsidR="00936268" w:rsidRPr="00877475" w:rsidRDefault="00936268" w:rsidP="00314F78">
            <w:pPr>
              <w:pStyle w:val="ListBullet"/>
            </w:pPr>
            <w:r w:rsidRPr="00877475">
              <w:t xml:space="preserve">Ensure frequent, honest and fair communication between staff and management, including concerns such </w:t>
            </w:r>
            <w:r w:rsidR="00451D92" w:rsidRPr="00877475">
              <w:t>as staff</w:t>
            </w:r>
            <w:r w:rsidRPr="00877475">
              <w:t xml:space="preserve"> working outside scope of practice.</w:t>
            </w:r>
          </w:p>
          <w:p w14:paraId="777A23AD" w14:textId="77777777" w:rsidR="00936268" w:rsidRPr="00877475" w:rsidRDefault="00936268" w:rsidP="00314F78">
            <w:pPr>
              <w:pStyle w:val="ListBullet"/>
            </w:pPr>
            <w:r w:rsidRPr="007978C7">
              <w:t xml:space="preserve">Conduct surveillance of resident concerns relating to nursing care capacity and quality by monitoring themes from resident </w:t>
            </w:r>
            <w:r w:rsidRPr="00877475">
              <w:t>experience and quality of life surveys.</w:t>
            </w:r>
          </w:p>
          <w:p w14:paraId="23B7A194" w14:textId="77777777" w:rsidR="00936268" w:rsidRPr="00877475" w:rsidRDefault="00936268" w:rsidP="00314F78">
            <w:pPr>
              <w:pStyle w:val="ListBullet"/>
            </w:pPr>
            <w:r w:rsidRPr="00877475">
              <w:t>Monitor nursing staff burnout and workforce turnover.</w:t>
            </w:r>
          </w:p>
          <w:p w14:paraId="7B3CD985" w14:textId="7E2105DE" w:rsidR="001E32A4" w:rsidRPr="007978C7" w:rsidRDefault="00936268" w:rsidP="00314F78">
            <w:pPr>
              <w:pStyle w:val="ListBullet"/>
            </w:pPr>
            <w:r w:rsidRPr="00877475">
              <w:t>Provide access to Employee</w:t>
            </w:r>
            <w:r w:rsidRPr="007978C7">
              <w:t xml:space="preserve"> Assistance Programs to assist staff wellbeing.</w:t>
            </w:r>
          </w:p>
        </w:tc>
      </w:tr>
    </w:tbl>
    <w:p w14:paraId="6C69F976" w14:textId="77777777" w:rsidR="001E32A4" w:rsidRPr="00FD1B87" w:rsidRDefault="001E32A4" w:rsidP="00314F78"/>
    <w:p w14:paraId="38941A41" w14:textId="423214B5" w:rsidR="001E32A4" w:rsidRPr="00172FAE" w:rsidRDefault="001E32A4" w:rsidP="0059348C">
      <w:pPr>
        <w:pStyle w:val="Heading2"/>
      </w:pPr>
      <w:bookmarkStart w:id="83" w:name="_Toc181610973"/>
      <w:r w:rsidRPr="00172FAE">
        <w:t>Quality improvement for enrolled nursing staffing</w:t>
      </w:r>
      <w:bookmarkEnd w:id="83"/>
    </w:p>
    <w:p w14:paraId="7CFD7D52" w14:textId="72B7F754" w:rsidR="006B019C" w:rsidRPr="00FD1B87" w:rsidRDefault="006B019C" w:rsidP="00314F78">
      <w:r w:rsidRPr="00FD1B87">
        <w:t xml:space="preserve">Quality improvement can help services </w:t>
      </w:r>
      <w:r w:rsidR="00F601D1" w:rsidRPr="00FD1B87">
        <w:t>provide optimal</w:t>
      </w:r>
      <w:r w:rsidRPr="00FD1B87">
        <w:t xml:space="preserve"> enrolled nursing staffing and improve continuity of care. Quality improvement activities should be ongoing and part of business-as-usual for approved providers.</w:t>
      </w:r>
    </w:p>
    <w:p w14:paraId="23BDA3B5" w14:textId="77777777" w:rsidR="006B019C" w:rsidRPr="00FD1B87" w:rsidRDefault="006B019C" w:rsidP="00314F78">
      <w:r w:rsidRPr="00FD1B87">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3D3E2667" w14:textId="10318826" w:rsidR="006B019C" w:rsidRPr="00FD1B87" w:rsidRDefault="006B019C" w:rsidP="00314F78">
      <w:r w:rsidRPr="00FD1B87">
        <w:t xml:space="preserve">The </w:t>
      </w:r>
      <w:r w:rsidRPr="00454D17">
        <w:rPr>
          <w:rStyle w:val="Strong"/>
        </w:rPr>
        <w:t>Plan-Do-Check-Act tool</w:t>
      </w:r>
      <w:r w:rsidRPr="00FD1B87">
        <w:t xml:space="preserve"> (</w:t>
      </w:r>
      <w:r w:rsidR="00652DCC" w:rsidRPr="00FD1B87">
        <w:t>section 2.3</w:t>
      </w:r>
      <w:r w:rsidRPr="00FD1B87">
        <w:t>) is a useful tool to plan, deliver and monitor quality improvement activities focused on workforce.</w:t>
      </w:r>
    </w:p>
    <w:p w14:paraId="42BACA21" w14:textId="0235BB50" w:rsidR="001E32A4" w:rsidRPr="0059348C" w:rsidRDefault="001E32A4" w:rsidP="0059348C">
      <w:pPr>
        <w:pStyle w:val="Heading2"/>
      </w:pPr>
      <w:bookmarkStart w:id="84" w:name="_Toc181610974"/>
      <w:r w:rsidRPr="00172FAE">
        <w:lastRenderedPageBreak/>
        <w:t>Example tools, guidance and resources to support continuous quality improvement</w:t>
      </w:r>
      <w:bookmarkEnd w:id="84"/>
      <w:r w:rsidRPr="00172FAE">
        <w:t xml:space="preserve">  </w:t>
      </w:r>
    </w:p>
    <w:p w14:paraId="12E934CC" w14:textId="77777777" w:rsidR="001E32A4" w:rsidRPr="00172FAE" w:rsidRDefault="001E32A4" w:rsidP="00314F78">
      <w:pPr>
        <w:pStyle w:val="ListBullet"/>
      </w:pPr>
      <w:hyperlink r:id="rId311">
        <w:r w:rsidRPr="00172FAE">
          <w:rPr>
            <w:rStyle w:val="Hyperlink"/>
          </w:rPr>
          <w:t>Nursing and Midwifery Board of Australia - Fact sheet: Scope of practice and capabilities of nurses (nursingmidwiferyboard.gov.au)</w:t>
        </w:r>
      </w:hyperlink>
      <w:r w:rsidRPr="00172FAE">
        <w:t xml:space="preserve"> – includes full description of all capabilities and scope of practice for enrolled nurses, registered nurses and nurse practitioners.</w:t>
      </w:r>
    </w:p>
    <w:p w14:paraId="179B43AA" w14:textId="77777777" w:rsidR="001E32A4" w:rsidRPr="00172FAE" w:rsidRDefault="001E32A4" w:rsidP="00314F78">
      <w:pPr>
        <w:pStyle w:val="ListBullet"/>
      </w:pPr>
      <w:hyperlink r:id="rId312" w:history="1">
        <w:r w:rsidRPr="00172FAE">
          <w:rPr>
            <w:rStyle w:val="Hyperlink"/>
          </w:rPr>
          <w:t>Nursing and Midwifery Board of Australia - Fact sheet: What do nurses and midwives do? (nursingmidwiferyboard.gov.au)</w:t>
        </w:r>
      </w:hyperlink>
      <w:r w:rsidRPr="00172FAE">
        <w:t xml:space="preserve"> - provides an overview of the varying roles and core activities of midwives, registered nurses, enrolled nurses and nurse practitioners.</w:t>
      </w:r>
    </w:p>
    <w:p w14:paraId="3A7F8429" w14:textId="77777777" w:rsidR="001E32A4" w:rsidRPr="00172FAE" w:rsidRDefault="001E32A4" w:rsidP="00314F78">
      <w:pPr>
        <w:pStyle w:val="ListBullet"/>
      </w:pPr>
      <w:hyperlink r:id="rId313" w:history="1">
        <w:r w:rsidRPr="00172FAE">
          <w:rPr>
            <w:rStyle w:val="Hyperlink"/>
          </w:rPr>
          <w:t>Nursing and Midwifery Board of Australia - Fact sheet: Enrolled nurse standards for practice (nursingmidwiferyboard.gov.au)</w:t>
        </w:r>
      </w:hyperlink>
      <w:r w:rsidRPr="00172FAE">
        <w:t xml:space="preserve"> – outlines the core practice standards that provide the framework for assessing EN practice.</w:t>
      </w:r>
    </w:p>
    <w:p w14:paraId="48FDE399" w14:textId="77777777" w:rsidR="001E32A4" w:rsidRPr="00172FAE" w:rsidRDefault="001E32A4" w:rsidP="00314F78">
      <w:pPr>
        <w:pStyle w:val="ListBullet"/>
      </w:pPr>
      <w:hyperlink r:id="rId314" w:history="1">
        <w:r w:rsidRPr="00172FAE">
          <w:rPr>
            <w:rStyle w:val="Hyperlink"/>
          </w:rPr>
          <w:t>Nursing and Midwifery Board of Australia - Registered nurse standards for practice (nursingmidwiferyboard.gov.au)</w:t>
        </w:r>
      </w:hyperlink>
      <w:r w:rsidRPr="00172FAE">
        <w:t xml:space="preserve">  - registered nurse standards for practice in full which includes delegation to enrolled nurses and others (6.3)</w:t>
      </w:r>
    </w:p>
    <w:p w14:paraId="4F114218" w14:textId="77777777" w:rsidR="001E32A4" w:rsidRPr="00172FAE" w:rsidRDefault="001E32A4" w:rsidP="00314F78">
      <w:pPr>
        <w:pStyle w:val="ListBullet"/>
      </w:pPr>
      <w:hyperlink r:id="rId315" w:history="1">
        <w:r w:rsidRPr="00172FAE">
          <w:rPr>
            <w:rStyle w:val="Hyperlink"/>
          </w:rPr>
          <w:t>Nursing and Midwifery Board of Australia – Decision Making Framework (DMF)</w:t>
        </w:r>
      </w:hyperlink>
      <w:r w:rsidRPr="00172FAE">
        <w:t xml:space="preserve"> </w:t>
      </w:r>
      <w:r w:rsidRPr="00172FAE" w:rsidDel="000B1045">
        <w:t>-</w:t>
      </w:r>
      <w:r w:rsidRPr="00172FAE">
        <w:t>– The DMF supports nurses and midwives to make decisions in practice, particularly about scope of practice and delegation.</w:t>
      </w:r>
    </w:p>
    <w:p w14:paraId="64216091" w14:textId="77777777" w:rsidR="001E32A4" w:rsidRPr="00172FAE" w:rsidRDefault="001E32A4" w:rsidP="00314F78">
      <w:pPr>
        <w:pStyle w:val="ListBullet"/>
      </w:pPr>
      <w:hyperlink r:id="rId316" w:history="1">
        <w:r w:rsidRPr="00172FAE">
          <w:rPr>
            <w:rStyle w:val="Hyperlink"/>
          </w:rPr>
          <w:t>Nursing and Midwifery Board of Australia - Professional standards (nursingmidwiferyboard.gov.au)</w:t>
        </w:r>
      </w:hyperlink>
      <w:r w:rsidRPr="00172FAE">
        <w:t xml:space="preserve"> – includes all nursing divisions codes of conduct and practice standards. </w:t>
      </w:r>
    </w:p>
    <w:p w14:paraId="6F829050" w14:textId="77777777" w:rsidR="001E32A4" w:rsidRPr="00172FAE" w:rsidRDefault="001E32A4" w:rsidP="00314F78">
      <w:pPr>
        <w:pStyle w:val="ListBullet"/>
      </w:pPr>
      <w:hyperlink r:id="rId317" w:history="1">
        <w:r w:rsidRPr="00172FAE">
          <w:rPr>
            <w:rStyle w:val="Hyperlink"/>
          </w:rPr>
          <w:t>Nursing and Midwifery Board of Australia - Continuing professional development (nursingmidwiferyboard.gov.au)</w:t>
        </w:r>
      </w:hyperlink>
      <w:r w:rsidRPr="00172FAE">
        <w:t xml:space="preserve"> – guidelines and resources on continuing professional development for nurses.</w:t>
      </w:r>
    </w:p>
    <w:p w14:paraId="7EE72DA4" w14:textId="77777777" w:rsidR="001E32A4" w:rsidRPr="00172FAE" w:rsidRDefault="001E32A4" w:rsidP="00314F78">
      <w:pPr>
        <w:pStyle w:val="ListBullet"/>
      </w:pPr>
      <w:hyperlink r:id="rId318" w:history="1">
        <w:r w:rsidRPr="00172FAE">
          <w:rPr>
            <w:rStyle w:val="Hyperlink"/>
          </w:rPr>
          <w:t>Education and training for workers | Aged Care Quality and Safety Commission</w:t>
        </w:r>
      </w:hyperlink>
      <w:r w:rsidRPr="00172FAE">
        <w:t xml:space="preserve"> – includes learning content for aged care providers and workers via the ‘ALIS’ platform.</w:t>
      </w:r>
    </w:p>
    <w:p w14:paraId="620DB773" w14:textId="77777777" w:rsidR="001E32A4" w:rsidRPr="00172FAE" w:rsidRDefault="001E32A4" w:rsidP="00314F78">
      <w:pPr>
        <w:pStyle w:val="ListBullet"/>
      </w:pPr>
      <w:hyperlink r:id="rId319" w:history="1">
        <w:r w:rsidRPr="00172FAE">
          <w:rPr>
            <w:rStyle w:val="Hyperlink"/>
          </w:rPr>
          <w:t>Nursing and allied health scholarships | Australian Government Department of Health and Aged Care</w:t>
        </w:r>
      </w:hyperlink>
      <w:r w:rsidRPr="00172FAE">
        <w:t xml:space="preserve"> - outlines funded scholarship opportunities through the Australian College of Nursing.</w:t>
      </w:r>
    </w:p>
    <w:p w14:paraId="31979DB0" w14:textId="77777777" w:rsidR="00001946" w:rsidRPr="00EF7A88" w:rsidRDefault="00001946" w:rsidP="00314F78">
      <w:bookmarkStart w:id="85" w:name="_Toc181610975"/>
      <w:r w:rsidRPr="00EF7A88">
        <w:br w:type="page"/>
      </w:r>
    </w:p>
    <w:p w14:paraId="6F27BD59" w14:textId="1B980229" w:rsidR="001E32A4" w:rsidRPr="00702F8F" w:rsidRDefault="001E32A4" w:rsidP="0059348C">
      <w:pPr>
        <w:pStyle w:val="Heading1"/>
      </w:pPr>
      <w:bookmarkStart w:id="86" w:name="_Toc193889902"/>
      <w:r w:rsidRPr="00702F8F">
        <w:lastRenderedPageBreak/>
        <w:t>Allied Health</w:t>
      </w:r>
      <w:bookmarkEnd w:id="85"/>
      <w:bookmarkEnd w:id="86"/>
    </w:p>
    <w:p w14:paraId="2C93E0D4" w14:textId="41762D76" w:rsidR="00D84B56" w:rsidRPr="00702F8F" w:rsidRDefault="001E32A4" w:rsidP="0059348C">
      <w:pPr>
        <w:pStyle w:val="Heading2"/>
      </w:pPr>
      <w:bookmarkStart w:id="87" w:name="_Toc181610976"/>
      <w:r w:rsidRPr="00702F8F">
        <w:t>Overview of allied health</w:t>
      </w:r>
      <w:bookmarkEnd w:id="87"/>
    </w:p>
    <w:p w14:paraId="47335A0C" w14:textId="2F59D65A" w:rsidR="00C60D7C" w:rsidRPr="00702F8F" w:rsidRDefault="00C60D7C" w:rsidP="00314F78">
      <w:r w:rsidRPr="00702F8F">
        <w:t>Figure 56 below provides an overview of lifestyle in residential aged care. The data and references have been reviewed March 2025.</w:t>
      </w:r>
    </w:p>
    <w:p w14:paraId="7A307396" w14:textId="73F9112C" w:rsidR="001E32A4" w:rsidRDefault="001E32A4" w:rsidP="00314F78">
      <w:pPr>
        <w:pStyle w:val="Caption"/>
      </w:pPr>
      <w:r w:rsidRPr="00702F8F">
        <w:t>FIGURE 56: ALLIED HEALTH STAFFING IN RESIDENTIAL AGED CARE</w:t>
      </w:r>
      <w:r w:rsidR="003A30D7">
        <w:rPr>
          <w:rFonts w:ascii="ZWAdobeF" w:hAnsi="ZWAdobeF" w:cs="ZWAdobeF"/>
          <w:b w:val="0"/>
          <w:color w:val="auto"/>
          <w:sz w:val="2"/>
          <w:szCs w:val="2"/>
        </w:rPr>
        <w:t>231F</w:t>
      </w:r>
      <w:r w:rsidRPr="00454D17">
        <w:rPr>
          <w:rStyle w:val="EndnoteReference"/>
        </w:rPr>
        <w:endnoteReference w:id="233"/>
      </w:r>
      <w:r w:rsidR="00300095" w:rsidRPr="00454D17">
        <w:rPr>
          <w:rStyle w:val="EndnoteReference"/>
        </w:rPr>
        <w:t xml:space="preserve"> </w:t>
      </w:r>
      <w:r w:rsidR="003A30D7">
        <w:rPr>
          <w:rFonts w:ascii="ZWAdobeF" w:hAnsi="ZWAdobeF" w:cs="ZWAdobeF"/>
          <w:b w:val="0"/>
          <w:color w:val="auto"/>
          <w:sz w:val="2"/>
          <w:szCs w:val="2"/>
        </w:rPr>
        <w:t>232F</w:t>
      </w:r>
      <w:r w:rsidRPr="00454D17">
        <w:rPr>
          <w:rStyle w:val="EndnoteReference"/>
        </w:rPr>
        <w:endnoteReference w:id="234"/>
      </w:r>
      <w:r w:rsidR="00300095" w:rsidRPr="00C67F44">
        <w:t xml:space="preserve"> </w:t>
      </w:r>
      <w:r w:rsidR="003A30D7">
        <w:rPr>
          <w:rFonts w:ascii="ZWAdobeF" w:hAnsi="ZWAdobeF" w:cs="ZWAdobeF"/>
          <w:b w:val="0"/>
          <w:color w:val="auto"/>
          <w:sz w:val="2"/>
          <w:szCs w:val="2"/>
        </w:rPr>
        <w:t>233F</w:t>
      </w:r>
      <w:r w:rsidRPr="00454D17">
        <w:rPr>
          <w:rStyle w:val="EndnoteReference"/>
        </w:rPr>
        <w:endnoteReference w:id="235"/>
      </w:r>
      <w:r w:rsidR="00C809AC">
        <w:rPr>
          <w:noProof/>
        </w:rPr>
        <w:drawing>
          <wp:inline distT="0" distB="0" distL="0" distR="0" wp14:anchorId="2862553F" wp14:editId="7BDF913B">
            <wp:extent cx="6120130" cy="5391785"/>
            <wp:effectExtent l="0" t="0" r="0" b="0"/>
            <wp:docPr id="2142832043" name="Picture 1" descr="P14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32043" name="Picture 1" descr="P1413#yIS1"/>
                    <pic:cNvPicPr/>
                  </pic:nvPicPr>
                  <pic:blipFill>
                    <a:blip r:embed="rId320"/>
                    <a:stretch>
                      <a:fillRect/>
                    </a:stretch>
                  </pic:blipFill>
                  <pic:spPr>
                    <a:xfrm>
                      <a:off x="0" y="0"/>
                      <a:ext cx="6120130" cy="5391785"/>
                    </a:xfrm>
                    <a:prstGeom prst="rect">
                      <a:avLst/>
                    </a:prstGeom>
                  </pic:spPr>
                </pic:pic>
              </a:graphicData>
            </a:graphic>
          </wp:inline>
        </w:drawing>
      </w:r>
    </w:p>
    <w:p w14:paraId="316B353D" w14:textId="15D84514" w:rsidR="001E32A4" w:rsidRPr="00702F8F" w:rsidRDefault="001E32A4" w:rsidP="0059348C">
      <w:pPr>
        <w:pStyle w:val="Heading2"/>
      </w:pPr>
      <w:bookmarkStart w:id="88" w:name="_Toc181610977"/>
      <w:r w:rsidRPr="00702F8F">
        <w:t>Allied health in residential aged care</w:t>
      </w:r>
      <w:bookmarkEnd w:id="88"/>
    </w:p>
    <w:p w14:paraId="24FD54B1" w14:textId="77777777" w:rsidR="002D797C" w:rsidRPr="00920C52" w:rsidRDefault="002D797C" w:rsidP="00314F78">
      <w:r w:rsidRPr="00920C52">
        <w:t>Allied health professionals play a critical role in enhancing functional health and quality of life for people living in residential aged care. They use specialised knowledge and skills to enable older people to function well physically, socially and emotionally. In residential aged care allied health professionals apply knowledge, skills and expertise to:</w:t>
      </w:r>
    </w:p>
    <w:p w14:paraId="25A6CEA3" w14:textId="77777777" w:rsidR="002D797C" w:rsidRPr="00920C52" w:rsidRDefault="002D797C" w:rsidP="00314F78">
      <w:pPr>
        <w:pStyle w:val="ListBullet"/>
      </w:pPr>
      <w:r w:rsidRPr="00920C52">
        <w:rPr>
          <w:rStyle w:val="Strong"/>
        </w:rPr>
        <w:lastRenderedPageBreak/>
        <w:t>prevent and manage</w:t>
      </w:r>
      <w:r w:rsidRPr="00920C52">
        <w:t xml:space="preserve"> common issues (e.g. swallowing issues, falls, malnutrition, chronic pain, wounds)</w:t>
      </w:r>
    </w:p>
    <w:p w14:paraId="0B520FDF" w14:textId="77777777" w:rsidR="002D797C" w:rsidRPr="00920C52" w:rsidRDefault="002D797C" w:rsidP="00314F78">
      <w:pPr>
        <w:pStyle w:val="ListBullet"/>
      </w:pPr>
      <w:r w:rsidRPr="00920C52">
        <w:rPr>
          <w:rStyle w:val="Strong"/>
        </w:rPr>
        <w:t>support reablement</w:t>
      </w:r>
      <w:r w:rsidRPr="00920C52">
        <w:t xml:space="preserve"> to enhance function and independence</w:t>
      </w:r>
    </w:p>
    <w:p w14:paraId="66378A84" w14:textId="603F104E" w:rsidR="002D797C" w:rsidRPr="00920C52" w:rsidRDefault="002D797C" w:rsidP="00314F78">
      <w:pPr>
        <w:pStyle w:val="ListBullet"/>
      </w:pPr>
      <w:r w:rsidRPr="00920C52">
        <w:t xml:space="preserve">help </w:t>
      </w:r>
      <w:r w:rsidRPr="00920C52">
        <w:rPr>
          <w:rStyle w:val="Strong"/>
        </w:rPr>
        <w:t>maintain</w:t>
      </w:r>
      <w:r w:rsidRPr="00920C52">
        <w:t xml:space="preserve"> </w:t>
      </w:r>
      <w:r w:rsidR="008B0357" w:rsidRPr="00920C52">
        <w:t>care recipients</w:t>
      </w:r>
      <w:r w:rsidRPr="00920C52">
        <w:t>’ quality of life,</w:t>
      </w:r>
    </w:p>
    <w:p w14:paraId="7BC9E61B" w14:textId="77777777" w:rsidR="002D797C" w:rsidRPr="00920C52" w:rsidRDefault="002D797C" w:rsidP="00314F78">
      <w:pPr>
        <w:pStyle w:val="ListBullet"/>
      </w:pPr>
      <w:r w:rsidRPr="00920C52">
        <w:rPr>
          <w:rStyle w:val="Strong"/>
        </w:rPr>
        <w:t>educate and upskill</w:t>
      </w:r>
      <w:r w:rsidRPr="00920C52">
        <w:t xml:space="preserve"> the aged care workforce.</w:t>
      </w:r>
    </w:p>
    <w:p w14:paraId="0B8D9931" w14:textId="3514B0A8" w:rsidR="002D797C" w:rsidRPr="00920C52" w:rsidRDefault="002D797C" w:rsidP="00314F78">
      <w:r w:rsidRPr="00920C52">
        <w:t>For the purposes of the QI program, allied health includes the following professions in line with current definitions from the Quarterly Financial Report (QFR)</w:t>
      </w:r>
      <w:r w:rsidR="003A30D7">
        <w:rPr>
          <w:rFonts w:ascii="ZWAdobeF" w:hAnsi="ZWAdobeF" w:cs="ZWAdobeF"/>
          <w:color w:val="auto"/>
          <w:sz w:val="2"/>
          <w:szCs w:val="2"/>
        </w:rPr>
        <w:t>234F</w:t>
      </w:r>
      <w:r w:rsidRPr="00920C52">
        <w:rPr>
          <w:vertAlign w:val="superscript"/>
        </w:rPr>
        <w:endnoteReference w:id="236"/>
      </w:r>
      <w:r w:rsidRPr="00920C52">
        <w:t>:</w:t>
      </w:r>
    </w:p>
    <w:p w14:paraId="523A982F" w14:textId="1C0610CA" w:rsidR="002D797C" w:rsidRPr="00920C52" w:rsidRDefault="002D797C" w:rsidP="00314F78">
      <w:pPr>
        <w:pStyle w:val="ListBullet"/>
      </w:pPr>
      <w:r w:rsidRPr="00920C52">
        <w:t>occupational therapy</w:t>
      </w:r>
      <w:r w:rsidR="00D5659E" w:rsidRPr="00920C52">
        <w:t>,</w:t>
      </w:r>
      <w:r w:rsidRPr="00920C52">
        <w:t>  </w:t>
      </w:r>
    </w:p>
    <w:p w14:paraId="2CED236F" w14:textId="7F6E1268" w:rsidR="002D797C" w:rsidRPr="00920C52" w:rsidRDefault="002D797C" w:rsidP="00314F78">
      <w:pPr>
        <w:pStyle w:val="ListBullet"/>
      </w:pPr>
      <w:r w:rsidRPr="00920C52">
        <w:t>speech pathology</w:t>
      </w:r>
      <w:r w:rsidR="00D5659E" w:rsidRPr="00920C52">
        <w:t>,</w:t>
      </w:r>
      <w:r w:rsidRPr="00920C52">
        <w:t> </w:t>
      </w:r>
    </w:p>
    <w:p w14:paraId="2075236E" w14:textId="6D0CFAE5" w:rsidR="002D797C" w:rsidRPr="00920C52" w:rsidRDefault="002D797C" w:rsidP="00314F78">
      <w:pPr>
        <w:pStyle w:val="ListBullet"/>
      </w:pPr>
      <w:r w:rsidRPr="00920C52">
        <w:t>podiatry</w:t>
      </w:r>
      <w:r w:rsidR="000A046E" w:rsidRPr="00920C52">
        <w:t>,</w:t>
      </w:r>
      <w:r w:rsidRPr="00920C52">
        <w:t> </w:t>
      </w:r>
    </w:p>
    <w:p w14:paraId="48DCFF16" w14:textId="643B0BFD" w:rsidR="002D797C" w:rsidRPr="00920C52" w:rsidRDefault="002D797C" w:rsidP="00314F78">
      <w:pPr>
        <w:pStyle w:val="ListBullet"/>
      </w:pPr>
      <w:r w:rsidRPr="00920C52">
        <w:t>dietetics</w:t>
      </w:r>
      <w:r w:rsidR="000A046E" w:rsidRPr="00920C52">
        <w:t>,</w:t>
      </w:r>
      <w:r w:rsidRPr="00920C52">
        <w:t>  </w:t>
      </w:r>
    </w:p>
    <w:p w14:paraId="6132DDCF" w14:textId="50ECE3E7" w:rsidR="002D797C" w:rsidRPr="00920C52" w:rsidRDefault="002D797C" w:rsidP="00314F78">
      <w:pPr>
        <w:pStyle w:val="ListBullet"/>
      </w:pPr>
      <w:r w:rsidRPr="00920C52">
        <w:t>allied health assistant</w:t>
      </w:r>
      <w:r w:rsidR="000A046E" w:rsidRPr="00920C52">
        <w:t>,</w:t>
      </w:r>
    </w:p>
    <w:p w14:paraId="777440D6" w14:textId="77777777" w:rsidR="002D797C" w:rsidRPr="00920C52" w:rsidRDefault="002D797C" w:rsidP="00314F78">
      <w:pPr>
        <w:pStyle w:val="ListBullet"/>
      </w:pPr>
      <w:r w:rsidRPr="00920C52">
        <w:t>‘other’ allied health, including:</w:t>
      </w:r>
    </w:p>
    <w:p w14:paraId="41E84E7F" w14:textId="721C8099" w:rsidR="002D797C" w:rsidRPr="00920C52" w:rsidRDefault="002D797C" w:rsidP="00314F78">
      <w:pPr>
        <w:pStyle w:val="ListBullet2"/>
      </w:pPr>
      <w:r w:rsidRPr="00920C52">
        <w:t>art therapists</w:t>
      </w:r>
      <w:r w:rsidR="00083900" w:rsidRPr="00920C52">
        <w:t>,</w:t>
      </w:r>
    </w:p>
    <w:p w14:paraId="0818489D" w14:textId="7CE5A720" w:rsidR="002D797C" w:rsidRPr="00920C52" w:rsidRDefault="002D797C" w:rsidP="00314F78">
      <w:pPr>
        <w:pStyle w:val="ListBullet2"/>
      </w:pPr>
      <w:r w:rsidRPr="00920C52">
        <w:t>audiologists</w:t>
      </w:r>
      <w:r w:rsidR="00083900" w:rsidRPr="00920C52">
        <w:t>,</w:t>
      </w:r>
    </w:p>
    <w:p w14:paraId="26A666C9" w14:textId="469C6327" w:rsidR="002D797C" w:rsidRPr="00920C52" w:rsidRDefault="002D797C" w:rsidP="00314F78">
      <w:pPr>
        <w:pStyle w:val="ListBullet2"/>
      </w:pPr>
      <w:r w:rsidRPr="00920C52">
        <w:t>chiropractors</w:t>
      </w:r>
      <w:r w:rsidR="00083900" w:rsidRPr="00920C52">
        <w:t>,</w:t>
      </w:r>
    </w:p>
    <w:p w14:paraId="58C1E5E4" w14:textId="141E0123" w:rsidR="002D797C" w:rsidRPr="00920C52" w:rsidRDefault="002D797C" w:rsidP="00314F78">
      <w:pPr>
        <w:pStyle w:val="ListBullet2"/>
      </w:pPr>
      <w:r w:rsidRPr="00920C52">
        <w:t>counsellors</w:t>
      </w:r>
      <w:r w:rsidR="00083900" w:rsidRPr="00920C52">
        <w:t>,</w:t>
      </w:r>
    </w:p>
    <w:p w14:paraId="219D3080" w14:textId="0CE802B7" w:rsidR="002D797C" w:rsidRPr="00920C52" w:rsidRDefault="002D797C" w:rsidP="00314F78">
      <w:pPr>
        <w:pStyle w:val="ListBullet2"/>
      </w:pPr>
      <w:r w:rsidRPr="00920C52">
        <w:t>diabetes educators</w:t>
      </w:r>
      <w:r w:rsidR="00083900" w:rsidRPr="00920C52">
        <w:t>,</w:t>
      </w:r>
    </w:p>
    <w:p w14:paraId="265A5BB8" w14:textId="7C6C15BA" w:rsidR="002D797C" w:rsidRPr="00920C52" w:rsidRDefault="002D797C" w:rsidP="00314F78">
      <w:pPr>
        <w:pStyle w:val="ListBullet2"/>
      </w:pPr>
      <w:r w:rsidRPr="00920C52">
        <w:t>exercise physiologists</w:t>
      </w:r>
      <w:r w:rsidR="00083900" w:rsidRPr="00920C52">
        <w:t>,</w:t>
      </w:r>
    </w:p>
    <w:p w14:paraId="737D64AD" w14:textId="72241BB2" w:rsidR="002D797C" w:rsidRPr="00920C52" w:rsidRDefault="002D797C" w:rsidP="00314F78">
      <w:pPr>
        <w:pStyle w:val="ListBullet2"/>
      </w:pPr>
      <w:r w:rsidRPr="00920C52">
        <w:t>music therapists</w:t>
      </w:r>
      <w:r w:rsidR="00083900" w:rsidRPr="00920C52">
        <w:t>,</w:t>
      </w:r>
    </w:p>
    <w:p w14:paraId="2C8C41F3" w14:textId="62699686" w:rsidR="002D797C" w:rsidRPr="00920C52" w:rsidRDefault="002D797C" w:rsidP="00314F78">
      <w:pPr>
        <w:pStyle w:val="ListBullet2"/>
      </w:pPr>
      <w:r w:rsidRPr="00920C52">
        <w:t>osteopaths</w:t>
      </w:r>
      <w:r w:rsidR="00083900" w:rsidRPr="00920C52">
        <w:t>,</w:t>
      </w:r>
    </w:p>
    <w:p w14:paraId="1BCADFEC" w14:textId="1E59202B" w:rsidR="002D797C" w:rsidRPr="00920C52" w:rsidRDefault="002D797C" w:rsidP="00314F78">
      <w:pPr>
        <w:pStyle w:val="ListBullet2"/>
      </w:pPr>
      <w:r w:rsidRPr="00920C52">
        <w:t>psychologists</w:t>
      </w:r>
      <w:r w:rsidR="00083900" w:rsidRPr="00920C52">
        <w:t>,</w:t>
      </w:r>
    </w:p>
    <w:p w14:paraId="50FD0FA4" w14:textId="77777777" w:rsidR="002D797C" w:rsidRPr="00920C52" w:rsidRDefault="002D797C" w:rsidP="00314F78">
      <w:pPr>
        <w:pStyle w:val="ListBullet2"/>
      </w:pPr>
      <w:r w:rsidRPr="00920C52">
        <w:t>social workers.</w:t>
      </w:r>
    </w:p>
    <w:p w14:paraId="174DD52E" w14:textId="77777777" w:rsidR="002D797C" w:rsidRPr="00920C52" w:rsidRDefault="002D797C" w:rsidP="00314F78">
      <w:r w:rsidRPr="00920C52">
        <w:rPr>
          <w:rStyle w:val="Strong"/>
        </w:rPr>
        <w:t>Allied health assistants (AHAs)</w:t>
      </w:r>
      <w:r w:rsidRPr="00920C52">
        <w:t xml:space="preserve"> perform a valuable role in aged care. Benefits of an AHA service may include:</w:t>
      </w:r>
    </w:p>
    <w:p w14:paraId="1FF80DF2" w14:textId="285254B9" w:rsidR="002D797C" w:rsidRPr="00920C52" w:rsidRDefault="002D797C" w:rsidP="00314F78">
      <w:pPr>
        <w:pStyle w:val="ListBullet"/>
      </w:pPr>
      <w:r w:rsidRPr="00920C52">
        <w:t>increasing clinical capacity and allowing allied health professionals to focus on more high-level tasks</w:t>
      </w:r>
      <w:r w:rsidR="00083900" w:rsidRPr="00920C52">
        <w:t>,</w:t>
      </w:r>
    </w:p>
    <w:p w14:paraId="0A3BB44A" w14:textId="75C9F79E" w:rsidR="002D797C" w:rsidRPr="00920C52" w:rsidRDefault="002D797C" w:rsidP="00314F78">
      <w:pPr>
        <w:pStyle w:val="ListBullet"/>
      </w:pPr>
      <w:r w:rsidRPr="00920C52">
        <w:t xml:space="preserve">providing improved access and continuity of service to </w:t>
      </w:r>
      <w:r w:rsidR="008B0357" w:rsidRPr="00920C52">
        <w:t>care recipients</w:t>
      </w:r>
      <w:r w:rsidR="003A30D7">
        <w:rPr>
          <w:rFonts w:ascii="ZWAdobeF" w:hAnsi="ZWAdobeF" w:cs="ZWAdobeF"/>
          <w:sz w:val="2"/>
          <w:szCs w:val="2"/>
        </w:rPr>
        <w:t>235F</w:t>
      </w:r>
      <w:r w:rsidRPr="00517432">
        <w:rPr>
          <w:rStyle w:val="EndnoteReference"/>
        </w:rPr>
        <w:endnoteReference w:id="237"/>
      </w:r>
      <w:r w:rsidRPr="00517432">
        <w:rPr>
          <w:rStyle w:val="EndnoteReference"/>
        </w:rPr>
        <w:t>.</w:t>
      </w:r>
    </w:p>
    <w:p w14:paraId="2F803747" w14:textId="602D5963" w:rsidR="002D797C" w:rsidRPr="00920C52" w:rsidRDefault="002D797C" w:rsidP="00314F78">
      <w:r w:rsidRPr="00920C52">
        <w:t>However, AHAs are not always qualified allied health professionals. They must work under the supervision of allied health professionals and be subject to a delegation framework. Employing AHAs without these checks in place may have negative implications for quality and safety</w:t>
      </w:r>
      <w:r w:rsidR="003A30D7">
        <w:rPr>
          <w:rFonts w:ascii="ZWAdobeF" w:hAnsi="ZWAdobeF" w:cs="ZWAdobeF"/>
          <w:color w:val="auto"/>
          <w:sz w:val="2"/>
          <w:szCs w:val="2"/>
        </w:rPr>
        <w:t>236F</w:t>
      </w:r>
      <w:r w:rsidRPr="00920C52">
        <w:rPr>
          <w:vertAlign w:val="superscript"/>
        </w:rPr>
        <w:endnoteReference w:id="238"/>
      </w:r>
      <w:r w:rsidRPr="00920C52">
        <w:t xml:space="preserve">. </w:t>
      </w:r>
    </w:p>
    <w:p w14:paraId="64D561B4" w14:textId="77777777" w:rsidR="002D797C" w:rsidRPr="00920C52" w:rsidRDefault="002D797C" w:rsidP="00314F78">
      <w:r w:rsidRPr="00920C52">
        <w:t>The allied health quality indicators measure allied health care minutes per resident per day, and the percentage of recommended allied health services received. Details of the collection and reporting requirements for the allied health quality indicator can be found in Part A. </w:t>
      </w:r>
    </w:p>
    <w:p w14:paraId="0E666B8A" w14:textId="57DE7E9C" w:rsidR="001E32A4" w:rsidRPr="00920C52" w:rsidRDefault="001E32A4" w:rsidP="0059348C">
      <w:pPr>
        <w:pStyle w:val="Heading2"/>
      </w:pPr>
      <w:bookmarkStart w:id="89" w:name="_Toc181610978"/>
      <w:r w:rsidRPr="00920C52">
        <w:t>Allied health staffing in residential aged care</w:t>
      </w:r>
      <w:bookmarkEnd w:id="89"/>
      <w:r w:rsidRPr="00920C52">
        <w:t xml:space="preserve"> </w:t>
      </w:r>
    </w:p>
    <w:p w14:paraId="0A384E2D" w14:textId="45733A7F" w:rsidR="001E32A4" w:rsidRPr="00AD045C" w:rsidRDefault="001E32A4" w:rsidP="00314F78">
      <w:r w:rsidRPr="00AD045C">
        <w:t xml:space="preserve">In Australia and internationally, the delivery of allied health services is highly variable in residential aged care. Service delivery is impacted by many factors - including funding, facility size, rurality, </w:t>
      </w:r>
      <w:r w:rsidRPr="00AD045C">
        <w:lastRenderedPageBreak/>
        <w:t xml:space="preserve">service demand, and health status of </w:t>
      </w:r>
      <w:r w:rsidR="00930AD3" w:rsidRPr="00AD045C">
        <w:t>care recipients</w:t>
      </w:r>
      <w:r w:rsidRPr="00AD045C">
        <w:t xml:space="preserve">. Overall, data quality on allied health staffing and the relationship with outcomes for </w:t>
      </w:r>
      <w:r w:rsidR="00930AD3" w:rsidRPr="00AD045C">
        <w:t>care recipients</w:t>
      </w:r>
      <w:r w:rsidRPr="00AD045C">
        <w:t xml:space="preserve"> in Australia is limited. </w:t>
      </w:r>
    </w:p>
    <w:p w14:paraId="4687F370" w14:textId="4AF01AA1" w:rsidR="001E32A4" w:rsidRPr="00136C69" w:rsidRDefault="001E32A4" w:rsidP="0059348C">
      <w:pPr>
        <w:pStyle w:val="Heading2"/>
      </w:pPr>
      <w:bookmarkStart w:id="90" w:name="_Toc181610979"/>
      <w:r w:rsidRPr="00136C69">
        <w:t>Consequences o</w:t>
      </w:r>
      <w:r w:rsidR="00171E3A" w:rsidRPr="00136C69">
        <w:t>f insufficient</w:t>
      </w:r>
      <w:r w:rsidRPr="00136C69">
        <w:t xml:space="preserve"> allied health staff in aged care</w:t>
      </w:r>
      <w:bookmarkEnd w:id="90"/>
    </w:p>
    <w:p w14:paraId="3D731030" w14:textId="46CB27DF" w:rsidR="005709E5" w:rsidRPr="00314F78" w:rsidRDefault="005709E5" w:rsidP="00314F78">
      <w:r w:rsidRPr="00136C69">
        <w:t>The Royal Commission concluded that allied health service provision is essential for reablement.  Under-provision and undervaluing of allied health care negatively impacts morbidity, mortality and quality of life</w:t>
      </w:r>
      <w:r w:rsidR="003A30D7">
        <w:rPr>
          <w:rFonts w:ascii="ZWAdobeF" w:hAnsi="ZWAdobeF" w:cs="ZWAdobeF"/>
          <w:color w:val="auto"/>
          <w:sz w:val="2"/>
          <w:szCs w:val="2"/>
        </w:rPr>
        <w:t>237F</w:t>
      </w:r>
      <w:r w:rsidRPr="00136C69">
        <w:rPr>
          <w:vertAlign w:val="superscript"/>
        </w:rPr>
        <w:endnoteReference w:id="239"/>
      </w:r>
      <w:r w:rsidRPr="00136C69">
        <w:t xml:space="preserve">. </w:t>
      </w:r>
      <w:r w:rsidRPr="00314F78">
        <w:t>Due to incidents such as falls, or simply because of the ageing process, older people can experience loss of capacity. Reablement is about preventing such losses where possible. Allied health practitioners provide clinical care with a focus on preventing functional decline, along with early intervention and treatment to support function and quality of life.</w:t>
      </w:r>
    </w:p>
    <w:p w14:paraId="0240DB35" w14:textId="7AC567FB" w:rsidR="005709E5" w:rsidRPr="00136C69" w:rsidRDefault="005709E5" w:rsidP="00314F78">
      <w:r w:rsidRPr="00136C69">
        <w:t>Increased allied health staffing levels are linked with positive outcomes for older people in residential aged care. Examples from international studies include the following positive outcomes associated with increased hours per resident per day of physiotherapy and occupational therapy staffing</w:t>
      </w:r>
      <w:r w:rsidR="003A30D7">
        <w:rPr>
          <w:rFonts w:ascii="ZWAdobeF" w:hAnsi="ZWAdobeF" w:cs="ZWAdobeF"/>
          <w:color w:val="auto"/>
          <w:sz w:val="2"/>
          <w:szCs w:val="2"/>
        </w:rPr>
        <w:t>238F</w:t>
      </w:r>
      <w:r w:rsidRPr="00136C69">
        <w:rPr>
          <w:vertAlign w:val="superscript"/>
        </w:rPr>
        <w:endnoteReference w:id="240"/>
      </w:r>
      <w:r w:rsidRPr="00136C69">
        <w:t>:</w:t>
      </w:r>
    </w:p>
    <w:p w14:paraId="0D262499" w14:textId="77777777" w:rsidR="005709E5" w:rsidRPr="00136C69" w:rsidRDefault="005709E5" w:rsidP="00314F78">
      <w:pPr>
        <w:pStyle w:val="ListBullet"/>
      </w:pPr>
      <w:r w:rsidRPr="00136C69">
        <w:t>improved performance in activities of daily living;</w:t>
      </w:r>
    </w:p>
    <w:p w14:paraId="0B56B8BC" w14:textId="77777777" w:rsidR="005709E5" w:rsidRPr="00136C69" w:rsidRDefault="005709E5" w:rsidP="00314F78">
      <w:pPr>
        <w:pStyle w:val="ListBullet"/>
      </w:pPr>
      <w:r w:rsidRPr="00136C69">
        <w:t xml:space="preserve">decreased frequency of falls; and </w:t>
      </w:r>
    </w:p>
    <w:p w14:paraId="18F9C2C8" w14:textId="77777777" w:rsidR="005709E5" w:rsidRPr="00136C69" w:rsidRDefault="005709E5" w:rsidP="00314F78">
      <w:pPr>
        <w:pStyle w:val="ListBullet"/>
      </w:pPr>
      <w:r w:rsidRPr="00136C69">
        <w:t xml:space="preserve">increased care quality. </w:t>
      </w:r>
    </w:p>
    <w:p w14:paraId="40B2299B" w14:textId="09CEB572" w:rsidR="005709E5" w:rsidRPr="00136C69" w:rsidRDefault="005709E5" w:rsidP="00314F78">
      <w:r w:rsidRPr="00136C69">
        <w:t>Additionally, higher levels of dietitian staffing have also been linked to improved nutritional outcomes, meal satisfaction and quality of life</w:t>
      </w:r>
      <w:r w:rsidR="003A30D7">
        <w:rPr>
          <w:rFonts w:ascii="ZWAdobeF" w:hAnsi="ZWAdobeF" w:cs="ZWAdobeF"/>
          <w:color w:val="auto"/>
          <w:sz w:val="2"/>
          <w:szCs w:val="2"/>
        </w:rPr>
        <w:t>239F</w:t>
      </w:r>
      <w:r w:rsidRPr="00136C69">
        <w:rPr>
          <w:vertAlign w:val="superscript"/>
        </w:rPr>
        <w:endnoteReference w:id="241"/>
      </w:r>
      <w:r w:rsidR="003A30D7">
        <w:rPr>
          <w:rFonts w:ascii="ZWAdobeF" w:hAnsi="ZWAdobeF" w:cs="ZWAdobeF"/>
          <w:color w:val="auto"/>
          <w:sz w:val="2"/>
          <w:szCs w:val="2"/>
        </w:rPr>
        <w:t>240F</w:t>
      </w:r>
      <w:r w:rsidRPr="00136C69">
        <w:rPr>
          <w:vertAlign w:val="superscript"/>
        </w:rPr>
        <w:endnoteReference w:id="242"/>
      </w:r>
      <w:r w:rsidR="003A30D7">
        <w:rPr>
          <w:rFonts w:ascii="ZWAdobeF" w:hAnsi="ZWAdobeF" w:cs="ZWAdobeF"/>
          <w:color w:val="auto"/>
          <w:sz w:val="2"/>
          <w:szCs w:val="2"/>
        </w:rPr>
        <w:t>241F</w:t>
      </w:r>
      <w:r w:rsidRPr="00136C69">
        <w:rPr>
          <w:vertAlign w:val="superscript"/>
        </w:rPr>
        <w:endnoteReference w:id="243"/>
      </w:r>
      <w:r w:rsidRPr="00136C69">
        <w:t xml:space="preserve">. </w:t>
      </w:r>
    </w:p>
    <w:p w14:paraId="0DF3060A" w14:textId="5A1380E6" w:rsidR="005709E5" w:rsidRPr="0059348C" w:rsidRDefault="005709E5" w:rsidP="00314F78">
      <w:r w:rsidRPr="00136C69">
        <w:t>Inappropriately assigning allied health clinical roles and duties to unqualified staff may have negative implications for care quality and safety</w:t>
      </w:r>
      <w:r w:rsidR="003A30D7">
        <w:rPr>
          <w:rFonts w:ascii="ZWAdobeF" w:hAnsi="ZWAdobeF" w:cs="ZWAdobeF"/>
          <w:color w:val="auto"/>
          <w:sz w:val="2"/>
          <w:szCs w:val="2"/>
        </w:rPr>
        <w:t>242F</w:t>
      </w:r>
      <w:r w:rsidRPr="00136C69">
        <w:rPr>
          <w:vertAlign w:val="superscript"/>
        </w:rPr>
        <w:endnoteReference w:id="244"/>
      </w:r>
      <w:r w:rsidRPr="00136C69">
        <w:t xml:space="preserve">. Examples include the replacement of individual care by group sessions, and the inability of a reduced workforce to provide in-depth care, including time for care planning and restorative approaches. Limits on providing high quality care for </w:t>
      </w:r>
      <w:r w:rsidR="007A157F" w:rsidRPr="00136C69">
        <w:t>care recipients</w:t>
      </w:r>
      <w:r w:rsidRPr="00136C69">
        <w:t xml:space="preserve"> also contributes to lower morale of allied health professionals and could compound the decision to stop working in aged care.</w:t>
      </w:r>
    </w:p>
    <w:p w14:paraId="3F3B623C" w14:textId="77777777" w:rsidR="005709E5" w:rsidRPr="00136C69" w:rsidRDefault="005709E5" w:rsidP="00314F78">
      <w:r w:rsidRPr="00136C69">
        <w:t xml:space="preserve">To improve care quality in residential aged care, health systems need to collect data on allied health service provision and identify links to care quality and outcomes for older people. </w:t>
      </w:r>
    </w:p>
    <w:p w14:paraId="3880AC70" w14:textId="0D0F0625" w:rsidR="001E32A4" w:rsidRPr="00136C69" w:rsidRDefault="001E32A4" w:rsidP="0059348C">
      <w:pPr>
        <w:pStyle w:val="Heading2"/>
      </w:pPr>
      <w:bookmarkStart w:id="91" w:name="_Toc181610980"/>
      <w:r w:rsidRPr="00136C69">
        <w:t xml:space="preserve">Adverse clinical events and </w:t>
      </w:r>
      <w:r w:rsidR="00171E3A" w:rsidRPr="00136C69">
        <w:t>insufficie</w:t>
      </w:r>
      <w:r w:rsidR="00AF5A4B" w:rsidRPr="00136C69">
        <w:t>n</w:t>
      </w:r>
      <w:r w:rsidR="00171E3A" w:rsidRPr="00136C69">
        <w:t>t</w:t>
      </w:r>
      <w:r w:rsidRPr="00136C69">
        <w:t xml:space="preserve"> allied health services</w:t>
      </w:r>
      <w:bookmarkEnd w:id="91"/>
    </w:p>
    <w:p w14:paraId="6E11E954" w14:textId="20138203" w:rsidR="00A822D6" w:rsidRPr="00136C69" w:rsidRDefault="00A822D6" w:rsidP="00314F78">
      <w:r w:rsidRPr="00136C69">
        <w:t>The Royal Commission received numerous submissions identifying unmet needs of people living in residential aged care, including nutritional, physical, social, cognitive, and communication needs</w:t>
      </w:r>
      <w:r w:rsidR="003A30D7">
        <w:rPr>
          <w:rFonts w:ascii="ZWAdobeF" w:hAnsi="ZWAdobeF" w:cs="ZWAdobeF"/>
          <w:color w:val="auto"/>
          <w:sz w:val="2"/>
          <w:szCs w:val="2"/>
        </w:rPr>
        <w:t>243F</w:t>
      </w:r>
      <w:r w:rsidRPr="00136C69">
        <w:rPr>
          <w:vertAlign w:val="superscript"/>
        </w:rPr>
        <w:endnoteReference w:id="245"/>
      </w:r>
      <w:r w:rsidRPr="00136C69">
        <w:t>. Only 2% of people were reported to be living in homes that provided the 22 minutes of allied health services per day recommended to the Royal Commission as best practice internationally</w:t>
      </w:r>
      <w:r w:rsidR="003A30D7">
        <w:rPr>
          <w:rFonts w:ascii="ZWAdobeF" w:hAnsi="ZWAdobeF" w:cs="ZWAdobeF"/>
          <w:color w:val="auto"/>
          <w:sz w:val="2"/>
          <w:szCs w:val="2"/>
        </w:rPr>
        <w:t>244F</w:t>
      </w:r>
      <w:r w:rsidRPr="00136C69">
        <w:rPr>
          <w:vertAlign w:val="superscript"/>
        </w:rPr>
        <w:endnoteReference w:id="246"/>
      </w:r>
      <w:r w:rsidRPr="00136C69">
        <w:t xml:space="preserve">. </w:t>
      </w:r>
    </w:p>
    <w:p w14:paraId="40313786" w14:textId="79DDA98E" w:rsidR="00A822D6" w:rsidRPr="00136C69" w:rsidRDefault="00A822D6" w:rsidP="00314F78">
      <w:r w:rsidRPr="00136C69">
        <w:t>Failure to adhere to evidence-based clinical practice can result in unsafe care for people living in residential aged care</w:t>
      </w:r>
      <w:r w:rsidR="003A30D7">
        <w:rPr>
          <w:rFonts w:ascii="ZWAdobeF" w:hAnsi="ZWAdobeF" w:cs="ZWAdobeF"/>
          <w:color w:val="auto"/>
          <w:sz w:val="2"/>
          <w:szCs w:val="2"/>
        </w:rPr>
        <w:t>245F</w:t>
      </w:r>
      <w:r w:rsidRPr="00136C69">
        <w:rPr>
          <w:vertAlign w:val="superscript"/>
        </w:rPr>
        <w:endnoteReference w:id="247"/>
      </w:r>
      <w:r w:rsidRPr="00136C69">
        <w:rPr>
          <w:vertAlign w:val="superscript"/>
        </w:rPr>
        <w:t>.</w:t>
      </w:r>
      <w:r w:rsidRPr="00136C69">
        <w:t xml:space="preserve"> Concerns about how reduced allied health staffing and care provision impact care quality and safety were highlighted in a 202</w:t>
      </w:r>
      <w:r w:rsidR="00A532BC" w:rsidRPr="00136C69">
        <w:t>3</w:t>
      </w:r>
      <w:r w:rsidRPr="00136C69">
        <w:t xml:space="preserve"> survey of allied health professionals</w:t>
      </w:r>
      <w:r w:rsidR="003A30D7">
        <w:rPr>
          <w:rFonts w:ascii="ZWAdobeF" w:hAnsi="ZWAdobeF" w:cs="ZWAdobeF"/>
          <w:color w:val="auto"/>
          <w:sz w:val="2"/>
          <w:szCs w:val="2"/>
        </w:rPr>
        <w:t>246F</w:t>
      </w:r>
      <w:r w:rsidRPr="00136C69">
        <w:rPr>
          <w:vertAlign w:val="superscript"/>
        </w:rPr>
        <w:endnoteReference w:id="248"/>
      </w:r>
      <w:r w:rsidRPr="00136C69">
        <w:t>, including:</w:t>
      </w:r>
    </w:p>
    <w:p w14:paraId="3B2BDAD5" w14:textId="77777777" w:rsidR="00A822D6" w:rsidRPr="00136C69" w:rsidRDefault="00A822D6" w:rsidP="00314F78">
      <w:pPr>
        <w:pStyle w:val="ListBullet"/>
      </w:pPr>
      <w:r w:rsidRPr="00136C69">
        <w:lastRenderedPageBreak/>
        <w:t>lack of involvement of allied health professionals in care planning resulting in less individualised services provided,</w:t>
      </w:r>
    </w:p>
    <w:p w14:paraId="1C76FE57" w14:textId="77777777" w:rsidR="00A822D6" w:rsidRPr="00136C69" w:rsidRDefault="00A822D6" w:rsidP="00314F78">
      <w:pPr>
        <w:pStyle w:val="ListBullet"/>
      </w:pPr>
      <w:r w:rsidRPr="00136C69">
        <w:t>increases in pain and frequency of falls,</w:t>
      </w:r>
    </w:p>
    <w:p w14:paraId="1C0804BB" w14:textId="77777777" w:rsidR="00A822D6" w:rsidRPr="00136C69" w:rsidRDefault="00A822D6" w:rsidP="00314F78">
      <w:pPr>
        <w:pStyle w:val="ListBullet"/>
      </w:pPr>
      <w:r w:rsidRPr="00136C69">
        <w:t>poor outcomes following hospitalisation post-surgery, stroke or falls, and;</w:t>
      </w:r>
    </w:p>
    <w:p w14:paraId="3C4EFF45" w14:textId="77777777" w:rsidR="001E32A4" w:rsidRPr="00136C69" w:rsidRDefault="00A822D6" w:rsidP="00314F78">
      <w:pPr>
        <w:pStyle w:val="ListBullet"/>
      </w:pPr>
      <w:r w:rsidRPr="00136C69">
        <w:t>reduced quality of life and increased loss of function.</w:t>
      </w:r>
    </w:p>
    <w:p w14:paraId="755A37F8" w14:textId="456910B7" w:rsidR="00136C69" w:rsidRPr="00136C69" w:rsidRDefault="00136C69" w:rsidP="00314F78">
      <w:pPr>
        <w:sectPr w:rsidR="00136C69" w:rsidRPr="00136C69" w:rsidSect="001E32A4">
          <w:headerReference w:type="default" r:id="rId321"/>
          <w:endnotePr>
            <w:numFmt w:val="decimal"/>
          </w:endnotePr>
          <w:pgSz w:w="11906" w:h="16838" w:code="9"/>
          <w:pgMar w:top="1871" w:right="1134" w:bottom="1134" w:left="1134" w:header="567" w:footer="567" w:gutter="0"/>
          <w:cols w:space="708"/>
          <w:docGrid w:linePitch="360"/>
        </w:sectPr>
      </w:pPr>
    </w:p>
    <w:p w14:paraId="2122121E" w14:textId="236CE401" w:rsidR="001E32A4" w:rsidRPr="00434184" w:rsidRDefault="001E32A4" w:rsidP="0059348C">
      <w:pPr>
        <w:pStyle w:val="Heading2"/>
      </w:pPr>
      <w:bookmarkStart w:id="92" w:name="_Toc181610986"/>
      <w:r w:rsidRPr="00434184">
        <w:lastRenderedPageBreak/>
        <w:t>Management of allied health staffing</w:t>
      </w:r>
      <w:bookmarkEnd w:id="92"/>
    </w:p>
    <w:p w14:paraId="331DC777" w14:textId="0BC48A15" w:rsidR="001E32A4" w:rsidRPr="00136C69" w:rsidRDefault="001E32A4" w:rsidP="00314F78">
      <w:pPr>
        <w:pStyle w:val="Caption"/>
      </w:pPr>
      <w:r w:rsidRPr="00136C69">
        <w:t>FIGURE 57: ALLIED HEALTH STAFF</w:t>
      </w:r>
      <w:r w:rsidR="003A30D7">
        <w:rPr>
          <w:rFonts w:ascii="ZWAdobeF" w:hAnsi="ZWAdobeF" w:cs="ZWAdobeF"/>
          <w:b w:val="0"/>
          <w:color w:val="auto"/>
          <w:sz w:val="2"/>
          <w:szCs w:val="2"/>
        </w:rPr>
        <w:t>247F</w:t>
      </w:r>
      <w:r w:rsidRPr="00454D17">
        <w:rPr>
          <w:rStyle w:val="EndnoteReference"/>
        </w:rPr>
        <w:endnoteReference w:id="249"/>
      </w:r>
      <w:r w:rsidR="00300095" w:rsidRPr="00454D17">
        <w:rPr>
          <w:rStyle w:val="EndnoteReference"/>
        </w:rPr>
        <w:t xml:space="preserve"> </w:t>
      </w:r>
      <w:r w:rsidR="008F5856" w:rsidRPr="00454D17">
        <w:rPr>
          <w:rStyle w:val="EndnoteReference"/>
        </w:rPr>
        <w:t>,</w:t>
      </w:r>
      <w:r w:rsidR="003A30D7">
        <w:rPr>
          <w:rFonts w:ascii="ZWAdobeF" w:hAnsi="ZWAdobeF" w:cs="ZWAdobeF"/>
          <w:b w:val="0"/>
          <w:color w:val="auto"/>
          <w:sz w:val="2"/>
          <w:szCs w:val="2"/>
        </w:rPr>
        <w:t>248F</w:t>
      </w:r>
      <w:r w:rsidRPr="00454D17">
        <w:rPr>
          <w:rStyle w:val="EndnoteReference"/>
        </w:rPr>
        <w:endnoteReference w:id="250"/>
      </w:r>
      <w:r w:rsidR="00300095" w:rsidRPr="00454D17">
        <w:rPr>
          <w:rStyle w:val="EndnoteReference"/>
        </w:rPr>
        <w:t xml:space="preserve"> </w:t>
      </w:r>
      <w:r w:rsidR="003A30D7">
        <w:rPr>
          <w:rFonts w:ascii="ZWAdobeF" w:hAnsi="ZWAdobeF" w:cs="ZWAdobeF"/>
          <w:b w:val="0"/>
          <w:color w:val="auto"/>
          <w:sz w:val="2"/>
          <w:szCs w:val="2"/>
        </w:rPr>
        <w:t>249F</w:t>
      </w:r>
      <w:r w:rsidRPr="00454D17">
        <w:rPr>
          <w:rStyle w:val="EndnoteReference"/>
        </w:rPr>
        <w:endnoteReference w:id="251"/>
      </w:r>
    </w:p>
    <w:p w14:paraId="1879ED69" w14:textId="30200408" w:rsidR="001E32A4" w:rsidRDefault="00F37FCF" w:rsidP="00314F78">
      <w:r>
        <w:rPr>
          <w:noProof/>
        </w:rPr>
        <w:drawing>
          <wp:inline distT="0" distB="0" distL="0" distR="0" wp14:anchorId="10CB8A93" wp14:editId="7ECF0F42">
            <wp:extent cx="7975600" cy="4806232"/>
            <wp:effectExtent l="0" t="0" r="6350" b="0"/>
            <wp:docPr id="2014795278" name="Picture 1" descr="P14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95278" name="Picture 1" descr="P1463#yIS1"/>
                    <pic:cNvPicPr/>
                  </pic:nvPicPr>
                  <pic:blipFill>
                    <a:blip r:embed="rId322"/>
                    <a:stretch>
                      <a:fillRect/>
                    </a:stretch>
                  </pic:blipFill>
                  <pic:spPr>
                    <a:xfrm>
                      <a:off x="0" y="0"/>
                      <a:ext cx="8022846" cy="4834703"/>
                    </a:xfrm>
                    <a:prstGeom prst="rect">
                      <a:avLst/>
                    </a:prstGeom>
                  </pic:spPr>
                </pic:pic>
              </a:graphicData>
            </a:graphic>
          </wp:inline>
        </w:drawing>
      </w:r>
    </w:p>
    <w:p w14:paraId="3C2B477C" w14:textId="77777777" w:rsidR="001E32A4" w:rsidRPr="00CF7B47" w:rsidRDefault="001E32A4" w:rsidP="00314F78">
      <w:pPr>
        <w:sectPr w:rsidR="001E32A4" w:rsidRPr="00CF7B47" w:rsidSect="001E32A4">
          <w:endnotePr>
            <w:numFmt w:val="decimal"/>
          </w:endnotePr>
          <w:type w:val="continuous"/>
          <w:pgSz w:w="16838" w:h="11906" w:orient="landscape" w:code="9"/>
          <w:pgMar w:top="1134" w:right="1871" w:bottom="1134" w:left="1134" w:header="567" w:footer="567" w:gutter="0"/>
          <w:cols w:space="708"/>
          <w:docGrid w:linePitch="360"/>
        </w:sectPr>
      </w:pPr>
    </w:p>
    <w:p w14:paraId="4A988808" w14:textId="293F1DF0" w:rsidR="001E32A4" w:rsidRPr="00136C69" w:rsidRDefault="001E32A4" w:rsidP="0059348C">
      <w:pPr>
        <w:pStyle w:val="Heading2"/>
      </w:pPr>
      <w:bookmarkStart w:id="93" w:name="_Toc181610987"/>
      <w:r w:rsidRPr="00136C69">
        <w:lastRenderedPageBreak/>
        <w:t>Quality improvement for allied health</w:t>
      </w:r>
      <w:bookmarkEnd w:id="93"/>
    </w:p>
    <w:p w14:paraId="2FFA615A" w14:textId="77777777" w:rsidR="00517178" w:rsidRPr="00136C69" w:rsidRDefault="00517178" w:rsidP="00314F78">
      <w:bookmarkStart w:id="94" w:name="_Hlk181108580"/>
      <w:r w:rsidRPr="00136C69">
        <w:t>Quality improvement can help services provide optimal allied health services and improve continuity of care. Quality improvement activities should be ongoing and part of business-as-usual for approved providers.</w:t>
      </w:r>
    </w:p>
    <w:p w14:paraId="33757497" w14:textId="77777777" w:rsidR="00517178" w:rsidRPr="00136C69" w:rsidRDefault="00517178" w:rsidP="00314F78">
      <w:r w:rsidRPr="00136C69">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3C0695DB" w14:textId="366682A0" w:rsidR="00517178" w:rsidRPr="00136C69" w:rsidRDefault="00517178" w:rsidP="00314F78">
      <w:r w:rsidRPr="00136C69">
        <w:t xml:space="preserve">The </w:t>
      </w:r>
      <w:r w:rsidRPr="00136C69">
        <w:rPr>
          <w:rStyle w:val="Strong"/>
        </w:rPr>
        <w:t>Plan-Do-Check-Act tool</w:t>
      </w:r>
      <w:r w:rsidRPr="00136C69">
        <w:t xml:space="preserve"> (</w:t>
      </w:r>
      <w:r w:rsidR="00C96495" w:rsidRPr="00136C69">
        <w:t>section 2.3</w:t>
      </w:r>
      <w:r w:rsidRPr="00136C69">
        <w:t>) is a useful tool to plan, deliver and monitor quality improvement activities focused on workforce.</w:t>
      </w:r>
    </w:p>
    <w:p w14:paraId="7A5D89BB" w14:textId="0CCB9F5F" w:rsidR="00136C69" w:rsidRPr="00136C69" w:rsidRDefault="001E32A4" w:rsidP="0059348C">
      <w:pPr>
        <w:pStyle w:val="Heading2"/>
      </w:pPr>
      <w:bookmarkStart w:id="95" w:name="_Toc181610988"/>
      <w:bookmarkEnd w:id="94"/>
      <w:r w:rsidRPr="00136C69">
        <w:t>Example tools, guidance and resources to support continuous quality improvement</w:t>
      </w:r>
      <w:bookmarkEnd w:id="95"/>
    </w:p>
    <w:p w14:paraId="26D4302F" w14:textId="4B223524" w:rsidR="001E32A4" w:rsidRPr="00136C69" w:rsidRDefault="001E32A4" w:rsidP="00314F78">
      <w:pPr>
        <w:pStyle w:val="ListBullet"/>
      </w:pPr>
      <w:hyperlink r:id="rId323" w:history="1">
        <w:r w:rsidRPr="00136C69">
          <w:rPr>
            <w:rStyle w:val="Hyperlink"/>
          </w:rPr>
          <w:t>Allied health professions - Allied Health Professions Australia</w:t>
        </w:r>
      </w:hyperlink>
      <w:r w:rsidRPr="00136C69">
        <w:t xml:space="preserve"> – information about allied health professions and what they do.</w:t>
      </w:r>
    </w:p>
    <w:p w14:paraId="35493F56" w14:textId="3D186550" w:rsidR="001E32A4" w:rsidRPr="00136C69" w:rsidRDefault="001E32A4" w:rsidP="00314F78">
      <w:pPr>
        <w:pStyle w:val="ListBullet"/>
      </w:pPr>
      <w:hyperlink r:id="rId324">
        <w:r w:rsidRPr="00136C69">
          <w:rPr>
            <w:rStyle w:val="Hyperlink"/>
          </w:rPr>
          <w:t>Enabling Clinical Education Skills - ClinEdAus</w:t>
        </w:r>
      </w:hyperlink>
      <w:r w:rsidRPr="00136C69">
        <w:t xml:space="preserve"> </w:t>
      </w:r>
      <w:r w:rsidR="00FF65BB" w:rsidRPr="00136C69">
        <w:t>–</w:t>
      </w:r>
      <w:r w:rsidRPr="00136C69">
        <w:t xml:space="preserve"> resources to support high quality clinical placement experiences for allied health students and supervisors through the provision of open access, contemporary, evidence-based clinical education resources.</w:t>
      </w:r>
    </w:p>
    <w:p w14:paraId="560F8BED" w14:textId="77777777" w:rsidR="001E32A4" w:rsidRPr="00136C69" w:rsidRDefault="001E32A4" w:rsidP="00314F78">
      <w:pPr>
        <w:pStyle w:val="ListBullet"/>
      </w:pPr>
      <w:hyperlink r:id="rId325" w:history="1">
        <w:r w:rsidRPr="00136C69">
          <w:rPr>
            <w:rStyle w:val="Hyperlink"/>
          </w:rPr>
          <w:t>Australian Health Practitioner Regulation Agency - About registration</w:t>
        </w:r>
      </w:hyperlink>
      <w:r w:rsidRPr="00136C69">
        <w:t xml:space="preserve"> – Includes information about registration for health professionals, including allied health practitioners.</w:t>
      </w:r>
    </w:p>
    <w:p w14:paraId="2D77DA17" w14:textId="6BF37877" w:rsidR="001E32A4" w:rsidRPr="00136C69" w:rsidRDefault="001E32A4" w:rsidP="00314F78">
      <w:pPr>
        <w:pStyle w:val="ListBullet"/>
      </w:pPr>
      <w:hyperlink r:id="rId326" w:history="1">
        <w:r w:rsidRPr="00136C69">
          <w:rPr>
            <w:rStyle w:val="Hyperlink"/>
          </w:rPr>
          <w:t>National Alliance of Self Regulating Health Professions (NASRHP)</w:t>
        </w:r>
      </w:hyperlink>
      <w:r w:rsidRPr="00136C69">
        <w:t xml:space="preserve"> </w:t>
      </w:r>
      <w:r w:rsidR="00FF65BB" w:rsidRPr="00136C69">
        <w:t xml:space="preserve">– </w:t>
      </w:r>
      <w:r w:rsidRPr="00136C69">
        <w:t xml:space="preserve">supports member organisations of self-regulating health professions (over 60% of allied health professions are </w:t>
      </w:r>
      <w:r w:rsidR="00F54063" w:rsidRPr="00136C69">
        <w:t>self-regulating</w:t>
      </w:r>
      <w:r w:rsidRPr="00136C69">
        <w:t>).</w:t>
      </w:r>
    </w:p>
    <w:p w14:paraId="69F679C6" w14:textId="7661553A" w:rsidR="001E32A4" w:rsidRPr="00136C69" w:rsidRDefault="001E32A4" w:rsidP="00314F78">
      <w:pPr>
        <w:pStyle w:val="ListBullet"/>
      </w:pPr>
      <w:hyperlink r:id="rId327" w:history="1">
        <w:r w:rsidRPr="00136C69">
          <w:rPr>
            <w:rStyle w:val="Hyperlink"/>
          </w:rPr>
          <w:t>Who can provide allied health care | Australian Government Department of Health and Aged Care</w:t>
        </w:r>
      </w:hyperlink>
      <w:r w:rsidRPr="00136C69">
        <w:t xml:space="preserve"> </w:t>
      </w:r>
      <w:r w:rsidR="00FF65BB" w:rsidRPr="00136C69">
        <w:t xml:space="preserve">– </w:t>
      </w:r>
      <w:r w:rsidRPr="00136C69">
        <w:t>information about regulation of allied health care, the professional organisations involved and allied health in each state and territory.</w:t>
      </w:r>
    </w:p>
    <w:p w14:paraId="2FAA7D78" w14:textId="0F0F96C6" w:rsidR="001E32A4" w:rsidRPr="00136C69" w:rsidRDefault="001E32A4" w:rsidP="00314F78">
      <w:pPr>
        <w:pStyle w:val="ListBullet"/>
      </w:pPr>
      <w:hyperlink r:id="rId328" w:history="1">
        <w:r w:rsidRPr="00136C69">
          <w:rPr>
            <w:rStyle w:val="Hyperlink"/>
          </w:rPr>
          <w:t>Aged Care - Allied Health Professions Australia</w:t>
        </w:r>
      </w:hyperlink>
      <w:r w:rsidRPr="00136C69">
        <w:t xml:space="preserve"> – includes an overview of how allied health professionals can help improve the health and wellbeing of older people living in residential aged care.</w:t>
      </w:r>
    </w:p>
    <w:p w14:paraId="1334469E" w14:textId="77777777" w:rsidR="001E32A4" w:rsidRPr="00AD045C" w:rsidRDefault="001E32A4" w:rsidP="00314F78"/>
    <w:p w14:paraId="5785D0BF" w14:textId="77777777" w:rsidR="001E32A4" w:rsidRDefault="001E32A4" w:rsidP="0059348C">
      <w:pPr>
        <w:pStyle w:val="Heading1"/>
        <w:sectPr w:rsidR="001E32A4" w:rsidSect="001E32A4">
          <w:endnotePr>
            <w:numFmt w:val="decimal"/>
          </w:endnotePr>
          <w:pgSz w:w="11906" w:h="16838" w:code="9"/>
          <w:pgMar w:top="1871" w:right="1134" w:bottom="1134" w:left="1134" w:header="567" w:footer="567" w:gutter="0"/>
          <w:cols w:space="708"/>
          <w:docGrid w:linePitch="360"/>
        </w:sectPr>
      </w:pPr>
    </w:p>
    <w:p w14:paraId="0B019B5D" w14:textId="5CBE4607" w:rsidR="00136C69" w:rsidRDefault="001E32A4" w:rsidP="0059348C">
      <w:pPr>
        <w:pStyle w:val="Heading1"/>
      </w:pPr>
      <w:bookmarkStart w:id="96" w:name="_Toc181610989"/>
      <w:bookmarkStart w:id="97" w:name="_Toc193889903"/>
      <w:r w:rsidRPr="00136C69">
        <w:lastRenderedPageBreak/>
        <w:t>Lifestyle Officer</w:t>
      </w:r>
      <w:bookmarkStart w:id="98" w:name="_Toc181610990"/>
      <w:bookmarkEnd w:id="96"/>
      <w:bookmarkEnd w:id="97"/>
    </w:p>
    <w:p w14:paraId="559FB204" w14:textId="4BB31A26" w:rsidR="001E32A4" w:rsidRPr="0059348C" w:rsidRDefault="001E32A4" w:rsidP="0059348C">
      <w:pPr>
        <w:pStyle w:val="Heading2"/>
      </w:pPr>
      <w:r w:rsidRPr="00D15A0A">
        <w:t>Overview of lifestyle services</w:t>
      </w:r>
      <w:bookmarkEnd w:id="98"/>
    </w:p>
    <w:p w14:paraId="7C1093E3" w14:textId="04A9957A" w:rsidR="00D45DC6" w:rsidRPr="00136C69" w:rsidRDefault="00D45DC6" w:rsidP="00314F78">
      <w:bookmarkStart w:id="99" w:name="_Hlk193450999"/>
      <w:r w:rsidRPr="00136C69">
        <w:t xml:space="preserve">Figure </w:t>
      </w:r>
      <w:r w:rsidR="00E55788" w:rsidRPr="00136C69">
        <w:t>58</w:t>
      </w:r>
      <w:r w:rsidRPr="00136C69">
        <w:t xml:space="preserve"> below provides an overview of </w:t>
      </w:r>
      <w:r w:rsidR="00E55788" w:rsidRPr="00136C69">
        <w:t>lifestyle</w:t>
      </w:r>
      <w:r w:rsidRPr="00136C69">
        <w:t xml:space="preserve"> in residential aged care. The data and references have been reviewed March 2025.</w:t>
      </w:r>
    </w:p>
    <w:bookmarkEnd w:id="99"/>
    <w:p w14:paraId="6A7D1B0B" w14:textId="3FA70F23" w:rsidR="001E32A4" w:rsidRPr="00136C69" w:rsidRDefault="001E32A4" w:rsidP="00314F78">
      <w:pPr>
        <w:pStyle w:val="Caption"/>
      </w:pPr>
      <w:r w:rsidRPr="00136C69">
        <w:t>FIGURE 58: LIFESTYLE OFFICER SERVICES IN RESIDENTIAL AGED CARE</w:t>
      </w:r>
      <w:r w:rsidR="003A30D7">
        <w:rPr>
          <w:rFonts w:ascii="ZWAdobeF" w:hAnsi="ZWAdobeF" w:cs="ZWAdobeF"/>
          <w:b w:val="0"/>
          <w:color w:val="auto"/>
          <w:sz w:val="2"/>
          <w:szCs w:val="2"/>
        </w:rPr>
        <w:t>250F</w:t>
      </w:r>
      <w:r w:rsidRPr="00454D17">
        <w:rPr>
          <w:rStyle w:val="EndnoteReference"/>
        </w:rPr>
        <w:endnoteReference w:id="252"/>
      </w:r>
      <w:r w:rsidR="00300095" w:rsidRPr="00454D17">
        <w:rPr>
          <w:rStyle w:val="EndnoteReference"/>
        </w:rPr>
        <w:t xml:space="preserve"> </w:t>
      </w:r>
      <w:r w:rsidR="003A30D7">
        <w:rPr>
          <w:rFonts w:ascii="ZWAdobeF" w:hAnsi="ZWAdobeF" w:cs="ZWAdobeF"/>
          <w:b w:val="0"/>
          <w:color w:val="auto"/>
          <w:sz w:val="2"/>
          <w:szCs w:val="2"/>
        </w:rPr>
        <w:t>251F</w:t>
      </w:r>
      <w:r w:rsidRPr="00454D17">
        <w:rPr>
          <w:rStyle w:val="EndnoteReference"/>
        </w:rPr>
        <w:endnoteReference w:id="253"/>
      </w:r>
      <w:r w:rsidR="00300095" w:rsidRPr="00454D17">
        <w:rPr>
          <w:rStyle w:val="EndnoteReference"/>
        </w:rPr>
        <w:t xml:space="preserve"> </w:t>
      </w:r>
      <w:r w:rsidR="003A30D7">
        <w:rPr>
          <w:rFonts w:ascii="ZWAdobeF" w:hAnsi="ZWAdobeF" w:cs="ZWAdobeF"/>
          <w:b w:val="0"/>
          <w:color w:val="auto"/>
          <w:sz w:val="2"/>
          <w:szCs w:val="2"/>
        </w:rPr>
        <w:t>252F</w:t>
      </w:r>
      <w:r w:rsidRPr="00454D17">
        <w:rPr>
          <w:rStyle w:val="EndnoteReference"/>
        </w:rPr>
        <w:endnoteReference w:id="254"/>
      </w:r>
    </w:p>
    <w:p w14:paraId="3665830B" w14:textId="4A488607" w:rsidR="001E32A4" w:rsidRPr="00314F78" w:rsidRDefault="00F37FCF" w:rsidP="00314F78">
      <w:r>
        <w:rPr>
          <w:noProof/>
        </w:rPr>
        <w:drawing>
          <wp:inline distT="0" distB="0" distL="0" distR="0" wp14:anchorId="40A7A4C0" wp14:editId="468CF67B">
            <wp:extent cx="6120130" cy="4533265"/>
            <wp:effectExtent l="0" t="0" r="0" b="635"/>
            <wp:docPr id="2082684624" name="Picture 1" descr="P1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84624" name="Picture 1" descr="P1482#yIS1"/>
                    <pic:cNvPicPr/>
                  </pic:nvPicPr>
                  <pic:blipFill>
                    <a:blip r:embed="rId329"/>
                    <a:stretch>
                      <a:fillRect/>
                    </a:stretch>
                  </pic:blipFill>
                  <pic:spPr>
                    <a:xfrm>
                      <a:off x="0" y="0"/>
                      <a:ext cx="6120130" cy="4533265"/>
                    </a:xfrm>
                    <a:prstGeom prst="rect">
                      <a:avLst/>
                    </a:prstGeom>
                  </pic:spPr>
                </pic:pic>
              </a:graphicData>
            </a:graphic>
          </wp:inline>
        </w:drawing>
      </w:r>
    </w:p>
    <w:p w14:paraId="6F60FFFB" w14:textId="4FB15390" w:rsidR="001E32A4" w:rsidRPr="00136C69" w:rsidRDefault="001E32A4" w:rsidP="0059348C">
      <w:pPr>
        <w:pStyle w:val="Heading2"/>
      </w:pPr>
      <w:bookmarkStart w:id="100" w:name="_Hlk181101451"/>
      <w:bookmarkStart w:id="101" w:name="_Toc181610991"/>
      <w:r w:rsidRPr="00136C69">
        <w:t>Lifestyle officers and recreational therapy in residential aged care</w:t>
      </w:r>
      <w:bookmarkEnd w:id="100"/>
      <w:bookmarkEnd w:id="101"/>
    </w:p>
    <w:p w14:paraId="774928DB" w14:textId="77777777" w:rsidR="001E32A4" w:rsidRPr="00FC7680" w:rsidRDefault="001E32A4" w:rsidP="00314F78">
      <w:r w:rsidRPr="00FC7680">
        <w:t>Lifestyle officers, or recreational therapy practitioners, work with people of all ages and abilities to design and facilitate leisure and recreation programs. Activities are designed to support, challenge and enhance individuals' psychological, spiritual, social, emotional and physical wellbeing. Lifestyle and leisure, or recreational therapy, in residential aged care recognises the right of all individuals to access and engage in leisure and recreational experiences of their choosing.</w:t>
      </w:r>
    </w:p>
    <w:p w14:paraId="4CB15052" w14:textId="5519C529" w:rsidR="001E32A4" w:rsidRPr="00FC7680" w:rsidRDefault="001E32A4" w:rsidP="00314F78">
      <w:r w:rsidRPr="00FC7680">
        <w:t xml:space="preserve">The lifestyle officer quality indicator measures lifestyle officer care minutes per resident per day, using the labour hours data of diversional/lifestyle/recreation/activities staff submitted through the </w:t>
      </w:r>
      <w:r w:rsidRPr="00FC7680">
        <w:lastRenderedPageBreak/>
        <w:t>Quarterly Financial Report (QFR). Details of the collection and reporting requirements for the lifestyle officer quality indicator can be found in Part A. </w:t>
      </w:r>
    </w:p>
    <w:p w14:paraId="6AD8559F" w14:textId="41703440" w:rsidR="001E32A4" w:rsidRPr="00136C69" w:rsidRDefault="001E32A4" w:rsidP="0059348C">
      <w:pPr>
        <w:pStyle w:val="Heading2"/>
      </w:pPr>
      <w:bookmarkStart w:id="102" w:name="_Toc181610993"/>
      <w:r w:rsidRPr="00136C69">
        <w:t>Benefits of lifestyle and recreational therapy services in aged care</w:t>
      </w:r>
      <w:bookmarkEnd w:id="102"/>
    </w:p>
    <w:p w14:paraId="0859AB74" w14:textId="1E329E69" w:rsidR="001E32A4" w:rsidRPr="00A44A92" w:rsidRDefault="001E32A4" w:rsidP="00314F78">
      <w:r w:rsidRPr="00A44A92">
        <w:t xml:space="preserve">Australian data indicates that aged care </w:t>
      </w:r>
      <w:r w:rsidR="007A157F" w:rsidRPr="00A44A92">
        <w:t>recipients</w:t>
      </w:r>
      <w:r w:rsidRPr="00A44A92">
        <w:t xml:space="preserve"> spend a large part of daytime hours sitting alone in their rooms, often engaging in limited social interactions and little activity</w:t>
      </w:r>
      <w:r w:rsidR="003A30D7">
        <w:rPr>
          <w:rFonts w:ascii="ZWAdobeF" w:hAnsi="ZWAdobeF" w:cs="ZWAdobeF"/>
          <w:color w:val="auto"/>
          <w:sz w:val="2"/>
          <w:szCs w:val="2"/>
        </w:rPr>
        <w:t>253F</w:t>
      </w:r>
      <w:r w:rsidRPr="00A44A92">
        <w:rPr>
          <w:vertAlign w:val="superscript"/>
        </w:rPr>
        <w:endnoteReference w:id="255"/>
      </w:r>
      <w:r w:rsidRPr="00A44A92">
        <w:t>. In a 2022 survey</w:t>
      </w:r>
      <w:r w:rsidR="003A30D7">
        <w:rPr>
          <w:rFonts w:ascii="ZWAdobeF" w:hAnsi="ZWAdobeF" w:cs="ZWAdobeF"/>
          <w:color w:val="auto"/>
          <w:sz w:val="2"/>
          <w:szCs w:val="2"/>
        </w:rPr>
        <w:t>254F</w:t>
      </w:r>
      <w:r w:rsidRPr="00A44A92">
        <w:rPr>
          <w:vertAlign w:val="superscript"/>
        </w:rPr>
        <w:endnoteReference w:id="256"/>
      </w:r>
      <w:r w:rsidRPr="00A44A92">
        <w:t>, the aged care workforce nominated ‘meaningful lifestyle activities’ as a priority concern for the sector. Evidence on the benefits of meaningful lifestyle activities in aged care exists for specific interventions. Meaningful lifestyle activities may be ones that older people:</w:t>
      </w:r>
    </w:p>
    <w:p w14:paraId="731329D3" w14:textId="77777777" w:rsidR="001E32A4" w:rsidRPr="00A44A92" w:rsidRDefault="001E32A4" w:rsidP="00314F78">
      <w:pPr>
        <w:pStyle w:val="ListBullet"/>
      </w:pPr>
      <w:r w:rsidRPr="00A44A92">
        <w:t>are familiar with,</w:t>
      </w:r>
    </w:p>
    <w:p w14:paraId="413875B2" w14:textId="77777777" w:rsidR="001E32A4" w:rsidRPr="00A44A92" w:rsidRDefault="001E32A4" w:rsidP="00314F78">
      <w:pPr>
        <w:pStyle w:val="ListBullet"/>
      </w:pPr>
      <w:r w:rsidRPr="00A44A92">
        <w:t>have participated in previously, and;</w:t>
      </w:r>
    </w:p>
    <w:p w14:paraId="2E07F2D3" w14:textId="77777777" w:rsidR="001E32A4" w:rsidRPr="00A44A92" w:rsidRDefault="001E32A4" w:rsidP="00314F78">
      <w:pPr>
        <w:pStyle w:val="ListBullet"/>
      </w:pPr>
      <w:r w:rsidRPr="00A44A92">
        <w:t>align with their personal preferences and identity.</w:t>
      </w:r>
    </w:p>
    <w:p w14:paraId="01FB553C" w14:textId="16F3EFA0" w:rsidR="001E32A4" w:rsidRPr="00A44A92" w:rsidRDefault="001E32A4" w:rsidP="00314F78">
      <w:r w:rsidRPr="00A44A92">
        <w:t>Lifestyle and recreational therapy programs may offer resident benefits in terms of improving mobility and depression, and provide more benefit when individualised to specific interests and physical and cognitive abilities. Providing meaningful or individualized activities for people with dementia living in residential aged care may improve behavioural issues associated with dementia and enhance quality of life</w:t>
      </w:r>
      <w:r w:rsidR="003A30D7">
        <w:rPr>
          <w:rFonts w:ascii="ZWAdobeF" w:hAnsi="ZWAdobeF" w:cs="ZWAdobeF"/>
          <w:color w:val="auto"/>
          <w:sz w:val="2"/>
          <w:szCs w:val="2"/>
        </w:rPr>
        <w:t>255F</w:t>
      </w:r>
      <w:r w:rsidRPr="00A44A92">
        <w:rPr>
          <w:vertAlign w:val="superscript"/>
        </w:rPr>
        <w:endnoteReference w:id="257"/>
      </w:r>
      <w:r w:rsidRPr="00A44A92">
        <w:t xml:space="preserve">. </w:t>
      </w:r>
    </w:p>
    <w:p w14:paraId="22018457" w14:textId="273C798F" w:rsidR="001E32A4" w:rsidRPr="00A44A92" w:rsidRDefault="001E32A4" w:rsidP="00314F78">
      <w:r w:rsidRPr="00A44A92">
        <w:t>Enablers to leisure provision in residential aged care include</w:t>
      </w:r>
      <w:r w:rsidR="003A30D7">
        <w:rPr>
          <w:rFonts w:ascii="ZWAdobeF" w:hAnsi="ZWAdobeF" w:cs="ZWAdobeF"/>
          <w:color w:val="auto"/>
          <w:sz w:val="2"/>
          <w:szCs w:val="2"/>
        </w:rPr>
        <w:t>256F</w:t>
      </w:r>
      <w:r w:rsidRPr="00A44A92">
        <w:rPr>
          <w:vertAlign w:val="superscript"/>
        </w:rPr>
        <w:endnoteReference w:id="258"/>
      </w:r>
      <w:r w:rsidRPr="00A44A92">
        <w:t>:</w:t>
      </w:r>
    </w:p>
    <w:p w14:paraId="2F3EB129" w14:textId="77777777" w:rsidR="001E32A4" w:rsidRPr="00A44A92" w:rsidRDefault="001E32A4" w:rsidP="00314F78">
      <w:pPr>
        <w:pStyle w:val="ListBullet"/>
      </w:pPr>
      <w:r w:rsidRPr="00A44A92">
        <w:t>managerial support,</w:t>
      </w:r>
    </w:p>
    <w:p w14:paraId="131F3B2D" w14:textId="77777777" w:rsidR="001E32A4" w:rsidRPr="00A44A92" w:rsidRDefault="001E32A4" w:rsidP="00314F78">
      <w:pPr>
        <w:pStyle w:val="ListBullet"/>
      </w:pPr>
      <w:r w:rsidRPr="00A44A92">
        <w:t>availability of staff with dedicated time for lifestyle/leisure activities,</w:t>
      </w:r>
    </w:p>
    <w:p w14:paraId="302DF98D" w14:textId="77777777" w:rsidR="001E32A4" w:rsidRPr="00A44A92" w:rsidRDefault="001E32A4" w:rsidP="00314F78">
      <w:pPr>
        <w:pStyle w:val="ListBullet"/>
      </w:pPr>
      <w:r w:rsidRPr="00A44A92">
        <w:t>ability of staff to identify opportunities to implement person-centred leisure activities, and;</w:t>
      </w:r>
    </w:p>
    <w:p w14:paraId="6ECB65A5" w14:textId="79E3346F" w:rsidR="001E32A4" w:rsidRPr="00A44A92" w:rsidRDefault="001E32A4" w:rsidP="00314F78">
      <w:pPr>
        <w:pStyle w:val="ListBullet"/>
      </w:pPr>
      <w:r w:rsidRPr="00A44A92">
        <w:t xml:space="preserve">staff having a good understanding of </w:t>
      </w:r>
      <w:r w:rsidR="00201ABC" w:rsidRPr="00A44A92">
        <w:t>care recipients</w:t>
      </w:r>
      <w:r w:rsidRPr="00A44A92">
        <w:t>’ individual needs and preferences.</w:t>
      </w:r>
    </w:p>
    <w:p w14:paraId="0C075977" w14:textId="77777777" w:rsidR="001E32A4" w:rsidRPr="00A44A92" w:rsidRDefault="001E32A4" w:rsidP="00314F78">
      <w:r w:rsidRPr="00A44A92">
        <w:t>Barriers to leisure provision in residential aged care include:</w:t>
      </w:r>
    </w:p>
    <w:p w14:paraId="10FFDAB6" w14:textId="77777777" w:rsidR="001E32A4" w:rsidRPr="00A44A92" w:rsidRDefault="001E32A4" w:rsidP="00314F78">
      <w:pPr>
        <w:pStyle w:val="ListBullet"/>
      </w:pPr>
      <w:r w:rsidRPr="00A44A92">
        <w:t>lack of appropriate staff,</w:t>
      </w:r>
    </w:p>
    <w:p w14:paraId="42763F99" w14:textId="77777777" w:rsidR="001E32A4" w:rsidRPr="00A44A92" w:rsidRDefault="001E32A4" w:rsidP="00314F78">
      <w:pPr>
        <w:pStyle w:val="ListBullet"/>
      </w:pPr>
      <w:r w:rsidRPr="00A44A92">
        <w:t>competing role demands, and;</w:t>
      </w:r>
    </w:p>
    <w:p w14:paraId="4D72B55C" w14:textId="77777777" w:rsidR="001E32A4" w:rsidRPr="00A44A92" w:rsidRDefault="001E32A4" w:rsidP="00314F78">
      <w:pPr>
        <w:pStyle w:val="ListBullet"/>
      </w:pPr>
      <w:r w:rsidRPr="00A44A92">
        <w:t>prioritisation of clinical over physical and social aspects of care.</w:t>
      </w:r>
    </w:p>
    <w:p w14:paraId="736A7BB4" w14:textId="19006C0D" w:rsidR="001E32A4" w:rsidRPr="00A44A92" w:rsidRDefault="001E32A4" w:rsidP="00314F78">
      <w:r w:rsidRPr="00A44A92">
        <w:t xml:space="preserve">Additionally, significant cognitive impairment is often considered a barrier to leisure participation, and </w:t>
      </w:r>
      <w:r w:rsidR="00201ABC" w:rsidRPr="00A44A92">
        <w:t>care recipients</w:t>
      </w:r>
      <w:r w:rsidRPr="00A44A92">
        <w:t xml:space="preserve"> requiring significant physical assistance to join activities are more likely to miss out.</w:t>
      </w:r>
      <w:bookmarkStart w:id="103" w:name="_Toc181610994"/>
      <w:bookmarkStart w:id="104" w:name="_Toc181285507"/>
    </w:p>
    <w:p w14:paraId="5718AD50" w14:textId="561031C6" w:rsidR="001E32A4" w:rsidRPr="00314F78" w:rsidRDefault="001E32A4" w:rsidP="00314F78">
      <w:r w:rsidRPr="00A44A92">
        <w:t>Where competing work demands are a barrier, facilitating leisure in a more informal way may create opportunities for more person-centred approaches. This requires staff to adopt a broad understanding of what activities may be considered leisure, in consideration of individual preferences</w:t>
      </w:r>
      <w:bookmarkEnd w:id="103"/>
      <w:r w:rsidR="003A30D7">
        <w:rPr>
          <w:rFonts w:ascii="ZWAdobeF" w:hAnsi="ZWAdobeF" w:cs="ZWAdobeF"/>
          <w:color w:val="auto"/>
          <w:sz w:val="2"/>
          <w:szCs w:val="2"/>
        </w:rPr>
        <w:t>257F</w:t>
      </w:r>
      <w:r w:rsidRPr="00A44A92">
        <w:rPr>
          <w:vertAlign w:val="superscript"/>
        </w:rPr>
        <w:endnoteReference w:id="259"/>
      </w:r>
      <w:r w:rsidRPr="00A44A92">
        <w:t>.</w:t>
      </w:r>
      <w:bookmarkEnd w:id="104"/>
      <w:r w:rsidRPr="00A44A92">
        <w:t xml:space="preserve"> </w:t>
      </w:r>
    </w:p>
    <w:p w14:paraId="68BDB8E4" w14:textId="738FC581" w:rsidR="001E32A4" w:rsidRPr="00EF7A88" w:rsidRDefault="00A44A92" w:rsidP="00314F78">
      <w:bookmarkStart w:id="105" w:name="_Toc181610995"/>
      <w:r w:rsidRPr="00EF7A88">
        <w:br w:type="page"/>
      </w:r>
      <w:r w:rsidR="001E32A4" w:rsidRPr="00EF7A88">
        <w:lastRenderedPageBreak/>
        <w:t>Checklist for lifestyle and leisure services in aged care</w:t>
      </w:r>
      <w:bookmarkEnd w:id="105"/>
    </w:p>
    <w:p w14:paraId="516AF312" w14:textId="77777777" w:rsidR="001E32A4" w:rsidRPr="00C67F44" w:rsidRDefault="001E32A4" w:rsidP="00314F78">
      <w:pPr>
        <w:pStyle w:val="Caption"/>
      </w:pPr>
      <w:r w:rsidRPr="00C67F44">
        <w:t xml:space="preserve">FIGURE 59: CHECKLIST FOR LIFESTYLE AND LEISURE SERVICES IN AGED CARE </w:t>
      </w:r>
    </w:p>
    <w:p w14:paraId="0EFBD721" w14:textId="77777777" w:rsidR="001E32A4" w:rsidRPr="00EB7F6C" w:rsidRDefault="001E32A4" w:rsidP="00314F78">
      <w:pPr>
        <w:pStyle w:val="ChecklistHeading"/>
      </w:pPr>
      <w:r w:rsidRPr="00DD3AD0">
        <w:t xml:space="preserve">Checklist for </w:t>
      </w:r>
      <w:r w:rsidRPr="004A09AA">
        <w:t>lifestyle</w:t>
      </w:r>
      <w:r w:rsidRPr="00DD3AD0">
        <w:t xml:space="preserve"> and leisure services in aged care</w:t>
      </w:r>
    </w:p>
    <w:tbl>
      <w:tblPr>
        <w:tblStyle w:val="TableGridLight"/>
        <w:tblpPr w:leftFromText="180" w:rightFromText="180" w:vertAnchor="text" w:horzAnchor="margin" w:tblpXSpec="center" w:tblpY="404"/>
        <w:tblW w:w="5000" w:type="pct"/>
        <w:tblLook w:val="04A0" w:firstRow="1" w:lastRow="0" w:firstColumn="1" w:lastColumn="0" w:noHBand="0" w:noVBand="1"/>
      </w:tblPr>
      <w:tblGrid>
        <w:gridCol w:w="1065"/>
        <w:gridCol w:w="3892"/>
        <w:gridCol w:w="1134"/>
        <w:gridCol w:w="3537"/>
      </w:tblGrid>
      <w:tr w:rsidR="001E32A4" w14:paraId="12FECCB8" w14:textId="77777777" w:rsidTr="00FD1B87">
        <w:tc>
          <w:tcPr>
            <w:tcW w:w="553" w:type="pct"/>
          </w:tcPr>
          <w:p w14:paraId="6E78BB71" w14:textId="77777777" w:rsidR="001E32A4" w:rsidRDefault="001E32A4" w:rsidP="00314F78">
            <w:pPr>
              <w:rPr>
                <w:rFonts w:eastAsia="Arial" w:cs="Arial"/>
                <w:color w:val="004C90"/>
                <w:sz w:val="16"/>
                <w:szCs w:val="18"/>
              </w:rPr>
            </w:pPr>
            <w:r w:rsidRPr="002765D3">
              <w:rPr>
                <w:noProof/>
              </w:rPr>
              <w:drawing>
                <wp:inline distT="0" distB="0" distL="0" distR="0" wp14:anchorId="4467D37B" wp14:editId="5E28DF90">
                  <wp:extent cx="539496" cy="540000"/>
                  <wp:effectExtent l="0" t="0" r="0" b="0"/>
                  <wp:docPr id="449622578" name="Picture 13" descr="P1506C1T4#yIS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22578" name="Picture 13" descr="P1506C1T4#yIS1">
                            <a:extLst>
                              <a:ext uri="{FF2B5EF4-FFF2-40B4-BE49-F238E27FC236}">
                                <a16:creationId xmlns:a16="http://schemas.microsoft.com/office/drawing/2014/main" id="{D2E6F3FB-746E-42B7-90D2-0468DCF1C754}"/>
                              </a:ext>
                            </a:extLst>
                          </pic:cNvPr>
                          <pic:cNvPicPr>
                            <a:picLocks noChangeAspect="1"/>
                          </pic:cNvPicPr>
                        </pic:nvPicPr>
                        <pic:blipFill rotWithShape="1">
                          <a:blip r:embed="rId97"/>
                          <a:srcRect b="18168"/>
                          <a:stretch/>
                        </pic:blipFill>
                        <pic:spPr>
                          <a:xfrm>
                            <a:off x="0" y="0"/>
                            <a:ext cx="539496" cy="540000"/>
                          </a:xfrm>
                          <a:prstGeom prst="rect">
                            <a:avLst/>
                          </a:prstGeom>
                        </pic:spPr>
                      </pic:pic>
                    </a:graphicData>
                  </a:graphic>
                </wp:inline>
              </w:drawing>
            </w:r>
          </w:p>
        </w:tc>
        <w:tc>
          <w:tcPr>
            <w:tcW w:w="2021" w:type="pct"/>
          </w:tcPr>
          <w:p w14:paraId="28BBCF92" w14:textId="77777777" w:rsidR="001E32A4" w:rsidRPr="00454D17" w:rsidRDefault="001E32A4" w:rsidP="00314F78">
            <w:r w:rsidRPr="00454D17">
              <w:t xml:space="preserve">Educate staff about lifestyle and leisure activities and practice </w:t>
            </w:r>
          </w:p>
          <w:p w14:paraId="4816CEB5" w14:textId="77777777" w:rsidR="001E32A4" w:rsidRPr="00672218" w:rsidRDefault="001E32A4" w:rsidP="00314F78">
            <w:pPr>
              <w:pStyle w:val="ListBullet"/>
            </w:pPr>
            <w:r w:rsidRPr="00672218">
              <w:t>Provide lifestyle and leisure education internally to all staff, including managers.</w:t>
            </w:r>
          </w:p>
          <w:p w14:paraId="2E04D836" w14:textId="77777777" w:rsidR="001E32A4" w:rsidRPr="00672218" w:rsidRDefault="001E32A4" w:rsidP="00314F78">
            <w:pPr>
              <w:pStyle w:val="ListBullet"/>
            </w:pPr>
            <w:r w:rsidRPr="5CA5DF0A">
              <w:t>Ensure lifestyle and leisure education includes best practice approaches and considers psychological, spiritual, social, emotional and physical wellbeing domains.</w:t>
            </w:r>
          </w:p>
          <w:p w14:paraId="68E854A4" w14:textId="34ED6286" w:rsidR="001E32A4" w:rsidRPr="00A44A92" w:rsidRDefault="001E32A4" w:rsidP="00314F78">
            <w:pPr>
              <w:pStyle w:val="ListBullet"/>
            </w:pPr>
            <w:r w:rsidRPr="00672218">
              <w:t>Ensure alignment of staff skill-mix and case-mix, to include dedicated time for lifestyle and leisure programs.</w:t>
            </w:r>
          </w:p>
        </w:tc>
        <w:tc>
          <w:tcPr>
            <w:tcW w:w="589" w:type="pct"/>
          </w:tcPr>
          <w:p w14:paraId="340410E3" w14:textId="69D3C834" w:rsidR="001E32A4" w:rsidRPr="00DF3ECE" w:rsidRDefault="001E32A4" w:rsidP="00314F78">
            <w:pPr>
              <w:rPr>
                <w:rFonts w:eastAsia="Arial"/>
              </w:rPr>
            </w:pPr>
            <w:r w:rsidRPr="00DF3ECE">
              <w:rPr>
                <w:noProof/>
              </w:rPr>
              <w:drawing>
                <wp:inline distT="0" distB="0" distL="0" distR="0" wp14:anchorId="611574E5" wp14:editId="0F327060">
                  <wp:extent cx="539496" cy="540000"/>
                  <wp:effectExtent l="0" t="0" r="0" b="0"/>
                  <wp:docPr id="1143255216" name="Picture 14" descr="P1511C3T4#yIS1">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55216" name="Picture 14" descr="P1511C3T4#yIS1">
                            <a:extLst>
                              <a:ext uri="{FF2B5EF4-FFF2-40B4-BE49-F238E27FC236}">
                                <a16:creationId xmlns:a16="http://schemas.microsoft.com/office/drawing/2014/main" id="{CFA88B3B-F0DE-42EF-8FB2-A46A66CF7EF6}"/>
                              </a:ext>
                            </a:extLst>
                          </pic:cNvPr>
                          <pic:cNvPicPr>
                            <a:picLocks noChangeAspect="1"/>
                          </pic:cNvPicPr>
                        </pic:nvPicPr>
                        <pic:blipFill rotWithShape="1">
                          <a:blip r:embed="rId101"/>
                          <a:srcRect b="18168"/>
                          <a:stretch/>
                        </pic:blipFill>
                        <pic:spPr>
                          <a:xfrm>
                            <a:off x="0" y="0"/>
                            <a:ext cx="539496" cy="540000"/>
                          </a:xfrm>
                          <a:prstGeom prst="rect">
                            <a:avLst/>
                          </a:prstGeom>
                        </pic:spPr>
                      </pic:pic>
                    </a:graphicData>
                  </a:graphic>
                </wp:inline>
              </w:drawing>
            </w:r>
          </w:p>
        </w:tc>
        <w:tc>
          <w:tcPr>
            <w:tcW w:w="1837" w:type="pct"/>
          </w:tcPr>
          <w:p w14:paraId="1B08B13B" w14:textId="77777777" w:rsidR="001E32A4" w:rsidRPr="00454D17" w:rsidRDefault="001E32A4" w:rsidP="00314F78">
            <w:r w:rsidRPr="00454D17">
              <w:t>Assessment and reassessment of lifestyle and leisure needs</w:t>
            </w:r>
          </w:p>
          <w:p w14:paraId="3783D2F7" w14:textId="77777777" w:rsidR="001E32A4" w:rsidRPr="00306FA0" w:rsidRDefault="001E32A4" w:rsidP="00314F78">
            <w:pPr>
              <w:pStyle w:val="ListBullet"/>
            </w:pPr>
            <w:r w:rsidRPr="00306FA0">
              <w:t>Assess for resident needs, preferences and goals in psychological, spiritual, social, emotional and physical wellbeing domains.</w:t>
            </w:r>
          </w:p>
          <w:p w14:paraId="57411FDA" w14:textId="77777777" w:rsidR="001E32A4" w:rsidRPr="00306FA0" w:rsidRDefault="001E32A4" w:rsidP="00314F78">
            <w:pPr>
              <w:pStyle w:val="ListBullet"/>
            </w:pPr>
            <w:r w:rsidRPr="00306FA0">
              <w:t>Reassess at regular intervals, adhering to best practice recommendations.</w:t>
            </w:r>
          </w:p>
          <w:p w14:paraId="73CCCDC4" w14:textId="635B6638" w:rsidR="001E32A4" w:rsidRPr="00DF3ECE" w:rsidRDefault="001E32A4" w:rsidP="00314F78">
            <w:pPr>
              <w:pStyle w:val="ListBullet"/>
            </w:pPr>
            <w:r w:rsidRPr="00306FA0">
              <w:t>Identify any risk factors for limited participation.</w:t>
            </w:r>
          </w:p>
        </w:tc>
      </w:tr>
      <w:tr w:rsidR="001E32A4" w14:paraId="4D6BD7AC" w14:textId="77777777" w:rsidTr="00FD1B87">
        <w:tc>
          <w:tcPr>
            <w:tcW w:w="553" w:type="pct"/>
          </w:tcPr>
          <w:p w14:paraId="540073B4" w14:textId="77777777" w:rsidR="001E32A4" w:rsidRPr="002765D3" w:rsidRDefault="001E32A4" w:rsidP="00314F78">
            <w:pPr>
              <w:rPr>
                <w:noProof/>
              </w:rPr>
            </w:pPr>
            <w:r w:rsidRPr="002765D3">
              <w:rPr>
                <w:noProof/>
              </w:rPr>
              <w:drawing>
                <wp:inline distT="0" distB="0" distL="0" distR="0" wp14:anchorId="1D0DDE08" wp14:editId="380B9380">
                  <wp:extent cx="539496" cy="540000"/>
                  <wp:effectExtent l="0" t="0" r="0" b="0"/>
                  <wp:docPr id="1762945926" name="Picture 15" descr="P1517C5T4#yIS1">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5926" name="Picture 15" descr="P1517C5T4#yIS1">
                            <a:extLst>
                              <a:ext uri="{FF2B5EF4-FFF2-40B4-BE49-F238E27FC236}">
                                <a16:creationId xmlns:a16="http://schemas.microsoft.com/office/drawing/2014/main" id="{6E8499AD-E781-4268-AE98-248BFB514FF0}"/>
                              </a:ext>
                            </a:extLst>
                          </pic:cNvPr>
                          <pic:cNvPicPr>
                            <a:picLocks noChangeAspect="1"/>
                          </pic:cNvPicPr>
                        </pic:nvPicPr>
                        <pic:blipFill rotWithShape="1">
                          <a:blip r:embed="rId81"/>
                          <a:srcRect b="18357"/>
                          <a:stretch/>
                        </pic:blipFill>
                        <pic:spPr>
                          <a:xfrm>
                            <a:off x="0" y="0"/>
                            <a:ext cx="539496" cy="540000"/>
                          </a:xfrm>
                          <a:prstGeom prst="rect">
                            <a:avLst/>
                          </a:prstGeom>
                        </pic:spPr>
                      </pic:pic>
                    </a:graphicData>
                  </a:graphic>
                </wp:inline>
              </w:drawing>
            </w:r>
          </w:p>
        </w:tc>
        <w:tc>
          <w:tcPr>
            <w:tcW w:w="2021" w:type="pct"/>
          </w:tcPr>
          <w:p w14:paraId="0FFD8AB0" w14:textId="77777777" w:rsidR="004A09AA" w:rsidRPr="00FD1B87" w:rsidRDefault="004A09AA" w:rsidP="00314F78">
            <w:r w:rsidRPr="00FD1B87">
              <w:t>Support active participation of residents in planning lifestyle and leisure programs</w:t>
            </w:r>
          </w:p>
          <w:p w14:paraId="0CBE4ED1" w14:textId="77777777" w:rsidR="004A09AA" w:rsidRPr="00725275" w:rsidRDefault="004A09AA" w:rsidP="00314F78">
            <w:pPr>
              <w:pStyle w:val="ListBullet"/>
            </w:pPr>
            <w:r w:rsidRPr="00725275">
              <w:t>Explore opportunities for residents to contribute to lifestyle and leisure program development.</w:t>
            </w:r>
          </w:p>
          <w:p w14:paraId="7BE26956" w14:textId="77777777" w:rsidR="004A09AA" w:rsidRPr="00725275" w:rsidRDefault="004A09AA" w:rsidP="00314F78">
            <w:pPr>
              <w:pStyle w:val="ListBullet"/>
            </w:pPr>
            <w:r w:rsidRPr="5CA5DF0A">
              <w:t>Provide relevant, timely information about available activities and services.</w:t>
            </w:r>
          </w:p>
          <w:p w14:paraId="1EDDD340" w14:textId="77777777" w:rsidR="004A09AA" w:rsidRDefault="004A09AA" w:rsidP="00314F78">
            <w:pPr>
              <w:pStyle w:val="ListBullet"/>
            </w:pPr>
            <w:r w:rsidRPr="00725275">
              <w:t>Provide options and information to support residents’ choices.</w:t>
            </w:r>
          </w:p>
          <w:p w14:paraId="4FEF6403" w14:textId="6AB43839" w:rsidR="001E32A4" w:rsidRPr="004A09AA" w:rsidRDefault="004A09AA" w:rsidP="00314F78">
            <w:pPr>
              <w:pStyle w:val="ListBullet"/>
            </w:pPr>
            <w:r w:rsidRPr="5CA5DF0A">
              <w:t>Maximise level of resident participation in planning, including through use of proxy or advocacy where indicated.</w:t>
            </w:r>
          </w:p>
        </w:tc>
        <w:tc>
          <w:tcPr>
            <w:tcW w:w="589" w:type="pct"/>
          </w:tcPr>
          <w:p w14:paraId="42CE4D14" w14:textId="28FA7178" w:rsidR="001E32A4" w:rsidRPr="002765D3" w:rsidRDefault="001E32A4" w:rsidP="00314F78">
            <w:pPr>
              <w:rPr>
                <w:noProof/>
              </w:rPr>
            </w:pPr>
            <w:r w:rsidRPr="002765D3">
              <w:rPr>
                <w:noProof/>
              </w:rPr>
              <w:drawing>
                <wp:inline distT="0" distB="0" distL="0" distR="0" wp14:anchorId="2F2670FD" wp14:editId="70C96B6E">
                  <wp:extent cx="539496" cy="540000"/>
                  <wp:effectExtent l="0" t="0" r="0" b="0"/>
                  <wp:docPr id="1584190214" name="Picture 16" descr="P1523C7T4#yIS1">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90214" name="Picture 16" descr="P1523C7T4#yIS1">
                            <a:extLst>
                              <a:ext uri="{FF2B5EF4-FFF2-40B4-BE49-F238E27FC236}">
                                <a16:creationId xmlns:a16="http://schemas.microsoft.com/office/drawing/2014/main" id="{9CE31738-6D98-4321-9BBE-87D7A1E5CE60}"/>
                              </a:ext>
                            </a:extLst>
                          </pic:cNvPr>
                          <pic:cNvPicPr>
                            <a:picLocks noChangeAspect="1"/>
                          </pic:cNvPicPr>
                        </pic:nvPicPr>
                        <pic:blipFill rotWithShape="1">
                          <a:blip r:embed="rId185"/>
                          <a:srcRect b="18357"/>
                          <a:stretch/>
                        </pic:blipFill>
                        <pic:spPr>
                          <a:xfrm>
                            <a:off x="0" y="0"/>
                            <a:ext cx="539496" cy="540000"/>
                          </a:xfrm>
                          <a:prstGeom prst="rect">
                            <a:avLst/>
                          </a:prstGeom>
                        </pic:spPr>
                      </pic:pic>
                    </a:graphicData>
                  </a:graphic>
                </wp:inline>
              </w:drawing>
            </w:r>
          </w:p>
        </w:tc>
        <w:tc>
          <w:tcPr>
            <w:tcW w:w="1837" w:type="pct"/>
          </w:tcPr>
          <w:p w14:paraId="7F6FD5B3" w14:textId="77777777" w:rsidR="001E32A4" w:rsidRPr="00FD1B87" w:rsidRDefault="001E32A4" w:rsidP="00314F78">
            <w:r w:rsidRPr="00FD1B87">
              <w:t>Strengthen links between the service and the community</w:t>
            </w:r>
          </w:p>
          <w:p w14:paraId="00662147" w14:textId="77777777" w:rsidR="001E32A4" w:rsidRPr="00306FA0" w:rsidRDefault="001E32A4" w:rsidP="00314F78">
            <w:pPr>
              <w:pStyle w:val="ListBullet"/>
            </w:pPr>
            <w:r w:rsidRPr="00306FA0">
              <w:t>Adapt service specific engagement strategies.</w:t>
            </w:r>
          </w:p>
          <w:p w14:paraId="69174DF9" w14:textId="77777777" w:rsidR="001E32A4" w:rsidRPr="00306FA0" w:rsidRDefault="001E32A4" w:rsidP="00314F78">
            <w:pPr>
              <w:pStyle w:val="ListBullet"/>
            </w:pPr>
            <w:r w:rsidRPr="00306FA0">
              <w:t>Encourage social interaction between residents, staff and the outside community.</w:t>
            </w:r>
          </w:p>
          <w:p w14:paraId="7A709E0A" w14:textId="50829009" w:rsidR="001E32A4" w:rsidRPr="00E529FE" w:rsidRDefault="001E32A4" w:rsidP="00314F78">
            <w:pPr>
              <w:pStyle w:val="ListBullet"/>
            </w:pPr>
            <w:r w:rsidRPr="00306FA0">
              <w:t>Include residents in plans for community engagement activities.</w:t>
            </w:r>
          </w:p>
        </w:tc>
      </w:tr>
      <w:tr w:rsidR="00FD1B87" w14:paraId="0905D40B" w14:textId="77777777" w:rsidTr="00FD1B87">
        <w:tc>
          <w:tcPr>
            <w:tcW w:w="553" w:type="pct"/>
          </w:tcPr>
          <w:p w14:paraId="3236208E" w14:textId="3D28D8CC" w:rsidR="00FD1B87" w:rsidRPr="002765D3" w:rsidRDefault="004A09AA" w:rsidP="00314F78">
            <w:pPr>
              <w:rPr>
                <w:noProof/>
              </w:rPr>
            </w:pPr>
            <w:r w:rsidRPr="002765D3">
              <w:rPr>
                <w:noProof/>
              </w:rPr>
              <w:drawing>
                <wp:anchor distT="0" distB="0" distL="114300" distR="114300" simplePos="0" relativeHeight="251658248" behindDoc="0" locked="0" layoutInCell="1" allowOverlap="1" wp14:anchorId="6311E512" wp14:editId="408DD102">
                  <wp:simplePos x="0" y="0"/>
                  <wp:positionH relativeFrom="column">
                    <wp:posOffset>-6350</wp:posOffset>
                  </wp:positionH>
                  <wp:positionV relativeFrom="paragraph">
                    <wp:posOffset>7620</wp:posOffset>
                  </wp:positionV>
                  <wp:extent cx="539115" cy="539750"/>
                  <wp:effectExtent l="0" t="0" r="0" b="0"/>
                  <wp:wrapNone/>
                  <wp:docPr id="553058319" name="Picture 17" descr="P1529C9T4#y1">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8319" name="Picture 17" descr="P1529C9T4#y1">
                            <a:extLst>
                              <a:ext uri="{FF2B5EF4-FFF2-40B4-BE49-F238E27FC236}">
                                <a16:creationId xmlns:a16="http://schemas.microsoft.com/office/drawing/2014/main" id="{4308EEEC-8653-42F9-B4CE-B21C779026C2}"/>
                              </a:ext>
                            </a:extLst>
                          </pic:cNvPr>
                          <pic:cNvPicPr>
                            <a:picLocks noChangeAspect="1"/>
                          </pic:cNvPicPr>
                        </pic:nvPicPr>
                        <pic:blipFill rotWithShape="1">
                          <a:blip r:embed="rId203"/>
                          <a:srcRect b="18357"/>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p>
        </w:tc>
        <w:tc>
          <w:tcPr>
            <w:tcW w:w="2021" w:type="pct"/>
          </w:tcPr>
          <w:p w14:paraId="32F69AC7" w14:textId="77777777" w:rsidR="00FD1B87" w:rsidRPr="00FD1B87" w:rsidRDefault="00FD1B87" w:rsidP="00314F78">
            <w:r w:rsidRPr="00FD1B87">
              <w:t>Create enabling environments to improve participation in lifestyle and leisure activities</w:t>
            </w:r>
          </w:p>
          <w:p w14:paraId="399C9AE9" w14:textId="77777777" w:rsidR="00FD1B87" w:rsidRPr="00306FA0" w:rsidRDefault="00FD1B87" w:rsidP="00314F78">
            <w:pPr>
              <w:pStyle w:val="ListBullet"/>
            </w:pPr>
            <w:r w:rsidRPr="00306FA0">
              <w:t>Adjust activities to suit resident health profiles.</w:t>
            </w:r>
          </w:p>
          <w:p w14:paraId="47EFB596" w14:textId="77777777" w:rsidR="00FD1B87" w:rsidRPr="00306FA0" w:rsidRDefault="00FD1B87" w:rsidP="00314F78">
            <w:pPr>
              <w:pStyle w:val="ListBullet"/>
            </w:pPr>
            <w:r w:rsidRPr="00306FA0">
              <w:lastRenderedPageBreak/>
              <w:t xml:space="preserve">Regularly update care plans to include mitigation of any barriers to activity attendance. </w:t>
            </w:r>
          </w:p>
          <w:p w14:paraId="7239A636" w14:textId="77777777" w:rsidR="00FD1B87" w:rsidRDefault="00FD1B87" w:rsidP="00314F78">
            <w:pPr>
              <w:pStyle w:val="ListBullet"/>
            </w:pPr>
            <w:r w:rsidRPr="00306FA0">
              <w:t>Promote open disclosure and encourage sharing of any health and wellbeing challenges.</w:t>
            </w:r>
          </w:p>
          <w:p w14:paraId="618BBEF3" w14:textId="066F2DB8" w:rsidR="00FD1B87" w:rsidRPr="00FD1B87" w:rsidRDefault="00FD1B87" w:rsidP="00314F78">
            <w:pPr>
              <w:pStyle w:val="ListBullet"/>
            </w:pPr>
            <w:r w:rsidRPr="00FD1B87">
              <w:t>Consider available space, equipment and design to remove physical barriers to participation.</w:t>
            </w:r>
          </w:p>
        </w:tc>
        <w:tc>
          <w:tcPr>
            <w:tcW w:w="589" w:type="pct"/>
          </w:tcPr>
          <w:p w14:paraId="49296889" w14:textId="77777777" w:rsidR="00FD1B87" w:rsidRPr="00FD1B87" w:rsidRDefault="00FD1B87" w:rsidP="00314F78"/>
        </w:tc>
        <w:tc>
          <w:tcPr>
            <w:tcW w:w="1837" w:type="pct"/>
          </w:tcPr>
          <w:p w14:paraId="549C3E10" w14:textId="77777777" w:rsidR="00FD1B87" w:rsidRPr="00FD1B87" w:rsidRDefault="00FD1B87" w:rsidP="00314F78"/>
        </w:tc>
      </w:tr>
    </w:tbl>
    <w:p w14:paraId="5E5512E3" w14:textId="0E1C03BC" w:rsidR="001E32A4" w:rsidRPr="00306FA0" w:rsidRDefault="001E32A4" w:rsidP="0059348C">
      <w:pPr>
        <w:pStyle w:val="Heading2"/>
      </w:pPr>
      <w:bookmarkStart w:id="106" w:name="_Toc181610996"/>
      <w:r w:rsidRPr="00306FA0">
        <w:t>Quality improvement for lifestyle officer staffing</w:t>
      </w:r>
      <w:bookmarkEnd w:id="106"/>
    </w:p>
    <w:p w14:paraId="4DB9857F" w14:textId="77777777" w:rsidR="00310626" w:rsidRPr="00306FA0" w:rsidRDefault="00310626" w:rsidP="00314F78">
      <w:r w:rsidRPr="00306FA0">
        <w:t>Quality improvement can help services provide optimal lifestyle officer services and improve continuity of care. Quality improvement activities should be ongoing and part of business-as-usual for approved providers.</w:t>
      </w:r>
    </w:p>
    <w:p w14:paraId="6143422F" w14:textId="77777777" w:rsidR="00310626" w:rsidRPr="00306FA0" w:rsidRDefault="00310626" w:rsidP="00314F78">
      <w:r w:rsidRPr="00306FA0">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6C4EF83D" w14:textId="46F7D765" w:rsidR="00310626" w:rsidRPr="00306FA0" w:rsidRDefault="00310626" w:rsidP="00314F78">
      <w:r w:rsidRPr="00306FA0">
        <w:t xml:space="preserve">The </w:t>
      </w:r>
      <w:r w:rsidRPr="00306FA0">
        <w:rPr>
          <w:rStyle w:val="Strong"/>
        </w:rPr>
        <w:t>Plan-Do-Check-Act tool</w:t>
      </w:r>
      <w:r w:rsidRPr="00306FA0">
        <w:t xml:space="preserve"> </w:t>
      </w:r>
      <w:r w:rsidR="004C5A3C" w:rsidRPr="00306FA0">
        <w:t>(section 2.3)</w:t>
      </w:r>
      <w:r w:rsidRPr="00306FA0">
        <w:t>) is a useful tool to plan, deliver and monitor quality improvement activities focused on workforce.</w:t>
      </w:r>
    </w:p>
    <w:p w14:paraId="1ADF33B0" w14:textId="3C3F07E4" w:rsidR="001E32A4" w:rsidRPr="0059348C" w:rsidRDefault="001E32A4" w:rsidP="0059348C">
      <w:pPr>
        <w:pStyle w:val="Heading2"/>
      </w:pPr>
      <w:bookmarkStart w:id="107" w:name="_Toc181610997"/>
      <w:r w:rsidRPr="0059348C">
        <w:t>Example tools, guidance and resources to support continuous quality improvement</w:t>
      </w:r>
      <w:bookmarkEnd w:id="107"/>
      <w:r w:rsidRPr="0059348C">
        <w:t xml:space="preserve">  </w:t>
      </w:r>
    </w:p>
    <w:p w14:paraId="35B2F2E9" w14:textId="2D0F28B1" w:rsidR="001E32A4" w:rsidRPr="00306FA0" w:rsidRDefault="001E32A4" w:rsidP="00314F78">
      <w:pPr>
        <w:pStyle w:val="ListBullet"/>
      </w:pPr>
      <w:hyperlink r:id="rId330" w:history="1">
        <w:r w:rsidRPr="00306FA0">
          <w:rPr>
            <w:rStyle w:val="Hyperlink"/>
          </w:rPr>
          <w:t>Australian Recreational Therapy Association [ARTA]</w:t>
        </w:r>
      </w:hyperlink>
      <w:r w:rsidR="00FF65BB" w:rsidRPr="00306FA0">
        <w:t xml:space="preserve"> </w:t>
      </w:r>
      <w:r w:rsidRPr="00306FA0">
        <w:t>– website of Australia’s peak membership body supporting recreational therapy practice.</w:t>
      </w:r>
    </w:p>
    <w:p w14:paraId="2D1DADE3" w14:textId="77777777" w:rsidR="001E32A4" w:rsidRPr="00306FA0" w:rsidRDefault="001E32A4" w:rsidP="00314F78">
      <w:pPr>
        <w:pStyle w:val="ListBullet"/>
      </w:pPr>
      <w:hyperlink r:id="rId331" w:history="1">
        <w:r w:rsidRPr="00306FA0">
          <w:rPr>
            <w:rStyle w:val="Hyperlink"/>
          </w:rPr>
          <w:t>Barriers and enablers to leisure provision in residential aged care: personal care attendant perspectives | Ageing &amp; Society | Cambridge Core</w:t>
        </w:r>
      </w:hyperlink>
      <w:r w:rsidRPr="00306FA0">
        <w:t xml:space="preserve"> – a descriptive study investigating barriers and enablers to the provision of leisure activities for people living in three Australian RACFs.</w:t>
      </w:r>
    </w:p>
    <w:p w14:paraId="66A49DC0" w14:textId="77777777" w:rsidR="001E32A4" w:rsidRPr="00306FA0" w:rsidRDefault="001E32A4" w:rsidP="00314F78">
      <w:pPr>
        <w:pStyle w:val="ListBullet"/>
      </w:pPr>
      <w:hyperlink r:id="rId332" w:history="1">
        <w:r w:rsidRPr="00306FA0">
          <w:rPr>
            <w:rStyle w:val="Hyperlink"/>
          </w:rPr>
          <w:t>Social interactions and quality of life of residents in aged care facilities: A multi-methods study | PLOS ONE</w:t>
        </w:r>
      </w:hyperlink>
      <w:r w:rsidRPr="00306FA0">
        <w:t xml:space="preserve"> – a multi methods study focusing on the frequency and duration of interpersonal interactions among residents in RACFs</w:t>
      </w:r>
    </w:p>
    <w:p w14:paraId="5F3CEAFB" w14:textId="09771C77" w:rsidR="001E32A4" w:rsidRPr="00306FA0" w:rsidRDefault="001E32A4" w:rsidP="00314F78">
      <w:pPr>
        <w:pStyle w:val="ListBullet"/>
      </w:pPr>
      <w:hyperlink r:id="rId333" w:anchor=":~:text=Australian%20aged%20care%20residents%20spend%20over%2045%20per,activities%E2%80%99%20as%20a%20priority%20topic%20for%20the%20sector." w:history="1">
        <w:r w:rsidRPr="00306FA0">
          <w:rPr>
            <w:rStyle w:val="Hyperlink"/>
          </w:rPr>
          <w:t>Meaningful Lifestyle Activities | Aged Care Research and Industry Innovation Australia</w:t>
        </w:r>
      </w:hyperlink>
      <w:r w:rsidR="00FF65BB" w:rsidRPr="00306FA0">
        <w:t xml:space="preserve"> – The</w:t>
      </w:r>
      <w:r w:rsidRPr="00306FA0">
        <w:t xml:space="preserve"> ARIIA Knowledge and Implementation Hub has brought together the research evidence on meaningful lifestyle activities in aged care with Australian online learning, practice tools and resources.</w:t>
      </w:r>
    </w:p>
    <w:p w14:paraId="4F46B0FD" w14:textId="394CE3E1" w:rsidR="001E32A4" w:rsidRPr="00FD1B87" w:rsidRDefault="001E32A4" w:rsidP="00314F78">
      <w:pPr>
        <w:sectPr w:rsidR="001E32A4" w:rsidRPr="00FD1B87" w:rsidSect="001E32A4">
          <w:headerReference w:type="default" r:id="rId334"/>
          <w:endnotePr>
            <w:numFmt w:val="decimal"/>
          </w:endnotePr>
          <w:pgSz w:w="11906" w:h="16838" w:code="9"/>
          <w:pgMar w:top="1871" w:right="1134" w:bottom="1134" w:left="1134" w:header="567" w:footer="567" w:gutter="0"/>
          <w:cols w:space="708"/>
          <w:docGrid w:linePitch="360"/>
        </w:sectPr>
      </w:pPr>
      <w:r w:rsidRPr="00465D21">
        <w:br w:type="page"/>
      </w:r>
    </w:p>
    <w:p w14:paraId="6600C415" w14:textId="77777777" w:rsidR="001E32A4" w:rsidRPr="004D1339" w:rsidRDefault="001E32A4" w:rsidP="00314F78">
      <w:pPr>
        <w:pStyle w:val="URL"/>
      </w:pPr>
      <w:r w:rsidRPr="004D1339">
        <w:lastRenderedPageBreak/>
        <w:t>Health.gov.au</w:t>
      </w:r>
    </w:p>
    <w:p w14:paraId="466F423B" w14:textId="7386777C" w:rsidR="001E32A4" w:rsidRPr="004D1339" w:rsidRDefault="001E32A4" w:rsidP="00314F78">
      <w:r w:rsidRPr="5CA5DF0A">
        <w:t xml:space="preserve">All information in this publication is correct as </w:t>
      </w:r>
      <w:r w:rsidRPr="00306FA0">
        <w:t xml:space="preserve">at </w:t>
      </w:r>
      <w:r w:rsidR="004C5A3C" w:rsidRPr="00306FA0">
        <w:t>March</w:t>
      </w:r>
      <w:r w:rsidRPr="00306FA0">
        <w:t xml:space="preserve"> 2025</w:t>
      </w:r>
    </w:p>
    <w:p w14:paraId="31E18F9B" w14:textId="004BFD9C" w:rsidR="00754936" w:rsidRDefault="00754936" w:rsidP="00314F78">
      <w:pPr>
        <w:sectPr w:rsidR="00754936" w:rsidSect="001801B3">
          <w:type w:val="continuous"/>
          <w:pgSz w:w="11906" w:h="16838" w:code="9"/>
          <w:pgMar w:top="1701" w:right="1134" w:bottom="1134" w:left="1134" w:header="567" w:footer="567" w:gutter="0"/>
          <w:cols w:space="708"/>
          <w:docGrid w:linePitch="360"/>
        </w:sectPr>
      </w:pPr>
    </w:p>
    <w:p w14:paraId="5C157DDF" w14:textId="77777777" w:rsidR="002847CF" w:rsidRPr="002765D3" w:rsidRDefault="002847CF" w:rsidP="00C069B7">
      <w:pPr>
        <w:pStyle w:val="Heading1"/>
        <w:numPr>
          <w:ilvl w:val="0"/>
          <w:numId w:val="0"/>
        </w:numPr>
        <w:ind w:left="432" w:hanging="432"/>
      </w:pPr>
      <w:bookmarkStart w:id="108" w:name="_Toc193889904"/>
      <w:r w:rsidRPr="002765D3">
        <w:lastRenderedPageBreak/>
        <w:t>Endnotes</w:t>
      </w:r>
      <w:bookmarkEnd w:id="108"/>
    </w:p>
    <w:sectPr w:rsidR="002847CF" w:rsidRPr="002765D3" w:rsidSect="005A112D">
      <w:headerReference w:type="even" r:id="rId335"/>
      <w:headerReference w:type="default" r:id="rId336"/>
      <w:headerReference w:type="first" r:id="rId3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1F64" w14:textId="77777777" w:rsidR="007B76E1" w:rsidRDefault="007B76E1" w:rsidP="00314F78">
      <w:r>
        <w:separator/>
      </w:r>
    </w:p>
  </w:endnote>
  <w:endnote w:type="continuationSeparator" w:id="0">
    <w:p w14:paraId="17072DB5" w14:textId="77777777" w:rsidR="007B76E1" w:rsidRDefault="007B76E1" w:rsidP="00314F78">
      <w:r>
        <w:continuationSeparator/>
      </w:r>
    </w:p>
  </w:endnote>
  <w:endnote w:type="continuationNotice" w:id="1">
    <w:p w14:paraId="57C5CD91" w14:textId="77777777" w:rsidR="007B76E1" w:rsidRDefault="007B76E1" w:rsidP="00314F78"/>
  </w:endnote>
  <w:endnote w:id="2">
    <w:p w14:paraId="5893CC95" w14:textId="77777777" w:rsidR="00687828" w:rsidRPr="003446FA" w:rsidRDefault="00687828" w:rsidP="00687828">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Batalden PB and Davidoff F. What is “quality improvement” and how can it transform healthcare? BMJ Quality &amp; Safety 2007; 16(2-3).</w:t>
      </w:r>
    </w:p>
  </w:endnote>
  <w:endnote w:id="3">
    <w:p w14:paraId="364E61DD" w14:textId="10123661" w:rsidR="0052544D" w:rsidRPr="00A72C03" w:rsidRDefault="0052544D" w:rsidP="00314F78">
      <w:pPr>
        <w:pStyle w:val="Endnotes"/>
        <w:rPr>
          <w:color w:val="000000"/>
          <w:shd w:val="clear" w:color="auto" w:fill="FFFFFF"/>
        </w:rPr>
      </w:pPr>
      <w:r w:rsidRPr="003446FA">
        <w:rPr>
          <w:rStyle w:val="EndnoteReference"/>
          <w:rFonts w:cs="Arial"/>
          <w:szCs w:val="18"/>
        </w:rPr>
        <w:endnoteRef/>
      </w:r>
      <w:r>
        <w:rPr>
          <w:color w:val="000000"/>
          <w:shd w:val="clear" w:color="auto" w:fill="FFFFFF"/>
        </w:rPr>
        <w:tab/>
      </w:r>
      <w:r w:rsidRPr="003446FA">
        <w:rPr>
          <w:color w:val="000000"/>
          <w:shd w:val="clear" w:color="auto" w:fill="FFFFFF"/>
        </w:rPr>
        <w:t xml:space="preserve">Aged Care Quality and Safety Commission. 2021. Continuous improvement. Sourced. </w:t>
      </w:r>
      <w:hyperlink r:id="rId1" w:history="1">
        <w:r w:rsidR="006708EB" w:rsidRPr="00FE487D">
          <w:rPr>
            <w:rStyle w:val="Hyperlink"/>
            <w:rFonts w:cs="Arial"/>
            <w:szCs w:val="18"/>
            <w:shd w:val="clear" w:color="auto" w:fill="FFFFFF"/>
          </w:rPr>
          <w:t>https://www.agedcarequality.gov.au/providers/assessment-processes/continuous-improvement</w:t>
        </w:r>
      </w:hyperlink>
    </w:p>
  </w:endnote>
  <w:endnote w:id="4">
    <w:p w14:paraId="1E84B38D" w14:textId="77777777" w:rsidR="0052544D" w:rsidRPr="003446FA" w:rsidRDefault="0052544D" w:rsidP="00314F78">
      <w:pPr>
        <w:pStyle w:val="Endnotes"/>
      </w:pPr>
      <w:r w:rsidRPr="003446FA">
        <w:rPr>
          <w:rStyle w:val="EndnoteReference"/>
          <w:rFonts w:cs="Arial"/>
          <w:szCs w:val="18"/>
        </w:rPr>
        <w:endnoteRef/>
      </w:r>
      <w:r>
        <w:tab/>
      </w:r>
      <w:r w:rsidRPr="003446FA">
        <w:t xml:space="preserve">Bogaisky M, Dezieck L. Early hospital readmission of nursing home </w:t>
      </w:r>
      <w:r>
        <w:t>care recipients</w:t>
      </w:r>
      <w:r w:rsidRPr="003446FA">
        <w:t xml:space="preserve"> and community-dwelling elderly adults discharged from the geriatrics service of an Urban teaching hospital: Patterns and risk factors. J Am Geriatr Soc, 2015; 63(3): 548-552.</w:t>
      </w:r>
    </w:p>
  </w:endnote>
  <w:endnote w:id="5">
    <w:p w14:paraId="63E8E8BC" w14:textId="77777777" w:rsidR="0052544D" w:rsidRPr="003446FA" w:rsidRDefault="0052544D" w:rsidP="00314F78">
      <w:pPr>
        <w:pStyle w:val="Endnotes"/>
      </w:pPr>
      <w:r w:rsidRPr="003446FA">
        <w:rPr>
          <w:rStyle w:val="EndnoteReference"/>
          <w:rFonts w:cs="Arial"/>
          <w:szCs w:val="18"/>
        </w:rPr>
        <w:endnoteRef/>
      </w:r>
      <w:r>
        <w:tab/>
      </w:r>
      <w:r w:rsidRPr="003446FA">
        <w:t xml:space="preserve">Jeon Y-H, Casey A-N, Fethney J, Poole B, Vo K, Rogers K. Associations between clinical indicators of quality and aged-care </w:t>
      </w:r>
      <w:r>
        <w:t>care recipients</w:t>
      </w:r>
      <w:r w:rsidRPr="003446FA">
        <w:t>' needs and consumer and staff satisfaction: the first Australian study. Aust Health Rev. 2019;43(2):133-41.</w:t>
      </w:r>
    </w:p>
  </w:endnote>
  <w:endnote w:id="6">
    <w:p w14:paraId="79355D31" w14:textId="77777777" w:rsidR="0052544D" w:rsidRPr="003446FA" w:rsidRDefault="0052544D" w:rsidP="00314F78">
      <w:pPr>
        <w:pStyle w:val="Endnotes"/>
      </w:pPr>
      <w:r w:rsidRPr="003446FA">
        <w:rPr>
          <w:rStyle w:val="EndnoteReference"/>
          <w:rFonts w:cs="Arial"/>
          <w:szCs w:val="18"/>
        </w:rPr>
        <w:endnoteRef/>
      </w:r>
      <w:r>
        <w:tab/>
      </w:r>
      <w:r w:rsidRPr="003446FA">
        <w:t>Ferguson C, Prentice J, Crouchley K, Ling A, Mason L. Pressure injury point prevalence: state-wide survey to identify variability in Western Australia hospitals. Australian Journal of Advanced Nursing, 2019; 36(4): 31.</w:t>
      </w:r>
    </w:p>
  </w:endnote>
  <w:endnote w:id="7">
    <w:p w14:paraId="0F452C65" w14:textId="77777777" w:rsidR="0052544D" w:rsidRPr="003446FA" w:rsidRDefault="0052544D" w:rsidP="00314F78">
      <w:pPr>
        <w:pStyle w:val="Endnotes"/>
      </w:pPr>
      <w:r w:rsidRPr="003446FA">
        <w:rPr>
          <w:rStyle w:val="EndnoteReference"/>
          <w:rFonts w:cs="Arial"/>
          <w:szCs w:val="18"/>
        </w:rPr>
        <w:endnoteRef/>
      </w:r>
      <w:r>
        <w:tab/>
      </w:r>
      <w:r w:rsidRPr="003446FA">
        <w:t>Stevenson R, Collinson M, Henderson V, Wilson L, Dealey C, McGinnis E, Briggs M, Nelson EA, Stubbs N, Coleman</w:t>
      </w:r>
      <w:r>
        <w:t> </w:t>
      </w:r>
      <w:r w:rsidRPr="003446FA">
        <w:t>S, Nixon J. The prevalence of pressure ulcers in community settings: An observational study. Int J Nurs Stud, 2013.</w:t>
      </w:r>
    </w:p>
  </w:endnote>
  <w:endnote w:id="8">
    <w:p w14:paraId="6BC4E173" w14:textId="77777777" w:rsidR="0052544D" w:rsidRPr="003446FA" w:rsidRDefault="0052544D" w:rsidP="00314F78">
      <w:pPr>
        <w:pStyle w:val="Endnotes"/>
      </w:pPr>
      <w:r w:rsidRPr="003446FA">
        <w:rPr>
          <w:rStyle w:val="EndnoteReference"/>
          <w:rFonts w:cs="Arial"/>
          <w:szCs w:val="18"/>
        </w:rPr>
        <w:endnoteRef/>
      </w:r>
      <w:r>
        <w:tab/>
      </w:r>
      <w:r w:rsidRPr="003446FA">
        <w:t>Clinical Excellence Commission. 2018 NSW Pressure Injury Point Prevalence Survey Report, 2019; Sydney: 9.</w:t>
      </w:r>
    </w:p>
  </w:endnote>
  <w:endnote w:id="9">
    <w:p w14:paraId="7B09F2E8" w14:textId="77777777" w:rsidR="0052544D" w:rsidRPr="003446FA" w:rsidRDefault="0052544D" w:rsidP="00314F78">
      <w:pPr>
        <w:pStyle w:val="Endnotes"/>
      </w:pPr>
      <w:r w:rsidRPr="003446FA">
        <w:rPr>
          <w:rStyle w:val="EndnoteReference"/>
          <w:rFonts w:cs="Arial"/>
          <w:szCs w:val="18"/>
        </w:rPr>
        <w:endnoteRef/>
      </w:r>
      <w:r>
        <w:tab/>
      </w:r>
      <w:r w:rsidRPr="003446FA">
        <w:t>Jorgensen M, Siette J, Georgiou A, Westbrook J. Longitudinal variation in pressure injury incidence among long-term aged care facilities. International Journal for Quality in Health Care, 2018; 30(9): 684-691.</w:t>
      </w:r>
    </w:p>
  </w:endnote>
  <w:endnote w:id="10">
    <w:p w14:paraId="47B8B17B" w14:textId="28D868D8" w:rsidR="0052544D" w:rsidRPr="003446FA" w:rsidRDefault="0052544D" w:rsidP="00314F78">
      <w:pPr>
        <w:pStyle w:val="Endnotes"/>
      </w:pPr>
      <w:r w:rsidRPr="003446FA">
        <w:rPr>
          <w:rStyle w:val="EndnoteReference"/>
          <w:rFonts w:cs="Arial"/>
          <w:szCs w:val="18"/>
        </w:rPr>
        <w:endnoteRef/>
      </w:r>
      <w:r>
        <w:tab/>
      </w:r>
      <w:r w:rsidR="00E100EC" w:rsidRPr="00E100EC">
        <w:t>Australian Commission on Safety and Quality in Health Care. National Safety and Quality Health Service Standards. 2nd ed. – version 2. Sydney: ACSQHC; 2021</w:t>
      </w:r>
    </w:p>
  </w:endnote>
  <w:endnote w:id="11">
    <w:p w14:paraId="137D97A0" w14:textId="77777777" w:rsidR="0052544D" w:rsidRPr="003446FA" w:rsidRDefault="0052544D" w:rsidP="00314F78">
      <w:pPr>
        <w:pStyle w:val="Endnotes"/>
      </w:pPr>
      <w:r w:rsidRPr="003446FA">
        <w:rPr>
          <w:rStyle w:val="EndnoteReference"/>
          <w:rFonts w:cs="Arial"/>
          <w:szCs w:val="18"/>
        </w:rPr>
        <w:endnoteRef/>
      </w:r>
      <w:r>
        <w:tab/>
      </w:r>
      <w:r w:rsidRPr="003446FA">
        <w:t>European Pressure Ulcer Advisory Panel, National Pressure Injury Advisory Panel and Pan Pacific Pressure Injury Alliance. Prevention and Treatment of Pressure Ulcers/Injuries: Clinical Practice Guideline. The International Guideline. Emily Haesler (Ed.). EPUAP/NPIAP/PPPIA: 2019.</w:t>
      </w:r>
    </w:p>
  </w:endnote>
  <w:endnote w:id="12">
    <w:p w14:paraId="542E83BB" w14:textId="53069448" w:rsidR="0052544D" w:rsidRPr="00F5661A" w:rsidRDefault="0052544D" w:rsidP="00314F78">
      <w:pPr>
        <w:pStyle w:val="Endnotes"/>
      </w:pPr>
      <w:r>
        <w:rPr>
          <w:rStyle w:val="EndnoteReference"/>
        </w:rPr>
        <w:endnoteRef/>
      </w:r>
      <w:r>
        <w:tab/>
      </w:r>
      <w:r w:rsidRPr="007F081B">
        <w:t>Prevention and Treatment of Pressure Ulcers/Injuries: Clinical Practice Guideline 2019</w:t>
      </w:r>
      <w:r w:rsidR="00EC17D6">
        <w:t>.</w:t>
      </w:r>
    </w:p>
  </w:endnote>
  <w:endnote w:id="13">
    <w:p w14:paraId="2F2D8CAF" w14:textId="56FE163A" w:rsidR="0052544D" w:rsidRDefault="0052544D" w:rsidP="00314F78">
      <w:pPr>
        <w:pStyle w:val="Endnotes"/>
      </w:pPr>
      <w:r>
        <w:rPr>
          <w:rStyle w:val="EndnoteReference"/>
          <w:rFonts w:cs="Arial"/>
          <w:szCs w:val="18"/>
        </w:rPr>
        <w:endnoteRef/>
      </w:r>
      <w:r>
        <w:tab/>
        <w:t xml:space="preserve">National Institute for Healthcare Excellence, 2018. Quick guide: Helping to prevent pressure ulcers. Sourced: </w:t>
      </w:r>
      <w:hyperlink r:id="rId2" w:history="1">
        <w:r w:rsidRPr="005F1C9B">
          <w:rPr>
            <w:rStyle w:val="Hyperlink"/>
            <w:rFonts w:cs="Arial"/>
            <w:szCs w:val="18"/>
          </w:rPr>
          <w:t>https://www.nice.org.uk/about/nice-communities/social-care/quick-guides/helping-to-prevent-pressure-ulcer</w:t>
        </w:r>
      </w:hyperlink>
      <w:r w:rsidRPr="00EC17D6">
        <w:rPr>
          <w:rStyle w:val="Hyperlink"/>
        </w:rPr>
        <w:t>s</w:t>
      </w:r>
      <w:r w:rsidR="00EC17D6">
        <w:rPr>
          <w:rStyle w:val="Hyperlink"/>
          <w:color w:val="auto"/>
          <w:u w:val="none"/>
        </w:rPr>
        <w:t>.</w:t>
      </w:r>
    </w:p>
  </w:endnote>
  <w:endnote w:id="14">
    <w:p w14:paraId="363C9CE5" w14:textId="77777777" w:rsidR="0052544D" w:rsidRDefault="0052544D" w:rsidP="00314F78">
      <w:pPr>
        <w:pStyle w:val="Endnotes"/>
      </w:pPr>
      <w:r>
        <w:rPr>
          <w:rStyle w:val="EndnoteReference"/>
          <w:rFonts w:cs="Arial"/>
          <w:szCs w:val="18"/>
        </w:rPr>
        <w:endnoteRef/>
      </w:r>
      <w:r>
        <w:tab/>
        <w:t>Baharestani MM, Ratcliff CR. Pressure ulcers in neonates and children: an NPUAP white paper. Adv Skin Wound Care, 2007; 20(4): 208.</w:t>
      </w:r>
    </w:p>
  </w:endnote>
  <w:endnote w:id="15">
    <w:p w14:paraId="4E5BD96D" w14:textId="370380EE" w:rsidR="0052544D" w:rsidRDefault="0052544D" w:rsidP="00314F78">
      <w:pPr>
        <w:pStyle w:val="Endnotes"/>
      </w:pPr>
      <w:r>
        <w:rPr>
          <w:rStyle w:val="EndnoteReference"/>
          <w:rFonts w:cs="Arial"/>
          <w:szCs w:val="18"/>
        </w:rPr>
        <w:endnoteRef/>
      </w:r>
      <w:r>
        <w:tab/>
        <w:t>Shaked E, Gefen A. Modeling the effects of moisture-related skin-support friction on the risk for superficial pressure ulcers during patient repositioning in bed. Front Bioeng Biotechnol, 2013; 14(1): 9.</w:t>
      </w:r>
    </w:p>
  </w:endnote>
  <w:endnote w:id="16">
    <w:p w14:paraId="34B11B71" w14:textId="77777777" w:rsidR="0052544D" w:rsidRDefault="0052544D" w:rsidP="00314F78">
      <w:pPr>
        <w:pStyle w:val="Endnotes"/>
      </w:pPr>
      <w:r>
        <w:rPr>
          <w:rStyle w:val="EndnoteReference"/>
          <w:rFonts w:cs="Arial"/>
          <w:szCs w:val="18"/>
        </w:rPr>
        <w:endnoteRef/>
      </w:r>
      <w:r>
        <w:tab/>
        <w:t>Royal Children’s Hospital. Clinical Guidelines (Nursing). Nursing Clinical Effectiveness Committee. 2019; Melbourne.</w:t>
      </w:r>
    </w:p>
  </w:endnote>
  <w:endnote w:id="17">
    <w:p w14:paraId="097686A9" w14:textId="77777777" w:rsidR="0052544D" w:rsidRPr="003446FA" w:rsidRDefault="0052544D" w:rsidP="00314F78">
      <w:pPr>
        <w:pStyle w:val="Endnotes"/>
      </w:pPr>
      <w:r w:rsidRPr="003446FA">
        <w:rPr>
          <w:rStyle w:val="EndnoteReference"/>
          <w:rFonts w:cs="Arial"/>
          <w:szCs w:val="18"/>
        </w:rPr>
        <w:endnoteRef/>
      </w:r>
      <w:r>
        <w:tab/>
      </w:r>
      <w:r w:rsidRPr="003446FA">
        <w:t>Jackson DE, Durrant LA, Hutchinson M, Ballard CA, Neville S, Usher K. Living with multiple losses: Insights from patients living with pressure injury. Collegian, 2017.</w:t>
      </w:r>
    </w:p>
  </w:endnote>
  <w:endnote w:id="18">
    <w:p w14:paraId="2318B53F" w14:textId="77777777" w:rsidR="0052544D" w:rsidRPr="003446FA" w:rsidRDefault="0052544D" w:rsidP="00314F78">
      <w:pPr>
        <w:pStyle w:val="Endnotes"/>
      </w:pPr>
      <w:r w:rsidRPr="003446FA">
        <w:rPr>
          <w:rStyle w:val="EndnoteReference"/>
          <w:rFonts w:cs="Arial"/>
          <w:szCs w:val="18"/>
        </w:rPr>
        <w:endnoteRef/>
      </w:r>
      <w:r>
        <w:tab/>
      </w:r>
      <w:r w:rsidRPr="003446FA">
        <w:t>Gorecki C, Brown JM, Nelson EA et al (2009) Impact of pressure ulcers on quality of life in older patients: a systematic review. J Am Geriatr Soc 57:1175–1183</w:t>
      </w:r>
      <w:r>
        <w:t>.</w:t>
      </w:r>
    </w:p>
  </w:endnote>
  <w:endnote w:id="19">
    <w:p w14:paraId="05EE000A" w14:textId="77777777" w:rsidR="0052544D" w:rsidRPr="003446FA" w:rsidRDefault="0052544D" w:rsidP="00314F78">
      <w:pPr>
        <w:pStyle w:val="Endnotes"/>
      </w:pPr>
      <w:r w:rsidRPr="003446FA">
        <w:rPr>
          <w:rStyle w:val="EndnoteReference"/>
          <w:rFonts w:cs="Arial"/>
          <w:szCs w:val="18"/>
        </w:rPr>
        <w:endnoteRef/>
      </w:r>
      <w:r>
        <w:tab/>
      </w:r>
      <w:r w:rsidRPr="003446FA">
        <w:t>Black JM, Berke CT. Deep Tissue Pressure Injuries: Identification, Treatment, and Outcomes Among Critical Care Patients. Crit Care Nurs Clin North Am. 2020; 32(4): 563-572.</w:t>
      </w:r>
    </w:p>
  </w:endnote>
  <w:endnote w:id="20">
    <w:p w14:paraId="1684446B" w14:textId="77777777" w:rsidR="0052544D" w:rsidRPr="003446FA" w:rsidRDefault="0052544D" w:rsidP="00314F78">
      <w:pPr>
        <w:pStyle w:val="Endnotes"/>
      </w:pPr>
      <w:r w:rsidRPr="003446FA">
        <w:rPr>
          <w:rStyle w:val="EndnoteReference"/>
          <w:rFonts w:cs="Arial"/>
          <w:szCs w:val="18"/>
        </w:rPr>
        <w:endnoteRef/>
      </w:r>
      <w:r>
        <w:tab/>
      </w:r>
      <w:r w:rsidRPr="003446FA">
        <w:t>Labeau SO, Afonso E, Benbenishty J, et al. Prevalence, associated factors and outcomes of pressure injuries in adult intensive care unit patients: the DecubICUs study. Intensive Care Med. 2021;47(2):160-169. doi:10.1007/s00134-020-06234-9</w:t>
      </w:r>
      <w:r>
        <w:t>.</w:t>
      </w:r>
    </w:p>
  </w:endnote>
  <w:endnote w:id="21">
    <w:p w14:paraId="6B418CF8" w14:textId="77777777" w:rsidR="0052544D" w:rsidRPr="003446FA" w:rsidRDefault="0052544D" w:rsidP="00314F78">
      <w:pPr>
        <w:pStyle w:val="Endnotes"/>
      </w:pPr>
      <w:r w:rsidRPr="003446FA">
        <w:rPr>
          <w:rStyle w:val="EndnoteReference"/>
          <w:rFonts w:cs="Arial"/>
          <w:szCs w:val="18"/>
        </w:rPr>
        <w:endnoteRef/>
      </w:r>
      <w:r>
        <w:tab/>
      </w:r>
      <w:r w:rsidRPr="003446FA">
        <w:t>Haesler E, Cuddigan J, Kottner J, Carville K. Guideline Governance Group, International consumer engagement in pressure injury/ulcer guideline development: Global survey of patient care goals and information needs, in National Pressure Ulcer Advisory Panel 2019 Annual Conference. 2019: St Louis.</w:t>
      </w:r>
    </w:p>
  </w:endnote>
  <w:endnote w:id="22">
    <w:p w14:paraId="4CC9E69A" w14:textId="77777777" w:rsidR="0052544D" w:rsidRPr="003446FA" w:rsidRDefault="0052544D" w:rsidP="00314F78">
      <w:pPr>
        <w:pStyle w:val="Endnotes"/>
      </w:pPr>
      <w:r w:rsidRPr="003446FA">
        <w:rPr>
          <w:rStyle w:val="EndnoteReference"/>
          <w:rFonts w:cs="Arial"/>
          <w:szCs w:val="18"/>
        </w:rPr>
        <w:endnoteRef/>
      </w:r>
      <w:r>
        <w:tab/>
      </w:r>
      <w:r w:rsidRPr="003446FA">
        <w:t>A pressure injury can provide an inlet for bacteria to enter the body and cause osteomyelitis. Osteomyelitis is an infection of the bone and may be acute or chronic.</w:t>
      </w:r>
    </w:p>
  </w:endnote>
  <w:endnote w:id="23">
    <w:p w14:paraId="78A079FC" w14:textId="77777777" w:rsidR="0052544D" w:rsidRPr="003446FA" w:rsidRDefault="0052544D" w:rsidP="00314F78">
      <w:pPr>
        <w:pStyle w:val="Endnotes"/>
      </w:pPr>
      <w:r w:rsidRPr="003446FA">
        <w:rPr>
          <w:rStyle w:val="EndnoteReference"/>
          <w:rFonts w:cs="Arial"/>
          <w:szCs w:val="18"/>
        </w:rPr>
        <w:endnoteRef/>
      </w:r>
      <w:r>
        <w:tab/>
      </w:r>
      <w:r w:rsidRPr="003446FA">
        <w:t>Galhardo VAC, Magalhaes MG, Blanes L, Juliano Y, Ferreira LM. Health-related quality of life and depression in older patients with pressure ulcers. Wounds: A Compendium of Clinical Research &amp; Practice, 2010; 22(1): 20-26.</w:t>
      </w:r>
    </w:p>
  </w:endnote>
  <w:endnote w:id="24">
    <w:p w14:paraId="3F74A2CC" w14:textId="77777777" w:rsidR="0052544D" w:rsidRPr="003446FA" w:rsidRDefault="0052544D" w:rsidP="00314F78">
      <w:pPr>
        <w:pStyle w:val="Endnotes"/>
      </w:pPr>
      <w:r w:rsidRPr="003446FA">
        <w:rPr>
          <w:rStyle w:val="EndnoteReference"/>
          <w:rFonts w:cs="Arial"/>
          <w:szCs w:val="18"/>
        </w:rPr>
        <w:endnoteRef/>
      </w:r>
      <w:r>
        <w:tab/>
      </w:r>
      <w:r w:rsidRPr="003446FA">
        <w:t>Essex HN, Clark M, Sims J, Warriner A, Cullum N. Health-related quality of life in hospital inpatients with pressure ulceration: assessment using generic health-related quality of life measures. Wound Repair and Regeneration, 2009; 17(6): 797-805.</w:t>
      </w:r>
    </w:p>
  </w:endnote>
  <w:endnote w:id="25">
    <w:p w14:paraId="78963576" w14:textId="77777777" w:rsidR="0052544D" w:rsidRPr="003446FA" w:rsidRDefault="0052544D" w:rsidP="00314F78">
      <w:pPr>
        <w:pStyle w:val="Endnotes"/>
      </w:pPr>
      <w:r w:rsidRPr="003446FA">
        <w:rPr>
          <w:rStyle w:val="EndnoteReference"/>
          <w:rFonts w:cs="Arial"/>
          <w:szCs w:val="18"/>
        </w:rPr>
        <w:endnoteRef/>
      </w:r>
      <w:r>
        <w:tab/>
      </w:r>
      <w:r w:rsidRPr="003446FA">
        <w:t>Nguyen</w:t>
      </w:r>
      <w:r>
        <w:t xml:space="preserve"> </w:t>
      </w:r>
      <w:r w:rsidRPr="003446FA">
        <w:t>BEcon, MEcon, PhD K-H, Chaboyer</w:t>
      </w:r>
      <w:r>
        <w:t xml:space="preserve"> </w:t>
      </w:r>
      <w:r w:rsidRPr="003446FA">
        <w:t>RN, PhD W, Whitty</w:t>
      </w:r>
      <w:r>
        <w:t xml:space="preserve"> </w:t>
      </w:r>
      <w:r w:rsidRPr="003446FA">
        <w:t>BPharm, GradDipClinPharm, PhD JA. Pressure injury in Australian public hospitals: a cost-of-illness study. Aust Heal Rev. 2015;39(3):329-336</w:t>
      </w:r>
      <w:r>
        <w:t>.</w:t>
      </w:r>
    </w:p>
  </w:endnote>
  <w:endnote w:id="26">
    <w:p w14:paraId="358DE967" w14:textId="77777777" w:rsidR="0052544D" w:rsidRPr="003446FA" w:rsidRDefault="0052544D" w:rsidP="00314F78">
      <w:pPr>
        <w:pStyle w:val="Endnotes"/>
      </w:pPr>
      <w:r w:rsidRPr="003446FA">
        <w:rPr>
          <w:rStyle w:val="EndnoteReference"/>
          <w:rFonts w:cs="Arial"/>
          <w:szCs w:val="18"/>
        </w:rPr>
        <w:endnoteRef/>
      </w:r>
      <w:r>
        <w:tab/>
      </w:r>
      <w:r w:rsidRPr="003446FA">
        <w:t>Perneger T, Gaspoz J, Borst F, Vitek O. Screening for pressure ulcer risk in an acute care hospital: development of a brief bedside scale. J Clin Epidemiol, 2002; 55(5): 498-504.</w:t>
      </w:r>
    </w:p>
  </w:endnote>
  <w:endnote w:id="27">
    <w:p w14:paraId="203FDFDF" w14:textId="77777777" w:rsidR="0052544D" w:rsidRPr="003446FA" w:rsidRDefault="0052544D" w:rsidP="00314F78">
      <w:pPr>
        <w:pStyle w:val="Endnotes"/>
      </w:pPr>
      <w:r w:rsidRPr="003446FA">
        <w:rPr>
          <w:rStyle w:val="EndnoteReference"/>
          <w:rFonts w:cs="Arial"/>
          <w:szCs w:val="18"/>
        </w:rPr>
        <w:endnoteRef/>
      </w:r>
      <w:r>
        <w:tab/>
      </w:r>
      <w:r w:rsidRPr="003446FA">
        <w:t>Tescher AN, Branda ME, Byrne TJ, Naessens JM. All at-risk patients are not created equal: A</w:t>
      </w:r>
      <w:r>
        <w:t>na</w:t>
      </w:r>
      <w:r w:rsidRPr="003446FA">
        <w:t>lysis of Baden pressure ulcer risk scores to identify specific risks. J Wound Ostomy Continence Nurs, 2012; 39(3): 282-291.</w:t>
      </w:r>
    </w:p>
  </w:endnote>
  <w:endnote w:id="28">
    <w:p w14:paraId="4D7C447A" w14:textId="77777777" w:rsidR="0052544D" w:rsidRPr="003446FA" w:rsidRDefault="0052544D" w:rsidP="00314F78">
      <w:pPr>
        <w:pStyle w:val="Endnotes"/>
      </w:pPr>
      <w:r w:rsidRPr="003446FA">
        <w:rPr>
          <w:rStyle w:val="EndnoteReference"/>
          <w:rFonts w:cs="Arial"/>
          <w:szCs w:val="18"/>
        </w:rPr>
        <w:endnoteRef/>
      </w:r>
      <w:r>
        <w:tab/>
      </w:r>
      <w:r w:rsidRPr="003446FA">
        <w:t>Braden B, Bergstrom N. A conceptual schema for the study of the etiology of pressure sores. Rehabil Nurs, 1987; 12(1): 8-12.</w:t>
      </w:r>
    </w:p>
  </w:endnote>
  <w:endnote w:id="29">
    <w:p w14:paraId="335BEDB0" w14:textId="77777777" w:rsidR="0052544D" w:rsidRPr="003446FA" w:rsidRDefault="0052544D" w:rsidP="00314F78">
      <w:pPr>
        <w:pStyle w:val="Endnotes"/>
      </w:pPr>
      <w:r w:rsidRPr="003446FA">
        <w:rPr>
          <w:rStyle w:val="EndnoteReference"/>
          <w:rFonts w:cs="Arial"/>
          <w:szCs w:val="18"/>
        </w:rPr>
        <w:endnoteRef/>
      </w:r>
      <w:r>
        <w:tab/>
      </w:r>
      <w:r w:rsidRPr="003446FA">
        <w:t>Lin S, Hey HWD, Lau ETC, Tan KA, Thambiah JS, Lau LL, Kumar N, Liu KPG, Wong HK. Prevalence and predictors of pressure injuries from spine surgery in the prone position. Spine (Phila Pa 1976), 2017; 42(22): 1730-1736.</w:t>
      </w:r>
    </w:p>
  </w:endnote>
  <w:endnote w:id="30">
    <w:p w14:paraId="68BA4BF5" w14:textId="77777777" w:rsidR="0052544D" w:rsidRPr="003446FA" w:rsidRDefault="0052544D" w:rsidP="00314F78">
      <w:pPr>
        <w:pStyle w:val="Endnotes"/>
      </w:pPr>
      <w:r w:rsidRPr="003446FA">
        <w:rPr>
          <w:rStyle w:val="EndnoteReference"/>
          <w:rFonts w:cs="Arial"/>
          <w:szCs w:val="18"/>
        </w:rPr>
        <w:endnoteRef/>
      </w:r>
      <w:r>
        <w:tab/>
      </w:r>
      <w:r w:rsidRPr="003446FA">
        <w:t>Smith IL, Brown S, McGinnis E, Briggs M, Coleman S, Dealey C, Muir D, Nelson EA, Stevenson R, Stubbs N, Wilson</w:t>
      </w:r>
      <w:r>
        <w:t> </w:t>
      </w:r>
      <w:r w:rsidRPr="003446FA">
        <w:t>L, Brown JM, Nixon J. Exploring the role of pain as an early predictor of category 2 pressure ulcers: A prospective cohort study. BMJ Open, 2017; 7(1): e013623.</w:t>
      </w:r>
    </w:p>
  </w:endnote>
  <w:endnote w:id="31">
    <w:p w14:paraId="4E00D9BC" w14:textId="77777777" w:rsidR="0052544D" w:rsidRPr="003446FA" w:rsidRDefault="0052544D" w:rsidP="00314F78">
      <w:pPr>
        <w:pStyle w:val="Endnotes"/>
      </w:pPr>
      <w:r w:rsidRPr="003446FA">
        <w:rPr>
          <w:rStyle w:val="EndnoteReference"/>
          <w:rFonts w:cs="Arial"/>
          <w:szCs w:val="18"/>
        </w:rPr>
        <w:endnoteRef/>
      </w:r>
      <w:r>
        <w:tab/>
      </w:r>
      <w:r w:rsidRPr="003446FA">
        <w:t>Dobos F, Gefen A, Blume-Peytavi U, Kottner J. Weight-bearing-induced changes in the microtopography and structural stiffness of human skin in vivo following immobility periods. Wound Repair Regen, 2015; 23(1): 37-43.</w:t>
      </w:r>
    </w:p>
  </w:endnote>
  <w:endnote w:id="32">
    <w:p w14:paraId="11ADD213" w14:textId="77777777" w:rsidR="0052544D" w:rsidRPr="003446FA" w:rsidRDefault="0052544D" w:rsidP="00314F78">
      <w:pPr>
        <w:pStyle w:val="Endnotes"/>
      </w:pPr>
      <w:r w:rsidRPr="003446FA">
        <w:rPr>
          <w:rStyle w:val="EndnoteReference"/>
          <w:rFonts w:cs="Arial"/>
          <w:szCs w:val="18"/>
        </w:rPr>
        <w:endnoteRef/>
      </w:r>
      <w:r>
        <w:tab/>
      </w:r>
      <w:r w:rsidRPr="003446FA">
        <w:t>Verbrugghe M, Beeckman D, Van Hecke A, Vanderwee K, Van Herck K, Clays E, Bocquaert I, Derycke H, Geurden</w:t>
      </w:r>
      <w:r>
        <w:t> </w:t>
      </w:r>
      <w:r w:rsidRPr="003446FA">
        <w:t xml:space="preserve">B, Verharghe S. Malnutrition and associated factors in nursing home </w:t>
      </w:r>
      <w:r>
        <w:t>care recipients</w:t>
      </w:r>
      <w:r w:rsidRPr="003446FA">
        <w:t>: A cross sectional, multi-centre study. Clin Nutr, 201; 32(3): 438-443.</w:t>
      </w:r>
    </w:p>
  </w:endnote>
  <w:endnote w:id="33">
    <w:p w14:paraId="5460CF09" w14:textId="77777777" w:rsidR="0052544D" w:rsidRPr="003446FA" w:rsidRDefault="0052544D" w:rsidP="00314F78">
      <w:pPr>
        <w:pStyle w:val="Endnotes"/>
      </w:pPr>
      <w:r w:rsidRPr="003446FA">
        <w:rPr>
          <w:rStyle w:val="EndnoteReference"/>
          <w:rFonts w:cs="Arial"/>
          <w:szCs w:val="18"/>
        </w:rPr>
        <w:endnoteRef/>
      </w:r>
      <w:r>
        <w:tab/>
      </w:r>
      <w:r w:rsidRPr="003446FA">
        <w:t>White J. Consensus Statement: AND and ASPEN: Characteristics recommended for the identification and documentation of adult malnutrition (undernutrition). J Acad Nutr Diet, 2012; 112(5): 730-738.</w:t>
      </w:r>
    </w:p>
  </w:endnote>
  <w:endnote w:id="34">
    <w:p w14:paraId="20F36596" w14:textId="77777777" w:rsidR="0052544D" w:rsidRPr="003446FA" w:rsidRDefault="0052544D" w:rsidP="00314F78">
      <w:pPr>
        <w:pStyle w:val="Endnotes"/>
      </w:pPr>
      <w:r w:rsidRPr="003446FA">
        <w:rPr>
          <w:rStyle w:val="EndnoteReference"/>
          <w:rFonts w:cs="Arial"/>
          <w:szCs w:val="18"/>
        </w:rPr>
        <w:endnoteRef/>
      </w:r>
      <w:r>
        <w:tab/>
      </w:r>
      <w:r w:rsidRPr="003446FA">
        <w:t>Saghaleini SH, Dehghan K, Shadvar K, Sanaie S, Mahmoodpoo A, Ostadi Z. Pressure ulcer and nutrition. Indian J Crit Care Med, 2018; 22(4): 283-289.</w:t>
      </w:r>
    </w:p>
  </w:endnote>
  <w:endnote w:id="35">
    <w:p w14:paraId="348CF2C0" w14:textId="77777777" w:rsidR="0052544D" w:rsidRPr="003446FA" w:rsidRDefault="0052544D" w:rsidP="00314F78">
      <w:pPr>
        <w:pStyle w:val="Endnotes"/>
      </w:pPr>
      <w:r w:rsidRPr="003446FA">
        <w:rPr>
          <w:rStyle w:val="EndnoteReference"/>
          <w:rFonts w:cs="Arial"/>
          <w:szCs w:val="18"/>
        </w:rPr>
        <w:endnoteRef/>
      </w:r>
      <w:r>
        <w:tab/>
      </w:r>
      <w:r w:rsidRPr="003446FA">
        <w:t>Unplanned weight loss is defined as weight loss equal to or greater than 5 per cent over a three-month period, or weight loss of any amount every month over three consecutive months.</w:t>
      </w:r>
    </w:p>
  </w:endnote>
  <w:endnote w:id="36">
    <w:p w14:paraId="1E497FA0" w14:textId="57134FAF" w:rsidR="0052544D" w:rsidRPr="003446FA" w:rsidRDefault="0052544D" w:rsidP="00314F78">
      <w:pPr>
        <w:pStyle w:val="Endnotes"/>
      </w:pPr>
      <w:r w:rsidRPr="003446FA">
        <w:rPr>
          <w:rStyle w:val="EndnoteReference"/>
          <w:rFonts w:cs="Arial"/>
          <w:szCs w:val="18"/>
        </w:rPr>
        <w:endnoteRef/>
      </w:r>
      <w:r>
        <w:tab/>
      </w:r>
      <w:r w:rsidRPr="003446FA">
        <w:t xml:space="preserve">Dorner B, Posthauer ME, Thomas D; National Pressure Ulcer Advisory Panel. The role of nutrition in pressure ulcer prevention and treatment: National Pressure Ulcer Advisory Panel white paper. Adv Skin Wound Care </w:t>
      </w:r>
      <w:r w:rsidR="00451D92" w:rsidRPr="003446FA">
        <w:t>2009; 22:212</w:t>
      </w:r>
      <w:r>
        <w:noBreakHyphen/>
      </w:r>
      <w:r w:rsidRPr="003446FA">
        <w:t>21.</w:t>
      </w:r>
    </w:p>
  </w:endnote>
  <w:endnote w:id="37">
    <w:p w14:paraId="58875C7E" w14:textId="3BB7E73C" w:rsidR="0052544D" w:rsidRPr="003446FA" w:rsidRDefault="0052544D" w:rsidP="00314F78">
      <w:pPr>
        <w:pStyle w:val="Endnotes"/>
      </w:pPr>
      <w:r w:rsidRPr="003446FA">
        <w:rPr>
          <w:rStyle w:val="EndnoteReference"/>
          <w:rFonts w:cs="Arial"/>
          <w:szCs w:val="18"/>
        </w:rPr>
        <w:endnoteRef/>
      </w:r>
      <w:r>
        <w:tab/>
      </w:r>
      <w:r w:rsidRPr="003446FA">
        <w:t>Vilhena L, Ramalho A. Friction of human skin against different fabrics for medical use. Lubricants, 2016; 4(1): doi.org/10.3390/lubricants4010006</w:t>
      </w:r>
      <w:r>
        <w:t>.</w:t>
      </w:r>
    </w:p>
  </w:endnote>
  <w:endnote w:id="38">
    <w:p w14:paraId="383A0BFA" w14:textId="77777777" w:rsidR="0052544D" w:rsidRPr="003446FA" w:rsidRDefault="0052544D" w:rsidP="00314F78">
      <w:pPr>
        <w:pStyle w:val="Endnotes"/>
      </w:pPr>
      <w:r w:rsidRPr="003446FA">
        <w:rPr>
          <w:rStyle w:val="EndnoteReference"/>
          <w:rFonts w:cs="Arial"/>
          <w:szCs w:val="18"/>
        </w:rPr>
        <w:endnoteRef/>
      </w:r>
      <w:r>
        <w:tab/>
      </w:r>
      <w:r w:rsidRPr="003446FA">
        <w:t>Klaassen M, Schipper D, Masen M. Influence of the relative humidity and the temperature on the in-vivo friction behaviour of human skin. Biotribology, 2016; 6: 21-28.</w:t>
      </w:r>
    </w:p>
  </w:endnote>
  <w:endnote w:id="39">
    <w:p w14:paraId="25EA3895" w14:textId="77777777" w:rsidR="0052544D" w:rsidRPr="003446FA" w:rsidRDefault="0052544D" w:rsidP="00314F78">
      <w:pPr>
        <w:pStyle w:val="Endnotes"/>
      </w:pPr>
      <w:r w:rsidRPr="003446FA">
        <w:rPr>
          <w:rStyle w:val="EndnoteReference"/>
          <w:rFonts w:cs="Arial"/>
          <w:szCs w:val="18"/>
        </w:rPr>
        <w:endnoteRef/>
      </w:r>
      <w:r>
        <w:tab/>
      </w:r>
      <w:r w:rsidRPr="003446FA">
        <w:t>Nassaji M, Askari Z, Ghorbani R. Cigarette smoking and risk of pressure ulcer in adult intensive care unit patients. Int</w:t>
      </w:r>
      <w:r>
        <w:t> </w:t>
      </w:r>
      <w:r w:rsidRPr="003446FA">
        <w:t>J Nurs Pract, 2014; 20(4): 418-23.</w:t>
      </w:r>
    </w:p>
  </w:endnote>
  <w:endnote w:id="40">
    <w:p w14:paraId="25897FE7" w14:textId="77777777" w:rsidR="0052544D" w:rsidRPr="003446FA" w:rsidRDefault="0052544D" w:rsidP="00314F78">
      <w:pPr>
        <w:pStyle w:val="Endnotes"/>
      </w:pPr>
      <w:r w:rsidRPr="003446FA">
        <w:rPr>
          <w:rStyle w:val="EndnoteReference"/>
          <w:rFonts w:cs="Arial"/>
          <w:szCs w:val="18"/>
        </w:rPr>
        <w:endnoteRef/>
      </w:r>
      <w:r>
        <w:tab/>
      </w:r>
      <w:r w:rsidRPr="003446FA">
        <w:t>Nixon J, Nelson EA, Cranny G, Iglesias CP, Hawkins K, Cullum NA, Phillips A, Spilsbury K, Torgerson DJ, Mason S, PRESSURE Trial Group. Pressure relieving support surfaces: a randomised evaluation. Health Technol Assess, 2006; 10(22): iii-x, 1.</w:t>
      </w:r>
    </w:p>
  </w:endnote>
  <w:endnote w:id="41">
    <w:p w14:paraId="26FC773E" w14:textId="77777777" w:rsidR="0052544D" w:rsidRPr="003446FA" w:rsidRDefault="0052544D" w:rsidP="00314F78">
      <w:pPr>
        <w:pStyle w:val="Endnotes"/>
      </w:pPr>
      <w:r w:rsidRPr="003446FA">
        <w:rPr>
          <w:rStyle w:val="EndnoteReference"/>
          <w:rFonts w:cs="Arial"/>
          <w:szCs w:val="18"/>
        </w:rPr>
        <w:endnoteRef/>
      </w:r>
      <w:r>
        <w:tab/>
      </w:r>
      <w:r w:rsidRPr="003446FA">
        <w:t>Ranzani OT, Simpson ES, Japiassu AM, Noritomi DT, Amil Critical Care G. The challenge of predicting pressure ulcers in critically ill patients. A multicentre cohort study. Annals of the American Thoracic Society, 2016; 13(10): 1775</w:t>
      </w:r>
      <w:r>
        <w:noBreakHyphen/>
      </w:r>
      <w:r w:rsidRPr="003446FA">
        <w:t>1783.</w:t>
      </w:r>
    </w:p>
  </w:endnote>
  <w:endnote w:id="42">
    <w:p w14:paraId="3E775373" w14:textId="77777777" w:rsidR="0052544D" w:rsidRPr="003446FA" w:rsidRDefault="0052544D" w:rsidP="00314F78">
      <w:pPr>
        <w:pStyle w:val="Endnotes"/>
      </w:pPr>
      <w:r w:rsidRPr="003446FA">
        <w:rPr>
          <w:rStyle w:val="EndnoteReference"/>
          <w:rFonts w:cs="Arial"/>
          <w:szCs w:val="18"/>
        </w:rPr>
        <w:endnoteRef/>
      </w:r>
      <w:r>
        <w:tab/>
      </w:r>
      <w:r w:rsidRPr="003446FA">
        <w:t>de Souza D, de Gouveia SV. Incidence of pressure ulcers in the institutionalized elderly. Journal of Wound, Ostomoy and Continence Nursing: Official Publication of the Wound, Ostomy and Continence Nurses Society / WOCN, 2010; 37(3): 272-276.</w:t>
      </w:r>
    </w:p>
  </w:endnote>
  <w:endnote w:id="43">
    <w:p w14:paraId="02C93906" w14:textId="77777777" w:rsidR="0052544D" w:rsidRPr="003446FA" w:rsidRDefault="0052544D" w:rsidP="00314F78">
      <w:pPr>
        <w:pStyle w:val="Endnotes"/>
      </w:pPr>
      <w:r w:rsidRPr="003446FA">
        <w:rPr>
          <w:rStyle w:val="EndnoteReference"/>
          <w:rFonts w:cs="Arial"/>
          <w:szCs w:val="18"/>
        </w:rPr>
        <w:endnoteRef/>
      </w:r>
      <w:r>
        <w:tab/>
      </w:r>
      <w:r w:rsidRPr="003446FA">
        <w:t>Smith IL, Brown S, McGinnis E, Briggs M, Coleman S, Dealey C, Muir D, Nelson EA, Stevenson R, Stubbs N, Wilson</w:t>
      </w:r>
      <w:r>
        <w:t> </w:t>
      </w:r>
      <w:r w:rsidRPr="003446FA">
        <w:t>L, Brown JM, Nixon J. Exploring the role of pain as an early predictor of category 2 pressure ulcers: A prospective cohort study. BMJ Open, 2017; 7(1): e013623.</w:t>
      </w:r>
    </w:p>
  </w:endnote>
  <w:endnote w:id="44">
    <w:p w14:paraId="7C9D5146" w14:textId="77777777" w:rsidR="0052544D" w:rsidRPr="003446FA" w:rsidRDefault="0052544D" w:rsidP="00314F78">
      <w:pPr>
        <w:pStyle w:val="Endnotes"/>
      </w:pPr>
      <w:r w:rsidRPr="003446FA">
        <w:rPr>
          <w:rStyle w:val="EndnoteReference"/>
          <w:rFonts w:cs="Arial"/>
          <w:szCs w:val="18"/>
        </w:rPr>
        <w:endnoteRef/>
      </w:r>
      <w:r>
        <w:tab/>
      </w:r>
      <w:r w:rsidRPr="003446FA">
        <w:t>Nixon J, Nelson EA, Cranny G, Iglesias CP, Hawkins K, Cullum NA, Phillips A, Spilsbury K, Torgerson DJ, Mason S, PRESSURE Trial Group. Pressure relieving support surfaces: a randomised evaluation. Health Technol Assess, 2006; 10(22): iii-x, 1.</w:t>
      </w:r>
    </w:p>
  </w:endnote>
  <w:endnote w:id="45">
    <w:p w14:paraId="3A43F02E" w14:textId="77777777" w:rsidR="0052544D" w:rsidRPr="003446FA" w:rsidRDefault="0052544D" w:rsidP="00314F78">
      <w:pPr>
        <w:pStyle w:val="Endnotes"/>
      </w:pPr>
      <w:r w:rsidRPr="003446FA">
        <w:rPr>
          <w:rStyle w:val="EndnoteReference"/>
          <w:rFonts w:cs="Arial"/>
          <w:szCs w:val="18"/>
        </w:rPr>
        <w:endnoteRef/>
      </w:r>
      <w:r>
        <w:tab/>
      </w:r>
      <w:r w:rsidRPr="003446FA">
        <w:t>Abrampah NM, Syed SB, Hirschhorn LR, Nambiar B, Iqbal U, Garcia-Elorrio E, Chattu VK, Devnani M, Kelley E. Quality improvement and emerging global health priorities. International Journal for Quality in Health Care, 2018; 30(1): 5-9.</w:t>
      </w:r>
    </w:p>
  </w:endnote>
  <w:endnote w:id="46">
    <w:p w14:paraId="5B61E7F4" w14:textId="77777777" w:rsidR="0052544D" w:rsidRPr="003446FA" w:rsidRDefault="0052544D" w:rsidP="00314F78">
      <w:pPr>
        <w:pStyle w:val="Endnotes"/>
      </w:pPr>
      <w:r w:rsidRPr="003446FA">
        <w:rPr>
          <w:rStyle w:val="EndnoteReference"/>
          <w:rFonts w:cs="Arial"/>
          <w:szCs w:val="18"/>
        </w:rPr>
        <w:endnoteRef/>
      </w:r>
      <w:r>
        <w:tab/>
      </w:r>
      <w:r w:rsidRPr="003446FA">
        <w:t>Nelson EC, Batalden PB, Godfrey MM. Quality by design. San Francisco, CA: Jossey-Bass; 2007.</w:t>
      </w:r>
    </w:p>
  </w:endnote>
  <w:endnote w:id="47">
    <w:p w14:paraId="493BB413" w14:textId="733918EF" w:rsidR="0052544D" w:rsidRPr="007A792A" w:rsidRDefault="0052544D" w:rsidP="00314F78">
      <w:pPr>
        <w:pStyle w:val="Endnotes"/>
      </w:pPr>
      <w:r w:rsidRPr="003446FA">
        <w:rPr>
          <w:rStyle w:val="EndnoteReference"/>
          <w:rFonts w:cs="Arial"/>
          <w:szCs w:val="18"/>
        </w:rPr>
        <w:endnoteRef/>
      </w:r>
      <w:r>
        <w:tab/>
      </w:r>
      <w:r w:rsidRPr="003446FA">
        <w:t xml:space="preserve">Institute for Healthcare Improvement. How to improve, 2021. Sourced at </w:t>
      </w:r>
      <w:hyperlink r:id="rId3" w:history="1">
        <w:r w:rsidRPr="001F0F8D">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48">
    <w:p w14:paraId="36D58C34" w14:textId="5E3F8C30" w:rsidR="0052544D" w:rsidRPr="007A792A" w:rsidRDefault="0052544D" w:rsidP="00314F78">
      <w:pPr>
        <w:pStyle w:val="Endnotes"/>
      </w:pPr>
      <w:r w:rsidRPr="003446FA">
        <w:rPr>
          <w:rStyle w:val="EndnoteReference"/>
          <w:rFonts w:cs="Arial"/>
          <w:szCs w:val="18"/>
        </w:rPr>
        <w:endnoteRef/>
      </w:r>
      <w:r>
        <w:tab/>
        <w:t xml:space="preserve">Family and Community Services. Restrictive Practices Guidance Physical Restraint. Sourced at </w:t>
      </w:r>
      <w:r w:rsidRPr="00F823C8">
        <w:t>Restrictive Practices Resources physical restraint guidance (nsw.gov.au)</w:t>
      </w:r>
      <w:r w:rsidR="00EC17D6">
        <w:t>.</w:t>
      </w:r>
    </w:p>
  </w:endnote>
  <w:endnote w:id="49">
    <w:p w14:paraId="39707A83" w14:textId="46F1E5A1" w:rsidR="0052544D" w:rsidRPr="007A792A" w:rsidRDefault="0052544D" w:rsidP="00314F78">
      <w:pPr>
        <w:pStyle w:val="Endnotes"/>
      </w:pPr>
      <w:r w:rsidRPr="007A792A">
        <w:rPr>
          <w:rStyle w:val="EndnoteReference"/>
          <w:szCs w:val="18"/>
        </w:rPr>
        <w:endnoteRef/>
      </w:r>
      <w:r>
        <w:tab/>
      </w:r>
      <w:r w:rsidRPr="005F1C9B">
        <w:t xml:space="preserve">Bellenger E, Ibrahim JE, Bugeja L, Kennedy B. </w:t>
      </w:r>
      <w:hyperlink r:id="rId4" w:history="1">
        <w:r w:rsidRPr="005F1C9B">
          <w:rPr>
            <w:rStyle w:val="Hyperlink"/>
            <w:color w:val="auto"/>
            <w:szCs w:val="18"/>
            <w:u w:val="none"/>
          </w:rPr>
          <w:t>Physical restraint deaths in a 13-year national cohort of nursing home care recipients. Oxford Academic,</w:t>
        </w:r>
      </w:hyperlink>
      <w:r w:rsidRPr="005F1C9B">
        <w:rPr>
          <w:rStyle w:val="Hyperlink"/>
          <w:color w:val="auto"/>
          <w:szCs w:val="18"/>
          <w:u w:val="none"/>
        </w:rPr>
        <w:t xml:space="preserve"> 2017, 46(4): 688-693</w:t>
      </w:r>
      <w:r w:rsidR="00EC17D6">
        <w:rPr>
          <w:rStyle w:val="Hyperlink"/>
          <w:color w:val="auto"/>
          <w:szCs w:val="18"/>
          <w:u w:val="none"/>
        </w:rPr>
        <w:t>.</w:t>
      </w:r>
    </w:p>
  </w:endnote>
  <w:endnote w:id="50">
    <w:p w14:paraId="13C5E562" w14:textId="4A1D6B3F" w:rsidR="0052544D" w:rsidRPr="007A792A" w:rsidRDefault="0052544D" w:rsidP="00314F78">
      <w:pPr>
        <w:pStyle w:val="Endnotes"/>
      </w:pPr>
      <w:r w:rsidRPr="007A792A">
        <w:rPr>
          <w:rStyle w:val="EndnoteReference"/>
          <w:szCs w:val="18"/>
        </w:rPr>
        <w:endnoteRef/>
      </w:r>
      <w:r>
        <w:tab/>
        <w:t xml:space="preserve">Victoria State Government Health and Human Services. Physical restraint standardised care process, 2018. Sourced at </w:t>
      </w:r>
      <w:hyperlink r:id="rId5" w:history="1">
        <w:r w:rsidR="00163980" w:rsidRPr="00D043B3">
          <w:rPr>
            <w:rStyle w:val="Hyperlink"/>
          </w:rPr>
          <w:t>https://www.health.vic.gov.au/residential-aged-care/standardised-care-processes</w:t>
        </w:r>
      </w:hyperlink>
      <w:r w:rsidR="00163980">
        <w:t>.</w:t>
      </w:r>
    </w:p>
  </w:endnote>
  <w:endnote w:id="51">
    <w:p w14:paraId="1FB2D0D1" w14:textId="65A827A0" w:rsidR="0052544D" w:rsidRDefault="0052544D" w:rsidP="00314F78">
      <w:pPr>
        <w:pStyle w:val="Endnotes"/>
      </w:pPr>
      <w:r w:rsidRPr="007A792A">
        <w:rPr>
          <w:rStyle w:val="EndnoteReference"/>
          <w:szCs w:val="18"/>
        </w:rPr>
        <w:endnoteRef/>
      </w:r>
      <w:r>
        <w:tab/>
      </w:r>
      <w:r w:rsidRPr="007A792A">
        <w:t xml:space="preserve">Department of Veterans’ Affairs, 2019, Veterans’ Mates—Helping your patients with cognitive impairment to live well at home. Sourced </w:t>
      </w:r>
      <w:hyperlink r:id="rId6" w:history="1">
        <w:r w:rsidR="00163980" w:rsidRPr="00D043B3">
          <w:rPr>
            <w:rStyle w:val="Hyperlink"/>
          </w:rPr>
          <w:t>https://www.veteransmates.net.au/topic-54-therapeutic-brief</w:t>
        </w:r>
      </w:hyperlink>
      <w:r w:rsidR="00163980">
        <w:t xml:space="preserve">. </w:t>
      </w:r>
    </w:p>
  </w:endnote>
  <w:endnote w:id="52">
    <w:p w14:paraId="2A01A4C3" w14:textId="77777777" w:rsidR="0052544D" w:rsidRPr="007A792A" w:rsidRDefault="0052544D" w:rsidP="00314F78">
      <w:pPr>
        <w:pStyle w:val="Endnotes"/>
      </w:pPr>
      <w:r w:rsidRPr="007A792A">
        <w:rPr>
          <w:rStyle w:val="EndnoteReference"/>
          <w:szCs w:val="18"/>
        </w:rPr>
        <w:endnoteRef/>
      </w:r>
      <w:r>
        <w:tab/>
      </w:r>
      <w:r w:rsidRPr="007A792A">
        <w:t>Burns K, Jayasinha R, Tsang R, Brodaty H. Behaviour Management: A Guide to Good Practice Managing Behavioural and Psychological Symptoms of Dementia (BPSD). 2012, Dementia Collaborative Research Centre: Kensington, NSW.</w:t>
      </w:r>
    </w:p>
  </w:endnote>
  <w:endnote w:id="53">
    <w:p w14:paraId="459BB155" w14:textId="77777777" w:rsidR="0052544D" w:rsidRPr="003446FA" w:rsidRDefault="0052544D" w:rsidP="00314F78">
      <w:pPr>
        <w:pStyle w:val="Endnotes"/>
      </w:pPr>
      <w:r w:rsidRPr="003446FA">
        <w:rPr>
          <w:rStyle w:val="EndnoteReference"/>
          <w:rFonts w:cs="Arial"/>
          <w:szCs w:val="18"/>
        </w:rPr>
        <w:endnoteRef/>
      </w:r>
      <w:r>
        <w:tab/>
      </w:r>
      <w:r w:rsidRPr="003446FA">
        <w:t>Abrampah NM, Syed SB, Hirschhorn LR, Nambiar B, Iqbal U, Garcia-Elorrio E, Chattu VK, Devnani M, Kelley E. Quality improvement and emerging global health priorities. International Journal for Quality in Health Care, 2018; 30(1): 5-9.</w:t>
      </w:r>
    </w:p>
  </w:endnote>
  <w:endnote w:id="54">
    <w:p w14:paraId="00EED82F" w14:textId="77777777" w:rsidR="0052544D" w:rsidRPr="003446FA" w:rsidRDefault="0052544D" w:rsidP="00314F78">
      <w:pPr>
        <w:pStyle w:val="Endnotes"/>
      </w:pPr>
      <w:r w:rsidRPr="003446FA">
        <w:rPr>
          <w:rStyle w:val="EndnoteReference"/>
          <w:rFonts w:cs="Arial"/>
          <w:szCs w:val="18"/>
        </w:rPr>
        <w:endnoteRef/>
      </w:r>
      <w:r>
        <w:tab/>
      </w:r>
      <w:r w:rsidRPr="003446FA">
        <w:t>Nelson EC, Batalden PB, Godfrey MM. Quality by design. San Francisco, CA: Jossey-Bass; 2007.</w:t>
      </w:r>
    </w:p>
  </w:endnote>
  <w:endnote w:id="55">
    <w:p w14:paraId="31D9D1A7" w14:textId="53FAF384" w:rsidR="0052544D" w:rsidRPr="007A792A" w:rsidRDefault="0052544D" w:rsidP="00314F78">
      <w:pPr>
        <w:pStyle w:val="Endnotes"/>
      </w:pPr>
      <w:r w:rsidRPr="003446FA">
        <w:rPr>
          <w:rStyle w:val="EndnoteReference"/>
          <w:rFonts w:cs="Arial"/>
          <w:szCs w:val="18"/>
        </w:rPr>
        <w:endnoteRef/>
      </w:r>
      <w:r>
        <w:tab/>
      </w:r>
      <w:r w:rsidRPr="003446FA">
        <w:t xml:space="preserve">Institute for Healthcare Improvement. How to improve, 2021. Sourced at </w:t>
      </w:r>
      <w:hyperlink r:id="rId7" w:history="1">
        <w:r w:rsidRPr="0011229E">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56">
    <w:p w14:paraId="3A1F721B" w14:textId="749DBAF7" w:rsidR="00177EEF" w:rsidRDefault="00177EEF" w:rsidP="00314F78">
      <w:pPr>
        <w:pStyle w:val="EndnoteText"/>
      </w:pPr>
      <w:r>
        <w:rPr>
          <w:rStyle w:val="EndnoteReference"/>
        </w:rPr>
        <w:endnoteRef/>
      </w:r>
      <w:r>
        <w:t xml:space="preserve"> </w:t>
      </w:r>
      <w:r w:rsidR="00752822" w:rsidRPr="00752822">
        <w:t>O’Shea M-C, Bauer J, Barrett C, Corones-Watkins K, Kellett U, Maloney S, Williams LT, Osadnik C, Foo J. Malnutrition Prevalence in Australian Residential Aged Care Facilities: A Cross-Sectional Study. </w:t>
      </w:r>
      <w:r w:rsidR="00752822" w:rsidRPr="00752822">
        <w:rPr>
          <w:i/>
          <w:iCs/>
        </w:rPr>
        <w:t>Healthcare</w:t>
      </w:r>
      <w:r w:rsidR="00752822" w:rsidRPr="00752822">
        <w:t>. 2024; 12(13):1296. https://doi.org/10.3390/healthcare12131296</w:t>
      </w:r>
    </w:p>
  </w:endnote>
  <w:endnote w:id="57">
    <w:p w14:paraId="3205E446" w14:textId="6D08FF43" w:rsidR="00F70A1A" w:rsidRDefault="00F70A1A" w:rsidP="00314F78">
      <w:pPr>
        <w:pStyle w:val="EndnoteText"/>
      </w:pPr>
      <w:r>
        <w:rPr>
          <w:rStyle w:val="EndnoteReference"/>
        </w:rPr>
        <w:endnoteRef/>
      </w:r>
      <w:r>
        <w:t xml:space="preserve"> </w:t>
      </w:r>
      <w:r w:rsidR="00982EDF" w:rsidRPr="00982EDF">
        <w:t xml:space="preserve">Mayo Clinic. Senior health: How to prevent and detect malnutrition, 2019. Sourced at </w:t>
      </w:r>
      <w:hyperlink r:id="rId8" w:history="1">
        <w:r w:rsidR="00982EDF" w:rsidRPr="00982EDF">
          <w:rPr>
            <w:rStyle w:val="Hyperlink"/>
          </w:rPr>
          <w:t>https://www.mayoclinic.org/healthy-lifestyle/caregivers/in-depth/senior-health/art-20044699</w:t>
        </w:r>
      </w:hyperlink>
      <w:r w:rsidR="00982EDF" w:rsidRPr="00982EDF">
        <w:t>.</w:t>
      </w:r>
    </w:p>
  </w:endnote>
  <w:endnote w:id="58">
    <w:p w14:paraId="19A7DC4A" w14:textId="4A56F25C" w:rsidR="000E0681" w:rsidRDefault="000E0681" w:rsidP="00314F78">
      <w:pPr>
        <w:pStyle w:val="EndnoteText"/>
      </w:pPr>
      <w:r>
        <w:rPr>
          <w:rStyle w:val="EndnoteReference"/>
        </w:rPr>
        <w:endnoteRef/>
      </w:r>
      <w:r>
        <w:t xml:space="preserve"> </w:t>
      </w:r>
      <w:r w:rsidRPr="000E0681">
        <w:t>Hugo C, Isenring E, Sinclair D, Agarwal E. What does it cost to feed aged care care recipients?. Nutrition and Dietetics, 2018, 75: 6-10.</w:t>
      </w:r>
    </w:p>
  </w:endnote>
  <w:endnote w:id="59">
    <w:p w14:paraId="17707D2F" w14:textId="77777777" w:rsidR="0052544D" w:rsidRPr="003446FA" w:rsidRDefault="0052544D" w:rsidP="00314F78">
      <w:pPr>
        <w:pStyle w:val="Endnotes"/>
      </w:pPr>
      <w:r w:rsidRPr="003446FA">
        <w:rPr>
          <w:rStyle w:val="EndnoteReference"/>
          <w:rFonts w:cs="Arial"/>
          <w:szCs w:val="18"/>
        </w:rPr>
        <w:endnoteRef/>
      </w:r>
      <w:r>
        <w:tab/>
      </w:r>
      <w:r w:rsidRPr="003446FA">
        <w:t>Flanagan D, Fisher T, Murray M, Visvanathan R, Charlton K, Thesing C, Quigley G, Walther K. Managing undernutrition in the elderly Australian Family Physician. Australian Family Physician, 2012, 41(9): 695-699.</w:t>
      </w:r>
    </w:p>
  </w:endnote>
  <w:endnote w:id="60">
    <w:p w14:paraId="517F3A6E" w14:textId="77777777" w:rsidR="0052544D" w:rsidRPr="003446FA" w:rsidRDefault="0052544D" w:rsidP="00314F78">
      <w:pPr>
        <w:pStyle w:val="Endnotes"/>
      </w:pPr>
      <w:r w:rsidRPr="003446FA">
        <w:rPr>
          <w:rStyle w:val="EndnoteReference"/>
          <w:rFonts w:cs="Arial"/>
          <w:szCs w:val="18"/>
        </w:rPr>
        <w:endnoteRef/>
      </w:r>
      <w:r>
        <w:tab/>
      </w:r>
      <w:r w:rsidRPr="003446FA">
        <w:t>Huffman GB. Evaluating and treating unintentional weight loss in the elderly. American Family Physician, 2002, 65(4): 640-50.</w:t>
      </w:r>
    </w:p>
  </w:endnote>
  <w:endnote w:id="61">
    <w:p w14:paraId="4F4F9C74" w14:textId="0BEC1B5F" w:rsidR="0052544D" w:rsidRPr="005F1C9B" w:rsidRDefault="0052544D" w:rsidP="00314F78">
      <w:pPr>
        <w:pStyle w:val="Endnotes"/>
        <w:rPr>
          <w:szCs w:val="18"/>
        </w:rPr>
      </w:pPr>
      <w:r w:rsidRPr="003446FA">
        <w:rPr>
          <w:rStyle w:val="EndnoteReference"/>
          <w:rFonts w:cs="Arial"/>
          <w:szCs w:val="18"/>
        </w:rPr>
        <w:endnoteRef/>
      </w:r>
      <w:r>
        <w:tab/>
      </w:r>
      <w:r w:rsidRPr="005F1C9B">
        <w:t>Mayo Clinic. Senior health: How to prevent and detect malnutrition,</w:t>
      </w:r>
      <w:r w:rsidRPr="005F1C9B">
        <w:rPr>
          <w:rStyle w:val="Hyperlink"/>
          <w:color w:val="auto"/>
          <w:szCs w:val="18"/>
          <w:u w:val="none"/>
        </w:rPr>
        <w:t xml:space="preserve"> 2019. Sourced at </w:t>
      </w:r>
      <w:hyperlink r:id="rId9" w:history="1">
        <w:r w:rsidR="00EC17D6" w:rsidRPr="0003022F">
          <w:rPr>
            <w:rStyle w:val="Hyperlink"/>
            <w:szCs w:val="18"/>
          </w:rPr>
          <w:t>https://www.mayoclinic.org/healthy-lifestyle/caregivers/in-depth/senior-health/art-20044699</w:t>
        </w:r>
      </w:hyperlink>
      <w:r w:rsidR="00EC17D6" w:rsidRPr="00EC17D6">
        <w:rPr>
          <w:szCs w:val="18"/>
        </w:rPr>
        <w:t>.</w:t>
      </w:r>
      <w:r w:rsidR="00EC17D6">
        <w:rPr>
          <w:szCs w:val="18"/>
        </w:rPr>
        <w:t xml:space="preserve"> </w:t>
      </w:r>
    </w:p>
  </w:endnote>
  <w:endnote w:id="62">
    <w:p w14:paraId="0360F008" w14:textId="7BE2B53E" w:rsidR="0052544D" w:rsidRPr="005F1C9B" w:rsidRDefault="0052544D" w:rsidP="00314F78">
      <w:pPr>
        <w:pStyle w:val="Endnotes"/>
      </w:pPr>
      <w:r w:rsidRPr="003446FA">
        <w:rPr>
          <w:rStyle w:val="EndnoteReference"/>
          <w:rFonts w:cs="Arial"/>
          <w:szCs w:val="18"/>
        </w:rPr>
        <w:endnoteRef/>
      </w:r>
      <w:r>
        <w:tab/>
      </w:r>
      <w:r w:rsidRPr="005F1C9B">
        <w:t>Hugo C, Isenring E, Sinclair D, Agarwal E. What does it cost to feed aged care care recipients?. Nutrition and Dietetics, 2018, 75: 6-10</w:t>
      </w:r>
      <w:r w:rsidR="00EC17D6">
        <w:t>.</w:t>
      </w:r>
    </w:p>
  </w:endnote>
  <w:endnote w:id="63">
    <w:p w14:paraId="38E51C74" w14:textId="43501265" w:rsidR="0052544D" w:rsidRPr="005F1C9B" w:rsidRDefault="0052544D" w:rsidP="00314F78">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r w:rsidR="00EC17D6">
        <w:t>.</w:t>
      </w:r>
    </w:p>
  </w:endnote>
  <w:endnote w:id="64">
    <w:p w14:paraId="488154CC"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Huffman GB. Evaluating and treating unintentional weight loss in the elderly. American Family Physician, 2002, 65(4): 640-50.</w:t>
      </w:r>
    </w:p>
  </w:endnote>
  <w:endnote w:id="65">
    <w:p w14:paraId="49F601A0" w14:textId="71DE84BB" w:rsidR="0052544D" w:rsidRPr="005F1C9B" w:rsidRDefault="0052544D" w:rsidP="00314F78">
      <w:pPr>
        <w:pStyle w:val="Endnotes"/>
        <w:rPr>
          <w:szCs w:val="18"/>
        </w:rPr>
      </w:pPr>
      <w:r w:rsidRPr="005F1C9B">
        <w:rPr>
          <w:rStyle w:val="EndnoteReference"/>
          <w:rFonts w:cs="Arial"/>
          <w:szCs w:val="18"/>
        </w:rPr>
        <w:endnoteRef/>
      </w:r>
      <w:r w:rsidRPr="005F1C9B">
        <w:tab/>
        <w:t>Mayo Clinic. Senior health: How to prevent and detect malnutrition,</w:t>
      </w:r>
      <w:r w:rsidRPr="005F1C9B">
        <w:rPr>
          <w:rStyle w:val="Hyperlink"/>
          <w:color w:val="auto"/>
          <w:szCs w:val="18"/>
          <w:u w:val="none"/>
        </w:rPr>
        <w:t xml:space="preserve"> 2019. Sourced at </w:t>
      </w:r>
      <w:hyperlink r:id="rId10" w:history="1">
        <w:r w:rsidRPr="0011229E">
          <w:rPr>
            <w:rStyle w:val="Hyperlink"/>
            <w:szCs w:val="18"/>
          </w:rPr>
          <w:t>https://www.mayoclinic.org/healthy-lifestyle/caregivers/in-depth/senior-health/art-20044699</w:t>
        </w:r>
      </w:hyperlink>
      <w:r w:rsidR="00EC17D6" w:rsidRPr="00EC17D6">
        <w:rPr>
          <w:rStyle w:val="Hyperlink"/>
          <w:color w:val="auto"/>
          <w:szCs w:val="18"/>
          <w:u w:val="none"/>
        </w:rPr>
        <w:t>.</w:t>
      </w:r>
    </w:p>
  </w:endnote>
  <w:endnote w:id="66">
    <w:p w14:paraId="020E9BF1" w14:textId="77777777" w:rsidR="0052544D" w:rsidRPr="005F1C9B" w:rsidRDefault="0052544D" w:rsidP="00314F78">
      <w:pPr>
        <w:pStyle w:val="Endnotes"/>
      </w:pPr>
      <w:r w:rsidRPr="005F1C9B">
        <w:rPr>
          <w:rStyle w:val="EndnoteReference"/>
          <w:rFonts w:cs="Arial"/>
          <w:szCs w:val="18"/>
        </w:rPr>
        <w:endnoteRef/>
      </w:r>
      <w:r w:rsidRPr="005F1C9B">
        <w:tab/>
        <w:t>Hugo C, Isenring E, Sinclair D, Agarwal E. What does it cost to feed aged care care recipients?. Nutrition and Dietetics, 2018, 75: 6-10.</w:t>
      </w:r>
    </w:p>
  </w:endnote>
  <w:endnote w:id="67">
    <w:p w14:paraId="05812799" w14:textId="77777777" w:rsidR="0052544D" w:rsidRPr="005F1C9B" w:rsidRDefault="0052544D" w:rsidP="00314F78">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68">
    <w:p w14:paraId="46D8D128" w14:textId="77777777" w:rsidR="0052544D" w:rsidRPr="005F1C9B" w:rsidRDefault="0052544D" w:rsidP="00314F78">
      <w:pPr>
        <w:pStyle w:val="Endnotes"/>
      </w:pPr>
      <w:r w:rsidRPr="005F1C9B">
        <w:rPr>
          <w:rStyle w:val="EndnoteReference"/>
          <w:rFonts w:cs="Arial"/>
          <w:szCs w:val="18"/>
        </w:rPr>
        <w:endnoteRef/>
      </w:r>
      <w:r w:rsidRPr="005F1C9B">
        <w:tab/>
        <w:t>Wang D, Everett B, Brunero S, Northall T. Perspectives of care recipients and staff regarding food choices in residential aged care. Journal of Clinical Nursing, 2019, 29(3-4): 626-37.</w:t>
      </w:r>
    </w:p>
  </w:endnote>
  <w:endnote w:id="69">
    <w:p w14:paraId="085C0221" w14:textId="618EE977" w:rsidR="0052544D" w:rsidRPr="005F1C9B" w:rsidRDefault="0052544D" w:rsidP="00314F78">
      <w:pPr>
        <w:pStyle w:val="Endnotes"/>
        <w:rPr>
          <w:szCs w:val="18"/>
        </w:rPr>
      </w:pPr>
      <w:r w:rsidRPr="005F1C9B">
        <w:rPr>
          <w:rStyle w:val="EndnoteReference"/>
          <w:rFonts w:cs="Arial"/>
          <w:szCs w:val="18"/>
        </w:rPr>
        <w:endnoteRef/>
      </w:r>
      <w:r w:rsidRPr="005F1C9B">
        <w:tab/>
      </w:r>
      <w:hyperlink r:id="rId11" w:history="1">
        <w:r w:rsidRPr="005F1C9B">
          <w:rPr>
            <w:rStyle w:val="Hyperlink"/>
            <w:color w:val="auto"/>
            <w:szCs w:val="18"/>
            <w:u w:val="none"/>
          </w:rPr>
          <w:t>Health</w:t>
        </w:r>
      </w:hyperlink>
      <w:r w:rsidRPr="005F1C9B">
        <w:rPr>
          <w:rStyle w:val="Hyperlink"/>
          <w:color w:val="auto"/>
          <w:szCs w:val="18"/>
          <w:u w:val="none"/>
        </w:rPr>
        <w:t xml:space="preserve"> and Human Services (Victoria). Unplanned weight loss, 2016. Sourced at </w:t>
      </w:r>
      <w:hyperlink r:id="rId12" w:history="1">
        <w:r w:rsidRPr="0011229E">
          <w:rPr>
            <w:rStyle w:val="Hyperlink"/>
            <w:szCs w:val="18"/>
          </w:rPr>
          <w:t>https://www2.health.vic.gov.au/ageing-and-aged-care/residential-aged-care/safety-and-quality/participating-with-consumers</w:t>
        </w:r>
      </w:hyperlink>
      <w:r w:rsidR="00EC17D6" w:rsidRPr="00EC17D6">
        <w:rPr>
          <w:rStyle w:val="Hyperlink"/>
          <w:color w:val="auto"/>
          <w:szCs w:val="18"/>
          <w:u w:val="none"/>
        </w:rPr>
        <w:t>.</w:t>
      </w:r>
    </w:p>
  </w:endnote>
  <w:endnote w:id="70">
    <w:p w14:paraId="5D0B1480" w14:textId="77777777" w:rsidR="0052544D" w:rsidRPr="005F1C9B" w:rsidRDefault="0052544D" w:rsidP="00314F78">
      <w:pPr>
        <w:pStyle w:val="Endnotes"/>
      </w:pPr>
      <w:r w:rsidRPr="005F1C9B">
        <w:rPr>
          <w:rStyle w:val="EndnoteReference"/>
          <w:rFonts w:cs="Arial"/>
          <w:szCs w:val="18"/>
        </w:rPr>
        <w:endnoteRef/>
      </w:r>
      <w:r w:rsidRPr="005F1C9B">
        <w:rPr>
          <w:rStyle w:val="Hyperlink"/>
          <w:color w:val="auto"/>
          <w:szCs w:val="18"/>
          <w:u w:val="none"/>
        </w:rPr>
        <w:tab/>
        <w:t>Agarwal E, Marshall S, Miller M, Isenring E.</w:t>
      </w:r>
      <w:r w:rsidRPr="005F1C9B">
        <w:t xml:space="preserve"> Optimising nutrition in residential aged care: A narrative review. Maturitas, 2016, 92: 70-78.</w:t>
      </w:r>
    </w:p>
  </w:endnote>
  <w:endnote w:id="71">
    <w:p w14:paraId="0D1E58EE" w14:textId="77777777" w:rsidR="0052544D" w:rsidRPr="005F1C9B" w:rsidRDefault="0052544D" w:rsidP="00314F78">
      <w:pPr>
        <w:pStyle w:val="Endnotes"/>
      </w:pPr>
      <w:r w:rsidRPr="005F1C9B">
        <w:rPr>
          <w:rStyle w:val="EndnoteReference"/>
          <w:rFonts w:cs="Arial"/>
          <w:szCs w:val="18"/>
        </w:rPr>
        <w:endnoteRef/>
      </w:r>
      <w:r w:rsidRPr="005F1C9B">
        <w:tab/>
        <w:t>Wang D, Everett B, Brunero S, Northall T. Perspectives of care recipients and staff regarding food choices in residential aged care. Journal of Clinical Nursing, 2019, 29(3-4): 626-37.</w:t>
      </w:r>
    </w:p>
  </w:endnote>
  <w:endnote w:id="72">
    <w:p w14:paraId="72AA9840" w14:textId="78887616" w:rsidR="0052544D" w:rsidRPr="005F1C9B" w:rsidRDefault="0052544D" w:rsidP="00314F78">
      <w:pPr>
        <w:pStyle w:val="Endnotes"/>
        <w:rPr>
          <w:szCs w:val="18"/>
        </w:rPr>
      </w:pPr>
      <w:r w:rsidRPr="005F1C9B">
        <w:rPr>
          <w:rStyle w:val="EndnoteReference"/>
          <w:rFonts w:cs="Arial"/>
          <w:szCs w:val="18"/>
        </w:rPr>
        <w:endnoteRef/>
      </w:r>
      <w:r w:rsidRPr="005F1C9B">
        <w:tab/>
      </w:r>
      <w:hyperlink r:id="rId13" w:history="1">
        <w:r w:rsidRPr="005F1C9B">
          <w:rPr>
            <w:rStyle w:val="Hyperlink"/>
            <w:color w:val="auto"/>
            <w:szCs w:val="18"/>
            <w:u w:val="none"/>
          </w:rPr>
          <w:t>Health</w:t>
        </w:r>
      </w:hyperlink>
      <w:r w:rsidRPr="005F1C9B">
        <w:rPr>
          <w:rStyle w:val="Hyperlink"/>
          <w:color w:val="auto"/>
          <w:szCs w:val="18"/>
          <w:u w:val="none"/>
        </w:rPr>
        <w:t xml:space="preserve"> and Human Services (Victoria). Unplanned weight loss, 2016. Sourced at </w:t>
      </w:r>
      <w:hyperlink r:id="rId14" w:history="1">
        <w:r w:rsidRPr="0011229E">
          <w:rPr>
            <w:rStyle w:val="Hyperlink"/>
            <w:szCs w:val="18"/>
          </w:rPr>
          <w:t>https://www2.health.vic.gov.au/ageing-and-aged-care/residential-aged-care/safety-and-quality/participating-with-consumers</w:t>
        </w:r>
      </w:hyperlink>
      <w:r w:rsidR="00EC17D6" w:rsidRPr="00EC17D6">
        <w:rPr>
          <w:rStyle w:val="Hyperlink"/>
          <w:color w:val="auto"/>
          <w:szCs w:val="18"/>
          <w:u w:val="none"/>
        </w:rPr>
        <w:t>.</w:t>
      </w:r>
    </w:p>
  </w:endnote>
  <w:endnote w:id="73">
    <w:p w14:paraId="071935D1"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4">
    <w:p w14:paraId="6D32535D" w14:textId="77777777" w:rsidR="0052544D" w:rsidRPr="005F1C9B" w:rsidRDefault="0052544D" w:rsidP="00314F78">
      <w:pPr>
        <w:pStyle w:val="Endnotes"/>
      </w:pPr>
      <w:r w:rsidRPr="005F1C9B">
        <w:rPr>
          <w:rStyle w:val="EndnoteReference"/>
          <w:rFonts w:cs="Arial"/>
          <w:szCs w:val="18"/>
        </w:rPr>
        <w:endnoteRef/>
      </w:r>
      <w:r w:rsidRPr="005F1C9B">
        <w:rPr>
          <w:rStyle w:val="Hyperlink"/>
          <w:color w:val="auto"/>
          <w:szCs w:val="18"/>
          <w:u w:val="none"/>
        </w:rPr>
        <w:tab/>
        <w:t>Bauer J, Biolo G, Cederholm T, Cesari M, Cruz-Jentoft AJ, Morley JE, Phillips S, Sieber C, Stehle P, Teta D, Visvanathan R, Volpi E, Boirie Y. Evidence-based recommendations for optimal dietary protein intake in older people: a position paper from the PROT-AGE Study Group. J Am Med Dir Assoc. 2013,14(8):542-59.</w:t>
      </w:r>
    </w:p>
  </w:endnote>
  <w:endnote w:id="75">
    <w:p w14:paraId="3EB4F8B8" w14:textId="77777777" w:rsidR="0052544D" w:rsidRPr="005F1C9B" w:rsidRDefault="0052544D" w:rsidP="00314F78">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6">
    <w:p w14:paraId="3FB66DE8" w14:textId="7578D147" w:rsidR="0052544D" w:rsidRPr="005F1C9B" w:rsidRDefault="0052544D" w:rsidP="00314F78">
      <w:pPr>
        <w:pStyle w:val="Endnotes"/>
      </w:pPr>
      <w:r w:rsidRPr="005F1C9B">
        <w:rPr>
          <w:rStyle w:val="EndnoteReference"/>
          <w:rFonts w:cs="Arial"/>
          <w:szCs w:val="18"/>
        </w:rPr>
        <w:endnoteRef/>
      </w:r>
      <w:r w:rsidRPr="005F1C9B">
        <w:tab/>
        <w:t>Victorian Department of Health and Human Services. Quality indicators in public sector residential aged care services: Resource materials. Victoria: State Government; 2015.</w:t>
      </w:r>
    </w:p>
  </w:endnote>
  <w:endnote w:id="77">
    <w:p w14:paraId="4D84C19F" w14:textId="7B58CCCD" w:rsidR="00CC2A51" w:rsidRDefault="00CC2A51" w:rsidP="00314F78">
      <w:pPr>
        <w:pStyle w:val="EndnoteText"/>
      </w:pPr>
      <w:r>
        <w:rPr>
          <w:rStyle w:val="EndnoteReference"/>
        </w:rPr>
        <w:endnoteRef/>
      </w:r>
      <w:r>
        <w:t xml:space="preserve">  </w:t>
      </w:r>
      <w:r w:rsidRPr="00CC2A51">
        <w:t>Nasir Wabe, Karla L Seaman, Amy D Nguyen, Joyce Siette, Magdalena Z Raban, Peter Hibbert, Jacqueline C T Close, Stephen R Lord, Johanna I Westbrook, Epidemiology of falls in 25 Australian residential aged care facilities: a retrospective longitudinal cohort study using routinely collected data, </w:t>
      </w:r>
      <w:r w:rsidRPr="00CC2A51">
        <w:rPr>
          <w:i/>
          <w:iCs/>
        </w:rPr>
        <w:t>International Journal for Quality in Health Care</w:t>
      </w:r>
      <w:r w:rsidRPr="00CC2A51">
        <w:t>, Volume 34, Issue 3, 2022, mzac050, </w:t>
      </w:r>
      <w:hyperlink r:id="rId15" w:history="1">
        <w:r w:rsidRPr="00CC2A51">
          <w:rPr>
            <w:rStyle w:val="Hyperlink"/>
          </w:rPr>
          <w:t>https://doi.org/10.1093/intqhc/mzac050</w:t>
        </w:r>
      </w:hyperlink>
    </w:p>
  </w:endnote>
  <w:endnote w:id="78">
    <w:p w14:paraId="120B2E85" w14:textId="77777777" w:rsidR="0052544D" w:rsidRPr="005F1C9B" w:rsidRDefault="0052544D" w:rsidP="00314F78">
      <w:pPr>
        <w:pStyle w:val="Endnotes"/>
      </w:pPr>
      <w:r w:rsidRPr="005F1C9B">
        <w:rPr>
          <w:vertAlign w:val="superscript"/>
        </w:rPr>
        <w:endnoteRef/>
      </w:r>
      <w:r w:rsidRPr="005F1C9B">
        <w:tab/>
        <w:t>Butler M, Kerse N and Todd M (2004). Circumstances and consequences of falls in residential care: the New Zealand story. The New Zealand Medical Journal 117(1202):1076–1088.</w:t>
      </w:r>
    </w:p>
  </w:endnote>
  <w:endnote w:id="79">
    <w:p w14:paraId="52044D60" w14:textId="37017F2A" w:rsidR="0052544D" w:rsidRPr="005F1C9B" w:rsidRDefault="0052544D" w:rsidP="00314F78">
      <w:pPr>
        <w:pStyle w:val="Endnotes"/>
      </w:pPr>
      <w:r w:rsidRPr="005F1C9B">
        <w:rPr>
          <w:vertAlign w:val="superscript"/>
        </w:rPr>
        <w:endnoteRef/>
      </w:r>
      <w:r w:rsidRPr="005F1C9B">
        <w:tab/>
        <w:t>Johannson E, Jonsson H, Dahlberg R. The efficacy of multifactorial falls-prevention programme, implemented in primary health care. British Journal of Occupational Therapy; 2018.</w:t>
      </w:r>
    </w:p>
  </w:endnote>
  <w:endnote w:id="80">
    <w:p w14:paraId="0A194A66" w14:textId="4F78372A" w:rsidR="0052544D" w:rsidRPr="005F1C9B" w:rsidRDefault="0052544D" w:rsidP="00314F78">
      <w:pPr>
        <w:pStyle w:val="Endnotes"/>
      </w:pPr>
      <w:r w:rsidRPr="005F1C9B">
        <w:rPr>
          <w:vertAlign w:val="superscript"/>
        </w:rPr>
        <w:endnoteRef/>
      </w:r>
      <w:r w:rsidRPr="005F1C9B">
        <w:tab/>
        <w:t>Synergia. Reducing Harm from Falls Programme Evaluation: A report for the Health Quality &amp; Safety Commission. New Zealand. 2016.</w:t>
      </w:r>
    </w:p>
  </w:endnote>
  <w:endnote w:id="81">
    <w:p w14:paraId="0747DB76" w14:textId="77777777" w:rsidR="0052544D" w:rsidRPr="005F1C9B" w:rsidRDefault="0052544D" w:rsidP="00314F78">
      <w:pPr>
        <w:pStyle w:val="Endnotes"/>
      </w:pPr>
      <w:r w:rsidRPr="005F1C9B">
        <w:rPr>
          <w:vertAlign w:val="superscript"/>
        </w:rPr>
        <w:endnoteRef/>
      </w:r>
      <w:r w:rsidRPr="005F1C9B">
        <w:rPr>
          <w:vertAlign w:val="superscript"/>
        </w:rPr>
        <w:tab/>
      </w:r>
      <w:r w:rsidRPr="005F1C9B">
        <w:t>Hitcho E, Krauss M, Birge S, Dunagan W, Fischer I, Johnson S, Nast P, Costantinou E and Fraser V (2004). Characteristics and circumstances of falls in a hospital setting: a prospective analysis. Journal of Geriatric Internal Medicine 19(7):732–739.</w:t>
      </w:r>
    </w:p>
  </w:endnote>
  <w:endnote w:id="82">
    <w:p w14:paraId="6ABAFE61" w14:textId="51E915FB" w:rsidR="0052544D" w:rsidRPr="005F1C9B" w:rsidRDefault="0052544D" w:rsidP="00314F78">
      <w:pPr>
        <w:pStyle w:val="Endnotes"/>
      </w:pPr>
      <w:r w:rsidRPr="005F1C9B">
        <w:rPr>
          <w:vertAlign w:val="superscript"/>
        </w:rPr>
        <w:endnoteRef/>
      </w:r>
      <w:r w:rsidRPr="005F1C9B">
        <w:tab/>
        <w:t>National Institute for Health and Care Excellence. NICE impacts falls and fragility fractures. United Kingdom; 2018.</w:t>
      </w:r>
    </w:p>
  </w:endnote>
  <w:endnote w:id="83">
    <w:p w14:paraId="349E434E" w14:textId="134FB4DA" w:rsidR="005F7CA2" w:rsidRDefault="005F7CA2" w:rsidP="00314F78">
      <w:pPr>
        <w:pStyle w:val="EndnoteText"/>
      </w:pPr>
      <w:r>
        <w:rPr>
          <w:rStyle w:val="EndnoteReference"/>
        </w:rPr>
        <w:endnoteRef/>
      </w:r>
      <w:r>
        <w:t xml:space="preserve"> </w:t>
      </w:r>
      <w:r>
        <w:tab/>
      </w:r>
      <w:r w:rsidRPr="00410825">
        <w:t xml:space="preserve">World Health Organisation (2007), </w:t>
      </w:r>
      <w:r w:rsidRPr="00410825">
        <w:rPr>
          <w:i/>
        </w:rPr>
        <w:t>WHO global report on falls prevention in older age</w:t>
      </w:r>
      <w:r>
        <w:rPr>
          <w:iCs/>
        </w:rPr>
        <w:t>, WHO, France</w:t>
      </w:r>
      <w:r w:rsidRPr="00410825">
        <w:t>.</w:t>
      </w:r>
    </w:p>
  </w:endnote>
  <w:endnote w:id="84">
    <w:p w14:paraId="22BDB824" w14:textId="77777777" w:rsidR="0052544D" w:rsidRPr="005F1C9B" w:rsidRDefault="0052544D" w:rsidP="00314F78">
      <w:pPr>
        <w:pStyle w:val="Endnotes"/>
      </w:pPr>
      <w:r w:rsidRPr="005F1C9B">
        <w:rPr>
          <w:rStyle w:val="EndnoteReference"/>
          <w:rFonts w:cs="Arial"/>
          <w:szCs w:val="18"/>
        </w:rPr>
        <w:endnoteRef/>
      </w:r>
      <w:r w:rsidRPr="005F1C9B">
        <w:tab/>
        <w:t>World Health Organisation (2007), WHO global report on falls prevention in older age.</w:t>
      </w:r>
    </w:p>
  </w:endnote>
  <w:endnote w:id="85">
    <w:p w14:paraId="634DFBF1" w14:textId="77777777" w:rsidR="0052544D" w:rsidRPr="005F1C9B" w:rsidRDefault="0052544D" w:rsidP="00314F78">
      <w:pPr>
        <w:pStyle w:val="Endnotes"/>
      </w:pPr>
      <w:r w:rsidRPr="005F1C9B">
        <w:rPr>
          <w:rStyle w:val="EndnoteReference"/>
          <w:rFonts w:cs="Arial"/>
          <w:szCs w:val="18"/>
        </w:rPr>
        <w:endnoteRef/>
      </w:r>
      <w:r w:rsidRPr="005F1C9B">
        <w:tab/>
        <w:t>RTI International. MDS 3.0 Quality Measures USER’S MANUAL. RTI International; 2019; Xu D, Kane R, Arling G. Relationship between nursing home quality indicators and potentially preventable hospitalisation. BMJ Qual Saf. 2019;28(7):524-33.</w:t>
      </w:r>
    </w:p>
  </w:endnote>
  <w:endnote w:id="86">
    <w:p w14:paraId="41C7359A" w14:textId="77777777" w:rsidR="0052544D" w:rsidRPr="005F1C9B" w:rsidRDefault="0052544D" w:rsidP="00314F78">
      <w:pPr>
        <w:pStyle w:val="Endnotes"/>
      </w:pPr>
      <w:r w:rsidRPr="005F1C9B">
        <w:rPr>
          <w:rStyle w:val="EndnoteReference"/>
          <w:rFonts w:cs="Arial"/>
          <w:szCs w:val="18"/>
        </w:rPr>
        <w:endnoteRef/>
      </w:r>
      <w:r w:rsidRPr="005F1C9B">
        <w:tab/>
        <w:t>Australian Commission on Safety and Quality in Health Care (ACSQHC) 2009, Preventing falls and harm from falls in older people. Best practice guidelines for Australian residential aged care facilities, ACSQHC, Sydney.</w:t>
      </w:r>
    </w:p>
  </w:endnote>
  <w:endnote w:id="87">
    <w:p w14:paraId="00DEBD8C" w14:textId="77777777" w:rsidR="00E43D7D" w:rsidRPr="005F1C9B" w:rsidRDefault="00E43D7D" w:rsidP="00314F78">
      <w:pPr>
        <w:pStyle w:val="Endnotes"/>
      </w:pPr>
      <w:r w:rsidRPr="005F1C9B">
        <w:rPr>
          <w:rStyle w:val="EndnoteReference"/>
          <w:rFonts w:cs="Arial"/>
          <w:szCs w:val="18"/>
        </w:rPr>
        <w:endnoteRef/>
      </w:r>
      <w:r w:rsidRPr="005F1C9B">
        <w:tab/>
        <w:t>Synergia. Reducing Harm from Falls Programme Evaluation: A report for the Health Quality &amp; Safety Commission. New Zealand. 2016.</w:t>
      </w:r>
    </w:p>
  </w:endnote>
  <w:endnote w:id="88">
    <w:p w14:paraId="7C1A437A" w14:textId="77777777" w:rsidR="00E43D7D" w:rsidRPr="005F1C9B" w:rsidRDefault="00E43D7D" w:rsidP="00314F78">
      <w:pPr>
        <w:pStyle w:val="Endnotes"/>
      </w:pPr>
      <w:r w:rsidRPr="005F1C9B">
        <w:rPr>
          <w:rStyle w:val="EndnoteReference"/>
          <w:rFonts w:cs="Arial"/>
          <w:szCs w:val="18"/>
        </w:rPr>
        <w:endnoteRef/>
      </w:r>
      <w:r w:rsidRPr="005F1C9B">
        <w:tab/>
        <w:t xml:space="preserve">World Health Organization (WHO) 2007, </w:t>
      </w:r>
      <w:r w:rsidRPr="005F1C9B">
        <w:rPr>
          <w:i/>
        </w:rPr>
        <w:t>WHO global report on falls prevention in older age</w:t>
      </w:r>
      <w:r w:rsidRPr="005F1C9B">
        <w:t>, WHO, Geneva.</w:t>
      </w:r>
    </w:p>
  </w:endnote>
  <w:endnote w:id="89">
    <w:p w14:paraId="169B9230" w14:textId="77777777" w:rsidR="00E43D7D" w:rsidRPr="005F1C9B" w:rsidRDefault="00E43D7D" w:rsidP="00314F78">
      <w:pPr>
        <w:pStyle w:val="Endnotes"/>
      </w:pPr>
      <w:r w:rsidRPr="005F1C9B">
        <w:rPr>
          <w:rStyle w:val="EndnoteReference"/>
          <w:rFonts w:cs="Arial"/>
          <w:szCs w:val="18"/>
        </w:rPr>
        <w:endnoteRef/>
      </w:r>
      <w:r w:rsidRPr="005F1C9B">
        <w:tab/>
        <w:t>AIHW (Australian Institute of Health and Welfare) (2008). Hospitalisations due to falls by older people, Australia 2005</w:t>
      </w:r>
      <w:r w:rsidRPr="005F1C9B">
        <w:noBreakHyphen/>
        <w:t>06, Australian Institute of Health and Welfare, Australian Government, Canberra.</w:t>
      </w:r>
    </w:p>
  </w:endnote>
  <w:endnote w:id="90">
    <w:p w14:paraId="1467AA3F" w14:textId="0B165E44" w:rsidR="0052544D" w:rsidRPr="005F1C9B" w:rsidRDefault="0052544D" w:rsidP="00314F78">
      <w:pPr>
        <w:pStyle w:val="Endnotes"/>
      </w:pPr>
      <w:r w:rsidRPr="005F1C9B">
        <w:rPr>
          <w:rStyle w:val="EndnoteReference"/>
          <w:rFonts w:cs="Arial"/>
          <w:szCs w:val="18"/>
        </w:rPr>
        <w:endnoteRef/>
      </w:r>
      <w:r w:rsidRPr="005F1C9B">
        <w:tab/>
        <w:t>National Institute for Health and Care Excellence. NICE impacts falls and fragility fractures. United Kingdom; 2018.</w:t>
      </w:r>
    </w:p>
  </w:endnote>
  <w:endnote w:id="91">
    <w:p w14:paraId="67FAFD97" w14:textId="77777777" w:rsidR="0052544D" w:rsidRPr="005F1C9B" w:rsidRDefault="0052544D" w:rsidP="00314F78">
      <w:pPr>
        <w:pStyle w:val="Endnotes"/>
      </w:pPr>
      <w:r w:rsidRPr="005F1C9B">
        <w:rPr>
          <w:rStyle w:val="EndnoteReference"/>
          <w:rFonts w:cs="Arial"/>
          <w:szCs w:val="18"/>
        </w:rPr>
        <w:endnoteRef/>
      </w:r>
      <w:r w:rsidRPr="005F1C9B">
        <w:tab/>
        <w:t>Commonwealth of Australia. Royal Commission into Aged Care Quality and Safety, 2021.</w:t>
      </w:r>
    </w:p>
  </w:endnote>
  <w:endnote w:id="92">
    <w:p w14:paraId="22DF675E" w14:textId="6CA21E76" w:rsidR="0052544D" w:rsidRPr="005F1C9B" w:rsidRDefault="0052544D" w:rsidP="00314F78">
      <w:pPr>
        <w:pStyle w:val="Endnotes"/>
        <w:rPr>
          <w:rFonts w:cs="Arial"/>
          <w:szCs w:val="18"/>
        </w:rPr>
      </w:pPr>
      <w:r w:rsidRPr="005F1C9B">
        <w:rPr>
          <w:rStyle w:val="EndnoteReference"/>
          <w:rFonts w:cs="Arial"/>
          <w:szCs w:val="18"/>
        </w:rPr>
        <w:endnoteRef/>
      </w:r>
      <w:r w:rsidRPr="005F1C9B">
        <w:rPr>
          <w:rFonts w:cs="Arial"/>
          <w:szCs w:val="18"/>
        </w:rPr>
        <w:tab/>
      </w:r>
      <w:hyperlink r:id="rId16" w:history="1">
        <w:r w:rsidRPr="005F1C9B">
          <w:rPr>
            <w:rFonts w:cs="Arial"/>
            <w:szCs w:val="18"/>
          </w:rPr>
          <w:t>Falls prevention | Australian Commission on Safety and Quality in Health Care</w:t>
        </w:r>
      </w:hyperlink>
      <w:r w:rsidRPr="005F1C9B">
        <w:rPr>
          <w:rFonts w:cs="Arial"/>
          <w:szCs w:val="18"/>
        </w:rPr>
        <w:t>.</w:t>
      </w:r>
    </w:p>
  </w:endnote>
  <w:endnote w:id="93">
    <w:p w14:paraId="6F8D4EFF" w14:textId="77777777" w:rsidR="0052544D" w:rsidRPr="005F1C9B" w:rsidRDefault="0052544D" w:rsidP="00314F78">
      <w:pPr>
        <w:pStyle w:val="Endnotes"/>
        <w:rPr>
          <w:lang w:eastAsia="en-AU"/>
        </w:rPr>
      </w:pPr>
      <w:r w:rsidRPr="005F1C9B">
        <w:rPr>
          <w:rStyle w:val="EndnoteReference"/>
          <w:rFonts w:cs="Arial"/>
          <w:szCs w:val="18"/>
        </w:rPr>
        <w:endnoteRef/>
      </w:r>
      <w:r w:rsidRPr="005F1C9B">
        <w:tab/>
      </w:r>
      <w:r w:rsidRPr="005F1C9B">
        <w:rPr>
          <w:lang w:eastAsia="en-AU"/>
        </w:rPr>
        <w:t>Hshieh TT, Yue J, Oh E, Puelle M, Dowal S, Travison T, et al. Effectiveness of multi-component non-pharmacologic delirium interventions: a meta-analysis. JAMA Intern Med 2015;175(4):512–20.</w:t>
      </w:r>
    </w:p>
  </w:endnote>
  <w:endnote w:id="94">
    <w:p w14:paraId="1B1C8247" w14:textId="77777777" w:rsidR="0052544D" w:rsidRPr="005F1C9B" w:rsidRDefault="0052544D" w:rsidP="00314F78">
      <w:pPr>
        <w:pStyle w:val="Endnotes"/>
      </w:pPr>
      <w:r w:rsidRPr="005F1C9B">
        <w:rPr>
          <w:rStyle w:val="EndnoteReference"/>
          <w:rFonts w:cs="Arial"/>
          <w:szCs w:val="18"/>
        </w:rPr>
        <w:endnoteRef/>
      </w:r>
      <w:r w:rsidRPr="005F1C9B">
        <w:tab/>
        <w:t>Huang SCC, Forster AJ. Adverse events and falls. Medication-Related Falls in Older People. 2016, 75-89.</w:t>
      </w:r>
    </w:p>
  </w:endnote>
  <w:endnote w:id="95">
    <w:p w14:paraId="2FBE982A" w14:textId="77777777" w:rsidR="0052544D" w:rsidRPr="005F1C9B" w:rsidRDefault="0052544D" w:rsidP="00314F78">
      <w:pPr>
        <w:pStyle w:val="Endnotes"/>
      </w:pPr>
      <w:r w:rsidRPr="005F1C9B">
        <w:rPr>
          <w:rStyle w:val="EndnoteReference"/>
          <w:rFonts w:cs="Arial"/>
          <w:szCs w:val="18"/>
        </w:rPr>
        <w:endnoteRef/>
      </w:r>
      <w:r w:rsidRPr="005F1C9B">
        <w:tab/>
        <w:t>AIHW (Australian Institute of Health and Welfare) (2008). A Picture of Osteoporosis in Australia, Australian Institute of Health and Welfare, Australian Government, Canberra.</w:t>
      </w:r>
    </w:p>
  </w:endnote>
  <w:endnote w:id="96">
    <w:p w14:paraId="3DE049D7" w14:textId="7C6737A7" w:rsidR="0052544D" w:rsidRPr="005F1C9B" w:rsidRDefault="0052544D" w:rsidP="00314F78">
      <w:pPr>
        <w:pStyle w:val="Endnotes"/>
      </w:pPr>
      <w:r w:rsidRPr="005F1C9B">
        <w:rPr>
          <w:rStyle w:val="EndnoteReference"/>
          <w:rFonts w:cs="Arial"/>
          <w:szCs w:val="18"/>
        </w:rPr>
        <w:endnoteRef/>
      </w:r>
      <w:r w:rsidRPr="005F1C9B">
        <w:tab/>
        <w:t>NARI (National Ageing and Research Institute) (2004). An Analysis of Research on Preventing Falls and Falls Injury in Older People: Community, Residential Care and Hospital Settings (2004 update), Australian Government Department of Health and Ageing, Department of Health and Ageing, Injury Prevention Section, Canberra.</w:t>
      </w:r>
    </w:p>
  </w:endnote>
  <w:endnote w:id="97">
    <w:p w14:paraId="607D9AFD" w14:textId="77777777" w:rsidR="0052544D" w:rsidRPr="005F1C9B" w:rsidRDefault="0052544D" w:rsidP="00314F78">
      <w:pPr>
        <w:pStyle w:val="Endnotes"/>
      </w:pPr>
      <w:r w:rsidRPr="005F1C9B">
        <w:rPr>
          <w:rStyle w:val="EndnoteReference"/>
          <w:rFonts w:cs="Arial"/>
          <w:szCs w:val="18"/>
        </w:rPr>
        <w:endnoteRef/>
      </w:r>
      <w:r w:rsidRPr="005F1C9B">
        <w:tab/>
        <w:t>Abrampah NM, Syed SB, Hirschhorn LR, Nambiar B, Iqbal U, Garcia-Elorrio E, Chattu VK, Devnani M, Kelley E. Quality improvement and emerging global health priorities. International Journal for Quality in Health Care, 2018; 30(1): 5-9.</w:t>
      </w:r>
    </w:p>
  </w:endnote>
  <w:endnote w:id="98">
    <w:p w14:paraId="58B80AAE" w14:textId="77777777" w:rsidR="005453F0" w:rsidRPr="005F1C9B" w:rsidRDefault="005453F0" w:rsidP="00314F78">
      <w:pPr>
        <w:pStyle w:val="Endnotes"/>
      </w:pPr>
      <w:r w:rsidRPr="005F1C9B">
        <w:rPr>
          <w:rStyle w:val="EndnoteReference"/>
          <w:rFonts w:cs="Arial"/>
          <w:szCs w:val="18"/>
        </w:rPr>
        <w:endnoteRef/>
      </w:r>
      <w:r w:rsidRPr="005F1C9B">
        <w:tab/>
      </w:r>
      <w:r w:rsidRPr="00074730">
        <w:t>Page AT, Falster MO, Litchfield M, Pearson SA</w:t>
      </w:r>
      <w:r>
        <w:t xml:space="preserve"> and</w:t>
      </w:r>
      <w:r w:rsidRPr="00074730">
        <w:t xml:space="preserve"> Etherton-Beer C. Polypharmacy among older Australians, 2006-2017: a population-based study. Med</w:t>
      </w:r>
      <w:r>
        <w:t>ical</w:t>
      </w:r>
      <w:r w:rsidRPr="00074730">
        <w:t xml:space="preserve"> J</w:t>
      </w:r>
      <w:r>
        <w:t>ournal of</w:t>
      </w:r>
      <w:r w:rsidRPr="00074730">
        <w:t xml:space="preserve"> Aust</w:t>
      </w:r>
      <w:r>
        <w:t>ralia</w:t>
      </w:r>
      <w:r w:rsidRPr="00074730">
        <w:t>. 2019;</w:t>
      </w:r>
      <w:r>
        <w:t xml:space="preserve"> </w:t>
      </w:r>
      <w:r w:rsidRPr="00074730">
        <w:t>211(2):</w:t>
      </w:r>
      <w:r>
        <w:t xml:space="preserve"> </w:t>
      </w:r>
      <w:r w:rsidRPr="00074730">
        <w:t>71-75.</w:t>
      </w:r>
    </w:p>
  </w:endnote>
  <w:endnote w:id="99">
    <w:p w14:paraId="277EA77A" w14:textId="77777777" w:rsidR="005453F0" w:rsidRPr="005F1C9B" w:rsidRDefault="005453F0" w:rsidP="00314F78">
      <w:pPr>
        <w:pStyle w:val="Endnotes"/>
        <w:rPr>
          <w:highlight w:val="yellow"/>
        </w:rPr>
      </w:pPr>
      <w:r w:rsidRPr="005F1C9B">
        <w:rPr>
          <w:rStyle w:val="EndnoteReference"/>
          <w:rFonts w:cs="Arial"/>
          <w:szCs w:val="18"/>
        </w:rPr>
        <w:endnoteRef/>
      </w:r>
      <w:r w:rsidRPr="005F1C9B">
        <w:tab/>
        <w:t>Hoel RW, Giddings Connolly RM and Takahashi PY. Polypharmacy in Management in Older Patients. Thematic Review on Aging. 2021; 96(1): 242-256.</w:t>
      </w:r>
    </w:p>
  </w:endnote>
  <w:endnote w:id="100">
    <w:p w14:paraId="4DEBDAE0" w14:textId="54E47FE5" w:rsidR="00F81429" w:rsidRPr="00F81429" w:rsidRDefault="00F81429" w:rsidP="00314F78">
      <w:pPr>
        <w:pStyle w:val="EndnoteText"/>
        <w:rPr>
          <w:lang w:val="en-US"/>
        </w:rPr>
      </w:pPr>
      <w:r>
        <w:rPr>
          <w:rStyle w:val="EndnoteReference"/>
        </w:rPr>
        <w:endnoteRef/>
      </w:r>
      <w:r>
        <w:t xml:space="preserve"> </w:t>
      </w:r>
      <w:r>
        <w:rPr>
          <w:lang w:val="en-US"/>
        </w:rPr>
        <w:tab/>
      </w:r>
      <w:r w:rsidRPr="00F81429">
        <w:t>Halli-Tierney AD, Scarbrough C and Carroll D. Polypharmacy: Evaluating Risks and Deprescribing. American Family Phycian. 2019, 100: 32-38.</w:t>
      </w:r>
      <w:r>
        <w:t xml:space="preserve"> </w:t>
      </w:r>
    </w:p>
  </w:endnote>
  <w:endnote w:id="101">
    <w:p w14:paraId="050907C5" w14:textId="7AAAE3E0" w:rsidR="00F81429" w:rsidRPr="00F81429" w:rsidRDefault="00F81429" w:rsidP="00314F78">
      <w:pPr>
        <w:pStyle w:val="EndnoteText"/>
        <w:rPr>
          <w:lang w:val="en-US"/>
        </w:rPr>
      </w:pPr>
      <w:r>
        <w:rPr>
          <w:rStyle w:val="EndnoteReference"/>
        </w:rPr>
        <w:endnoteRef/>
      </w:r>
      <w:r>
        <w:t xml:space="preserve"> </w:t>
      </w:r>
      <w:r>
        <w:tab/>
      </w:r>
      <w:r w:rsidRPr="00F81429">
        <w:t>Westaway K, Sluggett J, Alderman C, Moffat A, Procter N and Roughhead E. The extent of antipsychotic use in Australian residential aged care facilities and interventions shown to be effective in reducing antipsychotic use: a literature review. Dementia. 2018, 1-14.</w:t>
      </w:r>
    </w:p>
  </w:endnote>
  <w:endnote w:id="102">
    <w:p w14:paraId="33258F9A" w14:textId="313D8F0C" w:rsidR="0052544D" w:rsidRPr="005F1C9B" w:rsidRDefault="0052544D" w:rsidP="00314F78">
      <w:pPr>
        <w:pStyle w:val="EndnoteText"/>
      </w:pPr>
      <w:r w:rsidRPr="005F1C9B">
        <w:rPr>
          <w:rStyle w:val="EndnoteReference"/>
        </w:rPr>
        <w:endnoteRef/>
      </w:r>
      <w:r w:rsidRPr="005F1C9B">
        <w:tab/>
        <w:t xml:space="preserve">Philpott L. AJP. The Aged Care Dementia, 2020. Sourced at </w:t>
      </w:r>
      <w:hyperlink r:id="rId17" w:history="1">
        <w:r w:rsidRPr="0011229E">
          <w:rPr>
            <w:rStyle w:val="Hyperlink"/>
            <w:szCs w:val="18"/>
          </w:rPr>
          <w:t>https://ajp.com.au/features/the-aged-care-dilemma-2/</w:t>
        </w:r>
      </w:hyperlink>
      <w:r w:rsidR="00EC17D6" w:rsidRPr="00EC17D6">
        <w:rPr>
          <w:rStyle w:val="Hyperlink"/>
          <w:color w:val="auto"/>
          <w:szCs w:val="18"/>
          <w:u w:val="none"/>
        </w:rPr>
        <w:t>.</w:t>
      </w:r>
    </w:p>
  </w:endnote>
  <w:endnote w:id="103">
    <w:p w14:paraId="3962C200" w14:textId="12D603A9" w:rsidR="0052544D" w:rsidRPr="005F1C9B" w:rsidRDefault="0052544D" w:rsidP="00314F78">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04">
    <w:p w14:paraId="1CB95783"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05">
    <w:p w14:paraId="664A5F6A" w14:textId="4E5D6E1E" w:rsidR="0052544D" w:rsidRPr="005F1C9B" w:rsidRDefault="0052544D" w:rsidP="00314F78">
      <w:pPr>
        <w:pStyle w:val="Endnotes"/>
      </w:pPr>
      <w:r w:rsidRPr="005F1C9B">
        <w:rPr>
          <w:rStyle w:val="EndnoteReference"/>
          <w:rFonts w:cs="Arial"/>
          <w:szCs w:val="18"/>
        </w:rPr>
        <w:endnoteRef/>
      </w:r>
      <w:r w:rsidRPr="005F1C9B">
        <w:tab/>
        <w:t xml:space="preserve">Cochrane. Drug treatment for constipation caused by antipsychotic medications, 2017. Sourced at </w:t>
      </w:r>
      <w:hyperlink r:id="rId18" w:history="1">
        <w:r w:rsidRPr="0011229E">
          <w:rPr>
            <w:rStyle w:val="Hyperlink"/>
          </w:rPr>
          <w:t>https://www.cochrane.org/CD011128/SCHIZ_drug-treatments-constipation-caused-antipsychotic-medications</w:t>
        </w:r>
      </w:hyperlink>
      <w:r w:rsidR="00EC17D6" w:rsidRPr="00EC17D6">
        <w:rPr>
          <w:rStyle w:val="Hyperlink"/>
          <w:color w:val="auto"/>
          <w:u w:val="none"/>
        </w:rPr>
        <w:t>.</w:t>
      </w:r>
    </w:p>
  </w:endnote>
  <w:endnote w:id="106">
    <w:p w14:paraId="12206054"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Walker NF, Brinchmann K and Batura D. Linking the evidence between urinary retention and antipsychotic or antidepressant drugs: a systematic review. Neurourol Urodyn. 2016, 35: 866-874</w:t>
      </w:r>
    </w:p>
  </w:endnote>
  <w:endnote w:id="107">
    <w:p w14:paraId="7F1C30BB" w14:textId="3D35B96C" w:rsidR="0052544D" w:rsidRPr="005F1C9B" w:rsidRDefault="0052544D" w:rsidP="00314F78">
      <w:pPr>
        <w:pStyle w:val="Endnotes"/>
        <w:rPr>
          <w:highlight w:val="yellow"/>
        </w:rPr>
      </w:pPr>
      <w:r w:rsidRPr="005F1C9B">
        <w:rPr>
          <w:rStyle w:val="EndnoteReference"/>
          <w:rFonts w:cs="Arial"/>
          <w:szCs w:val="18"/>
        </w:rPr>
        <w:endnoteRef/>
      </w:r>
      <w:r w:rsidRPr="005F1C9B">
        <w:tab/>
        <w:t>Tan ECK, Lexomboon D, Sandborgh-Englund G, Haasum Y and Johnell K. Medictions that cause dry mouth as an adverse effect in older people: a systematic review and metaanalysis. Journal of the American Geriatrics Society. 2017, 66: 76-84</w:t>
      </w:r>
      <w:r w:rsidR="00EC17D6">
        <w:t>.</w:t>
      </w:r>
    </w:p>
  </w:endnote>
  <w:endnote w:id="108">
    <w:p w14:paraId="0D99CA23" w14:textId="511732C2" w:rsidR="0052544D" w:rsidRPr="005F1C9B" w:rsidRDefault="0052544D" w:rsidP="00314F78">
      <w:pPr>
        <w:pStyle w:val="Endnotes"/>
      </w:pPr>
      <w:r w:rsidRPr="005F1C9B">
        <w:rPr>
          <w:rStyle w:val="EndnoteReference"/>
          <w:rFonts w:cs="Arial"/>
          <w:szCs w:val="18"/>
        </w:rPr>
        <w:endnoteRef/>
      </w:r>
      <w:r w:rsidRPr="005F1C9B">
        <w:tab/>
        <w:t xml:space="preserve">Sydney and South Western Sydney LHD Mental Health Services. Antipsychotic Medications. 2008. Sourced at </w:t>
      </w:r>
      <w:hyperlink r:id="rId19" w:history="1">
        <w:r w:rsidRPr="0011229E">
          <w:rPr>
            <w:rStyle w:val="Hyperlink"/>
          </w:rPr>
          <w:t>https://www.dhi.health.nsw.gov.au/ArticleDocuments/304/Antipsychotic_Medications2013.pdf.aspx</w:t>
        </w:r>
      </w:hyperlink>
      <w:r w:rsidR="00EC17D6" w:rsidRPr="00EC17D6">
        <w:rPr>
          <w:rStyle w:val="Hyperlink"/>
          <w:color w:val="auto"/>
          <w:u w:val="none"/>
        </w:rPr>
        <w:t>.</w:t>
      </w:r>
    </w:p>
  </w:endnote>
  <w:endnote w:id="109">
    <w:p w14:paraId="7D354576"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Ward KM and Citrome L. Antipsychotic-related movement disorders: drug-induced parkinsonism vs. tardive dyskinesia – key differences in pathophysiology and clinical management. Neurology and therapy. 2018, 7: 233-248.</w:t>
      </w:r>
    </w:p>
  </w:endnote>
  <w:endnote w:id="110">
    <w:p w14:paraId="7FB6AFE2"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Fraser LA, Liu K, Naylor KL et Al. Falls and fractures with atypical antipsychotic medication use. JAMA Internal Medicine. 2015, 175: 450-452.</w:t>
      </w:r>
    </w:p>
  </w:endnote>
  <w:endnote w:id="111">
    <w:p w14:paraId="1E866039" w14:textId="375733C0" w:rsidR="0052544D" w:rsidRPr="005F1C9B" w:rsidRDefault="0052544D" w:rsidP="00314F78">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12">
    <w:p w14:paraId="6788A9EA" w14:textId="4248A520" w:rsidR="0052544D" w:rsidRPr="005F1C9B" w:rsidRDefault="0052544D" w:rsidP="00314F78">
      <w:pPr>
        <w:pStyle w:val="Endnotes"/>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13">
    <w:p w14:paraId="207D59FB" w14:textId="57579C2C" w:rsidR="0052544D" w:rsidRPr="00FC0BBF" w:rsidRDefault="0052544D" w:rsidP="00314F78">
      <w:pPr>
        <w:pStyle w:val="EndnoteText"/>
      </w:pPr>
      <w:r>
        <w:rPr>
          <w:rStyle w:val="EndnoteReference"/>
        </w:rPr>
        <w:endnoteRef/>
      </w:r>
      <w:r w:rsidR="00590D4E">
        <w:tab/>
        <w:t>Australian Institute to Health and Welfare. People’s care needs in aged care.</w:t>
      </w:r>
      <w:r w:rsidR="00590D4E" w:rsidRPr="00FC0BBF">
        <w:t xml:space="preserve"> </w:t>
      </w:r>
      <w:hyperlink r:id="rId20" w:anchor=":~:text=Most%20people%20in%20permanent%20residential,people%20for%20complex%20health%20care" w:history="1">
        <w:r w:rsidR="00590D4E" w:rsidRPr="005771AE">
          <w:rPr>
            <w:rStyle w:val="Hyperlink"/>
          </w:rPr>
          <w:t>https://www.gen-agedcaredata.gov.au/Topics/Care-needs-in-aged-care#:~:text=Most%20people%20in%20permanent%20residential,people%20for%20complex%20health%20care</w:t>
        </w:r>
      </w:hyperlink>
      <w:r w:rsidR="00EC17D6" w:rsidRPr="00EC17D6">
        <w:rPr>
          <w:rStyle w:val="Hyperlink"/>
          <w:color w:val="auto"/>
          <w:u w:val="none"/>
        </w:rPr>
        <w:t xml:space="preserve">. </w:t>
      </w:r>
    </w:p>
  </w:endnote>
  <w:endnote w:id="114">
    <w:p w14:paraId="1F422CAB" w14:textId="570F30A1" w:rsidR="0052544D" w:rsidRPr="00726A43" w:rsidRDefault="0052544D" w:rsidP="00314F78">
      <w:pPr>
        <w:pStyle w:val="EndnoteText"/>
      </w:pPr>
      <w:r>
        <w:rPr>
          <w:rStyle w:val="EndnoteReference"/>
        </w:rPr>
        <w:endnoteRef/>
      </w:r>
      <w:r w:rsidR="00590D4E" w:rsidRPr="00726A43">
        <w:t xml:space="preserve"> </w:t>
      </w:r>
      <w:r w:rsidR="00590D4E">
        <w:tab/>
        <w:t>A</w:t>
      </w:r>
      <w:r w:rsidR="00590D4E" w:rsidRPr="0041052B">
        <w:t xml:space="preserve">ustralian Bureau of Statistics. (2018). Disability, Ageing and Carers, Australia: Summary of Findings. </w:t>
      </w:r>
      <w:hyperlink r:id="rId21" w:history="1">
        <w:r w:rsidR="00590D4E" w:rsidRPr="001F0F8D">
          <w:rPr>
            <w:rStyle w:val="Hyperlink"/>
          </w:rPr>
          <w:t>https://www.abs.gov.au/statistics/health/disability/disability-ageing-and-carers-australia-summary-findings/latest-release</w:t>
        </w:r>
      </w:hyperlink>
      <w:r w:rsidR="00EC17D6" w:rsidRPr="00EC17D6">
        <w:rPr>
          <w:rStyle w:val="Hyperlink"/>
          <w:color w:val="auto"/>
          <w:u w:val="none"/>
        </w:rPr>
        <w:t>.</w:t>
      </w:r>
    </w:p>
  </w:endnote>
  <w:endnote w:id="115">
    <w:p w14:paraId="011776A6" w14:textId="69015A36" w:rsidR="0052544D" w:rsidRPr="00D44151" w:rsidRDefault="0052544D" w:rsidP="00314F78">
      <w:pPr>
        <w:pStyle w:val="EndnoteText"/>
      </w:pPr>
      <w:r w:rsidRPr="005F1C9B">
        <w:rPr>
          <w:rStyle w:val="EndnoteReference"/>
        </w:rPr>
        <w:endnoteRef/>
      </w:r>
      <w:r w:rsidRPr="005F1C9B">
        <w:t xml:space="preserve"> </w:t>
      </w:r>
      <w:r w:rsidRPr="005F1C9B">
        <w:tab/>
      </w:r>
      <w:r w:rsidRPr="00D44151">
        <w:t xml:space="preserve">Edemekong PF, Bomgaars DL, Sukumaran S, Levy SB. Activities of Daily Living. In: StatPearls [Internet]. Treasure Island (FL): StatPearls Publishing; 2022 [cited 2022 Jun 1]. Available from: </w:t>
      </w:r>
      <w:hyperlink r:id="rId22" w:history="1">
        <w:r w:rsidRPr="005771AE">
          <w:rPr>
            <w:rStyle w:val="Hyperlink"/>
          </w:rPr>
          <w:t>http://www.ncbi.nlm.nih.gov/books/NBK470404/</w:t>
        </w:r>
      </w:hyperlink>
    </w:p>
  </w:endnote>
  <w:endnote w:id="116">
    <w:p w14:paraId="3AAA6F46" w14:textId="1517C651" w:rsidR="00F81429" w:rsidRPr="00F81429" w:rsidRDefault="00F81429" w:rsidP="00314F78">
      <w:pPr>
        <w:pStyle w:val="EndnoteText"/>
        <w:rPr>
          <w:lang w:val="en-US"/>
        </w:rPr>
      </w:pPr>
      <w:r>
        <w:rPr>
          <w:rStyle w:val="EndnoteReference"/>
        </w:rPr>
        <w:endnoteRef/>
      </w:r>
      <w:r>
        <w:t xml:space="preserve"> </w:t>
      </w:r>
      <w:r>
        <w:tab/>
      </w:r>
      <w:r w:rsidRPr="00B174C3">
        <w:rPr>
          <w:lang w:val="en-US"/>
        </w:rPr>
        <w:t xml:space="preserve">Edemekong PF, Bomgaars DL, Sukumaran S, Levy SB. Activities of Daily Living. In: StatPearls [Internet]. Treasure Island (FL): StatPearls Publishing; 2022 [cited 2022 Jun 1]. Available from: </w:t>
      </w:r>
      <w:hyperlink r:id="rId23" w:history="1">
        <w:r w:rsidRPr="00053BAA">
          <w:rPr>
            <w:rStyle w:val="Hyperlink"/>
            <w:lang w:val="en-US"/>
          </w:rPr>
          <w:t>http://www.ncbi.nlm.nih.gov/books/NBK470404</w:t>
        </w:r>
      </w:hyperlink>
      <w:r w:rsidRPr="00EC17D6">
        <w:rPr>
          <w:rStyle w:val="Hyperlink"/>
          <w:color w:val="auto"/>
          <w:u w:val="none"/>
          <w:lang w:val="en-US"/>
        </w:rPr>
        <w:t>.</w:t>
      </w:r>
    </w:p>
  </w:endnote>
  <w:endnote w:id="117">
    <w:p w14:paraId="48924356" w14:textId="26D58FC3" w:rsidR="000901C5" w:rsidRPr="00726A43" w:rsidRDefault="000901C5" w:rsidP="00314F78">
      <w:pPr>
        <w:pStyle w:val="EndnoteText"/>
      </w:pPr>
      <w:r>
        <w:rPr>
          <w:rStyle w:val="EndnoteReference"/>
        </w:rPr>
        <w:endnoteRef/>
      </w:r>
      <w:r w:rsidR="004337B2">
        <w:t xml:space="preserve"> </w:t>
      </w:r>
      <w:r w:rsidR="004337B2" w:rsidRPr="005F1C9B">
        <w:tab/>
      </w:r>
      <w:r w:rsidRPr="0041052B">
        <w:t xml:space="preserve">Lewis, L. K., Henwood, T., Boylan, J., Hunter, S., Lange, B., Lawless, M., Milte, R., &amp; Petersen, J. (2021). Re-thinking reablement strategies for older adults in residential aged care: A scoping review. BMC Geriatrics, 21(1), 667. </w:t>
      </w:r>
      <w:hyperlink r:id="rId24" w:history="1">
        <w:r w:rsidRPr="001F0F8D">
          <w:rPr>
            <w:rStyle w:val="Hyperlink"/>
          </w:rPr>
          <w:t>https://doi.org/10.1186/s12877-021-02627-7</w:t>
        </w:r>
      </w:hyperlink>
      <w:r w:rsidR="00EC17D6" w:rsidRPr="00EC17D6">
        <w:rPr>
          <w:rStyle w:val="Hyperlink"/>
          <w:color w:val="auto"/>
          <w:u w:val="none"/>
        </w:rPr>
        <w:t xml:space="preserve">. </w:t>
      </w:r>
    </w:p>
  </w:endnote>
  <w:endnote w:id="118">
    <w:p w14:paraId="2E2E2431" w14:textId="0D814B9E" w:rsidR="000901C5" w:rsidRPr="00726A43" w:rsidRDefault="000901C5" w:rsidP="00314F78">
      <w:pPr>
        <w:pStyle w:val="EndnoteText"/>
      </w:pPr>
      <w:r>
        <w:rPr>
          <w:rStyle w:val="EndnoteReference"/>
        </w:rPr>
        <w:endnoteRef/>
      </w:r>
      <w:r>
        <w:t xml:space="preserve"> </w:t>
      </w:r>
      <w:r w:rsidR="00590D4E">
        <w:tab/>
      </w:r>
      <w:r w:rsidRPr="0041052B">
        <w:t xml:space="preserve">Jerez-Roig, J., de Brito Macedo Ferreira, L. M., Torres de Araújo, J. R., &amp; Costa Lima, K. (2017). Functional decline in nursing home residents: A prognostic study. PLoS ONE, 12(5), e0177353. </w:t>
      </w:r>
      <w:hyperlink r:id="rId25" w:history="1">
        <w:r w:rsidRPr="001F0F8D">
          <w:rPr>
            <w:rStyle w:val="Hyperlink"/>
          </w:rPr>
          <w:t>https://doi.org/10.1371/journal.pone.0177353</w:t>
        </w:r>
      </w:hyperlink>
      <w:r w:rsidR="00EC17D6" w:rsidRPr="00EC17D6">
        <w:rPr>
          <w:rStyle w:val="Hyperlink"/>
          <w:color w:val="auto"/>
          <w:u w:val="none"/>
        </w:rPr>
        <w:t>.</w:t>
      </w:r>
    </w:p>
  </w:endnote>
  <w:endnote w:id="119">
    <w:p w14:paraId="3B2F3F7F" w14:textId="64EF1EDC" w:rsidR="000901C5" w:rsidRPr="00726A43" w:rsidRDefault="000901C5" w:rsidP="00314F78">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hyperlink r:id="rId26" w:history="1">
        <w:r w:rsidR="00590D4E" w:rsidRPr="001F0F8D">
          <w:rPr>
            <w:rStyle w:val="Hyperlink"/>
          </w:rPr>
          <w:t>https://doi.org/10.1016/j.jamda.2016.04.002</w:t>
        </w:r>
      </w:hyperlink>
      <w:r w:rsidR="00EC17D6" w:rsidRPr="00EC17D6">
        <w:rPr>
          <w:rStyle w:val="Hyperlink"/>
          <w:color w:val="auto"/>
          <w:u w:val="none"/>
        </w:rPr>
        <w:t xml:space="preserve">. </w:t>
      </w:r>
    </w:p>
  </w:endnote>
  <w:endnote w:id="120">
    <w:p w14:paraId="2BC82150" w14:textId="447FC89F"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B174C3">
        <w:rPr>
          <w:lang w:val="en-US"/>
        </w:rPr>
        <w:t xml:space="preserve">Edemekong PF, Bomgaars DL, Sukumaran S, Levy SB. Activities of Daily Living. In: StatPearls [Internet]. Treasure Island (FL): StatPearls Publishing; 2022 [cited 2022 Jun 1]. Available from: </w:t>
      </w:r>
      <w:hyperlink r:id="rId27" w:history="1">
        <w:r w:rsidRPr="00053BAA">
          <w:rPr>
            <w:rStyle w:val="Hyperlink"/>
            <w:lang w:val="en-US"/>
          </w:rPr>
          <w:t>http://www.ncbi.nlm.nih.gov/books/NBK470404</w:t>
        </w:r>
      </w:hyperlink>
      <w:r w:rsidR="00EC17D6" w:rsidRPr="00EC17D6">
        <w:rPr>
          <w:rStyle w:val="Hyperlink"/>
          <w:color w:val="auto"/>
          <w:u w:val="none"/>
          <w:lang w:val="en-US"/>
        </w:rPr>
        <w:t>.</w:t>
      </w:r>
    </w:p>
  </w:endnote>
  <w:endnote w:id="121">
    <w:p w14:paraId="0B6FB5AE" w14:textId="62964E99" w:rsidR="0052544D" w:rsidRPr="00B24F1B" w:rsidRDefault="0052544D" w:rsidP="00314F78">
      <w:pPr>
        <w:pStyle w:val="EndnoteText"/>
        <w:rPr>
          <w:lang w:val="en-US"/>
        </w:rPr>
      </w:pPr>
      <w:r>
        <w:rPr>
          <w:rStyle w:val="EndnoteReference"/>
        </w:rPr>
        <w:endnoteRef/>
      </w:r>
      <w:r>
        <w:t xml:space="preserve"> </w:t>
      </w:r>
      <w:r w:rsidRPr="00B24F1B">
        <w:tab/>
        <w:t>Lewis LK, Henwood T, Boylan J, Hunter S, Lange B, Lawless M, et al. Re-thinking reablement strategies for older adults in residential aged care: a scoping review. BMC Geriatr. 2021 Dec;21(1):667.</w:t>
      </w:r>
    </w:p>
  </w:endnote>
  <w:endnote w:id="122">
    <w:p w14:paraId="5F54ABB3" w14:textId="75404869" w:rsidR="0052544D" w:rsidRPr="00B24F1B" w:rsidRDefault="0052544D" w:rsidP="00314F78">
      <w:pPr>
        <w:pStyle w:val="EndnoteText"/>
      </w:pPr>
      <w:r>
        <w:rPr>
          <w:rStyle w:val="EndnoteReference"/>
        </w:rPr>
        <w:endnoteRef/>
      </w:r>
      <w:r>
        <w:t xml:space="preserve"> </w:t>
      </w:r>
      <w:r w:rsidR="00590D4E">
        <w:tab/>
      </w:r>
      <w:r w:rsidRPr="00B24F1B">
        <w:t xml:space="preserve">Australian Institute to Health and Welfare. People’s care needs in aged care. </w:t>
      </w:r>
      <w:hyperlink r:id="rId28" w:anchor=":~:text=Most%20people%20in%20permanent%20residential,people%20for%20complex%20health%20care" w:history="1">
        <w:r w:rsidRPr="00053BAA">
          <w:rPr>
            <w:rStyle w:val="Hyperlink"/>
          </w:rPr>
          <w:t>https://www.gen-agedcaredata.gov.au/Topics/Care-needs-in-aged-care#:~:text=Most%20people%20in%20permanent%20residential,people%20for%20complex%20health%20care</w:t>
        </w:r>
      </w:hyperlink>
      <w:r w:rsidR="00EC17D6" w:rsidRPr="00EC17D6">
        <w:rPr>
          <w:rStyle w:val="Hyperlink"/>
          <w:color w:val="auto"/>
          <w:u w:val="none"/>
        </w:rPr>
        <w:t>.</w:t>
      </w:r>
    </w:p>
  </w:endnote>
  <w:endnote w:id="123">
    <w:p w14:paraId="7B10D512" w14:textId="1AE4CD3C" w:rsidR="0052544D" w:rsidRPr="005656D6" w:rsidRDefault="0052544D" w:rsidP="00314F78">
      <w:pPr>
        <w:pStyle w:val="EndnoteText"/>
        <w:rPr>
          <w:lang w:val="en-US"/>
        </w:rPr>
      </w:pPr>
      <w:r>
        <w:rPr>
          <w:rStyle w:val="EndnoteReference"/>
        </w:rPr>
        <w:endnoteRef/>
      </w:r>
      <w:r w:rsidR="00590D4E">
        <w:tab/>
      </w:r>
      <w:r w:rsidR="00590D4E" w:rsidRPr="005656D6">
        <w:t>Jerez-Roig J, de Brito Macedo Ferreira LM, Torres de Araújo JR, Costa Lima K. Functional decline in nursing home residents: A prognostic study. PLoS ONE. 2017 May 11;12(5</w:t>
      </w:r>
      <w:r w:rsidR="002D23D3" w:rsidRPr="005656D6">
        <w:t>): e</w:t>
      </w:r>
      <w:r w:rsidR="00590D4E" w:rsidRPr="005656D6">
        <w:t>0177353.</w:t>
      </w:r>
    </w:p>
  </w:endnote>
  <w:endnote w:id="124">
    <w:p w14:paraId="50F32E81" w14:textId="57C84C68" w:rsidR="0052544D" w:rsidRPr="005656D6" w:rsidRDefault="0052544D" w:rsidP="00314F78">
      <w:pPr>
        <w:pStyle w:val="EndnoteText"/>
        <w:rPr>
          <w:lang w:val="en-US"/>
        </w:rPr>
      </w:pPr>
      <w:r>
        <w:rPr>
          <w:rStyle w:val="EndnoteReference"/>
        </w:rPr>
        <w:endnoteRef/>
      </w:r>
      <w:r w:rsidR="00590D4E">
        <w:tab/>
      </w:r>
      <w:r w:rsidR="00590D4E" w:rsidRPr="00B24F1B">
        <w:t>Palese, A., Menegazzi, G., Tullio, A., Zigotti Fuso, M., Hayter, M., &amp; Watson, R. (2016). Functional Decline in Residents Living in Nursing Homes: A Systematic Review of the Literature. Journal of the American Medical Directors Association, 17(8), 694–705. https://doi.org/10.1016/j.jamda.2016.04.002</w:t>
      </w:r>
    </w:p>
  </w:endnote>
  <w:endnote w:id="125">
    <w:p w14:paraId="7957A491" w14:textId="4428FF80" w:rsidR="0052544D" w:rsidRPr="0041052B" w:rsidRDefault="0052544D" w:rsidP="00314F78">
      <w:pPr>
        <w:pStyle w:val="EndnoteText"/>
        <w:rPr>
          <w:lang w:val="en-US"/>
        </w:rPr>
      </w:pPr>
      <w:r w:rsidRPr="0062030B">
        <w:rPr>
          <w:rStyle w:val="EndnoteReference"/>
        </w:rPr>
        <w:endnoteRef/>
      </w:r>
      <w:r w:rsidR="0062030B" w:rsidRPr="0062030B">
        <w:tab/>
        <w:t xml:space="preserve">Fedecostante, M., Onder, G., Eusebi, P., Dell’Aquila, G., Zengarini, E., Carrieri, B., Manes Gravina, E., Falsiroli, C., Corsonello, A., Luzi, R., Lattanzio, F., Bernabei, R., &amp; Cherubini, A. (2020). Predictors of Functional Decline in Nursing Home Residents: The Shelter Project. The Journals of Gerontology: Series A, 75(8), 1600–1605. </w:t>
      </w:r>
      <w:r w:rsidR="0062030B" w:rsidRPr="00EC17D6">
        <w:rPr>
          <w:rStyle w:val="Hyperlink"/>
        </w:rPr>
        <w:t>https://doi.org/10.1093/gerona/glz296</w:t>
      </w:r>
      <w:r w:rsidR="00EC17D6" w:rsidRPr="00EC17D6">
        <w:rPr>
          <w:rStyle w:val="Hyperlink"/>
          <w:color w:val="auto"/>
          <w:u w:val="none"/>
        </w:rPr>
        <w:t>.</w:t>
      </w:r>
    </w:p>
  </w:endnote>
  <w:endnote w:id="126">
    <w:p w14:paraId="29A89F8B" w14:textId="07899515" w:rsidR="0052544D" w:rsidRPr="00E77107" w:rsidRDefault="0052544D" w:rsidP="00314F78">
      <w:pPr>
        <w:pStyle w:val="EndnoteText"/>
      </w:pPr>
      <w:r>
        <w:rPr>
          <w:rStyle w:val="EndnoteReference"/>
        </w:rPr>
        <w:endnoteRef/>
      </w:r>
      <w:r w:rsidR="00590D4E">
        <w:tab/>
      </w:r>
      <w:r w:rsidR="00590D4E" w:rsidRPr="00B24F1B">
        <w:t>Crocker T, Forster A, Young J, Brown L, Ozer S, Smith J, et al. Physical rehabilitation for older people in long-term care. Cochrane Stroke Group, editor. Cochrane Database Syst Rev [Internet]. 2013 Feb 28 [cited 2022 May 4]; Available from:</w:t>
      </w:r>
      <w:r w:rsidR="00590D4E">
        <w:t xml:space="preserve"> </w:t>
      </w:r>
      <w:r w:rsidR="00590D4E" w:rsidRPr="00EC17D6">
        <w:rPr>
          <w:rStyle w:val="Hyperlink"/>
        </w:rPr>
        <w:t>https://doi.wiley.com/10.1002/14651858.CD004294.pub3</w:t>
      </w:r>
      <w:r w:rsidR="00EC17D6" w:rsidRPr="00EC17D6">
        <w:rPr>
          <w:rStyle w:val="Hyperlink"/>
          <w:color w:val="auto"/>
          <w:u w:val="none"/>
        </w:rPr>
        <w:t>.</w:t>
      </w:r>
    </w:p>
  </w:endnote>
  <w:endnote w:id="127">
    <w:p w14:paraId="653EF327" w14:textId="00C4F635"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Lewis LK, Henwood T, Boylan J, Hunter S, Lange B, Lawless M, et al. Re-thinking reablement strategies for older adults in residential aged care: a scoping review. BMC Geriatr. 2021 Dec;21(1):667.</w:t>
      </w:r>
    </w:p>
  </w:endnote>
  <w:endnote w:id="128">
    <w:p w14:paraId="0B317D33" w14:textId="38454D3D"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Fedecostante M, Onder G, Eusebi P, Dell’Aquila G, Zengarini E, Carrieri B, et al. Predictors of Functional Decline in Nursing Home Residents: The Shelter Project. Newman A, editor. J Gerontol Ser A. 2020 Jul 13;75(8):1600.</w:t>
      </w:r>
    </w:p>
  </w:endnote>
  <w:endnote w:id="129">
    <w:p w14:paraId="4701F662" w14:textId="5AB38B72"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Laffon de Mazières C, Morley JE, Levy C, Agenes F, Barbagallo M, Cesari M, et al. Prevention of Functional Decline by Reframing the Role of Nursing Homes? J Am Med Dir Assoc. 2017 Feb;18(2):105–10.</w:t>
      </w:r>
    </w:p>
  </w:endnote>
  <w:endnote w:id="130">
    <w:p w14:paraId="41AF9A86" w14:textId="4B01B185"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5F1C9B">
        <w:rPr>
          <w:lang w:val="en-US"/>
        </w:rPr>
        <w:t>Laffon de Mazières C, Morley JE, Levy C, Agenes F, Barbagallo M, Cesari M, et al. Prevention of Functional Decline by Reframing the Role of Nursing Homes? J Am Med Dir Assoc. 2017 Feb;18(2):105–10.</w:t>
      </w:r>
    </w:p>
  </w:endnote>
  <w:endnote w:id="131">
    <w:p w14:paraId="292B4646" w14:textId="0A2EE3E2" w:rsidR="009D6C73" w:rsidRPr="009D6C73" w:rsidRDefault="009D6C73" w:rsidP="00314F78">
      <w:pPr>
        <w:pStyle w:val="EndnoteText"/>
        <w:rPr>
          <w:lang w:val="en-US"/>
        </w:rPr>
      </w:pPr>
      <w:r>
        <w:rPr>
          <w:rStyle w:val="EndnoteReference"/>
        </w:rPr>
        <w:endnoteRef/>
      </w:r>
      <w:r>
        <w:t xml:space="preserve"> </w:t>
      </w:r>
      <w:r>
        <w:rPr>
          <w:lang w:val="en-US"/>
        </w:rPr>
        <w:tab/>
      </w:r>
      <w:r w:rsidRPr="0062030B">
        <w:t xml:space="preserve">Palese, A., Menegazzi, G., Tullio, A., Zigotti Fuso, M., Hayter, M., &amp; Watson, R. (2016). Functional Decline in Residents Living in Nursing Homes: A Systematic Review of the Literature. Journal of the American Medical Directors Association, 17(8), 694–705. </w:t>
      </w:r>
      <w:hyperlink r:id="rId29" w:history="1">
        <w:r w:rsidRPr="0062030B">
          <w:rPr>
            <w:rStyle w:val="Hyperlink"/>
          </w:rPr>
          <w:t>https://doi.org/10.1016/j.jamda.2016.04.002</w:t>
        </w:r>
      </w:hyperlink>
      <w:r w:rsidRPr="00EC17D6">
        <w:rPr>
          <w:rStyle w:val="Hyperlink"/>
          <w:color w:val="auto"/>
          <w:u w:val="none"/>
        </w:rPr>
        <w:t>.</w:t>
      </w:r>
    </w:p>
  </w:endnote>
  <w:endnote w:id="132">
    <w:p w14:paraId="58A93A19" w14:textId="2798F8E8" w:rsidR="009D6C73" w:rsidRPr="009D6C73" w:rsidRDefault="009D6C73" w:rsidP="00314F78">
      <w:pPr>
        <w:pStyle w:val="EndnoteText"/>
        <w:rPr>
          <w:lang w:val="en-US"/>
        </w:rPr>
      </w:pPr>
      <w:r>
        <w:rPr>
          <w:rStyle w:val="EndnoteReference"/>
        </w:rPr>
        <w:endnoteRef/>
      </w:r>
      <w:r>
        <w:t xml:space="preserve"> </w:t>
      </w:r>
      <w:r>
        <w:rPr>
          <w:lang w:val="en-US"/>
        </w:rPr>
        <w:tab/>
      </w:r>
      <w:r w:rsidRPr="009D6C73">
        <w:t>Poulos, C. J., &amp; Poulos, R.G. (2019). Primary care for older people with functional decline. Australian Journal of General Practice, 48(7), 434–439.</w:t>
      </w:r>
    </w:p>
  </w:endnote>
  <w:endnote w:id="133">
    <w:p w14:paraId="44D1A6D2" w14:textId="7F86EA57" w:rsidR="009D6C73" w:rsidRPr="009D6C73" w:rsidRDefault="009D6C73" w:rsidP="00314F78">
      <w:pPr>
        <w:pStyle w:val="EndnoteText"/>
        <w:rPr>
          <w:lang w:val="en-US"/>
        </w:rPr>
      </w:pPr>
      <w:r>
        <w:rPr>
          <w:rStyle w:val="EndnoteReference"/>
        </w:rPr>
        <w:endnoteRef/>
      </w:r>
      <w:r>
        <w:t xml:space="preserve"> </w:t>
      </w:r>
      <w:r>
        <w:rPr>
          <w:lang w:val="en-US"/>
        </w:rPr>
        <w:tab/>
      </w:r>
      <w:r w:rsidRPr="009D6C73">
        <w:t>Bauer, M., Fetherstonhaugh, D., Haesler, E., Beattie, E., Hill, K. D., &amp; Poulos, C. J. (2018). The impact of nurse and care staff education on the functional ability and quality of life of people living with dementia in aged care: A systematic review. Nurse Education Today, 67, 27–45. https://doi.org/10.1016/j.nedt.2018.04.019.</w:t>
      </w:r>
    </w:p>
  </w:endnote>
  <w:endnote w:id="134">
    <w:p w14:paraId="54EAF853" w14:textId="629623A4" w:rsidR="009D6C73" w:rsidRPr="009D6C73" w:rsidRDefault="009D6C73" w:rsidP="00314F78">
      <w:pPr>
        <w:pStyle w:val="EndnoteText"/>
        <w:rPr>
          <w:lang w:val="en-US"/>
        </w:rPr>
      </w:pPr>
      <w:r>
        <w:rPr>
          <w:rStyle w:val="EndnoteReference"/>
        </w:rPr>
        <w:endnoteRef/>
      </w:r>
      <w:r>
        <w:t xml:space="preserve"> </w:t>
      </w:r>
      <w:r>
        <w:rPr>
          <w:lang w:val="en-US"/>
        </w:rPr>
        <w:tab/>
      </w:r>
      <w:r w:rsidRPr="009D6C73">
        <w:t>Lewis LK, Henwood T, Boylan J, Hunter S, Lange B, Lawless M, et al. Re-thinking reablement strategies for older adults in residential aged care: a scoping review. BMC Geriatr. 2021 Dec;21(1):667.</w:t>
      </w:r>
    </w:p>
  </w:endnote>
  <w:endnote w:id="135">
    <w:p w14:paraId="6CA6D384" w14:textId="4BEF9434" w:rsidR="0052544D" w:rsidRPr="0041052B" w:rsidRDefault="0052544D" w:rsidP="00314F78">
      <w:pPr>
        <w:pStyle w:val="EndnoteText"/>
        <w:rPr>
          <w:lang w:val="en-US"/>
        </w:rPr>
      </w:pPr>
      <w:r>
        <w:rPr>
          <w:rStyle w:val="EndnoteReference"/>
        </w:rPr>
        <w:endnoteRef/>
      </w:r>
      <w:r w:rsidR="00590D4E">
        <w:tab/>
      </w:r>
      <w:r w:rsidR="00590D4E" w:rsidRPr="0041052B">
        <w:t>Fedecostante M, Onder G, Eusebi P, Dell’Aquila G, Zengarini E, Carrieri B, et al. Predictors of Functional Decline in Nursing Home Residents: The Shelter Project. Newman A, editor. J Gerontol Ser A. 2020 Jul 13;75(8):1600.</w:t>
      </w:r>
    </w:p>
  </w:endnote>
  <w:endnote w:id="136">
    <w:p w14:paraId="6BF1A701" w14:textId="6826DA75" w:rsidR="0052544D" w:rsidRPr="0041052B" w:rsidRDefault="0052544D" w:rsidP="00314F78">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7">
    <w:p w14:paraId="1E243839" w14:textId="28F483AF" w:rsidR="0052544D" w:rsidRPr="0041052B" w:rsidRDefault="0052544D" w:rsidP="00314F78">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8">
    <w:p w14:paraId="0A994AA5" w14:textId="3F99A333" w:rsidR="0052544D" w:rsidRPr="0041052B" w:rsidRDefault="0052544D" w:rsidP="00314F78">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hyperlink r:id="rId30" w:history="1">
        <w:r w:rsidR="00590D4E" w:rsidRPr="001F0F8D">
          <w:rPr>
            <w:rStyle w:val="Hyperlink"/>
          </w:rPr>
          <w:t>https://doi.org/10.1016/j.jamda.2016.04.002</w:t>
        </w:r>
      </w:hyperlink>
      <w:r w:rsidR="00EC17D6" w:rsidRPr="00EC17D6">
        <w:rPr>
          <w:rStyle w:val="Hyperlink"/>
          <w:color w:val="auto"/>
          <w:u w:val="none"/>
        </w:rPr>
        <w:t>.</w:t>
      </w:r>
    </w:p>
  </w:endnote>
  <w:endnote w:id="139">
    <w:p w14:paraId="66D44F94" w14:textId="5A458906" w:rsidR="0052544D" w:rsidRPr="0041052B" w:rsidRDefault="0052544D" w:rsidP="00314F78">
      <w:pPr>
        <w:pStyle w:val="EndnoteText"/>
        <w:rPr>
          <w:lang w:val="en-US"/>
        </w:rPr>
      </w:pPr>
      <w:r>
        <w:rPr>
          <w:rStyle w:val="EndnoteReference"/>
        </w:rPr>
        <w:endnoteRef/>
      </w:r>
      <w:r w:rsidR="00590D4E">
        <w:tab/>
      </w:r>
      <w:r w:rsidR="00590D4E" w:rsidRPr="00726A43">
        <w:t>Poulos, C. J., &amp; Poulos, R.G. (2019). Primary care for older people with functional decline. Australian Journal of General Practice, 48(7), 434–439.</w:t>
      </w:r>
    </w:p>
  </w:endnote>
  <w:endnote w:id="140">
    <w:p w14:paraId="2E58EE56" w14:textId="5D4ED90A" w:rsidR="0052544D" w:rsidRPr="0041052B" w:rsidRDefault="0052544D" w:rsidP="00314F78">
      <w:pPr>
        <w:pStyle w:val="EndnoteText"/>
        <w:rPr>
          <w:lang w:val="en-US"/>
        </w:rPr>
      </w:pPr>
      <w:r>
        <w:rPr>
          <w:rStyle w:val="EndnoteReference"/>
        </w:rPr>
        <w:endnoteRef/>
      </w:r>
      <w:r w:rsidR="00590D4E">
        <w:tab/>
      </w:r>
      <w:r w:rsidR="00590D4E" w:rsidRPr="00741BC4">
        <w:rPr>
          <w:lang w:val="en-US"/>
        </w:rPr>
        <w:t xml:space="preserve">Bauer, M., Fetherstonhaugh, D., Haesler, E., Beattie, E., Hill, K. D., &amp; Poulos, C. J. (2018). The impact of nurse and care staff education on the functional ability and quality of life of people living with dementia in aged care: A systematic review. Nurse Education Today, 67, 27–45. </w:t>
      </w:r>
      <w:hyperlink r:id="rId31" w:history="1">
        <w:r w:rsidR="00590D4E" w:rsidRPr="001F0F8D">
          <w:rPr>
            <w:rStyle w:val="Hyperlink"/>
            <w:lang w:val="en-US"/>
          </w:rPr>
          <w:t>https://doi.org/10.1016/j.nedt.2018.04.019</w:t>
        </w:r>
      </w:hyperlink>
      <w:r w:rsidR="00590D4E" w:rsidRPr="005F1C9B">
        <w:rPr>
          <w:lang w:val="en-US"/>
        </w:rPr>
        <w:t>.</w:t>
      </w:r>
    </w:p>
  </w:endnote>
  <w:endnote w:id="141">
    <w:p w14:paraId="7F92CAEB" w14:textId="56A23669" w:rsidR="0052544D" w:rsidRPr="004455AD" w:rsidRDefault="0052544D" w:rsidP="00314F78">
      <w:pPr>
        <w:pStyle w:val="EndnoteText"/>
        <w:rPr>
          <w:lang w:val="en-US"/>
        </w:rPr>
      </w:pPr>
      <w:r>
        <w:rPr>
          <w:rStyle w:val="EndnoteReference"/>
        </w:rPr>
        <w:endnoteRef/>
      </w:r>
      <w:r w:rsidR="00590D4E">
        <w:tab/>
      </w:r>
      <w:r w:rsidR="00590D4E" w:rsidRPr="004455AD">
        <w:t>Lim DS. 2016. Management of urinary incontinence in residential care. Australian Family Physician. Vol 45. no.</w:t>
      </w:r>
      <w:r w:rsidR="002D23D3" w:rsidRPr="004455AD">
        <w:t>7; p</w:t>
      </w:r>
      <w:r w:rsidR="00590D4E" w:rsidRPr="004455AD">
        <w:t>498-508.</w:t>
      </w:r>
    </w:p>
  </w:endnote>
  <w:endnote w:id="142">
    <w:p w14:paraId="16A75356" w14:textId="0416C4CE" w:rsidR="0052544D" w:rsidRPr="00CE7D48" w:rsidRDefault="0052544D" w:rsidP="00314F78">
      <w:pPr>
        <w:pStyle w:val="EndnoteText"/>
        <w:rPr>
          <w:lang w:val="en-US"/>
        </w:rPr>
      </w:pPr>
      <w:r>
        <w:rPr>
          <w:rStyle w:val="EndnoteReference"/>
        </w:rPr>
        <w:endnoteRef/>
      </w:r>
      <w:r w:rsidR="00590D4E">
        <w:tab/>
      </w:r>
      <w:r w:rsidR="00590D4E">
        <w:rPr>
          <w:lang w:val="en-US"/>
        </w:rPr>
        <w:t xml:space="preserve">Continence Foundation of Australia. Key statistics on incontinence. </w:t>
      </w:r>
      <w:hyperlink r:id="rId32" w:history="1">
        <w:r w:rsidR="00590D4E" w:rsidRPr="00C840B3">
          <w:rPr>
            <w:rStyle w:val="Hyperlink"/>
            <w:lang w:val="en-US"/>
          </w:rPr>
          <w:t>https://www.continence.org.au/about-us/our-work/key-statitics-incontinence</w:t>
        </w:r>
      </w:hyperlink>
      <w:r w:rsidR="00EC17D6">
        <w:rPr>
          <w:rStyle w:val="Hyperlink"/>
          <w:lang w:val="en-US"/>
        </w:rPr>
        <w:t>.</w:t>
      </w:r>
    </w:p>
  </w:endnote>
  <w:endnote w:id="143">
    <w:p w14:paraId="6AF895B2" w14:textId="1A076054" w:rsidR="0055684A" w:rsidRPr="0069432A" w:rsidRDefault="0055684A"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in Australia, Summary [Internet]. Australian Institute of Health and Welfare. [cited 2022 Apr 18]. Available from: </w:t>
      </w:r>
      <w:hyperlink r:id="rId33" w:history="1">
        <w:r w:rsidRPr="0069432A">
          <w:rPr>
            <w:rStyle w:val="Hyperlink"/>
            <w:lang w:val="en-US"/>
          </w:rPr>
          <w:t>https://www.aihw.gov.au/reports/disability/incontinence-in-australia/summary</w:t>
        </w:r>
      </w:hyperlink>
      <w:r w:rsidR="00EC17D6" w:rsidRPr="00EC17D6">
        <w:rPr>
          <w:rStyle w:val="Hyperlink"/>
          <w:color w:val="auto"/>
          <w:u w:val="none"/>
          <w:lang w:val="en-US"/>
        </w:rPr>
        <w:t>.</w:t>
      </w:r>
    </w:p>
  </w:endnote>
  <w:endnote w:id="144">
    <w:p w14:paraId="51D593ED" w14:textId="3432C048"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Michael John Murray. Statement of Michael John Murray [Internet]. Royal Commission into Aged Care Quality and Safety; 2019 [cited 2022 May 9]. Available from: </w:t>
      </w:r>
      <w:hyperlink r:id="rId34" w:history="1">
        <w:r w:rsidRPr="0069432A">
          <w:rPr>
            <w:rStyle w:val="Hyperlink"/>
            <w:lang w:val="en-US"/>
          </w:rPr>
          <w:t>https://agedcare.royalcommission.gov.au/system/files/2020-06/WIT.0273.0001.0001.pdf</w:t>
        </w:r>
      </w:hyperlink>
      <w:r w:rsidR="00EC17D6" w:rsidRPr="00EC17D6">
        <w:rPr>
          <w:rStyle w:val="Hyperlink"/>
          <w:color w:val="auto"/>
          <w:u w:val="none"/>
          <w:lang w:val="en-US"/>
        </w:rPr>
        <w:t>.</w:t>
      </w:r>
    </w:p>
  </w:endnote>
  <w:endnote w:id="145">
    <w:p w14:paraId="208956B4" w14:textId="39E52B09" w:rsidR="00514B88" w:rsidRPr="00514B88" w:rsidRDefault="00514B88" w:rsidP="00314F78">
      <w:pPr>
        <w:pStyle w:val="EndnoteText"/>
        <w:rPr>
          <w:lang w:val="en-US"/>
        </w:rPr>
      </w:pPr>
      <w:r>
        <w:rPr>
          <w:rStyle w:val="EndnoteReference"/>
        </w:rPr>
        <w:endnoteRef/>
      </w:r>
      <w:r>
        <w:t xml:space="preserve"> </w:t>
      </w:r>
      <w:r>
        <w:tab/>
      </w:r>
      <w:r w:rsidRPr="00514B88">
        <w:t>Hibbert PD, Wiles LK, Cameron ID, Kitson A, Reed RL, Georgiou A, Gray L, Westbrook J, Augustsson H, Molloy CJ, Arnolda G, Ting HP, Mitchell R, Rapport F, Gordon SJ, Runciman WB, Braithwaite J. CareTrack Aged: the appropriateness of care delivered to Australians living in residential aged care facilities: a study protocol, BMJ Open, 2019. http://dx.doi.org/10.1136/bmjopen-2019-030988.</w:t>
      </w:r>
    </w:p>
  </w:endnote>
  <w:endnote w:id="146">
    <w:p w14:paraId="5F713B1A" w14:textId="52AD1382" w:rsidR="0052544D" w:rsidRPr="00CD206A" w:rsidRDefault="0052544D" w:rsidP="00314F78">
      <w:pPr>
        <w:pStyle w:val="EndnoteText"/>
      </w:pPr>
      <w:r>
        <w:rPr>
          <w:rStyle w:val="EndnoteReference"/>
        </w:rPr>
        <w:endnoteRef/>
      </w:r>
      <w:r>
        <w:tab/>
        <w:t xml:space="preserve">Continence Foundation of Australia. Understanding incontinence. </w:t>
      </w:r>
      <w:hyperlink r:id="rId35" w:history="1">
        <w:r w:rsidRPr="00BF0F60">
          <w:rPr>
            <w:rStyle w:val="Hyperlink"/>
          </w:rPr>
          <w:t>https://www.continence.org.au/incontinence/understanding-incontinence</w:t>
        </w:r>
      </w:hyperlink>
      <w:r w:rsidR="00EC17D6" w:rsidRPr="00EC17D6">
        <w:rPr>
          <w:rStyle w:val="Hyperlink"/>
          <w:color w:val="auto"/>
          <w:u w:val="none"/>
        </w:rPr>
        <w:t>.</w:t>
      </w:r>
    </w:p>
  </w:endnote>
  <w:endnote w:id="147">
    <w:p w14:paraId="52FB1123" w14:textId="37605468" w:rsidR="003926B7" w:rsidRPr="00FE2CF7" w:rsidRDefault="003926B7" w:rsidP="00314F78">
      <w:pPr>
        <w:pStyle w:val="EndnoteText"/>
        <w:rPr>
          <w:lang w:val="en-US"/>
        </w:rPr>
      </w:pPr>
      <w:r>
        <w:rPr>
          <w:rStyle w:val="EndnoteReference"/>
        </w:rPr>
        <w:endnoteRef/>
      </w:r>
      <w:r w:rsidR="00590D4E">
        <w:tab/>
      </w:r>
      <w:r w:rsidR="00590D4E" w:rsidRPr="00C865A0">
        <w:t>Beeckman, Dimitri, et al. Towards an international language for incontinence</w:t>
      </w:r>
      <w:r w:rsidR="00590D4E" w:rsidRPr="00C865A0">
        <w:rPr>
          <w:rFonts w:ascii="Cambria Math" w:hAnsi="Cambria Math" w:cs="Cambria Math"/>
        </w:rPr>
        <w:t>‐</w:t>
      </w:r>
      <w:r w:rsidR="00590D4E" w:rsidRPr="00C865A0">
        <w:t>associated dermatitis (IAD): design and evaluation of psychometric properties of the Ghent Global IAD Categorization Tool (GLOBIAD) in 30 countries. British Journal of Dermatology 178.6 (2018): 1331-1340.</w:t>
      </w:r>
    </w:p>
  </w:endnote>
  <w:endnote w:id="148">
    <w:p w14:paraId="564B5FA0" w14:textId="00261BA7" w:rsidR="0048671B" w:rsidRPr="0048671B" w:rsidRDefault="0048671B" w:rsidP="00314F78">
      <w:pPr>
        <w:pStyle w:val="EndnoteText"/>
        <w:rPr>
          <w:lang w:val="en-US"/>
        </w:rPr>
      </w:pPr>
      <w:r>
        <w:rPr>
          <w:rStyle w:val="EndnoteReference"/>
        </w:rPr>
        <w:endnoteRef/>
      </w:r>
      <w:r>
        <w:t xml:space="preserve"> </w:t>
      </w:r>
      <w:r>
        <w:rPr>
          <w:lang w:val="en-US"/>
        </w:rPr>
        <w:tab/>
      </w:r>
      <w:r w:rsidRPr="0048671B">
        <w:rPr>
          <w:lang w:val="en-US"/>
        </w:rPr>
        <w:t>Kayser SA, Phipps L, VanGilder CA, Lachenbruch C. Examining Prevalence and Risk Factors of Incontinence-Associated Dermatitis Using the International Pressure Ulcer Prevalence Survey. J</w:t>
      </w:r>
      <w:r>
        <w:rPr>
          <w:lang w:val="en-US"/>
        </w:rPr>
        <w:t>ournal of</w:t>
      </w:r>
      <w:r w:rsidRPr="0048671B">
        <w:rPr>
          <w:lang w:val="en-US"/>
        </w:rPr>
        <w:t xml:space="preserve"> Wound</w:t>
      </w:r>
      <w:r>
        <w:rPr>
          <w:lang w:val="en-US"/>
        </w:rPr>
        <w:t>,</w:t>
      </w:r>
      <w:r w:rsidRPr="0048671B">
        <w:rPr>
          <w:lang w:val="en-US"/>
        </w:rPr>
        <w:t xml:space="preserve"> Ostomy</w:t>
      </w:r>
      <w:r>
        <w:rPr>
          <w:lang w:val="en-US"/>
        </w:rPr>
        <w:t>,</w:t>
      </w:r>
      <w:r w:rsidRPr="0048671B">
        <w:rPr>
          <w:lang w:val="en-US"/>
        </w:rPr>
        <w:t xml:space="preserve"> </w:t>
      </w:r>
      <w:r>
        <w:rPr>
          <w:lang w:val="en-US"/>
        </w:rPr>
        <w:t xml:space="preserve">and </w:t>
      </w:r>
      <w:r w:rsidRPr="0048671B">
        <w:rPr>
          <w:lang w:val="en-US"/>
        </w:rPr>
        <w:t>Continence Nurs</w:t>
      </w:r>
      <w:r>
        <w:rPr>
          <w:lang w:val="en-US"/>
        </w:rPr>
        <w:t>ing.</w:t>
      </w:r>
      <w:r w:rsidRPr="0048671B">
        <w:rPr>
          <w:lang w:val="en-US"/>
        </w:rPr>
        <w:t xml:space="preserve"> 2019 Jul/Aug;46(4):285-290. </w:t>
      </w:r>
    </w:p>
  </w:endnote>
  <w:endnote w:id="149">
    <w:p w14:paraId="07604B3B" w14:textId="78E2F003"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6" w:history="1">
        <w:r w:rsidRPr="001F0F8D">
          <w:rPr>
            <w:rStyle w:val="Hyperlink"/>
            <w:lang w:val="en-US"/>
          </w:rPr>
          <w:t>https://www.ics.org/news/887</w:t>
        </w:r>
      </w:hyperlink>
    </w:p>
  </w:endnote>
  <w:endnote w:id="150">
    <w:p w14:paraId="0A61A9C0" w14:textId="6225DEC7"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7" w:history="1">
        <w:r w:rsidRPr="001F0F8D">
          <w:rPr>
            <w:rStyle w:val="Hyperlink"/>
            <w:lang w:val="en-US"/>
          </w:rPr>
          <w:t>https://www.ics.org/news/887</w:t>
        </w:r>
      </w:hyperlink>
    </w:p>
  </w:endnote>
  <w:endnote w:id="151">
    <w:p w14:paraId="68FFC7DB" w14:textId="353C0E72"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2F084A">
        <w:rPr>
          <w:lang w:val="en-US"/>
        </w:rPr>
        <w:t xml:space="preserve">Australian Department of Health. (2019). Royal Commission into Aged Care Quality and Safety—Statement of Michael John Murray. Australian Department of Health. Retrieved 13 April 2022, from </w:t>
      </w:r>
      <w:hyperlink r:id="rId38" w:history="1">
        <w:r w:rsidRPr="001F0F8D">
          <w:rPr>
            <w:rStyle w:val="Hyperlink"/>
            <w:lang w:val="en-US"/>
          </w:rPr>
          <w:t>https://agedcare.royalcommission.gov.au/royal-commission-aged-care-quality-and-safety</w:t>
        </w:r>
      </w:hyperlink>
      <w:r w:rsidR="00EC17D6" w:rsidRPr="00EC17D6">
        <w:rPr>
          <w:rStyle w:val="Hyperlink"/>
          <w:color w:val="auto"/>
          <w:u w:val="none"/>
          <w:lang w:val="en-US"/>
        </w:rPr>
        <w:t>.</w:t>
      </w:r>
    </w:p>
  </w:endnote>
  <w:endnote w:id="152">
    <w:p w14:paraId="7A09093D" w14:textId="77675C5E" w:rsidR="0052544D" w:rsidRPr="009D44B6" w:rsidRDefault="0052544D" w:rsidP="00314F78">
      <w:pPr>
        <w:pStyle w:val="EndnoteText"/>
        <w:rPr>
          <w:lang w:val="en-US"/>
        </w:rPr>
      </w:pPr>
      <w:r>
        <w:rPr>
          <w:rStyle w:val="EndnoteReference"/>
        </w:rPr>
        <w:endnoteRef/>
      </w:r>
      <w:r w:rsidR="00590D4E">
        <w:rPr>
          <w:lang w:val="en-US"/>
        </w:rPr>
        <w:tab/>
      </w:r>
      <w:r w:rsidR="00590D4E" w:rsidRPr="002F084A">
        <w:t>Lim, D. S. (2016). Management of urinary incontinence in residential care. 45(7), 498–502.</w:t>
      </w:r>
    </w:p>
  </w:endnote>
  <w:endnote w:id="153">
    <w:p w14:paraId="142C5BA4" w14:textId="401B6F6F" w:rsidR="0052544D" w:rsidRPr="009B3EFE" w:rsidRDefault="0052544D" w:rsidP="00314F78">
      <w:pPr>
        <w:pStyle w:val="EndnoteText"/>
        <w:rPr>
          <w:lang w:val="en-US"/>
        </w:rPr>
      </w:pPr>
      <w:r>
        <w:rPr>
          <w:rStyle w:val="EndnoteReference"/>
        </w:rPr>
        <w:endnoteRef/>
      </w:r>
      <w:r w:rsidR="00590D4E">
        <w:rPr>
          <w:lang w:val="en-US"/>
        </w:rPr>
        <w:tab/>
      </w:r>
      <w:r w:rsidR="00590D4E" w:rsidRPr="009B3EFE">
        <w:rPr>
          <w:lang w:val="en-US"/>
        </w:rPr>
        <w:t>McNichol LL, Ayello EA, Phearman LA, Pezzella PA, Culver EA. Incontinence-Associated Dermatitis: State of the Science and</w:t>
      </w:r>
      <w:r w:rsidR="00590D4E">
        <w:rPr>
          <w:lang w:val="en-US"/>
        </w:rPr>
        <w:t xml:space="preserve"> </w:t>
      </w:r>
      <w:r w:rsidR="00590D4E" w:rsidRPr="009B3EFE">
        <w:rPr>
          <w:lang w:val="en-US"/>
        </w:rPr>
        <w:t>Knowledge Translation. Adv Skin Wound Care. 2018 Nov;31(11):502–13.</w:t>
      </w:r>
    </w:p>
  </w:endnote>
  <w:endnote w:id="154">
    <w:p w14:paraId="33A61401" w14:textId="1AEA6260" w:rsidR="0052544D" w:rsidRPr="009B3EFE" w:rsidRDefault="0052544D" w:rsidP="00314F78">
      <w:pPr>
        <w:pStyle w:val="EndnoteText"/>
        <w:rPr>
          <w:lang w:val="en-US"/>
        </w:rPr>
      </w:pPr>
      <w:r>
        <w:rPr>
          <w:rStyle w:val="EndnoteReference"/>
        </w:rPr>
        <w:endnoteRef/>
      </w:r>
      <w:r w:rsidR="00DF7A08">
        <w:tab/>
      </w:r>
      <w:r w:rsidR="00DF7A08" w:rsidRPr="009B3EFE">
        <w:t>Wu ML (Winnie), Pu L, Grealish L, Jones C, Moyle W. The effectiveness of nurse-led interventions for preventing urinary tract infections in older adults in residential aged care facilities: A systematic review. J Clin Nurs. 2020;29(9–10):1432–44.</w:t>
      </w:r>
    </w:p>
  </w:endnote>
  <w:endnote w:id="155">
    <w:p w14:paraId="57302329" w14:textId="57AE2F9B" w:rsidR="0052544D" w:rsidRPr="009B3EFE" w:rsidRDefault="0052544D" w:rsidP="00314F78">
      <w:pPr>
        <w:pStyle w:val="EndnoteText"/>
        <w:rPr>
          <w:lang w:val="en-US"/>
        </w:rPr>
      </w:pPr>
      <w:r>
        <w:rPr>
          <w:rStyle w:val="EndnoteReference"/>
        </w:rPr>
        <w:endnoteRef/>
      </w:r>
      <w:r w:rsidR="00DF7A08">
        <w:tab/>
      </w:r>
      <w:r w:rsidR="00DF7A08" w:rsidRPr="009B3EFE">
        <w:t>Van den Bussche K, Verhaeghe S, Van Hecke A, Beeckman D. The Ghent Global IAD Monitoring Tool (GLOBIAD-M) to monitor the healing of incontinence-associated dermatitis (IAD): Design and reliability study. Int Wound J. 2018;15(4):555–64.</w:t>
      </w:r>
    </w:p>
  </w:endnote>
  <w:endnote w:id="156">
    <w:p w14:paraId="46235C1D" w14:textId="543D56E5" w:rsidR="0052544D" w:rsidRPr="009B3EFE" w:rsidRDefault="0052544D" w:rsidP="00314F78">
      <w:pPr>
        <w:pStyle w:val="EndnoteText"/>
        <w:rPr>
          <w:lang w:val="en-US"/>
        </w:rPr>
      </w:pPr>
      <w:r>
        <w:rPr>
          <w:rStyle w:val="EndnoteReference"/>
        </w:rPr>
        <w:endnoteRef/>
      </w:r>
      <w:r w:rsidR="00DF7A08">
        <w:tab/>
      </w:r>
      <w:r w:rsidR="00DF7A08" w:rsidRPr="009B3EFE">
        <w:t>Wagg AS. 106 - Urinary Incontinence. In: Brocklehurst’s Textbook of Geriatric Medicine and Gerontology. 8th ed. Netherlands: Elsevier; p. 895–903.</w:t>
      </w:r>
    </w:p>
  </w:endnote>
  <w:endnote w:id="157">
    <w:p w14:paraId="133BB30C" w14:textId="5C030DA5" w:rsidR="0052544D" w:rsidRPr="00CD2945" w:rsidRDefault="0052544D" w:rsidP="00314F78">
      <w:pPr>
        <w:pStyle w:val="EndnoteText"/>
      </w:pPr>
      <w:r>
        <w:rPr>
          <w:rStyle w:val="EndnoteReference"/>
        </w:rPr>
        <w:endnoteRef/>
      </w:r>
      <w:r w:rsidR="00DF7A08">
        <w:tab/>
      </w:r>
      <w:r w:rsidR="00DF7A08" w:rsidRPr="00CD2945">
        <w:t xml:space="preserve">INCONTINENCE 6TH EDITION - EBOOK [Internet]. ICS. [cited 2022 Apr 18]. Available from: </w:t>
      </w:r>
      <w:hyperlink r:id="rId39" w:history="1">
        <w:r w:rsidR="00DF7A08" w:rsidRPr="00BF0F60">
          <w:rPr>
            <w:rStyle w:val="Hyperlink"/>
          </w:rPr>
          <w:t>https://www.ics.org/news/887</w:t>
        </w:r>
      </w:hyperlink>
      <w:r w:rsidR="00EC17D6" w:rsidRPr="00EC17D6">
        <w:rPr>
          <w:rStyle w:val="Hyperlink"/>
          <w:color w:val="auto"/>
          <w:u w:val="none"/>
        </w:rPr>
        <w:t>.</w:t>
      </w:r>
    </w:p>
  </w:endnote>
  <w:endnote w:id="158">
    <w:p w14:paraId="60FCFFEA" w14:textId="7EDD1C94" w:rsidR="0052544D" w:rsidRPr="00CD2945" w:rsidRDefault="0052544D" w:rsidP="00314F78">
      <w:pPr>
        <w:pStyle w:val="EndnoteText"/>
      </w:pPr>
      <w:r>
        <w:rPr>
          <w:rStyle w:val="EndnoteReference"/>
        </w:rPr>
        <w:endnoteRef/>
      </w:r>
      <w:r w:rsidR="00DF7A08">
        <w:tab/>
      </w:r>
      <w:r w:rsidR="00DF7A08" w:rsidRPr="00CD2945">
        <w:t xml:space="preserve">National Academies of Sciences E. The National Imperative to Improve Nursing Home Quality: Honoring Our Commitment to Residents, Families, and Staff [Internet]. 2022 [cited 2022 May 5]. Available from: </w:t>
      </w:r>
      <w:hyperlink r:id="rId40" w:history="1">
        <w:r w:rsidR="00DF7A08" w:rsidRPr="00BF0F60">
          <w:rPr>
            <w:rStyle w:val="Hyperlink"/>
          </w:rPr>
          <w:t>https://nap.nationalacademies.org/catalog/26526/the-national-imperative-to-improve-nursing-home-quality-honoring-our</w:t>
        </w:r>
      </w:hyperlink>
    </w:p>
  </w:endnote>
  <w:endnote w:id="159">
    <w:p w14:paraId="2A87614E" w14:textId="3CE9D8F7" w:rsidR="0052544D" w:rsidRPr="00CD2945" w:rsidRDefault="0052544D" w:rsidP="00314F78">
      <w:pPr>
        <w:pStyle w:val="EndnoteText"/>
      </w:pPr>
      <w:r>
        <w:rPr>
          <w:rStyle w:val="EndnoteReference"/>
        </w:rPr>
        <w:endnoteRef/>
      </w:r>
      <w:r w:rsidR="00DF7A08">
        <w:tab/>
      </w:r>
      <w:r w:rsidR="00DF7A08" w:rsidRPr="00CD2945">
        <w:t xml:space="preserve">Academic resources [Internet]. Continence Foundation of Australia. [cited 2022 Apr 18]. Available from: </w:t>
      </w:r>
      <w:hyperlink r:id="rId41" w:history="1">
        <w:r w:rsidR="00DF7A08" w:rsidRPr="00BF0F60">
          <w:rPr>
            <w:rStyle w:val="Hyperlink"/>
          </w:rPr>
          <w:t>https://www.continence.org.au/professionals/academic-resources</w:t>
        </w:r>
      </w:hyperlink>
      <w:r w:rsidR="00EC17D6" w:rsidRPr="00EC17D6">
        <w:rPr>
          <w:rStyle w:val="Hyperlink"/>
          <w:color w:val="auto"/>
          <w:u w:val="none"/>
        </w:rPr>
        <w:t>.</w:t>
      </w:r>
    </w:p>
  </w:endnote>
  <w:endnote w:id="160">
    <w:p w14:paraId="7D3328A3" w14:textId="7C2F51CC" w:rsidR="0052544D" w:rsidRPr="00CD2945" w:rsidRDefault="0052544D" w:rsidP="00314F78">
      <w:pPr>
        <w:pStyle w:val="EndnoteText"/>
      </w:pPr>
      <w:r>
        <w:rPr>
          <w:rStyle w:val="EndnoteReference"/>
        </w:rPr>
        <w:endnoteRef/>
      </w:r>
      <w:r w:rsidR="00DF7A08">
        <w:tab/>
      </w:r>
      <w:r w:rsidR="00DF7A08" w:rsidRPr="00CD2945">
        <w:t xml:space="preserve">Michael John Murray. Statement of Michael John Murray [Internet]. Royal Commission into Aged Care Quality and Safety; 2019 [cited 2022 May 9]. Available from: </w:t>
      </w:r>
      <w:hyperlink r:id="rId42" w:history="1">
        <w:r w:rsidR="00DF7A08" w:rsidRPr="00BF0F60">
          <w:rPr>
            <w:rStyle w:val="Hyperlink"/>
          </w:rPr>
          <w:t>https://agedcare.royalcommission.gov.au/system/files/2020-06/WIT.0273.0001.0001.pdf</w:t>
        </w:r>
      </w:hyperlink>
      <w:r w:rsidR="00EC17D6" w:rsidRPr="00EC17D6">
        <w:rPr>
          <w:rStyle w:val="Hyperlink"/>
          <w:color w:val="auto"/>
          <w:u w:val="none"/>
        </w:rPr>
        <w:t>.</w:t>
      </w:r>
    </w:p>
  </w:endnote>
  <w:endnote w:id="161">
    <w:p w14:paraId="68E9EB2A" w14:textId="5D9AA05F" w:rsidR="0052544D" w:rsidRPr="00CD206A" w:rsidRDefault="0052544D" w:rsidP="00314F78">
      <w:pPr>
        <w:pStyle w:val="EndnoteText"/>
        <w:rPr>
          <w:lang w:val="en-US"/>
        </w:rPr>
      </w:pPr>
      <w:r>
        <w:rPr>
          <w:rStyle w:val="EndnoteReference"/>
        </w:rPr>
        <w:endnoteRef/>
      </w:r>
      <w:r>
        <w:t xml:space="preserve"> </w:t>
      </w:r>
      <w:r>
        <w:tab/>
      </w:r>
      <w:r w:rsidRPr="00CD206A">
        <w:rPr>
          <w:lang w:val="en-US"/>
        </w:rPr>
        <w:t>McNichol LL, Ayello EA, Phearman LA, Pezzella PA, Culver EA. Incontinence-Associated Dermatitis: State of the Science and Knowledge Translation. Adv Skin Wound Care. 2018 Nov;31(11):502–13.</w:t>
      </w:r>
    </w:p>
  </w:endnote>
  <w:endnote w:id="162">
    <w:p w14:paraId="62B3F1F3" w14:textId="3A108E10" w:rsidR="001754A2" w:rsidRPr="001754A2" w:rsidRDefault="001754A2" w:rsidP="00314F78">
      <w:pPr>
        <w:pStyle w:val="EndnoteText"/>
        <w:rPr>
          <w:lang w:val="en-US"/>
        </w:rPr>
      </w:pPr>
      <w:r>
        <w:rPr>
          <w:rStyle w:val="EndnoteReference"/>
        </w:rPr>
        <w:endnoteRef/>
      </w:r>
      <w:r>
        <w:t xml:space="preserve"> </w:t>
      </w:r>
      <w:r w:rsidR="000D7FEF">
        <w:rPr>
          <w:lang w:val="en-US"/>
        </w:rPr>
        <w:tab/>
        <w:t>Australian Institute of Health and Welfare. Emergency department care [Internet]. 2021; Available from:</w:t>
      </w:r>
      <w:r w:rsidR="000D7FEF" w:rsidRPr="000D7FEF">
        <w:t xml:space="preserve"> </w:t>
      </w:r>
      <w:hyperlink r:id="rId43" w:history="1">
        <w:r w:rsidR="000D7FEF" w:rsidRPr="003A2A1A">
          <w:rPr>
            <w:rStyle w:val="Hyperlink"/>
          </w:rPr>
          <w:t>https://www.aihw.gov.au/reports-data/myhospitals/sectors/emergency-department-care</w:t>
        </w:r>
      </w:hyperlink>
      <w:r w:rsidR="000D7FEF">
        <w:rPr>
          <w:rStyle w:val="Hyperlink"/>
          <w:u w:val="none"/>
        </w:rPr>
        <w:t>.</w:t>
      </w:r>
    </w:p>
  </w:endnote>
  <w:endnote w:id="163">
    <w:p w14:paraId="74C2E0EC" w14:textId="660D9674" w:rsidR="0052544D" w:rsidRPr="005F1C9B" w:rsidRDefault="0052544D" w:rsidP="00314F78">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4"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r w:rsidR="00EC17D6">
        <w:rPr>
          <w:rStyle w:val="Hyperlink"/>
          <w:color w:val="auto"/>
          <w:u w:val="none"/>
        </w:rPr>
        <w:t>v</w:t>
      </w:r>
    </w:p>
  </w:endnote>
  <w:endnote w:id="164">
    <w:p w14:paraId="6055FC91" w14:textId="7242C937" w:rsidR="0052544D" w:rsidRPr="005F1C9B" w:rsidRDefault="0052544D" w:rsidP="00314F78">
      <w:pPr>
        <w:pStyle w:val="EndnoteText"/>
      </w:pPr>
      <w:r w:rsidRPr="005F1C9B">
        <w:rPr>
          <w:rStyle w:val="EndnoteReference"/>
        </w:rPr>
        <w:endnoteRef/>
      </w:r>
      <w:r w:rsidRPr="005F1C9B">
        <w:t xml:space="preserve"> </w:t>
      </w:r>
      <w:r w:rsidRPr="005F1C9B">
        <w:tab/>
        <w:t xml:space="preserve">AIHW. Potentially preventable hospitalisations in Australia by age groups and small geographic areas, 2017–18, Overview [Internet]. Australian Institute of Health and Welfare. [cited 2022 Apr 13]. Available from: </w:t>
      </w:r>
      <w:hyperlink r:id="rId45" w:history="1">
        <w:r w:rsidRPr="00EC17D6">
          <w:rPr>
            <w:rStyle w:val="Hyperlink"/>
          </w:rPr>
          <w:t>https://www.aihw.gov.au/reports/primary-health-care/potentially-preventable-hospitalisations/contents/overview</w:t>
        </w:r>
      </w:hyperlink>
      <w:r w:rsidR="00EC17D6" w:rsidRPr="00EC17D6">
        <w:rPr>
          <w:rStyle w:val="Hyperlink"/>
          <w:color w:val="auto"/>
          <w:u w:val="none"/>
        </w:rPr>
        <w:t>.</w:t>
      </w:r>
    </w:p>
  </w:endnote>
  <w:endnote w:id="165">
    <w:p w14:paraId="12E46A6E" w14:textId="17EE7D89" w:rsidR="0052544D" w:rsidRPr="00273EB6" w:rsidRDefault="0052544D" w:rsidP="00314F78">
      <w:pPr>
        <w:pStyle w:val="EndnoteText"/>
        <w:rPr>
          <w:lang w:val="en-US"/>
        </w:rPr>
      </w:pPr>
      <w:r>
        <w:rPr>
          <w:rStyle w:val="EndnoteReference"/>
        </w:rPr>
        <w:endnoteRef/>
      </w:r>
      <w:r w:rsidR="00DF7A08">
        <w:tab/>
      </w:r>
      <w:r w:rsidR="00DF7A08" w:rsidRPr="00273EB6">
        <w:t>Registry of Senior Australians (ROSA), South Australian Health and Medical Research Institute. 2022. Scoping study on best practice multidisciplinary models of care in Residential Aged Care Facilities: ROSA data analysis report. Report prepared for the Australian Government, Department of Health, Allied Health and Service Integration Branch. May 16, 2022.</w:t>
      </w:r>
    </w:p>
  </w:endnote>
  <w:endnote w:id="166">
    <w:p w14:paraId="739D0F77" w14:textId="00EB3C86" w:rsidR="0052544D" w:rsidRPr="000F2B32" w:rsidRDefault="0052544D" w:rsidP="00314F78">
      <w:pPr>
        <w:pStyle w:val="EndnoteText"/>
        <w:rPr>
          <w:lang w:val="en-US"/>
        </w:rPr>
      </w:pPr>
      <w:r>
        <w:rPr>
          <w:rStyle w:val="EndnoteReference"/>
        </w:rPr>
        <w:endnoteRef/>
      </w:r>
      <w:r w:rsidR="00DF7A08">
        <w:tab/>
      </w:r>
      <w:r w:rsidR="00DF7A08" w:rsidRPr="000F2B32">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7">
    <w:p w14:paraId="7755D41B" w14:textId="20AA25A0" w:rsidR="00827F87" w:rsidRPr="00365CCF" w:rsidRDefault="00827F87" w:rsidP="00314F78">
      <w:pPr>
        <w:pStyle w:val="EndnoteText"/>
        <w:rPr>
          <w:lang w:val="en-US"/>
        </w:rPr>
      </w:pPr>
      <w:r>
        <w:rPr>
          <w:rStyle w:val="EndnoteReference"/>
        </w:rPr>
        <w:endnoteRef/>
      </w:r>
      <w:r w:rsidR="00DF7A08">
        <w:tab/>
      </w:r>
      <w:r w:rsidR="00DF7A08" w:rsidRPr="00365CCF">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8">
    <w:p w14:paraId="7AB7CDD7" w14:textId="2BB0BF90" w:rsidR="0052544D" w:rsidRPr="005F1C9B" w:rsidRDefault="0052544D" w:rsidP="00314F78">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6"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69">
    <w:p w14:paraId="6BE28F5E" w14:textId="197883AE" w:rsidR="0052544D" w:rsidRPr="008532B9" w:rsidRDefault="0052544D" w:rsidP="00314F78">
      <w:pPr>
        <w:pStyle w:val="EndnoteText"/>
      </w:pPr>
      <w:r>
        <w:rPr>
          <w:rStyle w:val="EndnoteReference"/>
        </w:rPr>
        <w:endnoteRef/>
      </w:r>
      <w:r w:rsidR="00DF7A08">
        <w:tab/>
      </w:r>
      <w:r w:rsidR="00DF7A08" w:rsidRPr="009D44B6">
        <w:t xml:space="preserve">Australian Institute Of Health And Welfare. (2020). Australia’s hospitals at a glance 2018-19. </w:t>
      </w:r>
      <w:hyperlink r:id="rId47" w:history="1">
        <w:r w:rsidR="00DF7A08" w:rsidRPr="001F0F8D">
          <w:rPr>
            <w:rStyle w:val="Hyperlink"/>
          </w:rPr>
          <w:t>https://doi.org/10.25816/EB1N-RN89</w:t>
        </w:r>
      </w:hyperlink>
      <w:r w:rsidR="00EC17D6" w:rsidRPr="00EC17D6">
        <w:rPr>
          <w:rStyle w:val="Hyperlink"/>
          <w:color w:val="auto"/>
          <w:u w:val="none"/>
        </w:rPr>
        <w:t>.</w:t>
      </w:r>
    </w:p>
  </w:endnote>
  <w:endnote w:id="170">
    <w:p w14:paraId="264FFDC6" w14:textId="3D05CC4C" w:rsidR="0052544D" w:rsidRPr="008532B9" w:rsidRDefault="0052544D" w:rsidP="00314F78">
      <w:pPr>
        <w:pStyle w:val="EndnoteText"/>
      </w:pPr>
      <w:r>
        <w:rPr>
          <w:rStyle w:val="EndnoteReference"/>
        </w:rPr>
        <w:endnoteRef/>
      </w:r>
      <w:r w:rsidR="00DF7A08">
        <w:tab/>
      </w:r>
      <w:r w:rsidR="00DF7A08" w:rsidRPr="009D44B6">
        <w:t xml:space="preserve">Research Paper 18 – Hospitalisations in Australian Aged Care: 2014/15–2018/19. (2020). Royal Commission into Aged Care Quality and Safety. Retrieved 22 April 2022, from </w:t>
      </w:r>
      <w:hyperlink r:id="rId48" w:history="1">
        <w:r w:rsidR="00DF7A08" w:rsidRPr="001F0F8D">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71">
    <w:p w14:paraId="7C9E85CC" w14:textId="2C482D34" w:rsidR="0052544D" w:rsidRPr="007E7A4E" w:rsidRDefault="0052544D" w:rsidP="00314F78">
      <w:pPr>
        <w:pStyle w:val="EndnoteText"/>
        <w:rPr>
          <w:lang w:val="en-US"/>
        </w:rPr>
      </w:pPr>
      <w:r>
        <w:rPr>
          <w:rStyle w:val="EndnoteReference"/>
        </w:rPr>
        <w:endnoteRef/>
      </w:r>
      <w:r w:rsidR="00DF7A08">
        <w:tab/>
        <w:t xml:space="preserve">Australian Institute Of Health And Welfare. Australia’s hospitals at a glance 2018-19. 2020 [cited 2022 Apr 22]; Available from: </w:t>
      </w:r>
      <w:hyperlink r:id="rId49" w:history="1">
        <w:r w:rsidR="00DF7A08" w:rsidRPr="00995EA8">
          <w:rPr>
            <w:rStyle w:val="Hyperlink"/>
          </w:rPr>
          <w:t>https://www.aihw.gov.au/reports/hospitals/australias-hospitals-at-a-glance-2018-19/summary</w:t>
        </w:r>
      </w:hyperlink>
      <w:r w:rsidR="00DF7A08">
        <w:t>.</w:t>
      </w:r>
    </w:p>
  </w:endnote>
  <w:endnote w:id="172">
    <w:p w14:paraId="479B886F" w14:textId="0160D054" w:rsidR="00702A25" w:rsidRPr="00702A25" w:rsidRDefault="00702A25" w:rsidP="00314F78">
      <w:pPr>
        <w:pStyle w:val="EndnoteText"/>
        <w:rPr>
          <w:lang w:val="en-US"/>
        </w:rPr>
      </w:pPr>
      <w:r>
        <w:rPr>
          <w:rStyle w:val="EndnoteReference"/>
        </w:rPr>
        <w:endnoteRef/>
      </w:r>
      <w:r>
        <w:t xml:space="preserve"> </w:t>
      </w:r>
      <w:r>
        <w:rPr>
          <w:lang w:val="en-US"/>
        </w:rPr>
        <w:tab/>
      </w:r>
      <w:r w:rsidRPr="00702A25">
        <w:rPr>
          <w:lang w:val="en-US"/>
        </w:rPr>
        <w:t>Inacio MC, Jorissen RN, Wesselingh S STAAR-SA Study Collaborators, et al</w:t>
      </w:r>
      <w:r>
        <w:rPr>
          <w:lang w:val="en-US"/>
        </w:rPr>
        <w:t xml:space="preserve">. </w:t>
      </w:r>
      <w:r w:rsidRPr="00702A25">
        <w:rPr>
          <w:lang w:val="en-US"/>
        </w:rPr>
        <w:t>Predictors of hospitalisations and emergency department presentations shortly after entering a residential aged care facility in Australia: a retrospective cohort study</w:t>
      </w:r>
      <w:r>
        <w:rPr>
          <w:lang w:val="en-US"/>
        </w:rPr>
        <w:t xml:space="preserve">. </w:t>
      </w:r>
      <w:r w:rsidRPr="00702A25">
        <w:rPr>
          <w:lang w:val="en-US"/>
        </w:rPr>
        <w:t>BMJ Open 2021;11</w:t>
      </w:r>
      <w:r>
        <w:rPr>
          <w:lang w:val="en-US"/>
        </w:rPr>
        <w:t xml:space="preserve">. </w:t>
      </w:r>
    </w:p>
  </w:endnote>
  <w:endnote w:id="173">
    <w:p w14:paraId="495F252E" w14:textId="23C437EA" w:rsidR="0052544D" w:rsidRPr="005F1C9B" w:rsidRDefault="0052544D" w:rsidP="00314F78">
      <w:pPr>
        <w:pStyle w:val="EndnoteText"/>
      </w:pPr>
      <w:r w:rsidRPr="005F1C9B">
        <w:rPr>
          <w:rStyle w:val="EndnoteReference"/>
        </w:rPr>
        <w:endnoteRef/>
      </w:r>
      <w:r w:rsidRPr="005F1C9B">
        <w:t xml:space="preserve"> </w:t>
      </w:r>
      <w:r w:rsidRPr="005F1C9B">
        <w:tab/>
        <w:t xml:space="preserve">Australian Institute Of Health And Welfare. Australia’s hospitals at a glance 2018-19. 2020 [cited 2022 Apr 22]; Available from: </w:t>
      </w:r>
      <w:hyperlink r:id="rId50" w:history="1">
        <w:r w:rsidRPr="005F1C9B">
          <w:rPr>
            <w:rStyle w:val="Hyperlink"/>
            <w:u w:val="none"/>
          </w:rPr>
          <w:t>https://www.aihw.gov.au/reports/hospitals/australias-hospitals-at-a-glance-2018-19/summary</w:t>
        </w:r>
      </w:hyperlink>
      <w:r w:rsidRPr="005F1C9B">
        <w:t>.</w:t>
      </w:r>
    </w:p>
  </w:endnote>
  <w:endnote w:id="174">
    <w:p w14:paraId="59197AF3" w14:textId="3BE8D8D4"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1"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5">
    <w:p w14:paraId="7DCCC0E0" w14:textId="0FDC6B76" w:rsidR="0052544D" w:rsidRPr="005F1C9B" w:rsidRDefault="0052544D" w:rsidP="00314F78">
      <w:pPr>
        <w:pStyle w:val="EndnoteText"/>
        <w:rPr>
          <w:lang w:val="en-US"/>
        </w:rPr>
      </w:pPr>
      <w:r w:rsidRPr="005F1C9B">
        <w:rPr>
          <w:rStyle w:val="EndnoteReference"/>
        </w:rPr>
        <w:endnoteRef/>
      </w:r>
      <w:r w:rsidRPr="005F1C9B">
        <w:t xml:space="preserve"> </w:t>
      </w:r>
      <w:r w:rsidRPr="005F1C9B">
        <w:tab/>
        <w:t>Huckfeldt PJ, Kane RL, Yang Z, Engstrom G, Tappen R, Rojido C, et al. Degree of Implementation of the Interventions to Reduce Acute Care Transfers (INTERACT) Quality Improvement Program Associated with Number of Hospitalizations. J Am Geriatr Soc. 2018;66(9):1830–7.</w:t>
      </w:r>
    </w:p>
  </w:endnote>
  <w:endnote w:id="176">
    <w:p w14:paraId="6BB9A941" w14:textId="0351592B"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2"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7">
    <w:p w14:paraId="4C9F1D45" w14:textId="1CC19A61" w:rsidR="0052544D" w:rsidRPr="005F1C9B" w:rsidRDefault="0052544D" w:rsidP="00314F78">
      <w:pPr>
        <w:pStyle w:val="EndnoteText"/>
      </w:pPr>
      <w:r w:rsidRPr="005F1C9B">
        <w:rPr>
          <w:rStyle w:val="EndnoteReference"/>
        </w:rPr>
        <w:endnoteRef/>
      </w:r>
      <w:r w:rsidRPr="005F1C9B">
        <w:t xml:space="preserve"> </w:t>
      </w:r>
      <w:r w:rsidRPr="005F1C9B">
        <w:tab/>
      </w:r>
      <w:r w:rsidRPr="00F27ABB">
        <w:t xml:space="preserve">Laffon de Mazières C, Morley JE, Levy C, Agenes F, Barbagallo M, Cesari M, et al. Prevention of functional decline by reframing the role of nursing homes? J Nurs Home Res Sci [Internet]. 2017 [cited 2022 Apr 15]; Available from: </w:t>
      </w:r>
      <w:hyperlink r:id="rId53" w:history="1">
        <w:r w:rsidRPr="00EC17D6">
          <w:rPr>
            <w:rStyle w:val="Hyperlink"/>
          </w:rPr>
          <w:t>https://www.jnursinghomeresearch.com/all-issues.html?article=125</w:t>
        </w:r>
      </w:hyperlink>
      <w:r w:rsidR="00EC17D6" w:rsidRPr="00EC17D6">
        <w:rPr>
          <w:rStyle w:val="Hyperlink"/>
          <w:color w:val="auto"/>
          <w:u w:val="none"/>
        </w:rPr>
        <w:t>.</w:t>
      </w:r>
    </w:p>
  </w:endnote>
  <w:endnote w:id="178">
    <w:p w14:paraId="24C9D428" w14:textId="7CDE8CA7" w:rsidR="0052544D" w:rsidRPr="005F1C9B" w:rsidRDefault="0052544D" w:rsidP="00314F78">
      <w:pPr>
        <w:pStyle w:val="EndnoteText"/>
      </w:pPr>
      <w:r w:rsidRPr="005F1C9B">
        <w:rPr>
          <w:rStyle w:val="EndnoteReference"/>
        </w:rPr>
        <w:endnoteRef/>
      </w:r>
      <w:r w:rsidRPr="005F1C9B">
        <w:t xml:space="preserve"> </w:t>
      </w:r>
      <w:r w:rsidRPr="005F1C9B">
        <w:tab/>
      </w:r>
      <w:r w:rsidRPr="00924350">
        <w:t>Grabowski DC, O’Malley AJ. THE CARE SPAN: Use Of Telemedicine Can Reduce Hospitalizations Of Nursing Home Residents And Generate Savings For Medicare. Health Aff (Millwood). 2014 Feb;33(2):244–50.</w:t>
      </w:r>
    </w:p>
  </w:endnote>
  <w:endnote w:id="179">
    <w:p w14:paraId="6D9CBFE6" w14:textId="2AB5D0A1"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4"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80">
    <w:p w14:paraId="2E6F9A72" w14:textId="1653C59F" w:rsidR="0052544D" w:rsidRPr="00726A43" w:rsidRDefault="0052544D" w:rsidP="00314F78">
      <w:pPr>
        <w:pStyle w:val="EndnoteText"/>
      </w:pPr>
      <w:r>
        <w:rPr>
          <w:rStyle w:val="EndnoteReference"/>
        </w:rPr>
        <w:endnoteRef/>
      </w:r>
      <w:r>
        <w:t xml:space="preserve"> </w:t>
      </w:r>
      <w:r w:rsidR="00E350D6" w:rsidRPr="005F1C9B">
        <w:tab/>
      </w:r>
      <w:r w:rsidRPr="00924350">
        <w:t>Mileski, M.,</w:t>
      </w:r>
      <w:r>
        <w:t xml:space="preserve"> </w:t>
      </w:r>
      <w:r w:rsidRPr="00924350">
        <w:t>Pannu, U., Payne, B., Sterling, E., &amp; McClay, R. (2020). The Impact of Nurse Practitioners on Hospitalizations and Discharges from Long-term Nursing Facilities: A Systematic Review. Healthcare, 8(2), 114.</w:t>
      </w:r>
      <w:r>
        <w:t xml:space="preserve"> </w:t>
      </w:r>
      <w:hyperlink r:id="rId55" w:history="1">
        <w:r w:rsidRPr="001F0F8D">
          <w:rPr>
            <w:rStyle w:val="Hyperlink"/>
          </w:rPr>
          <w:t>http://dx.doi.org/10.3390/healthcare8020114</w:t>
        </w:r>
      </w:hyperlink>
      <w:r w:rsidR="009D6C73" w:rsidRPr="00EC17D6">
        <w:rPr>
          <w:rStyle w:val="Hyperlink"/>
          <w:color w:val="auto"/>
          <w:u w:val="none"/>
        </w:rPr>
        <w:t>.</w:t>
      </w:r>
    </w:p>
  </w:endnote>
  <w:endnote w:id="181">
    <w:p w14:paraId="15D5270A" w14:textId="6C37A5E7"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6"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82">
    <w:p w14:paraId="3A773142" w14:textId="22E6A07A" w:rsidR="0052544D" w:rsidRPr="005F1C9B" w:rsidRDefault="0052544D" w:rsidP="00314F78">
      <w:pPr>
        <w:pStyle w:val="EndnoteText"/>
      </w:pPr>
      <w:r w:rsidRPr="005F1C9B">
        <w:rPr>
          <w:rStyle w:val="EndnoteReference"/>
        </w:rPr>
        <w:endnoteRef/>
      </w:r>
      <w:r w:rsidRPr="005F1C9B">
        <w:t xml:space="preserve"> </w:t>
      </w:r>
      <w:r w:rsidRPr="005F1C9B">
        <w:tab/>
        <w:t>Kaambwa B, Ratcliffe J, Shulver W, Killington M, Taylor A, Crotty M, et al. Investigating the preferences of older people for telehealth as a new model of health care service delivery: A discrete choice experiment. J Telemed Telecare. 2016;23(2):301–13.</w:t>
      </w:r>
    </w:p>
  </w:endnote>
  <w:endnote w:id="183">
    <w:p w14:paraId="6B6E3FB5" w14:textId="04A72E4F" w:rsidR="0052544D" w:rsidRPr="005F1C9B" w:rsidRDefault="0052544D" w:rsidP="00314F78">
      <w:pPr>
        <w:pStyle w:val="EndnoteText"/>
        <w:rPr>
          <w:lang w:val="en-US"/>
        </w:rPr>
      </w:pPr>
      <w:r w:rsidRPr="005F1C9B">
        <w:rPr>
          <w:rStyle w:val="EndnoteReference"/>
        </w:rPr>
        <w:endnoteRef/>
      </w:r>
      <w:r w:rsidRPr="005F1C9B">
        <w:t xml:space="preserve"> </w:t>
      </w:r>
      <w:r w:rsidRPr="005F1C9B">
        <w:tab/>
        <w:t>Grabowski DC, O’Malley AJ. THE CARE SPAN: Use Of Telemedicine Can Reduce Hospitalizations Of Nursing Home Residents And Generate Savings For Medicare. Health Aff (Millwood). 2014 Feb;33(2):244–50.</w:t>
      </w:r>
    </w:p>
  </w:endnote>
  <w:endnote w:id="184">
    <w:p w14:paraId="22AF7BA4" w14:textId="41FB693E"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7"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85">
    <w:p w14:paraId="06C4E198" w14:textId="71E127B4" w:rsidR="0052544D" w:rsidRPr="005F1C9B" w:rsidRDefault="0052544D" w:rsidP="00314F78">
      <w:pPr>
        <w:pStyle w:val="EndnoteText"/>
      </w:pPr>
      <w:r w:rsidRPr="005F1C9B">
        <w:rPr>
          <w:rStyle w:val="EndnoteReference"/>
        </w:rPr>
        <w:endnoteRef/>
      </w:r>
      <w:r w:rsidRPr="005F1C9B">
        <w:t xml:space="preserve"> </w:t>
      </w:r>
      <w:r w:rsidRPr="005F1C9B">
        <w:tab/>
        <w:t xml:space="preserve">Ingber M, Zhanlian Feng, Galina Khatutsky, Joyce M. Wang, Lawren E. Bercaw, Nan Tracy Zheng, et al. Initiative To Reduce Avoidable Hospitalizations Among Nursing Facility Residents Shows Promising Results [Internet]. [cited 2022 May 5]. Available from: </w:t>
      </w:r>
      <w:hyperlink r:id="rId58" w:history="1">
        <w:r w:rsidRPr="009D6C73">
          <w:rPr>
            <w:rStyle w:val="Hyperlink"/>
          </w:rPr>
          <w:t>https://www.healthaffairs.org/doi/epdf/10.1377/hlthaff.2016.1310</w:t>
        </w:r>
      </w:hyperlink>
      <w:r w:rsidR="009D6C73" w:rsidRPr="00EC17D6">
        <w:rPr>
          <w:rStyle w:val="Hyperlink"/>
          <w:color w:val="auto"/>
          <w:u w:val="none"/>
        </w:rPr>
        <w:t>.</w:t>
      </w:r>
    </w:p>
  </w:endnote>
  <w:endnote w:id="186">
    <w:p w14:paraId="5BB06D86" w14:textId="22ED88AC" w:rsidR="0052544D" w:rsidRPr="005F1C9B" w:rsidRDefault="0052544D" w:rsidP="00314F78">
      <w:pPr>
        <w:pStyle w:val="EndnoteText"/>
        <w:rPr>
          <w:lang w:val="en-US"/>
        </w:rPr>
      </w:pPr>
      <w:r w:rsidRPr="005F1C9B">
        <w:rPr>
          <w:rStyle w:val="EndnoteReference"/>
        </w:rPr>
        <w:endnoteRef/>
      </w:r>
      <w:r w:rsidRPr="005F1C9B">
        <w:t xml:space="preserve"> </w:t>
      </w:r>
      <w:r w:rsidRPr="005F1C9B">
        <w:tab/>
        <w:t>Bennett M, Treuer K, McCabe MP, Beattie E, Karantzas G, Mellor D, et al. Resident perceptions of opportunity for communication and contribution to care planning in residential aged care. Int J Older People Nurs. 2020;15(1).</w:t>
      </w:r>
    </w:p>
  </w:endnote>
  <w:endnote w:id="187">
    <w:p w14:paraId="4218E822" w14:textId="0DA0E077" w:rsidR="0052544D" w:rsidRPr="005F1C9B" w:rsidRDefault="0052544D" w:rsidP="00314F78">
      <w:pPr>
        <w:pStyle w:val="EndnoteText"/>
        <w:rPr>
          <w:lang w:val="en-US"/>
        </w:rPr>
      </w:pPr>
      <w:r w:rsidRPr="005F1C9B">
        <w:rPr>
          <w:rStyle w:val="EndnoteReference"/>
        </w:rPr>
        <w:endnoteRef/>
      </w:r>
      <w:r w:rsidRPr="005F1C9B">
        <w:t xml:space="preserve"> </w:t>
      </w:r>
      <w:r w:rsidRPr="005F1C9B">
        <w:tab/>
        <w:t>Vogelsmeier A, Popejoy L, Canada K, Galambos C, Petroski G, Crecelius C, et al. Results of the Missouri Quality Initiative in Sustaining Changes in Nursing Home Care: Six-Year Trends of Reducing Hospitalizations of Nursing Home Residents. J Nutr Health Aging. 2021 Jan 1;25(1):5–12.</w:t>
      </w:r>
    </w:p>
  </w:endnote>
  <w:endnote w:id="188">
    <w:p w14:paraId="432BB291" w14:textId="31EB3EAD" w:rsidR="0052544D" w:rsidRPr="00392098" w:rsidRDefault="0052544D" w:rsidP="00314F78">
      <w:pPr>
        <w:pStyle w:val="EndnoteText"/>
        <w:rPr>
          <w:lang w:val="en-US"/>
        </w:rPr>
      </w:pPr>
      <w:r>
        <w:rPr>
          <w:rStyle w:val="EndnoteReference"/>
        </w:rPr>
        <w:endnoteRef/>
      </w:r>
      <w:r>
        <w:t xml:space="preserve"> </w:t>
      </w:r>
      <w:r>
        <w:tab/>
        <w:t>Standard 7, Aged Care Accreditation Standards, Australian Government Department of Health 2019.</w:t>
      </w:r>
    </w:p>
  </w:endnote>
  <w:endnote w:id="189">
    <w:p w14:paraId="4E437F70" w14:textId="4E096E40" w:rsidR="009D6C73" w:rsidRPr="009D6C73" w:rsidRDefault="009D6C73" w:rsidP="00314F78">
      <w:pPr>
        <w:pStyle w:val="EndnoteText"/>
        <w:rPr>
          <w:lang w:val="en-US"/>
        </w:rPr>
      </w:pPr>
      <w:r>
        <w:rPr>
          <w:rStyle w:val="EndnoteReference"/>
        </w:rPr>
        <w:endnoteRef/>
      </w:r>
      <w:r>
        <w:t xml:space="preserve"> </w:t>
      </w:r>
      <w:r>
        <w:rPr>
          <w:lang w:val="en-US"/>
        </w:rPr>
        <w:tab/>
      </w:r>
      <w:r w:rsidRPr="009D6C73">
        <w:t xml:space="preserve">Royal Commission into Aged Care Quality and Safety Counsel Assisting’s Submission on Workforce. Available from </w:t>
      </w:r>
      <w:r w:rsidRPr="009D6C73">
        <w:rPr>
          <w:rStyle w:val="Hyperlink"/>
        </w:rPr>
        <w:t>https://agedcare.royalcommission.gov.au/sites/default/files/2020-03/submissions-by-counsel-assisting.pdf</w:t>
      </w:r>
      <w:r w:rsidRPr="009D6C73">
        <w:rPr>
          <w:rStyle w:val="Hyperlink"/>
          <w:color w:val="auto"/>
          <w:u w:val="none"/>
        </w:rPr>
        <w:t>.</w:t>
      </w:r>
    </w:p>
  </w:endnote>
  <w:endnote w:id="190">
    <w:p w14:paraId="55DDCB32" w14:textId="485732D6" w:rsidR="0052544D" w:rsidRPr="003F3C72" w:rsidRDefault="0052544D" w:rsidP="00314F78">
      <w:pPr>
        <w:pStyle w:val="EndnoteText"/>
        <w:rPr>
          <w:lang w:val="en-US"/>
        </w:rPr>
      </w:pPr>
      <w:r>
        <w:rPr>
          <w:rStyle w:val="EndnoteReference"/>
        </w:rPr>
        <w:endnoteRef/>
      </w:r>
      <w:r w:rsidR="00DF7A08">
        <w:tab/>
      </w:r>
      <w:r w:rsidR="00DF7A08" w:rsidRPr="00A75950">
        <w:t>Australia, Royal Commission into Aged Care Quality and Safety, Pagone, T., &amp; Briggs, L. (2021). Section 3a, Chapter 12 Workforce. In Final report: Care, dignity and respect.</w:t>
      </w:r>
    </w:p>
  </w:endnote>
  <w:endnote w:id="191">
    <w:p w14:paraId="62185B0F" w14:textId="442B31DF" w:rsidR="0052544D" w:rsidRPr="00BC3005" w:rsidRDefault="0052544D" w:rsidP="00314F78">
      <w:pPr>
        <w:pStyle w:val="EndnoteText"/>
        <w:rPr>
          <w:lang w:val="en-US"/>
        </w:rPr>
      </w:pPr>
      <w:r>
        <w:rPr>
          <w:rStyle w:val="EndnoteReference"/>
        </w:rPr>
        <w:endnoteRef/>
      </w:r>
      <w:r w:rsidR="00DF7A08">
        <w:tab/>
      </w:r>
      <w:r w:rsidR="00DF7A08">
        <w:rPr>
          <w:lang w:val="en-US"/>
        </w:rPr>
        <w:t xml:space="preserve">The Ageing and Aged Care Workforce. 2020 Aged Care Workforce Census Report. Available from: </w:t>
      </w:r>
      <w:r w:rsidR="00DF7A08" w:rsidRPr="009D6C73">
        <w:rPr>
          <w:rStyle w:val="Hyperlink"/>
        </w:rPr>
        <w:t>https://www.health.gov.au/sites/default/files/documents/2021/10/2020-aged-care-workforce-census.pdf</w:t>
      </w:r>
      <w:r w:rsidR="009D6C73" w:rsidRPr="00EC17D6">
        <w:rPr>
          <w:rStyle w:val="Hyperlink"/>
          <w:color w:val="auto"/>
          <w:u w:val="none"/>
        </w:rPr>
        <w:t>.</w:t>
      </w:r>
    </w:p>
  </w:endnote>
  <w:endnote w:id="192">
    <w:p w14:paraId="1595A574" w14:textId="5EE22AA9" w:rsidR="0052544D" w:rsidRPr="0030053C" w:rsidRDefault="0052544D" w:rsidP="00314F78">
      <w:pPr>
        <w:pStyle w:val="EndnoteText"/>
        <w:rPr>
          <w:lang w:val="en-US"/>
        </w:rPr>
      </w:pPr>
      <w:r>
        <w:rPr>
          <w:rStyle w:val="EndnoteReference"/>
        </w:rPr>
        <w:endnoteRef/>
      </w:r>
      <w:r w:rsidR="00DF7A08">
        <w:tab/>
        <w:t xml:space="preserve">Centre for Health Service Development. How Australian Residential Aged Care Staffing Levels Compare with International and National Benchmarks. A research study commissioned by the Royal Commission into Aged Care Quality and Safety. Available from: </w:t>
      </w:r>
      <w:hyperlink r:id="rId59" w:history="1">
        <w:r w:rsidR="00DF7A08" w:rsidRPr="00601944">
          <w:rPr>
            <w:rStyle w:val="Hyperlink"/>
          </w:rPr>
          <w:t>https://agedcare.royalcommission.gov.au/sites/default/files/2019-12/research-paper-1.pdf</w:t>
        </w:r>
      </w:hyperlink>
      <w:r w:rsidR="009D6C73" w:rsidRPr="00EC17D6">
        <w:rPr>
          <w:rStyle w:val="Hyperlink"/>
          <w:color w:val="auto"/>
          <w:u w:val="none"/>
        </w:rPr>
        <w:t>.</w:t>
      </w:r>
    </w:p>
  </w:endnote>
  <w:endnote w:id="193">
    <w:p w14:paraId="65A6134C" w14:textId="12B47BDF" w:rsidR="00205B21" w:rsidRPr="00205B21" w:rsidRDefault="00205B21" w:rsidP="00314F78">
      <w:pPr>
        <w:pStyle w:val="EndnoteText"/>
        <w:rPr>
          <w:lang w:val="en-US"/>
        </w:rPr>
      </w:pPr>
      <w:r>
        <w:rPr>
          <w:rStyle w:val="EndnoteReference"/>
        </w:rPr>
        <w:endnoteRef/>
      </w:r>
      <w:r>
        <w:t xml:space="preserve"> </w:t>
      </w:r>
      <w:r>
        <w:rPr>
          <w:lang w:val="en-US"/>
        </w:rPr>
        <w:tab/>
        <w:t xml:space="preserve">Aged Care Quality and Safety Commission, Aged Care Quality Standards, 2018. Available from: </w:t>
      </w:r>
      <w:r w:rsidRPr="009D6C73">
        <w:rPr>
          <w:rStyle w:val="Hyperlink"/>
        </w:rPr>
        <w:t>https://www.agedcarequality.gov.au/providers/standards</w:t>
      </w:r>
      <w:r w:rsidR="009D6C73" w:rsidRPr="00EC17D6">
        <w:rPr>
          <w:rStyle w:val="Hyperlink"/>
          <w:color w:val="auto"/>
          <w:u w:val="none"/>
        </w:rPr>
        <w:t>.</w:t>
      </w:r>
    </w:p>
  </w:endnote>
  <w:endnote w:id="194">
    <w:p w14:paraId="7AA2A310" w14:textId="668DF0EF" w:rsidR="0052544D" w:rsidRPr="009D44B6" w:rsidRDefault="0052544D" w:rsidP="00314F78">
      <w:pPr>
        <w:pStyle w:val="EndnoteText"/>
        <w:rPr>
          <w:lang w:val="en-US"/>
        </w:rPr>
      </w:pPr>
      <w:r>
        <w:rPr>
          <w:rStyle w:val="EndnoteReference"/>
        </w:rPr>
        <w:endnoteRef/>
      </w:r>
      <w:r w:rsidR="00DF7A08">
        <w:tab/>
      </w:r>
      <w:r w:rsidR="00DF7A08" w:rsidRPr="009D44B6">
        <w:t>Australia, Royal Commission into Aged Care Quality and Safety, Pagone, T., &amp; Briggs, L. (2021). Section 3a, Chapter 12 Workforce. In Final report: Care, dignity and respect;</w:t>
      </w:r>
    </w:p>
  </w:endnote>
  <w:endnote w:id="195">
    <w:p w14:paraId="4998C4E7" w14:textId="77C6A72D" w:rsidR="0052544D" w:rsidRPr="009D44B6" w:rsidRDefault="0052544D" w:rsidP="00314F78">
      <w:pPr>
        <w:pStyle w:val="EndnoteText"/>
        <w:rPr>
          <w:lang w:val="en-US"/>
        </w:rPr>
      </w:pPr>
      <w:r>
        <w:rPr>
          <w:rStyle w:val="EndnoteReference"/>
        </w:rPr>
        <w:endnoteRef/>
      </w:r>
      <w:r w:rsidR="00DF7A08">
        <w:tab/>
      </w:r>
      <w:r w:rsidR="00DF7A08" w:rsidRPr="00A75950">
        <w:t>Mavromaras, K., Knight, G., Isherwood, L., &amp; Flavel, J. (2017). The 2016 National Aged Care Census and Survey—The Aged Care Workforce, 2016.</w:t>
      </w:r>
    </w:p>
  </w:endnote>
  <w:endnote w:id="196">
    <w:p w14:paraId="73D0FC89" w14:textId="6A971873" w:rsidR="0052544D" w:rsidRPr="009D44B6" w:rsidRDefault="0052544D" w:rsidP="00314F78">
      <w:pPr>
        <w:pStyle w:val="EndnoteText"/>
      </w:pPr>
      <w:r>
        <w:rPr>
          <w:rStyle w:val="EndnoteReference"/>
        </w:rPr>
        <w:endnoteRef/>
      </w:r>
      <w:r w:rsidR="00DF7A08">
        <w:tab/>
      </w:r>
      <w:r w:rsidR="00DF7A08" w:rsidRPr="009D44B6">
        <w:t xml:space="preserve">National Academies of Sciences, E. (2022). The National Imperative to Improve Nursing Home Quality: Honoring Our Commitment to Residents, Families, and Staff. </w:t>
      </w:r>
      <w:hyperlink r:id="rId60" w:history="1">
        <w:r w:rsidR="00DF7A08" w:rsidRPr="001F0F8D">
          <w:rPr>
            <w:rStyle w:val="Hyperlink"/>
          </w:rPr>
          <w:t>https://doi.org/10.17226/26526</w:t>
        </w:r>
      </w:hyperlink>
      <w:r w:rsidR="009D6C73" w:rsidRPr="00EC17D6">
        <w:rPr>
          <w:rStyle w:val="Hyperlink"/>
          <w:color w:val="auto"/>
          <w:u w:val="none"/>
        </w:rPr>
        <w:t>.</w:t>
      </w:r>
    </w:p>
  </w:endnote>
  <w:endnote w:id="197">
    <w:p w14:paraId="381F1060" w14:textId="59EF2F69" w:rsidR="0052544D" w:rsidRPr="005F1C9B" w:rsidRDefault="0052544D" w:rsidP="00314F78">
      <w:pPr>
        <w:pStyle w:val="EndnoteText"/>
      </w:pPr>
      <w:r w:rsidRPr="005F1C9B">
        <w:rPr>
          <w:rStyle w:val="EndnoteReference"/>
        </w:rPr>
        <w:endnoteRef/>
      </w:r>
      <w:r w:rsidRPr="005F1C9B">
        <w:t xml:space="preserve"> </w:t>
      </w:r>
      <w:r w:rsidRPr="005F1C9B">
        <w:tab/>
        <w:t xml:space="preserve">J Ratcliffe, G Chen, J Khadka, S Kumaran, C Hutchinson, R Milte, et al. Research Paper 20 – The quality of care experience and community expectations [Internet]. Royal Commission into Aged Care Quality and Safety. 2021 [cited 2022 Apr 24]. Available from: </w:t>
      </w:r>
      <w:hyperlink r:id="rId61" w:history="1">
        <w:r w:rsidRPr="009D6C73">
          <w:rPr>
            <w:rStyle w:val="Hyperlink"/>
          </w:rPr>
          <w:t>https://agedcare.royalcommission.gov.au/publications/research-paper-20-quality-care-experience-and-community-expectations</w:t>
        </w:r>
      </w:hyperlink>
      <w:r w:rsidRPr="005F1C9B">
        <w:t>.</w:t>
      </w:r>
    </w:p>
  </w:endnote>
  <w:endnote w:id="198">
    <w:p w14:paraId="680EBEC1" w14:textId="1408D1A8" w:rsidR="0052544D" w:rsidRPr="005F1C9B" w:rsidRDefault="0052544D" w:rsidP="00314F78">
      <w:pPr>
        <w:pStyle w:val="EndnoteText"/>
      </w:pPr>
      <w:r w:rsidRPr="005F1C9B">
        <w:rPr>
          <w:rStyle w:val="EndnoteReference"/>
        </w:rPr>
        <w:endnoteRef/>
      </w:r>
      <w:r w:rsidR="00DF7A08">
        <w:tab/>
      </w:r>
      <w:r w:rsidR="00DF7A08" w:rsidRPr="00A75950">
        <w:t xml:space="preserve">Batchelor, F., Savvas, S., Dang, C., Goh, A., Levinger, P., Peck, A., Katz, I., Dow, B., Australia, Royal Commission into Aged Care Quality and Safety, &amp; National Ageing Research Institute (Australia). (2020). </w:t>
      </w:r>
      <w:r w:rsidR="00DF7A08" w:rsidRPr="00616924">
        <w:rPr>
          <w:rStyle w:val="Hyperlink"/>
        </w:rPr>
        <w:t>Inside the system: Aged care residents’ perspectives. https://agedcare.royalcommission.gov.au/sites/default/files/2020-10/research-paper-13.pdf</w:t>
      </w:r>
      <w:r w:rsidR="009D6C73" w:rsidRPr="00EC17D6">
        <w:rPr>
          <w:rStyle w:val="Hyperlink"/>
          <w:color w:val="auto"/>
          <w:u w:val="none"/>
        </w:rPr>
        <w:t>.</w:t>
      </w:r>
    </w:p>
  </w:endnote>
  <w:endnote w:id="199">
    <w:p w14:paraId="204B2968" w14:textId="51010CD7" w:rsidR="0052544D" w:rsidRPr="00726A43" w:rsidRDefault="0052544D" w:rsidP="00314F78">
      <w:pPr>
        <w:pStyle w:val="EndnoteText"/>
      </w:pPr>
      <w:r>
        <w:rPr>
          <w:rStyle w:val="EndnoteReference"/>
        </w:rPr>
        <w:endnoteRef/>
      </w:r>
      <w:r w:rsidR="00DF7A08">
        <w:tab/>
      </w:r>
      <w:r w:rsidR="00DF7A08" w:rsidRPr="009D44B6">
        <w:t xml:space="preserve">COTA. (2018). Quality-and-Choice-in-Aged-Care-Project-Report-FINAL-Feb-2018.pdf. </w:t>
      </w:r>
      <w:hyperlink r:id="rId62" w:history="1">
        <w:r w:rsidR="00DF7A08"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200">
    <w:p w14:paraId="4B16CA2A" w14:textId="455F2C0B" w:rsidR="0052544D" w:rsidRPr="005F1C9B" w:rsidRDefault="0052544D" w:rsidP="00314F78">
      <w:pPr>
        <w:pStyle w:val="EndnoteText"/>
      </w:pPr>
      <w:r w:rsidRPr="005F1C9B">
        <w:rPr>
          <w:rStyle w:val="EndnoteReference"/>
        </w:rPr>
        <w:endnoteRef/>
      </w:r>
      <w:r w:rsidRPr="005F1C9B">
        <w:t xml:space="preserve"> </w:t>
      </w:r>
      <w:r w:rsidRPr="005F1C9B">
        <w:tab/>
      </w:r>
      <w:r w:rsidRPr="002B2841">
        <w:t xml:space="preserve">Khadka, J., Ratcliffe, J., Chen, G., Kumaran, S., Hutchinson, C., Milte, R., Savvas, S., Batchelor, F., Australia, &amp; Royal Commission into Aged Care Quality and Safety. (2021). A new measure of quality of care experience in aged care: Psychometric assessment and validation of the Quality of care experience (QCE) questionnaire. </w:t>
      </w:r>
      <w:hyperlink r:id="rId63" w:history="1">
        <w:r w:rsidRPr="001F0F8D">
          <w:rPr>
            <w:rStyle w:val="Hyperlink"/>
          </w:rPr>
          <w:t>https://agedcare.royalcommission.gov.au/sites/default/files/2021-02/qce-and-community-expectatons.pdf</w:t>
        </w:r>
      </w:hyperlink>
      <w:r w:rsidR="009D6C73" w:rsidRPr="00EC17D6">
        <w:rPr>
          <w:rStyle w:val="Hyperlink"/>
          <w:color w:val="auto"/>
          <w:u w:val="none"/>
        </w:rPr>
        <w:t>.</w:t>
      </w:r>
    </w:p>
  </w:endnote>
  <w:endnote w:id="201">
    <w:p w14:paraId="5E99F596" w14:textId="508797FF" w:rsidR="00BF73E5" w:rsidRPr="005F1C9B" w:rsidRDefault="00BF73E5" w:rsidP="00314F78">
      <w:pPr>
        <w:pStyle w:val="EndnoteText"/>
      </w:pPr>
      <w:r w:rsidRPr="005F1C9B">
        <w:rPr>
          <w:rStyle w:val="EndnoteReference"/>
        </w:rPr>
        <w:endnoteRef/>
      </w:r>
      <w:r w:rsidRPr="005F1C9B">
        <w:t xml:space="preserve"> </w:t>
      </w:r>
      <w:r w:rsidRPr="005F1C9B">
        <w:tab/>
      </w:r>
      <w:r w:rsidRPr="002B2841">
        <w:t xml:space="preserve">World Health Organisation. (n.d.). WHOQOL - Measuring Quality of Life| The World Health Organization. Retrieved 5 May 2022, from </w:t>
      </w:r>
      <w:hyperlink r:id="rId64" w:history="1">
        <w:r w:rsidRPr="001F0F8D">
          <w:rPr>
            <w:rStyle w:val="Hyperlink"/>
          </w:rPr>
          <w:t>https://www.who.int/tools/whoqol</w:t>
        </w:r>
      </w:hyperlink>
      <w:r w:rsidR="009D6C73" w:rsidRPr="00EC17D6">
        <w:rPr>
          <w:rStyle w:val="Hyperlink"/>
          <w:color w:val="auto"/>
          <w:u w:val="none"/>
        </w:rPr>
        <w:t>.</w:t>
      </w:r>
    </w:p>
  </w:endnote>
  <w:endnote w:id="202">
    <w:p w14:paraId="288EBC0A" w14:textId="77777777" w:rsidR="00BF73E5" w:rsidRPr="005F1C9B" w:rsidRDefault="00BF73E5" w:rsidP="00314F78">
      <w:pPr>
        <w:pStyle w:val="EndnoteText"/>
      </w:pPr>
      <w:r w:rsidRPr="005F1C9B">
        <w:rPr>
          <w:rStyle w:val="EndnoteReference"/>
        </w:rPr>
        <w:endnoteRef/>
      </w:r>
      <w:r w:rsidRPr="005F1C9B">
        <w:t xml:space="preserve"> </w:t>
      </w:r>
      <w:r w:rsidRPr="005F1C9B">
        <w:tab/>
        <w:t>Batchelor F, Savvas S, Dang C, Goh A, Levinger P, Peck A, et al. Inside the system: aged care residents’ perspectives. 2020.</w:t>
      </w:r>
    </w:p>
  </w:endnote>
  <w:endnote w:id="203">
    <w:p w14:paraId="3B06A484" w14:textId="079FE9D9" w:rsidR="009D6C73" w:rsidRPr="009D6C73" w:rsidRDefault="009D6C73" w:rsidP="00314F78">
      <w:pPr>
        <w:pStyle w:val="EndnoteText"/>
        <w:rPr>
          <w:lang w:val="en-US"/>
        </w:rPr>
      </w:pPr>
      <w:r>
        <w:rPr>
          <w:rStyle w:val="EndnoteReference"/>
        </w:rPr>
        <w:endnoteRef/>
      </w:r>
      <w:r>
        <w:t xml:space="preserve"> </w:t>
      </w:r>
      <w:r>
        <w:rPr>
          <w:lang w:val="en-US"/>
        </w:rPr>
        <w:tab/>
      </w:r>
      <w:r w:rsidRPr="009D6C73">
        <w:t xml:space="preserve">Batchelor, F., Savvas, S., Dang, C., Goh, A., Levinger, P., Peck, A., Katz, I., Dow, B., Australia, Royal Commission into Aged Care Quality and Safety, &amp; National Ageing Research Institute (Australia). (2020). Inside the system: Aged care residents’ perspectives. </w:t>
      </w:r>
      <w:hyperlink r:id="rId65" w:history="1">
        <w:r w:rsidRPr="009D6C73">
          <w:rPr>
            <w:rStyle w:val="Hyperlink"/>
          </w:rPr>
          <w:t>https://agedcare.royalcommission.gov.au/sites/default/files/2020-10/research-paper-14.pdf</w:t>
        </w:r>
      </w:hyperlink>
      <w:r w:rsidRPr="009D6C73">
        <w:rPr>
          <w:rStyle w:val="Hyperlink"/>
          <w:color w:val="auto"/>
          <w:u w:val="none"/>
        </w:rPr>
        <w:t>.</w:t>
      </w:r>
    </w:p>
  </w:endnote>
  <w:endnote w:id="204">
    <w:p w14:paraId="77AE0639" w14:textId="4AF45E0A" w:rsidR="0052544D" w:rsidRPr="005F1C9B" w:rsidRDefault="0052544D" w:rsidP="00314F78">
      <w:pPr>
        <w:pStyle w:val="EndnoteText"/>
      </w:pPr>
      <w:r w:rsidRPr="005F1C9B">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6"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5">
    <w:p w14:paraId="52627575" w14:textId="01FFA67F" w:rsidR="0052544D" w:rsidRPr="009D44B6" w:rsidRDefault="0052544D" w:rsidP="00314F78">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67" w:history="1">
        <w:r w:rsidR="00DF7A08" w:rsidRPr="001F0F8D">
          <w:rPr>
            <w:rStyle w:val="Hyperlink"/>
          </w:rPr>
          <w:t>https://doi.org/10.1007/978-0-387-75466-6_40</w:t>
        </w:r>
      </w:hyperlink>
      <w:r w:rsidR="009D6C73" w:rsidRPr="00EC17D6">
        <w:rPr>
          <w:rStyle w:val="Hyperlink"/>
          <w:color w:val="auto"/>
          <w:u w:val="none"/>
        </w:rPr>
        <w:t>.</w:t>
      </w:r>
    </w:p>
  </w:endnote>
  <w:endnote w:id="206">
    <w:p w14:paraId="6BE88C57" w14:textId="2844F5A5" w:rsidR="0052544D" w:rsidRPr="005F1C9B" w:rsidRDefault="0052544D" w:rsidP="00314F78">
      <w:pPr>
        <w:pStyle w:val="EndnoteText"/>
      </w:pPr>
      <w:r w:rsidRPr="005F1C9B">
        <w:rPr>
          <w:rStyle w:val="EndnoteReference"/>
        </w:rPr>
        <w:endnoteRef/>
      </w:r>
      <w:r w:rsidRPr="005F1C9B">
        <w:t xml:space="preserve"> </w:t>
      </w:r>
      <w:r w:rsidRPr="005F1C9B">
        <w:tab/>
        <w:t>Khadka J, Ratcliffe J, Chen G, Kumaran S, Hutchinson C, Milte R, et al. A new measure of quality of care experience in aged care: psychometric assessment and validation of the Quality of care experience (QCE) questionnaire. 2021.</w:t>
      </w:r>
    </w:p>
  </w:endnote>
  <w:endnote w:id="207">
    <w:p w14:paraId="1C4564B7" w14:textId="7693E2ED" w:rsidR="0052544D" w:rsidRPr="005F1C9B" w:rsidRDefault="0052544D" w:rsidP="00314F78">
      <w:pPr>
        <w:pStyle w:val="EndnoteText"/>
      </w:pPr>
      <w:r w:rsidRPr="005F1C9B">
        <w:rPr>
          <w:rStyle w:val="EndnoteReference"/>
        </w:rPr>
        <w:endnoteRef/>
      </w:r>
      <w:r w:rsidRPr="005F1C9B">
        <w:t xml:space="preserve"> </w:t>
      </w:r>
      <w:r w:rsidRPr="005F1C9B">
        <w:tab/>
        <w:t xml:space="preserve">D’Cruz MJ, Kini RB. The Effect of Information Asymmetry on Consumer Driven Health Plans. In: Wang W, Li Y, Duan Z, Yan L, Li H, Yang X, editors. Integration and Innovation Orient to E-Society Volume 1 [Internet]. Boston, MA: Springer US; 2008 [cited 2022 May 10]. p. 353–62. (IFIP — The International Federation for Information Processing; vol. 251). Available from: </w:t>
      </w:r>
      <w:hyperlink r:id="rId68" w:history="1">
        <w:r w:rsidRPr="009D6C73">
          <w:rPr>
            <w:rStyle w:val="Hyperlink"/>
          </w:rPr>
          <w:t>http://link.springer.com/10.1007/978-0-387-75466-6_40</w:t>
        </w:r>
      </w:hyperlink>
      <w:r w:rsidR="009D6C73" w:rsidRPr="00EC17D6">
        <w:rPr>
          <w:rStyle w:val="Hyperlink"/>
          <w:color w:val="auto"/>
          <w:u w:val="none"/>
        </w:rPr>
        <w:t>.</w:t>
      </w:r>
    </w:p>
  </w:endnote>
  <w:endnote w:id="208">
    <w:p w14:paraId="0AE5E5CE" w14:textId="65299CCF" w:rsidR="0052544D" w:rsidRPr="009D44B6" w:rsidRDefault="0052544D" w:rsidP="00314F78">
      <w:pPr>
        <w:pStyle w:val="EndnoteText"/>
      </w:pPr>
      <w:r>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9"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9">
    <w:p w14:paraId="3AF3BA7C" w14:textId="1197B838" w:rsidR="0052544D" w:rsidRPr="009D44B6" w:rsidRDefault="0052544D" w:rsidP="00314F78">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70" w:history="1">
        <w:r w:rsidR="00DF7A08" w:rsidRPr="001F0F8D">
          <w:rPr>
            <w:rStyle w:val="Hyperlink"/>
          </w:rPr>
          <w:t>https://doi.org/10.1007/978-0-387-75466-6_40</w:t>
        </w:r>
      </w:hyperlink>
      <w:r w:rsidR="009D6C73" w:rsidRPr="00EC17D6">
        <w:rPr>
          <w:rStyle w:val="Hyperlink"/>
          <w:color w:val="auto"/>
          <w:u w:val="none"/>
        </w:rPr>
        <w:t>.</w:t>
      </w:r>
    </w:p>
  </w:endnote>
  <w:endnote w:id="210">
    <w:p w14:paraId="61C8BE9F" w14:textId="5E80634A" w:rsidR="0052544D" w:rsidRPr="005F1C9B" w:rsidRDefault="0052544D" w:rsidP="00314F78">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71" w:history="1">
        <w:r w:rsidRPr="005F1C9B">
          <w:rPr>
            <w:rStyle w:val="Hyperlink"/>
            <w:u w:val="none"/>
          </w:rPr>
          <w:t>https://agedcare.royalcommission.gov.au/royal-commission-aged-care-quality-and-safety</w:t>
        </w:r>
      </w:hyperlink>
      <w:r w:rsidRPr="005F1C9B">
        <w:t>.</w:t>
      </w:r>
    </w:p>
  </w:endnote>
  <w:endnote w:id="211">
    <w:p w14:paraId="56B651FC" w14:textId="5CCA553A" w:rsidR="0052544D" w:rsidRPr="005F1C9B" w:rsidRDefault="0052544D" w:rsidP="00314F78">
      <w:pPr>
        <w:pStyle w:val="EndnoteText"/>
      </w:pPr>
      <w:r w:rsidRPr="005F1C9B">
        <w:rPr>
          <w:rStyle w:val="EndnoteReference"/>
        </w:rPr>
        <w:endnoteRef/>
      </w:r>
      <w:r w:rsidRPr="005F1C9B">
        <w:t xml:space="preserve"> </w:t>
      </w:r>
      <w:r w:rsidRPr="005F1C9B">
        <w:tab/>
      </w:r>
      <w:r w:rsidRPr="002B2841">
        <w:t xml:space="preserve">COTA. (2018). Quality-and-Choice-in-Aged-Care-Project-Report-FINAL-Feb-2018.pdf. </w:t>
      </w:r>
      <w:hyperlink r:id="rId72" w:history="1">
        <w:r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212">
    <w:p w14:paraId="2B8DF059" w14:textId="73973206" w:rsidR="0052544D" w:rsidRPr="005F1C9B" w:rsidRDefault="0052544D" w:rsidP="00314F78">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73" w:history="1">
        <w:r w:rsidRPr="009D6C73">
          <w:rPr>
            <w:rStyle w:val="Hyperlink"/>
          </w:rPr>
          <w:t>https://agedcare.royalcommission.gov.au/royal-commission-aged-care-quality-and-safety</w:t>
        </w:r>
      </w:hyperlink>
      <w:r w:rsidR="009D6C73" w:rsidRPr="00EC17D6">
        <w:rPr>
          <w:rStyle w:val="Hyperlink"/>
          <w:color w:val="auto"/>
          <w:u w:val="none"/>
        </w:rPr>
        <w:t>.</w:t>
      </w:r>
    </w:p>
  </w:endnote>
  <w:endnote w:id="213">
    <w:p w14:paraId="47508CE4" w14:textId="280E3C27" w:rsidR="0052544D" w:rsidRPr="005F1C9B" w:rsidRDefault="0052544D" w:rsidP="00314F78">
      <w:pPr>
        <w:pStyle w:val="EndnoteText"/>
      </w:pPr>
      <w:r w:rsidRPr="009D44B6">
        <w:rPr>
          <w:rStyle w:val="EndnoteReference"/>
        </w:rPr>
        <w:endnoteRef/>
      </w:r>
      <w:r w:rsidRPr="005F1C9B">
        <w:t xml:space="preserve"> </w:t>
      </w:r>
      <w:r w:rsidRPr="005F1C9B">
        <w:tab/>
        <w:t>Ratcliffe J, Cameron I, Lancsar E, Walker R, Milte R, Hutchinson CL, et al. Developing a new quality of life instrument with older people for economic evaluation in aged care: study protocol. BMJ Open. 2019;9(5</w:t>
      </w:r>
      <w:r w:rsidR="002D23D3" w:rsidRPr="005F1C9B">
        <w:t>): e</w:t>
      </w:r>
      <w:r w:rsidRPr="005F1C9B">
        <w:t>028647–e028647.</w:t>
      </w:r>
    </w:p>
  </w:endnote>
  <w:endnote w:id="214">
    <w:p w14:paraId="20A86196" w14:textId="4F6A28C1" w:rsidR="0052544D" w:rsidRPr="005F1C9B" w:rsidRDefault="0052544D" w:rsidP="00314F78">
      <w:pPr>
        <w:pStyle w:val="EndnoteText"/>
        <w:rPr>
          <w:lang w:val="en-US"/>
        </w:rPr>
      </w:pPr>
      <w:r w:rsidRPr="005F1C9B">
        <w:rPr>
          <w:rStyle w:val="EndnoteReference"/>
        </w:rPr>
        <w:endnoteRef/>
      </w:r>
      <w:r w:rsidRPr="005F1C9B">
        <w:t xml:space="preserve"> </w:t>
      </w:r>
      <w:r w:rsidRPr="005F1C9B">
        <w:tab/>
        <w:t>Hutchinson C, Ratcliffe J, Cleland J, Walker R, Milte R, McBain C, et al. The integration of mixed methods data to develop the quality of life – aged care consumers (QOL-ACC) instrument. BMC Geriatr. 2021 Dec;21(1):702.</w:t>
      </w:r>
    </w:p>
  </w:endnote>
  <w:endnote w:id="215">
    <w:p w14:paraId="2B3A7084" w14:textId="119EE44E" w:rsidR="007F6013" w:rsidRPr="007F6013" w:rsidRDefault="007F6013" w:rsidP="00314F78">
      <w:pPr>
        <w:pStyle w:val="EndnoteText"/>
      </w:pPr>
      <w:r>
        <w:rPr>
          <w:rStyle w:val="EndnoteReference"/>
        </w:rPr>
        <w:endnoteRef/>
      </w:r>
      <w:r w:rsidR="00B52C4B">
        <w:tab/>
      </w:r>
      <w:r w:rsidRPr="007F6013">
        <w:t xml:space="preserve">Hutchinson, C., Cleland, J., McBain, C., Walker, R., Milte, R., Swaffer, K. &amp; Ratcliffe, J. (2022). What quality of life </w:t>
      </w:r>
      <w:r w:rsidR="00B52C4B">
        <w:br/>
      </w:r>
      <w:r w:rsidRPr="007F6013">
        <w:t xml:space="preserve">dimensions are most important to older people in residential care? </w:t>
      </w:r>
      <w:r w:rsidRPr="007F6013">
        <w:rPr>
          <w:i/>
          <w:iCs/>
        </w:rPr>
        <w:t>Journal of Aging and Social Policy.</w:t>
      </w:r>
      <w:r w:rsidRPr="007F6013">
        <w:t xml:space="preserve"> </w:t>
      </w:r>
      <w:r w:rsidRPr="007F6013">
        <w:rPr>
          <w:i/>
          <w:iCs/>
        </w:rPr>
        <w:t>Published online 17</w:t>
      </w:r>
      <w:r w:rsidR="00B52C4B">
        <w:rPr>
          <w:i/>
          <w:iCs/>
        </w:rPr>
        <w:t> </w:t>
      </w:r>
      <w:r w:rsidRPr="007F6013">
        <w:rPr>
          <w:i/>
          <w:iCs/>
        </w:rPr>
        <w:t>Oct 2022. doi: 10.1080/08959420.2022.2134691.</w:t>
      </w:r>
    </w:p>
  </w:endnote>
  <w:endnote w:id="216">
    <w:p w14:paraId="28EEC259" w14:textId="58D4B8A9"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4"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217">
    <w:p w14:paraId="0CA2C1D6" w14:textId="77777777" w:rsidR="0073122B" w:rsidRPr="005F1C9B" w:rsidRDefault="0073122B" w:rsidP="00314F78">
      <w:pPr>
        <w:pStyle w:val="EndnoteText"/>
      </w:pPr>
      <w:r w:rsidRPr="005F1C9B">
        <w:rPr>
          <w:rStyle w:val="EndnoteReference"/>
        </w:rPr>
        <w:endnoteRef/>
      </w:r>
      <w:r w:rsidRPr="005F1C9B">
        <w:t xml:space="preserve"> </w:t>
      </w:r>
      <w:r w:rsidRPr="005F1C9B">
        <w:tab/>
        <w:t>Siette J, Jorgensen ML, Georgiou A, Dodds L, McClean T, Westbrook JI. Quality of life measurement in community-based aged care – understanding variation between clients and between care service providers. BMC Geriatr. 2021 Dec;21(1):390.</w:t>
      </w:r>
    </w:p>
  </w:endnote>
  <w:endnote w:id="218">
    <w:p w14:paraId="39BB3EFA" w14:textId="45266E1F" w:rsidR="00A43A5A" w:rsidRPr="00E52FCB" w:rsidRDefault="00A43A5A" w:rsidP="00314F78">
      <w:pPr>
        <w:pStyle w:val="EndnoteText"/>
      </w:pPr>
      <w:r>
        <w:rPr>
          <w:rStyle w:val="EndnoteReference"/>
        </w:rPr>
        <w:endnoteRef/>
      </w:r>
      <w:r w:rsidR="00B52C4B">
        <w:tab/>
      </w:r>
      <w:r w:rsidRPr="00E52FCB">
        <w:t>Siette J, Knaggs GT, Zurynski Y, et al. Systematic review of 29 self-report instruments for assessing quality of life in older adults receiving aged care services. BMJ Open 2021;</w:t>
      </w:r>
      <w:r w:rsidR="002D23D3" w:rsidRPr="00E52FCB">
        <w:t>11: e</w:t>
      </w:r>
      <w:r w:rsidRPr="00E52FCB">
        <w:t>050892. doi:10.1136/ bmjopen-2021-050892</w:t>
      </w:r>
      <w:r>
        <w:t>.</w:t>
      </w:r>
    </w:p>
  </w:endnote>
  <w:endnote w:id="219">
    <w:p w14:paraId="5590911E" w14:textId="49577B80" w:rsidR="0052544D" w:rsidRPr="005F1C9B" w:rsidRDefault="0052544D" w:rsidP="00314F78">
      <w:pPr>
        <w:pStyle w:val="EndnoteText"/>
      </w:pPr>
      <w:r w:rsidRPr="005F1C9B">
        <w:rPr>
          <w:rStyle w:val="EndnoteReference"/>
        </w:rPr>
        <w:endnoteRef/>
      </w:r>
      <w:r w:rsidRPr="005F1C9B">
        <w:t xml:space="preserve"> </w:t>
      </w:r>
      <w:r w:rsidRPr="005F1C9B">
        <w:tab/>
        <w:t xml:space="preserve">COTA. Quality-and-Choice-in-Aged-Care-Project-Report-FINAL-Feb-2018.pdf [Internet]. 2018 [cited 2022 May 5]. Available from: </w:t>
      </w:r>
      <w:hyperlink r:id="rId75" w:history="1">
        <w:r w:rsidRPr="009D6C73">
          <w:rPr>
            <w:rStyle w:val="Hyperlink"/>
          </w:rPr>
          <w:t>https://www.cota.org.au/wp-content/uploads/2018/09/Quality-and-Choice-in-Aged-Care-Project-Report-FINAL-Feb-2018.pdf</w:t>
        </w:r>
      </w:hyperlink>
      <w:r w:rsidR="009D6C73" w:rsidRPr="00EC17D6">
        <w:rPr>
          <w:rStyle w:val="Hyperlink"/>
          <w:color w:val="auto"/>
          <w:u w:val="none"/>
        </w:rPr>
        <w:t>.</w:t>
      </w:r>
    </w:p>
  </w:endnote>
  <w:endnote w:id="220">
    <w:p w14:paraId="3A7F274D" w14:textId="48CAD399" w:rsidR="0052544D" w:rsidRPr="005F1C9B" w:rsidRDefault="0052544D" w:rsidP="00314F78">
      <w:pPr>
        <w:pStyle w:val="EndnoteText"/>
      </w:pPr>
      <w:r w:rsidRPr="005F1C9B">
        <w:rPr>
          <w:rStyle w:val="EndnoteReference"/>
        </w:rPr>
        <w:endnoteRef/>
      </w:r>
      <w:r w:rsidRPr="005F1C9B">
        <w:t xml:space="preserve"> </w:t>
      </w:r>
      <w:r w:rsidRPr="005F1C9B">
        <w:tab/>
        <w:t>Siette JK Gilbert; Zurynski, Yvonne; Ratcliffe, Julie; Dodds, Laura; Westbrook, Johanna I. Systematic review of 29 self-report instruments for assessing quality of life in older adults receiving aged care services. BMJ Open. 2021;11(11):1–17.</w:t>
      </w:r>
    </w:p>
  </w:endnote>
  <w:endnote w:id="221">
    <w:p w14:paraId="065C1A80" w14:textId="19BFE20A" w:rsidR="0052544D" w:rsidRPr="005F1C9B" w:rsidRDefault="0052544D" w:rsidP="00314F78">
      <w:pPr>
        <w:pStyle w:val="EndnoteText"/>
      </w:pPr>
      <w:r w:rsidRPr="005F1C9B">
        <w:rPr>
          <w:rStyle w:val="EndnoteReference"/>
        </w:rPr>
        <w:endnoteRef/>
      </w:r>
      <w:r w:rsidRPr="005F1C9B">
        <w:t xml:space="preserve"> </w:t>
      </w:r>
      <w:r w:rsidRPr="005F1C9B">
        <w:tab/>
      </w:r>
      <w:r w:rsidRPr="00F0656C">
        <w:t xml:space="preserve">Laffon de Mazières C, Morley JE, Levy C, Agenes F, Barbagallo M, Cesari M, et al. PREVENTION OF FUNCTIONAL DECLINE BY REFRAMING THE ROLE OF NURSING HOMES? J Nurs Home Res Sci [Internet]. 2017 [cited 2022 Apr 15]; Available from: </w:t>
      </w:r>
      <w:hyperlink r:id="rId76" w:history="1">
        <w:r w:rsidRPr="009D6C73">
          <w:rPr>
            <w:rStyle w:val="Hyperlink"/>
          </w:rPr>
          <w:t>https://www.jnursinghomeresearch.com/all-issues.html?article=125</w:t>
        </w:r>
      </w:hyperlink>
      <w:r w:rsidR="009D6C73" w:rsidRPr="00EC17D6">
        <w:rPr>
          <w:rStyle w:val="Hyperlink"/>
          <w:color w:val="auto"/>
          <w:u w:val="none"/>
        </w:rPr>
        <w:t>.</w:t>
      </w:r>
    </w:p>
  </w:endnote>
  <w:endnote w:id="222">
    <w:p w14:paraId="465D668E" w14:textId="580803E7" w:rsidR="0052544D" w:rsidRPr="005F1C9B" w:rsidRDefault="0052544D" w:rsidP="00314F78">
      <w:pPr>
        <w:pStyle w:val="EndnoteText"/>
      </w:pPr>
      <w:r w:rsidRPr="005F1C9B">
        <w:rPr>
          <w:rStyle w:val="EndnoteReference"/>
        </w:rPr>
        <w:endnoteRef/>
      </w:r>
      <w:r w:rsidRPr="005F1C9B">
        <w:t xml:space="preserve"> </w:t>
      </w:r>
      <w:r w:rsidRPr="005F1C9B">
        <w:tab/>
      </w:r>
      <w:r w:rsidRPr="00F0656C">
        <w:t xml:space="preserve">Lok, N., Lok, S., &amp; Canbaz, M. (2017). The effect of physical activity on depressive symptoms and quality of life among elderly nursing home residents: Randomized controlled trial. Archives of Gerontology and Geriatrics, 70, 92–98. </w:t>
      </w:r>
      <w:r w:rsidRPr="009D6C73">
        <w:rPr>
          <w:rStyle w:val="Hyperlink"/>
        </w:rPr>
        <w:t>https://doi.org/10.1016/j.archger.2017.01.008</w:t>
      </w:r>
      <w:r w:rsidR="009D6C73" w:rsidRPr="00EC17D6">
        <w:rPr>
          <w:rStyle w:val="Hyperlink"/>
          <w:color w:val="auto"/>
          <w:u w:val="none"/>
        </w:rPr>
        <w:t>.</w:t>
      </w:r>
    </w:p>
  </w:endnote>
  <w:endnote w:id="223">
    <w:p w14:paraId="59B52FF4" w14:textId="4BFFC02B" w:rsidR="0052544D" w:rsidRPr="005F1C9B" w:rsidRDefault="0052544D" w:rsidP="00314F78">
      <w:pPr>
        <w:pStyle w:val="EndnoteText"/>
      </w:pPr>
      <w:r w:rsidRPr="005F1C9B">
        <w:rPr>
          <w:rStyle w:val="EndnoteReference"/>
        </w:rPr>
        <w:endnoteRef/>
      </w:r>
      <w:r w:rsidRPr="005F1C9B">
        <w:t xml:space="preserve"> </w:t>
      </w:r>
      <w:r w:rsidRPr="005F1C9B">
        <w:tab/>
      </w:r>
      <w:r w:rsidRPr="002B57B8">
        <w:t>Quan, N. G., Lohman, M. C., Resciniti, N. V., &amp; Friedman, D. B. (2020). A systematic review of interventions for loneliness among older adults living in long-term care facilities. Aging &amp; Mental Health, 24(12), 1945–1955.</w:t>
      </w:r>
    </w:p>
  </w:endnote>
  <w:endnote w:id="224">
    <w:p w14:paraId="6688687A" w14:textId="278CDD24" w:rsidR="0052544D" w:rsidRPr="009D44B6" w:rsidRDefault="0052544D" w:rsidP="00314F78">
      <w:pPr>
        <w:pStyle w:val="EndnoteText"/>
      </w:pPr>
      <w:r>
        <w:rPr>
          <w:rStyle w:val="EndnoteReference"/>
        </w:rPr>
        <w:endnoteRef/>
      </w:r>
      <w:r w:rsidR="00DF7A08">
        <w:tab/>
      </w:r>
      <w:r w:rsidR="00DF7A08" w:rsidRPr="002B2841">
        <w:t xml:space="preserve">Bennett, M., von Treuer, K., McCabe, M. P., Beattie, E., Karantzas, G., Mellor, D., Sanders, K., Busija, L., Goodenough, B., &amp; Byers, J. (2020). Resident perceptions of opportunity for communication and contribution to care planning in residential aged care. International Journal of Older People Nursing, 15(1), e12276. </w:t>
      </w:r>
      <w:hyperlink r:id="rId77" w:history="1">
        <w:r w:rsidR="00DF7A08" w:rsidRPr="001F0F8D">
          <w:rPr>
            <w:rStyle w:val="Hyperlink"/>
          </w:rPr>
          <w:t>https://doi.org/10.1111/opn.12276</w:t>
        </w:r>
      </w:hyperlink>
      <w:r w:rsidR="009D6C73" w:rsidRPr="00EC17D6">
        <w:rPr>
          <w:rStyle w:val="Hyperlink"/>
          <w:color w:val="auto"/>
          <w:u w:val="none"/>
        </w:rPr>
        <w:t>.</w:t>
      </w:r>
    </w:p>
  </w:endnote>
  <w:endnote w:id="225">
    <w:p w14:paraId="5CA8B2AD" w14:textId="6DD74CC0"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2B2841">
        <w:t xml:space="preserve">Heid, A. R., Van Haitsma, K., Kleban, M., Rovine, M. J., &amp; Abbott, K. M. (2017). Examining Clinical Predictors of Change in Recreational Preference Congruence Among Nursing Home Residents Over Time. Journal of Applied Gerontology, 36(11), 1351–1369. </w:t>
      </w:r>
      <w:hyperlink r:id="rId78" w:history="1">
        <w:r w:rsidRPr="001F0F8D">
          <w:rPr>
            <w:rStyle w:val="Hyperlink"/>
          </w:rPr>
          <w:t>https://doi.org/10.1177/0733464815617288</w:t>
        </w:r>
      </w:hyperlink>
      <w:r w:rsidR="009D6C73" w:rsidRPr="00EC17D6">
        <w:rPr>
          <w:rStyle w:val="Hyperlink"/>
          <w:color w:val="auto"/>
          <w:u w:val="none"/>
        </w:rPr>
        <w:t>.</w:t>
      </w:r>
    </w:p>
  </w:endnote>
  <w:endnote w:id="226">
    <w:p w14:paraId="0B4DED3B" w14:textId="061A7572"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9" w:history="1">
        <w:r w:rsidRPr="0011229E">
          <w:rPr>
            <w:rStyle w:val="Hyperlink"/>
          </w:rPr>
          <w:t>https://nap.nationalacademies.org/catalog/26526/the-national-imperative-to-improve-nursing-home-quality-honoring-our</w:t>
        </w:r>
      </w:hyperlink>
      <w:r w:rsidR="00A26D20">
        <w:rPr>
          <w:rStyle w:val="Hyperlink"/>
        </w:rPr>
        <w:t>.</w:t>
      </w:r>
    </w:p>
  </w:endnote>
  <w:endnote w:id="227">
    <w:p w14:paraId="705599F6"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Australian Nursing and Midwifery Federation. (2023). ANMF National Aged Care Survey 2023 - Enrolled Nurses in Aged Care: Report  </w:t>
      </w:r>
      <w:hyperlink r:id="rId80" w:history="1">
        <w:r w:rsidRPr="002F0079">
          <w:rPr>
            <w:color w:val="0000FF"/>
            <w:u w:val="single"/>
          </w:rPr>
          <w:t>anmf_aged_care_worker_survey_report_2023.pdf</w:t>
        </w:r>
      </w:hyperlink>
    </w:p>
  </w:endnote>
  <w:endnote w:id="228">
    <w:p w14:paraId="1F0072A6"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Australian Government Department of Health. (2020) Aged care workforce census report. </w:t>
      </w:r>
      <w:hyperlink r:id="rId81" w:history="1">
        <w:r w:rsidRPr="002F0079">
          <w:rPr>
            <w:color w:val="0000FF"/>
            <w:u w:val="single"/>
          </w:rPr>
          <w:t>2020 Aged Care Workforce Census | Australian Government Department of Health and Aged Care</w:t>
        </w:r>
      </w:hyperlink>
    </w:p>
  </w:endnote>
  <w:endnote w:id="229">
    <w:p w14:paraId="6F3AFC94" w14:textId="77777777" w:rsidR="001E32A4" w:rsidRPr="008C0A83" w:rsidRDefault="001E32A4" w:rsidP="00314F78">
      <w:pPr>
        <w:pStyle w:val="EndnoteText"/>
        <w:rPr>
          <w:rFonts w:asciiTheme="minorHAnsi" w:hAnsiTheme="minorHAnsi" w:cstheme="minorHAnsi"/>
        </w:rPr>
      </w:pPr>
      <w:r w:rsidRPr="008C0A83">
        <w:rPr>
          <w:rStyle w:val="EndnoteReference"/>
          <w:rFonts w:asciiTheme="minorHAnsi" w:hAnsiTheme="minorHAnsi" w:cstheme="minorHAnsi"/>
        </w:rPr>
        <w:endnoteRef/>
      </w:r>
      <w:r w:rsidRPr="008C0A83">
        <w:rPr>
          <w:rFonts w:asciiTheme="minorHAnsi" w:hAnsiTheme="minorHAnsi" w:cstheme="minorHAnsi"/>
        </w:rPr>
        <w:t xml:space="preserve"> Australian Government Department of Health and Aged Care. Health Workforce data factsheets. Accessed February 2025. </w:t>
      </w:r>
      <w:hyperlink r:id="rId82" w:history="1">
        <w:r w:rsidRPr="008C0A83">
          <w:rPr>
            <w:rStyle w:val="Hyperlink"/>
            <w:rFonts w:asciiTheme="minorHAnsi" w:hAnsiTheme="minorHAnsi" w:cstheme="minorHAnsi"/>
          </w:rPr>
          <w:t>FactsheetsProd | Tableau Public</w:t>
        </w:r>
      </w:hyperlink>
    </w:p>
  </w:endnote>
  <w:endnote w:id="230">
    <w:p w14:paraId="47872181" w14:textId="77777777" w:rsidR="00C304FE" w:rsidRPr="002F0079" w:rsidRDefault="00C304FE"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Nursing and Midwifery Board Australia. (2024) Enrolled nursing standards of practice. </w:t>
      </w:r>
      <w:hyperlink r:id="rId83" w:history="1">
        <w:r w:rsidRPr="002F0079">
          <w:rPr>
            <w:rFonts w:asciiTheme="minorHAnsi" w:hAnsiTheme="minorHAnsi" w:cstheme="minorHAnsi"/>
            <w:color w:val="0000FF"/>
            <w:szCs w:val="18"/>
            <w:u w:val="single"/>
          </w:rPr>
          <w:t>Nursing and Midwifery Board of Australia - Enrolled nurse standards for practice</w:t>
        </w:r>
      </w:hyperlink>
    </w:p>
  </w:endnote>
  <w:endnote w:id="231">
    <w:p w14:paraId="35E370ED" w14:textId="77777777" w:rsidR="00782337" w:rsidRPr="002F0079" w:rsidRDefault="00782337" w:rsidP="00314F78">
      <w:pPr>
        <w:pStyle w:val="EndnoteText"/>
      </w:pPr>
      <w:r w:rsidRPr="002F0079">
        <w:rPr>
          <w:rStyle w:val="EndnoteReference"/>
          <w:rFonts w:asciiTheme="minorHAnsi" w:hAnsiTheme="minorHAnsi" w:cstheme="minorHAnsi"/>
          <w:szCs w:val="18"/>
        </w:rPr>
        <w:endnoteRef/>
      </w:r>
      <w:r w:rsidRPr="002F0079">
        <w:t xml:space="preserve"> Wise, S. (2020). Staffing policy in aged care must look beyond the numbers. </w:t>
      </w:r>
      <w:r w:rsidRPr="002F0079">
        <w:rPr>
          <w:i/>
          <w:iCs/>
        </w:rPr>
        <w:t>Australian Health Review</w:t>
      </w:r>
      <w:r w:rsidRPr="002F0079">
        <w:t xml:space="preserve">, 44, 829-830. </w:t>
      </w:r>
      <w:hyperlink r:id="rId84" w:history="1">
        <w:r w:rsidRPr="002F0079">
          <w:rPr>
            <w:rStyle w:val="Hyperlink"/>
            <w:rFonts w:asciiTheme="minorHAnsi" w:hAnsiTheme="minorHAnsi" w:cstheme="minorHAnsi"/>
            <w:szCs w:val="18"/>
          </w:rPr>
          <w:t>https://doi.org/10.1071/AH20312</w:t>
        </w:r>
      </w:hyperlink>
    </w:p>
  </w:endnote>
  <w:endnote w:id="232">
    <w:p w14:paraId="716FF50F" w14:textId="77777777" w:rsidR="00782337" w:rsidRPr="00C2551C" w:rsidRDefault="00782337" w:rsidP="00314F78">
      <w:pPr>
        <w:pStyle w:val="EndnoteText"/>
      </w:pPr>
      <w:r w:rsidRPr="00C2551C">
        <w:rPr>
          <w:rStyle w:val="EndnoteReference"/>
          <w:rFonts w:asciiTheme="minorHAnsi" w:hAnsiTheme="minorHAnsi" w:cstheme="minorHAnsi"/>
        </w:rPr>
        <w:endnoteRef/>
      </w:r>
      <w:r w:rsidRPr="00C2551C">
        <w:t xml:space="preserve"> Wise, S. (2020). Staffing policy in aged care must look beyond the numbers. </w:t>
      </w:r>
      <w:r w:rsidRPr="00C2551C">
        <w:rPr>
          <w:i/>
          <w:iCs/>
        </w:rPr>
        <w:t>Australian Health Review</w:t>
      </w:r>
      <w:r w:rsidRPr="00C2551C">
        <w:t xml:space="preserve">, 44, 829-830. </w:t>
      </w:r>
      <w:hyperlink r:id="rId85" w:history="1">
        <w:r w:rsidRPr="00C2551C">
          <w:rPr>
            <w:rStyle w:val="Hyperlink"/>
            <w:rFonts w:asciiTheme="minorHAnsi" w:hAnsiTheme="minorHAnsi" w:cstheme="minorHAnsi"/>
          </w:rPr>
          <w:t>https://doi.org/10.1071/AH20312</w:t>
        </w:r>
      </w:hyperlink>
    </w:p>
  </w:endnote>
  <w:endnote w:id="233">
    <w:p w14:paraId="7CBDDCB6"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w:t>
      </w:r>
      <w:hyperlink r:id="rId86" w:history="1">
        <w:r w:rsidRPr="002F0079">
          <w:rPr>
            <w:rStyle w:val="Hyperlink"/>
            <w:rFonts w:asciiTheme="minorHAnsi" w:hAnsiTheme="minorHAnsi" w:cstheme="minorHAnsi"/>
            <w:szCs w:val="18"/>
          </w:rPr>
          <w:t>Data extract from the Quarterly Financial Snapshot reports of the aged care sector | Australian Government Department of Health and Aged Care</w:t>
        </w:r>
      </w:hyperlink>
    </w:p>
  </w:endnote>
  <w:endnote w:id="234">
    <w:p w14:paraId="1AC92309"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Allied Health Professions Australia. December 2022. The state of allied health in residential aged care – survey results. </w:t>
      </w:r>
      <w:hyperlink r:id="rId87" w:tooltip="https://ahpa.com.au/wp-content/uploads/2022/12/AHPA-Brief-State-of-Allied-Health-in-Residential-Aged-Care-Survey-Results-December-2022.pdf" w:history="1">
        <w:r w:rsidRPr="002F0079">
          <w:rPr>
            <w:rStyle w:val="Hyperlink"/>
            <w:rFonts w:asciiTheme="minorHAnsi" w:hAnsiTheme="minorHAnsi" w:cstheme="minorHAnsi"/>
            <w:szCs w:val="18"/>
          </w:rPr>
          <w:t>AHPA-Brief-State-of-Allied-Health-in-Residential-Aged-Care-Survey-Results-December-2022.pdf</w:t>
        </w:r>
      </w:hyperlink>
    </w:p>
  </w:endnote>
  <w:endnote w:id="235">
    <w:p w14:paraId="2D08176F" w14:textId="49EC5295" w:rsidR="001E32A4" w:rsidRPr="00D51A3F" w:rsidRDefault="001E32A4"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r w:rsidR="000A7945" w:rsidRPr="002F0079">
        <w:rPr>
          <w:rFonts w:asciiTheme="minorHAnsi" w:hAnsiTheme="minorHAnsi" w:cstheme="minorHAnsi"/>
          <w:szCs w:val="18"/>
        </w:rPr>
        <w:t xml:space="preserve">Allied Health Professions Australia. </w:t>
      </w:r>
      <w:r w:rsidR="00BA448A">
        <w:rPr>
          <w:rFonts w:asciiTheme="minorHAnsi" w:hAnsiTheme="minorHAnsi" w:cstheme="minorHAnsi"/>
          <w:szCs w:val="18"/>
        </w:rPr>
        <w:t>October</w:t>
      </w:r>
      <w:r w:rsidR="000A7945" w:rsidRPr="002F0079">
        <w:rPr>
          <w:rFonts w:asciiTheme="minorHAnsi" w:hAnsiTheme="minorHAnsi" w:cstheme="minorHAnsi"/>
          <w:szCs w:val="18"/>
        </w:rPr>
        <w:t xml:space="preserve"> 202</w:t>
      </w:r>
      <w:r w:rsidR="00BA448A">
        <w:rPr>
          <w:rFonts w:asciiTheme="minorHAnsi" w:hAnsiTheme="minorHAnsi" w:cstheme="minorHAnsi"/>
          <w:szCs w:val="18"/>
        </w:rPr>
        <w:t>3</w:t>
      </w:r>
      <w:r w:rsidR="000A7945" w:rsidRPr="002F0079">
        <w:rPr>
          <w:rFonts w:asciiTheme="minorHAnsi" w:hAnsiTheme="minorHAnsi" w:cstheme="minorHAnsi"/>
          <w:szCs w:val="18"/>
        </w:rPr>
        <w:t xml:space="preserve">. The state of allied health in residential aged care – survey results. </w:t>
      </w:r>
      <w:hyperlink r:id="rId88" w:history="1">
        <w:r w:rsidR="00BA448A" w:rsidRPr="00BA448A">
          <w:rPr>
            <w:rStyle w:val="Hyperlink"/>
            <w:rFonts w:asciiTheme="minorHAnsi" w:hAnsiTheme="minorHAnsi" w:cstheme="minorHAnsi"/>
            <w:szCs w:val="18"/>
          </w:rPr>
          <w:t>https://www.ahpa.com.au/news-updates/summary-of-results-from-survey-of-allied-health-workforce-in-residential-aged-care-2023</w:t>
        </w:r>
      </w:hyperlink>
    </w:p>
  </w:endnote>
  <w:endnote w:id="236">
    <w:p w14:paraId="7F238A30" w14:textId="77777777" w:rsidR="002D797C" w:rsidRPr="002D797C" w:rsidRDefault="002D797C" w:rsidP="00314F78">
      <w:pPr>
        <w:pStyle w:val="EndnoteText"/>
        <w:rPr>
          <w:rFonts w:ascii="Calibri" w:hAnsi="Calibri" w:cs="Calibri"/>
          <w:szCs w:val="18"/>
        </w:rPr>
      </w:pPr>
      <w:r w:rsidRPr="002D797C">
        <w:rPr>
          <w:rStyle w:val="EndnoteReference"/>
          <w:rFonts w:ascii="Calibri" w:hAnsi="Calibri" w:cs="Calibri"/>
          <w:szCs w:val="18"/>
        </w:rPr>
        <w:endnoteRef/>
      </w:r>
      <w:r w:rsidRPr="002D797C">
        <w:rPr>
          <w:rFonts w:ascii="Calibri" w:hAnsi="Calibri" w:cs="Calibri"/>
          <w:szCs w:val="18"/>
        </w:rPr>
        <w:t xml:space="preserve"> Quarterly financial report data definitions template, Quarter 1, July to September 2024. </w:t>
      </w:r>
      <w:hyperlink r:id="rId89" w:history="1">
        <w:r w:rsidRPr="002D797C">
          <w:rPr>
            <w:rStyle w:val="Hyperlink"/>
            <w:rFonts w:ascii="Calibri" w:hAnsi="Calibri" w:cs="Calibri"/>
            <w:szCs w:val="18"/>
          </w:rPr>
          <w:t>QFR data definitions template</w:t>
        </w:r>
      </w:hyperlink>
    </w:p>
  </w:endnote>
  <w:endnote w:id="237">
    <w:p w14:paraId="30170881" w14:textId="6E5B7FD0" w:rsidR="002D797C" w:rsidRPr="002D797C" w:rsidRDefault="002D797C" w:rsidP="00314F78">
      <w:pPr>
        <w:pStyle w:val="EndnoteText"/>
      </w:pPr>
      <w:r w:rsidRPr="002D797C">
        <w:rPr>
          <w:rStyle w:val="EndnoteReference"/>
          <w:rFonts w:ascii="Calibri" w:hAnsi="Calibri" w:cs="Calibri"/>
        </w:rPr>
        <w:endnoteRef/>
      </w:r>
      <w:r w:rsidRPr="002D797C">
        <w:t xml:space="preserve"> Victorian Government Department of Health </w:t>
      </w:r>
      <w:r w:rsidR="002D23D3" w:rsidRPr="002D797C">
        <w:t>(2023</w:t>
      </w:r>
      <w:r w:rsidRPr="002D797C">
        <w:t xml:space="preserve">) Supervision and delegation framework for allied health assistants. </w:t>
      </w:r>
      <w:hyperlink r:id="rId90" w:history="1">
        <w:r w:rsidRPr="002D797C">
          <w:rPr>
            <w:rStyle w:val="Hyperlink"/>
            <w:rFonts w:ascii="Calibri" w:hAnsi="Calibri" w:cs="Calibri"/>
          </w:rPr>
          <w:t>Supervision and delegation framework for allied health assistants | health.vic.gov.au</w:t>
        </w:r>
      </w:hyperlink>
    </w:p>
  </w:endnote>
  <w:endnote w:id="238">
    <w:p w14:paraId="7EAE0FA8" w14:textId="474345A0" w:rsidR="002D797C" w:rsidRPr="002D797C" w:rsidRDefault="002D797C" w:rsidP="00314F78">
      <w:pPr>
        <w:pStyle w:val="EndnoteText"/>
      </w:pPr>
      <w:r w:rsidRPr="002D797C">
        <w:rPr>
          <w:rStyle w:val="EndnoteReference"/>
          <w:rFonts w:ascii="Calibri" w:hAnsi="Calibri" w:cs="Calibri"/>
        </w:rPr>
        <w:endnoteRef/>
      </w:r>
      <w:r w:rsidRPr="002D797C">
        <w:t xml:space="preserve"> Victorian Government Department of Health </w:t>
      </w:r>
      <w:r w:rsidR="002D23D3" w:rsidRPr="002D797C">
        <w:t>(2023</w:t>
      </w:r>
      <w:r w:rsidRPr="002D797C">
        <w:t xml:space="preserve">) Supervision and delegation framework for allied health assistants. </w:t>
      </w:r>
      <w:hyperlink r:id="rId91" w:history="1">
        <w:r w:rsidRPr="002D797C">
          <w:rPr>
            <w:rStyle w:val="Hyperlink"/>
            <w:rFonts w:ascii="Calibri" w:hAnsi="Calibri" w:cs="Calibri"/>
          </w:rPr>
          <w:t>Supervision and delegation framework for allied health assistants | health.vic.gov.au</w:t>
        </w:r>
      </w:hyperlink>
    </w:p>
  </w:endnote>
  <w:endnote w:id="239">
    <w:p w14:paraId="64345EE7" w14:textId="77777777" w:rsidR="005709E5" w:rsidRDefault="005709E5" w:rsidP="00314F78">
      <w:pPr>
        <w:pStyle w:val="EndnoteText"/>
      </w:pPr>
      <w:r>
        <w:rPr>
          <w:rStyle w:val="EndnoteReference"/>
        </w:rPr>
        <w:endnoteRef/>
      </w:r>
      <w:r>
        <w:t xml:space="preserve"> </w:t>
      </w:r>
      <w:r w:rsidRPr="00640080">
        <w:t xml:space="preserve">Royal Commission into Aged Care Quality and Safety, </w:t>
      </w:r>
      <w:r w:rsidRPr="00640080">
        <w:rPr>
          <w:i/>
          <w:iCs/>
        </w:rPr>
        <w:t>Final Report Volume 2 The current system</w:t>
      </w:r>
      <w:r w:rsidRPr="00640080">
        <w:t>, 2021, 83; and Recommendations 35–37</w:t>
      </w:r>
    </w:p>
  </w:endnote>
  <w:endnote w:id="240">
    <w:p w14:paraId="4829AC38" w14:textId="77777777" w:rsidR="005709E5" w:rsidRPr="002F0079" w:rsidRDefault="005709E5"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41">
    <w:p w14:paraId="01C0B431" w14:textId="77777777" w:rsidR="005709E5" w:rsidRPr="002F0079" w:rsidRDefault="005709E5"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42">
    <w:p w14:paraId="58CD7917" w14:textId="77777777" w:rsidR="005709E5" w:rsidRPr="00C2551C" w:rsidRDefault="005709E5" w:rsidP="00314F78">
      <w:pPr>
        <w:pStyle w:val="EndnoteText"/>
      </w:pPr>
      <w:r w:rsidRPr="00C2551C">
        <w:rPr>
          <w:rStyle w:val="EndnoteReference"/>
          <w:rFonts w:asciiTheme="minorHAnsi" w:hAnsiTheme="minorHAnsi" w:cstheme="minorHAnsi"/>
        </w:rPr>
        <w:endnoteRef/>
      </w:r>
      <w:r w:rsidRPr="00C2551C">
        <w:t xml:space="preserve"> Skinnars Josefsson M, Nydahl M, Persson I, Mattsson SY. Quality indicators of nutritional care practice in elderly care. </w:t>
      </w:r>
      <w:r w:rsidRPr="00C2551C">
        <w:rPr>
          <w:i/>
          <w:iCs/>
        </w:rPr>
        <w:t>J Nutr Health Aging</w:t>
      </w:r>
      <w:r w:rsidRPr="00C2551C">
        <w:t>. 2017; </w:t>
      </w:r>
      <w:r w:rsidRPr="00C2551C">
        <w:rPr>
          <w:b/>
          <w:bCs/>
        </w:rPr>
        <w:t>21</w:t>
      </w:r>
      <w:r w:rsidRPr="00C2551C">
        <w:t>(9): 1057-1064. doi:</w:t>
      </w:r>
      <w:hyperlink r:id="rId92" w:tooltip="Link to external resource: 10.1007/s12603-017-0970-8" w:history="1">
        <w:r w:rsidRPr="00C2551C">
          <w:rPr>
            <w:rStyle w:val="Hyperlink"/>
            <w:rFonts w:asciiTheme="minorHAnsi" w:hAnsiTheme="minorHAnsi" w:cstheme="minorHAnsi"/>
          </w:rPr>
          <w:t>10.1007/s12603-017-0970-8</w:t>
        </w:r>
      </w:hyperlink>
    </w:p>
  </w:endnote>
  <w:endnote w:id="243">
    <w:p w14:paraId="5DAB5786" w14:textId="77777777" w:rsidR="005709E5" w:rsidRPr="00C2551C" w:rsidRDefault="005709E5" w:rsidP="00314F78">
      <w:pPr>
        <w:pStyle w:val="EndnoteText"/>
      </w:pPr>
      <w:r w:rsidRPr="00C2551C">
        <w:rPr>
          <w:rStyle w:val="EndnoteReference"/>
          <w:rFonts w:asciiTheme="minorHAnsi" w:hAnsiTheme="minorHAnsi" w:cstheme="minorHAnsi"/>
        </w:rPr>
        <w:endnoteRef/>
      </w:r>
      <w:r w:rsidRPr="00C2551C">
        <w:t xml:space="preserve"> Beck AM, Christensen A, Hansen BS, Damsbo-Svendsen S, Kreinfeldt Skovgaard Møller T. Multidisciplinary nutritional support for undernutrition in nursing home and home-care: a cluster randomized controlled trial. </w:t>
      </w:r>
      <w:r w:rsidRPr="00C2551C">
        <w:rPr>
          <w:i/>
          <w:iCs/>
        </w:rPr>
        <w:t>Nutrition</w:t>
      </w:r>
      <w:r w:rsidRPr="00C2551C">
        <w:t>. 2016; </w:t>
      </w:r>
      <w:r w:rsidRPr="00C2551C">
        <w:rPr>
          <w:b/>
          <w:bCs/>
        </w:rPr>
        <w:t>32</w:t>
      </w:r>
      <w:r w:rsidRPr="00C2551C">
        <w:t>(2): 199-205. doi:</w:t>
      </w:r>
      <w:hyperlink r:id="rId93" w:tooltip="Link to external resource: 10.1016/j.nut.2015.08.009" w:history="1">
        <w:r w:rsidRPr="00C2551C">
          <w:rPr>
            <w:rStyle w:val="Hyperlink"/>
            <w:rFonts w:asciiTheme="minorHAnsi" w:hAnsiTheme="minorHAnsi" w:cstheme="minorHAnsi"/>
          </w:rPr>
          <w:t>10.1016/j.nut.2015.08.009</w:t>
        </w:r>
      </w:hyperlink>
    </w:p>
  </w:endnote>
  <w:endnote w:id="244">
    <w:p w14:paraId="11499D4E" w14:textId="77777777" w:rsidR="005709E5" w:rsidRPr="00067203" w:rsidRDefault="005709E5"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4" w:history="1">
        <w:r w:rsidRPr="00C2551C">
          <w:rPr>
            <w:rStyle w:val="Hyperlink"/>
            <w:rFonts w:asciiTheme="minorHAnsi" w:hAnsiTheme="minorHAnsi" w:cstheme="minorHAnsi"/>
          </w:rPr>
          <w:t>https://ahpa.com.au/advocacy/summary-of-results-from-survey-of-allied-health-workforce-in-residential-aged-care-2023/</w:t>
        </w:r>
      </w:hyperlink>
      <w:r w:rsidRPr="00C2551C">
        <w:rPr>
          <w:rFonts w:asciiTheme="minorHAnsi" w:hAnsiTheme="minorHAnsi" w:cstheme="minorHAnsi"/>
        </w:rPr>
        <w:t>.</w:t>
      </w:r>
    </w:p>
  </w:endnote>
  <w:endnote w:id="245">
    <w:p w14:paraId="739B978B" w14:textId="77777777" w:rsidR="00A822D6" w:rsidRPr="002F0079" w:rsidRDefault="00A822D6" w:rsidP="00314F78">
      <w:pPr>
        <w:pStyle w:val="EndnoteText"/>
      </w:pPr>
      <w:r w:rsidRPr="002F0079">
        <w:rPr>
          <w:rStyle w:val="EndnoteReference"/>
          <w:rFonts w:asciiTheme="minorHAnsi" w:hAnsiTheme="minorHAnsi" w:cstheme="minorHAnsi"/>
          <w:szCs w:val="18"/>
        </w:rPr>
        <w:endnoteRef/>
      </w:r>
      <w:r w:rsidRPr="002F0079">
        <w:t xml:space="preserve"> Gibson, D. &amp; Isbel, S. (2023). Reform and reverberation: Australian aged care policy changes and the unintended consequences for allied health. </w:t>
      </w:r>
    </w:p>
  </w:endnote>
  <w:endnote w:id="246">
    <w:p w14:paraId="3311A7E8" w14:textId="77777777" w:rsidR="00A822D6" w:rsidRPr="002F0079" w:rsidRDefault="00A822D6" w:rsidP="00314F78">
      <w:pPr>
        <w:pStyle w:val="EndnoteText"/>
      </w:pPr>
      <w:r w:rsidRPr="002F0079">
        <w:rPr>
          <w:rStyle w:val="EndnoteReference"/>
          <w:rFonts w:asciiTheme="minorHAnsi" w:hAnsiTheme="minorHAnsi" w:cstheme="minorHAnsi"/>
          <w:szCs w:val="18"/>
        </w:rPr>
        <w:endnoteRef/>
      </w:r>
      <w:r w:rsidRPr="002F0079">
        <w:t xml:space="preserve"> Eagar, K., Westera, A.B., Snoek, M., Kobel, C., &amp; Loggie, C.L. (2019). </w:t>
      </w:r>
      <w:r w:rsidRPr="002F0079">
        <w:rPr>
          <w:i/>
          <w:iCs/>
        </w:rPr>
        <w:t xml:space="preserve">How Australian residential aged care staffing levels compare with international and national benchmarks. </w:t>
      </w:r>
      <w:r w:rsidRPr="002F0079">
        <w:t>Centre for Health Service Development, AHSRI, University of Wollongong.</w:t>
      </w:r>
    </w:p>
  </w:endnote>
  <w:endnote w:id="247">
    <w:p w14:paraId="0177DD59" w14:textId="77777777" w:rsidR="00A822D6" w:rsidRPr="00C2551C" w:rsidRDefault="00A822D6"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5" w:anchor=":~:text=This%20study%20estimated%20the%20prevalence%20of%20evidence-based%20care,by%20adherence%20to%20clinical%20practice%20guideline%20%28CPG%29%20recommendations." w:history="1">
        <w:r w:rsidRPr="00C2551C">
          <w:rPr>
            <w:rStyle w:val="Hyperlink"/>
            <w:rFonts w:asciiTheme="minorHAnsi" w:hAnsiTheme="minorHAnsi" w:cstheme="minorHAnsi"/>
          </w:rPr>
          <w:t>The quality of care delivered to residents in long-term care in Australia: an indicator-based review of resident records (CareTrack Aged study) | BMC Medicine | Full Text</w:t>
        </w:r>
      </w:hyperlink>
    </w:p>
  </w:endnote>
  <w:endnote w:id="248">
    <w:p w14:paraId="6E734B9D" w14:textId="047F7655" w:rsidR="00A822D6" w:rsidRPr="002F0079" w:rsidRDefault="00A822D6"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w:t>
      </w:r>
      <w:r w:rsidR="006C0CBD" w:rsidRPr="006C0CBD">
        <w:rPr>
          <w:rFonts w:asciiTheme="minorHAnsi" w:hAnsiTheme="minorHAnsi" w:cstheme="minorHAnsi"/>
          <w:szCs w:val="18"/>
        </w:rPr>
        <w:t xml:space="preserve">Allied Health Professions Australia. October 2023. The state of allied health in residential aged care – survey results. </w:t>
      </w:r>
      <w:hyperlink r:id="rId96" w:history="1">
        <w:r w:rsidR="006C0CBD" w:rsidRPr="006C0CBD">
          <w:rPr>
            <w:rStyle w:val="Hyperlink"/>
            <w:rFonts w:asciiTheme="minorHAnsi" w:hAnsiTheme="minorHAnsi" w:cstheme="minorHAnsi"/>
            <w:szCs w:val="18"/>
          </w:rPr>
          <w:t>https://www.ahpa.com.au/news-updates/summary-of-results-from-survey-of-allied-health-workforce-in-residential-aged-care-2023</w:t>
        </w:r>
      </w:hyperlink>
    </w:p>
  </w:endnote>
  <w:endnote w:id="249">
    <w:p w14:paraId="5B93FEF3"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50">
    <w:p w14:paraId="57A8962E"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Gibson, D. &amp; Isbel, S. (2023). Reform and reverberation: Australian aged care policy changes and the unintended consequences for allied health.</w:t>
      </w:r>
    </w:p>
  </w:endnote>
  <w:endnote w:id="251">
    <w:p w14:paraId="79963DBF" w14:textId="77777777" w:rsidR="001E32A4" w:rsidRPr="00C2551C" w:rsidRDefault="001E32A4" w:rsidP="00314F78">
      <w:pPr>
        <w:pStyle w:val="EndnoteText"/>
      </w:pPr>
      <w:r w:rsidRPr="00C2551C">
        <w:rPr>
          <w:rStyle w:val="EndnoteReference"/>
          <w:rFonts w:asciiTheme="minorHAnsi" w:hAnsiTheme="minorHAnsi" w:cstheme="minorHAnsi"/>
        </w:rPr>
        <w:endnoteRef/>
      </w:r>
      <w:r w:rsidRPr="00C2551C">
        <w:t xml:space="preserve"> Australian Government Department of Health and Aged Care (2022). Scoping study on multidisciplinary models of care in residential aged care homes – Summary. </w:t>
      </w:r>
      <w:hyperlink r:id="rId97" w:anchor=":~:text=We%20engaged%20HealthConsult%20to%20assess%20best%20practice%20multidisciplinary,study%20and%20details%20a%20best-practice%20model%20of%20care." w:history="1">
        <w:r w:rsidRPr="00C2551C">
          <w:rPr>
            <w:rStyle w:val="Hyperlink"/>
            <w:rFonts w:asciiTheme="minorHAnsi" w:hAnsiTheme="minorHAnsi" w:cstheme="minorHAnsi"/>
          </w:rPr>
          <w:t>Scoping study on multidisciplinary models of care in residential aged care homes – Summary | Australian Government Department of Health and Aged Care</w:t>
        </w:r>
      </w:hyperlink>
    </w:p>
  </w:endnote>
  <w:endnote w:id="252">
    <w:p w14:paraId="13CBBCD4"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1308-328. doi:10.1017/S0144686X2200071X</w:t>
      </w:r>
    </w:p>
  </w:endnote>
  <w:endnote w:id="253">
    <w:p w14:paraId="0A17CEFC"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Aged Care Research and Industry Innovation Australia, Knowledge and Implementation Hub. ‘Meaningful lifestyle activities. </w:t>
      </w:r>
      <w:hyperlink r:id="rId98" w:anchor=":~:text=Australian%20aged%20care%20residents%20spend%20over%2045%20per,activities%E2%80%99%20as%20a%20priority%20topic%20for%20the%20sector." w:history="1">
        <w:r w:rsidRPr="002F0079">
          <w:rPr>
            <w:rFonts w:asciiTheme="minorHAnsi" w:hAnsiTheme="minorHAnsi" w:cstheme="minorHAnsi"/>
            <w:color w:val="0000FF"/>
            <w:szCs w:val="18"/>
            <w:u w:val="single"/>
          </w:rPr>
          <w:t>Meaningful Lifestyle Activities | ARIIA</w:t>
        </w:r>
      </w:hyperlink>
    </w:p>
  </w:endnote>
  <w:endnote w:id="254">
    <w:p w14:paraId="4E6C5557" w14:textId="77777777" w:rsidR="001E32A4" w:rsidRPr="00C2551C" w:rsidRDefault="001E32A4"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9" w:history="1">
        <w:r w:rsidRPr="00C2551C">
          <w:rPr>
            <w:rStyle w:val="Hyperlink"/>
            <w:rFonts w:asciiTheme="minorHAnsi" w:hAnsiTheme="minorHAnsi" w:cstheme="minorHAnsi"/>
          </w:rPr>
          <w:t>Data extract from the Quarterly Financial Snapshot reports of the aged care sector | Australian Government Department of Health and Aged Care</w:t>
        </w:r>
      </w:hyperlink>
    </w:p>
  </w:endnote>
  <w:endnote w:id="255">
    <w:p w14:paraId="43BC5E73" w14:textId="77777777" w:rsidR="001E32A4" w:rsidRPr="002F0079" w:rsidRDefault="001E32A4" w:rsidP="00314F78">
      <w:pPr>
        <w:rPr>
          <w:lang w:eastAsia="en-AU"/>
        </w:rPr>
      </w:pPr>
      <w:r w:rsidRPr="002F0079">
        <w:rPr>
          <w:rStyle w:val="EndnoteReference"/>
          <w:rFonts w:asciiTheme="minorHAnsi" w:hAnsiTheme="minorHAnsi" w:cstheme="minorHAnsi"/>
          <w:sz w:val="18"/>
          <w:szCs w:val="18"/>
        </w:rPr>
        <w:endnoteRef/>
      </w:r>
      <w:r w:rsidRPr="002F0079">
        <w:t xml:space="preserve"> </w:t>
      </w:r>
      <w:r w:rsidRPr="002F0079">
        <w:rPr>
          <w:lang w:eastAsia="en-AU"/>
        </w:rPr>
        <w:t xml:space="preserve">Siette J, Dodds L, Surian D, Prgomet M, Dunn A, Westbrook J (2022) Social interactions and quality of life of residents in aged care facilities: A multi-methods study. </w:t>
      </w:r>
      <w:r w:rsidRPr="002F0079">
        <w:rPr>
          <w:i/>
          <w:iCs/>
          <w:lang w:eastAsia="en-AU"/>
        </w:rPr>
        <w:t>PLoS ONE 17</w:t>
      </w:r>
      <w:r w:rsidRPr="002F0079">
        <w:rPr>
          <w:lang w:eastAsia="en-AU"/>
        </w:rPr>
        <w:t xml:space="preserve">(8): e0273412. </w:t>
      </w:r>
      <w:r w:rsidRPr="002F0079">
        <w:rPr>
          <w:color w:val="2C5CFB"/>
          <w:lang w:eastAsia="en-AU"/>
        </w:rPr>
        <w:t>https://doi.org/10.1371/journal.</w:t>
      </w:r>
    </w:p>
    <w:p w14:paraId="2C80333A" w14:textId="77777777" w:rsidR="001E32A4" w:rsidRPr="002F0079" w:rsidRDefault="001E32A4" w:rsidP="00314F78">
      <w:pPr>
        <w:rPr>
          <w:color w:val="000000"/>
          <w:lang w:eastAsia="en-AU"/>
        </w:rPr>
      </w:pPr>
      <w:r w:rsidRPr="002F0079">
        <w:rPr>
          <w:lang w:eastAsia="en-AU"/>
        </w:rPr>
        <w:t>pone.0273412</w:t>
      </w:r>
    </w:p>
    <w:p w14:paraId="4D39FC8E" w14:textId="77777777" w:rsidR="001E32A4" w:rsidRPr="002F0079" w:rsidRDefault="001E32A4" w:rsidP="00314F78">
      <w:pPr>
        <w:rPr>
          <w:lang w:eastAsia="en-AU"/>
        </w:rPr>
      </w:pPr>
    </w:p>
  </w:endnote>
  <w:endnote w:id="256">
    <w:p w14:paraId="449AAE2D"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Aged Care Research and Industry Innovation Australia, Knowledge and Implementation Hub. ‘Meaningful lifestyle activities. </w:t>
      </w:r>
      <w:hyperlink r:id="rId100" w:anchor=":~:text=Australian%20aged%20care%20residents%20spend%20over%2045%20per,activities%E2%80%99%20as%20a%20priority%20topic%20for%20the%20sector." w:history="1">
        <w:r w:rsidRPr="002F0079">
          <w:rPr>
            <w:rFonts w:asciiTheme="minorHAnsi" w:hAnsiTheme="minorHAnsi" w:cstheme="minorHAnsi"/>
            <w:color w:val="0000FF"/>
            <w:szCs w:val="18"/>
            <w:u w:val="single"/>
          </w:rPr>
          <w:t>Meaningful Lifestyle Activities | ARIIA</w:t>
        </w:r>
      </w:hyperlink>
    </w:p>
  </w:endnote>
  <w:endnote w:id="257">
    <w:p w14:paraId="7D18BEF9"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Lam MHS, Chow B, Cheung S, et al. (2017), A Systematic Review of Recreation Therapy for Depression in Older Adults. </w:t>
      </w:r>
      <w:r w:rsidRPr="002F0079">
        <w:rPr>
          <w:i/>
          <w:iCs/>
        </w:rPr>
        <w:t>Journal of Psychology &amp; Psychotherapy</w:t>
      </w:r>
      <w:r w:rsidRPr="002F0079">
        <w:t xml:space="preserve">. doi:10.4172/2161-0487.1000298 </w:t>
      </w:r>
    </w:p>
  </w:endnote>
  <w:endnote w:id="258">
    <w:p w14:paraId="3963535D"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xml:space="preserve">, 1308-328. doi:10.1017/S0144686X2200071X </w:t>
      </w:r>
    </w:p>
  </w:endnote>
  <w:endnote w:id="259">
    <w:p w14:paraId="3281E8D5" w14:textId="77777777" w:rsidR="001E32A4"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1308-328. doi:10.1017/S0144686X2200071X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9999999">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7138" w14:textId="3E68087E" w:rsidR="0052544D" w:rsidRDefault="0052544D" w:rsidP="00314F78">
    <w:pPr>
      <w:pStyle w:val="Footer-EvenPage"/>
    </w:pPr>
    <w:r w:rsidRPr="000406EB">
      <w:rPr>
        <w:noProof w:val="0"/>
      </w:rPr>
      <w:fldChar w:fldCharType="begin"/>
    </w:r>
    <w:r w:rsidRPr="000406EB">
      <w:instrText xml:space="preserve"> PAGE   \* MERGEFORMAT </w:instrText>
    </w:r>
    <w:r w:rsidRPr="000406EB">
      <w:rPr>
        <w:noProof w:val="0"/>
      </w:rPr>
      <w:fldChar w:fldCharType="separate"/>
    </w:r>
    <w:r>
      <w:t>ii</w:t>
    </w:r>
    <w:r w:rsidRPr="000406EB">
      <w:fldChar w:fldCharType="end"/>
    </w:r>
    <w:r>
      <w:tab/>
    </w:r>
    <w:r w:rsidRPr="000406EB">
      <w:t xml:space="preserve">QI PROGRAM MANUAL </w:t>
    </w:r>
    <w:r>
      <w:t>3</w:t>
    </w:r>
    <w:r w:rsidRPr="000406EB">
      <w:t>.0</w:t>
    </w:r>
    <w:r w:rsidRPr="000406EB">
      <w:rPr>
        <w:rFonts w:asciiTheme="minorHAnsi" w:hAnsiTheme="minorHAnsi" w:cstheme="minorHAnsi"/>
      </w:rPr>
      <w:t xml:space="preserve"> PART 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9B3B" w14:textId="77777777" w:rsidR="0052544D" w:rsidRDefault="0052544D" w:rsidP="00D709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170E" w14:textId="77777777" w:rsidR="006D4C61" w:rsidRDefault="006D4C61" w:rsidP="00314F78">
    <w:pPr>
      <w:pStyle w:val="Footer-OddPage"/>
    </w:pPr>
    <w:r w:rsidRPr="000406EB">
      <w:t xml:space="preserve">QI PROGRAM MANUAL </w:t>
    </w:r>
    <w:r w:rsidRPr="00FE08FA">
      <w:rPr>
        <w:b/>
        <w:bCs/>
      </w:rPr>
      <w:t>3.0</w:t>
    </w:r>
    <w:r>
      <w:rPr>
        <w:b/>
        <w:bCs/>
      </w:rPr>
      <w:t xml:space="preserve"> -</w:t>
    </w:r>
    <w:r w:rsidRPr="00FE08FA">
      <w:rPr>
        <w:b/>
        <w:bCs/>
      </w:rPr>
      <w:t xml:space="preserve"> </w:t>
    </w:r>
    <w:r w:rsidRPr="00FE08FA">
      <w:t>PART B</w:t>
    </w:r>
    <w:r>
      <w:ptab w:relativeTo="margin" w:alignment="right" w:leader="none"/>
    </w:r>
    <w:r w:rsidRPr="000406EB">
      <w:fldChar w:fldCharType="begin"/>
    </w:r>
    <w:r w:rsidRPr="000406EB">
      <w:instrText xml:space="preserve"> PAGE   \* MERGEFORMAT </w:instrText>
    </w:r>
    <w:r w:rsidRPr="000406EB">
      <w:fldChar w:fldCharType="separate"/>
    </w:r>
    <w:r>
      <w:t>93</w:t>
    </w:r>
    <w:r w:rsidRPr="000406EB">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E212" w14:textId="5E1851C1" w:rsidR="0052544D" w:rsidRDefault="0052544D">
    <w:pPr>
      <w:pStyle w:val="Footer"/>
    </w:pPr>
    <w:r w:rsidRPr="000406EB">
      <w:rPr>
        <w:rFonts w:ascii="Arial Black" w:hAnsi="Arial Black"/>
      </w:rPr>
      <w:t xml:space="preserve">QI PROGRAM MANUAL </w:t>
    </w:r>
    <w:r>
      <w:rPr>
        <w:rFonts w:ascii="Arial Black" w:hAnsi="Arial Black"/>
      </w:rPr>
      <w:t>3</w:t>
    </w:r>
    <w:r w:rsidRPr="000406EB">
      <w:rPr>
        <w:rFonts w:ascii="Arial Black" w:hAnsi="Arial Black"/>
      </w:rPr>
      <w:t>.0</w:t>
    </w:r>
    <w:r w:rsidRPr="00473A6D">
      <w:t xml:space="preserve"> PART </w:t>
    </w:r>
    <w:r>
      <w:t>B</w:t>
    </w:r>
    <w:r w:rsidRPr="00473A6D">
      <w:tab/>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95</w:t>
    </w:r>
    <w:r w:rsidRPr="000406EB">
      <w:rPr>
        <w:rFonts w:ascii="Arial Black" w:hAnsi="Arial Black"/>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A2F2" w14:textId="08B98D40" w:rsidR="001E32A4" w:rsidRDefault="001E32A4" w:rsidP="00687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47A5" w14:textId="15059625" w:rsidR="0012323D" w:rsidRDefault="0012323D" w:rsidP="0021660E">
    <w:pPr>
      <w:pStyle w:val="Header"/>
    </w:pPr>
  </w:p>
  <w:p w14:paraId="7FF302C0" w14:textId="3E85BB79" w:rsidR="0012323D" w:rsidRDefault="00123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B09B" w14:textId="7953CEE2" w:rsidR="0052544D" w:rsidRDefault="0052544D" w:rsidP="00314F78">
    <w:pPr>
      <w:pStyle w:val="Footer-EvenPage"/>
    </w:pPr>
    <w:r w:rsidRPr="000406EB">
      <w:rPr>
        <w:noProof w:val="0"/>
      </w:rPr>
      <w:fldChar w:fldCharType="begin"/>
    </w:r>
    <w:r w:rsidRPr="000406EB">
      <w:instrText xml:space="preserve"> PAGE   \* MERGEFORMAT </w:instrText>
    </w:r>
    <w:r w:rsidRPr="000406EB">
      <w:rPr>
        <w:noProof w:val="0"/>
      </w:rPr>
      <w:fldChar w:fldCharType="separate"/>
    </w:r>
    <w:r>
      <w:t>14</w:t>
    </w:r>
    <w:r w:rsidRPr="000406EB">
      <w:fldChar w:fldCharType="end"/>
    </w:r>
    <w:r>
      <w:tab/>
      <w:t>QI PROGRAM MANUAL 3</w:t>
    </w:r>
    <w:r w:rsidRPr="000406EB">
      <w:t>.0</w:t>
    </w:r>
    <w:r w:rsidRPr="000406EB">
      <w:rPr>
        <w:rFonts w:asciiTheme="minorHAnsi" w:hAnsiTheme="minorHAnsi" w:cstheme="minorHAnsi"/>
      </w:rPr>
      <w:t xml:space="preserve"> PART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4FE7" w14:textId="520C1923" w:rsidR="0052544D" w:rsidRPr="006D4C61" w:rsidRDefault="006D4C61" w:rsidP="00314F78">
    <w:pPr>
      <w:pStyle w:val="Footer-OddPage"/>
    </w:pPr>
    <w:r w:rsidRPr="000406EB">
      <w:t xml:space="preserve">QI PROGRAM MANUAL </w:t>
    </w:r>
    <w:r w:rsidRPr="00FE08FA">
      <w:rPr>
        <w:b/>
        <w:bCs/>
      </w:rPr>
      <w:t>3.0</w:t>
    </w:r>
    <w:r>
      <w:rPr>
        <w:b/>
        <w:bCs/>
      </w:rPr>
      <w:t xml:space="preserve"> -</w:t>
    </w:r>
    <w:r w:rsidRPr="00FE08FA">
      <w:rPr>
        <w:b/>
        <w:bCs/>
      </w:rPr>
      <w:t xml:space="preserve"> </w:t>
    </w:r>
    <w:r w:rsidRPr="00FE08FA">
      <w:t>PART B</w:t>
    </w:r>
    <w:r>
      <w:ptab w:relativeTo="margin" w:alignment="right" w:leader="none"/>
    </w:r>
    <w:r w:rsidRPr="000406EB">
      <w:fldChar w:fldCharType="begin"/>
    </w:r>
    <w:r w:rsidRPr="000406EB">
      <w:instrText xml:space="preserve"> PAGE   \* MERGEFORMAT </w:instrText>
    </w:r>
    <w:r w:rsidRPr="000406EB">
      <w:fldChar w:fldCharType="separate"/>
    </w:r>
    <w:r>
      <w:t>9</w:t>
    </w:r>
    <w:r w:rsidRPr="000406E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10CA5" w14:textId="125DB8A6" w:rsidR="0052544D" w:rsidRPr="00820BA9" w:rsidRDefault="0052544D" w:rsidP="00314F78">
    <w:pPr>
      <w:pStyle w:val="Footer-OddPage"/>
    </w:pPr>
    <w:r w:rsidRPr="000406EB">
      <w:t>QI PROGRAM MANUAL</w:t>
    </w:r>
    <w:r w:rsidRPr="00FE08FA">
      <w:rPr>
        <w:b/>
        <w:bCs/>
      </w:rPr>
      <w:t xml:space="preserve"> </w:t>
    </w:r>
    <w:r w:rsidRPr="00FE08FA">
      <w:t xml:space="preserve">PART </w:t>
    </w:r>
    <w:r w:rsidR="00FE08FA" w:rsidRPr="00FE08FA">
      <w:t>B</w:t>
    </w:r>
    <w:r w:rsidR="00820BA9">
      <w:t xml:space="preserve"> – Version </w:t>
    </w:r>
    <w:r w:rsidR="003B7D40">
      <w:t>4.0</w:t>
    </w:r>
    <w:r w:rsidR="00E30E2C">
      <w:ptab w:relativeTo="margin" w:alignment="right" w:leader="none"/>
    </w:r>
    <w:r w:rsidRPr="000406EB">
      <w:fldChar w:fldCharType="begin"/>
    </w:r>
    <w:r w:rsidRPr="000406EB">
      <w:instrText xml:space="preserve"> PAGE   \* MERGEFORMAT </w:instrText>
    </w:r>
    <w:r w:rsidRPr="000406EB">
      <w:fldChar w:fldCharType="separate"/>
    </w:r>
    <w:r>
      <w:t>1</w:t>
    </w:r>
    <w:r w:rsidRPr="000406E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B031" w14:textId="63881D85" w:rsidR="0052544D" w:rsidRPr="006D4C61" w:rsidRDefault="006D4C61" w:rsidP="00314F78">
    <w:pPr>
      <w:pStyle w:val="Footer-OddPage"/>
    </w:pPr>
    <w:r w:rsidRPr="000406EB">
      <w:t xml:space="preserve">QI PROGRAM MANUAL </w:t>
    </w:r>
    <w:r w:rsidRPr="00FE08FA">
      <w:rPr>
        <w:b/>
        <w:bCs/>
      </w:rPr>
      <w:t>3.0</w:t>
    </w:r>
    <w:r>
      <w:rPr>
        <w:b/>
        <w:bCs/>
      </w:rPr>
      <w:t xml:space="preserve"> -</w:t>
    </w:r>
    <w:r w:rsidRPr="00FE08FA">
      <w:rPr>
        <w:b/>
        <w:bCs/>
      </w:rPr>
      <w:t xml:space="preserve"> </w:t>
    </w:r>
    <w:r w:rsidRPr="00FE08FA">
      <w:t>PART B</w:t>
    </w:r>
    <w:r>
      <w:ptab w:relativeTo="margin" w:alignment="right" w:leader="none"/>
    </w:r>
    <w:r w:rsidRPr="000406EB">
      <w:fldChar w:fldCharType="begin"/>
    </w:r>
    <w:r w:rsidRPr="000406EB">
      <w:instrText xml:space="preserve"> PAGE   \* MERGEFORMAT </w:instrText>
    </w:r>
    <w:r w:rsidRPr="000406EB">
      <w:fldChar w:fldCharType="separate"/>
    </w:r>
    <w:r>
      <w:t>23</w:t>
    </w:r>
    <w:r w:rsidRPr="000406EB">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DA8F" w14:textId="77777777" w:rsidR="0052544D" w:rsidRPr="00BA08C3" w:rsidRDefault="0052544D" w:rsidP="00314F78">
    <w:pPr>
      <w:pStyle w:val="Footer-OddPage"/>
    </w:pPr>
    <w:r w:rsidRPr="000406EB">
      <w:t xml:space="preserve">QI PROGRAM MANUAL </w:t>
    </w:r>
    <w:r>
      <w:t>3</w:t>
    </w:r>
    <w:r w:rsidRPr="000406EB">
      <w:t>.0</w:t>
    </w:r>
    <w:r w:rsidRPr="00473A6D">
      <w:t xml:space="preserve"> PART </w:t>
    </w:r>
    <w:r>
      <w:t>B</w:t>
    </w:r>
    <w:r w:rsidRPr="00473A6D">
      <w:tab/>
    </w:r>
    <w:r w:rsidRPr="000406EB">
      <w:fldChar w:fldCharType="begin"/>
    </w:r>
    <w:r w:rsidRPr="000406EB">
      <w:instrText xml:space="preserve"> PAGE   \* MERGEFORMAT </w:instrText>
    </w:r>
    <w:r w:rsidRPr="000406EB">
      <w:fldChar w:fldCharType="separate"/>
    </w:r>
    <w:r>
      <w:t>64</w:t>
    </w:r>
    <w:r w:rsidRPr="000406EB">
      <w:fldChar w:fldCharType="end"/>
    </w:r>
  </w:p>
  <w:p w14:paraId="1D5E3C4F" w14:textId="77777777" w:rsidR="0052544D" w:rsidRDefault="005254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8FB8" w14:textId="77777777" w:rsidR="0052544D" w:rsidRDefault="005254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2CA9" w14:textId="77777777" w:rsidR="0052544D" w:rsidRDefault="00525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D9CCD" w14:textId="77777777" w:rsidR="007B76E1" w:rsidRDefault="007B76E1" w:rsidP="00314F78">
      <w:r>
        <w:separator/>
      </w:r>
    </w:p>
  </w:footnote>
  <w:footnote w:type="continuationSeparator" w:id="0">
    <w:p w14:paraId="668F57D6" w14:textId="77777777" w:rsidR="007B76E1" w:rsidRDefault="007B76E1" w:rsidP="00314F78">
      <w:r>
        <w:continuationSeparator/>
      </w:r>
    </w:p>
  </w:footnote>
  <w:footnote w:type="continuationNotice" w:id="1">
    <w:p w14:paraId="6B5E6E4B" w14:textId="77777777" w:rsidR="007B76E1" w:rsidRDefault="007B76E1" w:rsidP="00314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3507" w14:textId="6FA6AF97" w:rsidR="000A519D" w:rsidRDefault="003A30D7">
    <w:pPr>
      <w:pStyle w:val="Header"/>
    </w:pPr>
    <w:r>
      <w:rPr>
        <w:noProof/>
      </w:rPr>
      <w:pict w14:anchorId="58312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2" o:spid="_x0000_s1414" type="#_x0000_t136" style="position:absolute;margin-left:0;margin-top:0;width:527pt;height:210.8pt;rotation:315;z-index:-2516582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B5DCA" w14:textId="6F44CAAB" w:rsidR="0052544D" w:rsidRDefault="003A30D7" w:rsidP="006D4C61">
    <w:pPr>
      <w:pStyle w:val="Header"/>
    </w:pPr>
    <w:r>
      <w:rPr>
        <w:noProof/>
      </w:rPr>
      <w:pict w14:anchorId="5823C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7" o:spid="_x0000_s1422" type="#_x0000_t136" style="position:absolute;margin-left:0;margin-top:0;width:527pt;height:210.8pt;rotation:315;z-index:-2516582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64905E32" wp14:editId="0B99CD70">
          <wp:extent cx="504000" cy="500453"/>
          <wp:effectExtent l="0" t="0" r="0" b="0"/>
          <wp:docPr id="28448318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7" name="Picture 20919946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A086" w14:textId="1F27635F" w:rsidR="0052544D" w:rsidRDefault="003A30D7" w:rsidP="006D4C61">
    <w:pPr>
      <w:pStyle w:val="Header-Evenpage"/>
      <w:jc w:val="right"/>
    </w:pPr>
    <w:r>
      <w:rPr>
        <w:noProof/>
      </w:rPr>
      <w:pict w14:anchorId="128BF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8" o:spid="_x0000_s1512" type="#_x0000_t136" style="position:absolute;left:0;text-align:left;margin-left:0;margin-top:0;width:527pt;height:210.8pt;rotation:315;z-index:-25165812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A7DF861" wp14:editId="4DAE984D">
          <wp:extent cx="504000" cy="504000"/>
          <wp:effectExtent l="0" t="0" r="0" b="0"/>
          <wp:docPr id="2084753096" name="Picture 2084753096"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D321" w14:textId="2304EB52" w:rsidR="0052544D" w:rsidRDefault="003A30D7" w:rsidP="00D51A3F">
    <w:pPr>
      <w:pStyle w:val="Header"/>
      <w:jc w:val="right"/>
    </w:pPr>
    <w:r>
      <w:rPr>
        <w:noProof/>
      </w:rPr>
      <w:pict w14:anchorId="1DA6C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6" o:spid="_x0000_s1513" type="#_x0000_t136" style="position:absolute;left:0;text-align:left;margin-left:0;margin-top:0;width:527pt;height:210.8pt;rotation:315;z-index:-25165812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E026DFB" wp14:editId="792885F8">
          <wp:extent cx="504000" cy="504000"/>
          <wp:effectExtent l="0" t="0" r="0" b="0"/>
          <wp:docPr id="1445048630" name="Picture 1445048630"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9AF8" w14:textId="21501915" w:rsidR="00DB28AF" w:rsidRDefault="003A30D7">
    <w:pPr>
      <w:pStyle w:val="Header"/>
    </w:pPr>
    <w:r>
      <w:rPr>
        <w:noProof/>
      </w:rPr>
      <w:pict w14:anchorId="4704E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4" o:spid="_x0000_s1511" type="#_x0000_t136" style="position:absolute;margin-left:0;margin-top:0;width:527pt;height:210.8pt;rotation:315;z-index:-25165812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2F9D" w14:textId="3F0FE0AC" w:rsidR="0052544D" w:rsidRDefault="003A30D7" w:rsidP="00D51A3F">
    <w:pPr>
      <w:pStyle w:val="Header"/>
      <w:jc w:val="right"/>
    </w:pPr>
    <w:r>
      <w:rPr>
        <w:noProof/>
      </w:rPr>
      <w:pict w14:anchorId="55447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2" o:spid="_x0000_s1515" type="#_x0000_t136" style="position:absolute;left:0;text-align:left;margin-left:0;margin-top:0;width:527pt;height:210.8pt;rotation:315;z-index:-25165812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6047D677" wp14:editId="3EFB7BD5">
          <wp:extent cx="504000" cy="504000"/>
          <wp:effectExtent l="0" t="0" r="0" b="0"/>
          <wp:docPr id="2038539693" name="Picture 2038539693"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96CC9" w14:textId="31454C8D" w:rsidR="00DB28AF" w:rsidRDefault="003A30D7">
    <w:pPr>
      <w:pStyle w:val="Header"/>
    </w:pPr>
    <w:r>
      <w:rPr>
        <w:noProof/>
      </w:rPr>
      <w:pict w14:anchorId="3B546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7" o:spid="_x0000_s1514" type="#_x0000_t136" style="position:absolute;margin-left:0;margin-top:0;width:527pt;height:210.8pt;rotation:315;z-index:-2516581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FC66" w14:textId="3F7CC0BF" w:rsidR="00DB28AF" w:rsidRDefault="003A30D7">
    <w:pPr>
      <w:pStyle w:val="Header"/>
    </w:pPr>
    <w:r>
      <w:rPr>
        <w:noProof/>
      </w:rPr>
      <w:pict w14:anchorId="05F5B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1" o:spid="_x0000_s1517" type="#_x0000_t136" style="position:absolute;margin-left:0;margin-top:0;width:527pt;height:210.8pt;rotation:315;z-index:-25165812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CC77" w14:textId="60F7D253" w:rsidR="00DB28AF" w:rsidRDefault="003A30D7">
    <w:pPr>
      <w:pStyle w:val="Header"/>
    </w:pPr>
    <w:r>
      <w:rPr>
        <w:noProof/>
      </w:rPr>
      <w:pict w14:anchorId="17C0F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0" o:spid="_x0000_s1516" type="#_x0000_t136" style="position:absolute;margin-left:0;margin-top:0;width:527pt;height:210.8pt;rotation:315;z-index:-25165812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E82A" w14:textId="425273D4" w:rsidR="0052544D" w:rsidRDefault="003A30D7" w:rsidP="006D4C61">
    <w:pPr>
      <w:pStyle w:val="Header-Evenpage"/>
      <w:jc w:val="right"/>
    </w:pPr>
    <w:r>
      <w:rPr>
        <w:noProof/>
      </w:rPr>
      <w:pict w14:anchorId="4BB6E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7" o:spid="_x0000_s1519" type="#_x0000_t136" style="position:absolute;left:0;text-align:left;margin-left:0;margin-top:0;width:527pt;height:210.8pt;rotation:315;z-index:-25165811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15130BDC" wp14:editId="16BAC167">
          <wp:extent cx="504000" cy="504000"/>
          <wp:effectExtent l="0" t="0" r="0" b="0"/>
          <wp:docPr id="1053255968" name="Picture 1053255968"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9D1C" w14:textId="584A02C5" w:rsidR="00667D98" w:rsidRDefault="003A30D7" w:rsidP="00D51A3F">
    <w:pPr>
      <w:pStyle w:val="Header"/>
      <w:jc w:val="right"/>
    </w:pPr>
    <w:r>
      <w:rPr>
        <w:noProof/>
      </w:rPr>
      <w:pict w14:anchorId="21614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8" o:spid="_x0000_s1520" type="#_x0000_t136" style="position:absolute;left:0;text-align:left;margin-left:0;margin-top:0;width:527pt;height:210.8pt;rotation:315;z-index:-25165811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705A7">
      <w:rPr>
        <w:noProof/>
      </w:rPr>
      <mc:AlternateContent>
        <mc:Choice Requires="wps">
          <w:drawing>
            <wp:anchor distT="0" distB="0" distL="114300" distR="114300" simplePos="0" relativeHeight="251658252" behindDoc="1" locked="0" layoutInCell="0" allowOverlap="1" wp14:anchorId="7D1D3177" wp14:editId="1077A036">
              <wp:simplePos x="0" y="0"/>
              <wp:positionH relativeFrom="margin">
                <wp:align>center</wp:align>
              </wp:positionH>
              <wp:positionV relativeFrom="margin">
                <wp:align>center</wp:align>
              </wp:positionV>
              <wp:extent cx="6692900" cy="2677160"/>
              <wp:effectExtent l="0" t="1809750" r="0" b="1466215"/>
              <wp:wrapNone/>
              <wp:docPr id="697910659"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8F7784" w14:textId="77777777" w:rsidR="006705A7" w:rsidRDefault="006705A7" w:rsidP="006705A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1D3177" id="_x0000_t202" coordsize="21600,21600" o:spt="202" path="m,l,21600r21600,l21600,xe">
              <v:stroke joinstyle="miter"/>
              <v:path gradientshapeok="t" o:connecttype="rect"/>
            </v:shapetype>
            <v:shape id="Text Box 2" o:spid="_x0000_s1029" type="#_x0000_t202" style="position:absolute;left:0;text-align:left;margin-left:0;margin-top:0;width:527pt;height:210.8pt;rotation:-45;z-index:-251658228;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ej+AEAAMwDAAAOAAAAZHJzL2Uyb0RvYy54bWysU8Fy0zAQvTPDP2h0p07CkLaeOJ3QUi6F&#10;dqZhet5IcmywtGKlxM7fs1LchIEbgw8aeyW9fe/t8+JmsJ3YGwotukpOLyZSGKdQt25byW/r+3dX&#10;UoQITkOHzlTyYIK8Wb59s+h9aWbYYKcNCQZxoex9JZsYfVkUQTXGQrhAbxxv1kgWIn/SttAEPaPb&#10;rphNJvOiR9KeUJkQuHp33JTLjF/XRsXHug4miq6SzC3mlfK6SWuxXEC5JfBNq0Ya8A8sLLSOm56g&#10;7iCC2FH7F5RtFWHAOl4otAXWdatM1sBqppM/1Dw34E3WwuYEf7Ip/D9Y9XX/7J9IxOEjDjzALCL4&#10;B1Q/gnB424DbmhUR9o0BzY2n8lTO9NYHz2PN1bUZ4ifdssfT5GvR+1CO+GkeoQyp06b/gpqvwC5i&#10;7jbUZAVhunZ1PUlPLrM3ghnx0A6nQXEDobg4n1/P+KgUivdm88vL6TyPsoAyoaVBeArxs0Er0ksl&#10;iZOQYWH/EGJidz4yUk3sjjzjsBlEqyv5PulIzDeoD8y956BUMvzcARn2YWdvkXPF4mtC+8JJXFFW&#10;/0pgPbwA+ZFCZPZP3WtQMo+cGC0c2GSI/s5AtuP87aETH7ITR6bj4ZHzETXdDX7FLt63WdCZ5yiI&#10;I5N1jvFOmfz9O586/4TLXwAAAP//AwBQSwMEFAAGAAgAAAAhADalg7/aAAAABgEAAA8AAABkcnMv&#10;ZG93bnJldi54bWxMj8FuwjAQRO+V+g/WVuqtOKAEqhAHISBHDgQ+YIm3SUS8DrGB9O9remkvI41m&#10;NfM2W42mE3caXGtZwXQSgSCurG65VnA6Fh+fIJxH1thZJgXf5GCVv75kmGr74APdS1+LUMIuRQWN&#10;930qpasaMugmticO2ZcdDPpgh1rqAR+h3HRyFkVzabDlsNBgT5uGqkt5Mwq2O70vym3sdsmmSJLF&#10;3tSHq1Hq/W1cL0F4Gv3fMTzxAzrkgelsb6yd6BSER/yvPrMoiYM/K4hn0znIPJP/8fMfAAAA//8D&#10;AFBLAQItABQABgAIAAAAIQC2gziS/gAAAOEBAAATAAAAAAAAAAAAAAAAAAAAAABbQ29udGVudF9U&#10;eXBlc10ueG1sUEsBAi0AFAAGAAgAAAAhADj9If/WAAAAlAEAAAsAAAAAAAAAAAAAAAAALwEAAF9y&#10;ZWxzLy5yZWxzUEsBAi0AFAAGAAgAAAAhAHLJx6P4AQAAzAMAAA4AAAAAAAAAAAAAAAAALgIAAGRy&#10;cy9lMm9Eb2MueG1sUEsBAi0AFAAGAAgAAAAhADalg7/aAAAABgEAAA8AAAAAAAAAAAAAAAAAUgQA&#10;AGRycy9kb3ducmV2LnhtbFBLBQYAAAAABAAEAPMAAABZBQAAAAA=&#10;" o:allowincell="f" filled="f" stroked="f">
              <v:stroke joinstyle="round"/>
              <o:lock v:ext="edit" shapetype="t"/>
              <v:textbox style="mso-fit-shape-to-text:t">
                <w:txbxContent>
                  <w:p w14:paraId="188F7784" w14:textId="77777777" w:rsidR="006705A7" w:rsidRDefault="006705A7" w:rsidP="006705A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D4C61">
      <w:rPr>
        <w:noProof/>
      </w:rPr>
      <w:drawing>
        <wp:inline distT="0" distB="0" distL="0" distR="0" wp14:anchorId="74FE4B71" wp14:editId="5AA119A6">
          <wp:extent cx="504000" cy="504000"/>
          <wp:effectExtent l="0" t="0" r="0" b="0"/>
          <wp:docPr id="1596888652" name="Picture 1596888652"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6507" w14:textId="1711376D" w:rsidR="00DB28AF" w:rsidRDefault="003A30D7">
    <w:pPr>
      <w:pStyle w:val="Header"/>
    </w:pPr>
    <w:r>
      <w:rPr>
        <w:noProof/>
      </w:rPr>
      <w:pict w14:anchorId="731C1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3" o:spid="_x0000_s1518" type="#_x0000_t136" style="position:absolute;margin-left:0;margin-top:0;width:527pt;height:210.8pt;rotation:315;z-index:-2516581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5802" w14:textId="0179F511" w:rsidR="003B43A1" w:rsidRDefault="003A30D7" w:rsidP="00D51A3F">
    <w:pPr>
      <w:pStyle w:val="Header"/>
      <w:jc w:val="right"/>
    </w:pPr>
    <w:r>
      <w:rPr>
        <w:noProof/>
      </w:rPr>
      <w:pict w14:anchorId="1EBE3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8" o:spid="_x0000_s1423" type="#_x0000_t136" style="position:absolute;left:0;text-align:left;margin-left:0;margin-top:0;width:527pt;height:210.8pt;rotation:315;z-index:-25165821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04641EB9">
        <v:shape id="_x0000_s1162" type="#_x0000_t136" style="position:absolute;left:0;text-align:left;margin-left:0;margin-top:0;width:527pt;height:210.8pt;rotation:315;z-index:-251658236;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E85499">
      <w:rPr>
        <w:noProof/>
      </w:rPr>
      <w:drawing>
        <wp:inline distT="0" distB="0" distL="0" distR="0" wp14:anchorId="386BEC11" wp14:editId="1F4C0984">
          <wp:extent cx="504000" cy="500453"/>
          <wp:effectExtent l="0" t="0" r="0" b="0"/>
          <wp:docPr id="164108063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FB7A" w14:textId="0659863E" w:rsidR="0052544D" w:rsidRDefault="003A30D7">
    <w:pPr>
      <w:pStyle w:val="Header"/>
    </w:pPr>
    <w:r>
      <w:rPr>
        <w:noProof/>
      </w:rPr>
      <w:pict w14:anchorId="7BA86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6" o:spid="_x0000_s1521" type="#_x0000_t136" style="position:absolute;margin-left:0;margin-top:0;width:527pt;height:210.8pt;rotation:315;z-index:-25165811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B32E" w14:textId="0C99C64B" w:rsidR="0052544D" w:rsidRDefault="003A30D7">
    <w:pPr>
      <w:pStyle w:val="Header"/>
    </w:pPr>
    <w:r>
      <w:rPr>
        <w:noProof/>
      </w:rPr>
      <w:pict w14:anchorId="6DE1D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3" o:spid="_x0000_s1523" type="#_x0000_t136" style="position:absolute;margin-left:0;margin-top:0;width:527pt;height:210.8pt;rotation:315;z-index:-25165811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1F22C4F6" wp14:editId="12F76F5E">
          <wp:extent cx="504000" cy="504000"/>
          <wp:effectExtent l="0" t="0" r="0" b="0"/>
          <wp:docPr id="807526206" name="Picture 291"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ABFA" w14:textId="460F4C69" w:rsidR="0052544D" w:rsidRDefault="003A30D7" w:rsidP="00D51A3F">
    <w:pPr>
      <w:pStyle w:val="Header"/>
      <w:jc w:val="right"/>
    </w:pPr>
    <w:r>
      <w:rPr>
        <w:noProof/>
      </w:rPr>
      <w:pict w14:anchorId="02746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4" o:spid="_x0000_s1524" type="#_x0000_t136" style="position:absolute;left:0;text-align:left;margin-left:0;margin-top:0;width:527pt;height:210.8pt;rotation:315;z-index:-25165811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3D899CFC" wp14:editId="63584E1B">
          <wp:extent cx="504000" cy="504000"/>
          <wp:effectExtent l="0" t="0" r="0" b="0"/>
          <wp:docPr id="364772549" name="Picture 292"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BBC" w14:textId="0D72F747" w:rsidR="00DB28AF" w:rsidRDefault="003A30D7">
    <w:pPr>
      <w:pStyle w:val="Header"/>
    </w:pPr>
    <w:r>
      <w:rPr>
        <w:noProof/>
      </w:rPr>
      <w:pict w14:anchorId="1D6D8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2" o:spid="_x0000_s1522" type="#_x0000_t136" style="position:absolute;margin-left:0;margin-top:0;width:527pt;height:210.8pt;rotation:315;z-index:-2516581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645FC" w14:textId="531F7DD7" w:rsidR="00DB28AF" w:rsidRDefault="003A30D7">
    <w:pPr>
      <w:pStyle w:val="Header"/>
    </w:pPr>
    <w:r>
      <w:rPr>
        <w:noProof/>
      </w:rPr>
      <w:pict w14:anchorId="7E5D0F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6" o:spid="_x0000_s1526" type="#_x0000_t136" style="position:absolute;margin-left:0;margin-top:0;width:527pt;height:210.8pt;rotation:315;z-index:-2516581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93B7" w14:textId="15F8D956" w:rsidR="0052544D" w:rsidRDefault="003A30D7" w:rsidP="00D51A3F">
    <w:pPr>
      <w:pStyle w:val="Header"/>
      <w:jc w:val="right"/>
    </w:pPr>
    <w:r>
      <w:rPr>
        <w:noProof/>
      </w:rPr>
      <w:pict w14:anchorId="45422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7" o:spid="_x0000_s1527" type="#_x0000_t136" style="position:absolute;left:0;text-align:left;margin-left:0;margin-top:0;width:527pt;height:210.8pt;rotation:315;z-index:-25165811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40641D54" wp14:editId="5BC608F0">
          <wp:extent cx="504000" cy="504000"/>
          <wp:effectExtent l="0" t="0" r="0" b="0"/>
          <wp:docPr id="1927784315"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181A" w14:textId="19C9E8C4" w:rsidR="00DB28AF" w:rsidRDefault="003A30D7">
    <w:pPr>
      <w:pStyle w:val="Header"/>
    </w:pPr>
    <w:r>
      <w:rPr>
        <w:noProof/>
      </w:rPr>
      <w:pict w14:anchorId="5BBA6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5" o:spid="_x0000_s1525" type="#_x0000_t136" style="position:absolute;margin-left:0;margin-top:0;width:527pt;height:210.8pt;rotation:315;z-index:-25165811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DDE3" w14:textId="39787D07" w:rsidR="0052544D" w:rsidRDefault="003A30D7" w:rsidP="006D4C61">
    <w:pPr>
      <w:pStyle w:val="Header-Evenpage"/>
      <w:jc w:val="right"/>
    </w:pPr>
    <w:r>
      <w:rPr>
        <w:noProof/>
      </w:rPr>
      <w:pict w14:anchorId="08B24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2" o:spid="_x0000_s1529" type="#_x0000_t136" style="position:absolute;left:0;text-align:left;margin-left:0;margin-top:0;width:527pt;height:210.8pt;rotation:315;z-index:-25165810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20B2FECB" wp14:editId="0DE5726A">
          <wp:extent cx="504000" cy="504000"/>
          <wp:effectExtent l="0" t="0" r="0" b="0"/>
          <wp:docPr id="1527790368" name="Picture 295"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7609" w14:textId="1EFED854" w:rsidR="00667D98" w:rsidRDefault="003A30D7" w:rsidP="00D51A3F">
    <w:pPr>
      <w:pStyle w:val="Header"/>
      <w:jc w:val="right"/>
    </w:pPr>
    <w:r>
      <w:rPr>
        <w:noProof/>
      </w:rPr>
      <w:pict w14:anchorId="4EE8A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3" o:spid="_x0000_s1530" type="#_x0000_t136" style="position:absolute;left:0;text-align:left;margin-left:0;margin-top:0;width:527pt;height:210.8pt;rotation:315;z-index:-2516581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002E5A">
      <w:rPr>
        <w:noProof/>
      </w:rPr>
      <mc:AlternateContent>
        <mc:Choice Requires="wps">
          <w:drawing>
            <wp:anchor distT="0" distB="0" distL="114300" distR="114300" simplePos="0" relativeHeight="251658253" behindDoc="1" locked="0" layoutInCell="0" allowOverlap="1" wp14:anchorId="3271FD41" wp14:editId="4D2EFF24">
              <wp:simplePos x="0" y="0"/>
              <wp:positionH relativeFrom="margin">
                <wp:align>center</wp:align>
              </wp:positionH>
              <wp:positionV relativeFrom="margin">
                <wp:align>center</wp:align>
              </wp:positionV>
              <wp:extent cx="6692900" cy="2677160"/>
              <wp:effectExtent l="0" t="1809750" r="0" b="1466215"/>
              <wp:wrapNone/>
              <wp:docPr id="561189490" name="Text Box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2A1BE" w14:textId="77777777" w:rsidR="00002E5A" w:rsidRDefault="00002E5A" w:rsidP="00002E5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71FD41" id="_x0000_t202" coordsize="21600,21600" o:spt="202" path="m,l,21600r21600,l21600,xe">
              <v:stroke joinstyle="miter"/>
              <v:path gradientshapeok="t" o:connecttype="rect"/>
            </v:shapetype>
            <v:shape id="Text Box 1" o:spid="_x0000_s1030" type="#_x0000_t202" style="position:absolute;left:0;text-align:left;margin-left:0;margin-top:0;width:527pt;height:210.8pt;rotation:-45;z-index:-251658227;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Dn+AEAAMwDAAAOAAAAZHJzL2Uyb0RvYy54bWysU8Fy0zAQvTPDP2h0p04ykLaeOJ3QUi6F&#10;dqZhet5IcmywtGKlxM7fs1LchIEbgw8aeyW9fe/t8+JmsJ3YGwotukpOLyZSGKdQt25byW/r+3dX&#10;UoQITkOHzlTyYIK8Wb59s+h9aWbYYKcNCQZxoex9JZsYfVkUQTXGQrhAbxxv1kgWIn/SttAEPaPb&#10;rphNJvOiR9KeUJkQuHp33JTLjF/XRsXHug4miq6SzC3mlfK6SWuxXEC5JfBNq0Ya8A8sLLSOm56g&#10;7iCC2FH7F5RtFWHAOl4otAXWdatM1sBqppM/1Dw34E3WwuYEf7Ip/D9Y9XX/7J9IxOEjDjzALCL4&#10;B1Q/gnB424DbmhUR9o0BzY2n8lTO9NYHz2PN1bUZ4ifdssfT5GvR+1CO+GkeoQyp06b/gpqvwC5i&#10;7jbUZAVhunZ1PUlPLrM3ghnx0A6nQXEDobg4n1/P+KgUivdm88vL6TyPsoAyoaVBeArxs0Er0ksl&#10;iZOQYWH/EGJidz4yUk3sjjzjsBlEqyv5PulIzDeoD8y956BUMvzcARn2YWdvkXPF4mtC+8JJXFFW&#10;/0pgPbwA+ZFCZPZP3WtQMo+cGC0c2GSI/s5AtuP87aETH7ITR6bj4ZHzETXdDX7FLt63WdCZ5yiI&#10;I5N1jvFOmfz9O586/4TLXwAAAP//AwBQSwMEFAAGAAgAAAAhADalg7/aAAAABgEAAA8AAABkcnMv&#10;ZG93bnJldi54bWxMj8FuwjAQRO+V+g/WVuqtOKAEqhAHISBHDgQ+YIm3SUS8DrGB9O9remkvI41m&#10;NfM2W42mE3caXGtZwXQSgSCurG65VnA6Fh+fIJxH1thZJgXf5GCVv75kmGr74APdS1+LUMIuRQWN&#10;930qpasaMugmticO2ZcdDPpgh1rqAR+h3HRyFkVzabDlsNBgT5uGqkt5Mwq2O70vym3sdsmmSJLF&#10;3tSHq1Hq/W1cL0F4Gv3fMTzxAzrkgelsb6yd6BSER/yvPrMoiYM/K4hn0znIPJP/8fMfAAAA//8D&#10;AFBLAQItABQABgAIAAAAIQC2gziS/gAAAOEBAAATAAAAAAAAAAAAAAAAAAAAAABbQ29udGVudF9U&#10;eXBlc10ueG1sUEsBAi0AFAAGAAgAAAAhADj9If/WAAAAlAEAAAsAAAAAAAAAAAAAAAAALwEAAF9y&#10;ZWxzLy5yZWxzUEsBAi0AFAAGAAgAAAAhAN9Y8Of4AQAAzAMAAA4AAAAAAAAAAAAAAAAALgIAAGRy&#10;cy9lMm9Eb2MueG1sUEsBAi0AFAAGAAgAAAAhADalg7/aAAAABgEAAA8AAAAAAAAAAAAAAAAAUgQA&#10;AGRycy9kb3ducmV2LnhtbFBLBQYAAAAABAAEAPMAAABZBQAAAAA=&#10;" o:allowincell="f" filled="f" stroked="f">
              <v:stroke joinstyle="round"/>
              <o:lock v:ext="edit" shapetype="t"/>
              <v:textbox style="mso-fit-shape-to-text:t">
                <w:txbxContent>
                  <w:p w14:paraId="0A42A1BE" w14:textId="77777777" w:rsidR="00002E5A" w:rsidRDefault="00002E5A" w:rsidP="00002E5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625051">
      <w:rPr>
        <w:noProof/>
      </w:rPr>
      <w:drawing>
        <wp:inline distT="0" distB="0" distL="0" distR="0" wp14:anchorId="517625CA" wp14:editId="3C948D26">
          <wp:extent cx="504000" cy="504000"/>
          <wp:effectExtent l="0" t="0" r="0" b="0"/>
          <wp:docPr id="1601359468"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7BEB" w14:textId="121E045A" w:rsidR="00DB28AF" w:rsidRDefault="003A30D7">
    <w:pPr>
      <w:pStyle w:val="Header"/>
    </w:pPr>
    <w:r>
      <w:rPr>
        <w:noProof/>
      </w:rPr>
      <w:pict w14:anchorId="5D9E0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1" o:spid="_x0000_s1528" type="#_x0000_t136" style="position:absolute;margin-left:0;margin-top:0;width:527pt;height:210.8pt;rotation:315;z-index:-25165810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F743" w14:textId="0640C2F7" w:rsidR="00DB28AF" w:rsidRDefault="003A30D7">
    <w:pPr>
      <w:pStyle w:val="Header"/>
    </w:pPr>
    <w:r>
      <w:rPr>
        <w:noProof/>
      </w:rPr>
      <w:pict w14:anchorId="5E268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6" o:spid="_x0000_s1421" type="#_x0000_t136" style="position:absolute;margin-left:0;margin-top:0;width:527pt;height:210.8pt;rotation:315;z-index:-25165821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093F" w14:textId="1F6DBE94" w:rsidR="001E32A4" w:rsidRDefault="001E32A4" w:rsidP="008E0C77">
    <w:pPr>
      <w:pStyle w:val="Headertext"/>
      <w:spacing w:after="180"/>
      <w:jc w:val="left"/>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77CF" w14:textId="77777777" w:rsidR="001E32A4" w:rsidRDefault="001E32A4" w:rsidP="00205A93">
    <w:pPr>
      <w:pStyle w:val="Header"/>
      <w:tabs>
        <w:tab w:val="clear" w:pos="4513"/>
        <w:tab w:val="clear" w:pos="9026"/>
        <w:tab w:val="center" w:pos="4535"/>
      </w:tabs>
    </w:pPr>
    <w:r>
      <w:rPr>
        <w:noProof/>
        <w:lang w:eastAsia="en-AU"/>
      </w:rPr>
      <w:drawing>
        <wp:anchor distT="0" distB="0" distL="114300" distR="114300" simplePos="0" relativeHeight="251658378" behindDoc="1" locked="0" layoutInCell="1" allowOverlap="1" wp14:anchorId="0328D6CC" wp14:editId="50C4FD37">
          <wp:simplePos x="0" y="0"/>
          <wp:positionH relativeFrom="page">
            <wp:align>center</wp:align>
          </wp:positionH>
          <wp:positionV relativeFrom="page">
            <wp:align>center</wp:align>
          </wp:positionV>
          <wp:extent cx="7558768" cy="10692000"/>
          <wp:effectExtent l="0" t="0" r="0" b="1905"/>
          <wp:wrapNone/>
          <wp:docPr id="498488617" name="Picture 498488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3139" w14:textId="77777777" w:rsidR="001E32A4" w:rsidRPr="00447A18" w:rsidRDefault="001E32A4" w:rsidP="00AB0F82">
    <w:pPr>
      <w:pStyle w:val="Header"/>
      <w:jc w:val="right"/>
    </w:pPr>
    <w:r w:rsidRPr="007C7BC9">
      <w:rPr>
        <w:noProof/>
      </w:rPr>
      <w:drawing>
        <wp:inline distT="0" distB="0" distL="0" distR="0" wp14:anchorId="3C915498" wp14:editId="6A047D7E">
          <wp:extent cx="648000" cy="648000"/>
          <wp:effectExtent l="0" t="0" r="0" b="0"/>
          <wp:docPr id="1076001538" name="Picture 1" descr="Allied health quality indicator icon">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39947" name="Picture 1" descr="Allied health quality indicator icon">
                    <a:extLst>
                      <a:ext uri="{FF2B5EF4-FFF2-40B4-BE49-F238E27FC236}">
                        <a16:creationId xmlns:a16="http://schemas.microsoft.com/office/drawing/2014/main" id="{C4F9B68E-7A8A-FC9C-3657-A06AF574016A}"/>
                      </a:ext>
                    </a:extLst>
                  </pic:cNvPr>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0" y="0"/>
                    <a:ext cx="648000" cy="648000"/>
                  </a:xfrm>
                  <a:prstGeom prst="rect">
                    <a:avLst/>
                  </a:prstGeom>
                </pic:spPr>
              </pic:pic>
            </a:graphicData>
          </a:graphic>
        </wp:inline>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41E1" w14:textId="77777777" w:rsidR="001E32A4" w:rsidRPr="00447A18" w:rsidRDefault="001E32A4" w:rsidP="00AB0F82">
    <w:pPr>
      <w:pStyle w:val="Header"/>
      <w:jc w:val="right"/>
    </w:pPr>
    <w:r w:rsidRPr="00BB0D76">
      <w:rPr>
        <w:noProof/>
      </w:rPr>
      <w:drawing>
        <wp:inline distT="0" distB="0" distL="0" distR="0" wp14:anchorId="42E66613" wp14:editId="6B5F2D08">
          <wp:extent cx="648000" cy="648000"/>
          <wp:effectExtent l="0" t="0" r="0" b="0"/>
          <wp:docPr id="1284280776" name="Picture 1" descr="Lifestyle quality indicator icon">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54424" name="Picture 1" descr="Lifestyle quality indicator icon">
                    <a:extLst>
                      <a:ext uri="{FF2B5EF4-FFF2-40B4-BE49-F238E27FC236}">
                        <a16:creationId xmlns:a16="http://schemas.microsoft.com/office/drawing/2014/main" id="{D45CCE1D-3650-739B-112C-4CE721220E02}"/>
                      </a:ext>
                    </a:extLst>
                  </pic:cNvPr>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0" y="0"/>
                    <a:ext cx="648000" cy="648000"/>
                  </a:xfrm>
                  <a:prstGeom prst="rect">
                    <a:avLst/>
                  </a:prstGeom>
                </pic:spPr>
              </pic:pic>
            </a:graphicData>
          </a:graphic>
        </wp:inline>
      </w:drawing>
    </w:r>
  </w:p>
  <w:p w14:paraId="3C384A74" w14:textId="77777777" w:rsidR="001E32A4" w:rsidRPr="00447A18" w:rsidRDefault="001E32A4">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25" w14:textId="5D49D5E1" w:rsidR="0052544D" w:rsidRDefault="003A30D7" w:rsidP="00653FFD">
    <w:pPr>
      <w:pStyle w:val="Header-Evenpage"/>
    </w:pPr>
    <w:r>
      <w:rPr>
        <w:noProof/>
      </w:rPr>
      <w:pict w14:anchorId="7C5ED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5" o:spid="_x0000_s1532" type="#_x0000_t136" style="position:absolute;margin-left:0;margin-top:0;width:527pt;height:210.8pt;rotation:315;z-index:-25165810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8B17" w14:textId="350206D4" w:rsidR="0052544D" w:rsidRDefault="003A30D7" w:rsidP="00D7090D">
    <w:pPr>
      <w:pStyle w:val="Header"/>
    </w:pPr>
    <w:r>
      <w:rPr>
        <w:noProof/>
      </w:rPr>
      <w:pict w14:anchorId="32A66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6" o:spid="_x0000_s1533" type="#_x0000_t136" style="position:absolute;margin-left:0;margin-top:0;width:527pt;height:210.8pt;rotation:315;z-index:-25165810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8ABA" w14:textId="13995F77" w:rsidR="00DB28AF" w:rsidRDefault="003A30D7">
    <w:pPr>
      <w:pStyle w:val="Header"/>
    </w:pPr>
    <w:r>
      <w:rPr>
        <w:noProof/>
      </w:rPr>
      <w:pict w14:anchorId="59C5C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4" o:spid="_x0000_s1531" type="#_x0000_t136" style="position:absolute;margin-left:0;margin-top:0;width:527pt;height:210.8pt;rotation:315;z-index:-25165810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EAD2" w14:textId="0EF0A855" w:rsidR="00DB28AF" w:rsidRDefault="003A30D7">
    <w:pPr>
      <w:pStyle w:val="Header"/>
    </w:pPr>
    <w:r>
      <w:rPr>
        <w:noProof/>
      </w:rPr>
      <w:pict w14:anchorId="44F53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0" o:spid="_x0000_s1425" type="#_x0000_t136" style="position:absolute;margin-left:0;margin-top:0;width:527pt;height:210.8pt;rotation:315;z-index:-25165821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2BD0A127" wp14:editId="7DC32E08">
          <wp:extent cx="504000" cy="504000"/>
          <wp:effectExtent l="0" t="0" r="0" b="0"/>
          <wp:docPr id="27756601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8F5C" w14:textId="4C048F8F" w:rsidR="003B43A1" w:rsidRDefault="003A30D7" w:rsidP="00D51A3F">
    <w:pPr>
      <w:pStyle w:val="Header"/>
      <w:tabs>
        <w:tab w:val="clear" w:pos="4513"/>
        <w:tab w:val="clear" w:pos="9026"/>
        <w:tab w:val="left" w:pos="1168"/>
      </w:tabs>
      <w:jc w:val="right"/>
    </w:pPr>
    <w:r>
      <w:rPr>
        <w:noProof/>
      </w:rPr>
      <w:pict w14:anchorId="4B851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1" o:spid="_x0000_s1426" type="#_x0000_t136" style="position:absolute;left:0;text-align:left;margin-left:0;margin-top:0;width:527pt;height:210.8pt;rotation:315;z-index:-2516582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72F948B7">
        <v:shape id="_x0000_s1163" type="#_x0000_t136" style="position:absolute;left:0;text-align:left;margin-left:0;margin-top:0;width:527pt;height:210.8pt;rotation:315;z-index:-251658235;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FC0AEA">
      <w:rPr>
        <w:noProof/>
        <w:lang w:eastAsia="en-AU"/>
      </w:rPr>
      <w:drawing>
        <wp:inline distT="0" distB="0" distL="0" distR="0" wp14:anchorId="7FF3B86D" wp14:editId="43F71F0A">
          <wp:extent cx="504000" cy="504000"/>
          <wp:effectExtent l="0" t="0" r="0" b="0"/>
          <wp:docPr id="20376244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9F2D" w14:textId="65B689E6" w:rsidR="0052544D" w:rsidRDefault="003A30D7" w:rsidP="000E4818">
    <w:pPr>
      <w:pStyle w:val="Header"/>
    </w:pPr>
    <w:r>
      <w:rPr>
        <w:noProof/>
      </w:rPr>
      <w:pict w14:anchorId="16982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9" o:spid="_x0000_s1424" type="#_x0000_t136" style="position:absolute;margin-left:0;margin-top:0;width:527pt;height:210.8pt;rotation:315;z-index:-25165821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552B" w14:textId="23D8E07A" w:rsidR="0052544D" w:rsidRPr="00D83390" w:rsidRDefault="003A30D7" w:rsidP="00D83390">
    <w:pPr>
      <w:pStyle w:val="Header-Evenpage"/>
    </w:pPr>
    <w:r>
      <w:rPr>
        <w:noProof/>
      </w:rPr>
      <w:pict w14:anchorId="70DB3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6" o:spid="_x0000_s1428" type="#_x0000_t136" style="position:absolute;margin-left:0;margin-top:0;width:527pt;height:210.8pt;rotation:315;z-index:-25165820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A180162" wp14:editId="15F9EAA4">
          <wp:extent cx="504000" cy="504000"/>
          <wp:effectExtent l="0" t="0" r="0" b="0"/>
          <wp:docPr id="534860492"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62EB" w14:textId="5B89D7B3" w:rsidR="0052544D" w:rsidRDefault="003A30D7" w:rsidP="00D51A3F">
    <w:pPr>
      <w:pStyle w:val="Header"/>
      <w:tabs>
        <w:tab w:val="clear" w:pos="4513"/>
        <w:tab w:val="clear" w:pos="9026"/>
        <w:tab w:val="left" w:pos="1168"/>
      </w:tabs>
      <w:jc w:val="right"/>
    </w:pPr>
    <w:r>
      <w:rPr>
        <w:noProof/>
      </w:rPr>
      <w:pict w14:anchorId="63C0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7" o:spid="_x0000_s1429" type="#_x0000_t136" style="position:absolute;left:0;text-align:left;margin-left:0;margin-top:0;width:527pt;height:210.8pt;rotation:315;z-index:-25165820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45CAC36" wp14:editId="42475AE0">
          <wp:extent cx="504000" cy="504000"/>
          <wp:effectExtent l="0" t="0" r="0" b="0"/>
          <wp:docPr id="146675360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D728" w14:textId="61C612BA" w:rsidR="00DB28AF" w:rsidRDefault="003A30D7">
    <w:pPr>
      <w:pStyle w:val="Header"/>
    </w:pPr>
    <w:r>
      <w:rPr>
        <w:noProof/>
      </w:rPr>
      <w:pict w14:anchorId="5505F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5" o:spid="_x0000_s1427" type="#_x0000_t136" style="position:absolute;margin-left:0;margin-top:0;width:527pt;height:210.8pt;rotation:315;z-index:-25165821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14B5" w14:textId="145704AC" w:rsidR="0052544D" w:rsidRDefault="003A30D7" w:rsidP="006D4C61">
    <w:pPr>
      <w:pStyle w:val="Header-Evenpage"/>
      <w:jc w:val="right"/>
    </w:pPr>
    <w:r>
      <w:rPr>
        <w:noProof/>
      </w:rPr>
      <w:pict w14:anchorId="53C6F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5" o:spid="_x0000_s1431" type="#_x0000_t136" style="position:absolute;left:0;text-align:left;margin-left:0;margin-top:0;width:527pt;height:210.8pt;rotation:315;z-index:-25165820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883BF76" wp14:editId="1154DCE0">
          <wp:extent cx="504000" cy="504000"/>
          <wp:effectExtent l="0" t="0" r="0" b="0"/>
          <wp:docPr id="183018874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CEBB" w14:textId="2B75ED92" w:rsidR="000C54CB" w:rsidRDefault="008753EA">
    <w:pPr>
      <w:pStyle w:val="Header"/>
    </w:pPr>
    <w:r>
      <w:rPr>
        <w:noProof/>
      </w:rPr>
      <w:drawing>
        <wp:anchor distT="0" distB="0" distL="114300" distR="114300" simplePos="0" relativeHeight="251658377" behindDoc="1" locked="0" layoutInCell="1" allowOverlap="1" wp14:anchorId="5CF917CD" wp14:editId="30078151">
          <wp:simplePos x="0" y="0"/>
          <wp:positionH relativeFrom="page">
            <wp:align>left</wp:align>
          </wp:positionH>
          <wp:positionV relativeFrom="paragraph">
            <wp:posOffset>4560762</wp:posOffset>
          </wp:positionV>
          <wp:extent cx="7835900" cy="6090920"/>
          <wp:effectExtent l="0" t="0" r="0" b="5080"/>
          <wp:wrapTight wrapText="bothSides">
            <wp:wrapPolygon edited="0">
              <wp:start x="0" y="0"/>
              <wp:lineTo x="0" y="21550"/>
              <wp:lineTo x="21530" y="21550"/>
              <wp:lineTo x="21530" y="0"/>
              <wp:lineTo x="0" y="0"/>
            </wp:wrapPolygon>
          </wp:wrapTight>
          <wp:docPr id="1618207384" name="Picture 1" descr="A diagram of a circle with fourteen icons in total, each one representing one qualit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64118" name="Picture 1" descr="A diagram of a circle with fourteen icons in total, each one representing one quality indicator."/>
                  <pic:cNvPicPr/>
                </pic:nvPicPr>
                <pic:blipFill>
                  <a:blip r:embed="rId1">
                    <a:extLst>
                      <a:ext uri="{28A0092B-C50C-407E-A947-70E740481C1C}">
                        <a14:useLocalDpi xmlns:a14="http://schemas.microsoft.com/office/drawing/2010/main" val="0"/>
                      </a:ext>
                    </a:extLst>
                  </a:blip>
                  <a:stretch>
                    <a:fillRect/>
                  </a:stretch>
                </pic:blipFill>
                <pic:spPr>
                  <a:xfrm>
                    <a:off x="0" y="0"/>
                    <a:ext cx="7835900" cy="6090920"/>
                  </a:xfrm>
                  <a:prstGeom prst="rect">
                    <a:avLst/>
                  </a:prstGeom>
                </pic:spPr>
              </pic:pic>
            </a:graphicData>
          </a:graphic>
          <wp14:sizeRelH relativeFrom="margin">
            <wp14:pctWidth>0</wp14:pctWidth>
          </wp14:sizeRelH>
          <wp14:sizeRelV relativeFrom="margin">
            <wp14:pctHeight>0</wp14:pctHeight>
          </wp14:sizeRelV>
        </wp:anchor>
      </w:drawing>
    </w:r>
    <w:r w:rsidR="003A30D7">
      <w:rPr>
        <w:noProof/>
      </w:rPr>
      <w:pict w14:anchorId="426F3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3" o:spid="_x0000_s1172" type="#_x0000_t136" style="position:absolute;margin-left:0;margin-top:0;width:527pt;height:210.8pt;rotation:315;z-index:-25165822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C207" w14:textId="38393E82" w:rsidR="0052544D" w:rsidRDefault="003A30D7" w:rsidP="00D51A3F">
    <w:pPr>
      <w:pStyle w:val="Header"/>
      <w:tabs>
        <w:tab w:val="clear" w:pos="4513"/>
        <w:tab w:val="clear" w:pos="9026"/>
        <w:tab w:val="left" w:pos="1168"/>
      </w:tabs>
      <w:jc w:val="right"/>
    </w:pPr>
    <w:r>
      <w:rPr>
        <w:noProof/>
      </w:rPr>
      <w:pict w14:anchorId="2E1D6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6" o:spid="_x0000_s1432" type="#_x0000_t136" style="position:absolute;left:0;text-align:left;margin-left:0;margin-top:0;width:527pt;height:210.8pt;rotation:315;z-index:-25165820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11B390C" wp14:editId="016D17E4">
          <wp:extent cx="504000" cy="504000"/>
          <wp:effectExtent l="0" t="0" r="0" b="0"/>
          <wp:docPr id="197394813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E9BC" w14:textId="79871FFC" w:rsidR="00DB28AF" w:rsidRDefault="003A30D7">
    <w:pPr>
      <w:pStyle w:val="Header"/>
    </w:pPr>
    <w:r>
      <w:rPr>
        <w:noProof/>
      </w:rPr>
      <w:pict w14:anchorId="2DD25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4" o:spid="_x0000_s1430" type="#_x0000_t136" style="position:absolute;margin-left:0;margin-top:0;width:527pt;height:210.8pt;rotation:315;z-index:-2516582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756A" w14:textId="46126C40" w:rsidR="00DB28AF" w:rsidRDefault="003A30D7">
    <w:pPr>
      <w:pStyle w:val="Header"/>
    </w:pPr>
    <w:r>
      <w:rPr>
        <w:noProof/>
      </w:rPr>
      <w:pict w14:anchorId="6A407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1" o:spid="_x0000_s1434" type="#_x0000_t136" style="position:absolute;margin-left:0;margin-top:0;width:527pt;height:210.8pt;rotation:315;z-index:-2516582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7B19B36D" wp14:editId="240554DC">
          <wp:extent cx="504000" cy="504000"/>
          <wp:effectExtent l="0" t="0" r="0" b="0"/>
          <wp:docPr id="152853072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06FB" w14:textId="00BBE040" w:rsidR="0052544D" w:rsidRDefault="003A30D7" w:rsidP="00D51A3F">
    <w:pPr>
      <w:pStyle w:val="Header"/>
      <w:jc w:val="right"/>
    </w:pPr>
    <w:r>
      <w:rPr>
        <w:noProof/>
      </w:rPr>
      <w:pict w14:anchorId="1839E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2" o:spid="_x0000_s1435" type="#_x0000_t136" style="position:absolute;left:0;text-align:left;margin-left:0;margin-top:0;width:527pt;height:210.8pt;rotation:315;z-index:-25165820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0971499" wp14:editId="028D1A0D">
          <wp:extent cx="508587" cy="504000"/>
          <wp:effectExtent l="0" t="0" r="6350" b="0"/>
          <wp:docPr id="201120707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1" name="Picture 20919942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8587" cy="504000"/>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B6E2" w14:textId="7C0CC87F" w:rsidR="00DB28AF" w:rsidRDefault="003A30D7">
    <w:pPr>
      <w:pStyle w:val="Header"/>
    </w:pPr>
    <w:r>
      <w:rPr>
        <w:noProof/>
      </w:rPr>
      <w:pict w14:anchorId="18908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0" o:spid="_x0000_s1433" type="#_x0000_t136" style="position:absolute;margin-left:0;margin-top:0;width:527pt;height:210.8pt;rotation:315;z-index:-25165820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0216" w14:textId="6BECFEFE" w:rsidR="0052544D" w:rsidRDefault="003A30D7" w:rsidP="006D4C61">
    <w:pPr>
      <w:pStyle w:val="Header-Evenpage"/>
      <w:jc w:val="right"/>
    </w:pPr>
    <w:r>
      <w:rPr>
        <w:noProof/>
      </w:rPr>
      <w:pict w14:anchorId="1D875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4" o:spid="_x0000_s1437" type="#_x0000_t136" style="position:absolute;left:0;text-align:left;margin-left:0;margin-top:0;width:527pt;height:210.8pt;rotation:315;z-index:-25165820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870B5CA" wp14:editId="6EC2780C">
          <wp:extent cx="504000" cy="504000"/>
          <wp:effectExtent l="0" t="0" r="0" b="0"/>
          <wp:docPr id="693622636"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3B13" w14:textId="32D02389" w:rsidR="0052544D" w:rsidRDefault="003A30D7" w:rsidP="00D51A3F">
    <w:pPr>
      <w:pStyle w:val="Header"/>
      <w:jc w:val="right"/>
    </w:pPr>
    <w:r>
      <w:rPr>
        <w:noProof/>
      </w:rPr>
      <w:pict w14:anchorId="2D125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5" o:spid="_x0000_s1438" type="#_x0000_t136" style="position:absolute;left:0;text-align:left;margin-left:0;margin-top:0;width:527pt;height:210.8pt;rotation:315;z-index:-2516581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1ECF5CB" wp14:editId="5F130B64">
          <wp:extent cx="504000" cy="504000"/>
          <wp:effectExtent l="0" t="0" r="0" b="0"/>
          <wp:docPr id="1161565158"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13EE4" w14:textId="468E69E0" w:rsidR="00DB28AF" w:rsidRDefault="003A30D7">
    <w:pPr>
      <w:pStyle w:val="Header"/>
    </w:pPr>
    <w:r>
      <w:rPr>
        <w:noProof/>
      </w:rPr>
      <w:pict w14:anchorId="1A18D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3" o:spid="_x0000_s1436" type="#_x0000_t136" style="position:absolute;margin-left:0;margin-top:0;width:527pt;height:210.8pt;rotation:315;z-index:-25165820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2339" w14:textId="37E3BBB0" w:rsidR="0052544D" w:rsidRDefault="003A30D7" w:rsidP="00726801">
    <w:pPr>
      <w:pStyle w:val="Header"/>
    </w:pPr>
    <w:r>
      <w:rPr>
        <w:noProof/>
      </w:rPr>
      <w:pict w14:anchorId="2922D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6" o:spid="_x0000_s1440" type="#_x0000_t136" style="position:absolute;margin-left:0;margin-top:0;width:527pt;height:210.8pt;rotation:315;z-index:-25165819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6707AB3C" wp14:editId="384A396A">
          <wp:extent cx="504000" cy="504000"/>
          <wp:effectExtent l="0" t="0" r="0" b="0"/>
          <wp:docPr id="874370509"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F8B0" w14:textId="0D1771D3" w:rsidR="00E30E2C" w:rsidRDefault="003A30D7" w:rsidP="00D51A3F">
    <w:pPr>
      <w:pStyle w:val="Header"/>
      <w:jc w:val="right"/>
    </w:pPr>
    <w:r>
      <w:rPr>
        <w:noProof/>
      </w:rPr>
      <w:pict w14:anchorId="64FE5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4" o:spid="_x0000_s1441" type="#_x0000_t136" style="position:absolute;left:0;text-align:left;margin-left:0;margin-top:0;width:527pt;height:210.8pt;rotation:315;z-index:-25165819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4234EBB3">
        <v:shape id="_x0000_s1158" type="#_x0000_t136" style="position:absolute;left:0;text-align:left;margin-left:0;margin-top:0;width:527pt;height:210.8pt;rotation:315;z-index:-251658234;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B4B366E" wp14:editId="4F73E02C">
          <wp:extent cx="504000" cy="504000"/>
          <wp:effectExtent l="0" t="0" r="0" b="0"/>
          <wp:docPr id="1819240976"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A885" w14:textId="5C6FE821" w:rsidR="0052544D" w:rsidRDefault="003A30D7" w:rsidP="000E4818">
    <w:pPr>
      <w:pStyle w:val="Header"/>
    </w:pPr>
    <w:r>
      <w:rPr>
        <w:noProof/>
      </w:rPr>
      <w:pict w14:anchorId="57C93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1" o:spid="_x0000_s1413" type="#_x0000_t136" style="position:absolute;margin-left:0;margin-top:0;width:527pt;height:210.8pt;rotation:315;z-index:-25165822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EAF4" w14:textId="08635DA0" w:rsidR="00DB28AF" w:rsidRDefault="003A30D7">
    <w:pPr>
      <w:pStyle w:val="Header"/>
    </w:pPr>
    <w:r>
      <w:rPr>
        <w:noProof/>
      </w:rPr>
      <w:pict w14:anchorId="60827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2" o:spid="_x0000_s1439" type="#_x0000_t136" style="position:absolute;margin-left:0;margin-top:0;width:527pt;height:210.8pt;rotation:315;z-index:-25165819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C762" w14:textId="3F77AFDC" w:rsidR="0052544D" w:rsidRDefault="003A30D7" w:rsidP="00A32DD1">
    <w:pPr>
      <w:pStyle w:val="Header"/>
    </w:pPr>
    <w:r>
      <w:rPr>
        <w:noProof/>
      </w:rPr>
      <w:pict w14:anchorId="7B993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7" o:spid="_x0000_s1443" type="#_x0000_t136" style="position:absolute;margin-left:0;margin-top:0;width:527pt;height:210.8pt;rotation:315;z-index:-25165819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54" behindDoc="0" locked="0" layoutInCell="1" allowOverlap="1" wp14:anchorId="789FB62B" wp14:editId="3F514EB1">
          <wp:simplePos x="0" y="0"/>
          <wp:positionH relativeFrom="column">
            <wp:posOffset>5421486</wp:posOffset>
          </wp:positionH>
          <wp:positionV relativeFrom="paragraph">
            <wp:posOffset>-50105</wp:posOffset>
          </wp:positionV>
          <wp:extent cx="503555" cy="503555"/>
          <wp:effectExtent l="0" t="0" r="0" b="0"/>
          <wp:wrapNone/>
          <wp:docPr id="1223320134"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F1C4" w14:textId="157D3867" w:rsidR="00DB28AF" w:rsidRDefault="003A30D7">
    <w:pPr>
      <w:pStyle w:val="Header"/>
    </w:pPr>
    <w:r>
      <w:rPr>
        <w:noProof/>
      </w:rPr>
      <w:pict w14:anchorId="66ACF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5" o:spid="_x0000_s1442" type="#_x0000_t136" style="position:absolute;margin-left:0;margin-top:0;width:527pt;height:210.8pt;rotation:315;z-index:-2516581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507A" w14:textId="021FA6E9" w:rsidR="0052544D" w:rsidRDefault="003A30D7" w:rsidP="00726801">
    <w:pPr>
      <w:pStyle w:val="Header"/>
    </w:pPr>
    <w:r>
      <w:rPr>
        <w:noProof/>
      </w:rPr>
      <w:pict w14:anchorId="55BE5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8" o:spid="_x0000_s1445" type="#_x0000_t136" style="position:absolute;margin-left:0;margin-top:0;width:527pt;height:210.8pt;rotation:315;z-index:-25165819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32D07D7" wp14:editId="4ADFDECF">
          <wp:extent cx="504880" cy="504000"/>
          <wp:effectExtent l="0" t="0" r="0" b="0"/>
          <wp:docPr id="288400688"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0714" w14:textId="306154E0" w:rsidR="0052544D" w:rsidRDefault="003A30D7" w:rsidP="00D51A3F">
    <w:pPr>
      <w:pStyle w:val="Header"/>
      <w:jc w:val="right"/>
    </w:pPr>
    <w:r>
      <w:rPr>
        <w:noProof/>
      </w:rPr>
      <w:pict w14:anchorId="2E05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9" o:spid="_x0000_s1446" type="#_x0000_t136" style="position:absolute;left:0;text-align:left;margin-left:0;margin-top:0;width:527pt;height:210.8pt;rotation:315;z-index:-2516581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C020CA5" wp14:editId="6E72350D">
          <wp:extent cx="504880" cy="504000"/>
          <wp:effectExtent l="0" t="0" r="0" b="0"/>
          <wp:docPr id="54348338"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35EC" w14:textId="6CE6D574" w:rsidR="0052544D" w:rsidRDefault="003A30D7" w:rsidP="000E4818">
    <w:pPr>
      <w:pStyle w:val="Header"/>
    </w:pPr>
    <w:r>
      <w:rPr>
        <w:noProof/>
      </w:rPr>
      <w:pict w14:anchorId="39938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7" o:spid="_x0000_s1444" type="#_x0000_t136" style="position:absolute;margin-left:0;margin-top:0;width:527pt;height:210.8pt;rotation:315;z-index:-25165819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221C" w14:textId="0D1A52F0" w:rsidR="0052544D" w:rsidRDefault="003A30D7" w:rsidP="00726801">
    <w:pPr>
      <w:pStyle w:val="Header"/>
    </w:pPr>
    <w:r>
      <w:rPr>
        <w:noProof/>
      </w:rPr>
      <w:pict w14:anchorId="2CCE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1" o:spid="_x0000_s1448" type="#_x0000_t136" style="position:absolute;margin-left:0;margin-top:0;width:527pt;height:210.8pt;rotation:315;z-index:-25165818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261A" w14:textId="6686AA73" w:rsidR="0052544D" w:rsidRDefault="003A30D7" w:rsidP="00D51A3F">
    <w:pPr>
      <w:pStyle w:val="Header"/>
      <w:jc w:val="right"/>
    </w:pPr>
    <w:r>
      <w:rPr>
        <w:noProof/>
      </w:rPr>
      <w:pict w14:anchorId="681AC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2" o:spid="_x0000_s1449" type="#_x0000_t136" style="position:absolute;left:0;text-align:left;margin-left:0;margin-top:0;width:527pt;height:210.8pt;rotation:315;z-index:-25165818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CC9ACCF" wp14:editId="5FF76AC6">
          <wp:extent cx="504000" cy="504000"/>
          <wp:effectExtent l="0" t="0" r="0" b="0"/>
          <wp:docPr id="1120754805"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2334" w14:textId="24A664A0" w:rsidR="00DB28AF" w:rsidRDefault="003A30D7">
    <w:pPr>
      <w:pStyle w:val="Header"/>
    </w:pPr>
    <w:r>
      <w:rPr>
        <w:noProof/>
      </w:rPr>
      <w:pict w14:anchorId="533B4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0" o:spid="_x0000_s1447" type="#_x0000_t136" style="position:absolute;margin-left:0;margin-top:0;width:527pt;height:210.8pt;rotation:315;z-index:-25165819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3129" w14:textId="39A2561B" w:rsidR="0052544D" w:rsidRDefault="003A30D7" w:rsidP="00726801">
    <w:pPr>
      <w:pStyle w:val="Header"/>
    </w:pPr>
    <w:r>
      <w:rPr>
        <w:noProof/>
      </w:rPr>
      <w:pict w14:anchorId="00398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7" o:spid="_x0000_s1451" type="#_x0000_t136" style="position:absolute;margin-left:0;margin-top:0;width:527pt;height:210.8pt;rotation:315;z-index:-25165818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3BB98CE" wp14:editId="0F0915C6">
          <wp:extent cx="504000" cy="504000"/>
          <wp:effectExtent l="0" t="0" r="0" b="0"/>
          <wp:docPr id="80590381"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C4DC" w14:textId="4A00A869" w:rsidR="0052544D" w:rsidRDefault="003A30D7" w:rsidP="00E33DB6">
    <w:pPr>
      <w:pStyle w:val="Header"/>
    </w:pPr>
    <w:r>
      <w:rPr>
        <w:noProof/>
      </w:rPr>
      <w:pict w14:anchorId="7E277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5" o:spid="_x0000_s1416" type="#_x0000_t136" style="position:absolute;margin-left:0;margin-top:0;width:527pt;height:210.8pt;rotation:315;z-index:-25165822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B7CB" w14:textId="1EDF6920" w:rsidR="0052544D" w:rsidRDefault="003A30D7" w:rsidP="00D51A3F">
    <w:pPr>
      <w:pStyle w:val="Header"/>
      <w:jc w:val="right"/>
    </w:pPr>
    <w:r>
      <w:rPr>
        <w:noProof/>
      </w:rPr>
      <w:pict w14:anchorId="39E84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8" o:spid="_x0000_s1452" type="#_x0000_t136" style="position:absolute;left:0;text-align:left;margin-left:0;margin-top:0;width:527pt;height:210.8pt;rotation:315;z-index:-25165818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FFA0AA4" wp14:editId="76771B41">
          <wp:extent cx="504000" cy="504000"/>
          <wp:effectExtent l="0" t="0" r="0" b="0"/>
          <wp:docPr id="149355161"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6A9F" w14:textId="5CD4CC85" w:rsidR="00DB28AF" w:rsidRDefault="003A30D7">
    <w:pPr>
      <w:pStyle w:val="Header"/>
    </w:pPr>
    <w:r>
      <w:rPr>
        <w:noProof/>
      </w:rPr>
      <w:pict w14:anchorId="2115C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6" o:spid="_x0000_s1450" type="#_x0000_t136" style="position:absolute;margin-left:0;margin-top:0;width:527pt;height:210.8pt;rotation:315;z-index:-2516581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9E68" w14:textId="0F502AB4" w:rsidR="00DB28AF" w:rsidRDefault="003A30D7">
    <w:pPr>
      <w:pStyle w:val="Header"/>
    </w:pPr>
    <w:r>
      <w:rPr>
        <w:noProof/>
      </w:rPr>
      <w:pict w14:anchorId="129C4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6" o:spid="_x0000_s1454" type="#_x0000_t136" style="position:absolute;margin-left:0;margin-top:0;width:527pt;height:210.8pt;rotation:315;z-index:-2516581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5E40670F" wp14:editId="67BEA448">
          <wp:extent cx="504000" cy="504000"/>
          <wp:effectExtent l="0" t="0" r="0" b="0"/>
          <wp:docPr id="2090704192"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5E1F" w14:textId="26809300" w:rsidR="0052544D" w:rsidRPr="00FC0AEA" w:rsidRDefault="003A30D7" w:rsidP="00D51A3F">
    <w:pPr>
      <w:pStyle w:val="Header"/>
      <w:jc w:val="right"/>
    </w:pPr>
    <w:r>
      <w:rPr>
        <w:noProof/>
      </w:rPr>
      <w:pict w14:anchorId="7CDC3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7" o:spid="_x0000_s1455" type="#_x0000_t136" style="position:absolute;left:0;text-align:left;margin-left:0;margin-top:0;width:527pt;height:210.8pt;rotation:315;z-index:-25165818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25D791C" wp14:editId="66FC019C">
          <wp:extent cx="504000" cy="504000"/>
          <wp:effectExtent l="0" t="0" r="0" b="0"/>
          <wp:docPr id="1856805286"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A4D7" w14:textId="0BE713E0" w:rsidR="00DB28AF" w:rsidRDefault="003A30D7">
    <w:pPr>
      <w:pStyle w:val="Header"/>
    </w:pPr>
    <w:r>
      <w:rPr>
        <w:noProof/>
      </w:rPr>
      <w:pict w14:anchorId="74376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5" o:spid="_x0000_s1453" type="#_x0000_t136" style="position:absolute;margin-left:0;margin-top:0;width:527pt;height:210.8pt;rotation:315;z-index:-25165818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12F9" w14:textId="4E56425D" w:rsidR="0052544D" w:rsidRDefault="003A30D7" w:rsidP="00E94E42">
    <w:pPr>
      <w:pStyle w:val="Header-Evenpage"/>
    </w:pPr>
    <w:r>
      <w:rPr>
        <w:noProof/>
      </w:rPr>
      <w:pict w14:anchorId="5D638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8" o:spid="_x0000_s1457" type="#_x0000_t136" style="position:absolute;margin-left:0;margin-top:0;width:527pt;height:210.8pt;rotation:315;z-index:-25165818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0" behindDoc="0" locked="0" layoutInCell="1" allowOverlap="1" wp14:anchorId="6CD6A0BA" wp14:editId="5CB88571">
          <wp:simplePos x="0" y="0"/>
          <wp:positionH relativeFrom="column">
            <wp:posOffset>5362354</wp:posOffset>
          </wp:positionH>
          <wp:positionV relativeFrom="paragraph">
            <wp:posOffset>-1905</wp:posOffset>
          </wp:positionV>
          <wp:extent cx="504000" cy="504000"/>
          <wp:effectExtent l="0" t="0" r="0" b="0"/>
          <wp:wrapNone/>
          <wp:docPr id="1054799599"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4BA" w14:textId="5F898936" w:rsidR="0052544D" w:rsidRPr="003B43A1" w:rsidRDefault="003A30D7" w:rsidP="00D51A3F">
    <w:pPr>
      <w:pStyle w:val="Header"/>
      <w:jc w:val="right"/>
    </w:pPr>
    <w:r>
      <w:rPr>
        <w:noProof/>
      </w:rPr>
      <w:pict w14:anchorId="6E376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9" o:spid="_x0000_s1458" type="#_x0000_t136" style="position:absolute;left:0;text-align:left;margin-left:0;margin-top:0;width:527pt;height:210.8pt;rotation:315;z-index:-2516581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42DABC4" wp14:editId="332F6610">
          <wp:extent cx="504000" cy="504000"/>
          <wp:effectExtent l="0" t="0" r="0" b="0"/>
          <wp:docPr id="108072255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37C5" w14:textId="306F0AC6" w:rsidR="0052544D" w:rsidRDefault="003A30D7" w:rsidP="00A32DD1">
    <w:pPr>
      <w:pStyle w:val="Header"/>
    </w:pPr>
    <w:r>
      <w:rPr>
        <w:noProof/>
      </w:rPr>
      <w:pict w14:anchorId="1B8AA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7" o:spid="_x0000_s1456" type="#_x0000_t136" style="position:absolute;margin-left:0;margin-top:0;width:527pt;height:210.8pt;rotation:315;z-index:-25165818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45B5B" w14:textId="76533421" w:rsidR="0052544D" w:rsidRPr="0086629D" w:rsidRDefault="003A30D7" w:rsidP="0086629D">
    <w:pPr>
      <w:pStyle w:val="Header-Evenpage"/>
    </w:pPr>
    <w:r>
      <w:rPr>
        <w:noProof/>
      </w:rPr>
      <w:pict w14:anchorId="29CB4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1" o:spid="_x0000_s1460" type="#_x0000_t136" style="position:absolute;margin-left:0;margin-top:0;width:527pt;height:210.8pt;rotation:315;z-index:-25165817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1" behindDoc="0" locked="0" layoutInCell="1" allowOverlap="1" wp14:anchorId="37B199FC" wp14:editId="77D8F1BD">
          <wp:simplePos x="0" y="0"/>
          <wp:positionH relativeFrom="column">
            <wp:posOffset>5465721</wp:posOffset>
          </wp:positionH>
          <wp:positionV relativeFrom="paragraph">
            <wp:posOffset>-41662</wp:posOffset>
          </wp:positionV>
          <wp:extent cx="504000" cy="504000"/>
          <wp:effectExtent l="0" t="0" r="0" b="0"/>
          <wp:wrapNone/>
          <wp:docPr id="1732420378"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EE77" w14:textId="2B80BE34" w:rsidR="00E30E2C" w:rsidRPr="00FC0AEA" w:rsidRDefault="003A30D7" w:rsidP="00D51A3F">
    <w:pPr>
      <w:pStyle w:val="Header"/>
      <w:jc w:val="right"/>
    </w:pPr>
    <w:r>
      <w:rPr>
        <w:noProof/>
      </w:rPr>
      <w:pict w14:anchorId="7982D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2" o:spid="_x0000_s1461" type="#_x0000_t136" style="position:absolute;left:0;text-align:left;margin-left:0;margin-top:0;width:527pt;height:210.8pt;rotation:315;z-index:-25165817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592664DA">
        <v:shape id="_x0000_s1159" type="#_x0000_t136" style="position:absolute;left:0;text-align:left;margin-left:0;margin-top:0;width:527pt;height:210.8pt;rotation:315;z-index:-251658233;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2841AF5" wp14:editId="110AE6AC">
          <wp:extent cx="504000" cy="504000"/>
          <wp:effectExtent l="0" t="0" r="0" b="0"/>
          <wp:docPr id="293489037"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D6EA" w14:textId="75D2EE3E" w:rsidR="0052544D" w:rsidRDefault="003A30D7">
    <w:pPr>
      <w:pStyle w:val="Header"/>
    </w:pPr>
    <w:r>
      <w:rPr>
        <w:noProof/>
      </w:rPr>
      <w:pict w14:anchorId="243DE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6" o:spid="_x0000_s1417" type="#_x0000_t136" style="position:absolute;margin-left:0;margin-top:0;width:527pt;height:210.8pt;rotation:315;z-index:-25165822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C710" w14:textId="5E5C8C4F" w:rsidR="00DB28AF" w:rsidRDefault="003A30D7">
    <w:pPr>
      <w:pStyle w:val="Header"/>
    </w:pPr>
    <w:r>
      <w:rPr>
        <w:noProof/>
      </w:rPr>
      <w:pict w14:anchorId="0F558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0" o:spid="_x0000_s1459" type="#_x0000_t136" style="position:absolute;margin-left:0;margin-top:0;width:527pt;height:210.8pt;rotation:315;z-index:-25165817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803E" w14:textId="16089624" w:rsidR="00DB28AF" w:rsidRDefault="003A30D7">
    <w:pPr>
      <w:pStyle w:val="Header"/>
    </w:pPr>
    <w:r>
      <w:rPr>
        <w:noProof/>
      </w:rPr>
      <w:pict w14:anchorId="338F2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7" o:spid="_x0000_s1463" type="#_x0000_t136" style="position:absolute;margin-left:0;margin-top:0;width:527pt;height:210.8pt;rotation:315;z-index:-25165817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1901" w14:textId="07903F33" w:rsidR="0052544D" w:rsidRPr="00FC0AEA" w:rsidRDefault="003A30D7" w:rsidP="00D51A3F">
    <w:pPr>
      <w:pStyle w:val="Header"/>
      <w:jc w:val="right"/>
    </w:pPr>
    <w:r>
      <w:rPr>
        <w:noProof/>
      </w:rPr>
      <w:pict w14:anchorId="6D524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8" o:spid="_x0000_s1464" type="#_x0000_t136" style="position:absolute;left:0;text-align:left;margin-left:0;margin-top:0;width:527pt;height:210.8pt;rotation:315;z-index:-25165817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DBF1A5B" wp14:editId="681C834B">
          <wp:extent cx="504000" cy="504000"/>
          <wp:effectExtent l="0" t="0" r="0" b="0"/>
          <wp:docPr id="1472578592"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ADF9" w14:textId="2BC38834" w:rsidR="00DB28AF" w:rsidRDefault="003A30D7">
    <w:pPr>
      <w:pStyle w:val="Header"/>
    </w:pPr>
    <w:r>
      <w:rPr>
        <w:noProof/>
      </w:rPr>
      <w:pict w14:anchorId="74383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6" o:spid="_x0000_s1462" type="#_x0000_t136" style="position:absolute;margin-left:0;margin-top:0;width:527pt;height:210.8pt;rotation:315;z-index:-2516581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FB60" w14:textId="0B39D4D9" w:rsidR="00DB28AF" w:rsidRDefault="003A30D7">
    <w:pPr>
      <w:pStyle w:val="Header"/>
    </w:pPr>
    <w:r>
      <w:rPr>
        <w:noProof/>
      </w:rPr>
      <w:pict w14:anchorId="09473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0" o:spid="_x0000_s1466" type="#_x0000_t136" style="position:absolute;margin-left:0;margin-top:0;width:527pt;height:210.8pt;rotation:315;z-index:-2516581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6A9F49C3" wp14:editId="7BDDAE27">
          <wp:extent cx="504000" cy="504000"/>
          <wp:effectExtent l="0" t="0" r="0" b="0"/>
          <wp:docPr id="875319147"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EEEC" w14:textId="594B2C21" w:rsidR="0052544D" w:rsidRDefault="003A30D7" w:rsidP="00D51A3F">
    <w:pPr>
      <w:pStyle w:val="Header"/>
      <w:jc w:val="right"/>
    </w:pPr>
    <w:r>
      <w:rPr>
        <w:noProof/>
      </w:rPr>
      <w:pict w14:anchorId="6087E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1" o:spid="_x0000_s1467" type="#_x0000_t136" style="position:absolute;left:0;text-align:left;margin-left:0;margin-top:0;width:527pt;height:210.8pt;rotation:315;z-index:-25165817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49FB7AD" wp14:editId="6AB21609">
          <wp:extent cx="504000" cy="504000"/>
          <wp:effectExtent l="0" t="0" r="0" b="0"/>
          <wp:docPr id="1741990399"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EBC8" w14:textId="4FABB5E1" w:rsidR="00DB28AF" w:rsidRDefault="003A30D7">
    <w:pPr>
      <w:pStyle w:val="Header"/>
    </w:pPr>
    <w:r>
      <w:rPr>
        <w:noProof/>
      </w:rPr>
      <w:pict w14:anchorId="6E586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9" o:spid="_x0000_s1465" type="#_x0000_t136" style="position:absolute;margin-left:0;margin-top:0;width:527pt;height:210.8pt;rotation:315;z-index:-25165817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263C" w14:textId="6821E923" w:rsidR="0052544D" w:rsidRDefault="003A30D7" w:rsidP="0042016F">
    <w:pPr>
      <w:pStyle w:val="Header-Evenpage"/>
    </w:pPr>
    <w:r>
      <w:rPr>
        <w:noProof/>
      </w:rPr>
      <w:pict w14:anchorId="27E3C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3" o:spid="_x0000_s1469" type="#_x0000_t136" style="position:absolute;margin-left:0;margin-top:0;width:527pt;height:210.8pt;rotation:315;z-index:-25165816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2" behindDoc="0" locked="0" layoutInCell="1" allowOverlap="1" wp14:anchorId="7D0258A6" wp14:editId="52ACC172">
          <wp:simplePos x="0" y="0"/>
          <wp:positionH relativeFrom="column">
            <wp:posOffset>5513429</wp:posOffset>
          </wp:positionH>
          <wp:positionV relativeFrom="paragraph">
            <wp:posOffset>-2540</wp:posOffset>
          </wp:positionV>
          <wp:extent cx="504000" cy="504000"/>
          <wp:effectExtent l="0" t="0" r="0" b="0"/>
          <wp:wrapNone/>
          <wp:docPr id="1133265570"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88DE6" w14:textId="791C30F8" w:rsidR="00E30E2C" w:rsidRDefault="003A30D7" w:rsidP="00D51A3F">
    <w:pPr>
      <w:pStyle w:val="Header"/>
      <w:jc w:val="right"/>
    </w:pPr>
    <w:r>
      <w:rPr>
        <w:noProof/>
      </w:rPr>
      <w:pict w14:anchorId="01E60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0" o:spid="_x0000_s1470" type="#_x0000_t136" style="position:absolute;left:0;text-align:left;margin-left:0;margin-top:0;width:527pt;height:210.8pt;rotation:315;z-index:-25165816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CF0345">
      <w:rPr>
        <w:noProof/>
      </w:rPr>
      <mc:AlternateContent>
        <mc:Choice Requires="wps">
          <w:drawing>
            <wp:anchor distT="0" distB="0" distL="114300" distR="114300" simplePos="0" relativeHeight="251658248" behindDoc="1" locked="0" layoutInCell="0" allowOverlap="1" wp14:anchorId="6C9093F2" wp14:editId="1E3BD9B8">
              <wp:simplePos x="0" y="0"/>
              <wp:positionH relativeFrom="margin">
                <wp:align>center</wp:align>
              </wp:positionH>
              <wp:positionV relativeFrom="margin">
                <wp:align>center</wp:align>
              </wp:positionV>
              <wp:extent cx="6692900" cy="2677160"/>
              <wp:effectExtent l="0" t="1809750" r="0" b="1466215"/>
              <wp:wrapNone/>
              <wp:docPr id="549276702"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49F1EE" w14:textId="77777777" w:rsidR="00CF0345" w:rsidRDefault="00CF0345" w:rsidP="00CF0345">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9093F2" id="_x0000_t202" coordsize="21600,21600" o:spt="202" path="m,l,21600r21600,l21600,xe">
              <v:stroke joinstyle="miter"/>
              <v:path gradientshapeok="t" o:connecttype="rect"/>
            </v:shapetype>
            <v:shape id="Text Box 8" o:spid="_x0000_s1026" type="#_x0000_t202" style="position:absolute;left:0;text-align:left;margin-left:0;margin-top:0;width:527pt;height:210.8pt;rotation:-45;z-index:-251658232;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s08wEAAMUDAAAOAAAAZHJzL2Uyb0RvYy54bWysU8GO0zAQvSPxD5bvNG0lurtR01XZZbks&#10;sNIW7dm1nSYQe8yM26R/z9jNtghuiBysZGy/ee/Ny/J2cJ04WKQWfCVnk6kU1mswrd9V8tvm4d21&#10;FBSVN6oDbyt5tCRvV2/fLPtQ2jk00BmLgkE8lX2oZBNjKIuCdGOdogkE63mzBnQq8ifuCoOqZ3TX&#10;FfPpdFH0gCYgaEvE1fvTplxl/Lq2On6ta7JRdJVkbjGvmNdtWovVUpU7VKFp9UhD/QMLp1rPTc9Q&#10;9yoqscf2LyjXagSCOk40uALqutU2a2A1s+kfap4bFWzWwuZQONtE/w9Wfzk8hycUcfgAAw8wi6Dw&#10;CPoHCQ93jfI7u0aEvrHKcOOZPJczvc0x8FhzdWOH+NG07PEs+Vr0gcoRP82DSkqdtv1nMHxF7SPk&#10;bkONTiCka9c30/TkMnsjmBEP7XgeFDcQmouLxc2cj0qheW++uLqaLfIoC1UmtDSIgBQ/WXAivVQS&#10;OQkZVh0eKSZ2lyMj1cTuxDMO24GPJMpbMEcm3XNCKkk/9wotG7B3d8CBYtU1gnvhCK4xy37tvBle&#10;FIaxd2TaT91rQjKBHBUjvHLJCfOdgVzHwTuoTrzPFpwojodHsifUdJfCmu17aLOSC89RCWclCxxz&#10;ncL4+3c+dfn7Vr8AAAD//wMAUEsDBBQABgAIAAAAIQA2pYO/2gAAAAYBAAAPAAAAZHJzL2Rvd25y&#10;ZXYueG1sTI/BbsIwEETvlfoP1lbqrTigBKoQByEgRw4EPmCJt0lEvA6xgfTva3ppLyONZjXzNluN&#10;phN3GlxrWcF0EoEgrqxuuVZwOhYfnyCcR9bYWSYF3+Rglb++ZJhq++AD3Utfi1DCLkUFjfd9KqWr&#10;GjLoJrYnDtmXHQz6YIda6gEfodx0chZFc2mw5bDQYE+bhqpLeTMKtju9L8pt7HbJpkiSxd7Uh6tR&#10;6v1tXC9BeBr93zE88QM65IHpbG+snegUhEf8rz6zKImDPyuIZ9M5yDyT//HzHwAAAP//AwBQSwEC&#10;LQAUAAYACAAAACEAtoM4kv4AAADhAQAAEwAAAAAAAAAAAAAAAAAAAAAAW0NvbnRlbnRfVHlwZXNd&#10;LnhtbFBLAQItABQABgAIAAAAIQA4/SH/1gAAAJQBAAALAAAAAAAAAAAAAAAAAC8BAABfcmVscy8u&#10;cmVsc1BLAQItABQABgAIAAAAIQDAo8s08wEAAMUDAAAOAAAAAAAAAAAAAAAAAC4CAABkcnMvZTJv&#10;RG9jLnhtbFBLAQItABQABgAIAAAAIQA2pYO/2gAAAAYBAAAPAAAAAAAAAAAAAAAAAE0EAABkcnMv&#10;ZG93bnJldi54bWxQSwUGAAAAAAQABADzAAAAVAUAAAAA&#10;" o:allowincell="f" filled="f" stroked="f">
              <v:stroke joinstyle="round"/>
              <o:lock v:ext="edit" shapetype="t"/>
              <v:textbox style="mso-fit-shape-to-text:t">
                <w:txbxContent>
                  <w:p w14:paraId="6749F1EE" w14:textId="77777777" w:rsidR="00CF0345" w:rsidRDefault="00CF0345" w:rsidP="00CF0345">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30E2C" w:rsidRPr="00FC0AEA">
      <w:rPr>
        <w:noProof/>
        <w:lang w:eastAsia="en-AU"/>
      </w:rPr>
      <w:drawing>
        <wp:inline distT="0" distB="0" distL="0" distR="0" wp14:anchorId="6EB86214" wp14:editId="32979BF1">
          <wp:extent cx="504000" cy="504000"/>
          <wp:effectExtent l="0" t="0" r="0" b="0"/>
          <wp:docPr id="164610330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3F8C" w14:textId="7BAB6288" w:rsidR="00DB28AF" w:rsidRDefault="003A30D7">
    <w:pPr>
      <w:pStyle w:val="Header"/>
    </w:pPr>
    <w:r>
      <w:rPr>
        <w:noProof/>
      </w:rPr>
      <w:pict w14:anchorId="5B483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2" o:spid="_x0000_s1468" type="#_x0000_t136" style="position:absolute;margin-left:0;margin-top:0;width:527pt;height:210.8pt;rotation:315;z-index:-25165816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ED1C" w14:textId="49861446" w:rsidR="00DB28AF" w:rsidRDefault="003A30D7">
    <w:pPr>
      <w:pStyle w:val="Header"/>
    </w:pPr>
    <w:r>
      <w:rPr>
        <w:noProof/>
      </w:rPr>
      <w:pict w14:anchorId="32282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4" o:spid="_x0000_s1415" type="#_x0000_t136" style="position:absolute;margin-left:0;margin-top:0;width:527pt;height:210.8pt;rotation:315;z-index:-25165822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84D" w14:textId="0091B2BF" w:rsidR="0052544D" w:rsidRDefault="003A30D7">
    <w:pPr>
      <w:pStyle w:val="Header"/>
    </w:pPr>
    <w:r>
      <w:rPr>
        <w:noProof/>
      </w:rPr>
      <w:pict w14:anchorId="22D92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5" o:spid="_x0000_s1472" type="#_x0000_t136" style="position:absolute;margin-left:0;margin-top:0;width:527pt;height:210.8pt;rotation:315;z-index:-25165816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0A7D69AC" wp14:editId="084BA0E9">
          <wp:extent cx="506095" cy="506095"/>
          <wp:effectExtent l="0" t="0" r="8255" b="8255"/>
          <wp:docPr id="2134699082"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521A" w14:textId="2985A35B" w:rsidR="0052544D" w:rsidRDefault="003A30D7" w:rsidP="00A32DD1">
    <w:pPr>
      <w:pStyle w:val="Header"/>
    </w:pPr>
    <w:r>
      <w:rPr>
        <w:noProof/>
      </w:rPr>
      <w:pict w14:anchorId="27956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4" o:spid="_x0000_s1471" type="#_x0000_t136" style="position:absolute;margin-left:0;margin-top:0;width:527pt;height:210.8pt;rotation:315;z-index:-25165816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3" behindDoc="0" locked="0" layoutInCell="1" allowOverlap="1" wp14:anchorId="730F509A" wp14:editId="5FFAB434">
          <wp:simplePos x="0" y="0"/>
          <wp:positionH relativeFrom="column">
            <wp:posOffset>-76338</wp:posOffset>
          </wp:positionH>
          <wp:positionV relativeFrom="paragraph">
            <wp:posOffset>-2540</wp:posOffset>
          </wp:positionV>
          <wp:extent cx="504000" cy="504000"/>
          <wp:effectExtent l="0" t="0" r="0" b="0"/>
          <wp:wrapNone/>
          <wp:docPr id="364330118"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B180" w14:textId="02CFF017" w:rsidR="00667D98" w:rsidRDefault="003A30D7" w:rsidP="00D51A3F">
    <w:pPr>
      <w:pStyle w:val="Header"/>
      <w:jc w:val="right"/>
    </w:pPr>
    <w:r>
      <w:rPr>
        <w:noProof/>
      </w:rPr>
      <w:pict w14:anchorId="4D20E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2" o:spid="_x0000_s1473" type="#_x0000_t136" style="position:absolute;left:0;text-align:left;margin-left:0;margin-top:0;width:527pt;height:210.8pt;rotation:315;z-index:-25165816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66744B2C">
        <v:shape id="_x0000_s1165" type="#_x0000_t136" style="position:absolute;left:0;text-align:left;margin-left:0;margin-top:0;width:527pt;height:210.8pt;rotation:315;z-index:-251658231;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67D98">
      <w:rPr>
        <w:noProof/>
      </w:rPr>
      <w:drawing>
        <wp:inline distT="0" distB="0" distL="0" distR="0" wp14:anchorId="15CA3F2A" wp14:editId="78DCAAD9">
          <wp:extent cx="506095" cy="506095"/>
          <wp:effectExtent l="0" t="0" r="8255" b="8255"/>
          <wp:docPr id="527379721"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E30B" w14:textId="46BB141B" w:rsidR="0052544D" w:rsidRPr="000E38E1" w:rsidRDefault="003A30D7" w:rsidP="006D4C61">
    <w:pPr>
      <w:pStyle w:val="Header-Evenpage"/>
      <w:jc w:val="right"/>
    </w:pPr>
    <w:r>
      <w:rPr>
        <w:noProof/>
      </w:rPr>
      <w:pict w14:anchorId="08873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1" o:spid="_x0000_s1475" type="#_x0000_t136" style="position:absolute;left:0;text-align:left;margin-left:0;margin-top:0;width:527pt;height:210.8pt;rotation:315;z-index:-25165816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3A1E973" wp14:editId="2585D584">
          <wp:extent cx="506095" cy="506095"/>
          <wp:effectExtent l="0" t="0" r="8255" b="8255"/>
          <wp:docPr id="313850926"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7369" w14:textId="6E914D4F" w:rsidR="00DB28AF" w:rsidRDefault="003A30D7">
    <w:pPr>
      <w:pStyle w:val="Header"/>
    </w:pPr>
    <w:r>
      <w:rPr>
        <w:noProof/>
      </w:rPr>
      <w:pict w14:anchorId="213AF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0" o:spid="_x0000_s1474" type="#_x0000_t136" style="position:absolute;margin-left:0;margin-top:0;width:527pt;height:210.8pt;rotation:315;z-index:-25165816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4ED6" w14:textId="1C8EFB71" w:rsidR="00DB28AF" w:rsidRDefault="003A30D7">
    <w:pPr>
      <w:pStyle w:val="Header"/>
    </w:pPr>
    <w:r>
      <w:rPr>
        <w:noProof/>
      </w:rPr>
      <w:pict w14:anchorId="30CBF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7" o:spid="_x0000_s1477" type="#_x0000_t136" style="position:absolute;margin-left:0;margin-top:0;width:527pt;height:210.8pt;rotation:315;z-index:-25165816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68EE494" wp14:editId="52E3D0BD">
          <wp:extent cx="506095" cy="506095"/>
          <wp:effectExtent l="0" t="0" r="8255" b="8255"/>
          <wp:docPr id="798130786"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55D03" w14:textId="54CE01E7" w:rsidR="0052544D" w:rsidRDefault="003A30D7" w:rsidP="00D51A3F">
    <w:pPr>
      <w:pStyle w:val="Header"/>
      <w:jc w:val="right"/>
    </w:pPr>
    <w:r>
      <w:rPr>
        <w:noProof/>
      </w:rPr>
      <w:pict w14:anchorId="2D955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8" o:spid="_x0000_s1478" type="#_x0000_t136" style="position:absolute;left:0;text-align:left;margin-left:0;margin-top:0;width:527pt;height:210.8pt;rotation:315;z-index:-2516581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4B11DF">
      <w:rPr>
        <w:noProof/>
      </w:rPr>
      <w:drawing>
        <wp:inline distT="0" distB="0" distL="0" distR="0" wp14:anchorId="51022578" wp14:editId="5A644E73">
          <wp:extent cx="506095" cy="506095"/>
          <wp:effectExtent l="0" t="0" r="8255" b="8255"/>
          <wp:docPr id="1540523309"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21F5" w14:textId="514F7AEF" w:rsidR="00DB28AF" w:rsidRDefault="003A30D7">
    <w:pPr>
      <w:pStyle w:val="Header"/>
    </w:pPr>
    <w:r>
      <w:rPr>
        <w:noProof/>
      </w:rPr>
      <w:pict w14:anchorId="42D3C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6" o:spid="_x0000_s1476" type="#_x0000_t136" style="position:absolute;margin-left:0;margin-top:0;width:527pt;height:210.8pt;rotation:315;z-index:-25165816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C8A0" w14:textId="530C8936" w:rsidR="0052544D" w:rsidRDefault="003A30D7" w:rsidP="006D4C61">
    <w:pPr>
      <w:pStyle w:val="Header-Evenpage"/>
      <w:jc w:val="right"/>
    </w:pPr>
    <w:r>
      <w:rPr>
        <w:noProof/>
      </w:rPr>
      <w:pict w14:anchorId="1B422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3" o:spid="_x0000_s1480" type="#_x0000_t136" style="position:absolute;left:0;text-align:left;margin-left:0;margin-top:0;width:527pt;height:210.8pt;rotation:315;z-index:-25165815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9CA80DF" wp14:editId="28BEBB43">
          <wp:extent cx="506095" cy="506095"/>
          <wp:effectExtent l="0" t="0" r="8255" b="8255"/>
          <wp:docPr id="1225120905"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40F5" w14:textId="0A96C5E3" w:rsidR="00DB28AF" w:rsidRDefault="003A30D7">
    <w:pPr>
      <w:pStyle w:val="Header"/>
    </w:pPr>
    <w:r>
      <w:rPr>
        <w:noProof/>
      </w:rPr>
      <w:pict w14:anchorId="53735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1" o:spid="_x0000_s1481" type="#_x0000_t136" style="position:absolute;margin-left:0;margin-top:0;width:527pt;height:210.8pt;rotation:315;z-index:-25165815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DB76E" w14:textId="5D65DD8E" w:rsidR="00DB28AF" w:rsidRDefault="003A30D7">
    <w:pPr>
      <w:pStyle w:val="Header"/>
    </w:pPr>
    <w:r>
      <w:rPr>
        <w:noProof/>
      </w:rPr>
      <w:pict w14:anchorId="4C9DD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4" o:spid="_x0000_s1419" type="#_x0000_t136" style="position:absolute;margin-left:0;margin-top:0;width:527pt;height:210.8pt;rotation:315;z-index:-25165821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6075" w14:textId="68F8502B" w:rsidR="00DB28AF" w:rsidRDefault="003A30D7">
    <w:pPr>
      <w:pStyle w:val="Header"/>
    </w:pPr>
    <w:r>
      <w:rPr>
        <w:noProof/>
      </w:rPr>
      <w:pict w14:anchorId="7DE58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9" o:spid="_x0000_s1479" type="#_x0000_t136" style="position:absolute;margin-left:0;margin-top:0;width:527pt;height:210.8pt;rotation:315;z-index:-25165815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72D1" w14:textId="4DF0734D" w:rsidR="0052544D" w:rsidRDefault="003A30D7" w:rsidP="00D51A3F">
    <w:pPr>
      <w:pStyle w:val="Header"/>
      <w:jc w:val="right"/>
    </w:pPr>
    <w:r>
      <w:rPr>
        <w:noProof/>
      </w:rPr>
      <w:pict w14:anchorId="779C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4" o:spid="_x0000_s1483" type="#_x0000_t136" style="position:absolute;left:0;text-align:left;margin-left:0;margin-top:0;width:527pt;height:210.8pt;rotation:315;z-index:-25165815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F9FDA00" wp14:editId="727AFC40">
          <wp:extent cx="506095" cy="506095"/>
          <wp:effectExtent l="0" t="0" r="8255" b="8255"/>
          <wp:docPr id="1670622177"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E8BF" w14:textId="296FB2CA" w:rsidR="0052544D" w:rsidRDefault="003A30D7">
    <w:pPr>
      <w:pStyle w:val="Header"/>
    </w:pPr>
    <w:r>
      <w:rPr>
        <w:noProof/>
      </w:rPr>
      <w:pict w14:anchorId="78DF4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2" o:spid="_x0000_s1482" type="#_x0000_t136" style="position:absolute;margin-left:0;margin-top:0;width:527pt;height:210.8pt;rotation:315;z-index:-2516581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25D3" w14:textId="611CCBA6" w:rsidR="0052544D" w:rsidRPr="000E38E1" w:rsidRDefault="003A30D7" w:rsidP="00823F3B">
    <w:pPr>
      <w:pStyle w:val="Header-Evenpage"/>
      <w:jc w:val="right"/>
    </w:pPr>
    <w:r>
      <w:rPr>
        <w:noProof/>
      </w:rPr>
      <w:pict w14:anchorId="74D9C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2" o:spid="_x0000_s1485" type="#_x0000_t136" style="position:absolute;left:0;text-align:left;margin-left:0;margin-top:0;width:527pt;height:210.8pt;rotation:315;z-index:-25165815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B6A7DEF" wp14:editId="51E384DB">
          <wp:extent cx="503555" cy="503555"/>
          <wp:effectExtent l="0" t="0" r="0" b="0"/>
          <wp:docPr id="81272522" name="Picture 206"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AE30" w14:textId="63D4A300" w:rsidR="0052544D" w:rsidRDefault="003A30D7" w:rsidP="00D51A3F">
    <w:pPr>
      <w:pStyle w:val="Header"/>
      <w:jc w:val="right"/>
    </w:pPr>
    <w:r>
      <w:rPr>
        <w:noProof/>
      </w:rPr>
      <w:pict w14:anchorId="093F7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3" o:spid="_x0000_s1486" type="#_x0000_t136" style="position:absolute;left:0;text-align:left;margin-left:0;margin-top:0;width:527pt;height:210.8pt;rotation:315;z-index:-2516581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34D6F05F" wp14:editId="644343A9">
          <wp:extent cx="504000" cy="504000"/>
          <wp:effectExtent l="0" t="0" r="0" b="0"/>
          <wp:docPr id="420551519"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EC27" w14:textId="47D66967" w:rsidR="0052544D" w:rsidRDefault="003A30D7">
    <w:pPr>
      <w:pStyle w:val="Header"/>
    </w:pPr>
    <w:r>
      <w:rPr>
        <w:noProof/>
      </w:rPr>
      <w:pict w14:anchorId="23888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1" o:spid="_x0000_s1484" type="#_x0000_t136" style="position:absolute;margin-left:0;margin-top:0;width:527pt;height:210.8pt;rotation:315;z-index:-25165815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C0948" w14:textId="2F05C686" w:rsidR="0052544D" w:rsidRDefault="003A30D7" w:rsidP="0042016F">
    <w:pPr>
      <w:pStyle w:val="Header-Evenpage"/>
    </w:pPr>
    <w:r>
      <w:rPr>
        <w:noProof/>
      </w:rPr>
      <w:pict w14:anchorId="1FD7A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5" o:spid="_x0000_s1488" type="#_x0000_t136" style="position:absolute;margin-left:0;margin-top:0;width:527pt;height:210.8pt;rotation:315;z-index:-25165814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E8E1" w14:textId="28934BD8" w:rsidR="00667D98" w:rsidRDefault="003A30D7" w:rsidP="00D51A3F">
    <w:pPr>
      <w:pStyle w:val="Header"/>
      <w:jc w:val="right"/>
    </w:pPr>
    <w:r>
      <w:rPr>
        <w:noProof/>
      </w:rPr>
      <w:pict w14:anchorId="4F2B0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9" o:spid="_x0000_s1489" type="#_x0000_t136" style="position:absolute;left:0;text-align:left;margin-left:0;margin-top:0;width:527pt;height:210.8pt;rotation:315;z-index:-25165814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273DF8">
      <w:rPr>
        <w:noProof/>
      </w:rPr>
      <mc:AlternateContent>
        <mc:Choice Requires="wps">
          <w:drawing>
            <wp:anchor distT="0" distB="0" distL="114300" distR="114300" simplePos="0" relativeHeight="251658250" behindDoc="1" locked="0" layoutInCell="0" allowOverlap="1" wp14:anchorId="41A7E7C9" wp14:editId="7B37D92B">
              <wp:simplePos x="0" y="0"/>
              <wp:positionH relativeFrom="margin">
                <wp:align>center</wp:align>
              </wp:positionH>
              <wp:positionV relativeFrom="margin">
                <wp:align>center</wp:align>
              </wp:positionV>
              <wp:extent cx="6692900" cy="2677160"/>
              <wp:effectExtent l="0" t="1809750" r="0" b="1466215"/>
              <wp:wrapNone/>
              <wp:docPr id="1724144419" name="Text Box 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86C1F" w14:textId="77777777" w:rsidR="00273DF8" w:rsidRDefault="00273DF8" w:rsidP="00273DF8">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A7E7C9" id="_x0000_t202" coordsize="21600,21600" o:spt="202" path="m,l,21600r21600,l21600,xe">
              <v:stroke joinstyle="miter"/>
              <v:path gradientshapeok="t" o:connecttype="rect"/>
            </v:shapetype>
            <v:shape id="Text Box 4" o:spid="_x0000_s1027" type="#_x0000_t202" style="position:absolute;left:0;text-align:left;margin-left:0;margin-top:0;width:527pt;height:210.8pt;rotation:-45;z-index:-251658230;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Uc9QEAAMwDAAAOAAAAZHJzL2Uyb0RvYy54bWysU8GO0zAQvSPxD5bvNG0lurtR01XZZbks&#10;sNIW7dm1nSYQe8yM26R/z9jNtghuiBysZGy/ee/Ny/J2cJ04WKQWfCVnk6kU1mswrd9V8tvm4d21&#10;FBSVN6oDbyt5tCRvV2/fLPtQ2jk00BmLgkE8lX2oZBNjKIuCdGOdogkE63mzBnQq8ifuCoOqZ3TX&#10;FfPpdFH0gCYgaEvE1fvTplxl/Lq2On6ta7JRdJVkbjGvmNdtWovVUpU7VKFp9UhD/QMLp1rPTc9Q&#10;9yoqscf2LyjXagSCOk40uALqutU2a2A1s+kfap4bFWzWwuZQONtE/w9Wfzk8hycUcfgAAw8wi6Dw&#10;CPoHCQ93jfI7u0aEvrHKcOOZPJczvc0x8FhzdWOH+NG07PEs+Vr0gcoRP82DSkqdtv1nMHxF7SPk&#10;bkONTiCka9c30/TkMnsjmBEP7XgeFDcQmouLxc2cj0qheW++uLqaLfIoC1UmtDSIgBQ/WXAivVQS&#10;OQkZVh0eKSZ2lyMj1cTuxDMO20G0ZtSRmG/BHJl7z0GpJP3cK7Tsw97dAeeKxdcI7oWTuMas/pXA&#10;ZnhRGEYKkdk/da9ByTxyYozwyiVDzHcGch3n76A68T47cWI6Hh45n1DTXQprdvGhzYIuPEdBHJms&#10;c4x3yuTv3/nU5Sdc/QIAAP//AwBQSwMEFAAGAAgAAAAhADalg7/aAAAABgEAAA8AAABkcnMvZG93&#10;bnJldi54bWxMj8FuwjAQRO+V+g/WVuqtOKAEqhAHISBHDgQ+YIm3SUS8DrGB9O9remkvI41mNfM2&#10;W42mE3caXGtZwXQSgSCurG65VnA6Fh+fIJxH1thZJgXf5GCVv75kmGr74APdS1+LUMIuRQWN930q&#10;pasaMugmticO2ZcdDPpgh1rqAR+h3HRyFkVzabDlsNBgT5uGqkt5Mwq2O70vym3sdsmmSJLF3tSH&#10;q1Hq/W1cL0F4Gv3fMTzxAzrkgelsb6yd6BSER/yvPrMoiYM/K4hn0znIPJP/8fMfAAAA//8DAFBL&#10;AQItABQABgAIAAAAIQC2gziS/gAAAOEBAAATAAAAAAAAAAAAAAAAAAAAAABbQ29udGVudF9UeXBl&#10;c10ueG1sUEsBAi0AFAAGAAgAAAAhADj9If/WAAAAlAEAAAsAAAAAAAAAAAAAAAAALwEAAF9yZWxz&#10;Ly5yZWxzUEsBAi0AFAAGAAgAAAAhAFpwRRz1AQAAzAMAAA4AAAAAAAAAAAAAAAAALgIAAGRycy9l&#10;Mm9Eb2MueG1sUEsBAi0AFAAGAAgAAAAhADalg7/aAAAABgEAAA8AAAAAAAAAAAAAAAAATwQAAGRy&#10;cy9kb3ducmV2LnhtbFBLBQYAAAAABAAEAPMAAABWBQAAAAA=&#10;" o:allowincell="f" filled="f" stroked="f">
              <v:stroke joinstyle="round"/>
              <o:lock v:ext="edit" shapetype="t"/>
              <v:textbox style="mso-fit-shape-to-text:t">
                <w:txbxContent>
                  <w:p w14:paraId="4B486C1F" w14:textId="77777777" w:rsidR="00273DF8" w:rsidRDefault="00273DF8" w:rsidP="00273DF8">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F21BDC">
      <w:rPr>
        <w:noProof/>
      </w:rPr>
      <w:drawing>
        <wp:inline distT="0" distB="0" distL="0" distR="0" wp14:anchorId="36B9D7EE" wp14:editId="129D9749">
          <wp:extent cx="504000" cy="504000"/>
          <wp:effectExtent l="0" t="0" r="0" b="0"/>
          <wp:docPr id="357501326"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DCE1D" w14:textId="10711608" w:rsidR="00DB28AF" w:rsidRDefault="003A30D7">
    <w:pPr>
      <w:pStyle w:val="Header"/>
    </w:pPr>
    <w:r>
      <w:rPr>
        <w:noProof/>
      </w:rPr>
      <w:pict w14:anchorId="7E7CA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4" o:spid="_x0000_s1487" type="#_x0000_t136" style="position:absolute;margin-left:0;margin-top:0;width:527pt;height:210.8pt;rotation:315;z-index:-25165815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34C6" w14:textId="7263D212" w:rsidR="0052544D" w:rsidRDefault="003A30D7">
    <w:pPr>
      <w:pStyle w:val="Header"/>
    </w:pPr>
    <w:r>
      <w:rPr>
        <w:noProof/>
      </w:rPr>
      <w:pict w14:anchorId="34A9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8" o:spid="_x0000_s1491" type="#_x0000_t136" style="position:absolute;margin-left:0;margin-top:0;width:527pt;height:210.8pt;rotation:315;z-index:-25165814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275E8B0" wp14:editId="3F63DDFE">
          <wp:extent cx="503555" cy="503555"/>
          <wp:effectExtent l="0" t="0" r="0" b="0"/>
          <wp:docPr id="200698759" name="Picture 222"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0B46" w14:textId="09260ABC" w:rsidR="0052544D" w:rsidRDefault="003A30D7" w:rsidP="003B43A1">
    <w:pPr>
      <w:pStyle w:val="Header"/>
    </w:pPr>
    <w:r>
      <w:rPr>
        <w:noProof/>
      </w:rPr>
      <w:pict w14:anchorId="7EB88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5" o:spid="_x0000_s1420" type="#_x0000_t136" style="position:absolute;margin-left:0;margin-top:0;width:527pt;height:210.8pt;rotation:315;z-index:-25165821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2824247E" wp14:editId="266AFE9B">
          <wp:extent cx="504000" cy="500453"/>
          <wp:effectExtent l="0" t="0" r="0" b="0"/>
          <wp:docPr id="105835907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170C" w14:textId="025D6115" w:rsidR="0052544D" w:rsidRDefault="003A30D7">
    <w:pPr>
      <w:pStyle w:val="Header"/>
    </w:pPr>
    <w:r>
      <w:rPr>
        <w:noProof/>
      </w:rPr>
      <w:pict w14:anchorId="61332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7" o:spid="_x0000_s1490" type="#_x0000_t136" style="position:absolute;margin-left:0;margin-top:0;width:527pt;height:210.8pt;rotation:315;z-index:-2516581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9618" w14:textId="565FAE22" w:rsidR="0052544D" w:rsidRPr="000E38E1" w:rsidRDefault="003A30D7" w:rsidP="006D4C61">
    <w:pPr>
      <w:pStyle w:val="Header-Evenpage"/>
      <w:jc w:val="right"/>
    </w:pPr>
    <w:r>
      <w:rPr>
        <w:noProof/>
      </w:rPr>
      <w:pict w14:anchorId="59D83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4" o:spid="_x0000_s1493" type="#_x0000_t136" style="position:absolute;left:0;text-align:left;margin-left:0;margin-top:0;width:527pt;height:210.8pt;rotation:315;z-index:-25165814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13ED029" wp14:editId="719AD166">
          <wp:extent cx="504000" cy="504000"/>
          <wp:effectExtent l="0" t="0" r="0" b="0"/>
          <wp:docPr id="1346264205" name="Picture 227"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D9C6" w14:textId="2CA2DA43" w:rsidR="0052544D" w:rsidRDefault="003A30D7" w:rsidP="00D51A3F">
    <w:pPr>
      <w:pStyle w:val="Header"/>
      <w:jc w:val="right"/>
    </w:pPr>
    <w:r>
      <w:rPr>
        <w:noProof/>
      </w:rPr>
      <w:pict w14:anchorId="7124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5" o:spid="_x0000_s1494" type="#_x0000_t136" style="position:absolute;left:0;text-align:left;margin-left:0;margin-top:0;width:527pt;height:210.8pt;rotation:315;z-index:-2516581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0219A30E" wp14:editId="2C9110AD">
          <wp:extent cx="504000" cy="504000"/>
          <wp:effectExtent l="0" t="0" r="0" b="0"/>
          <wp:docPr id="821497062" name="Picture 228"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5E29" w14:textId="0B4DC30C" w:rsidR="00DB28AF" w:rsidRDefault="003A30D7">
    <w:pPr>
      <w:pStyle w:val="Header"/>
    </w:pPr>
    <w:r>
      <w:rPr>
        <w:noProof/>
      </w:rPr>
      <w:pict w14:anchorId="7740C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3" o:spid="_x0000_s1492" type="#_x0000_t136" style="position:absolute;margin-left:0;margin-top:0;width:527pt;height:210.8pt;rotation:315;z-index:-25165814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C4E9" w14:textId="171264E4" w:rsidR="00DB28AF" w:rsidRDefault="003A30D7">
    <w:pPr>
      <w:pStyle w:val="Header"/>
    </w:pPr>
    <w:r>
      <w:rPr>
        <w:noProof/>
      </w:rPr>
      <w:pict w14:anchorId="66990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7" o:spid="_x0000_s1496" type="#_x0000_t136" style="position:absolute;margin-left:0;margin-top:0;width:527pt;height:210.8pt;rotation:315;z-index:-25165814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9C31E1">
      <w:rPr>
        <w:noProof/>
      </w:rPr>
      <w:drawing>
        <wp:inline distT="0" distB="0" distL="0" distR="0" wp14:anchorId="7E14CE8D" wp14:editId="7F4500B6">
          <wp:extent cx="504000" cy="504000"/>
          <wp:effectExtent l="0" t="0" r="0" b="0"/>
          <wp:docPr id="406539203"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1872" w14:textId="2A0EC71C" w:rsidR="0052544D" w:rsidRDefault="003A30D7" w:rsidP="00D51A3F">
    <w:pPr>
      <w:pStyle w:val="Header"/>
      <w:jc w:val="right"/>
    </w:pPr>
    <w:r>
      <w:rPr>
        <w:noProof/>
      </w:rPr>
      <w:pict w14:anchorId="4AFB6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8" o:spid="_x0000_s1497" type="#_x0000_t136" style="position:absolute;left:0;text-align:left;margin-left:0;margin-top:0;width:527pt;height:210.8pt;rotation:315;z-index:-25165814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4BBFFD75" wp14:editId="1F6B5190">
          <wp:extent cx="504000" cy="504000"/>
          <wp:effectExtent l="0" t="0" r="0" b="0"/>
          <wp:docPr id="428943165"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D9AE" w14:textId="3B647187" w:rsidR="00DB28AF" w:rsidRDefault="003A30D7">
    <w:pPr>
      <w:pStyle w:val="Header"/>
    </w:pPr>
    <w:r>
      <w:rPr>
        <w:noProof/>
      </w:rPr>
      <w:pict w14:anchorId="69855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6" o:spid="_x0000_s1495" type="#_x0000_t136" style="position:absolute;margin-left:0;margin-top:0;width:527pt;height:210.8pt;rotation:315;z-index:-25165814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44B0" w14:textId="1969A214" w:rsidR="0052544D" w:rsidRDefault="003A30D7" w:rsidP="006D4C61">
    <w:pPr>
      <w:pStyle w:val="Header-Evenpage"/>
      <w:jc w:val="right"/>
    </w:pPr>
    <w:r>
      <w:rPr>
        <w:noProof/>
      </w:rPr>
      <w:pict w14:anchorId="57D82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3" o:spid="_x0000_s1499" type="#_x0000_t136" style="position:absolute;left:0;text-align:left;margin-left:0;margin-top:0;width:527pt;height:210.8pt;rotation:315;z-index:-25165813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B1E107A" wp14:editId="4B6B0CD5">
          <wp:extent cx="504000" cy="504000"/>
          <wp:effectExtent l="0" t="0" r="0" b="0"/>
          <wp:docPr id="1174703508" name="Picture 231"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3437" w14:textId="1E716317" w:rsidR="00667D98" w:rsidRDefault="003A30D7" w:rsidP="00D51A3F">
    <w:pPr>
      <w:pStyle w:val="Header"/>
      <w:jc w:val="right"/>
    </w:pPr>
    <w:r>
      <w:rPr>
        <w:noProof/>
      </w:rPr>
      <w:pict w14:anchorId="6CE36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4" o:spid="_x0000_s1500" type="#_x0000_t136" style="position:absolute;left:0;text-align:left;margin-left:0;margin-top:0;width:527pt;height:210.8pt;rotation:315;z-index:-25165813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A8314B">
      <w:rPr>
        <w:noProof/>
      </w:rPr>
      <mc:AlternateContent>
        <mc:Choice Requires="wps">
          <w:drawing>
            <wp:anchor distT="0" distB="0" distL="114300" distR="114300" simplePos="0" relativeHeight="251658251" behindDoc="1" locked="0" layoutInCell="0" allowOverlap="1" wp14:anchorId="487C78E1" wp14:editId="61308BD5">
              <wp:simplePos x="0" y="0"/>
              <wp:positionH relativeFrom="margin">
                <wp:align>center</wp:align>
              </wp:positionH>
              <wp:positionV relativeFrom="margin">
                <wp:align>center</wp:align>
              </wp:positionV>
              <wp:extent cx="6692900" cy="2677160"/>
              <wp:effectExtent l="0" t="1809750" r="0" b="1466215"/>
              <wp:wrapNone/>
              <wp:docPr id="2058727079"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304637" w14:textId="77777777" w:rsidR="00A8314B" w:rsidRDefault="00A8314B" w:rsidP="00A8314B">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7C78E1" id="_x0000_t202" coordsize="21600,21600" o:spt="202" path="m,l,21600r21600,l21600,xe">
              <v:stroke joinstyle="miter"/>
              <v:path gradientshapeok="t" o:connecttype="rect"/>
            </v:shapetype>
            <v:shape id="Text Box 3" o:spid="_x0000_s1028" type="#_x0000_t202" style="position:absolute;left:0;text-align:left;margin-left:0;margin-top:0;width:527pt;height:210.8pt;rotation:-45;z-index:-251658229;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b89wEAAMwDAAAOAAAAZHJzL2Uyb0RvYy54bWysU8GO0zAQvSPxD5bvNG0lurtR01XZZbks&#10;sNIW7dm1nSYQe8yM26R/z9jNtghuiBysZGy/ee/Ny/J2cJ04WKQWfCVnk6kU1mswrd9V8tvm4d21&#10;FBSVN6oDbyt5tCRvV2/fLPtQ2jk00BmLgkE8lX2oZBNjKIuCdGOdogkE63mzBnQq8ifuCoOqZ3TX&#10;FfPpdFH0gCYgaEvE1fvTplxl/Lq2On6ta7JRdJVkbjGvmNdtWovVUpU7VKFp9UhD/QMLp1rPTc9Q&#10;9yoqscf2LyjXagSCOk40uALqutU2a2A1s+kfap4bFWzWwuZQONtE/w9Wfzk8hycUcfgAAw8wi6Dw&#10;CPoHCQ93jfI7u0aEvrHKcOOZPJczvc0x8FhzdWOH+NG07PEs+Vr0gcoRP82DSkqdtv1nMHxF7SPk&#10;bkONTiCka9c30/TkMnsjmBEP7XgeFDcQmouLxc2cj0qheW++uLqaLfIoC1UmtDSIgBQ/WXAivVQS&#10;OQkZVh0eKSZ2lyMj1cTuxDMO20G0hqGTjsR8C+bI3HsOSiXp516hZR/27g44Vyy+RnAvnMQ1ZvWv&#10;BDbDi8IwUojM/ql7DUrmkRNjhFcuGWK+M5DrOH8H1Yn32YkT0/HwyPmEmu5SWLOLD20WdOE5CuLI&#10;ZJ1jvFMmf//Opy4/4eoXAAAA//8DAFBLAwQUAAYACAAAACEANqWDv9oAAAAGAQAADwAAAGRycy9k&#10;b3ducmV2LnhtbEyPwW7CMBBE75X6D9ZW6q04oASqEAchIEcOBD5gibdJRLwOsYH072t6aS8jjWY1&#10;8zZbjaYTdxpca1nBdBKBIK6sbrlWcDoWH58gnEfW2FkmBd/kYJW/vmSYavvgA91LX4tQwi5FBY33&#10;fSqlqxoy6Ca2Jw7Zlx0M+mCHWuoBH6HcdHIWRXNpsOWw0GBPm4aqS3kzCrY7vS/Kbex2yaZIksXe&#10;1IerUer9bVwvQXga/d8xPPEDOuSB6WxvrJ3oFIRH/K8+syiJgz8riGfTOcg8k//x8x8AAAD//wMA&#10;UEsBAi0AFAAGAAgAAAAhALaDOJL+AAAA4QEAABMAAAAAAAAAAAAAAAAAAAAAAFtDb250ZW50X1R5&#10;cGVzXS54bWxQSwECLQAUAAYACAAAACEAOP0h/9YAAACUAQAACwAAAAAAAAAAAAAAAAAvAQAAX3Jl&#10;bHMvLnJlbHNQSwECLQAUAAYACAAAACEA5pUG/PcBAADMAwAADgAAAAAAAAAAAAAAAAAuAgAAZHJz&#10;L2Uyb0RvYy54bWxQSwECLQAUAAYACAAAACEANqWDv9oAAAAGAQAADwAAAAAAAAAAAAAAAABRBAAA&#10;ZHJzL2Rvd25yZXYueG1sUEsFBgAAAAAEAAQA8wAAAFgFAAAAAA==&#10;" o:allowincell="f" filled="f" stroked="f">
              <v:stroke joinstyle="round"/>
              <o:lock v:ext="edit" shapetype="t"/>
              <v:textbox style="mso-fit-shape-to-text:t">
                <w:txbxContent>
                  <w:p w14:paraId="62304637" w14:textId="77777777" w:rsidR="00A8314B" w:rsidRDefault="00A8314B" w:rsidP="00A8314B">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9C31E1">
      <w:rPr>
        <w:noProof/>
      </w:rPr>
      <w:drawing>
        <wp:inline distT="0" distB="0" distL="0" distR="0" wp14:anchorId="3C7E1213" wp14:editId="4B88328D">
          <wp:extent cx="504000" cy="504000"/>
          <wp:effectExtent l="0" t="0" r="0" b="0"/>
          <wp:docPr id="580099700"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F601" w14:textId="0945FD96" w:rsidR="00DB28AF" w:rsidRDefault="003A30D7">
    <w:pPr>
      <w:pStyle w:val="Header"/>
    </w:pPr>
    <w:r>
      <w:rPr>
        <w:noProof/>
      </w:rPr>
      <w:pict w14:anchorId="763FD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9" o:spid="_x0000_s1498" type="#_x0000_t136" style="position:absolute;margin-left:0;margin-top:0;width:527pt;height:210.8pt;rotation:315;z-index:-2516581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4361" w14:textId="66A53068" w:rsidR="00DB28AF" w:rsidRDefault="003A30D7">
    <w:pPr>
      <w:pStyle w:val="Header"/>
    </w:pPr>
    <w:r>
      <w:rPr>
        <w:noProof/>
      </w:rPr>
      <w:pict w14:anchorId="69EDE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3" o:spid="_x0000_s1418" type="#_x0000_t136" style="position:absolute;margin-left:0;margin-top:0;width:527pt;height:210.8pt;rotation:315;z-index:-2516582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B0AF" w14:textId="5383E797" w:rsidR="0052544D" w:rsidRDefault="003A30D7">
    <w:pPr>
      <w:pStyle w:val="Header"/>
    </w:pPr>
    <w:r>
      <w:rPr>
        <w:noProof/>
      </w:rPr>
      <w:pict w14:anchorId="498A2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2" o:spid="_x0000_s1501" type="#_x0000_t136" style="position:absolute;margin-left:0;margin-top:0;width:527pt;height:210.8pt;rotation:315;z-index:-25165813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3812" w14:textId="6758C7C5" w:rsidR="0052544D" w:rsidRDefault="003A30D7">
    <w:pPr>
      <w:pStyle w:val="Header"/>
    </w:pPr>
    <w:r>
      <w:rPr>
        <w:noProof/>
      </w:rPr>
      <w:pict w14:anchorId="752D5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6" o:spid="_x0000_s1503" type="#_x0000_t136" style="position:absolute;margin-left:0;margin-top:0;width:527pt;height:210.8pt;rotation:315;z-index:-25165813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F3A7F18" wp14:editId="2B5E5882">
          <wp:extent cx="508460" cy="504000"/>
          <wp:effectExtent l="0" t="0" r="6350" b="0"/>
          <wp:docPr id="530475047" name="Picture 248"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C632" w14:textId="3E738B6C" w:rsidR="0052544D" w:rsidRDefault="003A30D7" w:rsidP="00D51A3F">
    <w:pPr>
      <w:pStyle w:val="Header"/>
      <w:jc w:val="right"/>
    </w:pPr>
    <w:r>
      <w:rPr>
        <w:noProof/>
      </w:rPr>
      <w:pict w14:anchorId="223AA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7" o:spid="_x0000_s1504" type="#_x0000_t136" style="position:absolute;left:0;text-align:left;margin-left:0;margin-top:0;width:527pt;height:210.8pt;rotation:315;z-index:-25165813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419804E2" wp14:editId="7A7DD523">
          <wp:extent cx="508000" cy="503555"/>
          <wp:effectExtent l="0" t="0" r="6350" b="0"/>
          <wp:docPr id="49396617" name="Picture 249"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8000" cy="503555"/>
                  </a:xfrm>
                  <a:prstGeom prst="rect">
                    <a:avLst/>
                  </a:prstGeom>
                  <a:noFill/>
                  <a:ln>
                    <a:noFill/>
                  </a:ln>
                </pic:spPr>
              </pic:pic>
            </a:graphicData>
          </a:graphic>
        </wp:inline>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9D54" w14:textId="09283454" w:rsidR="00DB28AF" w:rsidRDefault="003A30D7">
    <w:pPr>
      <w:pStyle w:val="Header"/>
    </w:pPr>
    <w:r>
      <w:rPr>
        <w:noProof/>
      </w:rPr>
      <w:pict w14:anchorId="231F7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5" o:spid="_x0000_s1502" type="#_x0000_t136" style="position:absolute;margin-left:0;margin-top:0;width:527pt;height:210.8pt;rotation:315;z-index:-2516581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77A0" w14:textId="54019E16" w:rsidR="0052544D" w:rsidRDefault="003A30D7" w:rsidP="0042016F">
    <w:pPr>
      <w:pStyle w:val="Header-Evenpage"/>
    </w:pPr>
    <w:r>
      <w:rPr>
        <w:noProof/>
      </w:rPr>
      <w:pict w14:anchorId="6D759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9" o:spid="_x0000_s1506" type="#_x0000_t136" style="position:absolute;margin-left:0;margin-top:0;width:527pt;height:210.8pt;rotation:315;z-index:-2516581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42CF4A7" wp14:editId="7BB29955">
          <wp:extent cx="504000" cy="504000"/>
          <wp:effectExtent l="0" t="0" r="0" b="0"/>
          <wp:docPr id="17673821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346C" w14:textId="1C1FDD13" w:rsidR="00DB28AF" w:rsidRDefault="003A30D7">
    <w:pPr>
      <w:pStyle w:val="Header"/>
    </w:pPr>
    <w:r>
      <w:rPr>
        <w:noProof/>
      </w:rPr>
      <w:pict w14:anchorId="19A64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0" o:spid="_x0000_s1507" type="#_x0000_t136" style="position:absolute;margin-left:0;margin-top:0;width:527pt;height:210.8pt;rotation:315;z-index:-25165813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1893" w14:textId="74DA5921" w:rsidR="00DB28AF" w:rsidRDefault="003A30D7">
    <w:pPr>
      <w:pStyle w:val="Header"/>
    </w:pPr>
    <w:r>
      <w:rPr>
        <w:noProof/>
      </w:rPr>
      <w:pict w14:anchorId="0AA84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8" o:spid="_x0000_s1505" type="#_x0000_t136" style="position:absolute;margin-left:0;margin-top:0;width:527pt;height:210.8pt;rotation:315;z-index:-25165813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2834" w14:textId="01EDCE2B" w:rsidR="0052544D" w:rsidRDefault="003A30D7" w:rsidP="00823F3B">
    <w:pPr>
      <w:pStyle w:val="Header-Evenpage"/>
      <w:jc w:val="right"/>
    </w:pPr>
    <w:r>
      <w:rPr>
        <w:noProof/>
      </w:rPr>
      <w:pict w14:anchorId="1E56C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2" o:spid="_x0000_s1509" type="#_x0000_t136" style="position:absolute;left:0;text-align:left;margin-left:0;margin-top:0;width:527pt;height:210.8pt;rotation:315;z-index:-25165812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9EE8F6E" wp14:editId="70582F8E">
          <wp:extent cx="508460" cy="504000"/>
          <wp:effectExtent l="0" t="0" r="6350" b="0"/>
          <wp:docPr id="566076443" name="Picture 263"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8B11" w14:textId="31C3717A" w:rsidR="0052544D" w:rsidRDefault="003A30D7" w:rsidP="00D51A3F">
    <w:pPr>
      <w:pStyle w:val="Header"/>
      <w:jc w:val="right"/>
    </w:pPr>
    <w:r>
      <w:rPr>
        <w:noProof/>
      </w:rPr>
      <w:pict w14:anchorId="1EA16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3" o:spid="_x0000_s1510" type="#_x0000_t136" style="position:absolute;left:0;text-align:left;margin-left:0;margin-top:0;width:527pt;height:210.8pt;rotation:315;z-index:-2516581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6EFF9138" wp14:editId="1D7245C1">
          <wp:extent cx="508460" cy="504000"/>
          <wp:effectExtent l="0" t="0" r="6350" b="0"/>
          <wp:docPr id="107153791" name="Picture 264"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997C" w14:textId="01522DA7" w:rsidR="0052544D" w:rsidRDefault="003A30D7" w:rsidP="00D7090D">
    <w:pPr>
      <w:pStyle w:val="Header"/>
    </w:pPr>
    <w:r>
      <w:rPr>
        <w:noProof/>
      </w:rPr>
      <w:pict w14:anchorId="2CBD9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1" o:spid="_x0000_s1508" type="#_x0000_t136" style="position:absolute;margin-left:0;margin-top:0;width:527pt;height:210.8pt;rotation:315;z-index:-25165812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1B083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27E7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DC2CE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3A657B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D6C305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04E3FE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BE1268"/>
    <w:multiLevelType w:val="hybridMultilevel"/>
    <w:tmpl w:val="C0FAE086"/>
    <w:lvl w:ilvl="0" w:tplc="6760653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EF5C5084">
      <w:start w:val="1"/>
      <w:numFmt w:val="bullet"/>
      <w:pStyle w:val="APCD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D31A51"/>
    <w:multiLevelType w:val="multilevel"/>
    <w:tmpl w:val="EF3EB862"/>
    <w:styleLink w:val="NumberedCheckmarkBulletsNumbers"/>
    <w:lvl w:ilvl="0">
      <w:start w:val="1"/>
      <w:numFmt w:val="bullet"/>
      <w:lvlText w:val="•"/>
      <w:lvlJc w:val="left"/>
      <w:pPr>
        <w:tabs>
          <w:tab w:val="num" w:pos="340"/>
        </w:tabs>
        <w:ind w:left="340" w:hanging="340"/>
      </w:pPr>
      <w:rPr>
        <w:rFonts w:ascii="Calibri" w:hAnsi="Calibri" w:hint="default"/>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Calibri" w:hAnsi="Calibri" w:hint="default"/>
      </w:rPr>
    </w:lvl>
    <w:lvl w:ilvl="3">
      <w:start w:val="1"/>
      <w:numFmt w:val="decimal"/>
      <w:lvlRestart w:val="0"/>
      <w:lvlText w:val="%4."/>
      <w:lvlJc w:val="left"/>
      <w:pPr>
        <w:tabs>
          <w:tab w:val="num" w:pos="340"/>
        </w:tabs>
        <w:ind w:left="34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2" w15:restartNumberingAfterBreak="0">
    <w:nsid w:val="0D1A5DFA"/>
    <w:multiLevelType w:val="hybridMultilevel"/>
    <w:tmpl w:val="2EB67AD0"/>
    <w:lvl w:ilvl="0" w:tplc="35D8F204">
      <w:start w:val="1"/>
      <w:numFmt w:val="bullet"/>
      <w:pStyle w:val="TableBulletL1"/>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29C0C7C"/>
    <w:multiLevelType w:val="hybridMultilevel"/>
    <w:tmpl w:val="1362DBA8"/>
    <w:lvl w:ilvl="0" w:tplc="0C090001">
      <w:start w:val="1"/>
      <w:numFmt w:val="bullet"/>
      <w:lvlText w:val=""/>
      <w:lvlJc w:val="left"/>
      <w:pPr>
        <w:ind w:left="644" w:hanging="360"/>
      </w:pPr>
      <w:rPr>
        <w:rFonts w:ascii="Symbol" w:hAnsi="Symbol" w:hint="default"/>
        <w:color w:val="auto"/>
      </w:rPr>
    </w:lvl>
    <w:lvl w:ilvl="1" w:tplc="66DEECFE">
      <w:start w:val="1"/>
      <w:numFmt w:val="bullet"/>
      <w:pStyle w:val="APCDBulletL2"/>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13363506"/>
    <w:multiLevelType w:val="hybridMultilevel"/>
    <w:tmpl w:val="610C951E"/>
    <w:lvl w:ilvl="0" w:tplc="12D83614">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4807BF"/>
    <w:multiLevelType w:val="multilevel"/>
    <w:tmpl w:val="052CB5FE"/>
    <w:styleLink w:val="ToCH1Numbering"/>
    <w:lvl w:ilvl="0">
      <w:start w:val="1"/>
      <w:numFmt w:val="none"/>
      <w:suff w:val="nothing"/>
      <w:lvlText w:val=""/>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8A349C1"/>
    <w:multiLevelType w:val="hybridMultilevel"/>
    <w:tmpl w:val="3D181BDC"/>
    <w:lvl w:ilvl="0" w:tplc="82C42FCE">
      <w:start w:val="1"/>
      <w:numFmt w:val="bullet"/>
      <w:pStyle w:val="Bullet1stlevelDOH"/>
      <w:lvlText w:val=""/>
      <w:lvlJc w:val="left"/>
      <w:pPr>
        <w:ind w:left="720" w:hanging="360"/>
      </w:pPr>
      <w:rPr>
        <w:rFonts w:ascii="Symbol" w:hAnsi="Symbol" w:hint="default"/>
        <w:color w:val="auto"/>
        <w:sz w:val="20"/>
      </w:rPr>
    </w:lvl>
    <w:lvl w:ilvl="1" w:tplc="21D44640">
      <w:start w:val="1"/>
      <w:numFmt w:val="bullet"/>
      <w:pStyle w:val="Bullet2ndlevelDO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6C5129"/>
    <w:multiLevelType w:val="hybridMultilevel"/>
    <w:tmpl w:val="145C6E22"/>
    <w:lvl w:ilvl="0" w:tplc="6DAA8108">
      <w:start w:val="1"/>
      <w:numFmt w:val="bullet"/>
      <w:pStyle w:val="Bullet2ndlevel"/>
      <w:lvlText w:val="-"/>
      <w:lvlJc w:val="left"/>
      <w:pPr>
        <w:ind w:left="1440" w:hanging="360"/>
      </w:pPr>
      <w:rPr>
        <w:rFonts w:ascii="Symbol" w:hAnsi="Symbol" w:cs="Aria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0660B2"/>
    <w:multiLevelType w:val="multilevel"/>
    <w:tmpl w:val="49FE22FE"/>
    <w:styleLink w:val="Style3"/>
    <w:lvl w:ilvl="0">
      <w:start w:val="1"/>
      <w:numFmt w:val="decimal"/>
      <w:lvlText w:val="%1.0"/>
      <w:lvlJc w:val="left"/>
      <w:pPr>
        <w:ind w:left="0" w:firstLine="0"/>
      </w:pPr>
      <w:rPr>
        <w:rFonts w:ascii="Arial Black" w:hAnsi="Arial Black" w:hint="default"/>
        <w:b w:val="0"/>
        <w:i w:val="0"/>
        <w:color w:val="0090D4" w:themeColor="accent3"/>
        <w:sz w:val="48"/>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55F5782"/>
    <w:multiLevelType w:val="multilevel"/>
    <w:tmpl w:val="91FE4C8E"/>
    <w:styleLink w:val="Style2"/>
    <w:lvl w:ilvl="0">
      <w:start w:val="1"/>
      <w:numFmt w:val="decimal"/>
      <w:lvlText w:val="%1."/>
      <w:lvlJc w:val="left"/>
      <w:pPr>
        <w:ind w:left="0" w:firstLine="0"/>
      </w:pPr>
      <w:rPr>
        <w:rFonts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71A49C6"/>
    <w:multiLevelType w:val="multilevel"/>
    <w:tmpl w:val="81F62C1E"/>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32F06F06"/>
    <w:multiLevelType w:val="multilevel"/>
    <w:tmpl w:val="290AE11C"/>
    <w:numStyleLink w:val="QIList"/>
  </w:abstractNum>
  <w:abstractNum w:abstractNumId="2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64C5080"/>
    <w:multiLevelType w:val="multilevel"/>
    <w:tmpl w:val="290AE11C"/>
    <w:styleLink w:val="QIList"/>
    <w:lvl w:ilvl="0">
      <w:start w:val="1"/>
      <w:numFmt w:val="decimal"/>
      <w:lvlText w:val="%1.0"/>
      <w:lvlJc w:val="left"/>
      <w:pPr>
        <w:tabs>
          <w:tab w:val="num" w:pos="5388"/>
        </w:tabs>
        <w:ind w:left="5388" w:hanging="1418"/>
      </w:pPr>
      <w:rPr>
        <w:rFonts w:hint="default"/>
        <w:b/>
        <w:i w:val="0"/>
        <w:color w:val="0090D4"/>
        <w:sz w:val="52"/>
        <w:szCs w:val="4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5" w15:restartNumberingAfterBreak="0">
    <w:nsid w:val="39506F76"/>
    <w:multiLevelType w:val="hybridMultilevel"/>
    <w:tmpl w:val="5FA6F200"/>
    <w:lvl w:ilvl="0" w:tplc="9BB0520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FE086D"/>
    <w:multiLevelType w:val="hybridMultilevel"/>
    <w:tmpl w:val="51548046"/>
    <w:lvl w:ilvl="0" w:tplc="B20613F8">
      <w:start w:val="1"/>
      <w:numFmt w:val="decimal"/>
      <w:lvlText w:val="%1."/>
      <w:lvlJc w:val="left"/>
      <w:pPr>
        <w:ind w:left="717" w:hanging="360"/>
      </w:pPr>
      <w:rPr>
        <w:rFonts w:cs="Arial" w:hint="default"/>
        <w:b w:val="0"/>
        <w:bCs w:val="0"/>
        <w:i w:val="0"/>
        <w:iCs w:val="0"/>
        <w:color w:val="FFFFFF" w:themeColor="background1"/>
        <w:spacing w:val="0"/>
        <w:w w:val="100"/>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F94E96"/>
    <w:multiLevelType w:val="hybridMultilevel"/>
    <w:tmpl w:val="2A487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672443"/>
    <w:multiLevelType w:val="hybridMultilevel"/>
    <w:tmpl w:val="9AF07458"/>
    <w:lvl w:ilvl="0" w:tplc="9A02C0E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613514"/>
    <w:multiLevelType w:val="hybridMultilevel"/>
    <w:tmpl w:val="EE18CE14"/>
    <w:lvl w:ilvl="0" w:tplc="74765E46">
      <w:start w:val="1"/>
      <w:numFmt w:val="decimal"/>
      <w:pStyle w:val="ListNumb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C21309"/>
    <w:multiLevelType w:val="multilevel"/>
    <w:tmpl w:val="A0569BCE"/>
    <w:styleLink w:val="ExampleTools"/>
    <w:lvl w:ilvl="0">
      <w:start w:val="1"/>
      <w:numFmt w:val="bullet"/>
      <w:pStyle w:val="ExampleToolsBullet"/>
      <w:lvlText w:val=""/>
      <w:lvlJc w:val="left"/>
      <w:pPr>
        <w:tabs>
          <w:tab w:val="num" w:pos="357"/>
        </w:tabs>
        <w:ind w:left="357" w:hanging="357"/>
      </w:pPr>
      <w:rPr>
        <w:rFonts w:ascii="Symbol" w:hAnsi="Symbol" w:hint="default"/>
        <w:color w:val="00B3C3"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B903438"/>
    <w:multiLevelType w:val="hybridMultilevel"/>
    <w:tmpl w:val="BF78D3CE"/>
    <w:lvl w:ilvl="0" w:tplc="0ED8E69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8B1B1F"/>
    <w:multiLevelType w:val="hybridMultilevel"/>
    <w:tmpl w:val="58123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A4DC0206">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774CBC"/>
    <w:multiLevelType w:val="hybridMultilevel"/>
    <w:tmpl w:val="FB127FD4"/>
    <w:lvl w:ilvl="0" w:tplc="1E60D026">
      <w:start w:val="1"/>
      <w:numFmt w:val="bullet"/>
      <w:pStyle w:val="Bullet1stlevel"/>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D656722"/>
    <w:multiLevelType w:val="hybridMultilevel"/>
    <w:tmpl w:val="7C0AFB5A"/>
    <w:lvl w:ilvl="0" w:tplc="EACAC8EE">
      <w:start w:val="1"/>
      <w:numFmt w:val="decimal"/>
      <w:pStyle w:val="Headerlistwhite"/>
      <w:lvlText w:val="%1."/>
      <w:lvlJc w:val="left"/>
      <w:pPr>
        <w:ind w:left="1080" w:hanging="360"/>
      </w:pPr>
      <w:rPr>
        <w:rFonts w:cs="Arial" w:hint="default"/>
        <w:b w:val="0"/>
        <w:i w:val="0"/>
        <w:color w:val="FFFFFF" w:themeColor="background1"/>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69317441">
    <w:abstractNumId w:val="12"/>
  </w:num>
  <w:num w:numId="2" w16cid:durableId="399256167">
    <w:abstractNumId w:val="9"/>
  </w:num>
  <w:num w:numId="3" w16cid:durableId="71200755">
    <w:abstractNumId w:val="38"/>
  </w:num>
  <w:num w:numId="4" w16cid:durableId="606160417">
    <w:abstractNumId w:val="16"/>
  </w:num>
  <w:num w:numId="5" w16cid:durableId="392393301">
    <w:abstractNumId w:val="17"/>
  </w:num>
  <w:num w:numId="6" w16cid:durableId="856894208">
    <w:abstractNumId w:val="15"/>
  </w:num>
  <w:num w:numId="7" w16cid:durableId="202058620">
    <w:abstractNumId w:val="31"/>
  </w:num>
  <w:num w:numId="8" w16cid:durableId="1664972208">
    <w:abstractNumId w:val="13"/>
  </w:num>
  <w:num w:numId="9" w16cid:durableId="70465679">
    <w:abstractNumId w:val="33"/>
  </w:num>
  <w:num w:numId="10" w16cid:durableId="1534152315">
    <w:abstractNumId w:val="36"/>
  </w:num>
  <w:num w:numId="11" w16cid:durableId="2050299282">
    <w:abstractNumId w:val="25"/>
  </w:num>
  <w:num w:numId="12" w16cid:durableId="871766320">
    <w:abstractNumId w:val="34"/>
  </w:num>
  <w:num w:numId="13" w16cid:durableId="326637748">
    <w:abstractNumId w:val="26"/>
  </w:num>
  <w:num w:numId="14" w16cid:durableId="449975605">
    <w:abstractNumId w:val="39"/>
  </w:num>
  <w:num w:numId="15" w16cid:durableId="898327957">
    <w:abstractNumId w:val="30"/>
  </w:num>
  <w:num w:numId="16" w16cid:durableId="586353165">
    <w:abstractNumId w:val="37"/>
  </w:num>
  <w:num w:numId="17" w16cid:durableId="2016805663">
    <w:abstractNumId w:val="8"/>
  </w:num>
  <w:num w:numId="18" w16cid:durableId="1418862937">
    <w:abstractNumId w:val="41"/>
  </w:num>
  <w:num w:numId="19" w16cid:durableId="1225337090">
    <w:abstractNumId w:val="14"/>
  </w:num>
  <w:num w:numId="20" w16cid:durableId="1090734395">
    <w:abstractNumId w:val="23"/>
  </w:num>
  <w:num w:numId="21" w16cid:durableId="1476337664">
    <w:abstractNumId w:val="20"/>
  </w:num>
  <w:num w:numId="22" w16cid:durableId="1461606286">
    <w:abstractNumId w:val="19"/>
  </w:num>
  <w:num w:numId="23" w16cid:durableId="1012341966">
    <w:abstractNumId w:val="11"/>
  </w:num>
  <w:num w:numId="24" w16cid:durableId="1638101929">
    <w:abstractNumId w:val="24"/>
  </w:num>
  <w:num w:numId="25" w16cid:durableId="2057704220">
    <w:abstractNumId w:val="6"/>
  </w:num>
  <w:num w:numId="26" w16cid:durableId="1485661855">
    <w:abstractNumId w:val="22"/>
  </w:num>
  <w:num w:numId="27" w16cid:durableId="666204587">
    <w:abstractNumId w:val="32"/>
  </w:num>
  <w:num w:numId="28" w16cid:durableId="510997591">
    <w:abstractNumId w:val="7"/>
  </w:num>
  <w:num w:numId="29" w16cid:durableId="573316666">
    <w:abstractNumId w:val="8"/>
    <w:lvlOverride w:ilvl="0">
      <w:startOverride w:val="1"/>
    </w:lvlOverride>
  </w:num>
  <w:num w:numId="30" w16cid:durableId="1024984514">
    <w:abstractNumId w:val="10"/>
  </w:num>
  <w:num w:numId="31" w16cid:durableId="1095783888">
    <w:abstractNumId w:val="28"/>
  </w:num>
  <w:num w:numId="32" w16cid:durableId="211114947">
    <w:abstractNumId w:val="35"/>
  </w:num>
  <w:num w:numId="33" w16cid:durableId="710570725">
    <w:abstractNumId w:val="5"/>
  </w:num>
  <w:num w:numId="34" w16cid:durableId="358429403">
    <w:abstractNumId w:val="4"/>
  </w:num>
  <w:num w:numId="35" w16cid:durableId="1552110669">
    <w:abstractNumId w:val="3"/>
  </w:num>
  <w:num w:numId="36" w16cid:durableId="1205364832">
    <w:abstractNumId w:val="2"/>
  </w:num>
  <w:num w:numId="37" w16cid:durableId="433676714">
    <w:abstractNumId w:val="1"/>
  </w:num>
  <w:num w:numId="38" w16cid:durableId="862208578">
    <w:abstractNumId w:val="0"/>
  </w:num>
  <w:num w:numId="39" w16cid:durableId="178663343">
    <w:abstractNumId w:val="18"/>
  </w:num>
  <w:num w:numId="40" w16cid:durableId="1046182597">
    <w:abstractNumId w:val="29"/>
  </w:num>
  <w:num w:numId="41" w16cid:durableId="821312251">
    <w:abstractNumId w:val="33"/>
    <w:lvlOverride w:ilvl="0">
      <w:startOverride w:val="1"/>
    </w:lvlOverride>
  </w:num>
  <w:num w:numId="42" w16cid:durableId="668169989">
    <w:abstractNumId w:val="27"/>
  </w:num>
  <w:num w:numId="43" w16cid:durableId="1584408595">
    <w:abstractNumId w:val="33"/>
    <w:lvlOverride w:ilvl="0">
      <w:startOverride w:val="1"/>
    </w:lvlOverride>
  </w:num>
  <w:num w:numId="44" w16cid:durableId="1197232783">
    <w:abstractNumId w:val="33"/>
    <w:lvlOverride w:ilvl="0">
      <w:startOverride w:val="1"/>
    </w:lvlOverride>
  </w:num>
  <w:num w:numId="45" w16cid:durableId="994800619">
    <w:abstractNumId w:val="33"/>
    <w:lvlOverride w:ilvl="0">
      <w:startOverride w:val="1"/>
    </w:lvlOverride>
  </w:num>
  <w:num w:numId="46" w16cid:durableId="1834834820">
    <w:abstractNumId w:val="33"/>
    <w:lvlOverride w:ilvl="0">
      <w:startOverride w:val="1"/>
    </w:lvlOverride>
  </w:num>
  <w:num w:numId="47" w16cid:durableId="2017227226">
    <w:abstractNumId w:val="40"/>
  </w:num>
  <w:num w:numId="48" w16cid:durableId="326177383">
    <w:abstractNumId w:val="21"/>
  </w:num>
  <w:num w:numId="49" w16cid:durableId="1024673246">
    <w:abstractNumId w:val="1"/>
  </w:num>
  <w:num w:numId="50" w16cid:durableId="1564482193">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linkStyles/>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xx5aszg0dxx0ef25axfvegwzv9zs0rrpw0&quot;&gt;UQEndNote Library&lt;record-ids&gt;&lt;item&gt;23&lt;/item&gt;&lt;/record-ids&gt;&lt;/item&gt;&lt;/Libraries&gt;"/>
  </w:docVars>
  <w:rsids>
    <w:rsidRoot w:val="00556457"/>
    <w:rsid w:val="00000139"/>
    <w:rsid w:val="00000605"/>
    <w:rsid w:val="000007D7"/>
    <w:rsid w:val="00001088"/>
    <w:rsid w:val="00001093"/>
    <w:rsid w:val="00001946"/>
    <w:rsid w:val="00001B07"/>
    <w:rsid w:val="00001D6F"/>
    <w:rsid w:val="00001F95"/>
    <w:rsid w:val="0000213F"/>
    <w:rsid w:val="000024B4"/>
    <w:rsid w:val="000026F3"/>
    <w:rsid w:val="00002CEF"/>
    <w:rsid w:val="00002E5A"/>
    <w:rsid w:val="00002F57"/>
    <w:rsid w:val="000035A8"/>
    <w:rsid w:val="00003CC7"/>
    <w:rsid w:val="00003E70"/>
    <w:rsid w:val="0000415F"/>
    <w:rsid w:val="000044EE"/>
    <w:rsid w:val="00004A5A"/>
    <w:rsid w:val="000050AA"/>
    <w:rsid w:val="000050ED"/>
    <w:rsid w:val="000057B2"/>
    <w:rsid w:val="0000581B"/>
    <w:rsid w:val="00005C35"/>
    <w:rsid w:val="00006941"/>
    <w:rsid w:val="00006965"/>
    <w:rsid w:val="00006B3B"/>
    <w:rsid w:val="00007776"/>
    <w:rsid w:val="00007AF8"/>
    <w:rsid w:val="0001007A"/>
    <w:rsid w:val="0001009A"/>
    <w:rsid w:val="000100B6"/>
    <w:rsid w:val="000106BE"/>
    <w:rsid w:val="00010E03"/>
    <w:rsid w:val="000116AC"/>
    <w:rsid w:val="000117C5"/>
    <w:rsid w:val="0001266D"/>
    <w:rsid w:val="00012DA1"/>
    <w:rsid w:val="000138B0"/>
    <w:rsid w:val="00013954"/>
    <w:rsid w:val="00013EB6"/>
    <w:rsid w:val="00014087"/>
    <w:rsid w:val="000142A3"/>
    <w:rsid w:val="0001442F"/>
    <w:rsid w:val="00014B82"/>
    <w:rsid w:val="00014EC5"/>
    <w:rsid w:val="0001507C"/>
    <w:rsid w:val="000150E2"/>
    <w:rsid w:val="0001548B"/>
    <w:rsid w:val="00015CF1"/>
    <w:rsid w:val="00015E07"/>
    <w:rsid w:val="00015EB3"/>
    <w:rsid w:val="00015EE6"/>
    <w:rsid w:val="000161EE"/>
    <w:rsid w:val="000169D5"/>
    <w:rsid w:val="00017135"/>
    <w:rsid w:val="00017A7C"/>
    <w:rsid w:val="000208A7"/>
    <w:rsid w:val="000212AB"/>
    <w:rsid w:val="000217D8"/>
    <w:rsid w:val="00022598"/>
    <w:rsid w:val="0002259D"/>
    <w:rsid w:val="00022A11"/>
    <w:rsid w:val="000231C5"/>
    <w:rsid w:val="00023257"/>
    <w:rsid w:val="000232C4"/>
    <w:rsid w:val="00023396"/>
    <w:rsid w:val="000238D7"/>
    <w:rsid w:val="00023AFA"/>
    <w:rsid w:val="00023B6C"/>
    <w:rsid w:val="00023DA2"/>
    <w:rsid w:val="00023EE4"/>
    <w:rsid w:val="0002416C"/>
    <w:rsid w:val="00024337"/>
    <w:rsid w:val="0002537F"/>
    <w:rsid w:val="00025495"/>
    <w:rsid w:val="000255A2"/>
    <w:rsid w:val="00025DE6"/>
    <w:rsid w:val="00026D70"/>
    <w:rsid w:val="000271E1"/>
    <w:rsid w:val="00030A1A"/>
    <w:rsid w:val="00030E2D"/>
    <w:rsid w:val="00031210"/>
    <w:rsid w:val="000317E9"/>
    <w:rsid w:val="00031A36"/>
    <w:rsid w:val="00031A71"/>
    <w:rsid w:val="0003211D"/>
    <w:rsid w:val="0003230B"/>
    <w:rsid w:val="0003242B"/>
    <w:rsid w:val="0003291D"/>
    <w:rsid w:val="00032DA7"/>
    <w:rsid w:val="00033051"/>
    <w:rsid w:val="0003316B"/>
    <w:rsid w:val="000335F3"/>
    <w:rsid w:val="0003380E"/>
    <w:rsid w:val="0003410C"/>
    <w:rsid w:val="00034B3E"/>
    <w:rsid w:val="00036154"/>
    <w:rsid w:val="00036E52"/>
    <w:rsid w:val="0003793C"/>
    <w:rsid w:val="00037AF0"/>
    <w:rsid w:val="0004089A"/>
    <w:rsid w:val="00040954"/>
    <w:rsid w:val="000414D5"/>
    <w:rsid w:val="00041A97"/>
    <w:rsid w:val="000447F8"/>
    <w:rsid w:val="00044F6F"/>
    <w:rsid w:val="00044FA9"/>
    <w:rsid w:val="000452D7"/>
    <w:rsid w:val="00045384"/>
    <w:rsid w:val="00045901"/>
    <w:rsid w:val="000460A9"/>
    <w:rsid w:val="000463EE"/>
    <w:rsid w:val="00046481"/>
    <w:rsid w:val="00047002"/>
    <w:rsid w:val="00047467"/>
    <w:rsid w:val="00047682"/>
    <w:rsid w:val="000476F3"/>
    <w:rsid w:val="000501CB"/>
    <w:rsid w:val="00050697"/>
    <w:rsid w:val="00050CE3"/>
    <w:rsid w:val="00050EDF"/>
    <w:rsid w:val="00051E5C"/>
    <w:rsid w:val="000523AE"/>
    <w:rsid w:val="0005244D"/>
    <w:rsid w:val="0005295C"/>
    <w:rsid w:val="00054024"/>
    <w:rsid w:val="00055255"/>
    <w:rsid w:val="000555CF"/>
    <w:rsid w:val="00055727"/>
    <w:rsid w:val="00056A7C"/>
    <w:rsid w:val="00056E19"/>
    <w:rsid w:val="0005730F"/>
    <w:rsid w:val="00057E76"/>
    <w:rsid w:val="000601B9"/>
    <w:rsid w:val="00060BA7"/>
    <w:rsid w:val="000613CE"/>
    <w:rsid w:val="00061841"/>
    <w:rsid w:val="00061C03"/>
    <w:rsid w:val="00061C7A"/>
    <w:rsid w:val="000627BB"/>
    <w:rsid w:val="00062D6A"/>
    <w:rsid w:val="00062D82"/>
    <w:rsid w:val="00062F71"/>
    <w:rsid w:val="000639D5"/>
    <w:rsid w:val="00063C03"/>
    <w:rsid w:val="00063DE1"/>
    <w:rsid w:val="000640BF"/>
    <w:rsid w:val="00064399"/>
    <w:rsid w:val="00064464"/>
    <w:rsid w:val="00064871"/>
    <w:rsid w:val="00064C5A"/>
    <w:rsid w:val="000654EC"/>
    <w:rsid w:val="00065BB0"/>
    <w:rsid w:val="00065E42"/>
    <w:rsid w:val="00066036"/>
    <w:rsid w:val="00066C06"/>
    <w:rsid w:val="00071578"/>
    <w:rsid w:val="00072D94"/>
    <w:rsid w:val="00073BE1"/>
    <w:rsid w:val="000740B4"/>
    <w:rsid w:val="00074353"/>
    <w:rsid w:val="00074833"/>
    <w:rsid w:val="00074CEA"/>
    <w:rsid w:val="00075173"/>
    <w:rsid w:val="000752E0"/>
    <w:rsid w:val="0007590C"/>
    <w:rsid w:val="00075ABE"/>
    <w:rsid w:val="0007626C"/>
    <w:rsid w:val="000772B3"/>
    <w:rsid w:val="000776ED"/>
    <w:rsid w:val="00081748"/>
    <w:rsid w:val="00082752"/>
    <w:rsid w:val="0008276B"/>
    <w:rsid w:val="000828C0"/>
    <w:rsid w:val="00082E66"/>
    <w:rsid w:val="000830BC"/>
    <w:rsid w:val="000830F4"/>
    <w:rsid w:val="00083635"/>
    <w:rsid w:val="00083900"/>
    <w:rsid w:val="0008406C"/>
    <w:rsid w:val="00084074"/>
    <w:rsid w:val="0008417C"/>
    <w:rsid w:val="00084A01"/>
    <w:rsid w:val="00084D20"/>
    <w:rsid w:val="0008552F"/>
    <w:rsid w:val="00085708"/>
    <w:rsid w:val="00085E47"/>
    <w:rsid w:val="000863C9"/>
    <w:rsid w:val="00086579"/>
    <w:rsid w:val="0008699D"/>
    <w:rsid w:val="00086A59"/>
    <w:rsid w:val="00086B10"/>
    <w:rsid w:val="00086CD8"/>
    <w:rsid w:val="0008712B"/>
    <w:rsid w:val="00087DA4"/>
    <w:rsid w:val="000901C5"/>
    <w:rsid w:val="00090BA5"/>
    <w:rsid w:val="00090F3F"/>
    <w:rsid w:val="000915ED"/>
    <w:rsid w:val="0009165F"/>
    <w:rsid w:val="00091754"/>
    <w:rsid w:val="00091A5D"/>
    <w:rsid w:val="00091B91"/>
    <w:rsid w:val="00091C1E"/>
    <w:rsid w:val="00091D29"/>
    <w:rsid w:val="00092038"/>
    <w:rsid w:val="0009222E"/>
    <w:rsid w:val="00093C3A"/>
    <w:rsid w:val="00094158"/>
    <w:rsid w:val="000941DE"/>
    <w:rsid w:val="00094CCD"/>
    <w:rsid w:val="000951B6"/>
    <w:rsid w:val="0009566D"/>
    <w:rsid w:val="00095C32"/>
    <w:rsid w:val="000969B6"/>
    <w:rsid w:val="000A01B6"/>
    <w:rsid w:val="000A0334"/>
    <w:rsid w:val="000A046E"/>
    <w:rsid w:val="000A0CBE"/>
    <w:rsid w:val="000A1133"/>
    <w:rsid w:val="000A150C"/>
    <w:rsid w:val="000A1CA9"/>
    <w:rsid w:val="000A1D61"/>
    <w:rsid w:val="000A2279"/>
    <w:rsid w:val="000A2DA0"/>
    <w:rsid w:val="000A2EFC"/>
    <w:rsid w:val="000A325D"/>
    <w:rsid w:val="000A43FB"/>
    <w:rsid w:val="000A474F"/>
    <w:rsid w:val="000A5075"/>
    <w:rsid w:val="000A519D"/>
    <w:rsid w:val="000A5948"/>
    <w:rsid w:val="000A688C"/>
    <w:rsid w:val="000A7538"/>
    <w:rsid w:val="000A7582"/>
    <w:rsid w:val="000A763D"/>
    <w:rsid w:val="000A7945"/>
    <w:rsid w:val="000A7DB2"/>
    <w:rsid w:val="000A7F5C"/>
    <w:rsid w:val="000B0328"/>
    <w:rsid w:val="000B0514"/>
    <w:rsid w:val="000B0853"/>
    <w:rsid w:val="000B0C03"/>
    <w:rsid w:val="000B0CD6"/>
    <w:rsid w:val="000B1134"/>
    <w:rsid w:val="000B122B"/>
    <w:rsid w:val="000B13AF"/>
    <w:rsid w:val="000B1B3C"/>
    <w:rsid w:val="000B1DAF"/>
    <w:rsid w:val="000B1FD5"/>
    <w:rsid w:val="000B2717"/>
    <w:rsid w:val="000B27FB"/>
    <w:rsid w:val="000B2C00"/>
    <w:rsid w:val="000B2EB1"/>
    <w:rsid w:val="000B3509"/>
    <w:rsid w:val="000B366C"/>
    <w:rsid w:val="000B38A4"/>
    <w:rsid w:val="000B3B7C"/>
    <w:rsid w:val="000B42F0"/>
    <w:rsid w:val="000B5538"/>
    <w:rsid w:val="000B5A02"/>
    <w:rsid w:val="000B5A84"/>
    <w:rsid w:val="000B5AD1"/>
    <w:rsid w:val="000B66CB"/>
    <w:rsid w:val="000B6FEF"/>
    <w:rsid w:val="000B7072"/>
    <w:rsid w:val="000B71F8"/>
    <w:rsid w:val="000C0014"/>
    <w:rsid w:val="000C0378"/>
    <w:rsid w:val="000C041F"/>
    <w:rsid w:val="000C0F6B"/>
    <w:rsid w:val="000C19F3"/>
    <w:rsid w:val="000C1B1D"/>
    <w:rsid w:val="000C2071"/>
    <w:rsid w:val="000C23AF"/>
    <w:rsid w:val="000C24E9"/>
    <w:rsid w:val="000C28DE"/>
    <w:rsid w:val="000C3405"/>
    <w:rsid w:val="000C3D9B"/>
    <w:rsid w:val="000C4126"/>
    <w:rsid w:val="000C4F94"/>
    <w:rsid w:val="000C4FEB"/>
    <w:rsid w:val="000C54CB"/>
    <w:rsid w:val="000C555A"/>
    <w:rsid w:val="000C5CAB"/>
    <w:rsid w:val="000C6489"/>
    <w:rsid w:val="000C6AA4"/>
    <w:rsid w:val="000C7396"/>
    <w:rsid w:val="000C77AA"/>
    <w:rsid w:val="000C781A"/>
    <w:rsid w:val="000C7EAE"/>
    <w:rsid w:val="000C7FD3"/>
    <w:rsid w:val="000D00A7"/>
    <w:rsid w:val="000D1719"/>
    <w:rsid w:val="000D1BD1"/>
    <w:rsid w:val="000D1DEE"/>
    <w:rsid w:val="000D2B73"/>
    <w:rsid w:val="000D2D63"/>
    <w:rsid w:val="000D2F41"/>
    <w:rsid w:val="000D2F8A"/>
    <w:rsid w:val="000D2F9D"/>
    <w:rsid w:val="000D3203"/>
    <w:rsid w:val="000D380C"/>
    <w:rsid w:val="000D4260"/>
    <w:rsid w:val="000D6094"/>
    <w:rsid w:val="000D644D"/>
    <w:rsid w:val="000D656D"/>
    <w:rsid w:val="000D6764"/>
    <w:rsid w:val="000D6D7C"/>
    <w:rsid w:val="000D7234"/>
    <w:rsid w:val="000D7888"/>
    <w:rsid w:val="000D792F"/>
    <w:rsid w:val="000D7A7F"/>
    <w:rsid w:val="000D7FEF"/>
    <w:rsid w:val="000E0681"/>
    <w:rsid w:val="000E0D24"/>
    <w:rsid w:val="000E0E11"/>
    <w:rsid w:val="000E111C"/>
    <w:rsid w:val="000E11AE"/>
    <w:rsid w:val="000E134D"/>
    <w:rsid w:val="000E2018"/>
    <w:rsid w:val="000E28C8"/>
    <w:rsid w:val="000E38E1"/>
    <w:rsid w:val="000E4818"/>
    <w:rsid w:val="000E4B0A"/>
    <w:rsid w:val="000E5859"/>
    <w:rsid w:val="000E62D3"/>
    <w:rsid w:val="000E636E"/>
    <w:rsid w:val="000E689C"/>
    <w:rsid w:val="000E699E"/>
    <w:rsid w:val="000E6CAE"/>
    <w:rsid w:val="000E743A"/>
    <w:rsid w:val="000E7928"/>
    <w:rsid w:val="000E7AD6"/>
    <w:rsid w:val="000E7F02"/>
    <w:rsid w:val="000F0675"/>
    <w:rsid w:val="000F09C9"/>
    <w:rsid w:val="000F0DC1"/>
    <w:rsid w:val="000F27C6"/>
    <w:rsid w:val="000F2B32"/>
    <w:rsid w:val="000F2BBE"/>
    <w:rsid w:val="000F3893"/>
    <w:rsid w:val="000F3A71"/>
    <w:rsid w:val="000F3D91"/>
    <w:rsid w:val="000F4018"/>
    <w:rsid w:val="000F467F"/>
    <w:rsid w:val="000F4A8A"/>
    <w:rsid w:val="000F4B21"/>
    <w:rsid w:val="000F5363"/>
    <w:rsid w:val="000F5A4A"/>
    <w:rsid w:val="000F5BA9"/>
    <w:rsid w:val="000F5C3C"/>
    <w:rsid w:val="000F6AB1"/>
    <w:rsid w:val="000F6E3A"/>
    <w:rsid w:val="000F6EB1"/>
    <w:rsid w:val="000F753D"/>
    <w:rsid w:val="001001D9"/>
    <w:rsid w:val="001002D0"/>
    <w:rsid w:val="001003E1"/>
    <w:rsid w:val="0010089E"/>
    <w:rsid w:val="001008FC"/>
    <w:rsid w:val="0010143E"/>
    <w:rsid w:val="0010190A"/>
    <w:rsid w:val="00101969"/>
    <w:rsid w:val="00101D19"/>
    <w:rsid w:val="00102092"/>
    <w:rsid w:val="0010272D"/>
    <w:rsid w:val="00102904"/>
    <w:rsid w:val="00102D38"/>
    <w:rsid w:val="00102E9D"/>
    <w:rsid w:val="001034D9"/>
    <w:rsid w:val="001038DB"/>
    <w:rsid w:val="00103CAC"/>
    <w:rsid w:val="00103E8F"/>
    <w:rsid w:val="00103EEA"/>
    <w:rsid w:val="00103F09"/>
    <w:rsid w:val="001045CF"/>
    <w:rsid w:val="00104AF7"/>
    <w:rsid w:val="00104C90"/>
    <w:rsid w:val="001056AC"/>
    <w:rsid w:val="001056BF"/>
    <w:rsid w:val="00105FD5"/>
    <w:rsid w:val="00106BD9"/>
    <w:rsid w:val="00106D27"/>
    <w:rsid w:val="001071A9"/>
    <w:rsid w:val="0010757C"/>
    <w:rsid w:val="0010763C"/>
    <w:rsid w:val="00107944"/>
    <w:rsid w:val="00107B8E"/>
    <w:rsid w:val="00107CD7"/>
    <w:rsid w:val="001101C0"/>
    <w:rsid w:val="001104E1"/>
    <w:rsid w:val="0011089B"/>
    <w:rsid w:val="00111046"/>
    <w:rsid w:val="0011106F"/>
    <w:rsid w:val="001118AA"/>
    <w:rsid w:val="0011277B"/>
    <w:rsid w:val="00112F10"/>
    <w:rsid w:val="00113661"/>
    <w:rsid w:val="00114442"/>
    <w:rsid w:val="00114588"/>
    <w:rsid w:val="001147A6"/>
    <w:rsid w:val="0011485D"/>
    <w:rsid w:val="00114948"/>
    <w:rsid w:val="00115B58"/>
    <w:rsid w:val="00115FAA"/>
    <w:rsid w:val="001164DE"/>
    <w:rsid w:val="001166A6"/>
    <w:rsid w:val="001170CB"/>
    <w:rsid w:val="00117377"/>
    <w:rsid w:val="00117C14"/>
    <w:rsid w:val="00117ED4"/>
    <w:rsid w:val="00117FD3"/>
    <w:rsid w:val="0012001C"/>
    <w:rsid w:val="00120588"/>
    <w:rsid w:val="001205C9"/>
    <w:rsid w:val="00120FBA"/>
    <w:rsid w:val="00121E30"/>
    <w:rsid w:val="00122318"/>
    <w:rsid w:val="00122CBA"/>
    <w:rsid w:val="0012304A"/>
    <w:rsid w:val="0012323D"/>
    <w:rsid w:val="00123399"/>
    <w:rsid w:val="001234C4"/>
    <w:rsid w:val="001238A0"/>
    <w:rsid w:val="00123AD4"/>
    <w:rsid w:val="00123B41"/>
    <w:rsid w:val="001241D2"/>
    <w:rsid w:val="001242B2"/>
    <w:rsid w:val="001243C0"/>
    <w:rsid w:val="001245BC"/>
    <w:rsid w:val="00124C56"/>
    <w:rsid w:val="00124DF1"/>
    <w:rsid w:val="00124F3B"/>
    <w:rsid w:val="001255BE"/>
    <w:rsid w:val="00125C1E"/>
    <w:rsid w:val="00125D41"/>
    <w:rsid w:val="00126116"/>
    <w:rsid w:val="00126161"/>
    <w:rsid w:val="001262CD"/>
    <w:rsid w:val="001265A7"/>
    <w:rsid w:val="0012672F"/>
    <w:rsid w:val="0012726F"/>
    <w:rsid w:val="00127553"/>
    <w:rsid w:val="001303F8"/>
    <w:rsid w:val="0013072A"/>
    <w:rsid w:val="00130A65"/>
    <w:rsid w:val="00130AE9"/>
    <w:rsid w:val="00131450"/>
    <w:rsid w:val="00131869"/>
    <w:rsid w:val="00131B04"/>
    <w:rsid w:val="0013294C"/>
    <w:rsid w:val="001334A4"/>
    <w:rsid w:val="00134817"/>
    <w:rsid w:val="00134919"/>
    <w:rsid w:val="00135164"/>
    <w:rsid w:val="001353E3"/>
    <w:rsid w:val="00136058"/>
    <w:rsid w:val="00136407"/>
    <w:rsid w:val="001364CE"/>
    <w:rsid w:val="00136959"/>
    <w:rsid w:val="00136BCD"/>
    <w:rsid w:val="00136C69"/>
    <w:rsid w:val="001371EB"/>
    <w:rsid w:val="0013727D"/>
    <w:rsid w:val="0013771E"/>
    <w:rsid w:val="00137BD8"/>
    <w:rsid w:val="00140016"/>
    <w:rsid w:val="00140095"/>
    <w:rsid w:val="00140186"/>
    <w:rsid w:val="00141B69"/>
    <w:rsid w:val="00141E7A"/>
    <w:rsid w:val="00142672"/>
    <w:rsid w:val="00142832"/>
    <w:rsid w:val="00142870"/>
    <w:rsid w:val="00142C9A"/>
    <w:rsid w:val="00142E59"/>
    <w:rsid w:val="001430F2"/>
    <w:rsid w:val="00143109"/>
    <w:rsid w:val="001432A4"/>
    <w:rsid w:val="00144052"/>
    <w:rsid w:val="0014411A"/>
    <w:rsid w:val="00144191"/>
    <w:rsid w:val="00144480"/>
    <w:rsid w:val="00144558"/>
    <w:rsid w:val="00144DCB"/>
    <w:rsid w:val="00145565"/>
    <w:rsid w:val="00145897"/>
    <w:rsid w:val="00145966"/>
    <w:rsid w:val="001465ED"/>
    <w:rsid w:val="0014683A"/>
    <w:rsid w:val="00146AC7"/>
    <w:rsid w:val="00146C29"/>
    <w:rsid w:val="001471C9"/>
    <w:rsid w:val="00147484"/>
    <w:rsid w:val="00147DA0"/>
    <w:rsid w:val="00150882"/>
    <w:rsid w:val="00150EA8"/>
    <w:rsid w:val="00151696"/>
    <w:rsid w:val="001525D7"/>
    <w:rsid w:val="00152751"/>
    <w:rsid w:val="00152836"/>
    <w:rsid w:val="00152E33"/>
    <w:rsid w:val="001530B0"/>
    <w:rsid w:val="001535F4"/>
    <w:rsid w:val="00153D97"/>
    <w:rsid w:val="00155DF5"/>
    <w:rsid w:val="00157397"/>
    <w:rsid w:val="00157927"/>
    <w:rsid w:val="00157A61"/>
    <w:rsid w:val="00157BB5"/>
    <w:rsid w:val="00157D54"/>
    <w:rsid w:val="00157E6B"/>
    <w:rsid w:val="00160058"/>
    <w:rsid w:val="0016084B"/>
    <w:rsid w:val="0016142F"/>
    <w:rsid w:val="00161436"/>
    <w:rsid w:val="00161A03"/>
    <w:rsid w:val="00161C45"/>
    <w:rsid w:val="00162899"/>
    <w:rsid w:val="00163980"/>
    <w:rsid w:val="00163AE2"/>
    <w:rsid w:val="00163C5E"/>
    <w:rsid w:val="00164B6C"/>
    <w:rsid w:val="00164BC8"/>
    <w:rsid w:val="00164CE8"/>
    <w:rsid w:val="0016518C"/>
    <w:rsid w:val="001651F1"/>
    <w:rsid w:val="00165211"/>
    <w:rsid w:val="0016560F"/>
    <w:rsid w:val="00165F95"/>
    <w:rsid w:val="00166D49"/>
    <w:rsid w:val="00167AB8"/>
    <w:rsid w:val="00170224"/>
    <w:rsid w:val="0017049F"/>
    <w:rsid w:val="001706F0"/>
    <w:rsid w:val="001709BC"/>
    <w:rsid w:val="00170BFB"/>
    <w:rsid w:val="00170D05"/>
    <w:rsid w:val="00170FD5"/>
    <w:rsid w:val="00171D05"/>
    <w:rsid w:val="00171DD8"/>
    <w:rsid w:val="00171E3A"/>
    <w:rsid w:val="00172800"/>
    <w:rsid w:val="001729FE"/>
    <w:rsid w:val="00172FAE"/>
    <w:rsid w:val="001736E9"/>
    <w:rsid w:val="00173A41"/>
    <w:rsid w:val="00174C5E"/>
    <w:rsid w:val="00174EF1"/>
    <w:rsid w:val="001754A2"/>
    <w:rsid w:val="00175A2E"/>
    <w:rsid w:val="00175DF5"/>
    <w:rsid w:val="00175ED7"/>
    <w:rsid w:val="00176A8B"/>
    <w:rsid w:val="00176B53"/>
    <w:rsid w:val="00177834"/>
    <w:rsid w:val="00177A1D"/>
    <w:rsid w:val="00177EEF"/>
    <w:rsid w:val="0018002D"/>
    <w:rsid w:val="001801B3"/>
    <w:rsid w:val="00180334"/>
    <w:rsid w:val="00180567"/>
    <w:rsid w:val="001806D6"/>
    <w:rsid w:val="001808D0"/>
    <w:rsid w:val="00180BDF"/>
    <w:rsid w:val="00180F2E"/>
    <w:rsid w:val="001811BB"/>
    <w:rsid w:val="001812A2"/>
    <w:rsid w:val="0018142D"/>
    <w:rsid w:val="001815A8"/>
    <w:rsid w:val="00181DD1"/>
    <w:rsid w:val="001827D3"/>
    <w:rsid w:val="00182867"/>
    <w:rsid w:val="0018297C"/>
    <w:rsid w:val="001829AB"/>
    <w:rsid w:val="00182FA6"/>
    <w:rsid w:val="00183905"/>
    <w:rsid w:val="00183D7A"/>
    <w:rsid w:val="00184029"/>
    <w:rsid w:val="00184060"/>
    <w:rsid w:val="00184E5A"/>
    <w:rsid w:val="0018509A"/>
    <w:rsid w:val="001853CC"/>
    <w:rsid w:val="0018557A"/>
    <w:rsid w:val="001858DF"/>
    <w:rsid w:val="00185E2D"/>
    <w:rsid w:val="00185E36"/>
    <w:rsid w:val="00185F15"/>
    <w:rsid w:val="00185F60"/>
    <w:rsid w:val="00186474"/>
    <w:rsid w:val="001867A6"/>
    <w:rsid w:val="001872FB"/>
    <w:rsid w:val="00187397"/>
    <w:rsid w:val="001878F3"/>
    <w:rsid w:val="00187E85"/>
    <w:rsid w:val="00190901"/>
    <w:rsid w:val="00190D09"/>
    <w:rsid w:val="001911AF"/>
    <w:rsid w:val="001918F3"/>
    <w:rsid w:val="00192197"/>
    <w:rsid w:val="001921F5"/>
    <w:rsid w:val="0019245D"/>
    <w:rsid w:val="00192479"/>
    <w:rsid w:val="00192A0E"/>
    <w:rsid w:val="00193198"/>
    <w:rsid w:val="00193333"/>
    <w:rsid w:val="00193BAA"/>
    <w:rsid w:val="00193CE1"/>
    <w:rsid w:val="001945E5"/>
    <w:rsid w:val="001949F3"/>
    <w:rsid w:val="00194EC3"/>
    <w:rsid w:val="00195542"/>
    <w:rsid w:val="00195B8C"/>
    <w:rsid w:val="00195CAA"/>
    <w:rsid w:val="00196326"/>
    <w:rsid w:val="001965F7"/>
    <w:rsid w:val="00196A4F"/>
    <w:rsid w:val="00196FEE"/>
    <w:rsid w:val="00197B0F"/>
    <w:rsid w:val="00197C6A"/>
    <w:rsid w:val="00197E02"/>
    <w:rsid w:val="00197EC5"/>
    <w:rsid w:val="001A0FBE"/>
    <w:rsid w:val="001A1818"/>
    <w:rsid w:val="001A1E33"/>
    <w:rsid w:val="001A23A4"/>
    <w:rsid w:val="001A2931"/>
    <w:rsid w:val="001A2EF1"/>
    <w:rsid w:val="001A3714"/>
    <w:rsid w:val="001A3E22"/>
    <w:rsid w:val="001A4000"/>
    <w:rsid w:val="001A4B46"/>
    <w:rsid w:val="001A4FF4"/>
    <w:rsid w:val="001A511E"/>
    <w:rsid w:val="001A5169"/>
    <w:rsid w:val="001A5194"/>
    <w:rsid w:val="001A55A4"/>
    <w:rsid w:val="001A5F56"/>
    <w:rsid w:val="001A6A2A"/>
    <w:rsid w:val="001A6C3A"/>
    <w:rsid w:val="001A7DC2"/>
    <w:rsid w:val="001A7E2E"/>
    <w:rsid w:val="001B004D"/>
    <w:rsid w:val="001B0866"/>
    <w:rsid w:val="001B0A99"/>
    <w:rsid w:val="001B0AE8"/>
    <w:rsid w:val="001B15CB"/>
    <w:rsid w:val="001B15E7"/>
    <w:rsid w:val="001B165C"/>
    <w:rsid w:val="001B1DE9"/>
    <w:rsid w:val="001B2203"/>
    <w:rsid w:val="001B32F4"/>
    <w:rsid w:val="001B331C"/>
    <w:rsid w:val="001B38A2"/>
    <w:rsid w:val="001B3992"/>
    <w:rsid w:val="001B4827"/>
    <w:rsid w:val="001B49E3"/>
    <w:rsid w:val="001B5B5B"/>
    <w:rsid w:val="001B5B91"/>
    <w:rsid w:val="001B6918"/>
    <w:rsid w:val="001B742D"/>
    <w:rsid w:val="001B7567"/>
    <w:rsid w:val="001C0367"/>
    <w:rsid w:val="001C0BCD"/>
    <w:rsid w:val="001C0CEE"/>
    <w:rsid w:val="001C0F3E"/>
    <w:rsid w:val="001C173F"/>
    <w:rsid w:val="001C1799"/>
    <w:rsid w:val="001C1DB7"/>
    <w:rsid w:val="001C203F"/>
    <w:rsid w:val="001C2186"/>
    <w:rsid w:val="001C2585"/>
    <w:rsid w:val="001C278D"/>
    <w:rsid w:val="001C2800"/>
    <w:rsid w:val="001C34BB"/>
    <w:rsid w:val="001C3A25"/>
    <w:rsid w:val="001C4AB7"/>
    <w:rsid w:val="001C4D9C"/>
    <w:rsid w:val="001C50B7"/>
    <w:rsid w:val="001C5D13"/>
    <w:rsid w:val="001C6051"/>
    <w:rsid w:val="001C66DC"/>
    <w:rsid w:val="001C6817"/>
    <w:rsid w:val="001C68AF"/>
    <w:rsid w:val="001C696E"/>
    <w:rsid w:val="001C7FF2"/>
    <w:rsid w:val="001D0079"/>
    <w:rsid w:val="001D042F"/>
    <w:rsid w:val="001D0933"/>
    <w:rsid w:val="001D09B2"/>
    <w:rsid w:val="001D0F2C"/>
    <w:rsid w:val="001D0F79"/>
    <w:rsid w:val="001D155D"/>
    <w:rsid w:val="001D16EE"/>
    <w:rsid w:val="001D1A7F"/>
    <w:rsid w:val="001D2120"/>
    <w:rsid w:val="001D2506"/>
    <w:rsid w:val="001D267F"/>
    <w:rsid w:val="001D2A0F"/>
    <w:rsid w:val="001D2D90"/>
    <w:rsid w:val="001D2E43"/>
    <w:rsid w:val="001D359F"/>
    <w:rsid w:val="001D36FF"/>
    <w:rsid w:val="001D395D"/>
    <w:rsid w:val="001D3A91"/>
    <w:rsid w:val="001D3D6C"/>
    <w:rsid w:val="001D44E9"/>
    <w:rsid w:val="001D493C"/>
    <w:rsid w:val="001D5106"/>
    <w:rsid w:val="001D52BD"/>
    <w:rsid w:val="001D6B52"/>
    <w:rsid w:val="001D6BFB"/>
    <w:rsid w:val="001D6F35"/>
    <w:rsid w:val="001D7216"/>
    <w:rsid w:val="001D7431"/>
    <w:rsid w:val="001D7741"/>
    <w:rsid w:val="001D7F88"/>
    <w:rsid w:val="001E0211"/>
    <w:rsid w:val="001E0F83"/>
    <w:rsid w:val="001E115B"/>
    <w:rsid w:val="001E15DF"/>
    <w:rsid w:val="001E2834"/>
    <w:rsid w:val="001E2D61"/>
    <w:rsid w:val="001E32A4"/>
    <w:rsid w:val="001E37F9"/>
    <w:rsid w:val="001E38CC"/>
    <w:rsid w:val="001E4653"/>
    <w:rsid w:val="001E58A2"/>
    <w:rsid w:val="001E60FC"/>
    <w:rsid w:val="001E6A61"/>
    <w:rsid w:val="001E762B"/>
    <w:rsid w:val="001E7BAA"/>
    <w:rsid w:val="001E7BF7"/>
    <w:rsid w:val="001F003A"/>
    <w:rsid w:val="001F051A"/>
    <w:rsid w:val="001F072E"/>
    <w:rsid w:val="001F0906"/>
    <w:rsid w:val="001F16A7"/>
    <w:rsid w:val="001F24E6"/>
    <w:rsid w:val="001F2BEF"/>
    <w:rsid w:val="001F3408"/>
    <w:rsid w:val="001F379D"/>
    <w:rsid w:val="001F3D50"/>
    <w:rsid w:val="001F4516"/>
    <w:rsid w:val="001F593F"/>
    <w:rsid w:val="001F5BF5"/>
    <w:rsid w:val="001F62EE"/>
    <w:rsid w:val="001F6438"/>
    <w:rsid w:val="001F64AD"/>
    <w:rsid w:val="001F68F2"/>
    <w:rsid w:val="001F6CAE"/>
    <w:rsid w:val="001F7428"/>
    <w:rsid w:val="001F7627"/>
    <w:rsid w:val="001F7E1D"/>
    <w:rsid w:val="00200332"/>
    <w:rsid w:val="002006DA"/>
    <w:rsid w:val="00200D95"/>
    <w:rsid w:val="0020103F"/>
    <w:rsid w:val="00201608"/>
    <w:rsid w:val="002017B7"/>
    <w:rsid w:val="00201ABC"/>
    <w:rsid w:val="00201DEA"/>
    <w:rsid w:val="00202612"/>
    <w:rsid w:val="00202615"/>
    <w:rsid w:val="002027D5"/>
    <w:rsid w:val="0020292D"/>
    <w:rsid w:val="00202BC4"/>
    <w:rsid w:val="00203AD4"/>
    <w:rsid w:val="00203D0F"/>
    <w:rsid w:val="00203F8F"/>
    <w:rsid w:val="002040DB"/>
    <w:rsid w:val="00204BCD"/>
    <w:rsid w:val="00204C72"/>
    <w:rsid w:val="002050DF"/>
    <w:rsid w:val="00205779"/>
    <w:rsid w:val="00205B21"/>
    <w:rsid w:val="00205DE1"/>
    <w:rsid w:val="00206853"/>
    <w:rsid w:val="002072E1"/>
    <w:rsid w:val="00207369"/>
    <w:rsid w:val="002075DC"/>
    <w:rsid w:val="00207664"/>
    <w:rsid w:val="00207744"/>
    <w:rsid w:val="002078B5"/>
    <w:rsid w:val="00207C06"/>
    <w:rsid w:val="002105C2"/>
    <w:rsid w:val="002105D8"/>
    <w:rsid w:val="002107F5"/>
    <w:rsid w:val="0021131F"/>
    <w:rsid w:val="002114EA"/>
    <w:rsid w:val="0021210C"/>
    <w:rsid w:val="0021258C"/>
    <w:rsid w:val="00212E81"/>
    <w:rsid w:val="00213494"/>
    <w:rsid w:val="00213DD7"/>
    <w:rsid w:val="00213E85"/>
    <w:rsid w:val="00214305"/>
    <w:rsid w:val="0021451E"/>
    <w:rsid w:val="002151C2"/>
    <w:rsid w:val="00215208"/>
    <w:rsid w:val="002155DE"/>
    <w:rsid w:val="002159EE"/>
    <w:rsid w:val="002162B2"/>
    <w:rsid w:val="00216327"/>
    <w:rsid w:val="0021660E"/>
    <w:rsid w:val="00216721"/>
    <w:rsid w:val="00216933"/>
    <w:rsid w:val="00216D3E"/>
    <w:rsid w:val="00216F65"/>
    <w:rsid w:val="00217AC0"/>
    <w:rsid w:val="0022085A"/>
    <w:rsid w:val="00221133"/>
    <w:rsid w:val="002215EC"/>
    <w:rsid w:val="002217B6"/>
    <w:rsid w:val="00221FE2"/>
    <w:rsid w:val="002228D8"/>
    <w:rsid w:val="00222FBB"/>
    <w:rsid w:val="00223022"/>
    <w:rsid w:val="00223680"/>
    <w:rsid w:val="002237F0"/>
    <w:rsid w:val="00223DC8"/>
    <w:rsid w:val="002249AC"/>
    <w:rsid w:val="00224BE8"/>
    <w:rsid w:val="00224C3D"/>
    <w:rsid w:val="0022546C"/>
    <w:rsid w:val="002254F2"/>
    <w:rsid w:val="002260EC"/>
    <w:rsid w:val="00226FBC"/>
    <w:rsid w:val="0022702D"/>
    <w:rsid w:val="00227E7F"/>
    <w:rsid w:val="00230118"/>
    <w:rsid w:val="00230D33"/>
    <w:rsid w:val="00230E54"/>
    <w:rsid w:val="00230F9C"/>
    <w:rsid w:val="00231179"/>
    <w:rsid w:val="002323C5"/>
    <w:rsid w:val="002330AF"/>
    <w:rsid w:val="002331E0"/>
    <w:rsid w:val="0023348F"/>
    <w:rsid w:val="0023361D"/>
    <w:rsid w:val="00233C22"/>
    <w:rsid w:val="00234E20"/>
    <w:rsid w:val="0023518F"/>
    <w:rsid w:val="002355CF"/>
    <w:rsid w:val="002358E0"/>
    <w:rsid w:val="002363E4"/>
    <w:rsid w:val="00236865"/>
    <w:rsid w:val="00236A94"/>
    <w:rsid w:val="002375D8"/>
    <w:rsid w:val="0023760C"/>
    <w:rsid w:val="00237733"/>
    <w:rsid w:val="0023783C"/>
    <w:rsid w:val="00237A5C"/>
    <w:rsid w:val="00240082"/>
    <w:rsid w:val="002401BE"/>
    <w:rsid w:val="00241A1A"/>
    <w:rsid w:val="0024229B"/>
    <w:rsid w:val="00242415"/>
    <w:rsid w:val="002429CB"/>
    <w:rsid w:val="0024321A"/>
    <w:rsid w:val="00243676"/>
    <w:rsid w:val="002436A0"/>
    <w:rsid w:val="00243D44"/>
    <w:rsid w:val="00244267"/>
    <w:rsid w:val="00244EF7"/>
    <w:rsid w:val="002454E1"/>
    <w:rsid w:val="00245EC9"/>
    <w:rsid w:val="00246012"/>
    <w:rsid w:val="002462A7"/>
    <w:rsid w:val="002465B4"/>
    <w:rsid w:val="0024661C"/>
    <w:rsid w:val="0024779F"/>
    <w:rsid w:val="00247F2C"/>
    <w:rsid w:val="00250AFD"/>
    <w:rsid w:val="00250D1F"/>
    <w:rsid w:val="002530F8"/>
    <w:rsid w:val="002531AD"/>
    <w:rsid w:val="0025460A"/>
    <w:rsid w:val="002547D2"/>
    <w:rsid w:val="002550C3"/>
    <w:rsid w:val="002555E9"/>
    <w:rsid w:val="00255EC9"/>
    <w:rsid w:val="00255FF3"/>
    <w:rsid w:val="002561B6"/>
    <w:rsid w:val="00256310"/>
    <w:rsid w:val="002563DB"/>
    <w:rsid w:val="00256AD1"/>
    <w:rsid w:val="00256ADD"/>
    <w:rsid w:val="00257AA6"/>
    <w:rsid w:val="002605CD"/>
    <w:rsid w:val="00260DD2"/>
    <w:rsid w:val="00260EE6"/>
    <w:rsid w:val="002613CD"/>
    <w:rsid w:val="00261777"/>
    <w:rsid w:val="00262BEE"/>
    <w:rsid w:val="002635F2"/>
    <w:rsid w:val="00264DDC"/>
    <w:rsid w:val="00264ECB"/>
    <w:rsid w:val="00265331"/>
    <w:rsid w:val="002658E2"/>
    <w:rsid w:val="00265E49"/>
    <w:rsid w:val="00266277"/>
    <w:rsid w:val="002666DC"/>
    <w:rsid w:val="00266B43"/>
    <w:rsid w:val="002672BD"/>
    <w:rsid w:val="00267475"/>
    <w:rsid w:val="002679BC"/>
    <w:rsid w:val="00267C4C"/>
    <w:rsid w:val="00267DB2"/>
    <w:rsid w:val="00267E47"/>
    <w:rsid w:val="0027059F"/>
    <w:rsid w:val="00270B7B"/>
    <w:rsid w:val="0027165A"/>
    <w:rsid w:val="00271998"/>
    <w:rsid w:val="00271A01"/>
    <w:rsid w:val="00271E5F"/>
    <w:rsid w:val="00272086"/>
    <w:rsid w:val="002725D2"/>
    <w:rsid w:val="002725E8"/>
    <w:rsid w:val="00272BA9"/>
    <w:rsid w:val="00272D4D"/>
    <w:rsid w:val="002734C5"/>
    <w:rsid w:val="002735A8"/>
    <w:rsid w:val="002739DE"/>
    <w:rsid w:val="00273DF8"/>
    <w:rsid w:val="00273E4C"/>
    <w:rsid w:val="00273EB6"/>
    <w:rsid w:val="00273F10"/>
    <w:rsid w:val="00274C91"/>
    <w:rsid w:val="00274D84"/>
    <w:rsid w:val="00274FE5"/>
    <w:rsid w:val="002754A2"/>
    <w:rsid w:val="00276358"/>
    <w:rsid w:val="00276359"/>
    <w:rsid w:val="002765D3"/>
    <w:rsid w:val="002774B2"/>
    <w:rsid w:val="00277C3D"/>
    <w:rsid w:val="002806A6"/>
    <w:rsid w:val="002806B6"/>
    <w:rsid w:val="00280A27"/>
    <w:rsid w:val="00281607"/>
    <w:rsid w:val="00281BFB"/>
    <w:rsid w:val="0028283C"/>
    <w:rsid w:val="002842E0"/>
    <w:rsid w:val="00284541"/>
    <w:rsid w:val="002847CF"/>
    <w:rsid w:val="00284BD2"/>
    <w:rsid w:val="0028542F"/>
    <w:rsid w:val="00285547"/>
    <w:rsid w:val="00285A8D"/>
    <w:rsid w:val="002861BA"/>
    <w:rsid w:val="00286601"/>
    <w:rsid w:val="002870AD"/>
    <w:rsid w:val="0028714C"/>
    <w:rsid w:val="00287524"/>
    <w:rsid w:val="00287D9D"/>
    <w:rsid w:val="00287DCC"/>
    <w:rsid w:val="002901EF"/>
    <w:rsid w:val="00290310"/>
    <w:rsid w:val="00290F6F"/>
    <w:rsid w:val="002912AF"/>
    <w:rsid w:val="00292111"/>
    <w:rsid w:val="00292265"/>
    <w:rsid w:val="002925CB"/>
    <w:rsid w:val="00292D1C"/>
    <w:rsid w:val="0029313B"/>
    <w:rsid w:val="00293444"/>
    <w:rsid w:val="0029345E"/>
    <w:rsid w:val="00293907"/>
    <w:rsid w:val="00293DC0"/>
    <w:rsid w:val="002947D2"/>
    <w:rsid w:val="00294B21"/>
    <w:rsid w:val="00294BF3"/>
    <w:rsid w:val="00295D24"/>
    <w:rsid w:val="002969A8"/>
    <w:rsid w:val="002969E6"/>
    <w:rsid w:val="00296BDD"/>
    <w:rsid w:val="00296C69"/>
    <w:rsid w:val="0029717A"/>
    <w:rsid w:val="00297CFC"/>
    <w:rsid w:val="0029CF0B"/>
    <w:rsid w:val="002A01BE"/>
    <w:rsid w:val="002A07CF"/>
    <w:rsid w:val="002A0849"/>
    <w:rsid w:val="002A1338"/>
    <w:rsid w:val="002A14C0"/>
    <w:rsid w:val="002A14F8"/>
    <w:rsid w:val="002A1F9E"/>
    <w:rsid w:val="002A1FA4"/>
    <w:rsid w:val="002A24B3"/>
    <w:rsid w:val="002A2A3B"/>
    <w:rsid w:val="002A2A74"/>
    <w:rsid w:val="002A2FA5"/>
    <w:rsid w:val="002A30AF"/>
    <w:rsid w:val="002A317A"/>
    <w:rsid w:val="002A3266"/>
    <w:rsid w:val="002A3781"/>
    <w:rsid w:val="002A3A5C"/>
    <w:rsid w:val="002A3A76"/>
    <w:rsid w:val="002A40FC"/>
    <w:rsid w:val="002A4835"/>
    <w:rsid w:val="002A52C0"/>
    <w:rsid w:val="002A55E9"/>
    <w:rsid w:val="002A576B"/>
    <w:rsid w:val="002A6921"/>
    <w:rsid w:val="002A6ACA"/>
    <w:rsid w:val="002A6B2D"/>
    <w:rsid w:val="002A6F57"/>
    <w:rsid w:val="002A6FA1"/>
    <w:rsid w:val="002A76F2"/>
    <w:rsid w:val="002B011C"/>
    <w:rsid w:val="002B0A1B"/>
    <w:rsid w:val="002B111A"/>
    <w:rsid w:val="002B120C"/>
    <w:rsid w:val="002B16E1"/>
    <w:rsid w:val="002B1E1F"/>
    <w:rsid w:val="002B2784"/>
    <w:rsid w:val="002B29F2"/>
    <w:rsid w:val="002B2D87"/>
    <w:rsid w:val="002B3091"/>
    <w:rsid w:val="002B34F2"/>
    <w:rsid w:val="002B3D75"/>
    <w:rsid w:val="002B409F"/>
    <w:rsid w:val="002B4339"/>
    <w:rsid w:val="002B4C21"/>
    <w:rsid w:val="002B4E08"/>
    <w:rsid w:val="002B50C4"/>
    <w:rsid w:val="002B5676"/>
    <w:rsid w:val="002B5700"/>
    <w:rsid w:val="002B57B8"/>
    <w:rsid w:val="002B5CD7"/>
    <w:rsid w:val="002B68EB"/>
    <w:rsid w:val="002B6B17"/>
    <w:rsid w:val="002B6BCC"/>
    <w:rsid w:val="002B6BFF"/>
    <w:rsid w:val="002B7304"/>
    <w:rsid w:val="002B79D6"/>
    <w:rsid w:val="002B7F1A"/>
    <w:rsid w:val="002C048B"/>
    <w:rsid w:val="002C107A"/>
    <w:rsid w:val="002C1319"/>
    <w:rsid w:val="002C1453"/>
    <w:rsid w:val="002C14BD"/>
    <w:rsid w:val="002C177A"/>
    <w:rsid w:val="002C1A2F"/>
    <w:rsid w:val="002C1B36"/>
    <w:rsid w:val="002C1DCF"/>
    <w:rsid w:val="002C2045"/>
    <w:rsid w:val="002C216B"/>
    <w:rsid w:val="002C289D"/>
    <w:rsid w:val="002C2C55"/>
    <w:rsid w:val="002C3091"/>
    <w:rsid w:val="002C3253"/>
    <w:rsid w:val="002C3668"/>
    <w:rsid w:val="002C433E"/>
    <w:rsid w:val="002C4441"/>
    <w:rsid w:val="002C4D1E"/>
    <w:rsid w:val="002C4E14"/>
    <w:rsid w:val="002C5D86"/>
    <w:rsid w:val="002C5E41"/>
    <w:rsid w:val="002C6119"/>
    <w:rsid w:val="002C673E"/>
    <w:rsid w:val="002C6D27"/>
    <w:rsid w:val="002C76B2"/>
    <w:rsid w:val="002D0235"/>
    <w:rsid w:val="002D05BB"/>
    <w:rsid w:val="002D0901"/>
    <w:rsid w:val="002D0A03"/>
    <w:rsid w:val="002D142A"/>
    <w:rsid w:val="002D23D3"/>
    <w:rsid w:val="002D3737"/>
    <w:rsid w:val="002D3B14"/>
    <w:rsid w:val="002D3CE6"/>
    <w:rsid w:val="002D41D6"/>
    <w:rsid w:val="002D4243"/>
    <w:rsid w:val="002D46E0"/>
    <w:rsid w:val="002D4C1B"/>
    <w:rsid w:val="002D4DAE"/>
    <w:rsid w:val="002D4DD7"/>
    <w:rsid w:val="002D53E2"/>
    <w:rsid w:val="002D5974"/>
    <w:rsid w:val="002D5BF8"/>
    <w:rsid w:val="002D69AB"/>
    <w:rsid w:val="002D6B83"/>
    <w:rsid w:val="002D6D05"/>
    <w:rsid w:val="002D74A5"/>
    <w:rsid w:val="002D77AA"/>
    <w:rsid w:val="002D797C"/>
    <w:rsid w:val="002D7AD2"/>
    <w:rsid w:val="002D7CE7"/>
    <w:rsid w:val="002E01B1"/>
    <w:rsid w:val="002E0548"/>
    <w:rsid w:val="002E0948"/>
    <w:rsid w:val="002E0FF1"/>
    <w:rsid w:val="002E10DC"/>
    <w:rsid w:val="002E37A1"/>
    <w:rsid w:val="002E3A1B"/>
    <w:rsid w:val="002E568B"/>
    <w:rsid w:val="002E6182"/>
    <w:rsid w:val="002E6468"/>
    <w:rsid w:val="002E6D1B"/>
    <w:rsid w:val="002E712E"/>
    <w:rsid w:val="002E7543"/>
    <w:rsid w:val="002E780F"/>
    <w:rsid w:val="002E7E53"/>
    <w:rsid w:val="002F0406"/>
    <w:rsid w:val="002F04D6"/>
    <w:rsid w:val="002F0641"/>
    <w:rsid w:val="002F0763"/>
    <w:rsid w:val="002F0A4A"/>
    <w:rsid w:val="002F0B91"/>
    <w:rsid w:val="002F1301"/>
    <w:rsid w:val="002F1536"/>
    <w:rsid w:val="002F1EA0"/>
    <w:rsid w:val="002F2407"/>
    <w:rsid w:val="002F2A40"/>
    <w:rsid w:val="002F364B"/>
    <w:rsid w:val="002F4291"/>
    <w:rsid w:val="002F42C4"/>
    <w:rsid w:val="002F4E62"/>
    <w:rsid w:val="002F5944"/>
    <w:rsid w:val="002F5CE2"/>
    <w:rsid w:val="002F636F"/>
    <w:rsid w:val="002F680A"/>
    <w:rsid w:val="002F6D99"/>
    <w:rsid w:val="002F70B4"/>
    <w:rsid w:val="002F786A"/>
    <w:rsid w:val="002F7AEF"/>
    <w:rsid w:val="00300095"/>
    <w:rsid w:val="00300355"/>
    <w:rsid w:val="0030053C"/>
    <w:rsid w:val="003005A7"/>
    <w:rsid w:val="00300974"/>
    <w:rsid w:val="00300A35"/>
    <w:rsid w:val="00300E94"/>
    <w:rsid w:val="00301495"/>
    <w:rsid w:val="00301A8C"/>
    <w:rsid w:val="00301C98"/>
    <w:rsid w:val="00301C99"/>
    <w:rsid w:val="003024BF"/>
    <w:rsid w:val="00302694"/>
    <w:rsid w:val="00302EA3"/>
    <w:rsid w:val="003032B8"/>
    <w:rsid w:val="003033AE"/>
    <w:rsid w:val="00303435"/>
    <w:rsid w:val="00303608"/>
    <w:rsid w:val="0030376F"/>
    <w:rsid w:val="00303B6E"/>
    <w:rsid w:val="00303CA1"/>
    <w:rsid w:val="00304B4C"/>
    <w:rsid w:val="0030509E"/>
    <w:rsid w:val="00305436"/>
    <w:rsid w:val="0030583F"/>
    <w:rsid w:val="0030595A"/>
    <w:rsid w:val="00305CDF"/>
    <w:rsid w:val="003063AF"/>
    <w:rsid w:val="00306653"/>
    <w:rsid w:val="0030666C"/>
    <w:rsid w:val="00306997"/>
    <w:rsid w:val="00306C50"/>
    <w:rsid w:val="00306FA0"/>
    <w:rsid w:val="003070B4"/>
    <w:rsid w:val="00307860"/>
    <w:rsid w:val="00307D4D"/>
    <w:rsid w:val="00307DE8"/>
    <w:rsid w:val="0030CAC9"/>
    <w:rsid w:val="00310626"/>
    <w:rsid w:val="00310A41"/>
    <w:rsid w:val="00311608"/>
    <w:rsid w:val="003117DA"/>
    <w:rsid w:val="00311FC5"/>
    <w:rsid w:val="003120FC"/>
    <w:rsid w:val="00312576"/>
    <w:rsid w:val="0031289D"/>
    <w:rsid w:val="00312EEA"/>
    <w:rsid w:val="0031300C"/>
    <w:rsid w:val="00313102"/>
    <w:rsid w:val="00313831"/>
    <w:rsid w:val="003143B6"/>
    <w:rsid w:val="00314CCD"/>
    <w:rsid w:val="00314F78"/>
    <w:rsid w:val="00315161"/>
    <w:rsid w:val="003154BA"/>
    <w:rsid w:val="00315515"/>
    <w:rsid w:val="0031580A"/>
    <w:rsid w:val="00315C43"/>
    <w:rsid w:val="00315E28"/>
    <w:rsid w:val="003165C2"/>
    <w:rsid w:val="00320101"/>
    <w:rsid w:val="00321833"/>
    <w:rsid w:val="00321B09"/>
    <w:rsid w:val="00322144"/>
    <w:rsid w:val="003226BF"/>
    <w:rsid w:val="0032283D"/>
    <w:rsid w:val="00322DF5"/>
    <w:rsid w:val="00322F8E"/>
    <w:rsid w:val="003237A0"/>
    <w:rsid w:val="003238E7"/>
    <w:rsid w:val="0032429C"/>
    <w:rsid w:val="003248C1"/>
    <w:rsid w:val="00324B0B"/>
    <w:rsid w:val="0032514C"/>
    <w:rsid w:val="00325A68"/>
    <w:rsid w:val="00325FE0"/>
    <w:rsid w:val="00326975"/>
    <w:rsid w:val="00326A1C"/>
    <w:rsid w:val="00326E7F"/>
    <w:rsid w:val="00327653"/>
    <w:rsid w:val="00330445"/>
    <w:rsid w:val="00330C84"/>
    <w:rsid w:val="00331581"/>
    <w:rsid w:val="00331CBD"/>
    <w:rsid w:val="003323FF"/>
    <w:rsid w:val="003325DD"/>
    <w:rsid w:val="00332728"/>
    <w:rsid w:val="00332976"/>
    <w:rsid w:val="003329C9"/>
    <w:rsid w:val="003330CD"/>
    <w:rsid w:val="003332F4"/>
    <w:rsid w:val="0033333D"/>
    <w:rsid w:val="00333F2C"/>
    <w:rsid w:val="00333F43"/>
    <w:rsid w:val="0033401F"/>
    <w:rsid w:val="00334809"/>
    <w:rsid w:val="00334C57"/>
    <w:rsid w:val="00335157"/>
    <w:rsid w:val="00335EE5"/>
    <w:rsid w:val="003361F0"/>
    <w:rsid w:val="00336591"/>
    <w:rsid w:val="003371BE"/>
    <w:rsid w:val="00337996"/>
    <w:rsid w:val="003407A0"/>
    <w:rsid w:val="00340906"/>
    <w:rsid w:val="00340C26"/>
    <w:rsid w:val="003410E2"/>
    <w:rsid w:val="0034128E"/>
    <w:rsid w:val="0034145F"/>
    <w:rsid w:val="00341AA9"/>
    <w:rsid w:val="00341F4D"/>
    <w:rsid w:val="00342595"/>
    <w:rsid w:val="003426D8"/>
    <w:rsid w:val="00342CB1"/>
    <w:rsid w:val="0034313B"/>
    <w:rsid w:val="003434A4"/>
    <w:rsid w:val="00343E10"/>
    <w:rsid w:val="0034411D"/>
    <w:rsid w:val="003443DF"/>
    <w:rsid w:val="00344759"/>
    <w:rsid w:val="00345126"/>
    <w:rsid w:val="00345567"/>
    <w:rsid w:val="00345A5F"/>
    <w:rsid w:val="0034616A"/>
    <w:rsid w:val="0034688D"/>
    <w:rsid w:val="003477E6"/>
    <w:rsid w:val="00347E09"/>
    <w:rsid w:val="003501CC"/>
    <w:rsid w:val="00350BF9"/>
    <w:rsid w:val="00351400"/>
    <w:rsid w:val="00351722"/>
    <w:rsid w:val="00351D56"/>
    <w:rsid w:val="00352398"/>
    <w:rsid w:val="003526F0"/>
    <w:rsid w:val="00353294"/>
    <w:rsid w:val="0035363C"/>
    <w:rsid w:val="00354008"/>
    <w:rsid w:val="00354422"/>
    <w:rsid w:val="003549C3"/>
    <w:rsid w:val="00354BA4"/>
    <w:rsid w:val="00354CA4"/>
    <w:rsid w:val="003553F7"/>
    <w:rsid w:val="00355DAF"/>
    <w:rsid w:val="00355E74"/>
    <w:rsid w:val="0035662C"/>
    <w:rsid w:val="00356ADD"/>
    <w:rsid w:val="00356E29"/>
    <w:rsid w:val="00357B9A"/>
    <w:rsid w:val="00357E10"/>
    <w:rsid w:val="003601C5"/>
    <w:rsid w:val="00360900"/>
    <w:rsid w:val="00360D5D"/>
    <w:rsid w:val="0036157C"/>
    <w:rsid w:val="003615A4"/>
    <w:rsid w:val="00361976"/>
    <w:rsid w:val="00361A60"/>
    <w:rsid w:val="00362413"/>
    <w:rsid w:val="003626EF"/>
    <w:rsid w:val="00362B9A"/>
    <w:rsid w:val="003644AD"/>
    <w:rsid w:val="00364E5F"/>
    <w:rsid w:val="0036504F"/>
    <w:rsid w:val="00365699"/>
    <w:rsid w:val="00365CCF"/>
    <w:rsid w:val="003670C1"/>
    <w:rsid w:val="0036734F"/>
    <w:rsid w:val="00370591"/>
    <w:rsid w:val="00370AAE"/>
    <w:rsid w:val="00370C9E"/>
    <w:rsid w:val="003710EC"/>
    <w:rsid w:val="0037124C"/>
    <w:rsid w:val="00371634"/>
    <w:rsid w:val="00372734"/>
    <w:rsid w:val="00372DE2"/>
    <w:rsid w:val="00372F8A"/>
    <w:rsid w:val="00373449"/>
    <w:rsid w:val="003734F3"/>
    <w:rsid w:val="003737CF"/>
    <w:rsid w:val="00374FA1"/>
    <w:rsid w:val="003752E8"/>
    <w:rsid w:val="00375700"/>
    <w:rsid w:val="00375775"/>
    <w:rsid w:val="0037580B"/>
    <w:rsid w:val="0037759A"/>
    <w:rsid w:val="00377968"/>
    <w:rsid w:val="00377B42"/>
    <w:rsid w:val="0038048B"/>
    <w:rsid w:val="00381B3A"/>
    <w:rsid w:val="00381BCA"/>
    <w:rsid w:val="0038207C"/>
    <w:rsid w:val="00382658"/>
    <w:rsid w:val="00382C34"/>
    <w:rsid w:val="00385067"/>
    <w:rsid w:val="00385A12"/>
    <w:rsid w:val="00385FA3"/>
    <w:rsid w:val="0038605F"/>
    <w:rsid w:val="0038624B"/>
    <w:rsid w:val="00386300"/>
    <w:rsid w:val="00386443"/>
    <w:rsid w:val="00386719"/>
    <w:rsid w:val="003868D5"/>
    <w:rsid w:val="00386BDC"/>
    <w:rsid w:val="00386C1C"/>
    <w:rsid w:val="00387377"/>
    <w:rsid w:val="00387524"/>
    <w:rsid w:val="003876AB"/>
    <w:rsid w:val="00390CC3"/>
    <w:rsid w:val="0039144A"/>
    <w:rsid w:val="00391B69"/>
    <w:rsid w:val="00392098"/>
    <w:rsid w:val="00392209"/>
    <w:rsid w:val="003923C5"/>
    <w:rsid w:val="00392537"/>
    <w:rsid w:val="003926B7"/>
    <w:rsid w:val="00392E79"/>
    <w:rsid w:val="00392FCD"/>
    <w:rsid w:val="003930FD"/>
    <w:rsid w:val="0039373D"/>
    <w:rsid w:val="00393AF9"/>
    <w:rsid w:val="00393C3E"/>
    <w:rsid w:val="00393E03"/>
    <w:rsid w:val="003940AF"/>
    <w:rsid w:val="003944BC"/>
    <w:rsid w:val="00394B9E"/>
    <w:rsid w:val="00394C5F"/>
    <w:rsid w:val="00394DF0"/>
    <w:rsid w:val="0039551D"/>
    <w:rsid w:val="00395569"/>
    <w:rsid w:val="00396FE4"/>
    <w:rsid w:val="003973C5"/>
    <w:rsid w:val="0039749B"/>
    <w:rsid w:val="00397E07"/>
    <w:rsid w:val="003A02E1"/>
    <w:rsid w:val="003A11EE"/>
    <w:rsid w:val="003A1E73"/>
    <w:rsid w:val="003A2334"/>
    <w:rsid w:val="003A29F1"/>
    <w:rsid w:val="003A2D4D"/>
    <w:rsid w:val="003A2ECC"/>
    <w:rsid w:val="003A30D7"/>
    <w:rsid w:val="003A323D"/>
    <w:rsid w:val="003A32DA"/>
    <w:rsid w:val="003A335C"/>
    <w:rsid w:val="003A3841"/>
    <w:rsid w:val="003A44D6"/>
    <w:rsid w:val="003A4978"/>
    <w:rsid w:val="003A50F5"/>
    <w:rsid w:val="003A526B"/>
    <w:rsid w:val="003A572A"/>
    <w:rsid w:val="003A5B6E"/>
    <w:rsid w:val="003A5BA0"/>
    <w:rsid w:val="003A5BB9"/>
    <w:rsid w:val="003A5D0E"/>
    <w:rsid w:val="003A6488"/>
    <w:rsid w:val="003A6C80"/>
    <w:rsid w:val="003A6F8E"/>
    <w:rsid w:val="003A7079"/>
    <w:rsid w:val="003A784C"/>
    <w:rsid w:val="003A7AD0"/>
    <w:rsid w:val="003B006D"/>
    <w:rsid w:val="003B00F3"/>
    <w:rsid w:val="003B0305"/>
    <w:rsid w:val="003B0599"/>
    <w:rsid w:val="003B0822"/>
    <w:rsid w:val="003B1098"/>
    <w:rsid w:val="003B1C84"/>
    <w:rsid w:val="003B1D0D"/>
    <w:rsid w:val="003B294E"/>
    <w:rsid w:val="003B2EEC"/>
    <w:rsid w:val="003B43A1"/>
    <w:rsid w:val="003B43A3"/>
    <w:rsid w:val="003B482C"/>
    <w:rsid w:val="003B528E"/>
    <w:rsid w:val="003B5A8E"/>
    <w:rsid w:val="003B683C"/>
    <w:rsid w:val="003B7235"/>
    <w:rsid w:val="003B7D40"/>
    <w:rsid w:val="003C0BD5"/>
    <w:rsid w:val="003C0BD7"/>
    <w:rsid w:val="003C0FDF"/>
    <w:rsid w:val="003C1059"/>
    <w:rsid w:val="003C131F"/>
    <w:rsid w:val="003C1405"/>
    <w:rsid w:val="003C18FF"/>
    <w:rsid w:val="003C1EFE"/>
    <w:rsid w:val="003C201E"/>
    <w:rsid w:val="003C2873"/>
    <w:rsid w:val="003C4092"/>
    <w:rsid w:val="003C4611"/>
    <w:rsid w:val="003C55A5"/>
    <w:rsid w:val="003C55BB"/>
    <w:rsid w:val="003C5A00"/>
    <w:rsid w:val="003C5A73"/>
    <w:rsid w:val="003C5E65"/>
    <w:rsid w:val="003C6127"/>
    <w:rsid w:val="003C65C5"/>
    <w:rsid w:val="003C6871"/>
    <w:rsid w:val="003C7060"/>
    <w:rsid w:val="003C709E"/>
    <w:rsid w:val="003C7442"/>
    <w:rsid w:val="003D0271"/>
    <w:rsid w:val="003D0567"/>
    <w:rsid w:val="003D110B"/>
    <w:rsid w:val="003D1126"/>
    <w:rsid w:val="003D14EE"/>
    <w:rsid w:val="003D1D8C"/>
    <w:rsid w:val="003D2AE8"/>
    <w:rsid w:val="003D2F8C"/>
    <w:rsid w:val="003D370C"/>
    <w:rsid w:val="003D377F"/>
    <w:rsid w:val="003D37F3"/>
    <w:rsid w:val="003D38CD"/>
    <w:rsid w:val="003D5149"/>
    <w:rsid w:val="003D526B"/>
    <w:rsid w:val="003D5777"/>
    <w:rsid w:val="003D5C4A"/>
    <w:rsid w:val="003D6036"/>
    <w:rsid w:val="003D69DB"/>
    <w:rsid w:val="003D7C59"/>
    <w:rsid w:val="003E01DA"/>
    <w:rsid w:val="003E09F5"/>
    <w:rsid w:val="003E0AAE"/>
    <w:rsid w:val="003E12CB"/>
    <w:rsid w:val="003E1417"/>
    <w:rsid w:val="003E17EE"/>
    <w:rsid w:val="003E1BAF"/>
    <w:rsid w:val="003E1DE9"/>
    <w:rsid w:val="003E2423"/>
    <w:rsid w:val="003E2557"/>
    <w:rsid w:val="003E2750"/>
    <w:rsid w:val="003E289B"/>
    <w:rsid w:val="003E2D41"/>
    <w:rsid w:val="003E35F0"/>
    <w:rsid w:val="003E361B"/>
    <w:rsid w:val="003E361F"/>
    <w:rsid w:val="003E39D8"/>
    <w:rsid w:val="003E4360"/>
    <w:rsid w:val="003E4A86"/>
    <w:rsid w:val="003E4AEE"/>
    <w:rsid w:val="003E4B34"/>
    <w:rsid w:val="003E568C"/>
    <w:rsid w:val="003E573A"/>
    <w:rsid w:val="003E5A12"/>
    <w:rsid w:val="003E5C57"/>
    <w:rsid w:val="003E687B"/>
    <w:rsid w:val="003E6AFF"/>
    <w:rsid w:val="003E6CAE"/>
    <w:rsid w:val="003E709A"/>
    <w:rsid w:val="003E74A9"/>
    <w:rsid w:val="003E7588"/>
    <w:rsid w:val="003E7A9B"/>
    <w:rsid w:val="003E7ADB"/>
    <w:rsid w:val="003F02B8"/>
    <w:rsid w:val="003F1465"/>
    <w:rsid w:val="003F173B"/>
    <w:rsid w:val="003F2681"/>
    <w:rsid w:val="003F2972"/>
    <w:rsid w:val="003F31D6"/>
    <w:rsid w:val="003F3A21"/>
    <w:rsid w:val="003F3C72"/>
    <w:rsid w:val="003F3C90"/>
    <w:rsid w:val="003F4CFA"/>
    <w:rsid w:val="003F59B7"/>
    <w:rsid w:val="003F59C7"/>
    <w:rsid w:val="003F5D0B"/>
    <w:rsid w:val="003F685B"/>
    <w:rsid w:val="003F6FA7"/>
    <w:rsid w:val="003F735E"/>
    <w:rsid w:val="003F7D55"/>
    <w:rsid w:val="003F7F81"/>
    <w:rsid w:val="004001AF"/>
    <w:rsid w:val="00401A2F"/>
    <w:rsid w:val="00401DC1"/>
    <w:rsid w:val="004030B7"/>
    <w:rsid w:val="004030DA"/>
    <w:rsid w:val="0040327F"/>
    <w:rsid w:val="004032B8"/>
    <w:rsid w:val="00403410"/>
    <w:rsid w:val="00403492"/>
    <w:rsid w:val="00403F1F"/>
    <w:rsid w:val="00404098"/>
    <w:rsid w:val="00404302"/>
    <w:rsid w:val="0040451F"/>
    <w:rsid w:val="00404868"/>
    <w:rsid w:val="00404CCE"/>
    <w:rsid w:val="00404EAB"/>
    <w:rsid w:val="00404FB1"/>
    <w:rsid w:val="0040505C"/>
    <w:rsid w:val="004052F2"/>
    <w:rsid w:val="0040632B"/>
    <w:rsid w:val="00407A0F"/>
    <w:rsid w:val="00407B21"/>
    <w:rsid w:val="00407E4B"/>
    <w:rsid w:val="00410148"/>
    <w:rsid w:val="00410517"/>
    <w:rsid w:val="0041052B"/>
    <w:rsid w:val="0041057E"/>
    <w:rsid w:val="00410B4B"/>
    <w:rsid w:val="00410C2A"/>
    <w:rsid w:val="00411A6A"/>
    <w:rsid w:val="00411C07"/>
    <w:rsid w:val="00412A04"/>
    <w:rsid w:val="00412A4F"/>
    <w:rsid w:val="00412B78"/>
    <w:rsid w:val="0041359E"/>
    <w:rsid w:val="00413830"/>
    <w:rsid w:val="004138C5"/>
    <w:rsid w:val="00413C20"/>
    <w:rsid w:val="00413C60"/>
    <w:rsid w:val="00413D69"/>
    <w:rsid w:val="0041430E"/>
    <w:rsid w:val="004143ED"/>
    <w:rsid w:val="00414430"/>
    <w:rsid w:val="00415610"/>
    <w:rsid w:val="00415C52"/>
    <w:rsid w:val="00415CF0"/>
    <w:rsid w:val="00416109"/>
    <w:rsid w:val="00416275"/>
    <w:rsid w:val="004162A1"/>
    <w:rsid w:val="004163A5"/>
    <w:rsid w:val="00416515"/>
    <w:rsid w:val="004167C6"/>
    <w:rsid w:val="004168DA"/>
    <w:rsid w:val="00416B22"/>
    <w:rsid w:val="00416C23"/>
    <w:rsid w:val="0041700D"/>
    <w:rsid w:val="0041703E"/>
    <w:rsid w:val="00417A72"/>
    <w:rsid w:val="00417CD6"/>
    <w:rsid w:val="00417D95"/>
    <w:rsid w:val="00417E9A"/>
    <w:rsid w:val="0042016F"/>
    <w:rsid w:val="00420804"/>
    <w:rsid w:val="00420970"/>
    <w:rsid w:val="00420E07"/>
    <w:rsid w:val="00421BDA"/>
    <w:rsid w:val="00422C35"/>
    <w:rsid w:val="00422D98"/>
    <w:rsid w:val="004238B0"/>
    <w:rsid w:val="0042406F"/>
    <w:rsid w:val="004248F9"/>
    <w:rsid w:val="0042519D"/>
    <w:rsid w:val="004252A4"/>
    <w:rsid w:val="004252B8"/>
    <w:rsid w:val="004258A8"/>
    <w:rsid w:val="00425B13"/>
    <w:rsid w:val="004260A3"/>
    <w:rsid w:val="00426472"/>
    <w:rsid w:val="004267D7"/>
    <w:rsid w:val="00426943"/>
    <w:rsid w:val="00427388"/>
    <w:rsid w:val="00427893"/>
    <w:rsid w:val="00427B43"/>
    <w:rsid w:val="00427CB7"/>
    <w:rsid w:val="00427E53"/>
    <w:rsid w:val="0042FBE7"/>
    <w:rsid w:val="00431193"/>
    <w:rsid w:val="004312FF"/>
    <w:rsid w:val="00431338"/>
    <w:rsid w:val="00431545"/>
    <w:rsid w:val="00431888"/>
    <w:rsid w:val="00431ED3"/>
    <w:rsid w:val="00432E5C"/>
    <w:rsid w:val="004330F7"/>
    <w:rsid w:val="00433384"/>
    <w:rsid w:val="004337B2"/>
    <w:rsid w:val="00433857"/>
    <w:rsid w:val="004338CD"/>
    <w:rsid w:val="00433AAC"/>
    <w:rsid w:val="00433B9C"/>
    <w:rsid w:val="00433CC3"/>
    <w:rsid w:val="00434184"/>
    <w:rsid w:val="00434398"/>
    <w:rsid w:val="004349EF"/>
    <w:rsid w:val="00435058"/>
    <w:rsid w:val="004352D3"/>
    <w:rsid w:val="004358FF"/>
    <w:rsid w:val="00435E00"/>
    <w:rsid w:val="004368D2"/>
    <w:rsid w:val="00436DDC"/>
    <w:rsid w:val="00437526"/>
    <w:rsid w:val="0043793D"/>
    <w:rsid w:val="00437A8E"/>
    <w:rsid w:val="00440161"/>
    <w:rsid w:val="004407D7"/>
    <w:rsid w:val="00440E1C"/>
    <w:rsid w:val="00442228"/>
    <w:rsid w:val="00442963"/>
    <w:rsid w:val="00443AFF"/>
    <w:rsid w:val="0044428D"/>
    <w:rsid w:val="00444D31"/>
    <w:rsid w:val="00444E44"/>
    <w:rsid w:val="00444EC6"/>
    <w:rsid w:val="004452B0"/>
    <w:rsid w:val="004455AD"/>
    <w:rsid w:val="00445B8B"/>
    <w:rsid w:val="004461A9"/>
    <w:rsid w:val="00446B46"/>
    <w:rsid w:val="00446BE3"/>
    <w:rsid w:val="0044713E"/>
    <w:rsid w:val="004473A5"/>
    <w:rsid w:val="0044778A"/>
    <w:rsid w:val="00447D7E"/>
    <w:rsid w:val="00447F71"/>
    <w:rsid w:val="0045042C"/>
    <w:rsid w:val="00450955"/>
    <w:rsid w:val="00450F2F"/>
    <w:rsid w:val="004512A2"/>
    <w:rsid w:val="004512F0"/>
    <w:rsid w:val="0045143C"/>
    <w:rsid w:val="0045158F"/>
    <w:rsid w:val="004519BF"/>
    <w:rsid w:val="004519E1"/>
    <w:rsid w:val="00451B63"/>
    <w:rsid w:val="00451D41"/>
    <w:rsid w:val="00451D92"/>
    <w:rsid w:val="004521ED"/>
    <w:rsid w:val="00452874"/>
    <w:rsid w:val="00452AEA"/>
    <w:rsid w:val="00452F53"/>
    <w:rsid w:val="00453E05"/>
    <w:rsid w:val="00453FEB"/>
    <w:rsid w:val="00454196"/>
    <w:rsid w:val="0045454B"/>
    <w:rsid w:val="00454987"/>
    <w:rsid w:val="00454D17"/>
    <w:rsid w:val="004554AA"/>
    <w:rsid w:val="004561AE"/>
    <w:rsid w:val="00456974"/>
    <w:rsid w:val="00457AA1"/>
    <w:rsid w:val="00457AE4"/>
    <w:rsid w:val="00457F7F"/>
    <w:rsid w:val="00457F87"/>
    <w:rsid w:val="0046005C"/>
    <w:rsid w:val="004605D5"/>
    <w:rsid w:val="0046062B"/>
    <w:rsid w:val="00460A57"/>
    <w:rsid w:val="00460E9D"/>
    <w:rsid w:val="00460F5C"/>
    <w:rsid w:val="004618B8"/>
    <w:rsid w:val="00462E0F"/>
    <w:rsid w:val="004631D2"/>
    <w:rsid w:val="004636AE"/>
    <w:rsid w:val="00463BEB"/>
    <w:rsid w:val="00463D6A"/>
    <w:rsid w:val="0046405A"/>
    <w:rsid w:val="004641E3"/>
    <w:rsid w:val="004649FA"/>
    <w:rsid w:val="00464AF4"/>
    <w:rsid w:val="00464B5B"/>
    <w:rsid w:val="00464E47"/>
    <w:rsid w:val="00464F7B"/>
    <w:rsid w:val="00465D21"/>
    <w:rsid w:val="0046672D"/>
    <w:rsid w:val="00466C81"/>
    <w:rsid w:val="00467708"/>
    <w:rsid w:val="004678FA"/>
    <w:rsid w:val="004679E6"/>
    <w:rsid w:val="00467AC5"/>
    <w:rsid w:val="004701A7"/>
    <w:rsid w:val="0047040D"/>
    <w:rsid w:val="00470AEC"/>
    <w:rsid w:val="00470D6F"/>
    <w:rsid w:val="0047108B"/>
    <w:rsid w:val="004714E5"/>
    <w:rsid w:val="0047181E"/>
    <w:rsid w:val="0047267C"/>
    <w:rsid w:val="004727D3"/>
    <w:rsid w:val="00472C2A"/>
    <w:rsid w:val="00473B9E"/>
    <w:rsid w:val="00473C70"/>
    <w:rsid w:val="004741E9"/>
    <w:rsid w:val="00474549"/>
    <w:rsid w:val="0047462B"/>
    <w:rsid w:val="00474997"/>
    <w:rsid w:val="00475043"/>
    <w:rsid w:val="0047522F"/>
    <w:rsid w:val="0047586C"/>
    <w:rsid w:val="004759F0"/>
    <w:rsid w:val="0047626A"/>
    <w:rsid w:val="004763A4"/>
    <w:rsid w:val="00476B88"/>
    <w:rsid w:val="00476BD1"/>
    <w:rsid w:val="00477660"/>
    <w:rsid w:val="00477887"/>
    <w:rsid w:val="00477AD1"/>
    <w:rsid w:val="00480E22"/>
    <w:rsid w:val="00480E73"/>
    <w:rsid w:val="004811B3"/>
    <w:rsid w:val="0048157F"/>
    <w:rsid w:val="004816D1"/>
    <w:rsid w:val="00481E57"/>
    <w:rsid w:val="00481FD4"/>
    <w:rsid w:val="004830C6"/>
    <w:rsid w:val="004832DE"/>
    <w:rsid w:val="00483E20"/>
    <w:rsid w:val="00484531"/>
    <w:rsid w:val="004850CE"/>
    <w:rsid w:val="00485BA3"/>
    <w:rsid w:val="00485C7E"/>
    <w:rsid w:val="00486088"/>
    <w:rsid w:val="004860BF"/>
    <w:rsid w:val="004860CB"/>
    <w:rsid w:val="00486158"/>
    <w:rsid w:val="004861B5"/>
    <w:rsid w:val="00486243"/>
    <w:rsid w:val="004865CD"/>
    <w:rsid w:val="0048671B"/>
    <w:rsid w:val="00487148"/>
    <w:rsid w:val="004874D5"/>
    <w:rsid w:val="00487779"/>
    <w:rsid w:val="00487CE9"/>
    <w:rsid w:val="0049067D"/>
    <w:rsid w:val="00491213"/>
    <w:rsid w:val="00491980"/>
    <w:rsid w:val="00491D5B"/>
    <w:rsid w:val="0049248E"/>
    <w:rsid w:val="004924B4"/>
    <w:rsid w:val="00492EA6"/>
    <w:rsid w:val="004937A2"/>
    <w:rsid w:val="00493A44"/>
    <w:rsid w:val="00494068"/>
    <w:rsid w:val="00494296"/>
    <w:rsid w:val="0049445E"/>
    <w:rsid w:val="00494667"/>
    <w:rsid w:val="0049482F"/>
    <w:rsid w:val="00494AF0"/>
    <w:rsid w:val="00495844"/>
    <w:rsid w:val="00495F91"/>
    <w:rsid w:val="00496095"/>
    <w:rsid w:val="0049618E"/>
    <w:rsid w:val="00496C8A"/>
    <w:rsid w:val="00496E74"/>
    <w:rsid w:val="00497352"/>
    <w:rsid w:val="004979D4"/>
    <w:rsid w:val="00497C16"/>
    <w:rsid w:val="004A0502"/>
    <w:rsid w:val="004A091F"/>
    <w:rsid w:val="004A099A"/>
    <w:rsid w:val="004A09AA"/>
    <w:rsid w:val="004A0DBB"/>
    <w:rsid w:val="004A127E"/>
    <w:rsid w:val="004A16E0"/>
    <w:rsid w:val="004A1D32"/>
    <w:rsid w:val="004A1FD4"/>
    <w:rsid w:val="004A200F"/>
    <w:rsid w:val="004A26F5"/>
    <w:rsid w:val="004A2B83"/>
    <w:rsid w:val="004A2E4B"/>
    <w:rsid w:val="004A2E8E"/>
    <w:rsid w:val="004A3315"/>
    <w:rsid w:val="004A3459"/>
    <w:rsid w:val="004A390A"/>
    <w:rsid w:val="004A39B2"/>
    <w:rsid w:val="004A3C2B"/>
    <w:rsid w:val="004A440D"/>
    <w:rsid w:val="004A4444"/>
    <w:rsid w:val="004A4936"/>
    <w:rsid w:val="004A4D80"/>
    <w:rsid w:val="004A4DFA"/>
    <w:rsid w:val="004A522F"/>
    <w:rsid w:val="004A57EF"/>
    <w:rsid w:val="004A5C1D"/>
    <w:rsid w:val="004A6217"/>
    <w:rsid w:val="004A676B"/>
    <w:rsid w:val="004A6AE6"/>
    <w:rsid w:val="004A6CB1"/>
    <w:rsid w:val="004A7433"/>
    <w:rsid w:val="004AA7CA"/>
    <w:rsid w:val="004B0C3A"/>
    <w:rsid w:val="004B11DF"/>
    <w:rsid w:val="004B121A"/>
    <w:rsid w:val="004B12D1"/>
    <w:rsid w:val="004B1608"/>
    <w:rsid w:val="004B1762"/>
    <w:rsid w:val="004B1B93"/>
    <w:rsid w:val="004B1BED"/>
    <w:rsid w:val="004B2A8A"/>
    <w:rsid w:val="004B2F1F"/>
    <w:rsid w:val="004B3851"/>
    <w:rsid w:val="004B3B71"/>
    <w:rsid w:val="004B3D87"/>
    <w:rsid w:val="004B42BD"/>
    <w:rsid w:val="004B4BD9"/>
    <w:rsid w:val="004B51A1"/>
    <w:rsid w:val="004B5306"/>
    <w:rsid w:val="004B5489"/>
    <w:rsid w:val="004B550D"/>
    <w:rsid w:val="004B616E"/>
    <w:rsid w:val="004B61F3"/>
    <w:rsid w:val="004B7CCA"/>
    <w:rsid w:val="004BA1D2"/>
    <w:rsid w:val="004C0E7C"/>
    <w:rsid w:val="004C177B"/>
    <w:rsid w:val="004C18D3"/>
    <w:rsid w:val="004C1CE8"/>
    <w:rsid w:val="004C2355"/>
    <w:rsid w:val="004C2F6F"/>
    <w:rsid w:val="004C3200"/>
    <w:rsid w:val="004C3C64"/>
    <w:rsid w:val="004C3E77"/>
    <w:rsid w:val="004C4283"/>
    <w:rsid w:val="004C429D"/>
    <w:rsid w:val="004C4954"/>
    <w:rsid w:val="004C5041"/>
    <w:rsid w:val="004C531E"/>
    <w:rsid w:val="004C57D1"/>
    <w:rsid w:val="004C5A3C"/>
    <w:rsid w:val="004C5D33"/>
    <w:rsid w:val="004C65C5"/>
    <w:rsid w:val="004C66C5"/>
    <w:rsid w:val="004C6C66"/>
    <w:rsid w:val="004C6EAE"/>
    <w:rsid w:val="004C6F20"/>
    <w:rsid w:val="004C7278"/>
    <w:rsid w:val="004C72B0"/>
    <w:rsid w:val="004C7861"/>
    <w:rsid w:val="004C7BE4"/>
    <w:rsid w:val="004D0B17"/>
    <w:rsid w:val="004D11D2"/>
    <w:rsid w:val="004D1547"/>
    <w:rsid w:val="004D2124"/>
    <w:rsid w:val="004D2A8C"/>
    <w:rsid w:val="004D2F44"/>
    <w:rsid w:val="004D4999"/>
    <w:rsid w:val="004D4BF7"/>
    <w:rsid w:val="004D4DF8"/>
    <w:rsid w:val="004D7D66"/>
    <w:rsid w:val="004D7DD4"/>
    <w:rsid w:val="004E0180"/>
    <w:rsid w:val="004E01D5"/>
    <w:rsid w:val="004E033D"/>
    <w:rsid w:val="004E0631"/>
    <w:rsid w:val="004E0691"/>
    <w:rsid w:val="004E1261"/>
    <w:rsid w:val="004E1DD3"/>
    <w:rsid w:val="004E2364"/>
    <w:rsid w:val="004E2630"/>
    <w:rsid w:val="004E2B49"/>
    <w:rsid w:val="004E2C51"/>
    <w:rsid w:val="004E3046"/>
    <w:rsid w:val="004E3185"/>
    <w:rsid w:val="004E3AD4"/>
    <w:rsid w:val="004E3D21"/>
    <w:rsid w:val="004E3E97"/>
    <w:rsid w:val="004E4723"/>
    <w:rsid w:val="004E50FE"/>
    <w:rsid w:val="004E57B9"/>
    <w:rsid w:val="004E63D7"/>
    <w:rsid w:val="004E644D"/>
    <w:rsid w:val="004E6576"/>
    <w:rsid w:val="004E668F"/>
    <w:rsid w:val="004E69EF"/>
    <w:rsid w:val="004E7D90"/>
    <w:rsid w:val="004E7F68"/>
    <w:rsid w:val="004F0490"/>
    <w:rsid w:val="004F083B"/>
    <w:rsid w:val="004F1391"/>
    <w:rsid w:val="004F1D24"/>
    <w:rsid w:val="004F272B"/>
    <w:rsid w:val="004F306D"/>
    <w:rsid w:val="004F38D6"/>
    <w:rsid w:val="004F3958"/>
    <w:rsid w:val="004F4238"/>
    <w:rsid w:val="004F428F"/>
    <w:rsid w:val="004F4393"/>
    <w:rsid w:val="004F5104"/>
    <w:rsid w:val="004F532F"/>
    <w:rsid w:val="004F5DBA"/>
    <w:rsid w:val="004F6121"/>
    <w:rsid w:val="004F62C4"/>
    <w:rsid w:val="004F6941"/>
    <w:rsid w:val="004F7610"/>
    <w:rsid w:val="004F79D0"/>
    <w:rsid w:val="00500233"/>
    <w:rsid w:val="00500402"/>
    <w:rsid w:val="005005DE"/>
    <w:rsid w:val="00500E94"/>
    <w:rsid w:val="00500F74"/>
    <w:rsid w:val="0050108B"/>
    <w:rsid w:val="0050226A"/>
    <w:rsid w:val="0050233B"/>
    <w:rsid w:val="00502347"/>
    <w:rsid w:val="00502D5B"/>
    <w:rsid w:val="00503683"/>
    <w:rsid w:val="005047FC"/>
    <w:rsid w:val="00504A2E"/>
    <w:rsid w:val="005053C0"/>
    <w:rsid w:val="00505642"/>
    <w:rsid w:val="00505A4B"/>
    <w:rsid w:val="00505D7D"/>
    <w:rsid w:val="00505DBE"/>
    <w:rsid w:val="0050731B"/>
    <w:rsid w:val="00507EC7"/>
    <w:rsid w:val="005109D5"/>
    <w:rsid w:val="00511875"/>
    <w:rsid w:val="00511CE6"/>
    <w:rsid w:val="00512324"/>
    <w:rsid w:val="005127A0"/>
    <w:rsid w:val="00512B6A"/>
    <w:rsid w:val="00512BD8"/>
    <w:rsid w:val="00513170"/>
    <w:rsid w:val="005134DC"/>
    <w:rsid w:val="00513A8E"/>
    <w:rsid w:val="00514B88"/>
    <w:rsid w:val="00515259"/>
    <w:rsid w:val="00515445"/>
    <w:rsid w:val="00515C2D"/>
    <w:rsid w:val="00515CCA"/>
    <w:rsid w:val="00516696"/>
    <w:rsid w:val="00516825"/>
    <w:rsid w:val="00516C62"/>
    <w:rsid w:val="00517178"/>
    <w:rsid w:val="005171CD"/>
    <w:rsid w:val="00517432"/>
    <w:rsid w:val="0051743E"/>
    <w:rsid w:val="00520049"/>
    <w:rsid w:val="0052010A"/>
    <w:rsid w:val="0052042C"/>
    <w:rsid w:val="00520857"/>
    <w:rsid w:val="00521DE6"/>
    <w:rsid w:val="00521E43"/>
    <w:rsid w:val="0052255C"/>
    <w:rsid w:val="005227EA"/>
    <w:rsid w:val="00522D6B"/>
    <w:rsid w:val="00522D72"/>
    <w:rsid w:val="00523BFD"/>
    <w:rsid w:val="00523D74"/>
    <w:rsid w:val="005245FE"/>
    <w:rsid w:val="00524825"/>
    <w:rsid w:val="00524DF3"/>
    <w:rsid w:val="00524E40"/>
    <w:rsid w:val="00525412"/>
    <w:rsid w:val="0052544D"/>
    <w:rsid w:val="00526235"/>
    <w:rsid w:val="0052682F"/>
    <w:rsid w:val="00527139"/>
    <w:rsid w:val="0052731E"/>
    <w:rsid w:val="00527E37"/>
    <w:rsid w:val="005305F8"/>
    <w:rsid w:val="0053075F"/>
    <w:rsid w:val="0053078C"/>
    <w:rsid w:val="0053113A"/>
    <w:rsid w:val="005313E1"/>
    <w:rsid w:val="00531460"/>
    <w:rsid w:val="005317F8"/>
    <w:rsid w:val="00531A57"/>
    <w:rsid w:val="00532DAA"/>
    <w:rsid w:val="00533220"/>
    <w:rsid w:val="00533BD3"/>
    <w:rsid w:val="00533D80"/>
    <w:rsid w:val="005343DD"/>
    <w:rsid w:val="005347B9"/>
    <w:rsid w:val="0053579A"/>
    <w:rsid w:val="00535A40"/>
    <w:rsid w:val="005365CF"/>
    <w:rsid w:val="005369B5"/>
    <w:rsid w:val="00536BBA"/>
    <w:rsid w:val="005374A8"/>
    <w:rsid w:val="00537653"/>
    <w:rsid w:val="00537B66"/>
    <w:rsid w:val="00540204"/>
    <w:rsid w:val="005404B9"/>
    <w:rsid w:val="00540702"/>
    <w:rsid w:val="00540FD0"/>
    <w:rsid w:val="00541448"/>
    <w:rsid w:val="005414EE"/>
    <w:rsid w:val="0054201B"/>
    <w:rsid w:val="005425A3"/>
    <w:rsid w:val="00542A04"/>
    <w:rsid w:val="0054317A"/>
    <w:rsid w:val="0054346A"/>
    <w:rsid w:val="00543842"/>
    <w:rsid w:val="00543853"/>
    <w:rsid w:val="00543DA6"/>
    <w:rsid w:val="00543DA9"/>
    <w:rsid w:val="005441D1"/>
    <w:rsid w:val="0054441B"/>
    <w:rsid w:val="00544618"/>
    <w:rsid w:val="00544BF6"/>
    <w:rsid w:val="00544C3F"/>
    <w:rsid w:val="00544E86"/>
    <w:rsid w:val="00545336"/>
    <w:rsid w:val="005453F0"/>
    <w:rsid w:val="00545D26"/>
    <w:rsid w:val="005466ED"/>
    <w:rsid w:val="005467B1"/>
    <w:rsid w:val="00546FE1"/>
    <w:rsid w:val="00547926"/>
    <w:rsid w:val="0054799B"/>
    <w:rsid w:val="00550095"/>
    <w:rsid w:val="005507AE"/>
    <w:rsid w:val="005507C2"/>
    <w:rsid w:val="005507E6"/>
    <w:rsid w:val="00550C4C"/>
    <w:rsid w:val="00550D72"/>
    <w:rsid w:val="0055157E"/>
    <w:rsid w:val="0055165F"/>
    <w:rsid w:val="0055191D"/>
    <w:rsid w:val="0055192E"/>
    <w:rsid w:val="00552C0F"/>
    <w:rsid w:val="00552CC8"/>
    <w:rsid w:val="00552DD8"/>
    <w:rsid w:val="00552E21"/>
    <w:rsid w:val="00552EDE"/>
    <w:rsid w:val="0055311A"/>
    <w:rsid w:val="005538D7"/>
    <w:rsid w:val="005546BC"/>
    <w:rsid w:val="0055481A"/>
    <w:rsid w:val="00554ACF"/>
    <w:rsid w:val="0055514A"/>
    <w:rsid w:val="00555CC1"/>
    <w:rsid w:val="00556457"/>
    <w:rsid w:val="005565E2"/>
    <w:rsid w:val="0055684A"/>
    <w:rsid w:val="00556979"/>
    <w:rsid w:val="00556AFA"/>
    <w:rsid w:val="0055702D"/>
    <w:rsid w:val="005576AA"/>
    <w:rsid w:val="005608F0"/>
    <w:rsid w:val="00560EDF"/>
    <w:rsid w:val="00560FD0"/>
    <w:rsid w:val="00561252"/>
    <w:rsid w:val="00561986"/>
    <w:rsid w:val="005619C8"/>
    <w:rsid w:val="005620AE"/>
    <w:rsid w:val="005623B3"/>
    <w:rsid w:val="0056246E"/>
    <w:rsid w:val="005632F6"/>
    <w:rsid w:val="00563DD0"/>
    <w:rsid w:val="005644BE"/>
    <w:rsid w:val="00564774"/>
    <w:rsid w:val="00564FDE"/>
    <w:rsid w:val="005656D6"/>
    <w:rsid w:val="00565A9A"/>
    <w:rsid w:val="00566534"/>
    <w:rsid w:val="00566B3B"/>
    <w:rsid w:val="00566BAC"/>
    <w:rsid w:val="005670AB"/>
    <w:rsid w:val="005675BC"/>
    <w:rsid w:val="005709DE"/>
    <w:rsid w:val="005709E5"/>
    <w:rsid w:val="00570B9A"/>
    <w:rsid w:val="005717A2"/>
    <w:rsid w:val="00572221"/>
    <w:rsid w:val="00572372"/>
    <w:rsid w:val="00572576"/>
    <w:rsid w:val="0057334E"/>
    <w:rsid w:val="0057337F"/>
    <w:rsid w:val="005739F7"/>
    <w:rsid w:val="00573D67"/>
    <w:rsid w:val="0057400B"/>
    <w:rsid w:val="00574446"/>
    <w:rsid w:val="0057471A"/>
    <w:rsid w:val="00574B68"/>
    <w:rsid w:val="00574EE3"/>
    <w:rsid w:val="00575147"/>
    <w:rsid w:val="00576278"/>
    <w:rsid w:val="0057666B"/>
    <w:rsid w:val="00577162"/>
    <w:rsid w:val="005773BA"/>
    <w:rsid w:val="00577437"/>
    <w:rsid w:val="00577637"/>
    <w:rsid w:val="00577938"/>
    <w:rsid w:val="00577BDC"/>
    <w:rsid w:val="00577F92"/>
    <w:rsid w:val="00580412"/>
    <w:rsid w:val="005806DB"/>
    <w:rsid w:val="00580D49"/>
    <w:rsid w:val="00581002"/>
    <w:rsid w:val="0058113B"/>
    <w:rsid w:val="00581553"/>
    <w:rsid w:val="00582834"/>
    <w:rsid w:val="00582A18"/>
    <w:rsid w:val="00583A24"/>
    <w:rsid w:val="00583DBC"/>
    <w:rsid w:val="00584614"/>
    <w:rsid w:val="00585017"/>
    <w:rsid w:val="0058502B"/>
    <w:rsid w:val="0058548A"/>
    <w:rsid w:val="0058572E"/>
    <w:rsid w:val="00585773"/>
    <w:rsid w:val="00585CFF"/>
    <w:rsid w:val="00585F12"/>
    <w:rsid w:val="00586782"/>
    <w:rsid w:val="00586CD0"/>
    <w:rsid w:val="0058721E"/>
    <w:rsid w:val="00587933"/>
    <w:rsid w:val="00590709"/>
    <w:rsid w:val="00590949"/>
    <w:rsid w:val="00590D4E"/>
    <w:rsid w:val="00591599"/>
    <w:rsid w:val="0059171D"/>
    <w:rsid w:val="00593205"/>
    <w:rsid w:val="0059348C"/>
    <w:rsid w:val="005934BF"/>
    <w:rsid w:val="005938E6"/>
    <w:rsid w:val="00593A7E"/>
    <w:rsid w:val="00593D25"/>
    <w:rsid w:val="005941CF"/>
    <w:rsid w:val="00594A52"/>
    <w:rsid w:val="00594C21"/>
    <w:rsid w:val="00594D9C"/>
    <w:rsid w:val="0059509B"/>
    <w:rsid w:val="0059685C"/>
    <w:rsid w:val="00596AC6"/>
    <w:rsid w:val="005973D9"/>
    <w:rsid w:val="005A025C"/>
    <w:rsid w:val="005A04C3"/>
    <w:rsid w:val="005A0905"/>
    <w:rsid w:val="005A105E"/>
    <w:rsid w:val="005A10C6"/>
    <w:rsid w:val="005A112D"/>
    <w:rsid w:val="005A1500"/>
    <w:rsid w:val="005A154F"/>
    <w:rsid w:val="005A1CD6"/>
    <w:rsid w:val="005A1DED"/>
    <w:rsid w:val="005A2127"/>
    <w:rsid w:val="005A2B1C"/>
    <w:rsid w:val="005A33CC"/>
    <w:rsid w:val="005A3B4E"/>
    <w:rsid w:val="005A408F"/>
    <w:rsid w:val="005A426F"/>
    <w:rsid w:val="005A4614"/>
    <w:rsid w:val="005A471F"/>
    <w:rsid w:val="005A4918"/>
    <w:rsid w:val="005A4A61"/>
    <w:rsid w:val="005A5684"/>
    <w:rsid w:val="005A58E8"/>
    <w:rsid w:val="005A5A75"/>
    <w:rsid w:val="005A5C63"/>
    <w:rsid w:val="005A6399"/>
    <w:rsid w:val="005A7582"/>
    <w:rsid w:val="005A77F9"/>
    <w:rsid w:val="005A7E34"/>
    <w:rsid w:val="005B05F4"/>
    <w:rsid w:val="005B0C4A"/>
    <w:rsid w:val="005B0FE0"/>
    <w:rsid w:val="005B115D"/>
    <w:rsid w:val="005B16C9"/>
    <w:rsid w:val="005B21FE"/>
    <w:rsid w:val="005B2914"/>
    <w:rsid w:val="005B341C"/>
    <w:rsid w:val="005B378D"/>
    <w:rsid w:val="005B38DB"/>
    <w:rsid w:val="005B4250"/>
    <w:rsid w:val="005B42FC"/>
    <w:rsid w:val="005B482E"/>
    <w:rsid w:val="005B48DA"/>
    <w:rsid w:val="005B51C8"/>
    <w:rsid w:val="005B5701"/>
    <w:rsid w:val="005B5EC4"/>
    <w:rsid w:val="005B608D"/>
    <w:rsid w:val="005B69FD"/>
    <w:rsid w:val="005B734A"/>
    <w:rsid w:val="005B7585"/>
    <w:rsid w:val="005B7704"/>
    <w:rsid w:val="005B79E6"/>
    <w:rsid w:val="005B7D51"/>
    <w:rsid w:val="005C09FB"/>
    <w:rsid w:val="005C0D7B"/>
    <w:rsid w:val="005C0FF8"/>
    <w:rsid w:val="005C1639"/>
    <w:rsid w:val="005C170E"/>
    <w:rsid w:val="005C1CBA"/>
    <w:rsid w:val="005C2978"/>
    <w:rsid w:val="005C29C8"/>
    <w:rsid w:val="005C2B06"/>
    <w:rsid w:val="005C3379"/>
    <w:rsid w:val="005C3D1F"/>
    <w:rsid w:val="005C3D80"/>
    <w:rsid w:val="005C4584"/>
    <w:rsid w:val="005C5F5F"/>
    <w:rsid w:val="005C6004"/>
    <w:rsid w:val="005C6861"/>
    <w:rsid w:val="005C6A21"/>
    <w:rsid w:val="005C74B8"/>
    <w:rsid w:val="005C7ED3"/>
    <w:rsid w:val="005D0979"/>
    <w:rsid w:val="005D0F27"/>
    <w:rsid w:val="005D122C"/>
    <w:rsid w:val="005D1599"/>
    <w:rsid w:val="005D1BBB"/>
    <w:rsid w:val="005D277A"/>
    <w:rsid w:val="005D3884"/>
    <w:rsid w:val="005D3D4D"/>
    <w:rsid w:val="005D47AD"/>
    <w:rsid w:val="005D47EC"/>
    <w:rsid w:val="005D6572"/>
    <w:rsid w:val="005D6D34"/>
    <w:rsid w:val="005D7622"/>
    <w:rsid w:val="005D7661"/>
    <w:rsid w:val="005D7E58"/>
    <w:rsid w:val="005E01A6"/>
    <w:rsid w:val="005E024A"/>
    <w:rsid w:val="005E0251"/>
    <w:rsid w:val="005E0552"/>
    <w:rsid w:val="005E070A"/>
    <w:rsid w:val="005E0BDD"/>
    <w:rsid w:val="005E0BEA"/>
    <w:rsid w:val="005E11D8"/>
    <w:rsid w:val="005E1459"/>
    <w:rsid w:val="005E2C75"/>
    <w:rsid w:val="005E315A"/>
    <w:rsid w:val="005E34A1"/>
    <w:rsid w:val="005E350A"/>
    <w:rsid w:val="005E361A"/>
    <w:rsid w:val="005E383A"/>
    <w:rsid w:val="005E40A3"/>
    <w:rsid w:val="005E43AE"/>
    <w:rsid w:val="005E496F"/>
    <w:rsid w:val="005E4AFB"/>
    <w:rsid w:val="005E4D54"/>
    <w:rsid w:val="005E5226"/>
    <w:rsid w:val="005E5239"/>
    <w:rsid w:val="005E6DFD"/>
    <w:rsid w:val="005E744F"/>
    <w:rsid w:val="005E7C01"/>
    <w:rsid w:val="005F0472"/>
    <w:rsid w:val="005F05EA"/>
    <w:rsid w:val="005F0ADD"/>
    <w:rsid w:val="005F1003"/>
    <w:rsid w:val="005F1C9B"/>
    <w:rsid w:val="005F2326"/>
    <w:rsid w:val="005F2AA0"/>
    <w:rsid w:val="005F322E"/>
    <w:rsid w:val="005F32F6"/>
    <w:rsid w:val="005F3723"/>
    <w:rsid w:val="005F39A7"/>
    <w:rsid w:val="005F3B63"/>
    <w:rsid w:val="005F3CFF"/>
    <w:rsid w:val="005F3FB1"/>
    <w:rsid w:val="005F45A4"/>
    <w:rsid w:val="005F4A78"/>
    <w:rsid w:val="005F4DFA"/>
    <w:rsid w:val="005F4EDF"/>
    <w:rsid w:val="005F5278"/>
    <w:rsid w:val="005F57A6"/>
    <w:rsid w:val="005F587D"/>
    <w:rsid w:val="005F59D5"/>
    <w:rsid w:val="005F631A"/>
    <w:rsid w:val="005F65AC"/>
    <w:rsid w:val="005F6EDE"/>
    <w:rsid w:val="005F70F9"/>
    <w:rsid w:val="005F733D"/>
    <w:rsid w:val="005F7B17"/>
    <w:rsid w:val="005F7C7E"/>
    <w:rsid w:val="005F7CA2"/>
    <w:rsid w:val="00600414"/>
    <w:rsid w:val="00600F63"/>
    <w:rsid w:val="00601528"/>
    <w:rsid w:val="00601C64"/>
    <w:rsid w:val="00601F29"/>
    <w:rsid w:val="00602285"/>
    <w:rsid w:val="00602BDD"/>
    <w:rsid w:val="00603C36"/>
    <w:rsid w:val="00604A1B"/>
    <w:rsid w:val="006050FE"/>
    <w:rsid w:val="00605502"/>
    <w:rsid w:val="0060592D"/>
    <w:rsid w:val="00606201"/>
    <w:rsid w:val="00606A65"/>
    <w:rsid w:val="00606B28"/>
    <w:rsid w:val="00606CFB"/>
    <w:rsid w:val="00607807"/>
    <w:rsid w:val="00607DE7"/>
    <w:rsid w:val="00607EA1"/>
    <w:rsid w:val="00607F4F"/>
    <w:rsid w:val="0061046F"/>
    <w:rsid w:val="00611767"/>
    <w:rsid w:val="00612F30"/>
    <w:rsid w:val="00613C47"/>
    <w:rsid w:val="00613CCA"/>
    <w:rsid w:val="00614384"/>
    <w:rsid w:val="00614F05"/>
    <w:rsid w:val="00615023"/>
    <w:rsid w:val="00615646"/>
    <w:rsid w:val="00615EE2"/>
    <w:rsid w:val="00616250"/>
    <w:rsid w:val="00616924"/>
    <w:rsid w:val="00617229"/>
    <w:rsid w:val="00617B3B"/>
    <w:rsid w:val="0062030B"/>
    <w:rsid w:val="0062162D"/>
    <w:rsid w:val="0062184C"/>
    <w:rsid w:val="00622A4A"/>
    <w:rsid w:val="00622B55"/>
    <w:rsid w:val="00622C1C"/>
    <w:rsid w:val="00622E5A"/>
    <w:rsid w:val="00623FEE"/>
    <w:rsid w:val="00624196"/>
    <w:rsid w:val="00624DCE"/>
    <w:rsid w:val="00625051"/>
    <w:rsid w:val="00626A84"/>
    <w:rsid w:val="00627025"/>
    <w:rsid w:val="006271A2"/>
    <w:rsid w:val="006303D4"/>
    <w:rsid w:val="00630B81"/>
    <w:rsid w:val="00630BC2"/>
    <w:rsid w:val="00631251"/>
    <w:rsid w:val="00631469"/>
    <w:rsid w:val="00631BF1"/>
    <w:rsid w:val="006328C0"/>
    <w:rsid w:val="006330B5"/>
    <w:rsid w:val="00633183"/>
    <w:rsid w:val="00633A12"/>
    <w:rsid w:val="00633A24"/>
    <w:rsid w:val="00633A48"/>
    <w:rsid w:val="00633A84"/>
    <w:rsid w:val="00633A85"/>
    <w:rsid w:val="00633B97"/>
    <w:rsid w:val="00633FC4"/>
    <w:rsid w:val="006345F1"/>
    <w:rsid w:val="006347E3"/>
    <w:rsid w:val="00634C00"/>
    <w:rsid w:val="006350B0"/>
    <w:rsid w:val="00635375"/>
    <w:rsid w:val="006355A5"/>
    <w:rsid w:val="00635861"/>
    <w:rsid w:val="006363E1"/>
    <w:rsid w:val="00636BF7"/>
    <w:rsid w:val="00636C7A"/>
    <w:rsid w:val="006379A6"/>
    <w:rsid w:val="00640337"/>
    <w:rsid w:val="006403F8"/>
    <w:rsid w:val="006406BE"/>
    <w:rsid w:val="00640748"/>
    <w:rsid w:val="00640CA6"/>
    <w:rsid w:val="00641263"/>
    <w:rsid w:val="006415A1"/>
    <w:rsid w:val="00641E4D"/>
    <w:rsid w:val="00642A3C"/>
    <w:rsid w:val="00642A93"/>
    <w:rsid w:val="00642E0D"/>
    <w:rsid w:val="00642E3F"/>
    <w:rsid w:val="00642EBF"/>
    <w:rsid w:val="00643CC9"/>
    <w:rsid w:val="00643D85"/>
    <w:rsid w:val="00644829"/>
    <w:rsid w:val="00645052"/>
    <w:rsid w:val="006452EE"/>
    <w:rsid w:val="00645358"/>
    <w:rsid w:val="0064538E"/>
    <w:rsid w:val="00645C8F"/>
    <w:rsid w:val="00645E2B"/>
    <w:rsid w:val="00646447"/>
    <w:rsid w:val="0064647B"/>
    <w:rsid w:val="00646738"/>
    <w:rsid w:val="0064720E"/>
    <w:rsid w:val="00647863"/>
    <w:rsid w:val="00647E1F"/>
    <w:rsid w:val="00650355"/>
    <w:rsid w:val="00650CBA"/>
    <w:rsid w:val="0065181F"/>
    <w:rsid w:val="00651C41"/>
    <w:rsid w:val="00652229"/>
    <w:rsid w:val="006523D1"/>
    <w:rsid w:val="0065245F"/>
    <w:rsid w:val="006527D4"/>
    <w:rsid w:val="00652970"/>
    <w:rsid w:val="00652DCC"/>
    <w:rsid w:val="00653300"/>
    <w:rsid w:val="0065362E"/>
    <w:rsid w:val="00653658"/>
    <w:rsid w:val="006536F2"/>
    <w:rsid w:val="006539ED"/>
    <w:rsid w:val="00653B2C"/>
    <w:rsid w:val="00653CEF"/>
    <w:rsid w:val="00653E0A"/>
    <w:rsid w:val="00653FFD"/>
    <w:rsid w:val="00654219"/>
    <w:rsid w:val="006542E4"/>
    <w:rsid w:val="006553C1"/>
    <w:rsid w:val="006555DA"/>
    <w:rsid w:val="00655FFD"/>
    <w:rsid w:val="006561F9"/>
    <w:rsid w:val="0065634E"/>
    <w:rsid w:val="00656621"/>
    <w:rsid w:val="0065670D"/>
    <w:rsid w:val="00656B37"/>
    <w:rsid w:val="00656C75"/>
    <w:rsid w:val="006577BD"/>
    <w:rsid w:val="0066014E"/>
    <w:rsid w:val="006604AC"/>
    <w:rsid w:val="0066076A"/>
    <w:rsid w:val="006609BE"/>
    <w:rsid w:val="00661D33"/>
    <w:rsid w:val="00662649"/>
    <w:rsid w:val="00662BB1"/>
    <w:rsid w:val="00663187"/>
    <w:rsid w:val="006632EF"/>
    <w:rsid w:val="006637C2"/>
    <w:rsid w:val="00663B0D"/>
    <w:rsid w:val="006647AB"/>
    <w:rsid w:val="00665339"/>
    <w:rsid w:val="00665BB1"/>
    <w:rsid w:val="006662A2"/>
    <w:rsid w:val="00666774"/>
    <w:rsid w:val="00667138"/>
    <w:rsid w:val="0066739B"/>
    <w:rsid w:val="00667930"/>
    <w:rsid w:val="00667AB5"/>
    <w:rsid w:val="00667D98"/>
    <w:rsid w:val="00667DAC"/>
    <w:rsid w:val="006705A7"/>
    <w:rsid w:val="006708EB"/>
    <w:rsid w:val="00670E50"/>
    <w:rsid w:val="00670F96"/>
    <w:rsid w:val="00671565"/>
    <w:rsid w:val="00671DD1"/>
    <w:rsid w:val="00672623"/>
    <w:rsid w:val="00672756"/>
    <w:rsid w:val="00672BD3"/>
    <w:rsid w:val="00672EE5"/>
    <w:rsid w:val="006730E0"/>
    <w:rsid w:val="00673912"/>
    <w:rsid w:val="0067486B"/>
    <w:rsid w:val="00674914"/>
    <w:rsid w:val="00675226"/>
    <w:rsid w:val="006757E1"/>
    <w:rsid w:val="00675DF2"/>
    <w:rsid w:val="006763EA"/>
    <w:rsid w:val="0067687E"/>
    <w:rsid w:val="006776A5"/>
    <w:rsid w:val="00677940"/>
    <w:rsid w:val="00677E45"/>
    <w:rsid w:val="00680A6F"/>
    <w:rsid w:val="00680B4A"/>
    <w:rsid w:val="00681464"/>
    <w:rsid w:val="006819BE"/>
    <w:rsid w:val="00681D4F"/>
    <w:rsid w:val="00681D50"/>
    <w:rsid w:val="006828E9"/>
    <w:rsid w:val="00682BE4"/>
    <w:rsid w:val="00682C4B"/>
    <w:rsid w:val="00683344"/>
    <w:rsid w:val="006836B6"/>
    <w:rsid w:val="00683BE6"/>
    <w:rsid w:val="00684423"/>
    <w:rsid w:val="00684751"/>
    <w:rsid w:val="006851C3"/>
    <w:rsid w:val="006852C0"/>
    <w:rsid w:val="006852D6"/>
    <w:rsid w:val="00685BEF"/>
    <w:rsid w:val="00685C62"/>
    <w:rsid w:val="00686141"/>
    <w:rsid w:val="00686E7B"/>
    <w:rsid w:val="0068726D"/>
    <w:rsid w:val="00687809"/>
    <w:rsid w:val="00687828"/>
    <w:rsid w:val="00687D72"/>
    <w:rsid w:val="00687DBE"/>
    <w:rsid w:val="00690520"/>
    <w:rsid w:val="00690BC6"/>
    <w:rsid w:val="00691022"/>
    <w:rsid w:val="00691287"/>
    <w:rsid w:val="006914CA"/>
    <w:rsid w:val="00691805"/>
    <w:rsid w:val="00692D33"/>
    <w:rsid w:val="00692F00"/>
    <w:rsid w:val="006931DB"/>
    <w:rsid w:val="0069403E"/>
    <w:rsid w:val="006940A1"/>
    <w:rsid w:val="0069430C"/>
    <w:rsid w:val="0069432A"/>
    <w:rsid w:val="00694735"/>
    <w:rsid w:val="006951ED"/>
    <w:rsid w:val="006955E9"/>
    <w:rsid w:val="006956D3"/>
    <w:rsid w:val="00695817"/>
    <w:rsid w:val="00695837"/>
    <w:rsid w:val="00696367"/>
    <w:rsid w:val="00696A67"/>
    <w:rsid w:val="006975F8"/>
    <w:rsid w:val="00697874"/>
    <w:rsid w:val="006A02D3"/>
    <w:rsid w:val="006A1255"/>
    <w:rsid w:val="006A258B"/>
    <w:rsid w:val="006A2666"/>
    <w:rsid w:val="006A29BD"/>
    <w:rsid w:val="006A29D7"/>
    <w:rsid w:val="006A2D35"/>
    <w:rsid w:val="006A3066"/>
    <w:rsid w:val="006A3412"/>
    <w:rsid w:val="006A3ABC"/>
    <w:rsid w:val="006A3B2F"/>
    <w:rsid w:val="006A3D2E"/>
    <w:rsid w:val="006A3FD6"/>
    <w:rsid w:val="006A40BF"/>
    <w:rsid w:val="006A4447"/>
    <w:rsid w:val="006A4936"/>
    <w:rsid w:val="006A5B3A"/>
    <w:rsid w:val="006A6449"/>
    <w:rsid w:val="006A6770"/>
    <w:rsid w:val="006A6957"/>
    <w:rsid w:val="006A74F8"/>
    <w:rsid w:val="006A7842"/>
    <w:rsid w:val="006A7ABC"/>
    <w:rsid w:val="006A7AE8"/>
    <w:rsid w:val="006B019C"/>
    <w:rsid w:val="006B03AA"/>
    <w:rsid w:val="006B0A43"/>
    <w:rsid w:val="006B0DCC"/>
    <w:rsid w:val="006B0E85"/>
    <w:rsid w:val="006B0F50"/>
    <w:rsid w:val="006B146F"/>
    <w:rsid w:val="006B191D"/>
    <w:rsid w:val="006B1BBE"/>
    <w:rsid w:val="006B1DF4"/>
    <w:rsid w:val="006B2414"/>
    <w:rsid w:val="006B24D4"/>
    <w:rsid w:val="006B28DD"/>
    <w:rsid w:val="006B361B"/>
    <w:rsid w:val="006B3C6C"/>
    <w:rsid w:val="006B46F8"/>
    <w:rsid w:val="006B4EB3"/>
    <w:rsid w:val="006B531B"/>
    <w:rsid w:val="006B58EC"/>
    <w:rsid w:val="006B5F1C"/>
    <w:rsid w:val="006B5F2F"/>
    <w:rsid w:val="006B6989"/>
    <w:rsid w:val="006B6EF8"/>
    <w:rsid w:val="006B6F25"/>
    <w:rsid w:val="006B77E1"/>
    <w:rsid w:val="006B793B"/>
    <w:rsid w:val="006B7AAB"/>
    <w:rsid w:val="006B7F10"/>
    <w:rsid w:val="006B7FA4"/>
    <w:rsid w:val="006C0745"/>
    <w:rsid w:val="006C0CBD"/>
    <w:rsid w:val="006C0F82"/>
    <w:rsid w:val="006C1B64"/>
    <w:rsid w:val="006C1F9D"/>
    <w:rsid w:val="006C208B"/>
    <w:rsid w:val="006C278D"/>
    <w:rsid w:val="006C27EF"/>
    <w:rsid w:val="006C2F9A"/>
    <w:rsid w:val="006C3826"/>
    <w:rsid w:val="006C41C7"/>
    <w:rsid w:val="006C4277"/>
    <w:rsid w:val="006C46E2"/>
    <w:rsid w:val="006C486E"/>
    <w:rsid w:val="006C4970"/>
    <w:rsid w:val="006C5016"/>
    <w:rsid w:val="006C5B0C"/>
    <w:rsid w:val="006C5F88"/>
    <w:rsid w:val="006C5FF3"/>
    <w:rsid w:val="006C6A8E"/>
    <w:rsid w:val="006C7ECE"/>
    <w:rsid w:val="006C81FD"/>
    <w:rsid w:val="006D00B7"/>
    <w:rsid w:val="006D023B"/>
    <w:rsid w:val="006D0824"/>
    <w:rsid w:val="006D0F8F"/>
    <w:rsid w:val="006D1221"/>
    <w:rsid w:val="006D1737"/>
    <w:rsid w:val="006D2334"/>
    <w:rsid w:val="006D2A6B"/>
    <w:rsid w:val="006D2FC0"/>
    <w:rsid w:val="006D3483"/>
    <w:rsid w:val="006D3488"/>
    <w:rsid w:val="006D3B3C"/>
    <w:rsid w:val="006D463B"/>
    <w:rsid w:val="006D4C61"/>
    <w:rsid w:val="006D50F7"/>
    <w:rsid w:val="006D5E8E"/>
    <w:rsid w:val="006D632B"/>
    <w:rsid w:val="006D63F3"/>
    <w:rsid w:val="006D6534"/>
    <w:rsid w:val="006D7325"/>
    <w:rsid w:val="006D7587"/>
    <w:rsid w:val="006D7B82"/>
    <w:rsid w:val="006E197F"/>
    <w:rsid w:val="006E1F37"/>
    <w:rsid w:val="006E27C0"/>
    <w:rsid w:val="006E35EA"/>
    <w:rsid w:val="006E3821"/>
    <w:rsid w:val="006E4FED"/>
    <w:rsid w:val="006E54F8"/>
    <w:rsid w:val="006E590B"/>
    <w:rsid w:val="006E62D6"/>
    <w:rsid w:val="006E64EA"/>
    <w:rsid w:val="006E6E6B"/>
    <w:rsid w:val="006E700B"/>
    <w:rsid w:val="006E7753"/>
    <w:rsid w:val="006E7A6D"/>
    <w:rsid w:val="006F2E24"/>
    <w:rsid w:val="006F38A6"/>
    <w:rsid w:val="006F3B34"/>
    <w:rsid w:val="006F3BC9"/>
    <w:rsid w:val="006F3F64"/>
    <w:rsid w:val="006F551A"/>
    <w:rsid w:val="006F5622"/>
    <w:rsid w:val="006F5BB3"/>
    <w:rsid w:val="006F60A9"/>
    <w:rsid w:val="006F6152"/>
    <w:rsid w:val="006F6AC3"/>
    <w:rsid w:val="006F6D2C"/>
    <w:rsid w:val="006F6D59"/>
    <w:rsid w:val="006F6EA0"/>
    <w:rsid w:val="006F76C5"/>
    <w:rsid w:val="006F775F"/>
    <w:rsid w:val="00700968"/>
    <w:rsid w:val="00700B5C"/>
    <w:rsid w:val="00700B7F"/>
    <w:rsid w:val="00700D54"/>
    <w:rsid w:val="00702238"/>
    <w:rsid w:val="00702710"/>
    <w:rsid w:val="007027ED"/>
    <w:rsid w:val="00702A25"/>
    <w:rsid w:val="00702C76"/>
    <w:rsid w:val="00702F8F"/>
    <w:rsid w:val="00703159"/>
    <w:rsid w:val="0070329E"/>
    <w:rsid w:val="0070334E"/>
    <w:rsid w:val="007043F9"/>
    <w:rsid w:val="00705AB3"/>
    <w:rsid w:val="0070623E"/>
    <w:rsid w:val="0070628E"/>
    <w:rsid w:val="007071F1"/>
    <w:rsid w:val="00710040"/>
    <w:rsid w:val="007101BE"/>
    <w:rsid w:val="00710451"/>
    <w:rsid w:val="00710C18"/>
    <w:rsid w:val="00710E91"/>
    <w:rsid w:val="007120CF"/>
    <w:rsid w:val="007125E2"/>
    <w:rsid w:val="007127A3"/>
    <w:rsid w:val="00712926"/>
    <w:rsid w:val="00712B22"/>
    <w:rsid w:val="00712B91"/>
    <w:rsid w:val="00712FCE"/>
    <w:rsid w:val="007131DC"/>
    <w:rsid w:val="00713430"/>
    <w:rsid w:val="0071343F"/>
    <w:rsid w:val="0071369B"/>
    <w:rsid w:val="00713F30"/>
    <w:rsid w:val="00714032"/>
    <w:rsid w:val="00714CFE"/>
    <w:rsid w:val="00714DC9"/>
    <w:rsid w:val="00714F18"/>
    <w:rsid w:val="007151E2"/>
    <w:rsid w:val="007152DD"/>
    <w:rsid w:val="007152E5"/>
    <w:rsid w:val="00715B2A"/>
    <w:rsid w:val="00715F35"/>
    <w:rsid w:val="00716961"/>
    <w:rsid w:val="00716CF3"/>
    <w:rsid w:val="00716EA2"/>
    <w:rsid w:val="00717451"/>
    <w:rsid w:val="0071786F"/>
    <w:rsid w:val="00717B1B"/>
    <w:rsid w:val="00720BB6"/>
    <w:rsid w:val="00720F58"/>
    <w:rsid w:val="00721091"/>
    <w:rsid w:val="00721903"/>
    <w:rsid w:val="00721B57"/>
    <w:rsid w:val="007220E6"/>
    <w:rsid w:val="0072263D"/>
    <w:rsid w:val="00722ED1"/>
    <w:rsid w:val="00723276"/>
    <w:rsid w:val="00723542"/>
    <w:rsid w:val="00723E20"/>
    <w:rsid w:val="007240A7"/>
    <w:rsid w:val="0072455C"/>
    <w:rsid w:val="00724761"/>
    <w:rsid w:val="00724EDD"/>
    <w:rsid w:val="00726801"/>
    <w:rsid w:val="00726A43"/>
    <w:rsid w:val="007273DD"/>
    <w:rsid w:val="00727D9D"/>
    <w:rsid w:val="007303FC"/>
    <w:rsid w:val="007306C6"/>
    <w:rsid w:val="00730A60"/>
    <w:rsid w:val="007310E4"/>
    <w:rsid w:val="007311C1"/>
    <w:rsid w:val="0073122B"/>
    <w:rsid w:val="00731951"/>
    <w:rsid w:val="00731B52"/>
    <w:rsid w:val="00731F10"/>
    <w:rsid w:val="0073219B"/>
    <w:rsid w:val="00732D17"/>
    <w:rsid w:val="00733017"/>
    <w:rsid w:val="0073305E"/>
    <w:rsid w:val="007333E0"/>
    <w:rsid w:val="00733F0A"/>
    <w:rsid w:val="0073459A"/>
    <w:rsid w:val="007351F4"/>
    <w:rsid w:val="007353B9"/>
    <w:rsid w:val="00735843"/>
    <w:rsid w:val="00735C5C"/>
    <w:rsid w:val="00736897"/>
    <w:rsid w:val="00740395"/>
    <w:rsid w:val="00740EDA"/>
    <w:rsid w:val="0074180A"/>
    <w:rsid w:val="00741BC4"/>
    <w:rsid w:val="00741D3C"/>
    <w:rsid w:val="00742407"/>
    <w:rsid w:val="00742584"/>
    <w:rsid w:val="0074286F"/>
    <w:rsid w:val="00743337"/>
    <w:rsid w:val="00743899"/>
    <w:rsid w:val="00743E3D"/>
    <w:rsid w:val="00744039"/>
    <w:rsid w:val="00744748"/>
    <w:rsid w:val="00744B8B"/>
    <w:rsid w:val="00746E4E"/>
    <w:rsid w:val="0074733C"/>
    <w:rsid w:val="00747961"/>
    <w:rsid w:val="00747AF7"/>
    <w:rsid w:val="00747DFC"/>
    <w:rsid w:val="00747F3A"/>
    <w:rsid w:val="0075011E"/>
    <w:rsid w:val="00750121"/>
    <w:rsid w:val="00750406"/>
    <w:rsid w:val="00750486"/>
    <w:rsid w:val="00750743"/>
    <w:rsid w:val="007507B5"/>
    <w:rsid w:val="00750AAB"/>
    <w:rsid w:val="00750FD0"/>
    <w:rsid w:val="00751314"/>
    <w:rsid w:val="007514AA"/>
    <w:rsid w:val="00751644"/>
    <w:rsid w:val="007516DD"/>
    <w:rsid w:val="0075187F"/>
    <w:rsid w:val="00751CED"/>
    <w:rsid w:val="00751FA6"/>
    <w:rsid w:val="00751FF0"/>
    <w:rsid w:val="00752822"/>
    <w:rsid w:val="007528DB"/>
    <w:rsid w:val="00752993"/>
    <w:rsid w:val="00753854"/>
    <w:rsid w:val="00753EEC"/>
    <w:rsid w:val="0075401E"/>
    <w:rsid w:val="00754342"/>
    <w:rsid w:val="00754374"/>
    <w:rsid w:val="00754511"/>
    <w:rsid w:val="00754936"/>
    <w:rsid w:val="00754CB6"/>
    <w:rsid w:val="00754D31"/>
    <w:rsid w:val="0075504B"/>
    <w:rsid w:val="007558B5"/>
    <w:rsid w:val="00755BB0"/>
    <w:rsid w:val="00755FF0"/>
    <w:rsid w:val="00756A30"/>
    <w:rsid w:val="00756AE8"/>
    <w:rsid w:val="007571D0"/>
    <w:rsid w:val="00757332"/>
    <w:rsid w:val="00757563"/>
    <w:rsid w:val="00757A51"/>
    <w:rsid w:val="0076062A"/>
    <w:rsid w:val="00760F20"/>
    <w:rsid w:val="00760F7C"/>
    <w:rsid w:val="00761339"/>
    <w:rsid w:val="0076187E"/>
    <w:rsid w:val="00761C45"/>
    <w:rsid w:val="00761F5B"/>
    <w:rsid w:val="00762324"/>
    <w:rsid w:val="0076367B"/>
    <w:rsid w:val="0076384A"/>
    <w:rsid w:val="007639EC"/>
    <w:rsid w:val="00763BB3"/>
    <w:rsid w:val="00763BC4"/>
    <w:rsid w:val="0076449C"/>
    <w:rsid w:val="00764593"/>
    <w:rsid w:val="0076469B"/>
    <w:rsid w:val="007648B9"/>
    <w:rsid w:val="00764ADE"/>
    <w:rsid w:val="00764AE6"/>
    <w:rsid w:val="007653B8"/>
    <w:rsid w:val="00765DEF"/>
    <w:rsid w:val="007664A6"/>
    <w:rsid w:val="00766641"/>
    <w:rsid w:val="0076672A"/>
    <w:rsid w:val="00766E55"/>
    <w:rsid w:val="00766FC5"/>
    <w:rsid w:val="00767720"/>
    <w:rsid w:val="00767965"/>
    <w:rsid w:val="007702DD"/>
    <w:rsid w:val="00770C43"/>
    <w:rsid w:val="007710A3"/>
    <w:rsid w:val="0077144C"/>
    <w:rsid w:val="007718EE"/>
    <w:rsid w:val="00771DBC"/>
    <w:rsid w:val="0077288D"/>
    <w:rsid w:val="007736D5"/>
    <w:rsid w:val="007737A7"/>
    <w:rsid w:val="00773D0A"/>
    <w:rsid w:val="00773D4B"/>
    <w:rsid w:val="00773E76"/>
    <w:rsid w:val="00774E94"/>
    <w:rsid w:val="0077530F"/>
    <w:rsid w:val="0077591E"/>
    <w:rsid w:val="007759C0"/>
    <w:rsid w:val="00775F9B"/>
    <w:rsid w:val="00776227"/>
    <w:rsid w:val="0077664E"/>
    <w:rsid w:val="007777D3"/>
    <w:rsid w:val="00777D05"/>
    <w:rsid w:val="007800E7"/>
    <w:rsid w:val="00780820"/>
    <w:rsid w:val="00780AFF"/>
    <w:rsid w:val="00780B25"/>
    <w:rsid w:val="0078102E"/>
    <w:rsid w:val="00781310"/>
    <w:rsid w:val="007817F0"/>
    <w:rsid w:val="00781A9A"/>
    <w:rsid w:val="00782337"/>
    <w:rsid w:val="00782D79"/>
    <w:rsid w:val="00783006"/>
    <w:rsid w:val="0078379D"/>
    <w:rsid w:val="00783B26"/>
    <w:rsid w:val="00783E0F"/>
    <w:rsid w:val="0078410E"/>
    <w:rsid w:val="0078490B"/>
    <w:rsid w:val="00784EE6"/>
    <w:rsid w:val="007855B6"/>
    <w:rsid w:val="00785A72"/>
    <w:rsid w:val="00785F17"/>
    <w:rsid w:val="007863BE"/>
    <w:rsid w:val="007879C9"/>
    <w:rsid w:val="00787B10"/>
    <w:rsid w:val="007905E0"/>
    <w:rsid w:val="0079081F"/>
    <w:rsid w:val="00791039"/>
    <w:rsid w:val="00791633"/>
    <w:rsid w:val="0079177A"/>
    <w:rsid w:val="00791CD4"/>
    <w:rsid w:val="0079202D"/>
    <w:rsid w:val="00792130"/>
    <w:rsid w:val="007921E7"/>
    <w:rsid w:val="007924B2"/>
    <w:rsid w:val="0079335B"/>
    <w:rsid w:val="0079353C"/>
    <w:rsid w:val="00793725"/>
    <w:rsid w:val="00793EFA"/>
    <w:rsid w:val="00794A69"/>
    <w:rsid w:val="00794B44"/>
    <w:rsid w:val="00795187"/>
    <w:rsid w:val="007953AC"/>
    <w:rsid w:val="00795F02"/>
    <w:rsid w:val="0079689B"/>
    <w:rsid w:val="00796CC5"/>
    <w:rsid w:val="007974C0"/>
    <w:rsid w:val="007977ED"/>
    <w:rsid w:val="007978C7"/>
    <w:rsid w:val="00797C77"/>
    <w:rsid w:val="007A00C8"/>
    <w:rsid w:val="007A0114"/>
    <w:rsid w:val="007A0249"/>
    <w:rsid w:val="007A0D0E"/>
    <w:rsid w:val="007A1081"/>
    <w:rsid w:val="007A10D9"/>
    <w:rsid w:val="007A1579"/>
    <w:rsid w:val="007A157F"/>
    <w:rsid w:val="007A176D"/>
    <w:rsid w:val="007A1933"/>
    <w:rsid w:val="007A1AA2"/>
    <w:rsid w:val="007A2A8E"/>
    <w:rsid w:val="007A2C7F"/>
    <w:rsid w:val="007A2EB1"/>
    <w:rsid w:val="007A30B6"/>
    <w:rsid w:val="007A3735"/>
    <w:rsid w:val="007A445F"/>
    <w:rsid w:val="007A46D4"/>
    <w:rsid w:val="007A48CE"/>
    <w:rsid w:val="007A4E57"/>
    <w:rsid w:val="007A62E5"/>
    <w:rsid w:val="007A671E"/>
    <w:rsid w:val="007A6823"/>
    <w:rsid w:val="007A6CBA"/>
    <w:rsid w:val="007A71C3"/>
    <w:rsid w:val="007A7826"/>
    <w:rsid w:val="007A7D8C"/>
    <w:rsid w:val="007A7D9E"/>
    <w:rsid w:val="007B00BB"/>
    <w:rsid w:val="007B13E8"/>
    <w:rsid w:val="007B1B6C"/>
    <w:rsid w:val="007B1D58"/>
    <w:rsid w:val="007B2F8C"/>
    <w:rsid w:val="007B3477"/>
    <w:rsid w:val="007B3681"/>
    <w:rsid w:val="007B3965"/>
    <w:rsid w:val="007B3BBC"/>
    <w:rsid w:val="007B43B1"/>
    <w:rsid w:val="007B4940"/>
    <w:rsid w:val="007B4B80"/>
    <w:rsid w:val="007B5531"/>
    <w:rsid w:val="007B5682"/>
    <w:rsid w:val="007B59CC"/>
    <w:rsid w:val="007B5B16"/>
    <w:rsid w:val="007B606D"/>
    <w:rsid w:val="007B61D9"/>
    <w:rsid w:val="007B6968"/>
    <w:rsid w:val="007B6B71"/>
    <w:rsid w:val="007B76BE"/>
    <w:rsid w:val="007B76E1"/>
    <w:rsid w:val="007B7A2B"/>
    <w:rsid w:val="007C0444"/>
    <w:rsid w:val="007C063F"/>
    <w:rsid w:val="007C0966"/>
    <w:rsid w:val="007C09E7"/>
    <w:rsid w:val="007C0D9F"/>
    <w:rsid w:val="007C1794"/>
    <w:rsid w:val="007C1831"/>
    <w:rsid w:val="007C23BD"/>
    <w:rsid w:val="007C240D"/>
    <w:rsid w:val="007C2755"/>
    <w:rsid w:val="007C2894"/>
    <w:rsid w:val="007C28B6"/>
    <w:rsid w:val="007C391B"/>
    <w:rsid w:val="007C3FEE"/>
    <w:rsid w:val="007C41EB"/>
    <w:rsid w:val="007C439A"/>
    <w:rsid w:val="007C4415"/>
    <w:rsid w:val="007C5A30"/>
    <w:rsid w:val="007C64A2"/>
    <w:rsid w:val="007C6EB8"/>
    <w:rsid w:val="007C6ECC"/>
    <w:rsid w:val="007C7145"/>
    <w:rsid w:val="007C7256"/>
    <w:rsid w:val="007C78D6"/>
    <w:rsid w:val="007D135E"/>
    <w:rsid w:val="007D1496"/>
    <w:rsid w:val="007D16E3"/>
    <w:rsid w:val="007D1BC7"/>
    <w:rsid w:val="007D1E60"/>
    <w:rsid w:val="007D1E74"/>
    <w:rsid w:val="007D2505"/>
    <w:rsid w:val="007D303F"/>
    <w:rsid w:val="007D3F34"/>
    <w:rsid w:val="007D411E"/>
    <w:rsid w:val="007D41F7"/>
    <w:rsid w:val="007D53B9"/>
    <w:rsid w:val="007D621F"/>
    <w:rsid w:val="007D6645"/>
    <w:rsid w:val="007D68A3"/>
    <w:rsid w:val="007D69C5"/>
    <w:rsid w:val="007D69E2"/>
    <w:rsid w:val="007D6E04"/>
    <w:rsid w:val="007D72E4"/>
    <w:rsid w:val="007D76A9"/>
    <w:rsid w:val="007D7C52"/>
    <w:rsid w:val="007D7E4B"/>
    <w:rsid w:val="007E0916"/>
    <w:rsid w:val="007E16CC"/>
    <w:rsid w:val="007E191A"/>
    <w:rsid w:val="007E1DE4"/>
    <w:rsid w:val="007E1F3F"/>
    <w:rsid w:val="007E20F1"/>
    <w:rsid w:val="007E2140"/>
    <w:rsid w:val="007E2E45"/>
    <w:rsid w:val="007E39EA"/>
    <w:rsid w:val="007E404C"/>
    <w:rsid w:val="007E438E"/>
    <w:rsid w:val="007E4B6B"/>
    <w:rsid w:val="007E5196"/>
    <w:rsid w:val="007E5AA2"/>
    <w:rsid w:val="007E5E9D"/>
    <w:rsid w:val="007E6A79"/>
    <w:rsid w:val="007E6CDA"/>
    <w:rsid w:val="007E6D30"/>
    <w:rsid w:val="007E6F9F"/>
    <w:rsid w:val="007E7A4E"/>
    <w:rsid w:val="007E7B6F"/>
    <w:rsid w:val="007F078B"/>
    <w:rsid w:val="007F0DE4"/>
    <w:rsid w:val="007F107B"/>
    <w:rsid w:val="007F1513"/>
    <w:rsid w:val="007F1598"/>
    <w:rsid w:val="007F1727"/>
    <w:rsid w:val="007F1C6D"/>
    <w:rsid w:val="007F29A7"/>
    <w:rsid w:val="007F32E3"/>
    <w:rsid w:val="007F3815"/>
    <w:rsid w:val="007F39EA"/>
    <w:rsid w:val="007F3CB6"/>
    <w:rsid w:val="007F44A6"/>
    <w:rsid w:val="007F4EB7"/>
    <w:rsid w:val="007F5350"/>
    <w:rsid w:val="007F5B0F"/>
    <w:rsid w:val="007F6013"/>
    <w:rsid w:val="007F67F2"/>
    <w:rsid w:val="007F690D"/>
    <w:rsid w:val="007F6DEF"/>
    <w:rsid w:val="007F6E1B"/>
    <w:rsid w:val="007F725A"/>
    <w:rsid w:val="007F7501"/>
    <w:rsid w:val="007F7828"/>
    <w:rsid w:val="007F79BB"/>
    <w:rsid w:val="00800221"/>
    <w:rsid w:val="00800256"/>
    <w:rsid w:val="00800629"/>
    <w:rsid w:val="0080096F"/>
    <w:rsid w:val="00800A3E"/>
    <w:rsid w:val="008011C9"/>
    <w:rsid w:val="00801E20"/>
    <w:rsid w:val="00802422"/>
    <w:rsid w:val="0080344A"/>
    <w:rsid w:val="008038B0"/>
    <w:rsid w:val="00803D00"/>
    <w:rsid w:val="008045EF"/>
    <w:rsid w:val="00804675"/>
    <w:rsid w:val="00804CB2"/>
    <w:rsid w:val="00804DA4"/>
    <w:rsid w:val="00805298"/>
    <w:rsid w:val="00805930"/>
    <w:rsid w:val="00805991"/>
    <w:rsid w:val="008067DA"/>
    <w:rsid w:val="008069E9"/>
    <w:rsid w:val="0080715A"/>
    <w:rsid w:val="008072C9"/>
    <w:rsid w:val="00807522"/>
    <w:rsid w:val="00807586"/>
    <w:rsid w:val="0080782B"/>
    <w:rsid w:val="008079F1"/>
    <w:rsid w:val="00807F2E"/>
    <w:rsid w:val="00807FD7"/>
    <w:rsid w:val="00810C9E"/>
    <w:rsid w:val="00811619"/>
    <w:rsid w:val="00811C71"/>
    <w:rsid w:val="008127DC"/>
    <w:rsid w:val="0081296F"/>
    <w:rsid w:val="00812ECC"/>
    <w:rsid w:val="008131C1"/>
    <w:rsid w:val="008139D9"/>
    <w:rsid w:val="00814573"/>
    <w:rsid w:val="0081486E"/>
    <w:rsid w:val="00815FB9"/>
    <w:rsid w:val="008164F1"/>
    <w:rsid w:val="0081681A"/>
    <w:rsid w:val="008169AC"/>
    <w:rsid w:val="00816D84"/>
    <w:rsid w:val="00817F84"/>
    <w:rsid w:val="00820BA9"/>
    <w:rsid w:val="00820E65"/>
    <w:rsid w:val="008211D7"/>
    <w:rsid w:val="00821370"/>
    <w:rsid w:val="008216D6"/>
    <w:rsid w:val="00822537"/>
    <w:rsid w:val="00822582"/>
    <w:rsid w:val="00822857"/>
    <w:rsid w:val="00822EA3"/>
    <w:rsid w:val="00823167"/>
    <w:rsid w:val="00823A7A"/>
    <w:rsid w:val="00823BCA"/>
    <w:rsid w:val="00823F3B"/>
    <w:rsid w:val="008241C7"/>
    <w:rsid w:val="00824620"/>
    <w:rsid w:val="008249C0"/>
    <w:rsid w:val="00824D0F"/>
    <w:rsid w:val="00824FCD"/>
    <w:rsid w:val="008254B7"/>
    <w:rsid w:val="008258DA"/>
    <w:rsid w:val="00825976"/>
    <w:rsid w:val="00826D2A"/>
    <w:rsid w:val="00826F54"/>
    <w:rsid w:val="0082782F"/>
    <w:rsid w:val="00827DB5"/>
    <w:rsid w:val="00827F87"/>
    <w:rsid w:val="008306AD"/>
    <w:rsid w:val="008313C0"/>
    <w:rsid w:val="008322CB"/>
    <w:rsid w:val="008330EA"/>
    <w:rsid w:val="00833925"/>
    <w:rsid w:val="00834085"/>
    <w:rsid w:val="00834980"/>
    <w:rsid w:val="00834CC5"/>
    <w:rsid w:val="0083580A"/>
    <w:rsid w:val="0083595D"/>
    <w:rsid w:val="0083657F"/>
    <w:rsid w:val="00836C17"/>
    <w:rsid w:val="00837B1E"/>
    <w:rsid w:val="008400B5"/>
    <w:rsid w:val="00840545"/>
    <w:rsid w:val="0084058F"/>
    <w:rsid w:val="008405A4"/>
    <w:rsid w:val="0084075D"/>
    <w:rsid w:val="00840976"/>
    <w:rsid w:val="00840DBC"/>
    <w:rsid w:val="0084169F"/>
    <w:rsid w:val="00841DCC"/>
    <w:rsid w:val="0084204D"/>
    <w:rsid w:val="00842110"/>
    <w:rsid w:val="008429FD"/>
    <w:rsid w:val="00842AAC"/>
    <w:rsid w:val="00842C52"/>
    <w:rsid w:val="00842C88"/>
    <w:rsid w:val="00842EC9"/>
    <w:rsid w:val="0084337A"/>
    <w:rsid w:val="0084478B"/>
    <w:rsid w:val="00844B58"/>
    <w:rsid w:val="00844C4B"/>
    <w:rsid w:val="00844CD7"/>
    <w:rsid w:val="00844E96"/>
    <w:rsid w:val="0084516F"/>
    <w:rsid w:val="0084586E"/>
    <w:rsid w:val="00845AF2"/>
    <w:rsid w:val="00845F75"/>
    <w:rsid w:val="00845F85"/>
    <w:rsid w:val="008471D0"/>
    <w:rsid w:val="008471F0"/>
    <w:rsid w:val="0084754B"/>
    <w:rsid w:val="008477C7"/>
    <w:rsid w:val="00847B54"/>
    <w:rsid w:val="00847D44"/>
    <w:rsid w:val="00847E4C"/>
    <w:rsid w:val="00850143"/>
    <w:rsid w:val="00850A06"/>
    <w:rsid w:val="00850B6B"/>
    <w:rsid w:val="00850D0B"/>
    <w:rsid w:val="00850FB2"/>
    <w:rsid w:val="00851075"/>
    <w:rsid w:val="0085121A"/>
    <w:rsid w:val="008513D3"/>
    <w:rsid w:val="0085142B"/>
    <w:rsid w:val="008514DF"/>
    <w:rsid w:val="0085199E"/>
    <w:rsid w:val="00851A71"/>
    <w:rsid w:val="00852BEA"/>
    <w:rsid w:val="00853195"/>
    <w:rsid w:val="008532B9"/>
    <w:rsid w:val="00853377"/>
    <w:rsid w:val="00853989"/>
    <w:rsid w:val="008544D7"/>
    <w:rsid w:val="00855226"/>
    <w:rsid w:val="008555B5"/>
    <w:rsid w:val="00855B30"/>
    <w:rsid w:val="00855C32"/>
    <w:rsid w:val="0085605E"/>
    <w:rsid w:val="008561F8"/>
    <w:rsid w:val="00856E60"/>
    <w:rsid w:val="008572A7"/>
    <w:rsid w:val="008573DA"/>
    <w:rsid w:val="00857523"/>
    <w:rsid w:val="00857A65"/>
    <w:rsid w:val="00857A88"/>
    <w:rsid w:val="0086042E"/>
    <w:rsid w:val="008608DF"/>
    <w:rsid w:val="008609FF"/>
    <w:rsid w:val="0086105B"/>
    <w:rsid w:val="0086144D"/>
    <w:rsid w:val="00861FC1"/>
    <w:rsid w:val="008621CA"/>
    <w:rsid w:val="00862339"/>
    <w:rsid w:val="00862698"/>
    <w:rsid w:val="00862935"/>
    <w:rsid w:val="00862A1A"/>
    <w:rsid w:val="00862C36"/>
    <w:rsid w:val="00863AAA"/>
    <w:rsid w:val="00863D03"/>
    <w:rsid w:val="0086413B"/>
    <w:rsid w:val="0086476C"/>
    <w:rsid w:val="00864802"/>
    <w:rsid w:val="008651FC"/>
    <w:rsid w:val="00865F5D"/>
    <w:rsid w:val="0086612B"/>
    <w:rsid w:val="0086629D"/>
    <w:rsid w:val="00866446"/>
    <w:rsid w:val="008668C9"/>
    <w:rsid w:val="00866984"/>
    <w:rsid w:val="008669A5"/>
    <w:rsid w:val="00866F80"/>
    <w:rsid w:val="00867517"/>
    <w:rsid w:val="008676D6"/>
    <w:rsid w:val="008678E4"/>
    <w:rsid w:val="00867A96"/>
    <w:rsid w:val="00867D7A"/>
    <w:rsid w:val="00870013"/>
    <w:rsid w:val="00870813"/>
    <w:rsid w:val="008709C5"/>
    <w:rsid w:val="00870CB4"/>
    <w:rsid w:val="008718EF"/>
    <w:rsid w:val="0087190C"/>
    <w:rsid w:val="00871BF1"/>
    <w:rsid w:val="00871D6E"/>
    <w:rsid w:val="00871DD5"/>
    <w:rsid w:val="00872DBD"/>
    <w:rsid w:val="00873046"/>
    <w:rsid w:val="0087316A"/>
    <w:rsid w:val="0087364A"/>
    <w:rsid w:val="0087403F"/>
    <w:rsid w:val="008745A3"/>
    <w:rsid w:val="00874636"/>
    <w:rsid w:val="008749DE"/>
    <w:rsid w:val="008753EA"/>
    <w:rsid w:val="00875BB3"/>
    <w:rsid w:val="00875EF7"/>
    <w:rsid w:val="00875F82"/>
    <w:rsid w:val="00876912"/>
    <w:rsid w:val="00876BDF"/>
    <w:rsid w:val="00876D32"/>
    <w:rsid w:val="00877475"/>
    <w:rsid w:val="00877C7F"/>
    <w:rsid w:val="008801C6"/>
    <w:rsid w:val="0088065E"/>
    <w:rsid w:val="008807D0"/>
    <w:rsid w:val="00880AD4"/>
    <w:rsid w:val="00880BF5"/>
    <w:rsid w:val="00880DFF"/>
    <w:rsid w:val="00881054"/>
    <w:rsid w:val="00881356"/>
    <w:rsid w:val="00881650"/>
    <w:rsid w:val="0088214B"/>
    <w:rsid w:val="008824E9"/>
    <w:rsid w:val="00882FFB"/>
    <w:rsid w:val="00883478"/>
    <w:rsid w:val="0088379A"/>
    <w:rsid w:val="00884049"/>
    <w:rsid w:val="00884979"/>
    <w:rsid w:val="00884C45"/>
    <w:rsid w:val="00885637"/>
    <w:rsid w:val="0088571C"/>
    <w:rsid w:val="00885B6A"/>
    <w:rsid w:val="00885CE6"/>
    <w:rsid w:val="008863B9"/>
    <w:rsid w:val="008863C5"/>
    <w:rsid w:val="008875AA"/>
    <w:rsid w:val="00887D49"/>
    <w:rsid w:val="00887E3B"/>
    <w:rsid w:val="008905B7"/>
    <w:rsid w:val="00890D75"/>
    <w:rsid w:val="00891258"/>
    <w:rsid w:val="00891385"/>
    <w:rsid w:val="00891395"/>
    <w:rsid w:val="00891573"/>
    <w:rsid w:val="00891DC1"/>
    <w:rsid w:val="00891ECB"/>
    <w:rsid w:val="00892BD5"/>
    <w:rsid w:val="00892D9A"/>
    <w:rsid w:val="008933AC"/>
    <w:rsid w:val="00894081"/>
    <w:rsid w:val="0089420B"/>
    <w:rsid w:val="00894283"/>
    <w:rsid w:val="0089444D"/>
    <w:rsid w:val="00895397"/>
    <w:rsid w:val="00895676"/>
    <w:rsid w:val="00895966"/>
    <w:rsid w:val="00895F2E"/>
    <w:rsid w:val="008966CA"/>
    <w:rsid w:val="0089684A"/>
    <w:rsid w:val="0089BE08"/>
    <w:rsid w:val="008A061F"/>
    <w:rsid w:val="008A1154"/>
    <w:rsid w:val="008A11DD"/>
    <w:rsid w:val="008A1952"/>
    <w:rsid w:val="008A196D"/>
    <w:rsid w:val="008A2250"/>
    <w:rsid w:val="008A2297"/>
    <w:rsid w:val="008A2968"/>
    <w:rsid w:val="008A2BC6"/>
    <w:rsid w:val="008A2E6B"/>
    <w:rsid w:val="008A3409"/>
    <w:rsid w:val="008A3680"/>
    <w:rsid w:val="008A4377"/>
    <w:rsid w:val="008A55C0"/>
    <w:rsid w:val="008A66D5"/>
    <w:rsid w:val="008A66EC"/>
    <w:rsid w:val="008A7B2E"/>
    <w:rsid w:val="008A7DBF"/>
    <w:rsid w:val="008A7FEB"/>
    <w:rsid w:val="008B0357"/>
    <w:rsid w:val="008B056E"/>
    <w:rsid w:val="008B0C28"/>
    <w:rsid w:val="008B0FF6"/>
    <w:rsid w:val="008B1895"/>
    <w:rsid w:val="008B1D13"/>
    <w:rsid w:val="008B1D45"/>
    <w:rsid w:val="008B2588"/>
    <w:rsid w:val="008B29DB"/>
    <w:rsid w:val="008B2DB4"/>
    <w:rsid w:val="008B35AC"/>
    <w:rsid w:val="008B412F"/>
    <w:rsid w:val="008B485A"/>
    <w:rsid w:val="008B4902"/>
    <w:rsid w:val="008B4DFC"/>
    <w:rsid w:val="008B4FC0"/>
    <w:rsid w:val="008B5CAE"/>
    <w:rsid w:val="008B5E49"/>
    <w:rsid w:val="008B5F2A"/>
    <w:rsid w:val="008B6705"/>
    <w:rsid w:val="008B67AC"/>
    <w:rsid w:val="008B7338"/>
    <w:rsid w:val="008B793F"/>
    <w:rsid w:val="008B7E48"/>
    <w:rsid w:val="008C026D"/>
    <w:rsid w:val="008C0AC8"/>
    <w:rsid w:val="008C0DFE"/>
    <w:rsid w:val="008C0F0C"/>
    <w:rsid w:val="008C0F3E"/>
    <w:rsid w:val="008C1A3D"/>
    <w:rsid w:val="008C1CB6"/>
    <w:rsid w:val="008C1CCC"/>
    <w:rsid w:val="008C1FED"/>
    <w:rsid w:val="008C24ED"/>
    <w:rsid w:val="008C4691"/>
    <w:rsid w:val="008C49DC"/>
    <w:rsid w:val="008C4D85"/>
    <w:rsid w:val="008C4E6A"/>
    <w:rsid w:val="008C6119"/>
    <w:rsid w:val="008C64E8"/>
    <w:rsid w:val="008D092F"/>
    <w:rsid w:val="008D171E"/>
    <w:rsid w:val="008D2194"/>
    <w:rsid w:val="008D2644"/>
    <w:rsid w:val="008D2BC9"/>
    <w:rsid w:val="008D2DFE"/>
    <w:rsid w:val="008D2E23"/>
    <w:rsid w:val="008D323D"/>
    <w:rsid w:val="008D334B"/>
    <w:rsid w:val="008D3650"/>
    <w:rsid w:val="008D42C7"/>
    <w:rsid w:val="008D4581"/>
    <w:rsid w:val="008D47F7"/>
    <w:rsid w:val="008D64E4"/>
    <w:rsid w:val="008D6ED6"/>
    <w:rsid w:val="008D7283"/>
    <w:rsid w:val="008D7B85"/>
    <w:rsid w:val="008E0108"/>
    <w:rsid w:val="008E02FD"/>
    <w:rsid w:val="008E129F"/>
    <w:rsid w:val="008E12BA"/>
    <w:rsid w:val="008E12DB"/>
    <w:rsid w:val="008E1631"/>
    <w:rsid w:val="008E22F0"/>
    <w:rsid w:val="008E2332"/>
    <w:rsid w:val="008E3A5C"/>
    <w:rsid w:val="008E4499"/>
    <w:rsid w:val="008E51FF"/>
    <w:rsid w:val="008E5EC5"/>
    <w:rsid w:val="008E64DE"/>
    <w:rsid w:val="008E7686"/>
    <w:rsid w:val="008E7960"/>
    <w:rsid w:val="008F0288"/>
    <w:rsid w:val="008F0947"/>
    <w:rsid w:val="008F0F88"/>
    <w:rsid w:val="008F1014"/>
    <w:rsid w:val="008F19B4"/>
    <w:rsid w:val="008F1AAD"/>
    <w:rsid w:val="008F1EEC"/>
    <w:rsid w:val="008F1F54"/>
    <w:rsid w:val="008F2161"/>
    <w:rsid w:val="008F2242"/>
    <w:rsid w:val="008F26E8"/>
    <w:rsid w:val="008F2701"/>
    <w:rsid w:val="008F38E4"/>
    <w:rsid w:val="008F3E32"/>
    <w:rsid w:val="008F40D1"/>
    <w:rsid w:val="008F4426"/>
    <w:rsid w:val="008F4701"/>
    <w:rsid w:val="008F4AC0"/>
    <w:rsid w:val="008F4CF3"/>
    <w:rsid w:val="008F4F18"/>
    <w:rsid w:val="008F503B"/>
    <w:rsid w:val="008F53CA"/>
    <w:rsid w:val="008F5856"/>
    <w:rsid w:val="008F5A09"/>
    <w:rsid w:val="008F5AC6"/>
    <w:rsid w:val="008F5BCD"/>
    <w:rsid w:val="008F5EA5"/>
    <w:rsid w:val="008F61E1"/>
    <w:rsid w:val="008F6482"/>
    <w:rsid w:val="008F6DE0"/>
    <w:rsid w:val="008F7196"/>
    <w:rsid w:val="008F764C"/>
    <w:rsid w:val="008F7EE6"/>
    <w:rsid w:val="0090075F"/>
    <w:rsid w:val="00900B6F"/>
    <w:rsid w:val="00900CF0"/>
    <w:rsid w:val="00900EE7"/>
    <w:rsid w:val="009014AE"/>
    <w:rsid w:val="0090199C"/>
    <w:rsid w:val="0090224B"/>
    <w:rsid w:val="009022B7"/>
    <w:rsid w:val="0090288D"/>
    <w:rsid w:val="009038A6"/>
    <w:rsid w:val="00903B05"/>
    <w:rsid w:val="00903E99"/>
    <w:rsid w:val="00903FBB"/>
    <w:rsid w:val="0090458D"/>
    <w:rsid w:val="00904DD5"/>
    <w:rsid w:val="0090507B"/>
    <w:rsid w:val="00905793"/>
    <w:rsid w:val="00905A91"/>
    <w:rsid w:val="0090688B"/>
    <w:rsid w:val="00906F90"/>
    <w:rsid w:val="009104FA"/>
    <w:rsid w:val="00910775"/>
    <w:rsid w:val="00910CAD"/>
    <w:rsid w:val="00911396"/>
    <w:rsid w:val="009120FE"/>
    <w:rsid w:val="00912463"/>
    <w:rsid w:val="009124BC"/>
    <w:rsid w:val="00912B3A"/>
    <w:rsid w:val="00913101"/>
    <w:rsid w:val="00913DB4"/>
    <w:rsid w:val="00914665"/>
    <w:rsid w:val="00915C0D"/>
    <w:rsid w:val="00916870"/>
    <w:rsid w:val="00916885"/>
    <w:rsid w:val="00916899"/>
    <w:rsid w:val="009173A1"/>
    <w:rsid w:val="009173BE"/>
    <w:rsid w:val="00917E16"/>
    <w:rsid w:val="00920C52"/>
    <w:rsid w:val="00921312"/>
    <w:rsid w:val="00921813"/>
    <w:rsid w:val="00921B48"/>
    <w:rsid w:val="00921F6A"/>
    <w:rsid w:val="00922244"/>
    <w:rsid w:val="009233EE"/>
    <w:rsid w:val="009236A1"/>
    <w:rsid w:val="009238F5"/>
    <w:rsid w:val="00924324"/>
    <w:rsid w:val="00924350"/>
    <w:rsid w:val="009245CF"/>
    <w:rsid w:val="009253DC"/>
    <w:rsid w:val="0092571E"/>
    <w:rsid w:val="00925AE6"/>
    <w:rsid w:val="00926713"/>
    <w:rsid w:val="009267BC"/>
    <w:rsid w:val="00926A74"/>
    <w:rsid w:val="00926B47"/>
    <w:rsid w:val="00926B93"/>
    <w:rsid w:val="009272EB"/>
    <w:rsid w:val="00927BE9"/>
    <w:rsid w:val="0093035B"/>
    <w:rsid w:val="00930A69"/>
    <w:rsid w:val="00930AD3"/>
    <w:rsid w:val="00931963"/>
    <w:rsid w:val="00931D1B"/>
    <w:rsid w:val="00932376"/>
    <w:rsid w:val="0093384C"/>
    <w:rsid w:val="00933C44"/>
    <w:rsid w:val="009344D3"/>
    <w:rsid w:val="00934838"/>
    <w:rsid w:val="00934D5D"/>
    <w:rsid w:val="009355EE"/>
    <w:rsid w:val="00935EB8"/>
    <w:rsid w:val="00936268"/>
    <w:rsid w:val="0093683F"/>
    <w:rsid w:val="00937409"/>
    <w:rsid w:val="009377EE"/>
    <w:rsid w:val="009378FC"/>
    <w:rsid w:val="00940534"/>
    <w:rsid w:val="00941F43"/>
    <w:rsid w:val="00943348"/>
    <w:rsid w:val="009438AB"/>
    <w:rsid w:val="009443F4"/>
    <w:rsid w:val="009452F3"/>
    <w:rsid w:val="00946019"/>
    <w:rsid w:val="00946B44"/>
    <w:rsid w:val="009474C8"/>
    <w:rsid w:val="00947D9F"/>
    <w:rsid w:val="0094D55F"/>
    <w:rsid w:val="0095032F"/>
    <w:rsid w:val="009503AF"/>
    <w:rsid w:val="00950449"/>
    <w:rsid w:val="009504F1"/>
    <w:rsid w:val="00951054"/>
    <w:rsid w:val="0095148B"/>
    <w:rsid w:val="00951732"/>
    <w:rsid w:val="00952410"/>
    <w:rsid w:val="00952793"/>
    <w:rsid w:val="00952A8C"/>
    <w:rsid w:val="009530CA"/>
    <w:rsid w:val="009541A5"/>
    <w:rsid w:val="0095462C"/>
    <w:rsid w:val="009550FD"/>
    <w:rsid w:val="00955B04"/>
    <w:rsid w:val="00955C3A"/>
    <w:rsid w:val="00955E37"/>
    <w:rsid w:val="00956125"/>
    <w:rsid w:val="009565A3"/>
    <w:rsid w:val="00956956"/>
    <w:rsid w:val="009572E4"/>
    <w:rsid w:val="0095750E"/>
    <w:rsid w:val="0095762D"/>
    <w:rsid w:val="009606FB"/>
    <w:rsid w:val="00960AC8"/>
    <w:rsid w:val="00960E0E"/>
    <w:rsid w:val="0096202C"/>
    <w:rsid w:val="00962532"/>
    <w:rsid w:val="009635E4"/>
    <w:rsid w:val="00963744"/>
    <w:rsid w:val="00963AC0"/>
    <w:rsid w:val="00964381"/>
    <w:rsid w:val="009649F3"/>
    <w:rsid w:val="00964AED"/>
    <w:rsid w:val="00964C51"/>
    <w:rsid w:val="009655F1"/>
    <w:rsid w:val="00965C07"/>
    <w:rsid w:val="00965C22"/>
    <w:rsid w:val="00965ED8"/>
    <w:rsid w:val="00966BE3"/>
    <w:rsid w:val="00967344"/>
    <w:rsid w:val="00967472"/>
    <w:rsid w:val="00967589"/>
    <w:rsid w:val="009677BB"/>
    <w:rsid w:val="00967DEA"/>
    <w:rsid w:val="00970C57"/>
    <w:rsid w:val="00970D00"/>
    <w:rsid w:val="00971123"/>
    <w:rsid w:val="009713FD"/>
    <w:rsid w:val="009716B8"/>
    <w:rsid w:val="0097211B"/>
    <w:rsid w:val="00972260"/>
    <w:rsid w:val="00973044"/>
    <w:rsid w:val="0097333D"/>
    <w:rsid w:val="009733D6"/>
    <w:rsid w:val="00973BBF"/>
    <w:rsid w:val="00973FCD"/>
    <w:rsid w:val="0097452B"/>
    <w:rsid w:val="00975747"/>
    <w:rsid w:val="00975819"/>
    <w:rsid w:val="00975DE5"/>
    <w:rsid w:val="009762BB"/>
    <w:rsid w:val="00976488"/>
    <w:rsid w:val="00976AEC"/>
    <w:rsid w:val="00980696"/>
    <w:rsid w:val="0098098D"/>
    <w:rsid w:val="009809A1"/>
    <w:rsid w:val="00980F22"/>
    <w:rsid w:val="00981151"/>
    <w:rsid w:val="00981688"/>
    <w:rsid w:val="00981AED"/>
    <w:rsid w:val="0098265A"/>
    <w:rsid w:val="00982EDF"/>
    <w:rsid w:val="009835E0"/>
    <w:rsid w:val="00983C4F"/>
    <w:rsid w:val="009840ED"/>
    <w:rsid w:val="00984C67"/>
    <w:rsid w:val="00984F24"/>
    <w:rsid w:val="00985892"/>
    <w:rsid w:val="009861F0"/>
    <w:rsid w:val="00986C2A"/>
    <w:rsid w:val="00987BE9"/>
    <w:rsid w:val="00987E91"/>
    <w:rsid w:val="00991287"/>
    <w:rsid w:val="00991A35"/>
    <w:rsid w:val="00991D40"/>
    <w:rsid w:val="009922AB"/>
    <w:rsid w:val="00992566"/>
    <w:rsid w:val="00992B08"/>
    <w:rsid w:val="00992F0D"/>
    <w:rsid w:val="0099385E"/>
    <w:rsid w:val="00994334"/>
    <w:rsid w:val="00994808"/>
    <w:rsid w:val="00994CCF"/>
    <w:rsid w:val="00995B33"/>
    <w:rsid w:val="009963C6"/>
    <w:rsid w:val="009974E4"/>
    <w:rsid w:val="009A04BA"/>
    <w:rsid w:val="009A07A7"/>
    <w:rsid w:val="009A1126"/>
    <w:rsid w:val="009A1DDC"/>
    <w:rsid w:val="009A1DF9"/>
    <w:rsid w:val="009A2F42"/>
    <w:rsid w:val="009A3430"/>
    <w:rsid w:val="009A3ED9"/>
    <w:rsid w:val="009A4A45"/>
    <w:rsid w:val="009A4AF1"/>
    <w:rsid w:val="009A51A8"/>
    <w:rsid w:val="009A573F"/>
    <w:rsid w:val="009A5952"/>
    <w:rsid w:val="009A5B25"/>
    <w:rsid w:val="009A5B2C"/>
    <w:rsid w:val="009A652A"/>
    <w:rsid w:val="009A65A5"/>
    <w:rsid w:val="009A67FA"/>
    <w:rsid w:val="009A685C"/>
    <w:rsid w:val="009A6E93"/>
    <w:rsid w:val="009A798C"/>
    <w:rsid w:val="009A7D3B"/>
    <w:rsid w:val="009A7FA7"/>
    <w:rsid w:val="009B0232"/>
    <w:rsid w:val="009B0B62"/>
    <w:rsid w:val="009B1A65"/>
    <w:rsid w:val="009B1B74"/>
    <w:rsid w:val="009B2047"/>
    <w:rsid w:val="009B2AB8"/>
    <w:rsid w:val="009B2D6C"/>
    <w:rsid w:val="009B2DFA"/>
    <w:rsid w:val="009B2FC0"/>
    <w:rsid w:val="009B34F3"/>
    <w:rsid w:val="009B357B"/>
    <w:rsid w:val="009B36F6"/>
    <w:rsid w:val="009B37D3"/>
    <w:rsid w:val="009B3804"/>
    <w:rsid w:val="009B3811"/>
    <w:rsid w:val="009B3A71"/>
    <w:rsid w:val="009B3A7A"/>
    <w:rsid w:val="009B3B07"/>
    <w:rsid w:val="009B3EFE"/>
    <w:rsid w:val="009B435F"/>
    <w:rsid w:val="009B4821"/>
    <w:rsid w:val="009B49A1"/>
    <w:rsid w:val="009B4AE2"/>
    <w:rsid w:val="009B5986"/>
    <w:rsid w:val="009B5D00"/>
    <w:rsid w:val="009B5EF6"/>
    <w:rsid w:val="009B5FA5"/>
    <w:rsid w:val="009B634F"/>
    <w:rsid w:val="009B64D4"/>
    <w:rsid w:val="009B6972"/>
    <w:rsid w:val="009B6C96"/>
    <w:rsid w:val="009B6F65"/>
    <w:rsid w:val="009B765B"/>
    <w:rsid w:val="009B7B1B"/>
    <w:rsid w:val="009C0038"/>
    <w:rsid w:val="009C0573"/>
    <w:rsid w:val="009C0F4B"/>
    <w:rsid w:val="009C1146"/>
    <w:rsid w:val="009C116B"/>
    <w:rsid w:val="009C1A82"/>
    <w:rsid w:val="009C1CA0"/>
    <w:rsid w:val="009C211A"/>
    <w:rsid w:val="009C2196"/>
    <w:rsid w:val="009C2305"/>
    <w:rsid w:val="009C287C"/>
    <w:rsid w:val="009C28C6"/>
    <w:rsid w:val="009C2D0B"/>
    <w:rsid w:val="009C31E1"/>
    <w:rsid w:val="009C3FAF"/>
    <w:rsid w:val="009C41D5"/>
    <w:rsid w:val="009C4C9C"/>
    <w:rsid w:val="009C4E02"/>
    <w:rsid w:val="009C563C"/>
    <w:rsid w:val="009C5A5C"/>
    <w:rsid w:val="009C5A6F"/>
    <w:rsid w:val="009C5DE0"/>
    <w:rsid w:val="009C6888"/>
    <w:rsid w:val="009C6B00"/>
    <w:rsid w:val="009C7035"/>
    <w:rsid w:val="009C72D0"/>
    <w:rsid w:val="009C76F8"/>
    <w:rsid w:val="009D0369"/>
    <w:rsid w:val="009D04F9"/>
    <w:rsid w:val="009D08E1"/>
    <w:rsid w:val="009D0B09"/>
    <w:rsid w:val="009D1195"/>
    <w:rsid w:val="009D182D"/>
    <w:rsid w:val="009D19B7"/>
    <w:rsid w:val="009D1B1D"/>
    <w:rsid w:val="009D1B33"/>
    <w:rsid w:val="009D2ECB"/>
    <w:rsid w:val="009D3764"/>
    <w:rsid w:val="009D3D96"/>
    <w:rsid w:val="009D4278"/>
    <w:rsid w:val="009D44B6"/>
    <w:rsid w:val="009D4573"/>
    <w:rsid w:val="009D4653"/>
    <w:rsid w:val="009D48C3"/>
    <w:rsid w:val="009D4D1E"/>
    <w:rsid w:val="009D5365"/>
    <w:rsid w:val="009D598E"/>
    <w:rsid w:val="009D5C8F"/>
    <w:rsid w:val="009D6317"/>
    <w:rsid w:val="009D6B32"/>
    <w:rsid w:val="009D6C73"/>
    <w:rsid w:val="009D7A15"/>
    <w:rsid w:val="009E0A3C"/>
    <w:rsid w:val="009E0D85"/>
    <w:rsid w:val="009E1D92"/>
    <w:rsid w:val="009E1F55"/>
    <w:rsid w:val="009E22C3"/>
    <w:rsid w:val="009E24D2"/>
    <w:rsid w:val="009E2DC8"/>
    <w:rsid w:val="009E3481"/>
    <w:rsid w:val="009E37D5"/>
    <w:rsid w:val="009E39EE"/>
    <w:rsid w:val="009E4068"/>
    <w:rsid w:val="009E4374"/>
    <w:rsid w:val="009E5147"/>
    <w:rsid w:val="009E55FE"/>
    <w:rsid w:val="009E6282"/>
    <w:rsid w:val="009E666A"/>
    <w:rsid w:val="009E691B"/>
    <w:rsid w:val="009E6CC5"/>
    <w:rsid w:val="009E7766"/>
    <w:rsid w:val="009E7838"/>
    <w:rsid w:val="009E7A29"/>
    <w:rsid w:val="009E7AD2"/>
    <w:rsid w:val="009E7B5C"/>
    <w:rsid w:val="009E7BAA"/>
    <w:rsid w:val="009E7CDD"/>
    <w:rsid w:val="009F0B74"/>
    <w:rsid w:val="009F12EA"/>
    <w:rsid w:val="009F1603"/>
    <w:rsid w:val="009F16A5"/>
    <w:rsid w:val="009F173A"/>
    <w:rsid w:val="009F18D9"/>
    <w:rsid w:val="009F1994"/>
    <w:rsid w:val="009F277A"/>
    <w:rsid w:val="009F2A8A"/>
    <w:rsid w:val="009F2BB4"/>
    <w:rsid w:val="009F342A"/>
    <w:rsid w:val="009F3C68"/>
    <w:rsid w:val="009F4496"/>
    <w:rsid w:val="009F48E0"/>
    <w:rsid w:val="009F5398"/>
    <w:rsid w:val="009F5CD8"/>
    <w:rsid w:val="009F6901"/>
    <w:rsid w:val="009F77D6"/>
    <w:rsid w:val="009F7E50"/>
    <w:rsid w:val="009F7EE8"/>
    <w:rsid w:val="00A00437"/>
    <w:rsid w:val="00A0058A"/>
    <w:rsid w:val="00A005AE"/>
    <w:rsid w:val="00A0101D"/>
    <w:rsid w:val="00A01627"/>
    <w:rsid w:val="00A01BEA"/>
    <w:rsid w:val="00A01F5B"/>
    <w:rsid w:val="00A022F4"/>
    <w:rsid w:val="00A022FE"/>
    <w:rsid w:val="00A02896"/>
    <w:rsid w:val="00A03472"/>
    <w:rsid w:val="00A03F53"/>
    <w:rsid w:val="00A03F93"/>
    <w:rsid w:val="00A042AB"/>
    <w:rsid w:val="00A04F3B"/>
    <w:rsid w:val="00A05464"/>
    <w:rsid w:val="00A05467"/>
    <w:rsid w:val="00A05479"/>
    <w:rsid w:val="00A056C2"/>
    <w:rsid w:val="00A05A7A"/>
    <w:rsid w:val="00A0680B"/>
    <w:rsid w:val="00A0696C"/>
    <w:rsid w:val="00A06AD3"/>
    <w:rsid w:val="00A073C9"/>
    <w:rsid w:val="00A07424"/>
    <w:rsid w:val="00A07701"/>
    <w:rsid w:val="00A07AB9"/>
    <w:rsid w:val="00A103AE"/>
    <w:rsid w:val="00A11F8F"/>
    <w:rsid w:val="00A12217"/>
    <w:rsid w:val="00A12418"/>
    <w:rsid w:val="00A12868"/>
    <w:rsid w:val="00A12C73"/>
    <w:rsid w:val="00A12EE5"/>
    <w:rsid w:val="00A13052"/>
    <w:rsid w:val="00A1315D"/>
    <w:rsid w:val="00A138F7"/>
    <w:rsid w:val="00A13C8C"/>
    <w:rsid w:val="00A13D31"/>
    <w:rsid w:val="00A141AA"/>
    <w:rsid w:val="00A144B7"/>
    <w:rsid w:val="00A1556B"/>
    <w:rsid w:val="00A164CE"/>
    <w:rsid w:val="00A16D9D"/>
    <w:rsid w:val="00A16EE1"/>
    <w:rsid w:val="00A17494"/>
    <w:rsid w:val="00A1D391"/>
    <w:rsid w:val="00A20198"/>
    <w:rsid w:val="00A2082B"/>
    <w:rsid w:val="00A20FAF"/>
    <w:rsid w:val="00A21737"/>
    <w:rsid w:val="00A21826"/>
    <w:rsid w:val="00A22153"/>
    <w:rsid w:val="00A222EE"/>
    <w:rsid w:val="00A225AE"/>
    <w:rsid w:val="00A2290A"/>
    <w:rsid w:val="00A235BD"/>
    <w:rsid w:val="00A24210"/>
    <w:rsid w:val="00A2479B"/>
    <w:rsid w:val="00A24ECF"/>
    <w:rsid w:val="00A254BC"/>
    <w:rsid w:val="00A263B4"/>
    <w:rsid w:val="00A26CD5"/>
    <w:rsid w:val="00A26D20"/>
    <w:rsid w:val="00A27C54"/>
    <w:rsid w:val="00A27D58"/>
    <w:rsid w:val="00A30139"/>
    <w:rsid w:val="00A31997"/>
    <w:rsid w:val="00A328B9"/>
    <w:rsid w:val="00A32DD1"/>
    <w:rsid w:val="00A32F0F"/>
    <w:rsid w:val="00A33257"/>
    <w:rsid w:val="00A33564"/>
    <w:rsid w:val="00A33719"/>
    <w:rsid w:val="00A337CA"/>
    <w:rsid w:val="00A33A59"/>
    <w:rsid w:val="00A344B6"/>
    <w:rsid w:val="00A34C83"/>
    <w:rsid w:val="00A34DF7"/>
    <w:rsid w:val="00A35187"/>
    <w:rsid w:val="00A354CB"/>
    <w:rsid w:val="00A35859"/>
    <w:rsid w:val="00A36A3D"/>
    <w:rsid w:val="00A37079"/>
    <w:rsid w:val="00A37A6A"/>
    <w:rsid w:val="00A40C02"/>
    <w:rsid w:val="00A40DC0"/>
    <w:rsid w:val="00A415C6"/>
    <w:rsid w:val="00A417A8"/>
    <w:rsid w:val="00A41A7E"/>
    <w:rsid w:val="00A41DCD"/>
    <w:rsid w:val="00A425AF"/>
    <w:rsid w:val="00A42A26"/>
    <w:rsid w:val="00A42CA1"/>
    <w:rsid w:val="00A437A0"/>
    <w:rsid w:val="00A43A5A"/>
    <w:rsid w:val="00A44096"/>
    <w:rsid w:val="00A44A92"/>
    <w:rsid w:val="00A46A99"/>
    <w:rsid w:val="00A46E2B"/>
    <w:rsid w:val="00A47061"/>
    <w:rsid w:val="00A470DF"/>
    <w:rsid w:val="00A47BA9"/>
    <w:rsid w:val="00A47C6B"/>
    <w:rsid w:val="00A5000B"/>
    <w:rsid w:val="00A50E7F"/>
    <w:rsid w:val="00A51174"/>
    <w:rsid w:val="00A52477"/>
    <w:rsid w:val="00A526A0"/>
    <w:rsid w:val="00A52CE4"/>
    <w:rsid w:val="00A532BC"/>
    <w:rsid w:val="00A537C5"/>
    <w:rsid w:val="00A53B58"/>
    <w:rsid w:val="00A5401F"/>
    <w:rsid w:val="00A54569"/>
    <w:rsid w:val="00A55725"/>
    <w:rsid w:val="00A558B2"/>
    <w:rsid w:val="00A55C78"/>
    <w:rsid w:val="00A5673B"/>
    <w:rsid w:val="00A568D8"/>
    <w:rsid w:val="00A569C2"/>
    <w:rsid w:val="00A56E4B"/>
    <w:rsid w:val="00A570F1"/>
    <w:rsid w:val="00A5717C"/>
    <w:rsid w:val="00A60114"/>
    <w:rsid w:val="00A60510"/>
    <w:rsid w:val="00A60BA3"/>
    <w:rsid w:val="00A60C40"/>
    <w:rsid w:val="00A611FA"/>
    <w:rsid w:val="00A61571"/>
    <w:rsid w:val="00A61CC1"/>
    <w:rsid w:val="00A6380C"/>
    <w:rsid w:val="00A64B29"/>
    <w:rsid w:val="00A64D2C"/>
    <w:rsid w:val="00A654FA"/>
    <w:rsid w:val="00A65B2A"/>
    <w:rsid w:val="00A65B5E"/>
    <w:rsid w:val="00A65C41"/>
    <w:rsid w:val="00A66164"/>
    <w:rsid w:val="00A6640F"/>
    <w:rsid w:val="00A66701"/>
    <w:rsid w:val="00A66ACF"/>
    <w:rsid w:val="00A66AE4"/>
    <w:rsid w:val="00A67127"/>
    <w:rsid w:val="00A672EB"/>
    <w:rsid w:val="00A6744E"/>
    <w:rsid w:val="00A678DF"/>
    <w:rsid w:val="00A67902"/>
    <w:rsid w:val="00A67A70"/>
    <w:rsid w:val="00A70053"/>
    <w:rsid w:val="00A702F8"/>
    <w:rsid w:val="00A708A8"/>
    <w:rsid w:val="00A71242"/>
    <w:rsid w:val="00A71741"/>
    <w:rsid w:val="00A720D0"/>
    <w:rsid w:val="00A7217B"/>
    <w:rsid w:val="00A725BE"/>
    <w:rsid w:val="00A725C1"/>
    <w:rsid w:val="00A729C3"/>
    <w:rsid w:val="00A72C03"/>
    <w:rsid w:val="00A732FA"/>
    <w:rsid w:val="00A7337B"/>
    <w:rsid w:val="00A746F9"/>
    <w:rsid w:val="00A74C72"/>
    <w:rsid w:val="00A75063"/>
    <w:rsid w:val="00A758DE"/>
    <w:rsid w:val="00A75EB1"/>
    <w:rsid w:val="00A76BA6"/>
    <w:rsid w:val="00A76C99"/>
    <w:rsid w:val="00A7719B"/>
    <w:rsid w:val="00A7725D"/>
    <w:rsid w:val="00A77DD9"/>
    <w:rsid w:val="00A805BC"/>
    <w:rsid w:val="00A80745"/>
    <w:rsid w:val="00A80F5E"/>
    <w:rsid w:val="00A80FE5"/>
    <w:rsid w:val="00A81432"/>
    <w:rsid w:val="00A8182D"/>
    <w:rsid w:val="00A81DCF"/>
    <w:rsid w:val="00A822D6"/>
    <w:rsid w:val="00A8314B"/>
    <w:rsid w:val="00A83A41"/>
    <w:rsid w:val="00A83AC5"/>
    <w:rsid w:val="00A83F1D"/>
    <w:rsid w:val="00A83F73"/>
    <w:rsid w:val="00A84212"/>
    <w:rsid w:val="00A84FA5"/>
    <w:rsid w:val="00A850DA"/>
    <w:rsid w:val="00A85474"/>
    <w:rsid w:val="00A8548F"/>
    <w:rsid w:val="00A856F9"/>
    <w:rsid w:val="00A85C4C"/>
    <w:rsid w:val="00A8609F"/>
    <w:rsid w:val="00A86551"/>
    <w:rsid w:val="00A86647"/>
    <w:rsid w:val="00A86EC3"/>
    <w:rsid w:val="00A86EF9"/>
    <w:rsid w:val="00A86FBF"/>
    <w:rsid w:val="00A87161"/>
    <w:rsid w:val="00A87195"/>
    <w:rsid w:val="00A90155"/>
    <w:rsid w:val="00A902E8"/>
    <w:rsid w:val="00A906D1"/>
    <w:rsid w:val="00A911E6"/>
    <w:rsid w:val="00A918DE"/>
    <w:rsid w:val="00A91BA1"/>
    <w:rsid w:val="00A9237A"/>
    <w:rsid w:val="00A92499"/>
    <w:rsid w:val="00A93436"/>
    <w:rsid w:val="00A938FC"/>
    <w:rsid w:val="00A9402E"/>
    <w:rsid w:val="00A9423F"/>
    <w:rsid w:val="00A94508"/>
    <w:rsid w:val="00A94E4F"/>
    <w:rsid w:val="00A956E7"/>
    <w:rsid w:val="00A95E13"/>
    <w:rsid w:val="00A96191"/>
    <w:rsid w:val="00A96C0F"/>
    <w:rsid w:val="00A974E9"/>
    <w:rsid w:val="00A97BEF"/>
    <w:rsid w:val="00A97E10"/>
    <w:rsid w:val="00AA07FA"/>
    <w:rsid w:val="00AA0924"/>
    <w:rsid w:val="00AA1344"/>
    <w:rsid w:val="00AA1621"/>
    <w:rsid w:val="00AA2298"/>
    <w:rsid w:val="00AA22DC"/>
    <w:rsid w:val="00AA33B8"/>
    <w:rsid w:val="00AA3CDC"/>
    <w:rsid w:val="00AA410D"/>
    <w:rsid w:val="00AA419E"/>
    <w:rsid w:val="00AA429B"/>
    <w:rsid w:val="00AA4D1A"/>
    <w:rsid w:val="00AA4E98"/>
    <w:rsid w:val="00AA51AC"/>
    <w:rsid w:val="00AA5C0C"/>
    <w:rsid w:val="00AA67A7"/>
    <w:rsid w:val="00AA6E52"/>
    <w:rsid w:val="00AA703F"/>
    <w:rsid w:val="00AA7E59"/>
    <w:rsid w:val="00AB004B"/>
    <w:rsid w:val="00AB01AF"/>
    <w:rsid w:val="00AB0F7E"/>
    <w:rsid w:val="00AB127C"/>
    <w:rsid w:val="00AB16D5"/>
    <w:rsid w:val="00AB2ACA"/>
    <w:rsid w:val="00AB2C57"/>
    <w:rsid w:val="00AB2E34"/>
    <w:rsid w:val="00AB3C7A"/>
    <w:rsid w:val="00AB446F"/>
    <w:rsid w:val="00AB4A85"/>
    <w:rsid w:val="00AB519B"/>
    <w:rsid w:val="00AB5404"/>
    <w:rsid w:val="00AB5627"/>
    <w:rsid w:val="00AB563D"/>
    <w:rsid w:val="00AB595E"/>
    <w:rsid w:val="00AB5B64"/>
    <w:rsid w:val="00AB6817"/>
    <w:rsid w:val="00AB6DB7"/>
    <w:rsid w:val="00AC037D"/>
    <w:rsid w:val="00AC07E0"/>
    <w:rsid w:val="00AC12A0"/>
    <w:rsid w:val="00AC1761"/>
    <w:rsid w:val="00AC1FC6"/>
    <w:rsid w:val="00AC2BC0"/>
    <w:rsid w:val="00AC35F6"/>
    <w:rsid w:val="00AC4BE4"/>
    <w:rsid w:val="00AC4BED"/>
    <w:rsid w:val="00AC5558"/>
    <w:rsid w:val="00AC56E9"/>
    <w:rsid w:val="00AC6379"/>
    <w:rsid w:val="00AC65A9"/>
    <w:rsid w:val="00AC6C3F"/>
    <w:rsid w:val="00AC7461"/>
    <w:rsid w:val="00AC7E48"/>
    <w:rsid w:val="00AD045C"/>
    <w:rsid w:val="00AD045E"/>
    <w:rsid w:val="00AD0E7D"/>
    <w:rsid w:val="00AD1C03"/>
    <w:rsid w:val="00AD1FD7"/>
    <w:rsid w:val="00AD2097"/>
    <w:rsid w:val="00AD271C"/>
    <w:rsid w:val="00AD29A6"/>
    <w:rsid w:val="00AD2C87"/>
    <w:rsid w:val="00AD2ECC"/>
    <w:rsid w:val="00AD3523"/>
    <w:rsid w:val="00AD3971"/>
    <w:rsid w:val="00AD4106"/>
    <w:rsid w:val="00AD4123"/>
    <w:rsid w:val="00AD4B55"/>
    <w:rsid w:val="00AD4C71"/>
    <w:rsid w:val="00AD5669"/>
    <w:rsid w:val="00AD56FF"/>
    <w:rsid w:val="00AD64F1"/>
    <w:rsid w:val="00AD6CFF"/>
    <w:rsid w:val="00AD7A78"/>
    <w:rsid w:val="00AE03F5"/>
    <w:rsid w:val="00AE0D94"/>
    <w:rsid w:val="00AE1616"/>
    <w:rsid w:val="00AE16D2"/>
    <w:rsid w:val="00AE1955"/>
    <w:rsid w:val="00AE1C95"/>
    <w:rsid w:val="00AE285D"/>
    <w:rsid w:val="00AE2BBF"/>
    <w:rsid w:val="00AE2F12"/>
    <w:rsid w:val="00AE3776"/>
    <w:rsid w:val="00AE49F3"/>
    <w:rsid w:val="00AE4A33"/>
    <w:rsid w:val="00AE56BF"/>
    <w:rsid w:val="00AE594E"/>
    <w:rsid w:val="00AE7212"/>
    <w:rsid w:val="00AE7A04"/>
    <w:rsid w:val="00AF17F2"/>
    <w:rsid w:val="00AF1947"/>
    <w:rsid w:val="00AF1A96"/>
    <w:rsid w:val="00AF2F74"/>
    <w:rsid w:val="00AF333C"/>
    <w:rsid w:val="00AF3521"/>
    <w:rsid w:val="00AF381C"/>
    <w:rsid w:val="00AF4535"/>
    <w:rsid w:val="00AF4C49"/>
    <w:rsid w:val="00AF4D09"/>
    <w:rsid w:val="00AF4D38"/>
    <w:rsid w:val="00AF4E7B"/>
    <w:rsid w:val="00AF51CA"/>
    <w:rsid w:val="00AF54F0"/>
    <w:rsid w:val="00AF5571"/>
    <w:rsid w:val="00AF5760"/>
    <w:rsid w:val="00AF5A4B"/>
    <w:rsid w:val="00AF5DDB"/>
    <w:rsid w:val="00AF6148"/>
    <w:rsid w:val="00AF64AE"/>
    <w:rsid w:val="00AF657B"/>
    <w:rsid w:val="00AF66CE"/>
    <w:rsid w:val="00AF67F3"/>
    <w:rsid w:val="00AF7096"/>
    <w:rsid w:val="00AF7851"/>
    <w:rsid w:val="00AF7938"/>
    <w:rsid w:val="00AF7C58"/>
    <w:rsid w:val="00AF7F90"/>
    <w:rsid w:val="00B00422"/>
    <w:rsid w:val="00B01175"/>
    <w:rsid w:val="00B01526"/>
    <w:rsid w:val="00B015D1"/>
    <w:rsid w:val="00B0163F"/>
    <w:rsid w:val="00B016AF"/>
    <w:rsid w:val="00B01DE4"/>
    <w:rsid w:val="00B01DFF"/>
    <w:rsid w:val="00B020F1"/>
    <w:rsid w:val="00B02BDF"/>
    <w:rsid w:val="00B037DB"/>
    <w:rsid w:val="00B03D6D"/>
    <w:rsid w:val="00B03E4B"/>
    <w:rsid w:val="00B04011"/>
    <w:rsid w:val="00B043EE"/>
    <w:rsid w:val="00B04D8A"/>
    <w:rsid w:val="00B04ECF"/>
    <w:rsid w:val="00B05198"/>
    <w:rsid w:val="00B05427"/>
    <w:rsid w:val="00B0584F"/>
    <w:rsid w:val="00B05B23"/>
    <w:rsid w:val="00B05B28"/>
    <w:rsid w:val="00B05C4E"/>
    <w:rsid w:val="00B06618"/>
    <w:rsid w:val="00B066FA"/>
    <w:rsid w:val="00B06B0F"/>
    <w:rsid w:val="00B06BDB"/>
    <w:rsid w:val="00B06D18"/>
    <w:rsid w:val="00B06DF1"/>
    <w:rsid w:val="00B07D08"/>
    <w:rsid w:val="00B100A3"/>
    <w:rsid w:val="00B1012A"/>
    <w:rsid w:val="00B10848"/>
    <w:rsid w:val="00B10E74"/>
    <w:rsid w:val="00B114B8"/>
    <w:rsid w:val="00B1155F"/>
    <w:rsid w:val="00B11AF3"/>
    <w:rsid w:val="00B11E9E"/>
    <w:rsid w:val="00B11ED1"/>
    <w:rsid w:val="00B11FFB"/>
    <w:rsid w:val="00B123EB"/>
    <w:rsid w:val="00B12625"/>
    <w:rsid w:val="00B12821"/>
    <w:rsid w:val="00B12A6F"/>
    <w:rsid w:val="00B12AD1"/>
    <w:rsid w:val="00B12D3E"/>
    <w:rsid w:val="00B14358"/>
    <w:rsid w:val="00B1444F"/>
    <w:rsid w:val="00B15114"/>
    <w:rsid w:val="00B1522C"/>
    <w:rsid w:val="00B153B6"/>
    <w:rsid w:val="00B155E9"/>
    <w:rsid w:val="00B157AF"/>
    <w:rsid w:val="00B15EC6"/>
    <w:rsid w:val="00B16039"/>
    <w:rsid w:val="00B1644F"/>
    <w:rsid w:val="00B165D5"/>
    <w:rsid w:val="00B16849"/>
    <w:rsid w:val="00B16F72"/>
    <w:rsid w:val="00B174C3"/>
    <w:rsid w:val="00B1758B"/>
    <w:rsid w:val="00B17B93"/>
    <w:rsid w:val="00B210C3"/>
    <w:rsid w:val="00B21E11"/>
    <w:rsid w:val="00B2259D"/>
    <w:rsid w:val="00B22882"/>
    <w:rsid w:val="00B22D6F"/>
    <w:rsid w:val="00B23A33"/>
    <w:rsid w:val="00B23A7B"/>
    <w:rsid w:val="00B24D54"/>
    <w:rsid w:val="00B24E8F"/>
    <w:rsid w:val="00B24F1B"/>
    <w:rsid w:val="00B256BA"/>
    <w:rsid w:val="00B25F57"/>
    <w:rsid w:val="00B26274"/>
    <w:rsid w:val="00B265FF"/>
    <w:rsid w:val="00B27023"/>
    <w:rsid w:val="00B272F8"/>
    <w:rsid w:val="00B27663"/>
    <w:rsid w:val="00B276D2"/>
    <w:rsid w:val="00B27E23"/>
    <w:rsid w:val="00B30637"/>
    <w:rsid w:val="00B30A3B"/>
    <w:rsid w:val="00B316DB"/>
    <w:rsid w:val="00B31A2B"/>
    <w:rsid w:val="00B32390"/>
    <w:rsid w:val="00B32935"/>
    <w:rsid w:val="00B32E56"/>
    <w:rsid w:val="00B32F6A"/>
    <w:rsid w:val="00B33633"/>
    <w:rsid w:val="00B33DC9"/>
    <w:rsid w:val="00B33E8F"/>
    <w:rsid w:val="00B33F67"/>
    <w:rsid w:val="00B33FE5"/>
    <w:rsid w:val="00B34641"/>
    <w:rsid w:val="00B34BA0"/>
    <w:rsid w:val="00B34E9D"/>
    <w:rsid w:val="00B35325"/>
    <w:rsid w:val="00B3562E"/>
    <w:rsid w:val="00B361A7"/>
    <w:rsid w:val="00B3647F"/>
    <w:rsid w:val="00B367B0"/>
    <w:rsid w:val="00B371DC"/>
    <w:rsid w:val="00B3776D"/>
    <w:rsid w:val="00B37E94"/>
    <w:rsid w:val="00B401A5"/>
    <w:rsid w:val="00B405F3"/>
    <w:rsid w:val="00B40750"/>
    <w:rsid w:val="00B40829"/>
    <w:rsid w:val="00B41506"/>
    <w:rsid w:val="00B41625"/>
    <w:rsid w:val="00B41C6A"/>
    <w:rsid w:val="00B41E21"/>
    <w:rsid w:val="00B41E8C"/>
    <w:rsid w:val="00B42242"/>
    <w:rsid w:val="00B4274C"/>
    <w:rsid w:val="00B4276E"/>
    <w:rsid w:val="00B42948"/>
    <w:rsid w:val="00B42BAF"/>
    <w:rsid w:val="00B42F56"/>
    <w:rsid w:val="00B43622"/>
    <w:rsid w:val="00B44020"/>
    <w:rsid w:val="00B44628"/>
    <w:rsid w:val="00B44953"/>
    <w:rsid w:val="00B449C9"/>
    <w:rsid w:val="00B44ABB"/>
    <w:rsid w:val="00B44D14"/>
    <w:rsid w:val="00B44D63"/>
    <w:rsid w:val="00B4502E"/>
    <w:rsid w:val="00B45352"/>
    <w:rsid w:val="00B455EE"/>
    <w:rsid w:val="00B46098"/>
    <w:rsid w:val="00B46AA5"/>
    <w:rsid w:val="00B47310"/>
    <w:rsid w:val="00B47A5D"/>
    <w:rsid w:val="00B500CB"/>
    <w:rsid w:val="00B5018A"/>
    <w:rsid w:val="00B5068D"/>
    <w:rsid w:val="00B50AEF"/>
    <w:rsid w:val="00B50D96"/>
    <w:rsid w:val="00B513CA"/>
    <w:rsid w:val="00B5154C"/>
    <w:rsid w:val="00B51AE3"/>
    <w:rsid w:val="00B51AF3"/>
    <w:rsid w:val="00B51E4B"/>
    <w:rsid w:val="00B51EC1"/>
    <w:rsid w:val="00B529B8"/>
    <w:rsid w:val="00B52C4B"/>
    <w:rsid w:val="00B52EB0"/>
    <w:rsid w:val="00B53128"/>
    <w:rsid w:val="00B536C2"/>
    <w:rsid w:val="00B536CB"/>
    <w:rsid w:val="00B53AA3"/>
    <w:rsid w:val="00B53D40"/>
    <w:rsid w:val="00B54507"/>
    <w:rsid w:val="00B54A7D"/>
    <w:rsid w:val="00B54B38"/>
    <w:rsid w:val="00B556EC"/>
    <w:rsid w:val="00B56660"/>
    <w:rsid w:val="00B566E3"/>
    <w:rsid w:val="00B567F7"/>
    <w:rsid w:val="00B57234"/>
    <w:rsid w:val="00B5781E"/>
    <w:rsid w:val="00B578C0"/>
    <w:rsid w:val="00B57C64"/>
    <w:rsid w:val="00B60DEF"/>
    <w:rsid w:val="00B60FA9"/>
    <w:rsid w:val="00B61180"/>
    <w:rsid w:val="00B613DD"/>
    <w:rsid w:val="00B61434"/>
    <w:rsid w:val="00B61921"/>
    <w:rsid w:val="00B621FB"/>
    <w:rsid w:val="00B622CE"/>
    <w:rsid w:val="00B62A85"/>
    <w:rsid w:val="00B62CA8"/>
    <w:rsid w:val="00B635C3"/>
    <w:rsid w:val="00B639DF"/>
    <w:rsid w:val="00B63FDA"/>
    <w:rsid w:val="00B641A0"/>
    <w:rsid w:val="00B641FA"/>
    <w:rsid w:val="00B64299"/>
    <w:rsid w:val="00B648BC"/>
    <w:rsid w:val="00B65089"/>
    <w:rsid w:val="00B6527B"/>
    <w:rsid w:val="00B65DF6"/>
    <w:rsid w:val="00B66457"/>
    <w:rsid w:val="00B66915"/>
    <w:rsid w:val="00B66B9B"/>
    <w:rsid w:val="00B671A0"/>
    <w:rsid w:val="00B678E0"/>
    <w:rsid w:val="00B67CB8"/>
    <w:rsid w:val="00B7045C"/>
    <w:rsid w:val="00B70B13"/>
    <w:rsid w:val="00B70B8D"/>
    <w:rsid w:val="00B70D09"/>
    <w:rsid w:val="00B712A4"/>
    <w:rsid w:val="00B71839"/>
    <w:rsid w:val="00B723E9"/>
    <w:rsid w:val="00B7251A"/>
    <w:rsid w:val="00B725FD"/>
    <w:rsid w:val="00B7287D"/>
    <w:rsid w:val="00B72D3B"/>
    <w:rsid w:val="00B72DA6"/>
    <w:rsid w:val="00B7380E"/>
    <w:rsid w:val="00B74071"/>
    <w:rsid w:val="00B74B96"/>
    <w:rsid w:val="00B76708"/>
    <w:rsid w:val="00B767CF"/>
    <w:rsid w:val="00B77234"/>
    <w:rsid w:val="00B775A2"/>
    <w:rsid w:val="00B7788D"/>
    <w:rsid w:val="00B778D5"/>
    <w:rsid w:val="00B80570"/>
    <w:rsid w:val="00B80775"/>
    <w:rsid w:val="00B81186"/>
    <w:rsid w:val="00B812F0"/>
    <w:rsid w:val="00B8155E"/>
    <w:rsid w:val="00B81DC7"/>
    <w:rsid w:val="00B823B8"/>
    <w:rsid w:val="00B8259E"/>
    <w:rsid w:val="00B82853"/>
    <w:rsid w:val="00B82A18"/>
    <w:rsid w:val="00B82C6B"/>
    <w:rsid w:val="00B82C99"/>
    <w:rsid w:val="00B834B6"/>
    <w:rsid w:val="00B83879"/>
    <w:rsid w:val="00B840CB"/>
    <w:rsid w:val="00B841D5"/>
    <w:rsid w:val="00B843C3"/>
    <w:rsid w:val="00B8468D"/>
    <w:rsid w:val="00B84A9A"/>
    <w:rsid w:val="00B84CC6"/>
    <w:rsid w:val="00B84DC3"/>
    <w:rsid w:val="00B8505D"/>
    <w:rsid w:val="00B85291"/>
    <w:rsid w:val="00B85424"/>
    <w:rsid w:val="00B8635B"/>
    <w:rsid w:val="00B863DD"/>
    <w:rsid w:val="00B86728"/>
    <w:rsid w:val="00B867E6"/>
    <w:rsid w:val="00B86D18"/>
    <w:rsid w:val="00B86FCF"/>
    <w:rsid w:val="00B87188"/>
    <w:rsid w:val="00B876E6"/>
    <w:rsid w:val="00B87F74"/>
    <w:rsid w:val="00B909F5"/>
    <w:rsid w:val="00B90F3D"/>
    <w:rsid w:val="00B90FED"/>
    <w:rsid w:val="00B91D34"/>
    <w:rsid w:val="00B91F3D"/>
    <w:rsid w:val="00B924E5"/>
    <w:rsid w:val="00B94D26"/>
    <w:rsid w:val="00B95730"/>
    <w:rsid w:val="00B95C23"/>
    <w:rsid w:val="00B96060"/>
    <w:rsid w:val="00B9640B"/>
    <w:rsid w:val="00B96C8F"/>
    <w:rsid w:val="00B96E35"/>
    <w:rsid w:val="00B977CE"/>
    <w:rsid w:val="00BA0CDD"/>
    <w:rsid w:val="00BA0F23"/>
    <w:rsid w:val="00BA15EC"/>
    <w:rsid w:val="00BA161D"/>
    <w:rsid w:val="00BA1FAC"/>
    <w:rsid w:val="00BA242E"/>
    <w:rsid w:val="00BA27F0"/>
    <w:rsid w:val="00BA28C4"/>
    <w:rsid w:val="00BA33E5"/>
    <w:rsid w:val="00BA448A"/>
    <w:rsid w:val="00BA45E1"/>
    <w:rsid w:val="00BA47ED"/>
    <w:rsid w:val="00BA4CC1"/>
    <w:rsid w:val="00BA4D35"/>
    <w:rsid w:val="00BA4FAC"/>
    <w:rsid w:val="00BA50E8"/>
    <w:rsid w:val="00BA5683"/>
    <w:rsid w:val="00BA62A8"/>
    <w:rsid w:val="00BA6974"/>
    <w:rsid w:val="00BA6F7E"/>
    <w:rsid w:val="00BA7054"/>
    <w:rsid w:val="00BA738C"/>
    <w:rsid w:val="00BA76C7"/>
    <w:rsid w:val="00BA76FF"/>
    <w:rsid w:val="00BA793B"/>
    <w:rsid w:val="00BA7B92"/>
    <w:rsid w:val="00BB0016"/>
    <w:rsid w:val="00BB00CF"/>
    <w:rsid w:val="00BB013B"/>
    <w:rsid w:val="00BB0405"/>
    <w:rsid w:val="00BB045A"/>
    <w:rsid w:val="00BB0C76"/>
    <w:rsid w:val="00BB102A"/>
    <w:rsid w:val="00BB179B"/>
    <w:rsid w:val="00BB1979"/>
    <w:rsid w:val="00BB1BB9"/>
    <w:rsid w:val="00BB1ED9"/>
    <w:rsid w:val="00BB24A0"/>
    <w:rsid w:val="00BB25F1"/>
    <w:rsid w:val="00BB297D"/>
    <w:rsid w:val="00BB3FA6"/>
    <w:rsid w:val="00BB4690"/>
    <w:rsid w:val="00BB480D"/>
    <w:rsid w:val="00BB581D"/>
    <w:rsid w:val="00BB5C57"/>
    <w:rsid w:val="00BB5F6F"/>
    <w:rsid w:val="00BB7787"/>
    <w:rsid w:val="00BB7987"/>
    <w:rsid w:val="00BB7C49"/>
    <w:rsid w:val="00BB7EA3"/>
    <w:rsid w:val="00BC0365"/>
    <w:rsid w:val="00BC06DD"/>
    <w:rsid w:val="00BC0861"/>
    <w:rsid w:val="00BC0B60"/>
    <w:rsid w:val="00BC1085"/>
    <w:rsid w:val="00BC116E"/>
    <w:rsid w:val="00BC13DD"/>
    <w:rsid w:val="00BC2825"/>
    <w:rsid w:val="00BC2B5B"/>
    <w:rsid w:val="00BC2CF9"/>
    <w:rsid w:val="00BC3005"/>
    <w:rsid w:val="00BC5017"/>
    <w:rsid w:val="00BC5427"/>
    <w:rsid w:val="00BC58B7"/>
    <w:rsid w:val="00BC58E2"/>
    <w:rsid w:val="00BC5CC7"/>
    <w:rsid w:val="00BC64A4"/>
    <w:rsid w:val="00BC6A6D"/>
    <w:rsid w:val="00BC6ABD"/>
    <w:rsid w:val="00BC6D29"/>
    <w:rsid w:val="00BC70B7"/>
    <w:rsid w:val="00BC71F3"/>
    <w:rsid w:val="00BC7E81"/>
    <w:rsid w:val="00BD01A4"/>
    <w:rsid w:val="00BD0818"/>
    <w:rsid w:val="00BD0B4D"/>
    <w:rsid w:val="00BD1491"/>
    <w:rsid w:val="00BD1BCE"/>
    <w:rsid w:val="00BD1DAB"/>
    <w:rsid w:val="00BD1FFA"/>
    <w:rsid w:val="00BD2418"/>
    <w:rsid w:val="00BD2C40"/>
    <w:rsid w:val="00BD32C9"/>
    <w:rsid w:val="00BD3C77"/>
    <w:rsid w:val="00BD50E0"/>
    <w:rsid w:val="00BD6838"/>
    <w:rsid w:val="00BD6D58"/>
    <w:rsid w:val="00BD71DA"/>
    <w:rsid w:val="00BD77C4"/>
    <w:rsid w:val="00BD7F6F"/>
    <w:rsid w:val="00BE0122"/>
    <w:rsid w:val="00BE150E"/>
    <w:rsid w:val="00BE15A7"/>
    <w:rsid w:val="00BE1606"/>
    <w:rsid w:val="00BE1852"/>
    <w:rsid w:val="00BE1F86"/>
    <w:rsid w:val="00BE46A3"/>
    <w:rsid w:val="00BE53AA"/>
    <w:rsid w:val="00BE5D37"/>
    <w:rsid w:val="00BE67DE"/>
    <w:rsid w:val="00BE6AF1"/>
    <w:rsid w:val="00BE6D56"/>
    <w:rsid w:val="00BE6F6F"/>
    <w:rsid w:val="00BE741A"/>
    <w:rsid w:val="00BE78E3"/>
    <w:rsid w:val="00BE7CD0"/>
    <w:rsid w:val="00BE7CDC"/>
    <w:rsid w:val="00BE7EB6"/>
    <w:rsid w:val="00BF030F"/>
    <w:rsid w:val="00BF0322"/>
    <w:rsid w:val="00BF040B"/>
    <w:rsid w:val="00BF0903"/>
    <w:rsid w:val="00BF0C5E"/>
    <w:rsid w:val="00BF0E1A"/>
    <w:rsid w:val="00BF1045"/>
    <w:rsid w:val="00BF2669"/>
    <w:rsid w:val="00BF277F"/>
    <w:rsid w:val="00BF28D6"/>
    <w:rsid w:val="00BF3451"/>
    <w:rsid w:val="00BF3942"/>
    <w:rsid w:val="00BF3DB2"/>
    <w:rsid w:val="00BF3EB6"/>
    <w:rsid w:val="00BF3F03"/>
    <w:rsid w:val="00BF4098"/>
    <w:rsid w:val="00BF4292"/>
    <w:rsid w:val="00BF42A0"/>
    <w:rsid w:val="00BF4F98"/>
    <w:rsid w:val="00BF517F"/>
    <w:rsid w:val="00BF5641"/>
    <w:rsid w:val="00BF59FB"/>
    <w:rsid w:val="00BF70B0"/>
    <w:rsid w:val="00BF73E5"/>
    <w:rsid w:val="00BF750C"/>
    <w:rsid w:val="00BF7741"/>
    <w:rsid w:val="00BF7F66"/>
    <w:rsid w:val="00C003EC"/>
    <w:rsid w:val="00C0081A"/>
    <w:rsid w:val="00C00C5F"/>
    <w:rsid w:val="00C00C9F"/>
    <w:rsid w:val="00C0102E"/>
    <w:rsid w:val="00C010C6"/>
    <w:rsid w:val="00C01E08"/>
    <w:rsid w:val="00C02477"/>
    <w:rsid w:val="00C0284F"/>
    <w:rsid w:val="00C03BA5"/>
    <w:rsid w:val="00C03DC6"/>
    <w:rsid w:val="00C03E0D"/>
    <w:rsid w:val="00C047F0"/>
    <w:rsid w:val="00C04D51"/>
    <w:rsid w:val="00C05298"/>
    <w:rsid w:val="00C054D2"/>
    <w:rsid w:val="00C05B0A"/>
    <w:rsid w:val="00C066F4"/>
    <w:rsid w:val="00C069B7"/>
    <w:rsid w:val="00C06A21"/>
    <w:rsid w:val="00C06C6D"/>
    <w:rsid w:val="00C06C9A"/>
    <w:rsid w:val="00C07879"/>
    <w:rsid w:val="00C0799C"/>
    <w:rsid w:val="00C07D0D"/>
    <w:rsid w:val="00C07DCC"/>
    <w:rsid w:val="00C10378"/>
    <w:rsid w:val="00C10596"/>
    <w:rsid w:val="00C10912"/>
    <w:rsid w:val="00C10B2A"/>
    <w:rsid w:val="00C10D7A"/>
    <w:rsid w:val="00C1118F"/>
    <w:rsid w:val="00C11F50"/>
    <w:rsid w:val="00C11F7B"/>
    <w:rsid w:val="00C1251D"/>
    <w:rsid w:val="00C127D7"/>
    <w:rsid w:val="00C1286A"/>
    <w:rsid w:val="00C13746"/>
    <w:rsid w:val="00C14182"/>
    <w:rsid w:val="00C147FA"/>
    <w:rsid w:val="00C14971"/>
    <w:rsid w:val="00C14F12"/>
    <w:rsid w:val="00C153DE"/>
    <w:rsid w:val="00C15AE3"/>
    <w:rsid w:val="00C15E9B"/>
    <w:rsid w:val="00C15F8B"/>
    <w:rsid w:val="00C1623C"/>
    <w:rsid w:val="00C17171"/>
    <w:rsid w:val="00C1772F"/>
    <w:rsid w:val="00C17CA7"/>
    <w:rsid w:val="00C17DE3"/>
    <w:rsid w:val="00C2099C"/>
    <w:rsid w:val="00C2104D"/>
    <w:rsid w:val="00C215ED"/>
    <w:rsid w:val="00C21BF0"/>
    <w:rsid w:val="00C21D47"/>
    <w:rsid w:val="00C220C2"/>
    <w:rsid w:val="00C2240B"/>
    <w:rsid w:val="00C2256B"/>
    <w:rsid w:val="00C226B7"/>
    <w:rsid w:val="00C229CB"/>
    <w:rsid w:val="00C22A21"/>
    <w:rsid w:val="00C22BD1"/>
    <w:rsid w:val="00C23D61"/>
    <w:rsid w:val="00C240B4"/>
    <w:rsid w:val="00C24146"/>
    <w:rsid w:val="00C243A1"/>
    <w:rsid w:val="00C24C6C"/>
    <w:rsid w:val="00C24DF2"/>
    <w:rsid w:val="00C24E6E"/>
    <w:rsid w:val="00C25268"/>
    <w:rsid w:val="00C256CE"/>
    <w:rsid w:val="00C256E6"/>
    <w:rsid w:val="00C256F9"/>
    <w:rsid w:val="00C2663B"/>
    <w:rsid w:val="00C26EA5"/>
    <w:rsid w:val="00C26F2A"/>
    <w:rsid w:val="00C277FC"/>
    <w:rsid w:val="00C3006A"/>
    <w:rsid w:val="00C30430"/>
    <w:rsid w:val="00C304FE"/>
    <w:rsid w:val="00C30B4A"/>
    <w:rsid w:val="00C30F4C"/>
    <w:rsid w:val="00C3109C"/>
    <w:rsid w:val="00C31492"/>
    <w:rsid w:val="00C31494"/>
    <w:rsid w:val="00C31564"/>
    <w:rsid w:val="00C31AF2"/>
    <w:rsid w:val="00C31D31"/>
    <w:rsid w:val="00C31D4B"/>
    <w:rsid w:val="00C32ACE"/>
    <w:rsid w:val="00C32F63"/>
    <w:rsid w:val="00C33B81"/>
    <w:rsid w:val="00C33F3F"/>
    <w:rsid w:val="00C340FD"/>
    <w:rsid w:val="00C34400"/>
    <w:rsid w:val="00C3450E"/>
    <w:rsid w:val="00C34E83"/>
    <w:rsid w:val="00C353F1"/>
    <w:rsid w:val="00C35913"/>
    <w:rsid w:val="00C35DAE"/>
    <w:rsid w:val="00C35E65"/>
    <w:rsid w:val="00C35F5E"/>
    <w:rsid w:val="00C3695A"/>
    <w:rsid w:val="00C369FA"/>
    <w:rsid w:val="00C36EAB"/>
    <w:rsid w:val="00C37049"/>
    <w:rsid w:val="00C3750B"/>
    <w:rsid w:val="00C375D3"/>
    <w:rsid w:val="00C37639"/>
    <w:rsid w:val="00C37972"/>
    <w:rsid w:val="00C4031D"/>
    <w:rsid w:val="00C40816"/>
    <w:rsid w:val="00C4159E"/>
    <w:rsid w:val="00C4240B"/>
    <w:rsid w:val="00C42909"/>
    <w:rsid w:val="00C4365E"/>
    <w:rsid w:val="00C4384A"/>
    <w:rsid w:val="00C43B7C"/>
    <w:rsid w:val="00C4467C"/>
    <w:rsid w:val="00C44A67"/>
    <w:rsid w:val="00C456EC"/>
    <w:rsid w:val="00C45F2F"/>
    <w:rsid w:val="00C45F99"/>
    <w:rsid w:val="00C4605B"/>
    <w:rsid w:val="00C470D8"/>
    <w:rsid w:val="00C473F3"/>
    <w:rsid w:val="00C47E26"/>
    <w:rsid w:val="00C506BA"/>
    <w:rsid w:val="00C51045"/>
    <w:rsid w:val="00C51650"/>
    <w:rsid w:val="00C51B94"/>
    <w:rsid w:val="00C51E7A"/>
    <w:rsid w:val="00C5200D"/>
    <w:rsid w:val="00C52673"/>
    <w:rsid w:val="00C52978"/>
    <w:rsid w:val="00C53B75"/>
    <w:rsid w:val="00C53D96"/>
    <w:rsid w:val="00C54341"/>
    <w:rsid w:val="00C54911"/>
    <w:rsid w:val="00C54D80"/>
    <w:rsid w:val="00C54DCD"/>
    <w:rsid w:val="00C54EEE"/>
    <w:rsid w:val="00C5533E"/>
    <w:rsid w:val="00C55466"/>
    <w:rsid w:val="00C5590C"/>
    <w:rsid w:val="00C559EF"/>
    <w:rsid w:val="00C55B0C"/>
    <w:rsid w:val="00C55DCB"/>
    <w:rsid w:val="00C55EF4"/>
    <w:rsid w:val="00C560F8"/>
    <w:rsid w:val="00C56798"/>
    <w:rsid w:val="00C56A35"/>
    <w:rsid w:val="00C56CD5"/>
    <w:rsid w:val="00C56D3F"/>
    <w:rsid w:val="00C57078"/>
    <w:rsid w:val="00C573BD"/>
    <w:rsid w:val="00C57709"/>
    <w:rsid w:val="00C60215"/>
    <w:rsid w:val="00C60D7C"/>
    <w:rsid w:val="00C60E95"/>
    <w:rsid w:val="00C620EE"/>
    <w:rsid w:val="00C62399"/>
    <w:rsid w:val="00C624DE"/>
    <w:rsid w:val="00C63C25"/>
    <w:rsid w:val="00C6448C"/>
    <w:rsid w:val="00C6449E"/>
    <w:rsid w:val="00C6504A"/>
    <w:rsid w:val="00C655EE"/>
    <w:rsid w:val="00C6578C"/>
    <w:rsid w:val="00C65CB8"/>
    <w:rsid w:val="00C65CF0"/>
    <w:rsid w:val="00C65FB0"/>
    <w:rsid w:val="00C6605B"/>
    <w:rsid w:val="00C666B9"/>
    <w:rsid w:val="00C666C5"/>
    <w:rsid w:val="00C673B8"/>
    <w:rsid w:val="00C67471"/>
    <w:rsid w:val="00C67F44"/>
    <w:rsid w:val="00C70047"/>
    <w:rsid w:val="00C7065F"/>
    <w:rsid w:val="00C709C8"/>
    <w:rsid w:val="00C70C7B"/>
    <w:rsid w:val="00C71D65"/>
    <w:rsid w:val="00C72238"/>
    <w:rsid w:val="00C7234C"/>
    <w:rsid w:val="00C7277D"/>
    <w:rsid w:val="00C72D03"/>
    <w:rsid w:val="00C72E1A"/>
    <w:rsid w:val="00C72F2D"/>
    <w:rsid w:val="00C72F8A"/>
    <w:rsid w:val="00C731B4"/>
    <w:rsid w:val="00C731F9"/>
    <w:rsid w:val="00C73491"/>
    <w:rsid w:val="00C73ADD"/>
    <w:rsid w:val="00C75103"/>
    <w:rsid w:val="00C7591E"/>
    <w:rsid w:val="00C7597E"/>
    <w:rsid w:val="00C7599A"/>
    <w:rsid w:val="00C75C07"/>
    <w:rsid w:val="00C75CCF"/>
    <w:rsid w:val="00C7664D"/>
    <w:rsid w:val="00C76755"/>
    <w:rsid w:val="00C76ACB"/>
    <w:rsid w:val="00C76E14"/>
    <w:rsid w:val="00C76FD9"/>
    <w:rsid w:val="00C77331"/>
    <w:rsid w:val="00C8064E"/>
    <w:rsid w:val="00C809AC"/>
    <w:rsid w:val="00C80D76"/>
    <w:rsid w:val="00C814BE"/>
    <w:rsid w:val="00C81939"/>
    <w:rsid w:val="00C839D3"/>
    <w:rsid w:val="00C839FE"/>
    <w:rsid w:val="00C84072"/>
    <w:rsid w:val="00C85760"/>
    <w:rsid w:val="00C858D5"/>
    <w:rsid w:val="00C85A45"/>
    <w:rsid w:val="00C85EF3"/>
    <w:rsid w:val="00C861B9"/>
    <w:rsid w:val="00C864B5"/>
    <w:rsid w:val="00C865A0"/>
    <w:rsid w:val="00C86798"/>
    <w:rsid w:val="00C86B0E"/>
    <w:rsid w:val="00C874B4"/>
    <w:rsid w:val="00C878EC"/>
    <w:rsid w:val="00C87DF3"/>
    <w:rsid w:val="00C90223"/>
    <w:rsid w:val="00C90714"/>
    <w:rsid w:val="00C90ADE"/>
    <w:rsid w:val="00C90DC8"/>
    <w:rsid w:val="00C91D07"/>
    <w:rsid w:val="00C9201B"/>
    <w:rsid w:val="00C9229F"/>
    <w:rsid w:val="00C9242F"/>
    <w:rsid w:val="00C92472"/>
    <w:rsid w:val="00C92CE9"/>
    <w:rsid w:val="00C92CF4"/>
    <w:rsid w:val="00C93009"/>
    <w:rsid w:val="00C938CE"/>
    <w:rsid w:val="00C93A87"/>
    <w:rsid w:val="00C940FD"/>
    <w:rsid w:val="00C941AB"/>
    <w:rsid w:val="00C9431E"/>
    <w:rsid w:val="00C944D2"/>
    <w:rsid w:val="00C94929"/>
    <w:rsid w:val="00C94C85"/>
    <w:rsid w:val="00C94DFC"/>
    <w:rsid w:val="00C95224"/>
    <w:rsid w:val="00C95335"/>
    <w:rsid w:val="00C95AC7"/>
    <w:rsid w:val="00C95F45"/>
    <w:rsid w:val="00C96077"/>
    <w:rsid w:val="00C96495"/>
    <w:rsid w:val="00C96EE6"/>
    <w:rsid w:val="00C9756A"/>
    <w:rsid w:val="00C97AB8"/>
    <w:rsid w:val="00CA1416"/>
    <w:rsid w:val="00CA15D1"/>
    <w:rsid w:val="00CA1A64"/>
    <w:rsid w:val="00CA25FC"/>
    <w:rsid w:val="00CA31F9"/>
    <w:rsid w:val="00CA33A1"/>
    <w:rsid w:val="00CA3E85"/>
    <w:rsid w:val="00CA4480"/>
    <w:rsid w:val="00CA4703"/>
    <w:rsid w:val="00CA4AAA"/>
    <w:rsid w:val="00CA4C4A"/>
    <w:rsid w:val="00CB00E2"/>
    <w:rsid w:val="00CB0B88"/>
    <w:rsid w:val="00CB11A1"/>
    <w:rsid w:val="00CB1328"/>
    <w:rsid w:val="00CB1359"/>
    <w:rsid w:val="00CB1C04"/>
    <w:rsid w:val="00CB1D29"/>
    <w:rsid w:val="00CB1E33"/>
    <w:rsid w:val="00CB2195"/>
    <w:rsid w:val="00CB28CF"/>
    <w:rsid w:val="00CB29B4"/>
    <w:rsid w:val="00CB343C"/>
    <w:rsid w:val="00CB3705"/>
    <w:rsid w:val="00CB37A4"/>
    <w:rsid w:val="00CB37C3"/>
    <w:rsid w:val="00CB3A3B"/>
    <w:rsid w:val="00CB3E9A"/>
    <w:rsid w:val="00CB4269"/>
    <w:rsid w:val="00CB4C7D"/>
    <w:rsid w:val="00CB541E"/>
    <w:rsid w:val="00CB5638"/>
    <w:rsid w:val="00CB5BDC"/>
    <w:rsid w:val="00CB6615"/>
    <w:rsid w:val="00CB6BE6"/>
    <w:rsid w:val="00CC038F"/>
    <w:rsid w:val="00CC0511"/>
    <w:rsid w:val="00CC0AA7"/>
    <w:rsid w:val="00CC0DCD"/>
    <w:rsid w:val="00CC0EAD"/>
    <w:rsid w:val="00CC0F2A"/>
    <w:rsid w:val="00CC1572"/>
    <w:rsid w:val="00CC1839"/>
    <w:rsid w:val="00CC18F6"/>
    <w:rsid w:val="00CC21F8"/>
    <w:rsid w:val="00CC253F"/>
    <w:rsid w:val="00CC2A51"/>
    <w:rsid w:val="00CC2B5A"/>
    <w:rsid w:val="00CC31C7"/>
    <w:rsid w:val="00CC31DE"/>
    <w:rsid w:val="00CC3574"/>
    <w:rsid w:val="00CC42AE"/>
    <w:rsid w:val="00CC51E8"/>
    <w:rsid w:val="00CC5772"/>
    <w:rsid w:val="00CC59E5"/>
    <w:rsid w:val="00CC5B07"/>
    <w:rsid w:val="00CC5BB4"/>
    <w:rsid w:val="00CC5EAB"/>
    <w:rsid w:val="00CC6968"/>
    <w:rsid w:val="00CC6F38"/>
    <w:rsid w:val="00CC71DC"/>
    <w:rsid w:val="00CC734F"/>
    <w:rsid w:val="00CC73CE"/>
    <w:rsid w:val="00CC74DC"/>
    <w:rsid w:val="00CC76E7"/>
    <w:rsid w:val="00CC7788"/>
    <w:rsid w:val="00CD019D"/>
    <w:rsid w:val="00CD0950"/>
    <w:rsid w:val="00CD0D70"/>
    <w:rsid w:val="00CD1154"/>
    <w:rsid w:val="00CD1175"/>
    <w:rsid w:val="00CD1283"/>
    <w:rsid w:val="00CD12A4"/>
    <w:rsid w:val="00CD17CF"/>
    <w:rsid w:val="00CD19A2"/>
    <w:rsid w:val="00CD1A11"/>
    <w:rsid w:val="00CD1D09"/>
    <w:rsid w:val="00CD206A"/>
    <w:rsid w:val="00CD2268"/>
    <w:rsid w:val="00CD2945"/>
    <w:rsid w:val="00CD29A5"/>
    <w:rsid w:val="00CD2F3C"/>
    <w:rsid w:val="00CD350B"/>
    <w:rsid w:val="00CD35E1"/>
    <w:rsid w:val="00CD417D"/>
    <w:rsid w:val="00CD457F"/>
    <w:rsid w:val="00CD4656"/>
    <w:rsid w:val="00CD5196"/>
    <w:rsid w:val="00CD568B"/>
    <w:rsid w:val="00CD591C"/>
    <w:rsid w:val="00CD615E"/>
    <w:rsid w:val="00CD6A6E"/>
    <w:rsid w:val="00CD6DF0"/>
    <w:rsid w:val="00CD6ED2"/>
    <w:rsid w:val="00CE03DB"/>
    <w:rsid w:val="00CE0F1C"/>
    <w:rsid w:val="00CE0F21"/>
    <w:rsid w:val="00CE112B"/>
    <w:rsid w:val="00CE1ACF"/>
    <w:rsid w:val="00CE1B98"/>
    <w:rsid w:val="00CE1C2F"/>
    <w:rsid w:val="00CE1DF7"/>
    <w:rsid w:val="00CE21BE"/>
    <w:rsid w:val="00CE2660"/>
    <w:rsid w:val="00CE28FA"/>
    <w:rsid w:val="00CE29F4"/>
    <w:rsid w:val="00CE53D5"/>
    <w:rsid w:val="00CE549B"/>
    <w:rsid w:val="00CE59EF"/>
    <w:rsid w:val="00CE5F48"/>
    <w:rsid w:val="00CE666A"/>
    <w:rsid w:val="00CE68C2"/>
    <w:rsid w:val="00CE6989"/>
    <w:rsid w:val="00CE6C10"/>
    <w:rsid w:val="00CE6C88"/>
    <w:rsid w:val="00CE6F3B"/>
    <w:rsid w:val="00CE6FA4"/>
    <w:rsid w:val="00CE7D48"/>
    <w:rsid w:val="00CF0256"/>
    <w:rsid w:val="00CF0345"/>
    <w:rsid w:val="00CF0512"/>
    <w:rsid w:val="00CF0968"/>
    <w:rsid w:val="00CF184A"/>
    <w:rsid w:val="00CF1856"/>
    <w:rsid w:val="00CF1B03"/>
    <w:rsid w:val="00CF1CDA"/>
    <w:rsid w:val="00CF278E"/>
    <w:rsid w:val="00CF2A4A"/>
    <w:rsid w:val="00CF2CA2"/>
    <w:rsid w:val="00CF3415"/>
    <w:rsid w:val="00CF357E"/>
    <w:rsid w:val="00CF4F49"/>
    <w:rsid w:val="00CF4F60"/>
    <w:rsid w:val="00CF5331"/>
    <w:rsid w:val="00CF5818"/>
    <w:rsid w:val="00CF5A25"/>
    <w:rsid w:val="00CF64C0"/>
    <w:rsid w:val="00CF6CF2"/>
    <w:rsid w:val="00CF7126"/>
    <w:rsid w:val="00CF7B47"/>
    <w:rsid w:val="00D0007B"/>
    <w:rsid w:val="00D005B0"/>
    <w:rsid w:val="00D007EE"/>
    <w:rsid w:val="00D007F7"/>
    <w:rsid w:val="00D008FC"/>
    <w:rsid w:val="00D025D2"/>
    <w:rsid w:val="00D02691"/>
    <w:rsid w:val="00D02BB7"/>
    <w:rsid w:val="00D02E69"/>
    <w:rsid w:val="00D02EA7"/>
    <w:rsid w:val="00D033A7"/>
    <w:rsid w:val="00D03517"/>
    <w:rsid w:val="00D03876"/>
    <w:rsid w:val="00D0396C"/>
    <w:rsid w:val="00D03E58"/>
    <w:rsid w:val="00D0499A"/>
    <w:rsid w:val="00D04C6D"/>
    <w:rsid w:val="00D0517E"/>
    <w:rsid w:val="00D0603E"/>
    <w:rsid w:val="00D069AF"/>
    <w:rsid w:val="00D06F72"/>
    <w:rsid w:val="00D10059"/>
    <w:rsid w:val="00D103DF"/>
    <w:rsid w:val="00D10414"/>
    <w:rsid w:val="00D11DB6"/>
    <w:rsid w:val="00D12002"/>
    <w:rsid w:val="00D1202F"/>
    <w:rsid w:val="00D12103"/>
    <w:rsid w:val="00D12282"/>
    <w:rsid w:val="00D12A4E"/>
    <w:rsid w:val="00D12B85"/>
    <w:rsid w:val="00D12C87"/>
    <w:rsid w:val="00D137C0"/>
    <w:rsid w:val="00D13C44"/>
    <w:rsid w:val="00D14006"/>
    <w:rsid w:val="00D14339"/>
    <w:rsid w:val="00D14541"/>
    <w:rsid w:val="00D14D26"/>
    <w:rsid w:val="00D14D31"/>
    <w:rsid w:val="00D14D43"/>
    <w:rsid w:val="00D1523C"/>
    <w:rsid w:val="00D158B9"/>
    <w:rsid w:val="00D15A4A"/>
    <w:rsid w:val="00D15C80"/>
    <w:rsid w:val="00D16069"/>
    <w:rsid w:val="00D163B1"/>
    <w:rsid w:val="00D1660D"/>
    <w:rsid w:val="00D1684F"/>
    <w:rsid w:val="00D16D89"/>
    <w:rsid w:val="00D17211"/>
    <w:rsid w:val="00D17875"/>
    <w:rsid w:val="00D20499"/>
    <w:rsid w:val="00D20C5B"/>
    <w:rsid w:val="00D20D6C"/>
    <w:rsid w:val="00D20E2F"/>
    <w:rsid w:val="00D20EE9"/>
    <w:rsid w:val="00D20EEE"/>
    <w:rsid w:val="00D217D1"/>
    <w:rsid w:val="00D21A55"/>
    <w:rsid w:val="00D21C57"/>
    <w:rsid w:val="00D21F8D"/>
    <w:rsid w:val="00D226A0"/>
    <w:rsid w:val="00D23352"/>
    <w:rsid w:val="00D23432"/>
    <w:rsid w:val="00D2351F"/>
    <w:rsid w:val="00D24078"/>
    <w:rsid w:val="00D242AD"/>
    <w:rsid w:val="00D25451"/>
    <w:rsid w:val="00D2557D"/>
    <w:rsid w:val="00D2569B"/>
    <w:rsid w:val="00D2599C"/>
    <w:rsid w:val="00D262B0"/>
    <w:rsid w:val="00D2644C"/>
    <w:rsid w:val="00D267D9"/>
    <w:rsid w:val="00D26F2C"/>
    <w:rsid w:val="00D26FE0"/>
    <w:rsid w:val="00D273E0"/>
    <w:rsid w:val="00D27630"/>
    <w:rsid w:val="00D2773C"/>
    <w:rsid w:val="00D27C10"/>
    <w:rsid w:val="00D27E1A"/>
    <w:rsid w:val="00D3055F"/>
    <w:rsid w:val="00D3069A"/>
    <w:rsid w:val="00D308D4"/>
    <w:rsid w:val="00D30ADA"/>
    <w:rsid w:val="00D3111C"/>
    <w:rsid w:val="00D31786"/>
    <w:rsid w:val="00D3251B"/>
    <w:rsid w:val="00D32A48"/>
    <w:rsid w:val="00D33116"/>
    <w:rsid w:val="00D33221"/>
    <w:rsid w:val="00D34CB5"/>
    <w:rsid w:val="00D352ED"/>
    <w:rsid w:val="00D35ED4"/>
    <w:rsid w:val="00D36114"/>
    <w:rsid w:val="00D36ACD"/>
    <w:rsid w:val="00D37286"/>
    <w:rsid w:val="00D37698"/>
    <w:rsid w:val="00D402D6"/>
    <w:rsid w:val="00D41AF0"/>
    <w:rsid w:val="00D42320"/>
    <w:rsid w:val="00D426D1"/>
    <w:rsid w:val="00D42B60"/>
    <w:rsid w:val="00D437AF"/>
    <w:rsid w:val="00D44151"/>
    <w:rsid w:val="00D44595"/>
    <w:rsid w:val="00D446C5"/>
    <w:rsid w:val="00D45441"/>
    <w:rsid w:val="00D45BEE"/>
    <w:rsid w:val="00D45DC6"/>
    <w:rsid w:val="00D463D0"/>
    <w:rsid w:val="00D46A6E"/>
    <w:rsid w:val="00D46C2D"/>
    <w:rsid w:val="00D46D3A"/>
    <w:rsid w:val="00D470BF"/>
    <w:rsid w:val="00D47317"/>
    <w:rsid w:val="00D47B70"/>
    <w:rsid w:val="00D51158"/>
    <w:rsid w:val="00D5141C"/>
    <w:rsid w:val="00D51A3F"/>
    <w:rsid w:val="00D51A41"/>
    <w:rsid w:val="00D51E99"/>
    <w:rsid w:val="00D51F6E"/>
    <w:rsid w:val="00D5207C"/>
    <w:rsid w:val="00D520F0"/>
    <w:rsid w:val="00D52182"/>
    <w:rsid w:val="00D52200"/>
    <w:rsid w:val="00D52D03"/>
    <w:rsid w:val="00D533F9"/>
    <w:rsid w:val="00D541E7"/>
    <w:rsid w:val="00D54DE6"/>
    <w:rsid w:val="00D54F12"/>
    <w:rsid w:val="00D54FBE"/>
    <w:rsid w:val="00D552B0"/>
    <w:rsid w:val="00D5561B"/>
    <w:rsid w:val="00D56056"/>
    <w:rsid w:val="00D5617D"/>
    <w:rsid w:val="00D5659E"/>
    <w:rsid w:val="00D567A7"/>
    <w:rsid w:val="00D569E6"/>
    <w:rsid w:val="00D578B0"/>
    <w:rsid w:val="00D5793C"/>
    <w:rsid w:val="00D57945"/>
    <w:rsid w:val="00D579B7"/>
    <w:rsid w:val="00D60149"/>
    <w:rsid w:val="00D60947"/>
    <w:rsid w:val="00D60AEE"/>
    <w:rsid w:val="00D61246"/>
    <w:rsid w:val="00D6151D"/>
    <w:rsid w:val="00D61EBD"/>
    <w:rsid w:val="00D620B0"/>
    <w:rsid w:val="00D62612"/>
    <w:rsid w:val="00D62BDE"/>
    <w:rsid w:val="00D63532"/>
    <w:rsid w:val="00D6379B"/>
    <w:rsid w:val="00D63B2E"/>
    <w:rsid w:val="00D641B8"/>
    <w:rsid w:val="00D649C2"/>
    <w:rsid w:val="00D64C93"/>
    <w:rsid w:val="00D64CEB"/>
    <w:rsid w:val="00D64D6A"/>
    <w:rsid w:val="00D64E14"/>
    <w:rsid w:val="00D64E5C"/>
    <w:rsid w:val="00D64FD9"/>
    <w:rsid w:val="00D650AC"/>
    <w:rsid w:val="00D650FB"/>
    <w:rsid w:val="00D65207"/>
    <w:rsid w:val="00D65A8C"/>
    <w:rsid w:val="00D65C50"/>
    <w:rsid w:val="00D66054"/>
    <w:rsid w:val="00D66175"/>
    <w:rsid w:val="00D662F9"/>
    <w:rsid w:val="00D66586"/>
    <w:rsid w:val="00D66726"/>
    <w:rsid w:val="00D66DE7"/>
    <w:rsid w:val="00D67146"/>
    <w:rsid w:val="00D672FC"/>
    <w:rsid w:val="00D7090D"/>
    <w:rsid w:val="00D7126F"/>
    <w:rsid w:val="00D72302"/>
    <w:rsid w:val="00D72483"/>
    <w:rsid w:val="00D729B0"/>
    <w:rsid w:val="00D73582"/>
    <w:rsid w:val="00D73AB8"/>
    <w:rsid w:val="00D73C72"/>
    <w:rsid w:val="00D74797"/>
    <w:rsid w:val="00D75C4F"/>
    <w:rsid w:val="00D75CEA"/>
    <w:rsid w:val="00D762CB"/>
    <w:rsid w:val="00D76D76"/>
    <w:rsid w:val="00D77C89"/>
    <w:rsid w:val="00D77D45"/>
    <w:rsid w:val="00D77FAC"/>
    <w:rsid w:val="00D806EA"/>
    <w:rsid w:val="00D8074F"/>
    <w:rsid w:val="00D80922"/>
    <w:rsid w:val="00D818CF"/>
    <w:rsid w:val="00D822A8"/>
    <w:rsid w:val="00D82644"/>
    <w:rsid w:val="00D82EF5"/>
    <w:rsid w:val="00D8326E"/>
    <w:rsid w:val="00D83390"/>
    <w:rsid w:val="00D83D24"/>
    <w:rsid w:val="00D83D3A"/>
    <w:rsid w:val="00D84B56"/>
    <w:rsid w:val="00D84F04"/>
    <w:rsid w:val="00D85147"/>
    <w:rsid w:val="00D85152"/>
    <w:rsid w:val="00D85B0B"/>
    <w:rsid w:val="00D86030"/>
    <w:rsid w:val="00D863D7"/>
    <w:rsid w:val="00D86BDD"/>
    <w:rsid w:val="00D86D9E"/>
    <w:rsid w:val="00D8727B"/>
    <w:rsid w:val="00D87590"/>
    <w:rsid w:val="00D87822"/>
    <w:rsid w:val="00D87909"/>
    <w:rsid w:val="00D87C08"/>
    <w:rsid w:val="00D905CA"/>
    <w:rsid w:val="00D90707"/>
    <w:rsid w:val="00D907D9"/>
    <w:rsid w:val="00D90E7C"/>
    <w:rsid w:val="00D911FB"/>
    <w:rsid w:val="00D9140F"/>
    <w:rsid w:val="00D914D8"/>
    <w:rsid w:val="00D917A7"/>
    <w:rsid w:val="00D918BA"/>
    <w:rsid w:val="00D918C3"/>
    <w:rsid w:val="00D91DB4"/>
    <w:rsid w:val="00D9212A"/>
    <w:rsid w:val="00D92496"/>
    <w:rsid w:val="00D92548"/>
    <w:rsid w:val="00D926EA"/>
    <w:rsid w:val="00D92C8F"/>
    <w:rsid w:val="00D93241"/>
    <w:rsid w:val="00D93ED0"/>
    <w:rsid w:val="00D9443B"/>
    <w:rsid w:val="00D94C28"/>
    <w:rsid w:val="00D94C30"/>
    <w:rsid w:val="00D95836"/>
    <w:rsid w:val="00D96465"/>
    <w:rsid w:val="00D964CE"/>
    <w:rsid w:val="00D96BA5"/>
    <w:rsid w:val="00D96BB3"/>
    <w:rsid w:val="00D96DBB"/>
    <w:rsid w:val="00D97C67"/>
    <w:rsid w:val="00D97EFD"/>
    <w:rsid w:val="00DA00D3"/>
    <w:rsid w:val="00DA00E7"/>
    <w:rsid w:val="00DA03DF"/>
    <w:rsid w:val="00DA0A07"/>
    <w:rsid w:val="00DA0BCD"/>
    <w:rsid w:val="00DA1207"/>
    <w:rsid w:val="00DA13AB"/>
    <w:rsid w:val="00DA1BC7"/>
    <w:rsid w:val="00DA1D51"/>
    <w:rsid w:val="00DA2906"/>
    <w:rsid w:val="00DA2925"/>
    <w:rsid w:val="00DA2B70"/>
    <w:rsid w:val="00DA2FD2"/>
    <w:rsid w:val="00DA3682"/>
    <w:rsid w:val="00DA4372"/>
    <w:rsid w:val="00DA437D"/>
    <w:rsid w:val="00DA5D60"/>
    <w:rsid w:val="00DA63CA"/>
    <w:rsid w:val="00DA67E6"/>
    <w:rsid w:val="00DA7E98"/>
    <w:rsid w:val="00DB0739"/>
    <w:rsid w:val="00DB096D"/>
    <w:rsid w:val="00DB0C9F"/>
    <w:rsid w:val="00DB1063"/>
    <w:rsid w:val="00DB10A3"/>
    <w:rsid w:val="00DB128E"/>
    <w:rsid w:val="00DB166F"/>
    <w:rsid w:val="00DB2870"/>
    <w:rsid w:val="00DB28AF"/>
    <w:rsid w:val="00DB2EEC"/>
    <w:rsid w:val="00DB2F5B"/>
    <w:rsid w:val="00DB3F53"/>
    <w:rsid w:val="00DB59ED"/>
    <w:rsid w:val="00DB60B1"/>
    <w:rsid w:val="00DB6135"/>
    <w:rsid w:val="00DB62B7"/>
    <w:rsid w:val="00DB6667"/>
    <w:rsid w:val="00DB6EB9"/>
    <w:rsid w:val="00DB786D"/>
    <w:rsid w:val="00DB79D4"/>
    <w:rsid w:val="00DC0B9E"/>
    <w:rsid w:val="00DC0FCB"/>
    <w:rsid w:val="00DC18D5"/>
    <w:rsid w:val="00DC21D6"/>
    <w:rsid w:val="00DC2380"/>
    <w:rsid w:val="00DC2561"/>
    <w:rsid w:val="00DC2F19"/>
    <w:rsid w:val="00DC3A2A"/>
    <w:rsid w:val="00DC4C5D"/>
    <w:rsid w:val="00DC50BE"/>
    <w:rsid w:val="00DC52A5"/>
    <w:rsid w:val="00DC588F"/>
    <w:rsid w:val="00DC5B06"/>
    <w:rsid w:val="00DC6127"/>
    <w:rsid w:val="00DC6793"/>
    <w:rsid w:val="00DC6952"/>
    <w:rsid w:val="00DC6AA0"/>
    <w:rsid w:val="00DC70AD"/>
    <w:rsid w:val="00DC7CFA"/>
    <w:rsid w:val="00DD048E"/>
    <w:rsid w:val="00DD077D"/>
    <w:rsid w:val="00DD0D1B"/>
    <w:rsid w:val="00DD169B"/>
    <w:rsid w:val="00DD194C"/>
    <w:rsid w:val="00DD1CBB"/>
    <w:rsid w:val="00DD1D92"/>
    <w:rsid w:val="00DD2A33"/>
    <w:rsid w:val="00DD2F3F"/>
    <w:rsid w:val="00DD2F70"/>
    <w:rsid w:val="00DD331C"/>
    <w:rsid w:val="00DD369B"/>
    <w:rsid w:val="00DD36D7"/>
    <w:rsid w:val="00DD39DA"/>
    <w:rsid w:val="00DD3B0B"/>
    <w:rsid w:val="00DD3D35"/>
    <w:rsid w:val="00DD4144"/>
    <w:rsid w:val="00DD4598"/>
    <w:rsid w:val="00DD4BF6"/>
    <w:rsid w:val="00DD4E07"/>
    <w:rsid w:val="00DD56A7"/>
    <w:rsid w:val="00DD5F85"/>
    <w:rsid w:val="00DD6034"/>
    <w:rsid w:val="00DD6206"/>
    <w:rsid w:val="00DD62F1"/>
    <w:rsid w:val="00DD6BCB"/>
    <w:rsid w:val="00DD70D9"/>
    <w:rsid w:val="00DD7351"/>
    <w:rsid w:val="00DD75AE"/>
    <w:rsid w:val="00DD7707"/>
    <w:rsid w:val="00DD7E23"/>
    <w:rsid w:val="00DE056D"/>
    <w:rsid w:val="00DE09EA"/>
    <w:rsid w:val="00DE0C72"/>
    <w:rsid w:val="00DE1002"/>
    <w:rsid w:val="00DE10AC"/>
    <w:rsid w:val="00DE1223"/>
    <w:rsid w:val="00DE13DE"/>
    <w:rsid w:val="00DE13FE"/>
    <w:rsid w:val="00DE1F5A"/>
    <w:rsid w:val="00DE2AFD"/>
    <w:rsid w:val="00DE2E7F"/>
    <w:rsid w:val="00DE35B4"/>
    <w:rsid w:val="00DE3644"/>
    <w:rsid w:val="00DE3688"/>
    <w:rsid w:val="00DE3B53"/>
    <w:rsid w:val="00DE3F33"/>
    <w:rsid w:val="00DE46E8"/>
    <w:rsid w:val="00DE493C"/>
    <w:rsid w:val="00DE4D81"/>
    <w:rsid w:val="00DE513C"/>
    <w:rsid w:val="00DE51E7"/>
    <w:rsid w:val="00DE51EF"/>
    <w:rsid w:val="00DE5380"/>
    <w:rsid w:val="00DE5A5C"/>
    <w:rsid w:val="00DE5F4C"/>
    <w:rsid w:val="00DE601A"/>
    <w:rsid w:val="00DE6087"/>
    <w:rsid w:val="00DE6359"/>
    <w:rsid w:val="00DE6F33"/>
    <w:rsid w:val="00DE6FE2"/>
    <w:rsid w:val="00DE717A"/>
    <w:rsid w:val="00DE7204"/>
    <w:rsid w:val="00DE749E"/>
    <w:rsid w:val="00DE7530"/>
    <w:rsid w:val="00DF0475"/>
    <w:rsid w:val="00DF0884"/>
    <w:rsid w:val="00DF1258"/>
    <w:rsid w:val="00DF1C91"/>
    <w:rsid w:val="00DF1E37"/>
    <w:rsid w:val="00DF2233"/>
    <w:rsid w:val="00DF257C"/>
    <w:rsid w:val="00DF294C"/>
    <w:rsid w:val="00DF3FDA"/>
    <w:rsid w:val="00DF40BB"/>
    <w:rsid w:val="00DF59EA"/>
    <w:rsid w:val="00DF5E53"/>
    <w:rsid w:val="00DF60EA"/>
    <w:rsid w:val="00DF61A9"/>
    <w:rsid w:val="00DF626C"/>
    <w:rsid w:val="00DF647E"/>
    <w:rsid w:val="00DF6AFA"/>
    <w:rsid w:val="00DF6D2A"/>
    <w:rsid w:val="00DF6F04"/>
    <w:rsid w:val="00DF768F"/>
    <w:rsid w:val="00DF77A5"/>
    <w:rsid w:val="00DF7888"/>
    <w:rsid w:val="00DF7A08"/>
    <w:rsid w:val="00E000F4"/>
    <w:rsid w:val="00E00924"/>
    <w:rsid w:val="00E01C62"/>
    <w:rsid w:val="00E01CA6"/>
    <w:rsid w:val="00E01E2F"/>
    <w:rsid w:val="00E01E62"/>
    <w:rsid w:val="00E03151"/>
    <w:rsid w:val="00E03940"/>
    <w:rsid w:val="00E03B9D"/>
    <w:rsid w:val="00E03C79"/>
    <w:rsid w:val="00E03DBC"/>
    <w:rsid w:val="00E03F42"/>
    <w:rsid w:val="00E04403"/>
    <w:rsid w:val="00E0458F"/>
    <w:rsid w:val="00E0590D"/>
    <w:rsid w:val="00E064E9"/>
    <w:rsid w:val="00E06AA4"/>
    <w:rsid w:val="00E07112"/>
    <w:rsid w:val="00E074C9"/>
    <w:rsid w:val="00E07A1B"/>
    <w:rsid w:val="00E100EC"/>
    <w:rsid w:val="00E11282"/>
    <w:rsid w:val="00E115F9"/>
    <w:rsid w:val="00E11B93"/>
    <w:rsid w:val="00E11EBE"/>
    <w:rsid w:val="00E128E0"/>
    <w:rsid w:val="00E129B1"/>
    <w:rsid w:val="00E12D0F"/>
    <w:rsid w:val="00E13101"/>
    <w:rsid w:val="00E131D9"/>
    <w:rsid w:val="00E133A6"/>
    <w:rsid w:val="00E13AB2"/>
    <w:rsid w:val="00E13E5E"/>
    <w:rsid w:val="00E13FC4"/>
    <w:rsid w:val="00E1401D"/>
    <w:rsid w:val="00E1407A"/>
    <w:rsid w:val="00E140DF"/>
    <w:rsid w:val="00E149B9"/>
    <w:rsid w:val="00E14B04"/>
    <w:rsid w:val="00E153F4"/>
    <w:rsid w:val="00E154E4"/>
    <w:rsid w:val="00E155FA"/>
    <w:rsid w:val="00E15AEB"/>
    <w:rsid w:val="00E15C1E"/>
    <w:rsid w:val="00E16191"/>
    <w:rsid w:val="00E162EE"/>
    <w:rsid w:val="00E164E0"/>
    <w:rsid w:val="00E16BC1"/>
    <w:rsid w:val="00E16BD8"/>
    <w:rsid w:val="00E178AF"/>
    <w:rsid w:val="00E1795B"/>
    <w:rsid w:val="00E200BE"/>
    <w:rsid w:val="00E2056B"/>
    <w:rsid w:val="00E20C5D"/>
    <w:rsid w:val="00E21358"/>
    <w:rsid w:val="00E21C79"/>
    <w:rsid w:val="00E22082"/>
    <w:rsid w:val="00E223F8"/>
    <w:rsid w:val="00E22D20"/>
    <w:rsid w:val="00E2300C"/>
    <w:rsid w:val="00E234BC"/>
    <w:rsid w:val="00E23A6E"/>
    <w:rsid w:val="00E242F0"/>
    <w:rsid w:val="00E24768"/>
    <w:rsid w:val="00E254F7"/>
    <w:rsid w:val="00E2574C"/>
    <w:rsid w:val="00E25C4C"/>
    <w:rsid w:val="00E26369"/>
    <w:rsid w:val="00E26864"/>
    <w:rsid w:val="00E26DFE"/>
    <w:rsid w:val="00E27E55"/>
    <w:rsid w:val="00E27EEC"/>
    <w:rsid w:val="00E30259"/>
    <w:rsid w:val="00E3041A"/>
    <w:rsid w:val="00E30908"/>
    <w:rsid w:val="00E30919"/>
    <w:rsid w:val="00E30E2C"/>
    <w:rsid w:val="00E312C1"/>
    <w:rsid w:val="00E31BEF"/>
    <w:rsid w:val="00E323A5"/>
    <w:rsid w:val="00E325AE"/>
    <w:rsid w:val="00E332A1"/>
    <w:rsid w:val="00E33323"/>
    <w:rsid w:val="00E338CA"/>
    <w:rsid w:val="00E33951"/>
    <w:rsid w:val="00E33DB6"/>
    <w:rsid w:val="00E33E24"/>
    <w:rsid w:val="00E3435E"/>
    <w:rsid w:val="00E34DDD"/>
    <w:rsid w:val="00E350D6"/>
    <w:rsid w:val="00E353D6"/>
    <w:rsid w:val="00E35AA0"/>
    <w:rsid w:val="00E35C4B"/>
    <w:rsid w:val="00E35DAD"/>
    <w:rsid w:val="00E3601E"/>
    <w:rsid w:val="00E36AF1"/>
    <w:rsid w:val="00E37895"/>
    <w:rsid w:val="00E401CF"/>
    <w:rsid w:val="00E40454"/>
    <w:rsid w:val="00E406F9"/>
    <w:rsid w:val="00E41584"/>
    <w:rsid w:val="00E41928"/>
    <w:rsid w:val="00E41B55"/>
    <w:rsid w:val="00E41D98"/>
    <w:rsid w:val="00E421AB"/>
    <w:rsid w:val="00E42505"/>
    <w:rsid w:val="00E42739"/>
    <w:rsid w:val="00E428A3"/>
    <w:rsid w:val="00E42E58"/>
    <w:rsid w:val="00E430A3"/>
    <w:rsid w:val="00E43210"/>
    <w:rsid w:val="00E43434"/>
    <w:rsid w:val="00E43D7D"/>
    <w:rsid w:val="00E43FB0"/>
    <w:rsid w:val="00E443CE"/>
    <w:rsid w:val="00E44878"/>
    <w:rsid w:val="00E44C91"/>
    <w:rsid w:val="00E44D45"/>
    <w:rsid w:val="00E44EA5"/>
    <w:rsid w:val="00E4501B"/>
    <w:rsid w:val="00E45079"/>
    <w:rsid w:val="00E451E8"/>
    <w:rsid w:val="00E4596B"/>
    <w:rsid w:val="00E45AD3"/>
    <w:rsid w:val="00E45DB6"/>
    <w:rsid w:val="00E461EB"/>
    <w:rsid w:val="00E4684D"/>
    <w:rsid w:val="00E47E62"/>
    <w:rsid w:val="00E4FC3A"/>
    <w:rsid w:val="00E5035F"/>
    <w:rsid w:val="00E505AA"/>
    <w:rsid w:val="00E506FF"/>
    <w:rsid w:val="00E50BE4"/>
    <w:rsid w:val="00E515FD"/>
    <w:rsid w:val="00E525FE"/>
    <w:rsid w:val="00E52BE2"/>
    <w:rsid w:val="00E52E15"/>
    <w:rsid w:val="00E52FCB"/>
    <w:rsid w:val="00E531D5"/>
    <w:rsid w:val="00E537C5"/>
    <w:rsid w:val="00E53BAC"/>
    <w:rsid w:val="00E53BED"/>
    <w:rsid w:val="00E540E6"/>
    <w:rsid w:val="00E544A9"/>
    <w:rsid w:val="00E54F84"/>
    <w:rsid w:val="00E55474"/>
    <w:rsid w:val="00E554C8"/>
    <w:rsid w:val="00E5551C"/>
    <w:rsid w:val="00E5564F"/>
    <w:rsid w:val="00E55669"/>
    <w:rsid w:val="00E55788"/>
    <w:rsid w:val="00E558DD"/>
    <w:rsid w:val="00E56059"/>
    <w:rsid w:val="00E566BD"/>
    <w:rsid w:val="00E57114"/>
    <w:rsid w:val="00E60283"/>
    <w:rsid w:val="00E606FA"/>
    <w:rsid w:val="00E61177"/>
    <w:rsid w:val="00E6175F"/>
    <w:rsid w:val="00E6191C"/>
    <w:rsid w:val="00E61A2F"/>
    <w:rsid w:val="00E62425"/>
    <w:rsid w:val="00E62717"/>
    <w:rsid w:val="00E62EE1"/>
    <w:rsid w:val="00E6399D"/>
    <w:rsid w:val="00E63E54"/>
    <w:rsid w:val="00E640EE"/>
    <w:rsid w:val="00E642DE"/>
    <w:rsid w:val="00E64840"/>
    <w:rsid w:val="00E64F73"/>
    <w:rsid w:val="00E6568E"/>
    <w:rsid w:val="00E65CDA"/>
    <w:rsid w:val="00E65EB5"/>
    <w:rsid w:val="00E663E4"/>
    <w:rsid w:val="00E6685A"/>
    <w:rsid w:val="00E66B01"/>
    <w:rsid w:val="00E66B85"/>
    <w:rsid w:val="00E7009B"/>
    <w:rsid w:val="00E70293"/>
    <w:rsid w:val="00E70BB5"/>
    <w:rsid w:val="00E70E19"/>
    <w:rsid w:val="00E71112"/>
    <w:rsid w:val="00E71C87"/>
    <w:rsid w:val="00E72400"/>
    <w:rsid w:val="00E72662"/>
    <w:rsid w:val="00E73147"/>
    <w:rsid w:val="00E73353"/>
    <w:rsid w:val="00E735FD"/>
    <w:rsid w:val="00E73729"/>
    <w:rsid w:val="00E7428E"/>
    <w:rsid w:val="00E74378"/>
    <w:rsid w:val="00E74978"/>
    <w:rsid w:val="00E752C9"/>
    <w:rsid w:val="00E75953"/>
    <w:rsid w:val="00E76020"/>
    <w:rsid w:val="00E763B2"/>
    <w:rsid w:val="00E7684A"/>
    <w:rsid w:val="00E768C5"/>
    <w:rsid w:val="00E76E91"/>
    <w:rsid w:val="00E77107"/>
    <w:rsid w:val="00E7734E"/>
    <w:rsid w:val="00E776A4"/>
    <w:rsid w:val="00E779AC"/>
    <w:rsid w:val="00E77D4E"/>
    <w:rsid w:val="00E77E0F"/>
    <w:rsid w:val="00E80198"/>
    <w:rsid w:val="00E8066C"/>
    <w:rsid w:val="00E80BC3"/>
    <w:rsid w:val="00E80C34"/>
    <w:rsid w:val="00E80E71"/>
    <w:rsid w:val="00E81246"/>
    <w:rsid w:val="00E81E8E"/>
    <w:rsid w:val="00E8254B"/>
    <w:rsid w:val="00E82BC2"/>
    <w:rsid w:val="00E83CBC"/>
    <w:rsid w:val="00E84863"/>
    <w:rsid w:val="00E850CC"/>
    <w:rsid w:val="00E85499"/>
    <w:rsid w:val="00E85FB4"/>
    <w:rsid w:val="00E86A4D"/>
    <w:rsid w:val="00E86D97"/>
    <w:rsid w:val="00E87B91"/>
    <w:rsid w:val="00E87C7A"/>
    <w:rsid w:val="00E90B2E"/>
    <w:rsid w:val="00E90DC8"/>
    <w:rsid w:val="00E90F5E"/>
    <w:rsid w:val="00E91A78"/>
    <w:rsid w:val="00E91F97"/>
    <w:rsid w:val="00E92312"/>
    <w:rsid w:val="00E92381"/>
    <w:rsid w:val="00E92E3D"/>
    <w:rsid w:val="00E92EB1"/>
    <w:rsid w:val="00E93A5F"/>
    <w:rsid w:val="00E94928"/>
    <w:rsid w:val="00E94CBA"/>
    <w:rsid w:val="00E94E42"/>
    <w:rsid w:val="00E94F43"/>
    <w:rsid w:val="00E94FF0"/>
    <w:rsid w:val="00E94FFE"/>
    <w:rsid w:val="00E9505D"/>
    <w:rsid w:val="00E95683"/>
    <w:rsid w:val="00E957AF"/>
    <w:rsid w:val="00E959E4"/>
    <w:rsid w:val="00E95D28"/>
    <w:rsid w:val="00E95D69"/>
    <w:rsid w:val="00E961BC"/>
    <w:rsid w:val="00E9621F"/>
    <w:rsid w:val="00E96B23"/>
    <w:rsid w:val="00E96B2B"/>
    <w:rsid w:val="00E96C9C"/>
    <w:rsid w:val="00E971A2"/>
    <w:rsid w:val="00E9780A"/>
    <w:rsid w:val="00E97A1F"/>
    <w:rsid w:val="00E97B3A"/>
    <w:rsid w:val="00EA0F6F"/>
    <w:rsid w:val="00EA105F"/>
    <w:rsid w:val="00EA1B10"/>
    <w:rsid w:val="00EA1CB0"/>
    <w:rsid w:val="00EA1EFC"/>
    <w:rsid w:val="00EA235C"/>
    <w:rsid w:val="00EA2FB1"/>
    <w:rsid w:val="00EA43A1"/>
    <w:rsid w:val="00EA444F"/>
    <w:rsid w:val="00EA44B9"/>
    <w:rsid w:val="00EA463D"/>
    <w:rsid w:val="00EA4D0B"/>
    <w:rsid w:val="00EA61D8"/>
    <w:rsid w:val="00EA63B4"/>
    <w:rsid w:val="00EA7210"/>
    <w:rsid w:val="00EA742F"/>
    <w:rsid w:val="00EA7473"/>
    <w:rsid w:val="00EA754C"/>
    <w:rsid w:val="00EA7810"/>
    <w:rsid w:val="00EA7A49"/>
    <w:rsid w:val="00EA7E06"/>
    <w:rsid w:val="00EA7E09"/>
    <w:rsid w:val="00EB0859"/>
    <w:rsid w:val="00EB14D8"/>
    <w:rsid w:val="00EB1A48"/>
    <w:rsid w:val="00EB20DB"/>
    <w:rsid w:val="00EB2481"/>
    <w:rsid w:val="00EB2A37"/>
    <w:rsid w:val="00EB3F79"/>
    <w:rsid w:val="00EB44E3"/>
    <w:rsid w:val="00EB4A0A"/>
    <w:rsid w:val="00EB586A"/>
    <w:rsid w:val="00EB5FE2"/>
    <w:rsid w:val="00EB65C2"/>
    <w:rsid w:val="00EB65CB"/>
    <w:rsid w:val="00EB6F98"/>
    <w:rsid w:val="00EB7381"/>
    <w:rsid w:val="00EB75F0"/>
    <w:rsid w:val="00EC00BD"/>
    <w:rsid w:val="00EC0314"/>
    <w:rsid w:val="00EC0D31"/>
    <w:rsid w:val="00EC1272"/>
    <w:rsid w:val="00EC17D6"/>
    <w:rsid w:val="00EC1B57"/>
    <w:rsid w:val="00EC2DAB"/>
    <w:rsid w:val="00EC3398"/>
    <w:rsid w:val="00EC34C0"/>
    <w:rsid w:val="00EC3772"/>
    <w:rsid w:val="00EC4020"/>
    <w:rsid w:val="00EC4288"/>
    <w:rsid w:val="00EC56B4"/>
    <w:rsid w:val="00EC5873"/>
    <w:rsid w:val="00EC5923"/>
    <w:rsid w:val="00EC6460"/>
    <w:rsid w:val="00EC6EB4"/>
    <w:rsid w:val="00EC7564"/>
    <w:rsid w:val="00EC78E5"/>
    <w:rsid w:val="00EC79E7"/>
    <w:rsid w:val="00ED05CB"/>
    <w:rsid w:val="00ED0891"/>
    <w:rsid w:val="00ED119B"/>
    <w:rsid w:val="00ED1357"/>
    <w:rsid w:val="00ED1706"/>
    <w:rsid w:val="00ED1FAE"/>
    <w:rsid w:val="00ED23B2"/>
    <w:rsid w:val="00ED24AD"/>
    <w:rsid w:val="00ED2586"/>
    <w:rsid w:val="00ED260C"/>
    <w:rsid w:val="00ED322E"/>
    <w:rsid w:val="00ED3232"/>
    <w:rsid w:val="00ED326E"/>
    <w:rsid w:val="00ED3F22"/>
    <w:rsid w:val="00ED4137"/>
    <w:rsid w:val="00ED4535"/>
    <w:rsid w:val="00ED4543"/>
    <w:rsid w:val="00ED45B5"/>
    <w:rsid w:val="00ED47DE"/>
    <w:rsid w:val="00ED47E6"/>
    <w:rsid w:val="00ED4839"/>
    <w:rsid w:val="00ED4F84"/>
    <w:rsid w:val="00ED5600"/>
    <w:rsid w:val="00ED5768"/>
    <w:rsid w:val="00ED6037"/>
    <w:rsid w:val="00ED6DD5"/>
    <w:rsid w:val="00ED6F50"/>
    <w:rsid w:val="00ED78D7"/>
    <w:rsid w:val="00EE04F3"/>
    <w:rsid w:val="00EE05C1"/>
    <w:rsid w:val="00EE0B23"/>
    <w:rsid w:val="00EE1B5F"/>
    <w:rsid w:val="00EE1F3A"/>
    <w:rsid w:val="00EE2A4A"/>
    <w:rsid w:val="00EE2AA0"/>
    <w:rsid w:val="00EE2D97"/>
    <w:rsid w:val="00EE32BC"/>
    <w:rsid w:val="00EE3496"/>
    <w:rsid w:val="00EE3632"/>
    <w:rsid w:val="00EE376B"/>
    <w:rsid w:val="00EE37CB"/>
    <w:rsid w:val="00EE37DC"/>
    <w:rsid w:val="00EE438B"/>
    <w:rsid w:val="00EE47F0"/>
    <w:rsid w:val="00EE4903"/>
    <w:rsid w:val="00EE4C4E"/>
    <w:rsid w:val="00EE4D92"/>
    <w:rsid w:val="00EE56D3"/>
    <w:rsid w:val="00EE5A74"/>
    <w:rsid w:val="00EE5FBF"/>
    <w:rsid w:val="00EE617B"/>
    <w:rsid w:val="00EE63C7"/>
    <w:rsid w:val="00EE66E8"/>
    <w:rsid w:val="00EE67E9"/>
    <w:rsid w:val="00EE70B2"/>
    <w:rsid w:val="00EE70B4"/>
    <w:rsid w:val="00EE75BC"/>
    <w:rsid w:val="00EE7A78"/>
    <w:rsid w:val="00EE7B1E"/>
    <w:rsid w:val="00EF0066"/>
    <w:rsid w:val="00EF0680"/>
    <w:rsid w:val="00EF0AFD"/>
    <w:rsid w:val="00EF163E"/>
    <w:rsid w:val="00EF16B3"/>
    <w:rsid w:val="00EF2608"/>
    <w:rsid w:val="00EF3C07"/>
    <w:rsid w:val="00EF3C66"/>
    <w:rsid w:val="00EF43F9"/>
    <w:rsid w:val="00EF476C"/>
    <w:rsid w:val="00EF494E"/>
    <w:rsid w:val="00EF555F"/>
    <w:rsid w:val="00EF60A4"/>
    <w:rsid w:val="00EF6595"/>
    <w:rsid w:val="00EF665A"/>
    <w:rsid w:val="00EF667F"/>
    <w:rsid w:val="00EF67DF"/>
    <w:rsid w:val="00EF6CC3"/>
    <w:rsid w:val="00EF6DA5"/>
    <w:rsid w:val="00EF702A"/>
    <w:rsid w:val="00EF7343"/>
    <w:rsid w:val="00EF7969"/>
    <w:rsid w:val="00EF7A01"/>
    <w:rsid w:val="00EF7A88"/>
    <w:rsid w:val="00EF7DFD"/>
    <w:rsid w:val="00F00099"/>
    <w:rsid w:val="00F004F5"/>
    <w:rsid w:val="00F01144"/>
    <w:rsid w:val="00F0193F"/>
    <w:rsid w:val="00F01DED"/>
    <w:rsid w:val="00F0318D"/>
    <w:rsid w:val="00F037B3"/>
    <w:rsid w:val="00F04637"/>
    <w:rsid w:val="00F057E1"/>
    <w:rsid w:val="00F063EA"/>
    <w:rsid w:val="00F0644A"/>
    <w:rsid w:val="00F0656C"/>
    <w:rsid w:val="00F06C2A"/>
    <w:rsid w:val="00F07DDC"/>
    <w:rsid w:val="00F10125"/>
    <w:rsid w:val="00F101A3"/>
    <w:rsid w:val="00F10DA7"/>
    <w:rsid w:val="00F1100D"/>
    <w:rsid w:val="00F119AC"/>
    <w:rsid w:val="00F11F0F"/>
    <w:rsid w:val="00F12B7C"/>
    <w:rsid w:val="00F12FE5"/>
    <w:rsid w:val="00F13534"/>
    <w:rsid w:val="00F136D3"/>
    <w:rsid w:val="00F139EB"/>
    <w:rsid w:val="00F14F18"/>
    <w:rsid w:val="00F1557F"/>
    <w:rsid w:val="00F15635"/>
    <w:rsid w:val="00F15709"/>
    <w:rsid w:val="00F15A89"/>
    <w:rsid w:val="00F1642D"/>
    <w:rsid w:val="00F169FF"/>
    <w:rsid w:val="00F16EC7"/>
    <w:rsid w:val="00F1714E"/>
    <w:rsid w:val="00F17414"/>
    <w:rsid w:val="00F1754E"/>
    <w:rsid w:val="00F178C4"/>
    <w:rsid w:val="00F1945C"/>
    <w:rsid w:val="00F20117"/>
    <w:rsid w:val="00F2026C"/>
    <w:rsid w:val="00F20312"/>
    <w:rsid w:val="00F20904"/>
    <w:rsid w:val="00F20B48"/>
    <w:rsid w:val="00F212F5"/>
    <w:rsid w:val="00F21491"/>
    <w:rsid w:val="00F21B43"/>
    <w:rsid w:val="00F21BDC"/>
    <w:rsid w:val="00F227F4"/>
    <w:rsid w:val="00F22C90"/>
    <w:rsid w:val="00F22D20"/>
    <w:rsid w:val="00F231F7"/>
    <w:rsid w:val="00F2359C"/>
    <w:rsid w:val="00F23662"/>
    <w:rsid w:val="00F2392D"/>
    <w:rsid w:val="00F23A96"/>
    <w:rsid w:val="00F23C04"/>
    <w:rsid w:val="00F23C8B"/>
    <w:rsid w:val="00F243B5"/>
    <w:rsid w:val="00F243C6"/>
    <w:rsid w:val="00F24CEC"/>
    <w:rsid w:val="00F24F3F"/>
    <w:rsid w:val="00F2578E"/>
    <w:rsid w:val="00F257CE"/>
    <w:rsid w:val="00F25A36"/>
    <w:rsid w:val="00F25F5F"/>
    <w:rsid w:val="00F26BDD"/>
    <w:rsid w:val="00F270E5"/>
    <w:rsid w:val="00F2725D"/>
    <w:rsid w:val="00F27414"/>
    <w:rsid w:val="00F27ABB"/>
    <w:rsid w:val="00F27F8F"/>
    <w:rsid w:val="00F3073A"/>
    <w:rsid w:val="00F30B2D"/>
    <w:rsid w:val="00F312F9"/>
    <w:rsid w:val="00F316EF"/>
    <w:rsid w:val="00F31AB8"/>
    <w:rsid w:val="00F31AD7"/>
    <w:rsid w:val="00F31CA4"/>
    <w:rsid w:val="00F320B6"/>
    <w:rsid w:val="00F322A1"/>
    <w:rsid w:val="00F33065"/>
    <w:rsid w:val="00F3414E"/>
    <w:rsid w:val="00F34F9E"/>
    <w:rsid w:val="00F35AD0"/>
    <w:rsid w:val="00F35F05"/>
    <w:rsid w:val="00F369C2"/>
    <w:rsid w:val="00F37494"/>
    <w:rsid w:val="00F37823"/>
    <w:rsid w:val="00F37DD0"/>
    <w:rsid w:val="00F37FCF"/>
    <w:rsid w:val="00F3A8A3"/>
    <w:rsid w:val="00F401E1"/>
    <w:rsid w:val="00F4047E"/>
    <w:rsid w:val="00F4086F"/>
    <w:rsid w:val="00F4090A"/>
    <w:rsid w:val="00F40EA9"/>
    <w:rsid w:val="00F4110A"/>
    <w:rsid w:val="00F414D1"/>
    <w:rsid w:val="00F420ED"/>
    <w:rsid w:val="00F42B16"/>
    <w:rsid w:val="00F434F8"/>
    <w:rsid w:val="00F439F9"/>
    <w:rsid w:val="00F44AD7"/>
    <w:rsid w:val="00F45766"/>
    <w:rsid w:val="00F45948"/>
    <w:rsid w:val="00F45984"/>
    <w:rsid w:val="00F45B48"/>
    <w:rsid w:val="00F45C2D"/>
    <w:rsid w:val="00F45DCE"/>
    <w:rsid w:val="00F4626F"/>
    <w:rsid w:val="00F46389"/>
    <w:rsid w:val="00F47129"/>
    <w:rsid w:val="00F4752A"/>
    <w:rsid w:val="00F475D5"/>
    <w:rsid w:val="00F47ABC"/>
    <w:rsid w:val="00F47C3F"/>
    <w:rsid w:val="00F47EBD"/>
    <w:rsid w:val="00F502E7"/>
    <w:rsid w:val="00F50556"/>
    <w:rsid w:val="00F5068C"/>
    <w:rsid w:val="00F506A7"/>
    <w:rsid w:val="00F515C3"/>
    <w:rsid w:val="00F51F8D"/>
    <w:rsid w:val="00F5231A"/>
    <w:rsid w:val="00F5260A"/>
    <w:rsid w:val="00F53314"/>
    <w:rsid w:val="00F5340D"/>
    <w:rsid w:val="00F5342F"/>
    <w:rsid w:val="00F54063"/>
    <w:rsid w:val="00F54583"/>
    <w:rsid w:val="00F54779"/>
    <w:rsid w:val="00F55D8B"/>
    <w:rsid w:val="00F55FE8"/>
    <w:rsid w:val="00F5604B"/>
    <w:rsid w:val="00F562B8"/>
    <w:rsid w:val="00F56915"/>
    <w:rsid w:val="00F57EF4"/>
    <w:rsid w:val="00F60026"/>
    <w:rsid w:val="00F601D1"/>
    <w:rsid w:val="00F602B6"/>
    <w:rsid w:val="00F61050"/>
    <w:rsid w:val="00F61389"/>
    <w:rsid w:val="00F61510"/>
    <w:rsid w:val="00F615BD"/>
    <w:rsid w:val="00F6205D"/>
    <w:rsid w:val="00F624AC"/>
    <w:rsid w:val="00F62864"/>
    <w:rsid w:val="00F6297C"/>
    <w:rsid w:val="00F629B7"/>
    <w:rsid w:val="00F62B25"/>
    <w:rsid w:val="00F62E36"/>
    <w:rsid w:val="00F6345B"/>
    <w:rsid w:val="00F6366E"/>
    <w:rsid w:val="00F638B4"/>
    <w:rsid w:val="00F63AF3"/>
    <w:rsid w:val="00F63CE5"/>
    <w:rsid w:val="00F64CE1"/>
    <w:rsid w:val="00F650DB"/>
    <w:rsid w:val="00F65714"/>
    <w:rsid w:val="00F662D5"/>
    <w:rsid w:val="00F66C12"/>
    <w:rsid w:val="00F6754F"/>
    <w:rsid w:val="00F67EB7"/>
    <w:rsid w:val="00F70227"/>
    <w:rsid w:val="00F70233"/>
    <w:rsid w:val="00F70A1A"/>
    <w:rsid w:val="00F7114E"/>
    <w:rsid w:val="00F717B8"/>
    <w:rsid w:val="00F719F2"/>
    <w:rsid w:val="00F71D08"/>
    <w:rsid w:val="00F72873"/>
    <w:rsid w:val="00F72CDF"/>
    <w:rsid w:val="00F7359B"/>
    <w:rsid w:val="00F7513B"/>
    <w:rsid w:val="00F75183"/>
    <w:rsid w:val="00F75B96"/>
    <w:rsid w:val="00F75D09"/>
    <w:rsid w:val="00F75EC3"/>
    <w:rsid w:val="00F76BE6"/>
    <w:rsid w:val="00F76F75"/>
    <w:rsid w:val="00F772E5"/>
    <w:rsid w:val="00F774DD"/>
    <w:rsid w:val="00F7771C"/>
    <w:rsid w:val="00F7798E"/>
    <w:rsid w:val="00F8055D"/>
    <w:rsid w:val="00F80618"/>
    <w:rsid w:val="00F806ED"/>
    <w:rsid w:val="00F80F6A"/>
    <w:rsid w:val="00F813BE"/>
    <w:rsid w:val="00F81429"/>
    <w:rsid w:val="00F8159B"/>
    <w:rsid w:val="00F81679"/>
    <w:rsid w:val="00F81AFE"/>
    <w:rsid w:val="00F820EB"/>
    <w:rsid w:val="00F82612"/>
    <w:rsid w:val="00F82B95"/>
    <w:rsid w:val="00F82C6D"/>
    <w:rsid w:val="00F8319E"/>
    <w:rsid w:val="00F8380C"/>
    <w:rsid w:val="00F839E7"/>
    <w:rsid w:val="00F84512"/>
    <w:rsid w:val="00F84552"/>
    <w:rsid w:val="00F846B4"/>
    <w:rsid w:val="00F848D2"/>
    <w:rsid w:val="00F84E82"/>
    <w:rsid w:val="00F852A8"/>
    <w:rsid w:val="00F85563"/>
    <w:rsid w:val="00F85E16"/>
    <w:rsid w:val="00F86C12"/>
    <w:rsid w:val="00F87210"/>
    <w:rsid w:val="00F87545"/>
    <w:rsid w:val="00F90A89"/>
    <w:rsid w:val="00F914E0"/>
    <w:rsid w:val="00F91527"/>
    <w:rsid w:val="00F917C3"/>
    <w:rsid w:val="00F924C0"/>
    <w:rsid w:val="00F929BC"/>
    <w:rsid w:val="00F92D99"/>
    <w:rsid w:val="00F92E64"/>
    <w:rsid w:val="00F932EE"/>
    <w:rsid w:val="00F93661"/>
    <w:rsid w:val="00F93C40"/>
    <w:rsid w:val="00F93C73"/>
    <w:rsid w:val="00F93FF8"/>
    <w:rsid w:val="00F940C4"/>
    <w:rsid w:val="00F942F0"/>
    <w:rsid w:val="00F945D8"/>
    <w:rsid w:val="00F95AC1"/>
    <w:rsid w:val="00F962B1"/>
    <w:rsid w:val="00F963B1"/>
    <w:rsid w:val="00F96426"/>
    <w:rsid w:val="00F9659C"/>
    <w:rsid w:val="00F972D8"/>
    <w:rsid w:val="00F9755A"/>
    <w:rsid w:val="00F976FE"/>
    <w:rsid w:val="00F979F7"/>
    <w:rsid w:val="00FA02EA"/>
    <w:rsid w:val="00FA04A4"/>
    <w:rsid w:val="00FA0F54"/>
    <w:rsid w:val="00FA14BB"/>
    <w:rsid w:val="00FA2393"/>
    <w:rsid w:val="00FA2FEA"/>
    <w:rsid w:val="00FA335E"/>
    <w:rsid w:val="00FA3650"/>
    <w:rsid w:val="00FA499C"/>
    <w:rsid w:val="00FA4FC5"/>
    <w:rsid w:val="00FA5379"/>
    <w:rsid w:val="00FA597C"/>
    <w:rsid w:val="00FA6266"/>
    <w:rsid w:val="00FA64D4"/>
    <w:rsid w:val="00FA6A8F"/>
    <w:rsid w:val="00FA6FF7"/>
    <w:rsid w:val="00FA7221"/>
    <w:rsid w:val="00FA792C"/>
    <w:rsid w:val="00FA7D35"/>
    <w:rsid w:val="00FA7E35"/>
    <w:rsid w:val="00FA7EAE"/>
    <w:rsid w:val="00FB08DD"/>
    <w:rsid w:val="00FB0A3A"/>
    <w:rsid w:val="00FB0D47"/>
    <w:rsid w:val="00FB0D4B"/>
    <w:rsid w:val="00FB1330"/>
    <w:rsid w:val="00FB1372"/>
    <w:rsid w:val="00FB25EA"/>
    <w:rsid w:val="00FB2829"/>
    <w:rsid w:val="00FB2841"/>
    <w:rsid w:val="00FB300F"/>
    <w:rsid w:val="00FB38A0"/>
    <w:rsid w:val="00FB3FFB"/>
    <w:rsid w:val="00FB4900"/>
    <w:rsid w:val="00FB4F95"/>
    <w:rsid w:val="00FB54D9"/>
    <w:rsid w:val="00FB5553"/>
    <w:rsid w:val="00FB55B7"/>
    <w:rsid w:val="00FB5E2E"/>
    <w:rsid w:val="00FB661F"/>
    <w:rsid w:val="00FB6A83"/>
    <w:rsid w:val="00FB6D4C"/>
    <w:rsid w:val="00FB71AC"/>
    <w:rsid w:val="00FB759D"/>
    <w:rsid w:val="00FB75A7"/>
    <w:rsid w:val="00FB7D9C"/>
    <w:rsid w:val="00FC024A"/>
    <w:rsid w:val="00FC037E"/>
    <w:rsid w:val="00FC04D8"/>
    <w:rsid w:val="00FC0AA6"/>
    <w:rsid w:val="00FC0B63"/>
    <w:rsid w:val="00FC0BBF"/>
    <w:rsid w:val="00FC0D2B"/>
    <w:rsid w:val="00FC12FF"/>
    <w:rsid w:val="00FC1814"/>
    <w:rsid w:val="00FC1DA0"/>
    <w:rsid w:val="00FC1DC6"/>
    <w:rsid w:val="00FC23F0"/>
    <w:rsid w:val="00FC2415"/>
    <w:rsid w:val="00FC25E0"/>
    <w:rsid w:val="00FC26B6"/>
    <w:rsid w:val="00FC270E"/>
    <w:rsid w:val="00FC2902"/>
    <w:rsid w:val="00FC2A23"/>
    <w:rsid w:val="00FC2BD8"/>
    <w:rsid w:val="00FC2DFA"/>
    <w:rsid w:val="00FC31EB"/>
    <w:rsid w:val="00FC339B"/>
    <w:rsid w:val="00FC3DEB"/>
    <w:rsid w:val="00FC3F11"/>
    <w:rsid w:val="00FC4E38"/>
    <w:rsid w:val="00FC55B6"/>
    <w:rsid w:val="00FC620F"/>
    <w:rsid w:val="00FC63CC"/>
    <w:rsid w:val="00FC66A6"/>
    <w:rsid w:val="00FC6F32"/>
    <w:rsid w:val="00FC7680"/>
    <w:rsid w:val="00FD025D"/>
    <w:rsid w:val="00FD075C"/>
    <w:rsid w:val="00FD14BA"/>
    <w:rsid w:val="00FD1B87"/>
    <w:rsid w:val="00FD1EA8"/>
    <w:rsid w:val="00FD2061"/>
    <w:rsid w:val="00FD2216"/>
    <w:rsid w:val="00FD2697"/>
    <w:rsid w:val="00FD2C5F"/>
    <w:rsid w:val="00FD33B3"/>
    <w:rsid w:val="00FD33D6"/>
    <w:rsid w:val="00FD347A"/>
    <w:rsid w:val="00FD3F37"/>
    <w:rsid w:val="00FD4988"/>
    <w:rsid w:val="00FD49B1"/>
    <w:rsid w:val="00FD4AFF"/>
    <w:rsid w:val="00FD5DD7"/>
    <w:rsid w:val="00FD656B"/>
    <w:rsid w:val="00FD6596"/>
    <w:rsid w:val="00FD66CF"/>
    <w:rsid w:val="00FD6E75"/>
    <w:rsid w:val="00FD7895"/>
    <w:rsid w:val="00FD7FCE"/>
    <w:rsid w:val="00FE012F"/>
    <w:rsid w:val="00FE0740"/>
    <w:rsid w:val="00FE08FA"/>
    <w:rsid w:val="00FE14C4"/>
    <w:rsid w:val="00FE174F"/>
    <w:rsid w:val="00FE18C5"/>
    <w:rsid w:val="00FE1B22"/>
    <w:rsid w:val="00FE1D76"/>
    <w:rsid w:val="00FE2110"/>
    <w:rsid w:val="00FE21E5"/>
    <w:rsid w:val="00FE22A2"/>
    <w:rsid w:val="00FE2CF7"/>
    <w:rsid w:val="00FE3097"/>
    <w:rsid w:val="00FE3364"/>
    <w:rsid w:val="00FE353E"/>
    <w:rsid w:val="00FE3D3E"/>
    <w:rsid w:val="00FE3F10"/>
    <w:rsid w:val="00FE44CA"/>
    <w:rsid w:val="00FE4824"/>
    <w:rsid w:val="00FE70BC"/>
    <w:rsid w:val="00FE74D7"/>
    <w:rsid w:val="00FE79D1"/>
    <w:rsid w:val="00FE7D85"/>
    <w:rsid w:val="00FF0C40"/>
    <w:rsid w:val="00FF0C8F"/>
    <w:rsid w:val="00FF0DBA"/>
    <w:rsid w:val="00FF1B56"/>
    <w:rsid w:val="00FF202F"/>
    <w:rsid w:val="00FF2540"/>
    <w:rsid w:val="00FF345D"/>
    <w:rsid w:val="00FF366E"/>
    <w:rsid w:val="00FF4A76"/>
    <w:rsid w:val="00FF5505"/>
    <w:rsid w:val="00FF5632"/>
    <w:rsid w:val="00FF5722"/>
    <w:rsid w:val="00FF5C84"/>
    <w:rsid w:val="00FF5F61"/>
    <w:rsid w:val="00FF65BB"/>
    <w:rsid w:val="0102E4F7"/>
    <w:rsid w:val="01038C81"/>
    <w:rsid w:val="0107DD06"/>
    <w:rsid w:val="0112E35D"/>
    <w:rsid w:val="012FA57D"/>
    <w:rsid w:val="01316A88"/>
    <w:rsid w:val="0137FC9F"/>
    <w:rsid w:val="0137FD74"/>
    <w:rsid w:val="01560221"/>
    <w:rsid w:val="01797AEE"/>
    <w:rsid w:val="01799CA7"/>
    <w:rsid w:val="01805330"/>
    <w:rsid w:val="01856C48"/>
    <w:rsid w:val="01874D90"/>
    <w:rsid w:val="018C9D00"/>
    <w:rsid w:val="018D031E"/>
    <w:rsid w:val="018D9370"/>
    <w:rsid w:val="0193B8DD"/>
    <w:rsid w:val="0195B8A5"/>
    <w:rsid w:val="019C103A"/>
    <w:rsid w:val="01A5285C"/>
    <w:rsid w:val="01A9FD01"/>
    <w:rsid w:val="01B8DA81"/>
    <w:rsid w:val="01BFDF42"/>
    <w:rsid w:val="01C1621E"/>
    <w:rsid w:val="01D3CD3B"/>
    <w:rsid w:val="01D9B2C9"/>
    <w:rsid w:val="01F771D1"/>
    <w:rsid w:val="01F8F83C"/>
    <w:rsid w:val="01F97FE6"/>
    <w:rsid w:val="02013EE5"/>
    <w:rsid w:val="02085639"/>
    <w:rsid w:val="020C01B9"/>
    <w:rsid w:val="021DE8B7"/>
    <w:rsid w:val="022F45F9"/>
    <w:rsid w:val="023FA5DE"/>
    <w:rsid w:val="024186BA"/>
    <w:rsid w:val="0249CAD3"/>
    <w:rsid w:val="02533A2E"/>
    <w:rsid w:val="02586D90"/>
    <w:rsid w:val="027B1141"/>
    <w:rsid w:val="0288FAEE"/>
    <w:rsid w:val="028FF7F5"/>
    <w:rsid w:val="02A257FC"/>
    <w:rsid w:val="02A6637B"/>
    <w:rsid w:val="02AE6BFF"/>
    <w:rsid w:val="02C4F8C0"/>
    <w:rsid w:val="02C5210B"/>
    <w:rsid w:val="02D7B920"/>
    <w:rsid w:val="02F92A5E"/>
    <w:rsid w:val="0315C49D"/>
    <w:rsid w:val="032DF2D2"/>
    <w:rsid w:val="0330A8AF"/>
    <w:rsid w:val="0345F9B6"/>
    <w:rsid w:val="034D76A8"/>
    <w:rsid w:val="035ECE9D"/>
    <w:rsid w:val="0383FD7B"/>
    <w:rsid w:val="0391CB3A"/>
    <w:rsid w:val="03A69D49"/>
    <w:rsid w:val="03AE4DE1"/>
    <w:rsid w:val="03CE9198"/>
    <w:rsid w:val="03D4B545"/>
    <w:rsid w:val="03E36839"/>
    <w:rsid w:val="03E44099"/>
    <w:rsid w:val="03EEEC40"/>
    <w:rsid w:val="03F290F4"/>
    <w:rsid w:val="03F8EF0C"/>
    <w:rsid w:val="040E8001"/>
    <w:rsid w:val="0418705D"/>
    <w:rsid w:val="04381C8F"/>
    <w:rsid w:val="0453ADC2"/>
    <w:rsid w:val="046A416D"/>
    <w:rsid w:val="047C2D65"/>
    <w:rsid w:val="048D2755"/>
    <w:rsid w:val="049ABF53"/>
    <w:rsid w:val="04A6278B"/>
    <w:rsid w:val="04ED45B1"/>
    <w:rsid w:val="04F9788C"/>
    <w:rsid w:val="05058635"/>
    <w:rsid w:val="050E5E20"/>
    <w:rsid w:val="050F297D"/>
    <w:rsid w:val="050F966F"/>
    <w:rsid w:val="05119025"/>
    <w:rsid w:val="05237440"/>
    <w:rsid w:val="052B7D4C"/>
    <w:rsid w:val="053A20F2"/>
    <w:rsid w:val="054FF5BA"/>
    <w:rsid w:val="05558979"/>
    <w:rsid w:val="056613D0"/>
    <w:rsid w:val="05703B0C"/>
    <w:rsid w:val="057230EA"/>
    <w:rsid w:val="057C009D"/>
    <w:rsid w:val="057DB455"/>
    <w:rsid w:val="058C1F08"/>
    <w:rsid w:val="05DE4C8A"/>
    <w:rsid w:val="05E75BD3"/>
    <w:rsid w:val="05E985D5"/>
    <w:rsid w:val="05EE6DBA"/>
    <w:rsid w:val="05F88D3A"/>
    <w:rsid w:val="05FDC0A7"/>
    <w:rsid w:val="0601AE5E"/>
    <w:rsid w:val="060FD030"/>
    <w:rsid w:val="06241C80"/>
    <w:rsid w:val="0655DD95"/>
    <w:rsid w:val="0684A1F1"/>
    <w:rsid w:val="068E9D5A"/>
    <w:rsid w:val="06934687"/>
    <w:rsid w:val="06961D28"/>
    <w:rsid w:val="069F21D4"/>
    <w:rsid w:val="06D2563C"/>
    <w:rsid w:val="06E99D72"/>
    <w:rsid w:val="06ECB914"/>
    <w:rsid w:val="06F13634"/>
    <w:rsid w:val="06FF2755"/>
    <w:rsid w:val="0723BFDC"/>
    <w:rsid w:val="072C7C67"/>
    <w:rsid w:val="0742BC2C"/>
    <w:rsid w:val="0746329A"/>
    <w:rsid w:val="074F50ED"/>
    <w:rsid w:val="0753178C"/>
    <w:rsid w:val="0754CA94"/>
    <w:rsid w:val="075BA7C0"/>
    <w:rsid w:val="0763390E"/>
    <w:rsid w:val="07651C09"/>
    <w:rsid w:val="0772EDAE"/>
    <w:rsid w:val="077C4D70"/>
    <w:rsid w:val="077E514A"/>
    <w:rsid w:val="078A19B2"/>
    <w:rsid w:val="078B4204"/>
    <w:rsid w:val="078C8E6C"/>
    <w:rsid w:val="078FDAA3"/>
    <w:rsid w:val="07A999A5"/>
    <w:rsid w:val="07D2F87A"/>
    <w:rsid w:val="07D74B52"/>
    <w:rsid w:val="07F16D31"/>
    <w:rsid w:val="0800A6EF"/>
    <w:rsid w:val="0837C6AE"/>
    <w:rsid w:val="083EDE44"/>
    <w:rsid w:val="08409911"/>
    <w:rsid w:val="0842B952"/>
    <w:rsid w:val="08509070"/>
    <w:rsid w:val="08612894"/>
    <w:rsid w:val="08827B29"/>
    <w:rsid w:val="0884984A"/>
    <w:rsid w:val="089A5DCF"/>
    <w:rsid w:val="08A0981A"/>
    <w:rsid w:val="08AAC724"/>
    <w:rsid w:val="08AFFEE5"/>
    <w:rsid w:val="08ED36D1"/>
    <w:rsid w:val="08EDCC66"/>
    <w:rsid w:val="08EE1553"/>
    <w:rsid w:val="0907B83E"/>
    <w:rsid w:val="091C2340"/>
    <w:rsid w:val="09285668"/>
    <w:rsid w:val="09338D9B"/>
    <w:rsid w:val="0955AA5B"/>
    <w:rsid w:val="0959ED6C"/>
    <w:rsid w:val="0963AAC2"/>
    <w:rsid w:val="09694405"/>
    <w:rsid w:val="096C50D9"/>
    <w:rsid w:val="0971BCA7"/>
    <w:rsid w:val="09866825"/>
    <w:rsid w:val="0989A893"/>
    <w:rsid w:val="09A275B6"/>
    <w:rsid w:val="09B7A301"/>
    <w:rsid w:val="09C22184"/>
    <w:rsid w:val="09C41D81"/>
    <w:rsid w:val="09CC35AD"/>
    <w:rsid w:val="09D37E70"/>
    <w:rsid w:val="09D4F4B6"/>
    <w:rsid w:val="09ECD40D"/>
    <w:rsid w:val="09FA22FE"/>
    <w:rsid w:val="09FC2347"/>
    <w:rsid w:val="09FF46D4"/>
    <w:rsid w:val="0A135CBD"/>
    <w:rsid w:val="0A3216B6"/>
    <w:rsid w:val="0A341CD3"/>
    <w:rsid w:val="0A575F8E"/>
    <w:rsid w:val="0A5BA5E6"/>
    <w:rsid w:val="0A5BB7CF"/>
    <w:rsid w:val="0A61A15A"/>
    <w:rsid w:val="0A6400D9"/>
    <w:rsid w:val="0A737B3E"/>
    <w:rsid w:val="0A8A619E"/>
    <w:rsid w:val="0A8D10D1"/>
    <w:rsid w:val="0AA307CF"/>
    <w:rsid w:val="0ACB93B8"/>
    <w:rsid w:val="0AD96E73"/>
    <w:rsid w:val="0AF6A055"/>
    <w:rsid w:val="0AF91E5D"/>
    <w:rsid w:val="0B15E693"/>
    <w:rsid w:val="0B16C647"/>
    <w:rsid w:val="0B17F850"/>
    <w:rsid w:val="0B1BE0A0"/>
    <w:rsid w:val="0B2446A9"/>
    <w:rsid w:val="0B2510EA"/>
    <w:rsid w:val="0B2E6BFB"/>
    <w:rsid w:val="0B328BA4"/>
    <w:rsid w:val="0B337D90"/>
    <w:rsid w:val="0B56BDDE"/>
    <w:rsid w:val="0B5F67A4"/>
    <w:rsid w:val="0B66CACE"/>
    <w:rsid w:val="0B6C1082"/>
    <w:rsid w:val="0B9626E3"/>
    <w:rsid w:val="0BA0B55F"/>
    <w:rsid w:val="0BA83086"/>
    <w:rsid w:val="0BD818FC"/>
    <w:rsid w:val="0BE1D699"/>
    <w:rsid w:val="0BED5C4D"/>
    <w:rsid w:val="0BEF949F"/>
    <w:rsid w:val="0BF84143"/>
    <w:rsid w:val="0C27482B"/>
    <w:rsid w:val="0C3222EF"/>
    <w:rsid w:val="0C3CB8A9"/>
    <w:rsid w:val="0C4784EB"/>
    <w:rsid w:val="0C6FA461"/>
    <w:rsid w:val="0C8107FC"/>
    <w:rsid w:val="0C9AF252"/>
    <w:rsid w:val="0C9BBAFD"/>
    <w:rsid w:val="0CA5EAAE"/>
    <w:rsid w:val="0CA617C6"/>
    <w:rsid w:val="0CB397E1"/>
    <w:rsid w:val="0CB950D5"/>
    <w:rsid w:val="0CC624F9"/>
    <w:rsid w:val="0CC8DD87"/>
    <w:rsid w:val="0CDD3F2C"/>
    <w:rsid w:val="0CE250B3"/>
    <w:rsid w:val="0CEB0712"/>
    <w:rsid w:val="0CF39CBC"/>
    <w:rsid w:val="0CF59759"/>
    <w:rsid w:val="0D25B856"/>
    <w:rsid w:val="0D28DDE9"/>
    <w:rsid w:val="0D34970B"/>
    <w:rsid w:val="0D3A3B21"/>
    <w:rsid w:val="0D4BC896"/>
    <w:rsid w:val="0D6F2F7F"/>
    <w:rsid w:val="0D7135A1"/>
    <w:rsid w:val="0D78269D"/>
    <w:rsid w:val="0D784161"/>
    <w:rsid w:val="0D78C81D"/>
    <w:rsid w:val="0D865C20"/>
    <w:rsid w:val="0DA62CC3"/>
    <w:rsid w:val="0DA680ED"/>
    <w:rsid w:val="0DBF7375"/>
    <w:rsid w:val="0DF6DA71"/>
    <w:rsid w:val="0E0A1A34"/>
    <w:rsid w:val="0E297CE2"/>
    <w:rsid w:val="0E2E3FBF"/>
    <w:rsid w:val="0E3F0385"/>
    <w:rsid w:val="0E544D63"/>
    <w:rsid w:val="0E59192B"/>
    <w:rsid w:val="0E70169B"/>
    <w:rsid w:val="0E9CB2C7"/>
    <w:rsid w:val="0E9D008F"/>
    <w:rsid w:val="0EA4ED1C"/>
    <w:rsid w:val="0EB438F3"/>
    <w:rsid w:val="0EBA4DA0"/>
    <w:rsid w:val="0EC486AC"/>
    <w:rsid w:val="0EC6772A"/>
    <w:rsid w:val="0ECCB53A"/>
    <w:rsid w:val="0ECFF15C"/>
    <w:rsid w:val="0ED3559D"/>
    <w:rsid w:val="0EE87F77"/>
    <w:rsid w:val="0EF47C89"/>
    <w:rsid w:val="0F04D54B"/>
    <w:rsid w:val="0F1BD950"/>
    <w:rsid w:val="0F1CDAB4"/>
    <w:rsid w:val="0F2874BC"/>
    <w:rsid w:val="0F37BE62"/>
    <w:rsid w:val="0F37E5D1"/>
    <w:rsid w:val="0F4654C9"/>
    <w:rsid w:val="0F4BFD11"/>
    <w:rsid w:val="0F63092B"/>
    <w:rsid w:val="0F75FF03"/>
    <w:rsid w:val="0F846590"/>
    <w:rsid w:val="0F86F1C6"/>
    <w:rsid w:val="0F913ABE"/>
    <w:rsid w:val="0F9488D7"/>
    <w:rsid w:val="0FA0883A"/>
    <w:rsid w:val="0FA5E977"/>
    <w:rsid w:val="0FB01959"/>
    <w:rsid w:val="0FB4A431"/>
    <w:rsid w:val="0FC76C54"/>
    <w:rsid w:val="0FD37A3F"/>
    <w:rsid w:val="0FD74D08"/>
    <w:rsid w:val="0FE00696"/>
    <w:rsid w:val="0FF4F4B3"/>
    <w:rsid w:val="0FFA658D"/>
    <w:rsid w:val="10068791"/>
    <w:rsid w:val="100B0586"/>
    <w:rsid w:val="102175C4"/>
    <w:rsid w:val="10393E8C"/>
    <w:rsid w:val="1040D807"/>
    <w:rsid w:val="1043C78C"/>
    <w:rsid w:val="1046BEC8"/>
    <w:rsid w:val="10475614"/>
    <w:rsid w:val="105A48B2"/>
    <w:rsid w:val="1080393E"/>
    <w:rsid w:val="10873590"/>
    <w:rsid w:val="1088EBE5"/>
    <w:rsid w:val="108DE612"/>
    <w:rsid w:val="10C8D00F"/>
    <w:rsid w:val="10D3B283"/>
    <w:rsid w:val="10EF85C5"/>
    <w:rsid w:val="1104B5B3"/>
    <w:rsid w:val="1109A26D"/>
    <w:rsid w:val="110A3091"/>
    <w:rsid w:val="110E82A5"/>
    <w:rsid w:val="11148EE7"/>
    <w:rsid w:val="112702E5"/>
    <w:rsid w:val="112FFCB5"/>
    <w:rsid w:val="1148F36A"/>
    <w:rsid w:val="115138BF"/>
    <w:rsid w:val="117E4841"/>
    <w:rsid w:val="11AA95D7"/>
    <w:rsid w:val="11BE59F8"/>
    <w:rsid w:val="11BE7349"/>
    <w:rsid w:val="11DBFC54"/>
    <w:rsid w:val="11DC8009"/>
    <w:rsid w:val="11F8143F"/>
    <w:rsid w:val="120A9E8A"/>
    <w:rsid w:val="120C3A8D"/>
    <w:rsid w:val="120C4102"/>
    <w:rsid w:val="120FF698"/>
    <w:rsid w:val="1227E20B"/>
    <w:rsid w:val="122A8936"/>
    <w:rsid w:val="1238DD8E"/>
    <w:rsid w:val="124C2779"/>
    <w:rsid w:val="124DECD2"/>
    <w:rsid w:val="12500381"/>
    <w:rsid w:val="125BC474"/>
    <w:rsid w:val="125DD287"/>
    <w:rsid w:val="126AC809"/>
    <w:rsid w:val="126FF95A"/>
    <w:rsid w:val="12776E2B"/>
    <w:rsid w:val="127870E7"/>
    <w:rsid w:val="127C0E8E"/>
    <w:rsid w:val="12848B40"/>
    <w:rsid w:val="12872AA3"/>
    <w:rsid w:val="12943811"/>
    <w:rsid w:val="12AACBC2"/>
    <w:rsid w:val="12AEF918"/>
    <w:rsid w:val="12AF1DBD"/>
    <w:rsid w:val="12B3DB48"/>
    <w:rsid w:val="12BDE38E"/>
    <w:rsid w:val="12CC6583"/>
    <w:rsid w:val="12CF3E40"/>
    <w:rsid w:val="12E54F29"/>
    <w:rsid w:val="12E7EC8D"/>
    <w:rsid w:val="12EB2180"/>
    <w:rsid w:val="1300A856"/>
    <w:rsid w:val="1337C6AC"/>
    <w:rsid w:val="13485A6B"/>
    <w:rsid w:val="1352A1E7"/>
    <w:rsid w:val="135B7902"/>
    <w:rsid w:val="13892344"/>
    <w:rsid w:val="1399AE77"/>
    <w:rsid w:val="139DAFEE"/>
    <w:rsid w:val="13A34742"/>
    <w:rsid w:val="13A9F4FD"/>
    <w:rsid w:val="13AC60FE"/>
    <w:rsid w:val="13C3B0E7"/>
    <w:rsid w:val="13C7049A"/>
    <w:rsid w:val="13EC2DE9"/>
    <w:rsid w:val="13EC43D2"/>
    <w:rsid w:val="13F78EFC"/>
    <w:rsid w:val="1404C2B2"/>
    <w:rsid w:val="14065E5C"/>
    <w:rsid w:val="1407ABC7"/>
    <w:rsid w:val="1417973F"/>
    <w:rsid w:val="142A481E"/>
    <w:rsid w:val="1458F990"/>
    <w:rsid w:val="147361CC"/>
    <w:rsid w:val="1473B8E6"/>
    <w:rsid w:val="147930DA"/>
    <w:rsid w:val="147FB72C"/>
    <w:rsid w:val="14821D6E"/>
    <w:rsid w:val="148CA197"/>
    <w:rsid w:val="148E427A"/>
    <w:rsid w:val="1491E6C4"/>
    <w:rsid w:val="1493C669"/>
    <w:rsid w:val="14A1DC84"/>
    <w:rsid w:val="14A9E881"/>
    <w:rsid w:val="14B9BC2B"/>
    <w:rsid w:val="14BDC9A2"/>
    <w:rsid w:val="14BE7751"/>
    <w:rsid w:val="14C2972D"/>
    <w:rsid w:val="14CBB466"/>
    <w:rsid w:val="14D11429"/>
    <w:rsid w:val="14D72C11"/>
    <w:rsid w:val="14DCC49E"/>
    <w:rsid w:val="14DCC6AE"/>
    <w:rsid w:val="14EE7248"/>
    <w:rsid w:val="150842B0"/>
    <w:rsid w:val="15136E7D"/>
    <w:rsid w:val="15259316"/>
    <w:rsid w:val="15302534"/>
    <w:rsid w:val="153A636F"/>
    <w:rsid w:val="153E513D"/>
    <w:rsid w:val="15594B40"/>
    <w:rsid w:val="155D346C"/>
    <w:rsid w:val="156F122E"/>
    <w:rsid w:val="1578731F"/>
    <w:rsid w:val="157946F0"/>
    <w:rsid w:val="1592CE56"/>
    <w:rsid w:val="15A5347F"/>
    <w:rsid w:val="15B07D45"/>
    <w:rsid w:val="15B15B55"/>
    <w:rsid w:val="15BD0BE7"/>
    <w:rsid w:val="15C19F43"/>
    <w:rsid w:val="15CCA280"/>
    <w:rsid w:val="15CEB289"/>
    <w:rsid w:val="15CF4E61"/>
    <w:rsid w:val="15DC67F6"/>
    <w:rsid w:val="15EB12A1"/>
    <w:rsid w:val="161FE9A6"/>
    <w:rsid w:val="162FA711"/>
    <w:rsid w:val="16391C9B"/>
    <w:rsid w:val="167009B2"/>
    <w:rsid w:val="16781D0E"/>
    <w:rsid w:val="167C233E"/>
    <w:rsid w:val="168B2A8B"/>
    <w:rsid w:val="16951EB2"/>
    <w:rsid w:val="16972677"/>
    <w:rsid w:val="16A4F869"/>
    <w:rsid w:val="16B639FC"/>
    <w:rsid w:val="16CA0E42"/>
    <w:rsid w:val="16E7ECFF"/>
    <w:rsid w:val="16F9D22E"/>
    <w:rsid w:val="1707035C"/>
    <w:rsid w:val="170DD814"/>
    <w:rsid w:val="17120E57"/>
    <w:rsid w:val="171702DA"/>
    <w:rsid w:val="172CF83E"/>
    <w:rsid w:val="172E90D7"/>
    <w:rsid w:val="173075A2"/>
    <w:rsid w:val="174FEBB9"/>
    <w:rsid w:val="1759B1F7"/>
    <w:rsid w:val="175C5304"/>
    <w:rsid w:val="177716AD"/>
    <w:rsid w:val="178BD716"/>
    <w:rsid w:val="17AC776E"/>
    <w:rsid w:val="17B0BCAF"/>
    <w:rsid w:val="17C4B731"/>
    <w:rsid w:val="17C83689"/>
    <w:rsid w:val="17CB27CD"/>
    <w:rsid w:val="17CC7476"/>
    <w:rsid w:val="17DE4BCE"/>
    <w:rsid w:val="17FBD4BF"/>
    <w:rsid w:val="182B6499"/>
    <w:rsid w:val="1843DA13"/>
    <w:rsid w:val="1847B30C"/>
    <w:rsid w:val="184C4BE5"/>
    <w:rsid w:val="18761158"/>
    <w:rsid w:val="1881B94E"/>
    <w:rsid w:val="188EE27E"/>
    <w:rsid w:val="188F5723"/>
    <w:rsid w:val="1895E16C"/>
    <w:rsid w:val="189D3658"/>
    <w:rsid w:val="18A80A4B"/>
    <w:rsid w:val="18A87DDE"/>
    <w:rsid w:val="18BB8225"/>
    <w:rsid w:val="18BED66C"/>
    <w:rsid w:val="18C2EF8B"/>
    <w:rsid w:val="18E1D9B6"/>
    <w:rsid w:val="18E7DF1D"/>
    <w:rsid w:val="18FE992F"/>
    <w:rsid w:val="18FFF5E3"/>
    <w:rsid w:val="192336C7"/>
    <w:rsid w:val="192713F9"/>
    <w:rsid w:val="192D78A5"/>
    <w:rsid w:val="194718A2"/>
    <w:rsid w:val="19612E31"/>
    <w:rsid w:val="199C9393"/>
    <w:rsid w:val="19A5F43A"/>
    <w:rsid w:val="19BB0A13"/>
    <w:rsid w:val="19C4C147"/>
    <w:rsid w:val="19DAABEB"/>
    <w:rsid w:val="1A0359DB"/>
    <w:rsid w:val="1A06F8BF"/>
    <w:rsid w:val="1A0A3191"/>
    <w:rsid w:val="1A134D1F"/>
    <w:rsid w:val="1A372AD1"/>
    <w:rsid w:val="1A3CB76A"/>
    <w:rsid w:val="1A48C098"/>
    <w:rsid w:val="1A490FF7"/>
    <w:rsid w:val="1A5E93C5"/>
    <w:rsid w:val="1A718127"/>
    <w:rsid w:val="1A731967"/>
    <w:rsid w:val="1A82EAC0"/>
    <w:rsid w:val="1A951CD2"/>
    <w:rsid w:val="1AAC03F3"/>
    <w:rsid w:val="1AB5F961"/>
    <w:rsid w:val="1AC13472"/>
    <w:rsid w:val="1ADEFF3B"/>
    <w:rsid w:val="1B0DEE84"/>
    <w:rsid w:val="1B12C144"/>
    <w:rsid w:val="1B1E44E4"/>
    <w:rsid w:val="1B20CCE0"/>
    <w:rsid w:val="1B280F35"/>
    <w:rsid w:val="1B31C718"/>
    <w:rsid w:val="1B368645"/>
    <w:rsid w:val="1B51CBA0"/>
    <w:rsid w:val="1B56FE8B"/>
    <w:rsid w:val="1B7FE5C0"/>
    <w:rsid w:val="1B84781E"/>
    <w:rsid w:val="1B99CC74"/>
    <w:rsid w:val="1B9D9168"/>
    <w:rsid w:val="1B9F9EBF"/>
    <w:rsid w:val="1BAB806F"/>
    <w:rsid w:val="1BB5C286"/>
    <w:rsid w:val="1BE71F62"/>
    <w:rsid w:val="1BFE2146"/>
    <w:rsid w:val="1C121AF0"/>
    <w:rsid w:val="1C19A5E5"/>
    <w:rsid w:val="1C25E233"/>
    <w:rsid w:val="1C48099C"/>
    <w:rsid w:val="1C4F8E2A"/>
    <w:rsid w:val="1C5525D4"/>
    <w:rsid w:val="1C5AE5C8"/>
    <w:rsid w:val="1C5B9B4A"/>
    <w:rsid w:val="1C644A22"/>
    <w:rsid w:val="1C75A98B"/>
    <w:rsid w:val="1C75DB8F"/>
    <w:rsid w:val="1C961508"/>
    <w:rsid w:val="1CAFB70C"/>
    <w:rsid w:val="1CC0BFA6"/>
    <w:rsid w:val="1CC7F4A0"/>
    <w:rsid w:val="1CCA932A"/>
    <w:rsid w:val="1CD2DB58"/>
    <w:rsid w:val="1CD48791"/>
    <w:rsid w:val="1CED0099"/>
    <w:rsid w:val="1CED49F5"/>
    <w:rsid w:val="1CFCB7E1"/>
    <w:rsid w:val="1D4024E2"/>
    <w:rsid w:val="1D560A71"/>
    <w:rsid w:val="1D6B59A1"/>
    <w:rsid w:val="1D71453B"/>
    <w:rsid w:val="1D939268"/>
    <w:rsid w:val="1DCE0105"/>
    <w:rsid w:val="1DD3362E"/>
    <w:rsid w:val="1DD74A9F"/>
    <w:rsid w:val="1DE30166"/>
    <w:rsid w:val="1DF12902"/>
    <w:rsid w:val="1E1506D1"/>
    <w:rsid w:val="1E1BA63E"/>
    <w:rsid w:val="1E25BDF8"/>
    <w:rsid w:val="1E39A7BD"/>
    <w:rsid w:val="1E41D194"/>
    <w:rsid w:val="1E51DCA0"/>
    <w:rsid w:val="1E53B04D"/>
    <w:rsid w:val="1E697CFF"/>
    <w:rsid w:val="1E6BFDE3"/>
    <w:rsid w:val="1E6D63A1"/>
    <w:rsid w:val="1E7CDD2B"/>
    <w:rsid w:val="1E9E1251"/>
    <w:rsid w:val="1E9F2221"/>
    <w:rsid w:val="1EA3D7E4"/>
    <w:rsid w:val="1EA49919"/>
    <w:rsid w:val="1EAFE5DB"/>
    <w:rsid w:val="1EB99FC2"/>
    <w:rsid w:val="1EC1EEC9"/>
    <w:rsid w:val="1EC1FF5F"/>
    <w:rsid w:val="1ED3C737"/>
    <w:rsid w:val="1EDAB7A7"/>
    <w:rsid w:val="1F344A1F"/>
    <w:rsid w:val="1F4DDFE6"/>
    <w:rsid w:val="1F6D485F"/>
    <w:rsid w:val="1F74A06C"/>
    <w:rsid w:val="1F7E3D4B"/>
    <w:rsid w:val="1F894775"/>
    <w:rsid w:val="1F8BC1EC"/>
    <w:rsid w:val="1F8CD61F"/>
    <w:rsid w:val="1F92FEB9"/>
    <w:rsid w:val="1F9FB060"/>
    <w:rsid w:val="1FB3C47D"/>
    <w:rsid w:val="1FCDEF29"/>
    <w:rsid w:val="1FD441D9"/>
    <w:rsid w:val="1FD561BB"/>
    <w:rsid w:val="1FDDA5E8"/>
    <w:rsid w:val="2005ADBF"/>
    <w:rsid w:val="200B353E"/>
    <w:rsid w:val="201D2BE4"/>
    <w:rsid w:val="2020D634"/>
    <w:rsid w:val="2022EFCD"/>
    <w:rsid w:val="2029606A"/>
    <w:rsid w:val="20350143"/>
    <w:rsid w:val="2060610A"/>
    <w:rsid w:val="206104B3"/>
    <w:rsid w:val="20627CAD"/>
    <w:rsid w:val="2065FF25"/>
    <w:rsid w:val="207CCCD5"/>
    <w:rsid w:val="2083AE06"/>
    <w:rsid w:val="209C47D5"/>
    <w:rsid w:val="209D8C81"/>
    <w:rsid w:val="20B25435"/>
    <w:rsid w:val="20D12D3D"/>
    <w:rsid w:val="20EB1133"/>
    <w:rsid w:val="2113FD03"/>
    <w:rsid w:val="21262BE2"/>
    <w:rsid w:val="217A6415"/>
    <w:rsid w:val="21908190"/>
    <w:rsid w:val="219D1D3F"/>
    <w:rsid w:val="21B5CA64"/>
    <w:rsid w:val="21CA703D"/>
    <w:rsid w:val="21D6823B"/>
    <w:rsid w:val="21F0D6FF"/>
    <w:rsid w:val="21F43273"/>
    <w:rsid w:val="21FD6E63"/>
    <w:rsid w:val="22002099"/>
    <w:rsid w:val="2215C84C"/>
    <w:rsid w:val="2226CB68"/>
    <w:rsid w:val="2240EED0"/>
    <w:rsid w:val="225DDEF9"/>
    <w:rsid w:val="2266F4D3"/>
    <w:rsid w:val="2276A351"/>
    <w:rsid w:val="227A0CEF"/>
    <w:rsid w:val="229750BC"/>
    <w:rsid w:val="22A616A2"/>
    <w:rsid w:val="22B73B74"/>
    <w:rsid w:val="22CE0FFA"/>
    <w:rsid w:val="22CF3407"/>
    <w:rsid w:val="22CFE67D"/>
    <w:rsid w:val="22DB85A7"/>
    <w:rsid w:val="231FEBCA"/>
    <w:rsid w:val="232C9B33"/>
    <w:rsid w:val="239364DA"/>
    <w:rsid w:val="23A26809"/>
    <w:rsid w:val="23B149F1"/>
    <w:rsid w:val="23BD223A"/>
    <w:rsid w:val="23BF4F4B"/>
    <w:rsid w:val="23C2FE09"/>
    <w:rsid w:val="23D3181F"/>
    <w:rsid w:val="23D35C72"/>
    <w:rsid w:val="23D7A1B8"/>
    <w:rsid w:val="23FBAD13"/>
    <w:rsid w:val="24167CFE"/>
    <w:rsid w:val="2443C765"/>
    <w:rsid w:val="244BA872"/>
    <w:rsid w:val="24509B3A"/>
    <w:rsid w:val="247635D9"/>
    <w:rsid w:val="247B282D"/>
    <w:rsid w:val="247D3543"/>
    <w:rsid w:val="2492683F"/>
    <w:rsid w:val="2493D20D"/>
    <w:rsid w:val="2494414F"/>
    <w:rsid w:val="249708F5"/>
    <w:rsid w:val="24C16675"/>
    <w:rsid w:val="24D6641C"/>
    <w:rsid w:val="24F5D2F1"/>
    <w:rsid w:val="250E4FAE"/>
    <w:rsid w:val="25156AC0"/>
    <w:rsid w:val="25160E0B"/>
    <w:rsid w:val="251CFA43"/>
    <w:rsid w:val="252085BF"/>
    <w:rsid w:val="2532AF83"/>
    <w:rsid w:val="256F600E"/>
    <w:rsid w:val="257C9383"/>
    <w:rsid w:val="25824A77"/>
    <w:rsid w:val="258ABDF0"/>
    <w:rsid w:val="258E487C"/>
    <w:rsid w:val="2591498D"/>
    <w:rsid w:val="259ACF7C"/>
    <w:rsid w:val="25ADF242"/>
    <w:rsid w:val="25E69647"/>
    <w:rsid w:val="260E87E0"/>
    <w:rsid w:val="261A4886"/>
    <w:rsid w:val="261BB623"/>
    <w:rsid w:val="26256EFD"/>
    <w:rsid w:val="26321CAB"/>
    <w:rsid w:val="26323230"/>
    <w:rsid w:val="264E4DF3"/>
    <w:rsid w:val="26566C72"/>
    <w:rsid w:val="266681CF"/>
    <w:rsid w:val="26678286"/>
    <w:rsid w:val="2677B522"/>
    <w:rsid w:val="267DCF75"/>
    <w:rsid w:val="2699A0DE"/>
    <w:rsid w:val="26A25D55"/>
    <w:rsid w:val="26A2E65F"/>
    <w:rsid w:val="26B53636"/>
    <w:rsid w:val="26EE642E"/>
    <w:rsid w:val="26F351C4"/>
    <w:rsid w:val="26F600C1"/>
    <w:rsid w:val="270A7959"/>
    <w:rsid w:val="270D1687"/>
    <w:rsid w:val="27488FE6"/>
    <w:rsid w:val="2761C765"/>
    <w:rsid w:val="27624F68"/>
    <w:rsid w:val="277D0790"/>
    <w:rsid w:val="278F5284"/>
    <w:rsid w:val="279167B0"/>
    <w:rsid w:val="27982EF5"/>
    <w:rsid w:val="27AF26CA"/>
    <w:rsid w:val="27B1B4AE"/>
    <w:rsid w:val="27DB4667"/>
    <w:rsid w:val="27E68FC0"/>
    <w:rsid w:val="27E97A05"/>
    <w:rsid w:val="27F465F0"/>
    <w:rsid w:val="27FE6C4C"/>
    <w:rsid w:val="28033DF8"/>
    <w:rsid w:val="2809BD2D"/>
    <w:rsid w:val="280C7752"/>
    <w:rsid w:val="2848AA68"/>
    <w:rsid w:val="285B5029"/>
    <w:rsid w:val="286018DB"/>
    <w:rsid w:val="2867E61F"/>
    <w:rsid w:val="286BB1CE"/>
    <w:rsid w:val="28741B34"/>
    <w:rsid w:val="288D9997"/>
    <w:rsid w:val="28F283B5"/>
    <w:rsid w:val="28F2AF50"/>
    <w:rsid w:val="28FA3421"/>
    <w:rsid w:val="28FF16F7"/>
    <w:rsid w:val="2900E8A3"/>
    <w:rsid w:val="293F39D2"/>
    <w:rsid w:val="294F37CA"/>
    <w:rsid w:val="29640777"/>
    <w:rsid w:val="296743D9"/>
    <w:rsid w:val="297B0D71"/>
    <w:rsid w:val="2993E954"/>
    <w:rsid w:val="299A05C9"/>
    <w:rsid w:val="29B1083F"/>
    <w:rsid w:val="29B914B9"/>
    <w:rsid w:val="29CDF0AD"/>
    <w:rsid w:val="29D35647"/>
    <w:rsid w:val="2A23DA81"/>
    <w:rsid w:val="2A271CA1"/>
    <w:rsid w:val="2A583B99"/>
    <w:rsid w:val="2A586389"/>
    <w:rsid w:val="2A65DC14"/>
    <w:rsid w:val="2A6B4D6F"/>
    <w:rsid w:val="2A883671"/>
    <w:rsid w:val="2A9B5AAA"/>
    <w:rsid w:val="2AA1E869"/>
    <w:rsid w:val="2AA2BED6"/>
    <w:rsid w:val="2AAA8AA3"/>
    <w:rsid w:val="2AB88938"/>
    <w:rsid w:val="2AB95E92"/>
    <w:rsid w:val="2ABE23EA"/>
    <w:rsid w:val="2AC4B602"/>
    <w:rsid w:val="2ACF6BE3"/>
    <w:rsid w:val="2AE06233"/>
    <w:rsid w:val="2AE2618A"/>
    <w:rsid w:val="2AE64F52"/>
    <w:rsid w:val="2AECEAE2"/>
    <w:rsid w:val="2AFB0D6E"/>
    <w:rsid w:val="2B02E3D7"/>
    <w:rsid w:val="2B07EAFC"/>
    <w:rsid w:val="2B0B2C6C"/>
    <w:rsid w:val="2B0C18EC"/>
    <w:rsid w:val="2B2701E6"/>
    <w:rsid w:val="2B56E1B7"/>
    <w:rsid w:val="2B610C5B"/>
    <w:rsid w:val="2B7D8925"/>
    <w:rsid w:val="2B91EFE0"/>
    <w:rsid w:val="2B92EDB0"/>
    <w:rsid w:val="2B96B05B"/>
    <w:rsid w:val="2BB26CF6"/>
    <w:rsid w:val="2BB469A8"/>
    <w:rsid w:val="2BB4EAA8"/>
    <w:rsid w:val="2BC02729"/>
    <w:rsid w:val="2BC3082B"/>
    <w:rsid w:val="2BC982C1"/>
    <w:rsid w:val="2BCA3A45"/>
    <w:rsid w:val="2BCCFBCB"/>
    <w:rsid w:val="2BE4C0BA"/>
    <w:rsid w:val="2BE7982D"/>
    <w:rsid w:val="2C03780A"/>
    <w:rsid w:val="2C067CBF"/>
    <w:rsid w:val="2C06A2B6"/>
    <w:rsid w:val="2C0777A1"/>
    <w:rsid w:val="2C142826"/>
    <w:rsid w:val="2C15C67D"/>
    <w:rsid w:val="2C1B2804"/>
    <w:rsid w:val="2C230D86"/>
    <w:rsid w:val="2C532D53"/>
    <w:rsid w:val="2C55900B"/>
    <w:rsid w:val="2C6CE88A"/>
    <w:rsid w:val="2C758E0C"/>
    <w:rsid w:val="2C7AA502"/>
    <w:rsid w:val="2C84FBEF"/>
    <w:rsid w:val="2CC42BBD"/>
    <w:rsid w:val="2CD5A9AF"/>
    <w:rsid w:val="2CD5E57F"/>
    <w:rsid w:val="2CE24B40"/>
    <w:rsid w:val="2CE3E434"/>
    <w:rsid w:val="2CE69608"/>
    <w:rsid w:val="2CE77567"/>
    <w:rsid w:val="2CF2FCEC"/>
    <w:rsid w:val="2CF71513"/>
    <w:rsid w:val="2D05FA82"/>
    <w:rsid w:val="2D172159"/>
    <w:rsid w:val="2D37C058"/>
    <w:rsid w:val="2D5BFCDB"/>
    <w:rsid w:val="2D6F6919"/>
    <w:rsid w:val="2D86B337"/>
    <w:rsid w:val="2D9E1DF7"/>
    <w:rsid w:val="2DA87C57"/>
    <w:rsid w:val="2DA93BDA"/>
    <w:rsid w:val="2DB97065"/>
    <w:rsid w:val="2DC19369"/>
    <w:rsid w:val="2DE59CE4"/>
    <w:rsid w:val="2DE7A38C"/>
    <w:rsid w:val="2DF12F8F"/>
    <w:rsid w:val="2E0027FE"/>
    <w:rsid w:val="2E04679F"/>
    <w:rsid w:val="2E1910BF"/>
    <w:rsid w:val="2E227DE7"/>
    <w:rsid w:val="2E3C86F0"/>
    <w:rsid w:val="2E41F5ED"/>
    <w:rsid w:val="2E4EA035"/>
    <w:rsid w:val="2E5F0E17"/>
    <w:rsid w:val="2E673F09"/>
    <w:rsid w:val="2E83BBF1"/>
    <w:rsid w:val="2E9A3713"/>
    <w:rsid w:val="2E9C8AD3"/>
    <w:rsid w:val="2EA7D6B7"/>
    <w:rsid w:val="2EC648A1"/>
    <w:rsid w:val="2ED32330"/>
    <w:rsid w:val="2ED939F8"/>
    <w:rsid w:val="2EF83070"/>
    <w:rsid w:val="2EF84F11"/>
    <w:rsid w:val="2F02697E"/>
    <w:rsid w:val="2F0CF8A2"/>
    <w:rsid w:val="2F0D8C70"/>
    <w:rsid w:val="2F1A3C7F"/>
    <w:rsid w:val="2F2DADBA"/>
    <w:rsid w:val="2F358BEE"/>
    <w:rsid w:val="2F597B0C"/>
    <w:rsid w:val="2F5B9D3D"/>
    <w:rsid w:val="2F6F8586"/>
    <w:rsid w:val="2F76B814"/>
    <w:rsid w:val="2F81E3C2"/>
    <w:rsid w:val="2F849B22"/>
    <w:rsid w:val="2F904B83"/>
    <w:rsid w:val="2F994466"/>
    <w:rsid w:val="2FDFABDB"/>
    <w:rsid w:val="2FE4A8B3"/>
    <w:rsid w:val="2FE5814B"/>
    <w:rsid w:val="2FEE9118"/>
    <w:rsid w:val="2FFD2BD6"/>
    <w:rsid w:val="2FFE0649"/>
    <w:rsid w:val="300E0EC0"/>
    <w:rsid w:val="30234334"/>
    <w:rsid w:val="30239B60"/>
    <w:rsid w:val="302DB094"/>
    <w:rsid w:val="3041CA35"/>
    <w:rsid w:val="305D2C0B"/>
    <w:rsid w:val="306CB14F"/>
    <w:rsid w:val="307AF195"/>
    <w:rsid w:val="30936BEE"/>
    <w:rsid w:val="30960DC5"/>
    <w:rsid w:val="30A1341F"/>
    <w:rsid w:val="30A80641"/>
    <w:rsid w:val="30C14F55"/>
    <w:rsid w:val="30C8F9EC"/>
    <w:rsid w:val="30D89E2C"/>
    <w:rsid w:val="30EDDE9B"/>
    <w:rsid w:val="30F3F0FE"/>
    <w:rsid w:val="30F65984"/>
    <w:rsid w:val="310185EB"/>
    <w:rsid w:val="310AFE3B"/>
    <w:rsid w:val="311C3D16"/>
    <w:rsid w:val="31250FF2"/>
    <w:rsid w:val="3130EE64"/>
    <w:rsid w:val="31372BE4"/>
    <w:rsid w:val="3139E94C"/>
    <w:rsid w:val="313BAD9A"/>
    <w:rsid w:val="315CD3A3"/>
    <w:rsid w:val="316BCBCE"/>
    <w:rsid w:val="3179D35E"/>
    <w:rsid w:val="318EA763"/>
    <w:rsid w:val="31994A34"/>
    <w:rsid w:val="31A41969"/>
    <w:rsid w:val="31AADEFC"/>
    <w:rsid w:val="31AFA95E"/>
    <w:rsid w:val="31CE5AA4"/>
    <w:rsid w:val="31D0C993"/>
    <w:rsid w:val="31D2B418"/>
    <w:rsid w:val="31FCE55F"/>
    <w:rsid w:val="324D26B6"/>
    <w:rsid w:val="32680DA2"/>
    <w:rsid w:val="327B405B"/>
    <w:rsid w:val="3284C997"/>
    <w:rsid w:val="328DAC47"/>
    <w:rsid w:val="32920A85"/>
    <w:rsid w:val="3299F888"/>
    <w:rsid w:val="32A9297C"/>
    <w:rsid w:val="32AAEFC3"/>
    <w:rsid w:val="32B90EDB"/>
    <w:rsid w:val="32CB00EC"/>
    <w:rsid w:val="32CE130D"/>
    <w:rsid w:val="32F219E0"/>
    <w:rsid w:val="32FDF695"/>
    <w:rsid w:val="3308F784"/>
    <w:rsid w:val="332F871B"/>
    <w:rsid w:val="33404289"/>
    <w:rsid w:val="337AECF0"/>
    <w:rsid w:val="338C8A92"/>
    <w:rsid w:val="3393BABF"/>
    <w:rsid w:val="33941D6D"/>
    <w:rsid w:val="339E00F9"/>
    <w:rsid w:val="33B52113"/>
    <w:rsid w:val="33DDCF84"/>
    <w:rsid w:val="34040900"/>
    <w:rsid w:val="3405B2C0"/>
    <w:rsid w:val="34266932"/>
    <w:rsid w:val="342FFB43"/>
    <w:rsid w:val="3431C4B9"/>
    <w:rsid w:val="34405BB4"/>
    <w:rsid w:val="34479847"/>
    <w:rsid w:val="344C6ECB"/>
    <w:rsid w:val="3459E3DC"/>
    <w:rsid w:val="34626D9A"/>
    <w:rsid w:val="3464DA44"/>
    <w:rsid w:val="346585E2"/>
    <w:rsid w:val="347EC7F7"/>
    <w:rsid w:val="34800527"/>
    <w:rsid w:val="348F1DC6"/>
    <w:rsid w:val="34A50AA9"/>
    <w:rsid w:val="34C31D39"/>
    <w:rsid w:val="34C6E32C"/>
    <w:rsid w:val="34D1AED2"/>
    <w:rsid w:val="34D1E419"/>
    <w:rsid w:val="34D45A33"/>
    <w:rsid w:val="34D5947C"/>
    <w:rsid w:val="34D6463C"/>
    <w:rsid w:val="34ECB5CA"/>
    <w:rsid w:val="34F13E60"/>
    <w:rsid w:val="351F0834"/>
    <w:rsid w:val="35241704"/>
    <w:rsid w:val="3538E0DF"/>
    <w:rsid w:val="35456CBD"/>
    <w:rsid w:val="3546A38B"/>
    <w:rsid w:val="3553F2F6"/>
    <w:rsid w:val="35602A08"/>
    <w:rsid w:val="35660D39"/>
    <w:rsid w:val="356859F9"/>
    <w:rsid w:val="356E1BE3"/>
    <w:rsid w:val="3590DFCA"/>
    <w:rsid w:val="35BF4963"/>
    <w:rsid w:val="35BFA08E"/>
    <w:rsid w:val="35CBCBA4"/>
    <w:rsid w:val="35CC39CF"/>
    <w:rsid w:val="361BDF1B"/>
    <w:rsid w:val="362FAFD9"/>
    <w:rsid w:val="36370189"/>
    <w:rsid w:val="363F9829"/>
    <w:rsid w:val="3665BE07"/>
    <w:rsid w:val="3668CBC7"/>
    <w:rsid w:val="366EC958"/>
    <w:rsid w:val="3675D4BD"/>
    <w:rsid w:val="36A12984"/>
    <w:rsid w:val="36A32E56"/>
    <w:rsid w:val="36AE75AF"/>
    <w:rsid w:val="36B01987"/>
    <w:rsid w:val="36C1E0EC"/>
    <w:rsid w:val="36CB5B81"/>
    <w:rsid w:val="36E54733"/>
    <w:rsid w:val="370471C3"/>
    <w:rsid w:val="3720794A"/>
    <w:rsid w:val="373C92A1"/>
    <w:rsid w:val="37483469"/>
    <w:rsid w:val="37488BFB"/>
    <w:rsid w:val="37503FD8"/>
    <w:rsid w:val="377B4DC6"/>
    <w:rsid w:val="37812690"/>
    <w:rsid w:val="37895888"/>
    <w:rsid w:val="378AA009"/>
    <w:rsid w:val="378F9952"/>
    <w:rsid w:val="37A8E4A8"/>
    <w:rsid w:val="37AA9B09"/>
    <w:rsid w:val="37B7500B"/>
    <w:rsid w:val="37B98E43"/>
    <w:rsid w:val="37D4DC33"/>
    <w:rsid w:val="37DE9264"/>
    <w:rsid w:val="37F2175D"/>
    <w:rsid w:val="37FD3919"/>
    <w:rsid w:val="3805EC31"/>
    <w:rsid w:val="381A0D76"/>
    <w:rsid w:val="38235603"/>
    <w:rsid w:val="38242A8B"/>
    <w:rsid w:val="382C6965"/>
    <w:rsid w:val="383896D2"/>
    <w:rsid w:val="3867C69C"/>
    <w:rsid w:val="386B39A6"/>
    <w:rsid w:val="3876CB01"/>
    <w:rsid w:val="388E6CEF"/>
    <w:rsid w:val="388FAF66"/>
    <w:rsid w:val="389AF7C7"/>
    <w:rsid w:val="38A138CD"/>
    <w:rsid w:val="38A385BF"/>
    <w:rsid w:val="38A4D64C"/>
    <w:rsid w:val="38A8E3C6"/>
    <w:rsid w:val="38B7AAC8"/>
    <w:rsid w:val="38BAAFB4"/>
    <w:rsid w:val="38C1E8CB"/>
    <w:rsid w:val="38D12ABE"/>
    <w:rsid w:val="38E908C9"/>
    <w:rsid w:val="38FE75AC"/>
    <w:rsid w:val="391854DC"/>
    <w:rsid w:val="391B8856"/>
    <w:rsid w:val="39270F74"/>
    <w:rsid w:val="39294434"/>
    <w:rsid w:val="3937DDF0"/>
    <w:rsid w:val="393A431B"/>
    <w:rsid w:val="393F6DD9"/>
    <w:rsid w:val="39480C4F"/>
    <w:rsid w:val="3966082F"/>
    <w:rsid w:val="3975E517"/>
    <w:rsid w:val="3976F3F0"/>
    <w:rsid w:val="39AF6976"/>
    <w:rsid w:val="39BCB8A0"/>
    <w:rsid w:val="39BDF1A0"/>
    <w:rsid w:val="39C31B9E"/>
    <w:rsid w:val="39CA7E98"/>
    <w:rsid w:val="39D2F0A6"/>
    <w:rsid w:val="39F3A2CB"/>
    <w:rsid w:val="39FB3C84"/>
    <w:rsid w:val="39FD4EF6"/>
    <w:rsid w:val="3A0882CD"/>
    <w:rsid w:val="3A2E0E17"/>
    <w:rsid w:val="3A3EA98A"/>
    <w:rsid w:val="3A3F08BF"/>
    <w:rsid w:val="3A4707D7"/>
    <w:rsid w:val="3A51350F"/>
    <w:rsid w:val="3A58411F"/>
    <w:rsid w:val="3A5969D8"/>
    <w:rsid w:val="3A6C7E37"/>
    <w:rsid w:val="3A7A38BA"/>
    <w:rsid w:val="3A9F4369"/>
    <w:rsid w:val="3AA3D471"/>
    <w:rsid w:val="3AA748C8"/>
    <w:rsid w:val="3AB8001B"/>
    <w:rsid w:val="3ADD4C5E"/>
    <w:rsid w:val="3B061882"/>
    <w:rsid w:val="3B2EC621"/>
    <w:rsid w:val="3B3E2F5E"/>
    <w:rsid w:val="3B43C394"/>
    <w:rsid w:val="3B44C78E"/>
    <w:rsid w:val="3B49DE70"/>
    <w:rsid w:val="3B734054"/>
    <w:rsid w:val="3BD35506"/>
    <w:rsid w:val="3BD6A286"/>
    <w:rsid w:val="3BE18C28"/>
    <w:rsid w:val="3C004327"/>
    <w:rsid w:val="3C16695D"/>
    <w:rsid w:val="3C1C2851"/>
    <w:rsid w:val="3C23D4E6"/>
    <w:rsid w:val="3C3FA99E"/>
    <w:rsid w:val="3C4F5780"/>
    <w:rsid w:val="3C7A6221"/>
    <w:rsid w:val="3C930FF6"/>
    <w:rsid w:val="3CAC1562"/>
    <w:rsid w:val="3CACDACC"/>
    <w:rsid w:val="3CB652A0"/>
    <w:rsid w:val="3CB9E425"/>
    <w:rsid w:val="3CBC6189"/>
    <w:rsid w:val="3CBD4387"/>
    <w:rsid w:val="3CE76DE5"/>
    <w:rsid w:val="3CF54213"/>
    <w:rsid w:val="3CFE8FBA"/>
    <w:rsid w:val="3D0650CF"/>
    <w:rsid w:val="3D20ABB9"/>
    <w:rsid w:val="3D2DA80C"/>
    <w:rsid w:val="3D3688B7"/>
    <w:rsid w:val="3D3853B4"/>
    <w:rsid w:val="3D666EF8"/>
    <w:rsid w:val="3D6B2C06"/>
    <w:rsid w:val="3D81F350"/>
    <w:rsid w:val="3D8243CF"/>
    <w:rsid w:val="3D8381C1"/>
    <w:rsid w:val="3D95C836"/>
    <w:rsid w:val="3D9E2133"/>
    <w:rsid w:val="3DA3586B"/>
    <w:rsid w:val="3DAED205"/>
    <w:rsid w:val="3DB34EAB"/>
    <w:rsid w:val="3DB663CB"/>
    <w:rsid w:val="3DC1AEFE"/>
    <w:rsid w:val="3DCDB260"/>
    <w:rsid w:val="3DE262BA"/>
    <w:rsid w:val="3DF740B2"/>
    <w:rsid w:val="3DFD805B"/>
    <w:rsid w:val="3E0C58F1"/>
    <w:rsid w:val="3E18DA76"/>
    <w:rsid w:val="3E1FCFAD"/>
    <w:rsid w:val="3E2920FF"/>
    <w:rsid w:val="3E339CA9"/>
    <w:rsid w:val="3E39B265"/>
    <w:rsid w:val="3E485E17"/>
    <w:rsid w:val="3E48C6DD"/>
    <w:rsid w:val="3E62E5E7"/>
    <w:rsid w:val="3E7F0472"/>
    <w:rsid w:val="3E8321D6"/>
    <w:rsid w:val="3E841C23"/>
    <w:rsid w:val="3EAC4706"/>
    <w:rsid w:val="3EAF762B"/>
    <w:rsid w:val="3EC66D92"/>
    <w:rsid w:val="3ED4C503"/>
    <w:rsid w:val="3EDD88DE"/>
    <w:rsid w:val="3EE57674"/>
    <w:rsid w:val="3EFCC9F3"/>
    <w:rsid w:val="3EFEC13B"/>
    <w:rsid w:val="3F025FB9"/>
    <w:rsid w:val="3F1C55C1"/>
    <w:rsid w:val="3F2601F4"/>
    <w:rsid w:val="3F3FB673"/>
    <w:rsid w:val="3F45761F"/>
    <w:rsid w:val="3F4EE3EF"/>
    <w:rsid w:val="3F5F3070"/>
    <w:rsid w:val="3F5F6B77"/>
    <w:rsid w:val="3F67F4CD"/>
    <w:rsid w:val="3F722120"/>
    <w:rsid w:val="3F958F93"/>
    <w:rsid w:val="3FA30647"/>
    <w:rsid w:val="3FC51BF7"/>
    <w:rsid w:val="3FCFC1FA"/>
    <w:rsid w:val="3FE16548"/>
    <w:rsid w:val="3FE1742D"/>
    <w:rsid w:val="3FE5A6AC"/>
    <w:rsid w:val="3FF0B14D"/>
    <w:rsid w:val="3FF17F40"/>
    <w:rsid w:val="40074E17"/>
    <w:rsid w:val="401492E5"/>
    <w:rsid w:val="402F6C61"/>
    <w:rsid w:val="40332F51"/>
    <w:rsid w:val="4036B1B4"/>
    <w:rsid w:val="40700EA4"/>
    <w:rsid w:val="4080ED6D"/>
    <w:rsid w:val="40903189"/>
    <w:rsid w:val="409939B7"/>
    <w:rsid w:val="409C08FA"/>
    <w:rsid w:val="40B511A8"/>
    <w:rsid w:val="40CA4AF8"/>
    <w:rsid w:val="40DF7F6B"/>
    <w:rsid w:val="40E05BDC"/>
    <w:rsid w:val="40E2B4E2"/>
    <w:rsid w:val="40E7C235"/>
    <w:rsid w:val="4103D69B"/>
    <w:rsid w:val="4128CCF9"/>
    <w:rsid w:val="412F3E95"/>
    <w:rsid w:val="4183A41E"/>
    <w:rsid w:val="418EB44E"/>
    <w:rsid w:val="41943F84"/>
    <w:rsid w:val="41A38F95"/>
    <w:rsid w:val="41C4A90B"/>
    <w:rsid w:val="41E48B29"/>
    <w:rsid w:val="41E936B6"/>
    <w:rsid w:val="41EED08A"/>
    <w:rsid w:val="41EF29E0"/>
    <w:rsid w:val="42226D9C"/>
    <w:rsid w:val="4239E7D2"/>
    <w:rsid w:val="4252C652"/>
    <w:rsid w:val="42C4EC04"/>
    <w:rsid w:val="42CAE979"/>
    <w:rsid w:val="42CB29E2"/>
    <w:rsid w:val="42D79EFB"/>
    <w:rsid w:val="42D8E62C"/>
    <w:rsid w:val="42DFC6E9"/>
    <w:rsid w:val="42F79ED4"/>
    <w:rsid w:val="42FF757F"/>
    <w:rsid w:val="4304BB07"/>
    <w:rsid w:val="4311DDFD"/>
    <w:rsid w:val="43129082"/>
    <w:rsid w:val="431FC0A2"/>
    <w:rsid w:val="433060EF"/>
    <w:rsid w:val="433735CC"/>
    <w:rsid w:val="433EE0EF"/>
    <w:rsid w:val="43539C6E"/>
    <w:rsid w:val="435AA594"/>
    <w:rsid w:val="435EA427"/>
    <w:rsid w:val="436199CA"/>
    <w:rsid w:val="436993BD"/>
    <w:rsid w:val="436E2456"/>
    <w:rsid w:val="437BE253"/>
    <w:rsid w:val="43924B78"/>
    <w:rsid w:val="439B451F"/>
    <w:rsid w:val="43B37C38"/>
    <w:rsid w:val="43B3DFFE"/>
    <w:rsid w:val="43E8CC23"/>
    <w:rsid w:val="43F4C8EE"/>
    <w:rsid w:val="43F50A78"/>
    <w:rsid w:val="44024948"/>
    <w:rsid w:val="44048F87"/>
    <w:rsid w:val="441DA88A"/>
    <w:rsid w:val="445D0ED9"/>
    <w:rsid w:val="446013B4"/>
    <w:rsid w:val="448BAF0B"/>
    <w:rsid w:val="449D6721"/>
    <w:rsid w:val="44AE85B6"/>
    <w:rsid w:val="44B832AB"/>
    <w:rsid w:val="44B9B362"/>
    <w:rsid w:val="44BB5E42"/>
    <w:rsid w:val="44BBE20D"/>
    <w:rsid w:val="44BFD654"/>
    <w:rsid w:val="44C81F70"/>
    <w:rsid w:val="44D63BA3"/>
    <w:rsid w:val="44F4EE7E"/>
    <w:rsid w:val="44F5C7CA"/>
    <w:rsid w:val="44F9BDC4"/>
    <w:rsid w:val="450172B9"/>
    <w:rsid w:val="450C5BBE"/>
    <w:rsid w:val="451A2923"/>
    <w:rsid w:val="45261E53"/>
    <w:rsid w:val="453DBFFA"/>
    <w:rsid w:val="4550E989"/>
    <w:rsid w:val="45941C48"/>
    <w:rsid w:val="45AC7BEE"/>
    <w:rsid w:val="45B417E8"/>
    <w:rsid w:val="45BA3DAC"/>
    <w:rsid w:val="45BB8A5D"/>
    <w:rsid w:val="45C8CA7E"/>
    <w:rsid w:val="45DC3352"/>
    <w:rsid w:val="45EB2C4B"/>
    <w:rsid w:val="45F4C133"/>
    <w:rsid w:val="46028A52"/>
    <w:rsid w:val="46111904"/>
    <w:rsid w:val="4618E541"/>
    <w:rsid w:val="46382DA6"/>
    <w:rsid w:val="46493F65"/>
    <w:rsid w:val="465ADA7B"/>
    <w:rsid w:val="46785854"/>
    <w:rsid w:val="467DEFD0"/>
    <w:rsid w:val="469C587E"/>
    <w:rsid w:val="46C1C8E8"/>
    <w:rsid w:val="46D6CDD2"/>
    <w:rsid w:val="46E17B8D"/>
    <w:rsid w:val="46E5765D"/>
    <w:rsid w:val="4707ED47"/>
    <w:rsid w:val="4717C458"/>
    <w:rsid w:val="4730382D"/>
    <w:rsid w:val="473884B0"/>
    <w:rsid w:val="47446A15"/>
    <w:rsid w:val="474C803C"/>
    <w:rsid w:val="4755965A"/>
    <w:rsid w:val="475F46C9"/>
    <w:rsid w:val="4760672F"/>
    <w:rsid w:val="47A05C90"/>
    <w:rsid w:val="47A8245E"/>
    <w:rsid w:val="47A88A38"/>
    <w:rsid w:val="47D3BE1E"/>
    <w:rsid w:val="47EEBE1A"/>
    <w:rsid w:val="47EF5581"/>
    <w:rsid w:val="47FBAE97"/>
    <w:rsid w:val="4800EDB3"/>
    <w:rsid w:val="481B370F"/>
    <w:rsid w:val="481C90DB"/>
    <w:rsid w:val="4833210A"/>
    <w:rsid w:val="4853A397"/>
    <w:rsid w:val="48601A3D"/>
    <w:rsid w:val="48607FAD"/>
    <w:rsid w:val="486695A5"/>
    <w:rsid w:val="487F7EE2"/>
    <w:rsid w:val="48B22E70"/>
    <w:rsid w:val="48BF3155"/>
    <w:rsid w:val="48C93CA4"/>
    <w:rsid w:val="48DD9975"/>
    <w:rsid w:val="48FB3899"/>
    <w:rsid w:val="49054C9A"/>
    <w:rsid w:val="4909DDD2"/>
    <w:rsid w:val="4950C97D"/>
    <w:rsid w:val="4952111A"/>
    <w:rsid w:val="4969D06B"/>
    <w:rsid w:val="497C9E6E"/>
    <w:rsid w:val="4985885B"/>
    <w:rsid w:val="498C4C59"/>
    <w:rsid w:val="49AF9E26"/>
    <w:rsid w:val="49D6A979"/>
    <w:rsid w:val="49D80FB0"/>
    <w:rsid w:val="49ED8671"/>
    <w:rsid w:val="4A0DD5C9"/>
    <w:rsid w:val="4A1B1DA6"/>
    <w:rsid w:val="4A27E6BD"/>
    <w:rsid w:val="4A385BBA"/>
    <w:rsid w:val="4A667C5E"/>
    <w:rsid w:val="4A874DB7"/>
    <w:rsid w:val="4A96E000"/>
    <w:rsid w:val="4ABF9D98"/>
    <w:rsid w:val="4AC6DC3E"/>
    <w:rsid w:val="4ACDAE88"/>
    <w:rsid w:val="4AD49AD1"/>
    <w:rsid w:val="4AD4FF3D"/>
    <w:rsid w:val="4ADBF8EB"/>
    <w:rsid w:val="4AE244DA"/>
    <w:rsid w:val="4AE8BEF9"/>
    <w:rsid w:val="4AE927A7"/>
    <w:rsid w:val="4AEA6A4A"/>
    <w:rsid w:val="4AFEB9CE"/>
    <w:rsid w:val="4B26E073"/>
    <w:rsid w:val="4B2795AD"/>
    <w:rsid w:val="4B2C8363"/>
    <w:rsid w:val="4B41979D"/>
    <w:rsid w:val="4B461B4B"/>
    <w:rsid w:val="4B46342D"/>
    <w:rsid w:val="4B69BB32"/>
    <w:rsid w:val="4B777DAB"/>
    <w:rsid w:val="4B7A3213"/>
    <w:rsid w:val="4B7E6433"/>
    <w:rsid w:val="4B7E7B79"/>
    <w:rsid w:val="4B873DBD"/>
    <w:rsid w:val="4B8EEA30"/>
    <w:rsid w:val="4B93632B"/>
    <w:rsid w:val="4BBD7C52"/>
    <w:rsid w:val="4BD5E5B4"/>
    <w:rsid w:val="4BEDE876"/>
    <w:rsid w:val="4BF49083"/>
    <w:rsid w:val="4C152E4C"/>
    <w:rsid w:val="4C20B41D"/>
    <w:rsid w:val="4C2F4188"/>
    <w:rsid w:val="4C4AD457"/>
    <w:rsid w:val="4C68B657"/>
    <w:rsid w:val="4C6CC79D"/>
    <w:rsid w:val="4C6DAC2D"/>
    <w:rsid w:val="4C77DC0D"/>
    <w:rsid w:val="4C7C3EE6"/>
    <w:rsid w:val="4CA34269"/>
    <w:rsid w:val="4CAA1CF9"/>
    <w:rsid w:val="4CAB4FBA"/>
    <w:rsid w:val="4CB35921"/>
    <w:rsid w:val="4CB5ABA4"/>
    <w:rsid w:val="4CB65B75"/>
    <w:rsid w:val="4CC20EC3"/>
    <w:rsid w:val="4CCCC314"/>
    <w:rsid w:val="4CCED5C2"/>
    <w:rsid w:val="4CE9DB96"/>
    <w:rsid w:val="4CFDE5E6"/>
    <w:rsid w:val="4D23A5B8"/>
    <w:rsid w:val="4D407D05"/>
    <w:rsid w:val="4D422607"/>
    <w:rsid w:val="4D651E28"/>
    <w:rsid w:val="4D825169"/>
    <w:rsid w:val="4D885712"/>
    <w:rsid w:val="4D948863"/>
    <w:rsid w:val="4D998440"/>
    <w:rsid w:val="4DA00D6F"/>
    <w:rsid w:val="4DAB2871"/>
    <w:rsid w:val="4DCC3260"/>
    <w:rsid w:val="4DDB5C65"/>
    <w:rsid w:val="4DE2B8CD"/>
    <w:rsid w:val="4DFFDA59"/>
    <w:rsid w:val="4E10399A"/>
    <w:rsid w:val="4E487D92"/>
    <w:rsid w:val="4E4BA46D"/>
    <w:rsid w:val="4E55F746"/>
    <w:rsid w:val="4E87A095"/>
    <w:rsid w:val="4E88A49C"/>
    <w:rsid w:val="4E8A7D01"/>
    <w:rsid w:val="4EA2C1DE"/>
    <w:rsid w:val="4EAA1B61"/>
    <w:rsid w:val="4EABE350"/>
    <w:rsid w:val="4EB38440"/>
    <w:rsid w:val="4ECBE931"/>
    <w:rsid w:val="4ED3E4F6"/>
    <w:rsid w:val="4ED6822F"/>
    <w:rsid w:val="4ED971E2"/>
    <w:rsid w:val="4EDEF963"/>
    <w:rsid w:val="4EE97D8C"/>
    <w:rsid w:val="4EFA5F4F"/>
    <w:rsid w:val="4EFBCEB2"/>
    <w:rsid w:val="4EFFA501"/>
    <w:rsid w:val="4F0A04DD"/>
    <w:rsid w:val="4F1F10BA"/>
    <w:rsid w:val="4F1FDCD9"/>
    <w:rsid w:val="4F276769"/>
    <w:rsid w:val="4F2AE824"/>
    <w:rsid w:val="4F2BEF5D"/>
    <w:rsid w:val="4F2E8A18"/>
    <w:rsid w:val="4F3AA19E"/>
    <w:rsid w:val="4F54329E"/>
    <w:rsid w:val="4F5CC5EB"/>
    <w:rsid w:val="4F60D55A"/>
    <w:rsid w:val="4F62F413"/>
    <w:rsid w:val="4F87CA54"/>
    <w:rsid w:val="4F8B4641"/>
    <w:rsid w:val="4F8BE591"/>
    <w:rsid w:val="4FA14B92"/>
    <w:rsid w:val="4FA85BC5"/>
    <w:rsid w:val="4FA8A8F7"/>
    <w:rsid w:val="4FB185DA"/>
    <w:rsid w:val="4FBD1D09"/>
    <w:rsid w:val="4FD738A8"/>
    <w:rsid w:val="4FDD1069"/>
    <w:rsid w:val="4FF88686"/>
    <w:rsid w:val="500160A2"/>
    <w:rsid w:val="5006D5B4"/>
    <w:rsid w:val="50089113"/>
    <w:rsid w:val="501C2F28"/>
    <w:rsid w:val="5021AF60"/>
    <w:rsid w:val="5023AA57"/>
    <w:rsid w:val="50351BD5"/>
    <w:rsid w:val="503D2D5E"/>
    <w:rsid w:val="504D7131"/>
    <w:rsid w:val="505560EE"/>
    <w:rsid w:val="506828DE"/>
    <w:rsid w:val="508A6001"/>
    <w:rsid w:val="50A77FE2"/>
    <w:rsid w:val="50C3F4EF"/>
    <w:rsid w:val="50C8165C"/>
    <w:rsid w:val="50CB7C1D"/>
    <w:rsid w:val="50D8BF56"/>
    <w:rsid w:val="50E473AA"/>
    <w:rsid w:val="50EB904B"/>
    <w:rsid w:val="50EC6298"/>
    <w:rsid w:val="50EF0DCC"/>
    <w:rsid w:val="50F8645A"/>
    <w:rsid w:val="50FD6685"/>
    <w:rsid w:val="51004861"/>
    <w:rsid w:val="5110E235"/>
    <w:rsid w:val="5113F5E3"/>
    <w:rsid w:val="5115E3B7"/>
    <w:rsid w:val="511F8D54"/>
    <w:rsid w:val="5142A282"/>
    <w:rsid w:val="515A3B2D"/>
    <w:rsid w:val="515E5E18"/>
    <w:rsid w:val="51625C8E"/>
    <w:rsid w:val="51675FE2"/>
    <w:rsid w:val="5168D52C"/>
    <w:rsid w:val="51697B30"/>
    <w:rsid w:val="5173618F"/>
    <w:rsid w:val="517C0D63"/>
    <w:rsid w:val="51801939"/>
    <w:rsid w:val="51B50BB8"/>
    <w:rsid w:val="51BA3860"/>
    <w:rsid w:val="51CFBE14"/>
    <w:rsid w:val="51D536F3"/>
    <w:rsid w:val="51DD204D"/>
    <w:rsid w:val="51E61065"/>
    <w:rsid w:val="51FA24FA"/>
    <w:rsid w:val="522768F6"/>
    <w:rsid w:val="5232578D"/>
    <w:rsid w:val="524E5ACA"/>
    <w:rsid w:val="529643A1"/>
    <w:rsid w:val="52AD60B6"/>
    <w:rsid w:val="52B5D716"/>
    <w:rsid w:val="52CECD1A"/>
    <w:rsid w:val="52D78861"/>
    <w:rsid w:val="52DBAF84"/>
    <w:rsid w:val="52E8D084"/>
    <w:rsid w:val="52F437D5"/>
    <w:rsid w:val="52F60E5D"/>
    <w:rsid w:val="52FF80E2"/>
    <w:rsid w:val="5302A471"/>
    <w:rsid w:val="530FFAAA"/>
    <w:rsid w:val="5324192C"/>
    <w:rsid w:val="53282126"/>
    <w:rsid w:val="53426DA9"/>
    <w:rsid w:val="534799E0"/>
    <w:rsid w:val="535438A3"/>
    <w:rsid w:val="53760AB5"/>
    <w:rsid w:val="5383246F"/>
    <w:rsid w:val="53AA8101"/>
    <w:rsid w:val="53ACD25C"/>
    <w:rsid w:val="53C8841A"/>
    <w:rsid w:val="53CD762B"/>
    <w:rsid w:val="53D1AB39"/>
    <w:rsid w:val="53DE4EC8"/>
    <w:rsid w:val="53F48674"/>
    <w:rsid w:val="5402C4C6"/>
    <w:rsid w:val="541CE883"/>
    <w:rsid w:val="54204435"/>
    <w:rsid w:val="542FFD4B"/>
    <w:rsid w:val="5431429A"/>
    <w:rsid w:val="5436E536"/>
    <w:rsid w:val="547B3836"/>
    <w:rsid w:val="547CFBAD"/>
    <w:rsid w:val="54811E5B"/>
    <w:rsid w:val="54878787"/>
    <w:rsid w:val="5492D97B"/>
    <w:rsid w:val="54D25F72"/>
    <w:rsid w:val="54F85E64"/>
    <w:rsid w:val="54FCF388"/>
    <w:rsid w:val="54FE4598"/>
    <w:rsid w:val="55283F22"/>
    <w:rsid w:val="553472D8"/>
    <w:rsid w:val="553C6841"/>
    <w:rsid w:val="5550E0C7"/>
    <w:rsid w:val="557869B3"/>
    <w:rsid w:val="559A6064"/>
    <w:rsid w:val="55B5E8DC"/>
    <w:rsid w:val="55B7A005"/>
    <w:rsid w:val="55E1333E"/>
    <w:rsid w:val="55EAC1F9"/>
    <w:rsid w:val="562B045C"/>
    <w:rsid w:val="563E83DA"/>
    <w:rsid w:val="564181BC"/>
    <w:rsid w:val="5669B07D"/>
    <w:rsid w:val="56793F1A"/>
    <w:rsid w:val="56832165"/>
    <w:rsid w:val="568CFC8E"/>
    <w:rsid w:val="56A54F53"/>
    <w:rsid w:val="56A77926"/>
    <w:rsid w:val="56A9671C"/>
    <w:rsid w:val="56B06380"/>
    <w:rsid w:val="56BA8D92"/>
    <w:rsid w:val="56C42B22"/>
    <w:rsid w:val="56C52927"/>
    <w:rsid w:val="56F806CF"/>
    <w:rsid w:val="57017108"/>
    <w:rsid w:val="5702E018"/>
    <w:rsid w:val="570791A0"/>
    <w:rsid w:val="57233BD8"/>
    <w:rsid w:val="5727672C"/>
    <w:rsid w:val="5728ED99"/>
    <w:rsid w:val="573BCE23"/>
    <w:rsid w:val="57441713"/>
    <w:rsid w:val="5747B0C0"/>
    <w:rsid w:val="575ABDA7"/>
    <w:rsid w:val="5760FC17"/>
    <w:rsid w:val="57637E06"/>
    <w:rsid w:val="5779C7EC"/>
    <w:rsid w:val="57863E79"/>
    <w:rsid w:val="57B3F75E"/>
    <w:rsid w:val="57B41538"/>
    <w:rsid w:val="57BD1206"/>
    <w:rsid w:val="57C10EFF"/>
    <w:rsid w:val="57CEDAA3"/>
    <w:rsid w:val="57F0510A"/>
    <w:rsid w:val="58007C2A"/>
    <w:rsid w:val="58216493"/>
    <w:rsid w:val="58391368"/>
    <w:rsid w:val="5850B185"/>
    <w:rsid w:val="58566CEE"/>
    <w:rsid w:val="585D40BD"/>
    <w:rsid w:val="587087AA"/>
    <w:rsid w:val="58744318"/>
    <w:rsid w:val="588C9D78"/>
    <w:rsid w:val="58AA5BE4"/>
    <w:rsid w:val="58B34520"/>
    <w:rsid w:val="58B90061"/>
    <w:rsid w:val="58CD1EE5"/>
    <w:rsid w:val="58EE89E9"/>
    <w:rsid w:val="58F9673D"/>
    <w:rsid w:val="58FF52DA"/>
    <w:rsid w:val="590597C2"/>
    <w:rsid w:val="591030BA"/>
    <w:rsid w:val="591C8357"/>
    <w:rsid w:val="5929C617"/>
    <w:rsid w:val="592CB10D"/>
    <w:rsid w:val="594E3EE9"/>
    <w:rsid w:val="595B174D"/>
    <w:rsid w:val="595F6F02"/>
    <w:rsid w:val="596458E1"/>
    <w:rsid w:val="597E2EC8"/>
    <w:rsid w:val="598E8A63"/>
    <w:rsid w:val="59987479"/>
    <w:rsid w:val="59A57418"/>
    <w:rsid w:val="59BEB1D4"/>
    <w:rsid w:val="59E0F7D1"/>
    <w:rsid w:val="59E12FE6"/>
    <w:rsid w:val="59ED502C"/>
    <w:rsid w:val="59FCF1AF"/>
    <w:rsid w:val="59FE12B0"/>
    <w:rsid w:val="5A0BADCB"/>
    <w:rsid w:val="5A2FC31E"/>
    <w:rsid w:val="5A3AF617"/>
    <w:rsid w:val="5A5BF2B4"/>
    <w:rsid w:val="5A64E042"/>
    <w:rsid w:val="5A6E0DC5"/>
    <w:rsid w:val="5A71DDE1"/>
    <w:rsid w:val="5A8EB5FA"/>
    <w:rsid w:val="5A98390B"/>
    <w:rsid w:val="5ABE6DF7"/>
    <w:rsid w:val="5AF309E9"/>
    <w:rsid w:val="5AFAD23B"/>
    <w:rsid w:val="5B0FA854"/>
    <w:rsid w:val="5B1986A5"/>
    <w:rsid w:val="5B20916F"/>
    <w:rsid w:val="5B2290D8"/>
    <w:rsid w:val="5B28A34B"/>
    <w:rsid w:val="5B37224A"/>
    <w:rsid w:val="5B4342A7"/>
    <w:rsid w:val="5B4AB0F6"/>
    <w:rsid w:val="5B516911"/>
    <w:rsid w:val="5B5198C9"/>
    <w:rsid w:val="5B71947E"/>
    <w:rsid w:val="5B9CD929"/>
    <w:rsid w:val="5BC0C095"/>
    <w:rsid w:val="5BC91173"/>
    <w:rsid w:val="5BDC30E7"/>
    <w:rsid w:val="5BF6FE9E"/>
    <w:rsid w:val="5C1A3F4A"/>
    <w:rsid w:val="5C1EDA89"/>
    <w:rsid w:val="5C2C08A0"/>
    <w:rsid w:val="5C4FCB91"/>
    <w:rsid w:val="5C5CE233"/>
    <w:rsid w:val="5C5D26A2"/>
    <w:rsid w:val="5C629CE9"/>
    <w:rsid w:val="5C955E33"/>
    <w:rsid w:val="5C9B6E51"/>
    <w:rsid w:val="5C9BB86B"/>
    <w:rsid w:val="5CB67AAA"/>
    <w:rsid w:val="5CB81D4A"/>
    <w:rsid w:val="5CCFB064"/>
    <w:rsid w:val="5CF0CD3C"/>
    <w:rsid w:val="5CF45C80"/>
    <w:rsid w:val="5CF534BB"/>
    <w:rsid w:val="5D02A6C6"/>
    <w:rsid w:val="5D050EBD"/>
    <w:rsid w:val="5D1E8F55"/>
    <w:rsid w:val="5D1F561A"/>
    <w:rsid w:val="5D2039AD"/>
    <w:rsid w:val="5D2F1F8F"/>
    <w:rsid w:val="5D848037"/>
    <w:rsid w:val="5D848BE9"/>
    <w:rsid w:val="5D96961D"/>
    <w:rsid w:val="5D9C0D91"/>
    <w:rsid w:val="5DAD0BF4"/>
    <w:rsid w:val="5DB67F5E"/>
    <w:rsid w:val="5DCDF23D"/>
    <w:rsid w:val="5DCF556F"/>
    <w:rsid w:val="5DE9AD44"/>
    <w:rsid w:val="5DECF7C6"/>
    <w:rsid w:val="5E0F5E9C"/>
    <w:rsid w:val="5E1A9FB2"/>
    <w:rsid w:val="5E1FFA4F"/>
    <w:rsid w:val="5E20602E"/>
    <w:rsid w:val="5E27176E"/>
    <w:rsid w:val="5E35D6C8"/>
    <w:rsid w:val="5E3A2D07"/>
    <w:rsid w:val="5E4AA800"/>
    <w:rsid w:val="5E5175DB"/>
    <w:rsid w:val="5E5CA2AC"/>
    <w:rsid w:val="5E779397"/>
    <w:rsid w:val="5E77B674"/>
    <w:rsid w:val="5E7E198B"/>
    <w:rsid w:val="5E805FBA"/>
    <w:rsid w:val="5E9B94B8"/>
    <w:rsid w:val="5E9BC08E"/>
    <w:rsid w:val="5EB388A3"/>
    <w:rsid w:val="5EB8FD1C"/>
    <w:rsid w:val="5EEA0445"/>
    <w:rsid w:val="5EFAF597"/>
    <w:rsid w:val="5F0F7097"/>
    <w:rsid w:val="5F1572E2"/>
    <w:rsid w:val="5F28EA3A"/>
    <w:rsid w:val="5F3534B3"/>
    <w:rsid w:val="5F4D1BD4"/>
    <w:rsid w:val="5F5A77F9"/>
    <w:rsid w:val="5F5DEA9C"/>
    <w:rsid w:val="5F76B99D"/>
    <w:rsid w:val="5F7802E1"/>
    <w:rsid w:val="5F7DE95D"/>
    <w:rsid w:val="5F8BF5E3"/>
    <w:rsid w:val="5FA3CB08"/>
    <w:rsid w:val="5FAE78ED"/>
    <w:rsid w:val="5FDE481F"/>
    <w:rsid w:val="5FDE5A1F"/>
    <w:rsid w:val="5FEE4B6A"/>
    <w:rsid w:val="5FF030E7"/>
    <w:rsid w:val="6004394B"/>
    <w:rsid w:val="601C06C6"/>
    <w:rsid w:val="6021B37E"/>
    <w:rsid w:val="604E7AA3"/>
    <w:rsid w:val="604EE60C"/>
    <w:rsid w:val="6054D69F"/>
    <w:rsid w:val="6054E731"/>
    <w:rsid w:val="60728B54"/>
    <w:rsid w:val="6073A5B9"/>
    <w:rsid w:val="60942981"/>
    <w:rsid w:val="60C6795F"/>
    <w:rsid w:val="60DDEB39"/>
    <w:rsid w:val="60E53EDB"/>
    <w:rsid w:val="60EB0CDD"/>
    <w:rsid w:val="60F061A2"/>
    <w:rsid w:val="61182F26"/>
    <w:rsid w:val="61237494"/>
    <w:rsid w:val="612EBDD9"/>
    <w:rsid w:val="61322943"/>
    <w:rsid w:val="6135060C"/>
    <w:rsid w:val="61365BB4"/>
    <w:rsid w:val="6152181C"/>
    <w:rsid w:val="615FD948"/>
    <w:rsid w:val="6166902D"/>
    <w:rsid w:val="616882BC"/>
    <w:rsid w:val="617F657D"/>
    <w:rsid w:val="618452DF"/>
    <w:rsid w:val="61894F78"/>
    <w:rsid w:val="618E129D"/>
    <w:rsid w:val="6194CE2D"/>
    <w:rsid w:val="619DA399"/>
    <w:rsid w:val="619FC530"/>
    <w:rsid w:val="61AFFA1B"/>
    <w:rsid w:val="61B27DA7"/>
    <w:rsid w:val="61BDFDF0"/>
    <w:rsid w:val="61C3F21C"/>
    <w:rsid w:val="61C95580"/>
    <w:rsid w:val="61D70E77"/>
    <w:rsid w:val="61E05CE0"/>
    <w:rsid w:val="61F33B0A"/>
    <w:rsid w:val="61F41C29"/>
    <w:rsid w:val="62040082"/>
    <w:rsid w:val="620684C4"/>
    <w:rsid w:val="620F4CA7"/>
    <w:rsid w:val="62116B2B"/>
    <w:rsid w:val="622190B8"/>
    <w:rsid w:val="6249135B"/>
    <w:rsid w:val="6253DE7E"/>
    <w:rsid w:val="626781B4"/>
    <w:rsid w:val="62B1E0D0"/>
    <w:rsid w:val="62BE943A"/>
    <w:rsid w:val="62C5BC10"/>
    <w:rsid w:val="62D58AF1"/>
    <w:rsid w:val="62DB7891"/>
    <w:rsid w:val="62EFD3DF"/>
    <w:rsid w:val="62EFE84D"/>
    <w:rsid w:val="62F1A7CB"/>
    <w:rsid w:val="631439A3"/>
    <w:rsid w:val="6320B607"/>
    <w:rsid w:val="6322D116"/>
    <w:rsid w:val="6324273F"/>
    <w:rsid w:val="6342FA1B"/>
    <w:rsid w:val="6364C271"/>
    <w:rsid w:val="63788356"/>
    <w:rsid w:val="638A5D7D"/>
    <w:rsid w:val="638EE8AA"/>
    <w:rsid w:val="639A3494"/>
    <w:rsid w:val="63B0C09A"/>
    <w:rsid w:val="63BDE5AF"/>
    <w:rsid w:val="63C2BB32"/>
    <w:rsid w:val="63DFA7CE"/>
    <w:rsid w:val="63E13BED"/>
    <w:rsid w:val="6401FBBC"/>
    <w:rsid w:val="64062721"/>
    <w:rsid w:val="641B9294"/>
    <w:rsid w:val="641C81E3"/>
    <w:rsid w:val="64207113"/>
    <w:rsid w:val="644F75A0"/>
    <w:rsid w:val="6465268A"/>
    <w:rsid w:val="646F798F"/>
    <w:rsid w:val="64A07033"/>
    <w:rsid w:val="64A30D52"/>
    <w:rsid w:val="64D14070"/>
    <w:rsid w:val="64E52C3A"/>
    <w:rsid w:val="65128A4C"/>
    <w:rsid w:val="6534EC61"/>
    <w:rsid w:val="653842DD"/>
    <w:rsid w:val="6553242B"/>
    <w:rsid w:val="6558CC02"/>
    <w:rsid w:val="65599E67"/>
    <w:rsid w:val="6560DAC4"/>
    <w:rsid w:val="65761539"/>
    <w:rsid w:val="657C248A"/>
    <w:rsid w:val="6587B54F"/>
    <w:rsid w:val="65A0F39A"/>
    <w:rsid w:val="65A2A98A"/>
    <w:rsid w:val="65A335D1"/>
    <w:rsid w:val="65A4B3F3"/>
    <w:rsid w:val="65B6C615"/>
    <w:rsid w:val="65B79AC2"/>
    <w:rsid w:val="65BB47D1"/>
    <w:rsid w:val="65C45500"/>
    <w:rsid w:val="65C57659"/>
    <w:rsid w:val="65DFA4C7"/>
    <w:rsid w:val="65E24841"/>
    <w:rsid w:val="65EC1702"/>
    <w:rsid w:val="662DF929"/>
    <w:rsid w:val="6652BA87"/>
    <w:rsid w:val="665C2A71"/>
    <w:rsid w:val="6661C587"/>
    <w:rsid w:val="666E653D"/>
    <w:rsid w:val="666ED444"/>
    <w:rsid w:val="6677B9CF"/>
    <w:rsid w:val="667874DB"/>
    <w:rsid w:val="667C1BEF"/>
    <w:rsid w:val="667D2763"/>
    <w:rsid w:val="667FC105"/>
    <w:rsid w:val="6686522F"/>
    <w:rsid w:val="668CACCD"/>
    <w:rsid w:val="66A7EB9D"/>
    <w:rsid w:val="66B10038"/>
    <w:rsid w:val="66B402F0"/>
    <w:rsid w:val="66C9BEA6"/>
    <w:rsid w:val="66D516E5"/>
    <w:rsid w:val="66FB158A"/>
    <w:rsid w:val="67322212"/>
    <w:rsid w:val="675B41E7"/>
    <w:rsid w:val="6764EBAE"/>
    <w:rsid w:val="67692135"/>
    <w:rsid w:val="679310D3"/>
    <w:rsid w:val="67B63F51"/>
    <w:rsid w:val="67B83B40"/>
    <w:rsid w:val="67C2042C"/>
    <w:rsid w:val="67CEC8B2"/>
    <w:rsid w:val="67EEE797"/>
    <w:rsid w:val="67F0F261"/>
    <w:rsid w:val="67FE3551"/>
    <w:rsid w:val="67FEE58B"/>
    <w:rsid w:val="680076F0"/>
    <w:rsid w:val="680FD4AC"/>
    <w:rsid w:val="681798AB"/>
    <w:rsid w:val="6821E35C"/>
    <w:rsid w:val="6831EADF"/>
    <w:rsid w:val="6836229D"/>
    <w:rsid w:val="68450623"/>
    <w:rsid w:val="684E83E6"/>
    <w:rsid w:val="685C8A14"/>
    <w:rsid w:val="68689E28"/>
    <w:rsid w:val="6887616E"/>
    <w:rsid w:val="688D56FE"/>
    <w:rsid w:val="689D5FE9"/>
    <w:rsid w:val="68AAF39B"/>
    <w:rsid w:val="68AD7F9B"/>
    <w:rsid w:val="68AE7F20"/>
    <w:rsid w:val="68B7FF6A"/>
    <w:rsid w:val="68C75C0B"/>
    <w:rsid w:val="68C809C2"/>
    <w:rsid w:val="68CB9068"/>
    <w:rsid w:val="68E69888"/>
    <w:rsid w:val="68EBAE0B"/>
    <w:rsid w:val="68F6766D"/>
    <w:rsid w:val="69094698"/>
    <w:rsid w:val="6921DDF8"/>
    <w:rsid w:val="692D3276"/>
    <w:rsid w:val="69444273"/>
    <w:rsid w:val="6944BC44"/>
    <w:rsid w:val="6949A0D4"/>
    <w:rsid w:val="6979686F"/>
    <w:rsid w:val="697FEE71"/>
    <w:rsid w:val="69896C26"/>
    <w:rsid w:val="699BD0BB"/>
    <w:rsid w:val="69AC3F2A"/>
    <w:rsid w:val="69C6EA02"/>
    <w:rsid w:val="69DD1C1E"/>
    <w:rsid w:val="69DDD5E6"/>
    <w:rsid w:val="69E0D2F1"/>
    <w:rsid w:val="69E8865C"/>
    <w:rsid w:val="69F9744F"/>
    <w:rsid w:val="6A0427C1"/>
    <w:rsid w:val="6A04F9D8"/>
    <w:rsid w:val="6A0AE585"/>
    <w:rsid w:val="6A135E3D"/>
    <w:rsid w:val="6A1452D5"/>
    <w:rsid w:val="6A22307F"/>
    <w:rsid w:val="6A2D7409"/>
    <w:rsid w:val="6A2FABD3"/>
    <w:rsid w:val="6A3A6EE1"/>
    <w:rsid w:val="6A3FADE1"/>
    <w:rsid w:val="6A487843"/>
    <w:rsid w:val="6A5943CC"/>
    <w:rsid w:val="6A63ED4E"/>
    <w:rsid w:val="6A6B7D3E"/>
    <w:rsid w:val="6A6D8C9E"/>
    <w:rsid w:val="6A735DCF"/>
    <w:rsid w:val="6A739E12"/>
    <w:rsid w:val="6A7825D1"/>
    <w:rsid w:val="6A7E7225"/>
    <w:rsid w:val="6A7EB3FE"/>
    <w:rsid w:val="6A83E9D0"/>
    <w:rsid w:val="6ACF0C0E"/>
    <w:rsid w:val="6AD0B09E"/>
    <w:rsid w:val="6AD42F4D"/>
    <w:rsid w:val="6AED3DAC"/>
    <w:rsid w:val="6AED6CEE"/>
    <w:rsid w:val="6B098554"/>
    <w:rsid w:val="6B15C556"/>
    <w:rsid w:val="6B42D9FB"/>
    <w:rsid w:val="6B458A80"/>
    <w:rsid w:val="6B5A504C"/>
    <w:rsid w:val="6B5ED440"/>
    <w:rsid w:val="6B77EAF8"/>
    <w:rsid w:val="6B78E2D0"/>
    <w:rsid w:val="6B87981D"/>
    <w:rsid w:val="6B981E3C"/>
    <w:rsid w:val="6BA6B933"/>
    <w:rsid w:val="6BCCAAA1"/>
    <w:rsid w:val="6BE8D5DA"/>
    <w:rsid w:val="6BF568B1"/>
    <w:rsid w:val="6C13BECE"/>
    <w:rsid w:val="6C1624DA"/>
    <w:rsid w:val="6C32F6C0"/>
    <w:rsid w:val="6C54A939"/>
    <w:rsid w:val="6C67F3A2"/>
    <w:rsid w:val="6C7D268E"/>
    <w:rsid w:val="6C961770"/>
    <w:rsid w:val="6C9D3501"/>
    <w:rsid w:val="6CB57C87"/>
    <w:rsid w:val="6CC45473"/>
    <w:rsid w:val="6CC48BC6"/>
    <w:rsid w:val="6CC78F35"/>
    <w:rsid w:val="6D05FDA8"/>
    <w:rsid w:val="6D09A33A"/>
    <w:rsid w:val="6D1BCA08"/>
    <w:rsid w:val="6D23C5E4"/>
    <w:rsid w:val="6D2F0E3E"/>
    <w:rsid w:val="6D3B3B19"/>
    <w:rsid w:val="6D3CFF9C"/>
    <w:rsid w:val="6D49701C"/>
    <w:rsid w:val="6D5429F1"/>
    <w:rsid w:val="6D7CAD57"/>
    <w:rsid w:val="6D96539D"/>
    <w:rsid w:val="6D99EEDB"/>
    <w:rsid w:val="6D9A6CA4"/>
    <w:rsid w:val="6DA814CE"/>
    <w:rsid w:val="6DB6BEBE"/>
    <w:rsid w:val="6DC42135"/>
    <w:rsid w:val="6DDB2E11"/>
    <w:rsid w:val="6DE75AF9"/>
    <w:rsid w:val="6DEEB6CA"/>
    <w:rsid w:val="6E094136"/>
    <w:rsid w:val="6E0D909A"/>
    <w:rsid w:val="6E269860"/>
    <w:rsid w:val="6E286277"/>
    <w:rsid w:val="6E4134C7"/>
    <w:rsid w:val="6E5A1156"/>
    <w:rsid w:val="6E61B048"/>
    <w:rsid w:val="6E878F22"/>
    <w:rsid w:val="6E8F6D78"/>
    <w:rsid w:val="6E9173EB"/>
    <w:rsid w:val="6EA44B35"/>
    <w:rsid w:val="6EAA38CC"/>
    <w:rsid w:val="6EB0F7C1"/>
    <w:rsid w:val="6EBF0BBB"/>
    <w:rsid w:val="6EC04856"/>
    <w:rsid w:val="6EC836A4"/>
    <w:rsid w:val="6EE43D0F"/>
    <w:rsid w:val="6EE4DB67"/>
    <w:rsid w:val="6EF68C97"/>
    <w:rsid w:val="6F03741A"/>
    <w:rsid w:val="6F049C19"/>
    <w:rsid w:val="6F456032"/>
    <w:rsid w:val="6F60D15A"/>
    <w:rsid w:val="6F67EA62"/>
    <w:rsid w:val="6F6C8F18"/>
    <w:rsid w:val="6F7B8F59"/>
    <w:rsid w:val="6F817D29"/>
    <w:rsid w:val="6F9540BF"/>
    <w:rsid w:val="6F96C352"/>
    <w:rsid w:val="6FBAD2BE"/>
    <w:rsid w:val="6FDDE8F9"/>
    <w:rsid w:val="703A6DC7"/>
    <w:rsid w:val="70550B05"/>
    <w:rsid w:val="7056A139"/>
    <w:rsid w:val="706224FF"/>
    <w:rsid w:val="70A981F4"/>
    <w:rsid w:val="70B07C4C"/>
    <w:rsid w:val="70DD6303"/>
    <w:rsid w:val="70E08220"/>
    <w:rsid w:val="70F29907"/>
    <w:rsid w:val="7100A728"/>
    <w:rsid w:val="71182CE5"/>
    <w:rsid w:val="713408B8"/>
    <w:rsid w:val="7139502F"/>
    <w:rsid w:val="713D2910"/>
    <w:rsid w:val="71636E01"/>
    <w:rsid w:val="716960B6"/>
    <w:rsid w:val="716B26C2"/>
    <w:rsid w:val="7172172E"/>
    <w:rsid w:val="71B48BE7"/>
    <w:rsid w:val="71B800EC"/>
    <w:rsid w:val="71B9CD8A"/>
    <w:rsid w:val="71C473F9"/>
    <w:rsid w:val="71D02AE7"/>
    <w:rsid w:val="71D5804E"/>
    <w:rsid w:val="71E22621"/>
    <w:rsid w:val="71EFA6BC"/>
    <w:rsid w:val="71F03E39"/>
    <w:rsid w:val="71FA4C4D"/>
    <w:rsid w:val="71FE7F13"/>
    <w:rsid w:val="72023CF2"/>
    <w:rsid w:val="720B33DD"/>
    <w:rsid w:val="720FD06E"/>
    <w:rsid w:val="72218F72"/>
    <w:rsid w:val="72315578"/>
    <w:rsid w:val="7237283E"/>
    <w:rsid w:val="72380778"/>
    <w:rsid w:val="725297EC"/>
    <w:rsid w:val="7257D7A2"/>
    <w:rsid w:val="72771097"/>
    <w:rsid w:val="7279DF3A"/>
    <w:rsid w:val="727CDA3C"/>
    <w:rsid w:val="728032CE"/>
    <w:rsid w:val="7286CEE4"/>
    <w:rsid w:val="72A395DF"/>
    <w:rsid w:val="731B053B"/>
    <w:rsid w:val="732D2AB0"/>
    <w:rsid w:val="733A112B"/>
    <w:rsid w:val="733CC88C"/>
    <w:rsid w:val="733E8752"/>
    <w:rsid w:val="735C4D10"/>
    <w:rsid w:val="7365A254"/>
    <w:rsid w:val="73696DF5"/>
    <w:rsid w:val="7373FB82"/>
    <w:rsid w:val="737F48ED"/>
    <w:rsid w:val="738296C7"/>
    <w:rsid w:val="7383BB6F"/>
    <w:rsid w:val="7385DB05"/>
    <w:rsid w:val="7385FCE1"/>
    <w:rsid w:val="73AF48E1"/>
    <w:rsid w:val="73BAE441"/>
    <w:rsid w:val="73D0A77B"/>
    <w:rsid w:val="73D3BB79"/>
    <w:rsid w:val="73DB1D59"/>
    <w:rsid w:val="73DB92D4"/>
    <w:rsid w:val="73E5690A"/>
    <w:rsid w:val="73EB02B2"/>
    <w:rsid w:val="740A3D0A"/>
    <w:rsid w:val="7436802E"/>
    <w:rsid w:val="744300EE"/>
    <w:rsid w:val="74433CB6"/>
    <w:rsid w:val="7478978E"/>
    <w:rsid w:val="749366B6"/>
    <w:rsid w:val="74A1982D"/>
    <w:rsid w:val="74AAB1A5"/>
    <w:rsid w:val="74ACAFEF"/>
    <w:rsid w:val="74E7B5BF"/>
    <w:rsid w:val="74EB1317"/>
    <w:rsid w:val="7515E435"/>
    <w:rsid w:val="751BBEB1"/>
    <w:rsid w:val="751CFC07"/>
    <w:rsid w:val="752126BD"/>
    <w:rsid w:val="75550C85"/>
    <w:rsid w:val="75768E76"/>
    <w:rsid w:val="75781D00"/>
    <w:rsid w:val="7584BE8F"/>
    <w:rsid w:val="7585A19D"/>
    <w:rsid w:val="759066CF"/>
    <w:rsid w:val="759070CB"/>
    <w:rsid w:val="75A0708C"/>
    <w:rsid w:val="75A903D6"/>
    <w:rsid w:val="75C2ECF4"/>
    <w:rsid w:val="75C3E5FB"/>
    <w:rsid w:val="75CD0CDD"/>
    <w:rsid w:val="75D4AA95"/>
    <w:rsid w:val="75DC7E4A"/>
    <w:rsid w:val="75E99D93"/>
    <w:rsid w:val="7600267D"/>
    <w:rsid w:val="7612B7EA"/>
    <w:rsid w:val="762C85E0"/>
    <w:rsid w:val="763B511B"/>
    <w:rsid w:val="7656F59F"/>
    <w:rsid w:val="76582F81"/>
    <w:rsid w:val="765D475F"/>
    <w:rsid w:val="766909FE"/>
    <w:rsid w:val="76745E4E"/>
    <w:rsid w:val="768357FE"/>
    <w:rsid w:val="76A32078"/>
    <w:rsid w:val="76A5D21C"/>
    <w:rsid w:val="76B91275"/>
    <w:rsid w:val="76BA3A90"/>
    <w:rsid w:val="76DE91DC"/>
    <w:rsid w:val="7701E536"/>
    <w:rsid w:val="7706C9FD"/>
    <w:rsid w:val="7707AFA3"/>
    <w:rsid w:val="7715A30E"/>
    <w:rsid w:val="77205473"/>
    <w:rsid w:val="77398AA8"/>
    <w:rsid w:val="773FA81B"/>
    <w:rsid w:val="774159E0"/>
    <w:rsid w:val="774F615E"/>
    <w:rsid w:val="77518178"/>
    <w:rsid w:val="77518655"/>
    <w:rsid w:val="775A38EE"/>
    <w:rsid w:val="776762F6"/>
    <w:rsid w:val="77AE4ED7"/>
    <w:rsid w:val="77B0590B"/>
    <w:rsid w:val="77B3C37D"/>
    <w:rsid w:val="77D986C0"/>
    <w:rsid w:val="77EC9725"/>
    <w:rsid w:val="77FEEC53"/>
    <w:rsid w:val="78014075"/>
    <w:rsid w:val="78018A68"/>
    <w:rsid w:val="780E82DC"/>
    <w:rsid w:val="780FDA64"/>
    <w:rsid w:val="7816A82F"/>
    <w:rsid w:val="781931C1"/>
    <w:rsid w:val="781DCA4A"/>
    <w:rsid w:val="78298F67"/>
    <w:rsid w:val="78318125"/>
    <w:rsid w:val="7836691B"/>
    <w:rsid w:val="784CD3B4"/>
    <w:rsid w:val="7858E358"/>
    <w:rsid w:val="786BF832"/>
    <w:rsid w:val="787CE789"/>
    <w:rsid w:val="7889C57B"/>
    <w:rsid w:val="7893FEC3"/>
    <w:rsid w:val="789A4008"/>
    <w:rsid w:val="789DE8FD"/>
    <w:rsid w:val="78B6F297"/>
    <w:rsid w:val="78BF5061"/>
    <w:rsid w:val="78D4A7A7"/>
    <w:rsid w:val="78E29FD0"/>
    <w:rsid w:val="78FFBAB0"/>
    <w:rsid w:val="79193313"/>
    <w:rsid w:val="791A01B5"/>
    <w:rsid w:val="791B066D"/>
    <w:rsid w:val="7941218D"/>
    <w:rsid w:val="794BBE87"/>
    <w:rsid w:val="797D4DDF"/>
    <w:rsid w:val="798EF04D"/>
    <w:rsid w:val="798F0908"/>
    <w:rsid w:val="79957C4D"/>
    <w:rsid w:val="7999729B"/>
    <w:rsid w:val="79A7B424"/>
    <w:rsid w:val="79C0E9B1"/>
    <w:rsid w:val="79C6EB4C"/>
    <w:rsid w:val="79E3E0ED"/>
    <w:rsid w:val="79F31F89"/>
    <w:rsid w:val="79F85E36"/>
    <w:rsid w:val="7A00A157"/>
    <w:rsid w:val="7A08F89E"/>
    <w:rsid w:val="7A0C249E"/>
    <w:rsid w:val="7A0F0274"/>
    <w:rsid w:val="7A544168"/>
    <w:rsid w:val="7A987EC1"/>
    <w:rsid w:val="7A99C56E"/>
    <w:rsid w:val="7ABECA02"/>
    <w:rsid w:val="7AC2C094"/>
    <w:rsid w:val="7AC53290"/>
    <w:rsid w:val="7ACF9428"/>
    <w:rsid w:val="7AD8A9CA"/>
    <w:rsid w:val="7AF3C5E6"/>
    <w:rsid w:val="7B0661D4"/>
    <w:rsid w:val="7B08FEE4"/>
    <w:rsid w:val="7B230FFB"/>
    <w:rsid w:val="7B299CBF"/>
    <w:rsid w:val="7B2CD64C"/>
    <w:rsid w:val="7B2FC91D"/>
    <w:rsid w:val="7B3F1CAA"/>
    <w:rsid w:val="7B4951A8"/>
    <w:rsid w:val="7B5D3C9B"/>
    <w:rsid w:val="7B6C4AA5"/>
    <w:rsid w:val="7B716033"/>
    <w:rsid w:val="7B749372"/>
    <w:rsid w:val="7B835B23"/>
    <w:rsid w:val="7B9580F3"/>
    <w:rsid w:val="7B95A2CC"/>
    <w:rsid w:val="7B9B6C68"/>
    <w:rsid w:val="7BA857AD"/>
    <w:rsid w:val="7BB56EBD"/>
    <w:rsid w:val="7BB5C153"/>
    <w:rsid w:val="7C0E9683"/>
    <w:rsid w:val="7C1045A5"/>
    <w:rsid w:val="7C18FA77"/>
    <w:rsid w:val="7C18FE05"/>
    <w:rsid w:val="7C2D5454"/>
    <w:rsid w:val="7C6C0C75"/>
    <w:rsid w:val="7C8B7242"/>
    <w:rsid w:val="7C9EB3A8"/>
    <w:rsid w:val="7CAAE4D0"/>
    <w:rsid w:val="7CB39396"/>
    <w:rsid w:val="7CEBB769"/>
    <w:rsid w:val="7D021778"/>
    <w:rsid w:val="7D05B777"/>
    <w:rsid w:val="7D097053"/>
    <w:rsid w:val="7D276756"/>
    <w:rsid w:val="7D436EA8"/>
    <w:rsid w:val="7D6C8BE4"/>
    <w:rsid w:val="7D72150C"/>
    <w:rsid w:val="7D73FD7E"/>
    <w:rsid w:val="7D9A74BE"/>
    <w:rsid w:val="7D9AF798"/>
    <w:rsid w:val="7D9FF7C6"/>
    <w:rsid w:val="7DA17775"/>
    <w:rsid w:val="7DAA66E4"/>
    <w:rsid w:val="7DC0C571"/>
    <w:rsid w:val="7DC64DAE"/>
    <w:rsid w:val="7DDD4841"/>
    <w:rsid w:val="7DDDB239"/>
    <w:rsid w:val="7DDEDEF2"/>
    <w:rsid w:val="7DE4A122"/>
    <w:rsid w:val="7E3649DF"/>
    <w:rsid w:val="7E408825"/>
    <w:rsid w:val="7E4ACFDE"/>
    <w:rsid w:val="7E509F18"/>
    <w:rsid w:val="7E50BF02"/>
    <w:rsid w:val="7E5E7670"/>
    <w:rsid w:val="7E67C2D0"/>
    <w:rsid w:val="7E79E7B9"/>
    <w:rsid w:val="7E942705"/>
    <w:rsid w:val="7EA8EE00"/>
    <w:rsid w:val="7EAB0B7C"/>
    <w:rsid w:val="7ED88B77"/>
    <w:rsid w:val="7EE0E2F6"/>
    <w:rsid w:val="7EE28AEB"/>
    <w:rsid w:val="7EE540D4"/>
    <w:rsid w:val="7EF3ACAC"/>
    <w:rsid w:val="7F012CDA"/>
    <w:rsid w:val="7F222B8C"/>
    <w:rsid w:val="7F4B4D95"/>
    <w:rsid w:val="7F4DEF7F"/>
    <w:rsid w:val="7F5A5E87"/>
    <w:rsid w:val="7F619D49"/>
    <w:rsid w:val="7F674D46"/>
    <w:rsid w:val="7F82864F"/>
    <w:rsid w:val="7FA0E897"/>
    <w:rsid w:val="7FD302A7"/>
    <w:rsid w:val="7FEED3F5"/>
    <w:rsid w:val="7FF0875B"/>
    <w:rsid w:val="7FFA5E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C52EB8"/>
  <w15:chartTrackingRefBased/>
  <w15:docId w15:val="{00A82955-EC86-4AAF-A031-B422D91E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2948"/>
    <w:pPr>
      <w:spacing w:before="120" w:after="120" w:line="276" w:lineRule="auto"/>
    </w:pPr>
    <w:rPr>
      <w:rFonts w:ascii="Arial" w:eastAsiaTheme="minorEastAsia" w:hAnsi="Arial" w:cs="Times New Roman"/>
      <w:color w:val="000000" w:themeColor="text1"/>
      <w:szCs w:val="24"/>
    </w:rPr>
  </w:style>
  <w:style w:type="paragraph" w:styleId="Heading1">
    <w:name w:val="heading 1"/>
    <w:next w:val="Normal"/>
    <w:link w:val="Heading1Char"/>
    <w:qFormat/>
    <w:rsid w:val="0059348C"/>
    <w:pPr>
      <w:keepNext/>
      <w:numPr>
        <w:numId w:val="48"/>
      </w:numPr>
      <w:spacing w:before="240" w:after="60"/>
      <w:outlineLvl w:val="0"/>
    </w:pPr>
    <w:rPr>
      <w:rFonts w:ascii="Arial" w:eastAsia="Arial" w:hAnsi="Arial" w:cs="Arial"/>
      <w:b/>
      <w:bCs/>
      <w:color w:val="3F4A75"/>
      <w:kern w:val="28"/>
      <w:sz w:val="44"/>
      <w:szCs w:val="36"/>
    </w:rPr>
  </w:style>
  <w:style w:type="paragraph" w:styleId="Heading2">
    <w:name w:val="heading 2"/>
    <w:next w:val="Normal"/>
    <w:link w:val="Heading2Char"/>
    <w:qFormat/>
    <w:rsid w:val="005313E1"/>
    <w:pPr>
      <w:keepNext/>
      <w:numPr>
        <w:ilvl w:val="1"/>
        <w:numId w:val="48"/>
      </w:numPr>
      <w:spacing w:before="480" w:after="120" w:line="276" w:lineRule="auto"/>
      <w:outlineLvl w:val="1"/>
    </w:pPr>
    <w:rPr>
      <w:rFonts w:ascii="Arial" w:eastAsia="SimHei" w:hAnsi="Arial" w:cs="Arial"/>
      <w:b/>
      <w:bCs/>
      <w:iCs/>
      <w:color w:val="358189"/>
      <w:sz w:val="36"/>
      <w:szCs w:val="28"/>
    </w:rPr>
  </w:style>
  <w:style w:type="paragraph" w:styleId="Heading3">
    <w:name w:val="heading 3"/>
    <w:next w:val="Normal"/>
    <w:link w:val="Heading3Char"/>
    <w:qFormat/>
    <w:rsid w:val="003E1DE9"/>
    <w:pPr>
      <w:keepNext/>
      <w:numPr>
        <w:ilvl w:val="2"/>
        <w:numId w:val="48"/>
      </w:numPr>
      <w:spacing w:before="180" w:after="60"/>
      <w:outlineLvl w:val="2"/>
    </w:pPr>
    <w:rPr>
      <w:rFonts w:ascii="Arial" w:eastAsia="Times New Roman" w:hAnsi="Arial" w:cs="Arial"/>
      <w:b/>
      <w:bCs/>
      <w:color w:val="358189"/>
      <w:sz w:val="32"/>
      <w:szCs w:val="26"/>
    </w:rPr>
  </w:style>
  <w:style w:type="paragraph" w:styleId="Heading4">
    <w:name w:val="heading 4"/>
    <w:next w:val="Normal"/>
    <w:link w:val="Heading4Char"/>
    <w:qFormat/>
    <w:rsid w:val="003E1DE9"/>
    <w:pPr>
      <w:keepNext/>
      <w:numPr>
        <w:ilvl w:val="3"/>
        <w:numId w:val="48"/>
      </w:numPr>
      <w:spacing w:before="240" w:after="60"/>
      <w:outlineLvl w:val="3"/>
    </w:pPr>
    <w:rPr>
      <w:rFonts w:ascii="Arial" w:eastAsia="Times New Roman" w:hAnsi="Arial" w:cs="Times New Roman"/>
      <w:b/>
      <w:bCs/>
      <w:i/>
      <w:color w:val="00B3C3" w:themeColor="accent2"/>
      <w:sz w:val="28"/>
      <w:szCs w:val="28"/>
    </w:rPr>
  </w:style>
  <w:style w:type="paragraph" w:styleId="Heading5">
    <w:name w:val="heading 5"/>
    <w:next w:val="Normal"/>
    <w:link w:val="Heading5Char"/>
    <w:rsid w:val="003E1DE9"/>
    <w:pPr>
      <w:keepNext/>
      <w:numPr>
        <w:ilvl w:val="4"/>
        <w:numId w:val="48"/>
      </w:numPr>
      <w:spacing w:before="240" w:after="60"/>
      <w:outlineLvl w:val="4"/>
    </w:pPr>
    <w:rPr>
      <w:rFonts w:ascii="Arial" w:eastAsia="Times New Roman" w:hAnsi="Arial" w:cs="Times New Roman"/>
      <w:b/>
      <w:bCs/>
      <w:iCs/>
      <w:color w:val="00B3C3" w:themeColor="accent2"/>
      <w:sz w:val="24"/>
      <w:szCs w:val="26"/>
    </w:rPr>
  </w:style>
  <w:style w:type="paragraph" w:styleId="Heading6">
    <w:name w:val="heading 6"/>
    <w:next w:val="Normal"/>
    <w:link w:val="Heading6Char"/>
    <w:rsid w:val="003E1DE9"/>
    <w:pPr>
      <w:keepNext/>
      <w:numPr>
        <w:ilvl w:val="5"/>
        <w:numId w:val="48"/>
      </w:numPr>
      <w:spacing w:before="240" w:after="60"/>
      <w:outlineLvl w:val="5"/>
    </w:pPr>
    <w:rPr>
      <w:rFonts w:ascii="Arial" w:eastAsia="Times New Roman" w:hAnsi="Arial" w:cs="Times New Roman"/>
      <w:b/>
      <w:bCs/>
    </w:rPr>
  </w:style>
  <w:style w:type="paragraph" w:styleId="Heading7">
    <w:name w:val="heading 7"/>
    <w:next w:val="Normal"/>
    <w:link w:val="Heading7Char"/>
    <w:semiHidden/>
    <w:unhideWhenUsed/>
    <w:rsid w:val="003E1DE9"/>
    <w:pPr>
      <w:keepNext/>
      <w:keepLines/>
      <w:numPr>
        <w:ilvl w:val="6"/>
        <w:numId w:val="48"/>
      </w:numPr>
      <w:spacing w:before="40"/>
      <w:outlineLvl w:val="6"/>
    </w:pPr>
    <w:rPr>
      <w:rFonts w:ascii="Arial" w:eastAsiaTheme="majorEastAsia" w:hAnsi="Arial" w:cstheme="majorBidi"/>
      <w:b/>
      <w:i/>
      <w:iCs/>
      <w:color w:val="002547" w:themeColor="accent1" w:themeShade="7F"/>
      <w:szCs w:val="24"/>
    </w:rPr>
  </w:style>
  <w:style w:type="paragraph" w:styleId="Heading8">
    <w:name w:val="heading 8"/>
    <w:basedOn w:val="Normal"/>
    <w:next w:val="Normal"/>
    <w:link w:val="Heading8Char"/>
    <w:uiPriority w:val="9"/>
    <w:semiHidden/>
    <w:unhideWhenUsed/>
    <w:qFormat/>
    <w:rsid w:val="00834CC5"/>
    <w:pPr>
      <w:keepNext/>
      <w:keepLines/>
      <w:numPr>
        <w:ilvl w:val="7"/>
        <w:numId w:val="4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4CC5"/>
    <w:pPr>
      <w:keepNext/>
      <w:keepLines/>
      <w:numPr>
        <w:ilvl w:val="8"/>
        <w:numId w:val="4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3E1DE9"/>
    <w:pPr>
      <w:ind w:left="720"/>
      <w:contextualSpacing/>
    </w:pPr>
  </w:style>
  <w:style w:type="character" w:customStyle="1" w:styleId="Heading2Char">
    <w:name w:val="Heading 2 Char"/>
    <w:basedOn w:val="DefaultParagraphFont"/>
    <w:link w:val="Heading2"/>
    <w:rsid w:val="005313E1"/>
    <w:rPr>
      <w:rFonts w:ascii="Arial" w:eastAsia="SimHei" w:hAnsi="Arial" w:cs="Arial"/>
      <w:b/>
      <w:bCs/>
      <w:iCs/>
      <w:color w:val="358189"/>
      <w:sz w:val="36"/>
      <w:szCs w:val="28"/>
    </w:rPr>
  </w:style>
  <w:style w:type="character" w:customStyle="1" w:styleId="Heading1Char">
    <w:name w:val="Heading 1 Char"/>
    <w:basedOn w:val="DefaultParagraphFont"/>
    <w:link w:val="Heading1"/>
    <w:rsid w:val="0059348C"/>
    <w:rPr>
      <w:rFonts w:ascii="Arial" w:eastAsia="Arial" w:hAnsi="Arial" w:cs="Arial"/>
      <w:b/>
      <w:bCs/>
      <w:color w:val="3F4A75"/>
      <w:kern w:val="28"/>
      <w:sz w:val="44"/>
      <w:szCs w:val="36"/>
    </w:rPr>
  </w:style>
  <w:style w:type="paragraph" w:styleId="Title">
    <w:name w:val="Title"/>
    <w:basedOn w:val="Normal"/>
    <w:next w:val="Normal"/>
    <w:link w:val="TitleChar"/>
    <w:qFormat/>
    <w:rsid w:val="0059348C"/>
    <w:pPr>
      <w:spacing w:before="2160"/>
      <w:ind w:right="3402"/>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59348C"/>
    <w:rPr>
      <w:rFonts w:ascii="Arial" w:eastAsiaTheme="majorEastAsia" w:hAnsi="Arial" w:cstheme="majorBidi"/>
      <w:b/>
      <w:color w:val="3F4A75"/>
      <w:kern w:val="28"/>
      <w:sz w:val="48"/>
      <w:szCs w:val="52"/>
    </w:rPr>
  </w:style>
  <w:style w:type="paragraph" w:styleId="Caption">
    <w:name w:val="caption"/>
    <w:basedOn w:val="Normal"/>
    <w:next w:val="Normal"/>
    <w:unhideWhenUsed/>
    <w:rsid w:val="000A325D"/>
    <w:pPr>
      <w:keepNext/>
      <w:spacing w:after="200"/>
    </w:pPr>
    <w:rPr>
      <w:b/>
      <w:bCs/>
      <w:color w:val="004C90" w:themeColor="accent1"/>
      <w:sz w:val="18"/>
      <w:szCs w:val="18"/>
    </w:rPr>
  </w:style>
  <w:style w:type="paragraph" w:styleId="Header">
    <w:name w:val="header"/>
    <w:link w:val="HeaderChar"/>
    <w:qFormat/>
    <w:rsid w:val="003E1DE9"/>
    <w:pPr>
      <w:tabs>
        <w:tab w:val="center" w:pos="4513"/>
        <w:tab w:val="right" w:pos="9026"/>
      </w:tabs>
    </w:pPr>
    <w:rPr>
      <w:rFonts w:ascii="Arial" w:eastAsia="Times New Roman" w:hAnsi="Arial" w:cs="Times New Roman"/>
      <w:szCs w:val="24"/>
    </w:rPr>
  </w:style>
  <w:style w:type="character" w:customStyle="1" w:styleId="HeaderChar">
    <w:name w:val="Header Char"/>
    <w:basedOn w:val="DefaultParagraphFont"/>
    <w:link w:val="Header"/>
    <w:rsid w:val="003E1DE9"/>
    <w:rPr>
      <w:rFonts w:ascii="Arial" w:eastAsia="Times New Roman" w:hAnsi="Arial" w:cs="Times New Roman"/>
      <w:szCs w:val="24"/>
    </w:rPr>
  </w:style>
  <w:style w:type="paragraph" w:styleId="Footer">
    <w:name w:val="footer"/>
    <w:link w:val="FooterChar"/>
    <w:uiPriority w:val="99"/>
    <w:qFormat/>
    <w:rsid w:val="003E1DE9"/>
    <w:pPr>
      <w:tabs>
        <w:tab w:val="center" w:pos="0"/>
        <w:tab w:val="right" w:pos="9026"/>
      </w:tabs>
      <w:jc w:val="right"/>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3E1DE9"/>
    <w:rPr>
      <w:rFonts w:ascii="Arial" w:eastAsia="Times New Roman" w:hAnsi="Arial" w:cs="Times New Roman"/>
      <w:sz w:val="20"/>
      <w:szCs w:val="24"/>
    </w:rPr>
  </w:style>
  <w:style w:type="paragraph" w:customStyle="1" w:styleId="Footer-EvenPage">
    <w:name w:val="Footer - Even Page"/>
    <w:basedOn w:val="Normal"/>
    <w:qFormat/>
    <w:rsid w:val="00792130"/>
    <w:pPr>
      <w:tabs>
        <w:tab w:val="left" w:pos="567"/>
      </w:tabs>
    </w:pPr>
    <w:rPr>
      <w:rFonts w:ascii="Arial Black" w:hAnsi="Arial Black"/>
      <w:noProof/>
      <w:color w:val="004C90" w:themeColor="text2"/>
      <w:sz w:val="16"/>
    </w:rPr>
  </w:style>
  <w:style w:type="character" w:styleId="CommentReference">
    <w:name w:val="annotation reference"/>
    <w:basedOn w:val="DefaultParagraphFont"/>
    <w:uiPriority w:val="99"/>
    <w:semiHidden/>
    <w:unhideWhenUsed/>
    <w:rsid w:val="00C73491"/>
    <w:rPr>
      <w:sz w:val="16"/>
      <w:szCs w:val="16"/>
    </w:rPr>
  </w:style>
  <w:style w:type="paragraph" w:styleId="CommentText">
    <w:name w:val="annotation text"/>
    <w:basedOn w:val="Normal"/>
    <w:link w:val="CommentTextChar"/>
    <w:uiPriority w:val="99"/>
    <w:unhideWhenUsed/>
    <w:rsid w:val="00C73491"/>
    <w:rPr>
      <w:sz w:val="20"/>
      <w:szCs w:val="20"/>
    </w:rPr>
  </w:style>
  <w:style w:type="character" w:customStyle="1" w:styleId="CommentTextChar">
    <w:name w:val="Comment Text Char"/>
    <w:basedOn w:val="DefaultParagraphFont"/>
    <w:link w:val="CommentText"/>
    <w:uiPriority w:val="99"/>
    <w:rsid w:val="00C73491"/>
    <w:rPr>
      <w:rFonts w:ascii="Arial" w:eastAsia="Times New Roman" w:hAnsi="Arial" w:cs="Times New Roman"/>
      <w:color w:val="000000" w:themeColor="text1"/>
      <w:sz w:val="20"/>
      <w:szCs w:val="20"/>
    </w:rPr>
  </w:style>
  <w:style w:type="paragraph" w:styleId="Subtitle">
    <w:name w:val="Subtitle"/>
    <w:next w:val="Normal"/>
    <w:link w:val="SubtitleChar"/>
    <w:qFormat/>
    <w:rsid w:val="003E1DE9"/>
    <w:pPr>
      <w:numPr>
        <w:ilvl w:val="1"/>
      </w:numPr>
      <w:spacing w:before="120" w:after="60"/>
    </w:pPr>
    <w:rPr>
      <w:rFonts w:ascii="Arial" w:eastAsiaTheme="majorEastAsia" w:hAnsi="Arial" w:cstheme="majorBidi"/>
      <w:iCs/>
      <w:color w:val="3F4A75"/>
      <w:spacing w:val="15"/>
      <w:sz w:val="40"/>
      <w:szCs w:val="24"/>
    </w:rPr>
  </w:style>
  <w:style w:type="character" w:customStyle="1" w:styleId="SubtitleChar">
    <w:name w:val="Subtitle Char"/>
    <w:basedOn w:val="DefaultParagraphFont"/>
    <w:link w:val="Subtitle"/>
    <w:rsid w:val="003E1DE9"/>
    <w:rPr>
      <w:rFonts w:ascii="Arial" w:eastAsiaTheme="majorEastAsia" w:hAnsi="Arial" w:cstheme="majorBidi"/>
      <w:iCs/>
      <w:color w:val="3F4A75"/>
      <w:spacing w:val="15"/>
      <w:sz w:val="40"/>
      <w:szCs w:val="24"/>
    </w:rPr>
  </w:style>
  <w:style w:type="table" w:styleId="TableGrid">
    <w:name w:val="Table Grid"/>
    <w:basedOn w:val="TableNormal"/>
    <w:rsid w:val="003E1DE9"/>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DBullet">
    <w:name w:val="APCD Bullet"/>
    <w:basedOn w:val="ListParagraph"/>
    <w:qFormat/>
    <w:rsid w:val="00A06AD3"/>
    <w:pPr>
      <w:numPr>
        <w:ilvl w:val="2"/>
        <w:numId w:val="2"/>
      </w:numPr>
      <w:spacing w:before="60" w:after="60"/>
      <w:ind w:left="284" w:hanging="284"/>
      <w:contextualSpacing w:val="0"/>
    </w:pPr>
    <w:rPr>
      <w:rFonts w:asciiTheme="minorHAnsi" w:eastAsiaTheme="minorHAnsi" w:hAnsiTheme="minorHAnsi" w:cstheme="minorBidi"/>
      <w:sz w:val="18"/>
      <w:szCs w:val="22"/>
    </w:rPr>
  </w:style>
  <w:style w:type="character" w:styleId="Hyperlink">
    <w:name w:val="Hyperlink"/>
    <w:basedOn w:val="DefaultParagraphFont"/>
    <w:uiPriority w:val="99"/>
    <w:qFormat/>
    <w:rsid w:val="003E1DE9"/>
    <w:rPr>
      <w:color w:val="00B3C3" w:themeColor="hyperlink"/>
      <w:u w:val="single"/>
    </w:rPr>
  </w:style>
  <w:style w:type="character" w:styleId="UnresolvedMention">
    <w:name w:val="Unresolved Mention"/>
    <w:basedOn w:val="DefaultParagraphFont"/>
    <w:uiPriority w:val="99"/>
    <w:unhideWhenUsed/>
    <w:rsid w:val="00ED322E"/>
    <w:rPr>
      <w:color w:val="605E5C"/>
      <w:shd w:val="clear" w:color="auto" w:fill="E1DFDD"/>
    </w:rPr>
  </w:style>
  <w:style w:type="character" w:styleId="PlaceholderText">
    <w:name w:val="Placeholder Text"/>
    <w:basedOn w:val="DefaultParagraphFont"/>
    <w:uiPriority w:val="99"/>
    <w:semiHidden/>
    <w:rsid w:val="00842AAC"/>
    <w:rPr>
      <w:color w:val="808080"/>
    </w:rPr>
  </w:style>
  <w:style w:type="paragraph" w:styleId="CommentSubject">
    <w:name w:val="annotation subject"/>
    <w:basedOn w:val="CommentText"/>
    <w:next w:val="CommentText"/>
    <w:link w:val="CommentSubjectChar"/>
    <w:semiHidden/>
    <w:unhideWhenUsed/>
    <w:rsid w:val="00EF7969"/>
    <w:pPr>
      <w:spacing w:after="0"/>
    </w:pPr>
    <w:rPr>
      <w:b/>
      <w:bCs/>
    </w:rPr>
  </w:style>
  <w:style w:type="character" w:customStyle="1" w:styleId="CommentSubjectChar">
    <w:name w:val="Comment Subject Char"/>
    <w:basedOn w:val="CommentTextChar"/>
    <w:link w:val="CommentSubject"/>
    <w:semiHidden/>
    <w:rsid w:val="00EF7969"/>
    <w:rPr>
      <w:rFonts w:ascii="Arial" w:eastAsia="Times New Roman" w:hAnsi="Arial" w:cs="Times New Roman"/>
      <w:b/>
      <w:bCs/>
      <w:color w:val="000000" w:themeColor="text1"/>
      <w:sz w:val="20"/>
      <w:szCs w:val="20"/>
    </w:rPr>
  </w:style>
  <w:style w:type="paragraph" w:customStyle="1" w:styleId="Intropara">
    <w:name w:val="Intro para"/>
    <w:basedOn w:val="Normal"/>
    <w:qFormat/>
    <w:rsid w:val="00403410"/>
    <w:pPr>
      <w:framePr w:w="7938" w:h="2211" w:wrap="around" w:vAnchor="text" w:hAnchor="margin" w:x="1986" w:y="324"/>
      <w:spacing w:line="264" w:lineRule="auto"/>
    </w:pPr>
    <w:rPr>
      <w:rFonts w:cs="Arial"/>
      <w:color w:val="FFFFFF" w:themeColor="background1"/>
      <w:szCs w:val="28"/>
    </w:rPr>
  </w:style>
  <w:style w:type="character" w:styleId="EndnoteReference">
    <w:name w:val="endnote reference"/>
    <w:basedOn w:val="DefaultParagraphFont"/>
    <w:uiPriority w:val="99"/>
    <w:unhideWhenUsed/>
    <w:rsid w:val="00314F78"/>
    <w:rPr>
      <w:rFonts w:eastAsia="Arial"/>
      <w:b/>
      <w:color w:val="3F4A75"/>
      <w:vertAlign w:val="superscript"/>
    </w:rPr>
  </w:style>
  <w:style w:type="character" w:customStyle="1" w:styleId="EndnoteTextChar">
    <w:name w:val="Endnote Text Char"/>
    <w:basedOn w:val="DefaultParagraphFont"/>
    <w:link w:val="EndnoteText"/>
    <w:uiPriority w:val="99"/>
    <w:rsid w:val="00C06C9A"/>
    <w:rPr>
      <w:sz w:val="18"/>
      <w:szCs w:val="20"/>
    </w:rPr>
  </w:style>
  <w:style w:type="paragraph" w:styleId="EndnoteText">
    <w:name w:val="endnote text"/>
    <w:basedOn w:val="Normal"/>
    <w:link w:val="EndnoteTextChar"/>
    <w:uiPriority w:val="99"/>
    <w:unhideWhenUsed/>
    <w:rsid w:val="00C06C9A"/>
    <w:pPr>
      <w:tabs>
        <w:tab w:val="left" w:pos="357"/>
      </w:tabs>
      <w:ind w:left="357" w:hanging="357"/>
    </w:pPr>
    <w:rPr>
      <w:sz w:val="18"/>
      <w:szCs w:val="20"/>
    </w:rPr>
  </w:style>
  <w:style w:type="paragraph" w:customStyle="1" w:styleId="EndNoteBibliographyTitle">
    <w:name w:val="EndNote Bibliography Title"/>
    <w:basedOn w:val="Normal"/>
    <w:link w:val="EndNoteBibliographyTitleChar"/>
    <w:rsid w:val="000050ED"/>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050ED"/>
    <w:rPr>
      <w:rFonts w:ascii="Calibri" w:hAnsi="Calibri" w:cs="Calibri"/>
      <w:noProof/>
      <w:lang w:val="en-US"/>
    </w:rPr>
  </w:style>
  <w:style w:type="paragraph" w:customStyle="1" w:styleId="EndNoteBibliography">
    <w:name w:val="EndNote Bibliography"/>
    <w:basedOn w:val="Normal"/>
    <w:link w:val="EndNoteBibliographyChar"/>
    <w:rsid w:val="000050ED"/>
    <w:rPr>
      <w:rFonts w:ascii="Calibri" w:hAnsi="Calibri" w:cs="Calibri"/>
      <w:noProof/>
      <w:lang w:val="en-US"/>
    </w:rPr>
  </w:style>
  <w:style w:type="character" w:customStyle="1" w:styleId="EndNoteBibliographyChar">
    <w:name w:val="EndNote Bibliography Char"/>
    <w:basedOn w:val="DefaultParagraphFont"/>
    <w:link w:val="EndNoteBibliography"/>
    <w:rsid w:val="000050ED"/>
    <w:rPr>
      <w:rFonts w:ascii="Calibri" w:hAnsi="Calibri" w:cs="Calibri"/>
      <w:noProof/>
      <w:lang w:val="en-US"/>
    </w:rPr>
  </w:style>
  <w:style w:type="character" w:styleId="IntenseEmphasis">
    <w:name w:val="Intense Emphasis"/>
    <w:basedOn w:val="DefaultParagraphFont"/>
    <w:uiPriority w:val="21"/>
    <w:rsid w:val="003E1DE9"/>
    <w:rPr>
      <w:b/>
      <w:bCs/>
      <w:i/>
      <w:iCs/>
      <w:color w:val="004C90" w:themeColor="accent1"/>
    </w:rPr>
  </w:style>
  <w:style w:type="character" w:customStyle="1" w:styleId="ListParagraphChar">
    <w:name w:val="List Paragraph Char"/>
    <w:basedOn w:val="DefaultParagraphFont"/>
    <w:link w:val="ListParagraph"/>
    <w:uiPriority w:val="34"/>
    <w:locked/>
    <w:rsid w:val="00BA28C4"/>
    <w:rPr>
      <w:rFonts w:ascii="Arial" w:eastAsia="Times New Roman" w:hAnsi="Arial" w:cs="Times New Roman"/>
      <w:color w:val="000000" w:themeColor="text1"/>
      <w:szCs w:val="24"/>
    </w:rPr>
  </w:style>
  <w:style w:type="paragraph" w:styleId="Bibliography">
    <w:name w:val="Bibliography"/>
    <w:basedOn w:val="Normal"/>
    <w:next w:val="Normal"/>
    <w:uiPriority w:val="37"/>
    <w:semiHidden/>
    <w:unhideWhenUsed/>
    <w:rsid w:val="00CE29F4"/>
  </w:style>
  <w:style w:type="paragraph" w:styleId="TOC1">
    <w:name w:val="toc 1"/>
    <w:basedOn w:val="Normal"/>
    <w:next w:val="Normal"/>
    <w:autoRedefine/>
    <w:uiPriority w:val="39"/>
    <w:unhideWhenUsed/>
    <w:rsid w:val="00524825"/>
    <w:pPr>
      <w:tabs>
        <w:tab w:val="left" w:pos="660"/>
        <w:tab w:val="right" w:leader="dot" w:pos="9638"/>
      </w:tabs>
    </w:pPr>
    <w:rPr>
      <w:noProof/>
      <w:sz w:val="20"/>
      <w:szCs w:val="20"/>
    </w:rPr>
  </w:style>
  <w:style w:type="paragraph" w:customStyle="1" w:styleId="GraphicLine">
    <w:name w:val="Graphic Line"/>
    <w:basedOn w:val="Normal"/>
    <w:qFormat/>
    <w:rsid w:val="00C21D47"/>
    <w:pPr>
      <w:spacing w:after="240" w:line="264" w:lineRule="auto"/>
      <w:ind w:left="-1134"/>
    </w:pPr>
    <w:rPr>
      <w:rFonts w:ascii="Arial Black" w:hAnsi="Arial Black"/>
      <w:noProof/>
      <w:color w:val="004C90" w:themeColor="text2"/>
      <w:sz w:val="16"/>
      <w:szCs w:val="16"/>
    </w:rPr>
  </w:style>
  <w:style w:type="paragraph" w:customStyle="1" w:styleId="Heading1noshow">
    <w:name w:val="Heading 1 no show"/>
    <w:basedOn w:val="Heading1"/>
    <w:qFormat/>
    <w:rsid w:val="004A3459"/>
    <w:pPr>
      <w:spacing w:before="1000" w:after="600"/>
    </w:pPr>
    <w:rPr>
      <w:noProof/>
      <w:color w:val="004C90" w:themeColor="text2"/>
      <w:sz w:val="36"/>
      <w:szCs w:val="40"/>
    </w:rPr>
  </w:style>
  <w:style w:type="paragraph" w:styleId="Revision">
    <w:name w:val="Revision"/>
    <w:hidden/>
    <w:uiPriority w:val="99"/>
    <w:semiHidden/>
    <w:rsid w:val="00C21D47"/>
  </w:style>
  <w:style w:type="character" w:customStyle="1" w:styleId="Heading3Char">
    <w:name w:val="Heading 3 Char"/>
    <w:basedOn w:val="DefaultParagraphFont"/>
    <w:link w:val="Heading3"/>
    <w:rsid w:val="004238B0"/>
    <w:rPr>
      <w:rFonts w:ascii="Arial" w:eastAsia="Times New Roman" w:hAnsi="Arial" w:cs="Arial"/>
      <w:b/>
      <w:bCs/>
      <w:color w:val="358189"/>
      <w:sz w:val="32"/>
      <w:szCs w:val="26"/>
    </w:rPr>
  </w:style>
  <w:style w:type="paragraph" w:customStyle="1" w:styleId="Endnotes">
    <w:name w:val="Endnotes"/>
    <w:basedOn w:val="EndnoteText"/>
    <w:qFormat/>
    <w:rsid w:val="00C06C9A"/>
  </w:style>
  <w:style w:type="paragraph" w:customStyle="1" w:styleId="Bullet1stlevel">
    <w:name w:val="Bullet 1st level"/>
    <w:basedOn w:val="Normal"/>
    <w:rsid w:val="00F2392D"/>
    <w:pPr>
      <w:numPr>
        <w:numId w:val="14"/>
      </w:numPr>
      <w:tabs>
        <w:tab w:val="left" w:pos="357"/>
      </w:tabs>
      <w:spacing w:before="60" w:after="60" w:line="264" w:lineRule="auto"/>
    </w:pPr>
    <w:rPr>
      <w:sz w:val="20"/>
      <w:szCs w:val="20"/>
    </w:rPr>
  </w:style>
  <w:style w:type="paragraph" w:styleId="BodyText">
    <w:name w:val="Body Text"/>
    <w:basedOn w:val="Normal"/>
    <w:link w:val="BodyTextChar"/>
    <w:unhideWhenUsed/>
    <w:rsid w:val="003E1DE9"/>
  </w:style>
  <w:style w:type="character" w:customStyle="1" w:styleId="BodyTextChar">
    <w:name w:val="Body Text Char"/>
    <w:basedOn w:val="DefaultParagraphFont"/>
    <w:link w:val="BodyText"/>
    <w:rsid w:val="003E1DE9"/>
    <w:rPr>
      <w:rFonts w:ascii="Arial" w:eastAsia="Times New Roman" w:hAnsi="Arial" w:cs="Times New Roman"/>
      <w:color w:val="000000" w:themeColor="text1"/>
      <w:szCs w:val="24"/>
    </w:rPr>
  </w:style>
  <w:style w:type="character" w:customStyle="1" w:styleId="Heading4Char">
    <w:name w:val="Heading 4 Char"/>
    <w:basedOn w:val="DefaultParagraphFont"/>
    <w:link w:val="Heading4"/>
    <w:rsid w:val="00FD3F37"/>
    <w:rPr>
      <w:rFonts w:ascii="Arial" w:eastAsia="Times New Roman" w:hAnsi="Arial" w:cs="Times New Roman"/>
      <w:b/>
      <w:bCs/>
      <w:i/>
      <w:color w:val="00B3C3" w:themeColor="accent2"/>
      <w:sz w:val="28"/>
      <w:szCs w:val="28"/>
    </w:rPr>
  </w:style>
  <w:style w:type="character" w:customStyle="1" w:styleId="Heading5Char">
    <w:name w:val="Heading 5 Char"/>
    <w:basedOn w:val="DefaultParagraphFont"/>
    <w:link w:val="Heading5"/>
    <w:rsid w:val="00FD3F37"/>
    <w:rPr>
      <w:rFonts w:ascii="Arial" w:eastAsia="Times New Roman" w:hAnsi="Arial" w:cs="Times New Roman"/>
      <w:b/>
      <w:bCs/>
      <w:iCs/>
      <w:color w:val="00B3C3" w:themeColor="accent2"/>
      <w:sz w:val="24"/>
      <w:szCs w:val="26"/>
    </w:rPr>
  </w:style>
  <w:style w:type="character" w:customStyle="1" w:styleId="Heading6Char">
    <w:name w:val="Heading 6 Char"/>
    <w:basedOn w:val="DefaultParagraphFont"/>
    <w:link w:val="Heading6"/>
    <w:rsid w:val="00FD3F37"/>
    <w:rPr>
      <w:rFonts w:ascii="Arial" w:eastAsia="Times New Roman" w:hAnsi="Arial" w:cs="Times New Roman"/>
      <w:b/>
      <w:bCs/>
    </w:rPr>
  </w:style>
  <w:style w:type="paragraph" w:styleId="BalloonText">
    <w:name w:val="Balloon Text"/>
    <w:basedOn w:val="Normal"/>
    <w:link w:val="BalloonTextChar"/>
    <w:rsid w:val="003E1DE9"/>
    <w:rPr>
      <w:rFonts w:ascii="Tahoma" w:hAnsi="Tahoma" w:cs="Tahoma"/>
      <w:sz w:val="16"/>
      <w:szCs w:val="16"/>
    </w:rPr>
  </w:style>
  <w:style w:type="character" w:customStyle="1" w:styleId="BalloonTextChar">
    <w:name w:val="Balloon Text Char"/>
    <w:basedOn w:val="DefaultParagraphFont"/>
    <w:link w:val="BalloonText"/>
    <w:rsid w:val="003E1DE9"/>
    <w:rPr>
      <w:rFonts w:ascii="Tahoma" w:eastAsia="Times New Roman" w:hAnsi="Tahoma" w:cs="Tahoma"/>
      <w:color w:val="000000" w:themeColor="text1"/>
      <w:sz w:val="16"/>
      <w:szCs w:val="16"/>
    </w:rPr>
  </w:style>
  <w:style w:type="paragraph" w:customStyle="1" w:styleId="Footer-OddPage">
    <w:name w:val="Footer - Odd Page"/>
    <w:basedOn w:val="Normal"/>
    <w:qFormat/>
    <w:rsid w:val="00E30E2C"/>
    <w:pPr>
      <w:tabs>
        <w:tab w:val="right" w:pos="9072"/>
      </w:tabs>
      <w:spacing w:line="264" w:lineRule="auto"/>
    </w:pPr>
    <w:rPr>
      <w:color w:val="004C90" w:themeColor="text2"/>
      <w:sz w:val="16"/>
    </w:rPr>
  </w:style>
  <w:style w:type="paragraph" w:customStyle="1" w:styleId="CDIHeading1">
    <w:name w:val="CDI Heading 1"/>
    <w:basedOn w:val="Normal"/>
    <w:qFormat/>
    <w:rsid w:val="00FD3F37"/>
    <w:pPr>
      <w:widowControl w:val="0"/>
      <w:autoSpaceDE w:val="0"/>
      <w:autoSpaceDN w:val="0"/>
      <w:spacing w:after="240"/>
    </w:pPr>
    <w:rPr>
      <w:rFonts w:eastAsia="Arial" w:cs="Arial"/>
      <w:b/>
      <w:bCs/>
      <w:color w:val="004C90" w:themeColor="text2"/>
      <w:sz w:val="28"/>
      <w:szCs w:val="28"/>
      <w:lang w:val="en-GB" w:eastAsia="en-GB" w:bidi="en-GB"/>
    </w:rPr>
  </w:style>
  <w:style w:type="paragraph" w:styleId="FootnoteText">
    <w:name w:val="footnote text"/>
    <w:link w:val="FootnoteTextChar"/>
    <w:rsid w:val="003E1DE9"/>
    <w:rPr>
      <w:rFonts w:ascii="Arial" w:eastAsia="Times New Roman" w:hAnsi="Arial" w:cs="Times New Roman"/>
      <w:sz w:val="20"/>
      <w:szCs w:val="20"/>
    </w:rPr>
  </w:style>
  <w:style w:type="character" w:customStyle="1" w:styleId="FootnoteTextChar">
    <w:name w:val="Footnote Text Char"/>
    <w:basedOn w:val="DefaultParagraphFont"/>
    <w:link w:val="FootnoteText"/>
    <w:rsid w:val="003E1DE9"/>
    <w:rPr>
      <w:rFonts w:ascii="Arial" w:eastAsia="Times New Roman" w:hAnsi="Arial" w:cs="Times New Roman"/>
      <w:sz w:val="20"/>
      <w:szCs w:val="20"/>
    </w:rPr>
  </w:style>
  <w:style w:type="character" w:styleId="FootnoteReference">
    <w:name w:val="footnote reference"/>
    <w:basedOn w:val="DefaultParagraphFont"/>
    <w:unhideWhenUsed/>
    <w:rsid w:val="00FD3F37"/>
    <w:rPr>
      <w:rFonts w:ascii="Arial" w:hAnsi="Arial"/>
      <w:vertAlign w:val="superscript"/>
    </w:rPr>
  </w:style>
  <w:style w:type="table" w:styleId="TableGridLight">
    <w:name w:val="Grid Table Light"/>
    <w:basedOn w:val="TableNormal"/>
    <w:uiPriority w:val="40"/>
    <w:rsid w:val="00FD3F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acer">
    <w:name w:val="Spacer"/>
    <w:basedOn w:val="Normal"/>
    <w:qFormat/>
    <w:rsid w:val="00FD3F37"/>
    <w:rPr>
      <w:sz w:val="8"/>
      <w:szCs w:val="10"/>
    </w:rPr>
  </w:style>
  <w:style w:type="character" w:customStyle="1" w:styleId="BodyItalic">
    <w:name w:val="Body Italic"/>
    <w:uiPriority w:val="99"/>
    <w:rsid w:val="00FD3F37"/>
    <w:rPr>
      <w:rFonts w:ascii="9999999" w:hAnsi="9999999" w:hint="default"/>
      <w:i/>
      <w:iCs w:val="0"/>
    </w:rPr>
  </w:style>
  <w:style w:type="paragraph" w:customStyle="1" w:styleId="Bullet2ndlevel">
    <w:name w:val="Bullet 2nd level"/>
    <w:basedOn w:val="Bullet1stlevel"/>
    <w:qFormat/>
    <w:rsid w:val="00AA703F"/>
    <w:pPr>
      <w:numPr>
        <w:numId w:val="5"/>
      </w:numPr>
    </w:pPr>
    <w:rPr>
      <w:szCs w:val="22"/>
    </w:rPr>
  </w:style>
  <w:style w:type="character" w:customStyle="1" w:styleId="UnresolvedMention1">
    <w:name w:val="Unresolved Mention1"/>
    <w:basedOn w:val="DefaultParagraphFont"/>
    <w:uiPriority w:val="99"/>
    <w:semiHidden/>
    <w:unhideWhenUsed/>
    <w:rsid w:val="00FD3F37"/>
    <w:rPr>
      <w:color w:val="605E5C"/>
      <w:shd w:val="clear" w:color="auto" w:fill="E1DFDD"/>
    </w:rPr>
  </w:style>
  <w:style w:type="paragraph" w:styleId="TOC2">
    <w:name w:val="toc 2"/>
    <w:basedOn w:val="Normal"/>
    <w:next w:val="Normal"/>
    <w:autoRedefine/>
    <w:uiPriority w:val="39"/>
    <w:unhideWhenUsed/>
    <w:rsid w:val="00FD3F37"/>
    <w:pPr>
      <w:spacing w:after="100" w:line="264" w:lineRule="auto"/>
      <w:ind w:left="200"/>
    </w:pPr>
    <w:rPr>
      <w:sz w:val="20"/>
    </w:rPr>
  </w:style>
  <w:style w:type="paragraph" w:styleId="TOC3">
    <w:name w:val="toc 3"/>
    <w:basedOn w:val="Normal"/>
    <w:next w:val="Normal"/>
    <w:autoRedefine/>
    <w:uiPriority w:val="39"/>
    <w:unhideWhenUsed/>
    <w:rsid w:val="00FD3F37"/>
    <w:pPr>
      <w:spacing w:after="100" w:line="264" w:lineRule="auto"/>
      <w:ind w:left="400"/>
    </w:pPr>
    <w:rPr>
      <w:sz w:val="20"/>
    </w:rPr>
  </w:style>
  <w:style w:type="paragraph" w:styleId="NormalWeb">
    <w:name w:val="Normal (Web)"/>
    <w:basedOn w:val="Normal"/>
    <w:uiPriority w:val="99"/>
    <w:unhideWhenUsed/>
    <w:rsid w:val="003E1DE9"/>
    <w:pPr>
      <w:spacing w:before="100" w:beforeAutospacing="1" w:after="100" w:afterAutospacing="1"/>
    </w:pPr>
    <w:rPr>
      <w:rFonts w:ascii="Times New Roman" w:hAnsi="Times New Roman"/>
      <w:sz w:val="24"/>
      <w:lang w:eastAsia="en-AU"/>
    </w:rPr>
  </w:style>
  <w:style w:type="paragraph" w:customStyle="1" w:styleId="APCDBulletL2">
    <w:name w:val="APCD Bullet L2"/>
    <w:basedOn w:val="ListParagraph"/>
    <w:qFormat/>
    <w:rsid w:val="007C41EB"/>
    <w:pPr>
      <w:numPr>
        <w:ilvl w:val="1"/>
        <w:numId w:val="8"/>
      </w:numPr>
      <w:spacing w:before="40" w:after="40" w:line="264" w:lineRule="auto"/>
      <w:ind w:left="568" w:hanging="284"/>
      <w:contextualSpacing w:val="0"/>
    </w:pPr>
    <w:rPr>
      <w:rFonts w:asciiTheme="minorHAnsi" w:eastAsiaTheme="minorHAnsi" w:hAnsiTheme="minorHAnsi" w:cstheme="minorBidi"/>
      <w:sz w:val="18"/>
      <w:szCs w:val="18"/>
    </w:rPr>
  </w:style>
  <w:style w:type="paragraph" w:customStyle="1" w:styleId="TableBulletL1">
    <w:name w:val="Table Bullet L1"/>
    <w:basedOn w:val="Bullet1stlevel"/>
    <w:qFormat/>
    <w:rsid w:val="00FD3F37"/>
    <w:pPr>
      <w:numPr>
        <w:numId w:val="1"/>
      </w:numPr>
    </w:pPr>
  </w:style>
  <w:style w:type="character" w:styleId="FollowedHyperlink">
    <w:name w:val="FollowedHyperlink"/>
    <w:basedOn w:val="DefaultParagraphFont"/>
    <w:semiHidden/>
    <w:unhideWhenUsed/>
    <w:rsid w:val="00FD3F37"/>
    <w:rPr>
      <w:color w:val="008995" w:themeColor="followedHyperlink"/>
      <w:u w:val="single"/>
    </w:rPr>
  </w:style>
  <w:style w:type="paragraph" w:customStyle="1" w:styleId="ChecklistHeading">
    <w:name w:val="Checklist Heading"/>
    <w:basedOn w:val="Normal"/>
    <w:qFormat/>
    <w:rsid w:val="004A09AA"/>
    <w:pPr>
      <w:pBdr>
        <w:bottom w:val="single" w:sz="18" w:space="6" w:color="00B3C3" w:themeColor="accent2"/>
      </w:pBdr>
      <w:spacing w:after="0" w:line="264" w:lineRule="auto"/>
    </w:pPr>
    <w:rPr>
      <w:b/>
      <w:bCs/>
      <w:color w:val="00B3C3" w:themeColor="accent2"/>
      <w:szCs w:val="28"/>
    </w:rPr>
  </w:style>
  <w:style w:type="paragraph" w:customStyle="1" w:styleId="ChecklistTitle">
    <w:name w:val="Checklist Title"/>
    <w:basedOn w:val="Normal"/>
    <w:qFormat/>
    <w:rsid w:val="00FD3F37"/>
    <w:pPr>
      <w:spacing w:line="216" w:lineRule="auto"/>
    </w:pPr>
    <w:rPr>
      <w:b/>
      <w:bCs/>
      <w:color w:val="00B3C3" w:themeColor="accent2"/>
      <w:sz w:val="20"/>
    </w:rPr>
  </w:style>
  <w:style w:type="paragraph" w:styleId="NoSpacing">
    <w:name w:val="No Spacing"/>
    <w:link w:val="NoSpacingChar"/>
    <w:uiPriority w:val="1"/>
    <w:rsid w:val="003E1DE9"/>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D3F37"/>
    <w:rPr>
      <w:rFonts w:ascii="Times New Roman" w:eastAsia="Times New Roman" w:hAnsi="Times New Roman" w:cs="Times New Roman"/>
      <w:sz w:val="24"/>
      <w:szCs w:val="24"/>
    </w:rPr>
  </w:style>
  <w:style w:type="character" w:styleId="Emphasis">
    <w:name w:val="Emphasis"/>
    <w:basedOn w:val="DefaultParagraphFont"/>
    <w:rsid w:val="003E1DE9"/>
    <w:rPr>
      <w:i/>
      <w:iCs/>
    </w:rPr>
  </w:style>
  <w:style w:type="character" w:customStyle="1" w:styleId="UnresolvedMention4">
    <w:name w:val="Unresolved Mention4"/>
    <w:basedOn w:val="DefaultParagraphFont"/>
    <w:uiPriority w:val="99"/>
    <w:semiHidden/>
    <w:unhideWhenUsed/>
    <w:rsid w:val="00FD3F37"/>
    <w:rPr>
      <w:color w:val="605E5C"/>
      <w:shd w:val="clear" w:color="auto" w:fill="E1DFDD"/>
    </w:rPr>
  </w:style>
  <w:style w:type="character" w:customStyle="1" w:styleId="UnresolvedMention5">
    <w:name w:val="Unresolved Mention5"/>
    <w:basedOn w:val="DefaultParagraphFont"/>
    <w:uiPriority w:val="99"/>
    <w:semiHidden/>
    <w:unhideWhenUsed/>
    <w:rsid w:val="00FD3F37"/>
    <w:rPr>
      <w:color w:val="605E5C"/>
      <w:shd w:val="clear" w:color="auto" w:fill="E1DFDD"/>
    </w:rPr>
  </w:style>
  <w:style w:type="paragraph" w:customStyle="1" w:styleId="LogoFrame">
    <w:name w:val="Logo Frame"/>
    <w:basedOn w:val="Normal"/>
    <w:qFormat/>
    <w:rsid w:val="00EB7381"/>
    <w:pPr>
      <w:framePr w:w="4221" w:wrap="around" w:vAnchor="page" w:hAnchor="page" w:x="274" w:y="568"/>
    </w:pPr>
    <w:rPr>
      <w:noProof/>
    </w:rPr>
  </w:style>
  <w:style w:type="paragraph" w:styleId="TOC4">
    <w:name w:val="toc 4"/>
    <w:basedOn w:val="Normal"/>
    <w:next w:val="Normal"/>
    <w:autoRedefine/>
    <w:uiPriority w:val="39"/>
    <w:semiHidden/>
    <w:unhideWhenUsed/>
    <w:rsid w:val="00EB7381"/>
    <w:pPr>
      <w:spacing w:after="100"/>
      <w:ind w:left="660"/>
    </w:pPr>
  </w:style>
  <w:style w:type="paragraph" w:styleId="TOC7">
    <w:name w:val="toc 7"/>
    <w:basedOn w:val="Normal"/>
    <w:next w:val="Normal"/>
    <w:autoRedefine/>
    <w:uiPriority w:val="39"/>
    <w:semiHidden/>
    <w:unhideWhenUsed/>
    <w:rsid w:val="00EB7381"/>
    <w:pPr>
      <w:spacing w:after="100"/>
      <w:ind w:left="1320"/>
    </w:pPr>
  </w:style>
  <w:style w:type="paragraph" w:styleId="TOC6">
    <w:name w:val="toc 6"/>
    <w:basedOn w:val="Normal"/>
    <w:next w:val="Normal"/>
    <w:autoRedefine/>
    <w:uiPriority w:val="39"/>
    <w:semiHidden/>
    <w:unhideWhenUsed/>
    <w:rsid w:val="00EB7381"/>
    <w:pPr>
      <w:spacing w:after="100"/>
      <w:ind w:left="1100"/>
    </w:pPr>
  </w:style>
  <w:style w:type="paragraph" w:customStyle="1" w:styleId="IntroIconFrame">
    <w:name w:val="Intro Icon Frame"/>
    <w:basedOn w:val="LogoFrame"/>
    <w:qFormat/>
    <w:rsid w:val="00403410"/>
    <w:pPr>
      <w:framePr w:w="1701" w:h="2211" w:wrap="around" w:vAnchor="text" w:hAnchor="margin" w:x="1" w:y="324"/>
    </w:pPr>
    <w:rPr>
      <w:lang w:eastAsia="en-AU"/>
    </w:rPr>
  </w:style>
  <w:style w:type="paragraph" w:customStyle="1" w:styleId="GraphicBlockHeading">
    <w:name w:val="Graphic Block Heading"/>
    <w:basedOn w:val="Normal"/>
    <w:qFormat/>
    <w:rsid w:val="00F64CE1"/>
    <w:pPr>
      <w:spacing w:before="40" w:after="40" w:line="216" w:lineRule="auto"/>
      <w:jc w:val="center"/>
    </w:pPr>
    <w:rPr>
      <w:rFonts w:ascii="Arial Black" w:hAnsi="Arial Black" w:cs="Arial"/>
      <w:b/>
      <w:bCs/>
      <w:color w:val="FFFFFF" w:themeColor="background1"/>
      <w:kern w:val="24"/>
      <w:sz w:val="18"/>
      <w:szCs w:val="18"/>
    </w:rPr>
  </w:style>
  <w:style w:type="paragraph" w:customStyle="1" w:styleId="Heading1Number">
    <w:name w:val="Heading 1 Number"/>
    <w:basedOn w:val="Heading1noshow"/>
    <w:qFormat/>
    <w:rsid w:val="003F685B"/>
    <w:pPr>
      <w:spacing w:before="0" w:after="0"/>
    </w:pPr>
    <w:rPr>
      <w:rFonts w:ascii="Arial Black" w:hAnsi="Arial Black"/>
      <w:color w:val="0090D4" w:themeColor="accent3"/>
      <w:sz w:val="44"/>
    </w:rPr>
  </w:style>
  <w:style w:type="numbering" w:customStyle="1" w:styleId="ToCH1Numbering">
    <w:name w:val="ToC H1 Numbering"/>
    <w:uiPriority w:val="99"/>
    <w:rsid w:val="004A3459"/>
    <w:pPr>
      <w:numPr>
        <w:numId w:val="6"/>
      </w:numPr>
    </w:pPr>
  </w:style>
  <w:style w:type="paragraph" w:customStyle="1" w:styleId="Bullet3rdlevel">
    <w:name w:val="Bullet 3rd level"/>
    <w:basedOn w:val="Bullet2ndlevel"/>
    <w:qFormat/>
    <w:rsid w:val="00AA703F"/>
    <w:pPr>
      <w:numPr>
        <w:ilvl w:val="2"/>
        <w:numId w:val="3"/>
      </w:numPr>
      <w:tabs>
        <w:tab w:val="clear" w:pos="357"/>
      </w:tabs>
    </w:pPr>
    <w:rPr>
      <w:rFonts w:cs="Arial"/>
    </w:rPr>
  </w:style>
  <w:style w:type="paragraph" w:customStyle="1" w:styleId="Intro">
    <w:name w:val="Intro"/>
    <w:basedOn w:val="Normal"/>
    <w:qFormat/>
    <w:rsid w:val="00F2392D"/>
    <w:pPr>
      <w:spacing w:line="264" w:lineRule="auto"/>
    </w:pPr>
    <w:rPr>
      <w:sz w:val="20"/>
      <w:szCs w:val="20"/>
    </w:rPr>
  </w:style>
  <w:style w:type="paragraph" w:customStyle="1" w:styleId="APCDContinuous">
    <w:name w:val="APCD Continuous"/>
    <w:basedOn w:val="Normal"/>
    <w:qFormat/>
    <w:rsid w:val="00160058"/>
    <w:pPr>
      <w:jc w:val="center"/>
    </w:pPr>
    <w:rPr>
      <w:caps/>
      <w:color w:val="004C90" w:themeColor="accent1"/>
      <w:sz w:val="16"/>
      <w:szCs w:val="16"/>
    </w:rPr>
  </w:style>
  <w:style w:type="paragraph" w:customStyle="1" w:styleId="APCDFrame">
    <w:name w:val="APCD Frame"/>
    <w:basedOn w:val="IntroIconFrame"/>
    <w:qFormat/>
    <w:rsid w:val="00912B3A"/>
    <w:pPr>
      <w:framePr w:w="2268" w:h="2098" w:wrap="around" w:vAnchor="margin" w:hAnchor="text" w:xAlign="left" w:yAlign="top"/>
    </w:pPr>
  </w:style>
  <w:style w:type="paragraph" w:customStyle="1" w:styleId="APCDFrameText">
    <w:name w:val="APCD Frame Text"/>
    <w:basedOn w:val="Intropara"/>
    <w:qFormat/>
    <w:rsid w:val="00912B3A"/>
    <w:pPr>
      <w:framePr w:w="7292" w:h="2098" w:wrap="around" w:vAnchor="margin" w:hAnchor="text" w:x="2269" w:yAlign="top"/>
      <w:spacing w:line="240" w:lineRule="auto"/>
    </w:pPr>
    <w:rPr>
      <w:b/>
      <w:caps/>
      <w:color w:val="00B3C3" w:themeColor="accent2"/>
      <w:sz w:val="20"/>
    </w:rPr>
  </w:style>
  <w:style w:type="paragraph" w:customStyle="1" w:styleId="APCDFrameLarge">
    <w:name w:val="APCD Frame Large"/>
    <w:basedOn w:val="APCDFrameText"/>
    <w:qFormat/>
    <w:rsid w:val="00CC21F8"/>
    <w:pPr>
      <w:framePr w:wrap="around"/>
      <w:spacing w:line="168" w:lineRule="auto"/>
    </w:pPr>
    <w:rPr>
      <w:rFonts w:ascii="Arial Black" w:hAnsi="Arial Black"/>
      <w:caps w:val="0"/>
      <w:sz w:val="48"/>
    </w:rPr>
  </w:style>
  <w:style w:type="paragraph" w:customStyle="1" w:styleId="ExampleToolsBullet">
    <w:name w:val="Example Tools Bullet"/>
    <w:basedOn w:val="Bullet1stlevel"/>
    <w:qFormat/>
    <w:rsid w:val="00B06DF1"/>
    <w:pPr>
      <w:numPr>
        <w:numId w:val="12"/>
      </w:numPr>
      <w:tabs>
        <w:tab w:val="clear" w:pos="357"/>
      </w:tabs>
      <w:spacing w:before="80" w:after="80"/>
    </w:pPr>
    <w:rPr>
      <w:rFonts w:cs="Arial"/>
    </w:rPr>
  </w:style>
  <w:style w:type="paragraph" w:customStyle="1" w:styleId="ExampleToolsText">
    <w:name w:val="Example Tools Text"/>
    <w:basedOn w:val="Normal"/>
    <w:qFormat/>
    <w:rsid w:val="00FD075C"/>
    <w:pPr>
      <w:spacing w:before="240"/>
      <w:ind w:left="360"/>
    </w:pPr>
    <w:rPr>
      <w:i/>
      <w:iCs/>
      <w:sz w:val="20"/>
    </w:rPr>
  </w:style>
  <w:style w:type="numbering" w:customStyle="1" w:styleId="ExampleTools">
    <w:name w:val="Example Tools"/>
    <w:uiPriority w:val="99"/>
    <w:rsid w:val="006A3FD6"/>
    <w:pPr>
      <w:numPr>
        <w:numId w:val="12"/>
      </w:numPr>
    </w:pPr>
  </w:style>
  <w:style w:type="paragraph" w:customStyle="1" w:styleId="Header-Evenpage">
    <w:name w:val="Header - Even page"/>
    <w:basedOn w:val="Header"/>
    <w:qFormat/>
    <w:rsid w:val="00E94E42"/>
  </w:style>
  <w:style w:type="paragraph" w:customStyle="1" w:styleId="APCDChecklistStepHeading">
    <w:name w:val="APCD Checklist Step Heading"/>
    <w:basedOn w:val="Normal"/>
    <w:qFormat/>
    <w:rsid w:val="00BD77C4"/>
    <w:pPr>
      <w:keepNext/>
      <w:keepLines/>
      <w:spacing w:before="240"/>
    </w:pPr>
    <w:rPr>
      <w:b/>
      <w:bCs/>
      <w:color w:val="00B3C3" w:themeColor="accent2"/>
    </w:rPr>
  </w:style>
  <w:style w:type="paragraph" w:customStyle="1" w:styleId="Headerwhite">
    <w:name w:val="Header (white)"/>
    <w:basedOn w:val="VisionBox"/>
    <w:link w:val="HeaderwhiteChar"/>
    <w:qFormat/>
    <w:rsid w:val="00261777"/>
    <w:pPr>
      <w:pBdr>
        <w:top w:val="none" w:sz="0" w:space="0" w:color="auto"/>
        <w:bottom w:val="none" w:sz="0" w:space="0" w:color="auto"/>
      </w:pBdr>
      <w:spacing w:before="360"/>
    </w:pPr>
    <w:rPr>
      <w:color w:val="FFFFFF" w:themeColor="background1"/>
    </w:rPr>
  </w:style>
  <w:style w:type="paragraph" w:customStyle="1" w:styleId="PwCNormal">
    <w:name w:val="PwC Normal"/>
    <w:basedOn w:val="Normal"/>
    <w:link w:val="PwCNormalChar"/>
    <w:qFormat/>
    <w:rsid w:val="00AD0E7D"/>
    <w:pPr>
      <w:kinsoku w:val="0"/>
      <w:overflowPunct w:val="0"/>
      <w:autoSpaceDE w:val="0"/>
      <w:autoSpaceDN w:val="0"/>
      <w:adjustRightInd w:val="0"/>
      <w:snapToGrid w:val="0"/>
      <w:spacing w:line="360" w:lineRule="auto"/>
    </w:pPr>
    <w:rPr>
      <w:rFonts w:cs="Arial"/>
      <w:snapToGrid w:val="0"/>
      <w:sz w:val="18"/>
      <w:szCs w:val="20"/>
    </w:rPr>
  </w:style>
  <w:style w:type="character" w:customStyle="1" w:styleId="PwCNormalChar">
    <w:name w:val="PwC Normal Char"/>
    <w:basedOn w:val="DefaultParagraphFont"/>
    <w:link w:val="PwCNormal"/>
    <w:rsid w:val="00AD0E7D"/>
    <w:rPr>
      <w:rFonts w:eastAsia="Times New Roman" w:cs="Arial"/>
      <w:snapToGrid w:val="0"/>
      <w:color w:val="000000" w:themeColor="text1"/>
      <w:sz w:val="18"/>
      <w:szCs w:val="20"/>
    </w:rPr>
  </w:style>
  <w:style w:type="character" w:styleId="Mention">
    <w:name w:val="Mention"/>
    <w:basedOn w:val="DefaultParagraphFont"/>
    <w:uiPriority w:val="99"/>
    <w:unhideWhenUsed/>
    <w:rsid w:val="00FD6596"/>
    <w:rPr>
      <w:color w:val="2B579A"/>
      <w:shd w:val="clear" w:color="auto" w:fill="E1DFDD"/>
    </w:rPr>
  </w:style>
  <w:style w:type="paragraph" w:customStyle="1" w:styleId="Bullet1stlevelDOH">
    <w:name w:val="Bullet 1st level DOH"/>
    <w:basedOn w:val="Normal"/>
    <w:rsid w:val="00F2392D"/>
    <w:pPr>
      <w:numPr>
        <w:numId w:val="4"/>
      </w:numPr>
      <w:tabs>
        <w:tab w:val="left" w:pos="357"/>
      </w:tabs>
      <w:spacing w:before="60" w:after="60" w:line="264" w:lineRule="auto"/>
      <w:ind w:left="357" w:hanging="357"/>
    </w:pPr>
    <w:rPr>
      <w:sz w:val="20"/>
      <w:szCs w:val="20"/>
    </w:rPr>
  </w:style>
  <w:style w:type="paragraph" w:styleId="ListBullet4">
    <w:name w:val="List Bullet 4"/>
    <w:basedOn w:val="Normal"/>
    <w:uiPriority w:val="99"/>
    <w:unhideWhenUsed/>
    <w:rsid w:val="00B42948"/>
    <w:pPr>
      <w:numPr>
        <w:numId w:val="35"/>
      </w:numPr>
      <w:contextualSpacing/>
    </w:pPr>
    <w:rPr>
      <w:color w:val="FFFFFF" w:themeColor="background1"/>
      <w:sz w:val="20"/>
    </w:rPr>
  </w:style>
  <w:style w:type="character" w:customStyle="1" w:styleId="normaltextrun">
    <w:name w:val="normaltextrun"/>
    <w:basedOn w:val="DefaultParagraphFont"/>
    <w:rsid w:val="000B1B3C"/>
  </w:style>
  <w:style w:type="paragraph" w:customStyle="1" w:styleId="paragraph">
    <w:name w:val="paragraph"/>
    <w:basedOn w:val="Normal"/>
    <w:rsid w:val="009C4E02"/>
    <w:pPr>
      <w:spacing w:before="100" w:beforeAutospacing="1" w:after="100" w:afterAutospacing="1"/>
    </w:pPr>
    <w:rPr>
      <w:lang w:eastAsia="en-AU"/>
    </w:rPr>
  </w:style>
  <w:style w:type="character" w:customStyle="1" w:styleId="eop">
    <w:name w:val="eop"/>
    <w:basedOn w:val="DefaultParagraphFont"/>
    <w:rsid w:val="009C4E02"/>
  </w:style>
  <w:style w:type="paragraph" w:customStyle="1" w:styleId="Bullet1">
    <w:name w:val="Bullet 1"/>
    <w:basedOn w:val="Normal"/>
    <w:uiPriority w:val="2"/>
    <w:qFormat/>
    <w:rsid w:val="00C864B5"/>
    <w:pPr>
      <w:numPr>
        <w:numId w:val="13"/>
      </w:numPr>
      <w:tabs>
        <w:tab w:val="clear" w:pos="397"/>
        <w:tab w:val="num" w:pos="360"/>
        <w:tab w:val="num" w:pos="426"/>
      </w:tabs>
      <w:spacing w:before="40" w:after="80" w:line="260" w:lineRule="atLeast"/>
      <w:ind w:left="426" w:hanging="426"/>
    </w:pPr>
    <w:rPr>
      <w:szCs w:val="20"/>
    </w:rPr>
  </w:style>
  <w:style w:type="character" w:customStyle="1" w:styleId="bkciteavail">
    <w:name w:val="bk_cite_avail"/>
    <w:basedOn w:val="DefaultParagraphFont"/>
    <w:rsid w:val="00D62BDE"/>
  </w:style>
  <w:style w:type="paragraph" w:customStyle="1" w:styleId="ExampleHeading">
    <w:name w:val="Example Heading"/>
    <w:basedOn w:val="Heading2"/>
    <w:qFormat/>
    <w:rsid w:val="0080096F"/>
    <w:pPr>
      <w:spacing w:after="240"/>
      <w:ind w:left="357"/>
    </w:pPr>
    <w:rPr>
      <w:color w:val="FFFFFF" w:themeColor="background1"/>
    </w:rPr>
  </w:style>
  <w:style w:type="paragraph" w:customStyle="1" w:styleId="Bullet2ndlevelDOH">
    <w:name w:val="Bullet 2nd level DOH"/>
    <w:basedOn w:val="Bullet1stlevelDOH"/>
    <w:qFormat/>
    <w:rsid w:val="006C278D"/>
    <w:pPr>
      <w:numPr>
        <w:ilvl w:val="1"/>
      </w:numPr>
      <w:ind w:left="714" w:hanging="357"/>
    </w:pPr>
  </w:style>
  <w:style w:type="paragraph" w:customStyle="1" w:styleId="plandocheckact">
    <w:name w:val="plan do check act"/>
    <w:basedOn w:val="Normal"/>
    <w:qFormat/>
    <w:rsid w:val="003F173B"/>
    <w:pPr>
      <w:ind w:left="113" w:right="113"/>
      <w:jc w:val="center"/>
    </w:pPr>
    <w:rPr>
      <w:rFonts w:ascii="Arial Black" w:hAnsi="Arial Black"/>
      <w:color w:val="FFFFFF" w:themeColor="background1"/>
      <w:szCs w:val="28"/>
    </w:rPr>
  </w:style>
  <w:style w:type="paragraph" w:customStyle="1" w:styleId="SeparatorLine">
    <w:name w:val="Separator Line"/>
    <w:basedOn w:val="Normal"/>
    <w:qFormat/>
    <w:rsid w:val="00F63AF3"/>
    <w:pPr>
      <w:pBdr>
        <w:bottom w:val="dotted" w:sz="4" w:space="1" w:color="A5A5A5" w:themeColor="background2"/>
      </w:pBdr>
      <w:spacing w:after="240"/>
    </w:pPr>
    <w:rPr>
      <w:u w:val="single"/>
    </w:rPr>
  </w:style>
  <w:style w:type="paragraph" w:customStyle="1" w:styleId="Majorheading">
    <w:name w:val="Major heading"/>
    <w:basedOn w:val="Normal"/>
    <w:qFormat/>
    <w:rsid w:val="00795F02"/>
    <w:rPr>
      <w:b/>
      <w:sz w:val="20"/>
      <w:szCs w:val="20"/>
    </w:rPr>
  </w:style>
  <w:style w:type="paragraph" w:customStyle="1" w:styleId="FilledBlock-DarkBlue">
    <w:name w:val="Filled Block - Dark Blue"/>
    <w:basedOn w:val="Normal"/>
    <w:qFormat/>
    <w:rsid w:val="00454D17"/>
    <w:pPr>
      <w:pBdr>
        <w:top w:val="single" w:sz="4" w:space="6" w:color="00396C"/>
        <w:left w:val="single" w:sz="4" w:space="8" w:color="00396C"/>
        <w:bottom w:val="single" w:sz="4" w:space="6" w:color="00396C"/>
        <w:right w:val="single" w:sz="4" w:space="8" w:color="00396C"/>
      </w:pBdr>
      <w:shd w:val="clear" w:color="auto" w:fill="00396C"/>
      <w:ind w:left="170" w:right="170"/>
    </w:pPr>
    <w:rPr>
      <w:color w:val="FFFFFF" w:themeColor="background1"/>
      <w:szCs w:val="20"/>
    </w:rPr>
  </w:style>
  <w:style w:type="paragraph" w:customStyle="1" w:styleId="APCDChecklistNumber">
    <w:name w:val="APCD Checklist Number"/>
    <w:basedOn w:val="Normal"/>
    <w:qFormat/>
    <w:rsid w:val="00906F90"/>
    <w:pPr>
      <w:keepNext/>
      <w:keepLines/>
      <w:framePr w:w="1021" w:wrap="around" w:vAnchor="text" w:hAnchor="text" w:x="-1020" w:y="1"/>
      <w:spacing w:before="60"/>
    </w:pPr>
  </w:style>
  <w:style w:type="character" w:customStyle="1" w:styleId="file">
    <w:name w:val="file"/>
    <w:basedOn w:val="DefaultParagraphFont"/>
    <w:rsid w:val="00AD1FD7"/>
  </w:style>
  <w:style w:type="character" w:customStyle="1" w:styleId="filesize">
    <w:name w:val="filesize"/>
    <w:basedOn w:val="DefaultParagraphFont"/>
    <w:rsid w:val="00AD1FD7"/>
  </w:style>
  <w:style w:type="character" w:customStyle="1" w:styleId="Heading7Char">
    <w:name w:val="Heading 7 Char"/>
    <w:basedOn w:val="DefaultParagraphFont"/>
    <w:link w:val="Heading7"/>
    <w:semiHidden/>
    <w:rsid w:val="003E1DE9"/>
    <w:rPr>
      <w:rFonts w:ascii="Arial" w:eastAsiaTheme="majorEastAsia" w:hAnsi="Arial" w:cstheme="majorBidi"/>
      <w:b/>
      <w:i/>
      <w:iCs/>
      <w:color w:val="002547" w:themeColor="accent1" w:themeShade="7F"/>
      <w:szCs w:val="24"/>
    </w:rPr>
  </w:style>
  <w:style w:type="character" w:styleId="Strong">
    <w:name w:val="Strong"/>
    <w:basedOn w:val="DefaultParagraphFont"/>
    <w:rsid w:val="00454D17"/>
    <w:rPr>
      <w:rFonts w:eastAsia="Arial"/>
      <w:b/>
      <w:bCs/>
    </w:rPr>
  </w:style>
  <w:style w:type="character" w:styleId="SubtleEmphasis">
    <w:name w:val="Subtle Emphasis"/>
    <w:basedOn w:val="DefaultParagraphFont"/>
    <w:uiPriority w:val="19"/>
    <w:rsid w:val="003E1DE9"/>
    <w:rPr>
      <w:i/>
      <w:iCs/>
      <w:color w:val="808080" w:themeColor="text1" w:themeTint="7F"/>
    </w:rPr>
  </w:style>
  <w:style w:type="paragraph" w:styleId="Quote">
    <w:name w:val="Quote"/>
    <w:next w:val="Normal"/>
    <w:link w:val="QuoteChar"/>
    <w:uiPriority w:val="29"/>
    <w:qFormat/>
    <w:rsid w:val="003E1DE9"/>
    <w:pPr>
      <w:ind w:left="720"/>
    </w:pPr>
    <w:rPr>
      <w:rFonts w:ascii="Arial" w:eastAsia="Times New Roman" w:hAnsi="Arial" w:cs="Times New Roman"/>
      <w:i/>
      <w:iCs/>
      <w:color w:val="000000" w:themeColor="text1"/>
      <w:szCs w:val="24"/>
    </w:rPr>
  </w:style>
  <w:style w:type="character" w:customStyle="1" w:styleId="QuoteChar">
    <w:name w:val="Quote Char"/>
    <w:basedOn w:val="DefaultParagraphFont"/>
    <w:link w:val="Quote"/>
    <w:uiPriority w:val="29"/>
    <w:rsid w:val="003E1DE9"/>
    <w:rPr>
      <w:rFonts w:ascii="Arial" w:eastAsia="Times New Roman" w:hAnsi="Arial" w:cs="Times New Roman"/>
      <w:i/>
      <w:iCs/>
      <w:color w:val="000000" w:themeColor="text1"/>
      <w:szCs w:val="24"/>
    </w:rPr>
  </w:style>
  <w:style w:type="paragraph" w:styleId="IntenseQuote">
    <w:name w:val="Intense Quote"/>
    <w:next w:val="Normal"/>
    <w:link w:val="IntenseQuoteChar"/>
    <w:uiPriority w:val="30"/>
    <w:rsid w:val="003E1DE9"/>
    <w:pPr>
      <w:pBdr>
        <w:bottom w:val="single" w:sz="4" w:space="4" w:color="004C90" w:themeColor="accent1"/>
      </w:pBdr>
      <w:spacing w:before="200" w:after="280"/>
      <w:ind w:left="936" w:right="936"/>
    </w:pPr>
    <w:rPr>
      <w:rFonts w:ascii="Arial" w:eastAsia="Times New Roman" w:hAnsi="Arial" w:cs="Times New Roman"/>
      <w:b/>
      <w:bCs/>
      <w:i/>
      <w:iCs/>
      <w:color w:val="004C90" w:themeColor="accent1"/>
      <w:szCs w:val="24"/>
    </w:rPr>
  </w:style>
  <w:style w:type="character" w:customStyle="1" w:styleId="IntenseQuoteChar">
    <w:name w:val="Intense Quote Char"/>
    <w:basedOn w:val="DefaultParagraphFont"/>
    <w:link w:val="IntenseQuote"/>
    <w:uiPriority w:val="30"/>
    <w:rsid w:val="003E1DE9"/>
    <w:rPr>
      <w:rFonts w:ascii="Arial" w:eastAsia="Times New Roman" w:hAnsi="Arial" w:cs="Times New Roman"/>
      <w:b/>
      <w:bCs/>
      <w:i/>
      <w:iCs/>
      <w:color w:val="004C90" w:themeColor="accent1"/>
      <w:szCs w:val="24"/>
    </w:rPr>
  </w:style>
  <w:style w:type="character" w:styleId="SubtleReference">
    <w:name w:val="Subtle Reference"/>
    <w:basedOn w:val="DefaultParagraphFont"/>
    <w:uiPriority w:val="31"/>
    <w:rsid w:val="003E1DE9"/>
    <w:rPr>
      <w:smallCaps/>
      <w:color w:val="00B3C3" w:themeColor="accent2"/>
      <w:u w:val="single"/>
    </w:rPr>
  </w:style>
  <w:style w:type="character" w:styleId="IntenseReference">
    <w:name w:val="Intense Reference"/>
    <w:basedOn w:val="DefaultParagraphFont"/>
    <w:uiPriority w:val="32"/>
    <w:rsid w:val="003E1DE9"/>
    <w:rPr>
      <w:b/>
      <w:bCs/>
      <w:i/>
      <w:smallCaps/>
      <w:color w:val="00B3C3" w:themeColor="accent2"/>
      <w:spacing w:val="5"/>
      <w:u w:val="none"/>
    </w:rPr>
  </w:style>
  <w:style w:type="paragraph" w:styleId="ListBullet2">
    <w:name w:val="List Bullet 2"/>
    <w:basedOn w:val="ListNumber2"/>
    <w:rsid w:val="003E1DE9"/>
    <w:pPr>
      <w:numPr>
        <w:numId w:val="18"/>
      </w:numPr>
    </w:pPr>
  </w:style>
  <w:style w:type="paragraph" w:styleId="ListNumber2">
    <w:name w:val="List Number 2"/>
    <w:basedOn w:val="ListBullet"/>
    <w:qFormat/>
    <w:rsid w:val="003E1DE9"/>
    <w:pPr>
      <w:numPr>
        <w:numId w:val="20"/>
      </w:numPr>
    </w:pPr>
  </w:style>
  <w:style w:type="paragraph" w:styleId="ListBullet">
    <w:name w:val="List Bullet"/>
    <w:basedOn w:val="Normal"/>
    <w:qFormat/>
    <w:rsid w:val="00FD1B87"/>
    <w:pPr>
      <w:numPr>
        <w:numId w:val="19"/>
      </w:numPr>
      <w:tabs>
        <w:tab w:val="left" w:pos="340"/>
        <w:tab w:val="left" w:pos="680"/>
      </w:tabs>
      <w:spacing w:before="60" w:after="60"/>
    </w:pPr>
    <w:rPr>
      <w:rFonts w:eastAsiaTheme="minorHAnsi" w:cstheme="minorBidi"/>
      <w:color w:val="auto"/>
    </w:rPr>
  </w:style>
  <w:style w:type="paragraph" w:styleId="ListNumber3">
    <w:name w:val="List Number 3"/>
    <w:aliases w:val="List Third Level"/>
    <w:basedOn w:val="ListNumber2"/>
    <w:rsid w:val="003E1DE9"/>
    <w:pPr>
      <w:numPr>
        <w:numId w:val="15"/>
      </w:numPr>
      <w:tabs>
        <w:tab w:val="num" w:pos="1440"/>
      </w:tabs>
    </w:pPr>
    <w:rPr>
      <w:rFonts w:eastAsia="Cambria"/>
      <w:szCs w:val="22"/>
      <w:lang w:val="en-US"/>
    </w:rPr>
  </w:style>
  <w:style w:type="paragraph" w:customStyle="1" w:styleId="ImageTitle">
    <w:name w:val="Image Title"/>
    <w:locked/>
    <w:rsid w:val="003E1DE9"/>
    <w:pPr>
      <w:tabs>
        <w:tab w:val="num" w:pos="1080"/>
      </w:tabs>
      <w:spacing w:before="120" w:line="240" w:lineRule="exact"/>
    </w:pPr>
    <w:rPr>
      <w:rFonts w:ascii="Arial" w:eastAsia="Times New Roman" w:hAnsi="Arial" w:cs="Times New Roman"/>
      <w:color w:val="000000" w:themeColor="text1"/>
      <w:szCs w:val="24"/>
    </w:rPr>
  </w:style>
  <w:style w:type="table" w:styleId="TableColumns3">
    <w:name w:val="Table Columns 3"/>
    <w:basedOn w:val="TableNormal"/>
    <w:rsid w:val="003E1DE9"/>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3E1DE9"/>
    <w:pPr>
      <w:spacing w:before="60" w:after="60"/>
    </w:pPr>
    <w:rPr>
      <w:rFonts w:ascii="Arial" w:eastAsia="Times New Roman" w:hAnsi="Arial" w:cs="Times New Roman"/>
      <w:color w:val="000000" w:themeColor="text1"/>
      <w:sz w:val="21"/>
      <w:szCs w:val="24"/>
    </w:rPr>
  </w:style>
  <w:style w:type="table" w:styleId="TableColumns2">
    <w:name w:val="Table Columns 2"/>
    <w:basedOn w:val="TableNormal"/>
    <w:rsid w:val="003E1DE9"/>
    <w:pPr>
      <w:spacing w:before="120" w:line="24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3E1DE9"/>
    <w:rPr>
      <w:rFonts w:ascii="Times New Roman" w:eastAsia="Times New Roman" w:hAnsi="Times New Roman" w:cs="Times New Roman"/>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3E1DE9"/>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3E1DE9"/>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3E1DE9"/>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3E1DE9"/>
    <w:pPr>
      <w:spacing w:before="120" w:after="120"/>
    </w:pPr>
    <w:rPr>
      <w:rFonts w:ascii="Arial" w:eastAsia="Times New Roman" w:hAnsi="Arial" w:cs="Times New Roman"/>
      <w:b/>
      <w:color w:val="000000" w:themeColor="text1"/>
      <w:szCs w:val="24"/>
      <w:lang w:val="en-US"/>
    </w:rPr>
  </w:style>
  <w:style w:type="paragraph" w:customStyle="1" w:styleId="TableHeaderWhite">
    <w:name w:val="Table Header White"/>
    <w:basedOn w:val="Normal"/>
    <w:next w:val="Tabletextleft"/>
    <w:qFormat/>
    <w:rsid w:val="003E1DE9"/>
    <w:pPr>
      <w:spacing w:before="80" w:after="80"/>
    </w:pPr>
    <w:rPr>
      <w:rFonts w:eastAsia="Cambria"/>
      <w:b/>
      <w:color w:val="FFFFFF" w:themeColor="background1"/>
      <w:szCs w:val="22"/>
      <w:lang w:val="en-US"/>
    </w:rPr>
  </w:style>
  <w:style w:type="table" w:styleId="TableGrid7">
    <w:name w:val="Table Grid 7"/>
    <w:basedOn w:val="TableNormal"/>
    <w:rsid w:val="003E1DE9"/>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3E1DE9"/>
    <w:pPr>
      <w:spacing w:before="60"/>
    </w:pPr>
    <w:rPr>
      <w:rFonts w:cs="Arial"/>
      <w:b/>
      <w:sz w:val="20"/>
    </w:rPr>
  </w:style>
  <w:style w:type="paragraph" w:customStyle="1" w:styleId="FigureTitle">
    <w:name w:val="Figure Title"/>
    <w:next w:val="Normal"/>
    <w:qFormat/>
    <w:rsid w:val="003E1DE9"/>
    <w:pPr>
      <w:spacing w:before="120" w:after="120"/>
    </w:pPr>
    <w:rPr>
      <w:rFonts w:ascii="Arial" w:eastAsia="Times New Roman" w:hAnsi="Arial" w:cs="Arial"/>
      <w:b/>
      <w:bCs/>
      <w:iCs/>
      <w:color w:val="000000" w:themeColor="text1"/>
    </w:rPr>
  </w:style>
  <w:style w:type="paragraph" w:customStyle="1" w:styleId="Headertext">
    <w:name w:val="Header text"/>
    <w:rsid w:val="003E1DE9"/>
    <w:pPr>
      <w:jc w:val="right"/>
    </w:pPr>
    <w:rPr>
      <w:rFonts w:ascii="Arial" w:eastAsia="Times New Roman" w:hAnsi="Arial" w:cs="Times New Roman"/>
      <w:sz w:val="20"/>
      <w:szCs w:val="24"/>
    </w:rPr>
  </w:style>
  <w:style w:type="table" w:customStyle="1" w:styleId="PHNGreyTable">
    <w:name w:val="PHN Grey Table"/>
    <w:basedOn w:val="TableNormal"/>
    <w:uiPriority w:val="99"/>
    <w:rsid w:val="003E1DE9"/>
    <w:pPr>
      <w:spacing w:before="120" w:after="120"/>
    </w:pPr>
    <w:rPr>
      <w:rFonts w:ascii="Arial" w:eastAsia="Times New Roman" w:hAnsi="Arial" w:cs="Times New Roman"/>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3E1DE9"/>
    <w:pPr>
      <w:numPr>
        <w:numId w:val="16"/>
      </w:numPr>
    </w:pPr>
    <w:rPr>
      <w:szCs w:val="20"/>
    </w:rPr>
  </w:style>
  <w:style w:type="paragraph" w:customStyle="1" w:styleId="Tablelistnumber">
    <w:name w:val="Table list number"/>
    <w:basedOn w:val="Tabletextleft"/>
    <w:qFormat/>
    <w:rsid w:val="003E1DE9"/>
    <w:pPr>
      <w:numPr>
        <w:numId w:val="17"/>
      </w:numPr>
    </w:pPr>
    <w:rPr>
      <w:bCs/>
      <w14:numSpacing w14:val="proportional"/>
    </w:rPr>
  </w:style>
  <w:style w:type="paragraph" w:customStyle="1" w:styleId="TableHeader">
    <w:name w:val="Table Header"/>
    <w:basedOn w:val="Normal"/>
    <w:next w:val="Tabletextleft"/>
    <w:qFormat/>
    <w:rsid w:val="00314F78"/>
    <w:pPr>
      <w:spacing w:before="80" w:after="80"/>
    </w:pPr>
    <w:rPr>
      <w:rFonts w:eastAsia="Cambria"/>
      <w:b/>
      <w:color w:val="auto"/>
      <w:szCs w:val="22"/>
      <w:lang w:val="en-US"/>
    </w:rPr>
  </w:style>
  <w:style w:type="paragraph" w:customStyle="1" w:styleId="SectionHeading">
    <w:name w:val="Section Heading"/>
    <w:basedOn w:val="Heading1"/>
    <w:next w:val="Normal"/>
    <w:rsid w:val="003E1DE9"/>
    <w:rPr>
      <w:szCs w:val="32"/>
    </w:rPr>
  </w:style>
  <w:style w:type="paragraph" w:customStyle="1" w:styleId="VisionBox">
    <w:name w:val="VisionBox"/>
    <w:basedOn w:val="Normal"/>
    <w:link w:val="VisionBoxChar"/>
    <w:qFormat/>
    <w:rsid w:val="003E1DE9"/>
    <w:pPr>
      <w:pBdr>
        <w:top w:val="single" w:sz="4" w:space="15" w:color="358189"/>
        <w:bottom w:val="single" w:sz="4" w:space="10" w:color="358189"/>
      </w:pBdr>
      <w:spacing w:before="240" w:after="240" w:line="340" w:lineRule="exact"/>
    </w:pPr>
    <w:rPr>
      <w:rFonts w:eastAsiaTheme="minorHAnsi"/>
      <w:color w:val="358189"/>
    </w:rPr>
  </w:style>
  <w:style w:type="paragraph" w:customStyle="1" w:styleId="PolicyStatement">
    <w:name w:val="PolicyStatement"/>
    <w:basedOn w:val="Normal"/>
    <w:qFormat/>
    <w:rsid w:val="003E1DE9"/>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3E1DE9"/>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3E1DE9"/>
    <w:rPr>
      <w:rFonts w:ascii="Arial" w:eastAsia="Times New Roman" w:hAnsi="Arial" w:cs="Times New Roman"/>
      <w:b/>
      <w:color w:val="000000" w:themeColor="text1"/>
      <w:szCs w:val="24"/>
      <w:lang w:val="en-US"/>
    </w:rPr>
  </w:style>
  <w:style w:type="paragraph" w:customStyle="1" w:styleId="IntroPara0">
    <w:name w:val="Intro Para"/>
    <w:basedOn w:val="Normal"/>
    <w:next w:val="Normal"/>
    <w:qFormat/>
    <w:rsid w:val="003E1DE9"/>
    <w:pPr>
      <w:spacing w:before="480" w:line="400" w:lineRule="exact"/>
    </w:pPr>
    <w:rPr>
      <w:color w:val="358189"/>
      <w:sz w:val="28"/>
    </w:rPr>
  </w:style>
  <w:style w:type="paragraph" w:customStyle="1" w:styleId="TableTextright">
    <w:name w:val="Table Text right"/>
    <w:basedOn w:val="Tabletextleft"/>
    <w:rsid w:val="003E1DE9"/>
    <w:pPr>
      <w:jc w:val="right"/>
    </w:pPr>
  </w:style>
  <w:style w:type="paragraph" w:customStyle="1" w:styleId="Tabletextright0">
    <w:name w:val="Table text right"/>
    <w:basedOn w:val="Tabletextleft"/>
    <w:rsid w:val="003E1DE9"/>
    <w:pPr>
      <w:jc w:val="right"/>
    </w:pPr>
  </w:style>
  <w:style w:type="paragraph" w:customStyle="1" w:styleId="Tabletextcentre">
    <w:name w:val="Table text centre"/>
    <w:basedOn w:val="Tabletextleft"/>
    <w:rsid w:val="003E1DE9"/>
    <w:pPr>
      <w:jc w:val="center"/>
    </w:pPr>
  </w:style>
  <w:style w:type="paragraph" w:customStyle="1" w:styleId="Boxheading">
    <w:name w:val="Box heading"/>
    <w:basedOn w:val="Boxtype"/>
    <w:qFormat/>
    <w:rsid w:val="003E1DE9"/>
    <w:pPr>
      <w:spacing w:before="240"/>
    </w:pPr>
    <w:rPr>
      <w:rFonts w:cs="Times New Roman"/>
      <w:b/>
      <w:bCs/>
      <w:caps/>
      <w:color w:val="358189"/>
      <w:szCs w:val="20"/>
    </w:rPr>
  </w:style>
  <w:style w:type="paragraph" w:customStyle="1" w:styleId="Boxtype">
    <w:name w:val="Box type"/>
    <w:next w:val="Normal"/>
    <w:qFormat/>
    <w:rsid w:val="003E1DE9"/>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000000" w:themeColor="text1"/>
      <w:szCs w:val="24"/>
      <w:lang w:val="en"/>
    </w:rPr>
  </w:style>
  <w:style w:type="paragraph" w:customStyle="1" w:styleId="Footerrightpage">
    <w:name w:val="Footer right page"/>
    <w:basedOn w:val="Footer"/>
    <w:rsid w:val="003E1DE9"/>
  </w:style>
  <w:style w:type="paragraph" w:customStyle="1" w:styleId="URL">
    <w:name w:val="URL"/>
    <w:basedOn w:val="Normal"/>
    <w:rsid w:val="003E1DE9"/>
    <w:pPr>
      <w:spacing w:before="3120"/>
      <w:jc w:val="center"/>
    </w:pPr>
    <w:rPr>
      <w:b/>
      <w:bCs/>
      <w:sz w:val="24"/>
      <w:szCs w:val="20"/>
    </w:rPr>
  </w:style>
  <w:style w:type="numbering" w:customStyle="1" w:styleId="Style2">
    <w:name w:val="Style2"/>
    <w:uiPriority w:val="99"/>
    <w:rsid w:val="00EA4D0B"/>
    <w:pPr>
      <w:numPr>
        <w:numId w:val="21"/>
      </w:numPr>
    </w:pPr>
  </w:style>
  <w:style w:type="numbering" w:customStyle="1" w:styleId="Style3">
    <w:name w:val="Style3"/>
    <w:uiPriority w:val="99"/>
    <w:rsid w:val="00B32E56"/>
    <w:pPr>
      <w:numPr>
        <w:numId w:val="22"/>
      </w:numPr>
    </w:pPr>
  </w:style>
  <w:style w:type="table" w:customStyle="1" w:styleId="TableGrid1">
    <w:name w:val="Table Grid1"/>
    <w:basedOn w:val="TableNormal"/>
    <w:next w:val="TableGrid"/>
    <w:uiPriority w:val="39"/>
    <w:rsid w:val="004512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CheckmarkBulletsNumbers">
    <w:name w:val="Numbered Checkmark Bullets &amp; Numbers"/>
    <w:basedOn w:val="NoList"/>
    <w:uiPriority w:val="99"/>
    <w:rsid w:val="004512A2"/>
    <w:pPr>
      <w:numPr>
        <w:numId w:val="23"/>
      </w:numPr>
    </w:pPr>
  </w:style>
  <w:style w:type="paragraph" w:customStyle="1" w:styleId="Headerlistwhite">
    <w:name w:val="Header list (white)"/>
    <w:basedOn w:val="ListNumber"/>
    <w:link w:val="HeaderlistwhiteChar"/>
    <w:qFormat/>
    <w:rsid w:val="002C4E14"/>
    <w:pPr>
      <w:numPr>
        <w:numId w:val="47"/>
      </w:numPr>
      <w:spacing w:before="0" w:after="0"/>
      <w:ind w:left="1077" w:hanging="357"/>
    </w:pPr>
    <w:rPr>
      <w:color w:val="FFFFFF" w:themeColor="background1"/>
    </w:rPr>
  </w:style>
  <w:style w:type="paragraph" w:customStyle="1" w:styleId="StrongTeal">
    <w:name w:val="Strong (Teal)"/>
    <w:basedOn w:val="Normal"/>
    <w:link w:val="StrongTealChar"/>
    <w:qFormat/>
    <w:rsid w:val="00031A71"/>
    <w:rPr>
      <w:b/>
      <w:color w:val="008995" w:themeColor="accent4"/>
    </w:rPr>
  </w:style>
  <w:style w:type="character" w:customStyle="1" w:styleId="StrongTealChar">
    <w:name w:val="Strong (Teal) Char"/>
    <w:basedOn w:val="DefaultParagraphFont"/>
    <w:link w:val="StrongTeal"/>
    <w:rsid w:val="00031A71"/>
    <w:rPr>
      <w:rFonts w:ascii="Arial" w:eastAsiaTheme="minorEastAsia" w:hAnsi="Arial" w:cs="Times New Roman"/>
      <w:b/>
      <w:color w:val="008995" w:themeColor="accent4"/>
      <w:szCs w:val="24"/>
    </w:rPr>
  </w:style>
  <w:style w:type="numbering" w:customStyle="1" w:styleId="QIList">
    <w:name w:val="QI List"/>
    <w:uiPriority w:val="99"/>
    <w:rsid w:val="004512A2"/>
    <w:pPr>
      <w:numPr>
        <w:numId w:val="24"/>
      </w:numPr>
    </w:pPr>
  </w:style>
  <w:style w:type="paragraph" w:styleId="TOCHeading">
    <w:name w:val="TOC Heading"/>
    <w:basedOn w:val="Heading1"/>
    <w:next w:val="Normal"/>
    <w:uiPriority w:val="39"/>
    <w:unhideWhenUsed/>
    <w:qFormat/>
    <w:rsid w:val="004512A2"/>
    <w:pPr>
      <w:keepLines/>
      <w:spacing w:after="0" w:line="259" w:lineRule="auto"/>
      <w:outlineLvl w:val="9"/>
    </w:pPr>
    <w:rPr>
      <w:rFonts w:asciiTheme="majorHAnsi" w:eastAsiaTheme="majorEastAsia" w:hAnsiTheme="majorHAnsi" w:cstheme="majorBidi"/>
      <w:b w:val="0"/>
      <w:bCs w:val="0"/>
      <w:color w:val="00386B" w:themeColor="accent1" w:themeShade="BF"/>
      <w:kern w:val="0"/>
      <w:sz w:val="32"/>
      <w:szCs w:val="32"/>
      <w:lang w:val="en-US"/>
    </w:rPr>
  </w:style>
  <w:style w:type="character" w:customStyle="1" w:styleId="EndnoteTextChar1">
    <w:name w:val="Endnote Text Char1"/>
    <w:basedOn w:val="DefaultParagraphFont"/>
    <w:semiHidden/>
    <w:rsid w:val="004512A2"/>
    <w:rPr>
      <w:rFonts w:ascii="Arial" w:hAnsi="Arial"/>
      <w:color w:val="000000" w:themeColor="text1"/>
      <w:lang w:eastAsia="en-US"/>
    </w:rPr>
  </w:style>
  <w:style w:type="character" w:customStyle="1" w:styleId="cf01">
    <w:name w:val="cf01"/>
    <w:basedOn w:val="DefaultParagraphFont"/>
    <w:rsid w:val="004512A2"/>
    <w:rPr>
      <w:rFonts w:ascii="Segoe UI" w:hAnsi="Segoe UI" w:cs="Segoe UI" w:hint="default"/>
      <w:sz w:val="18"/>
      <w:szCs w:val="18"/>
    </w:rPr>
  </w:style>
  <w:style w:type="paragraph" w:styleId="ListNumber">
    <w:name w:val="List Number"/>
    <w:basedOn w:val="Normal"/>
    <w:uiPriority w:val="99"/>
    <w:unhideWhenUsed/>
    <w:rsid w:val="00454D17"/>
    <w:pPr>
      <w:numPr>
        <w:numId w:val="9"/>
      </w:numPr>
      <w:contextualSpacing/>
    </w:pPr>
  </w:style>
  <w:style w:type="paragraph" w:styleId="NormalIndent">
    <w:name w:val="Normal Indent"/>
    <w:basedOn w:val="Normal"/>
    <w:uiPriority w:val="99"/>
    <w:unhideWhenUsed/>
    <w:rsid w:val="00900CF0"/>
    <w:pPr>
      <w:ind w:left="720"/>
    </w:pPr>
  </w:style>
  <w:style w:type="paragraph" w:styleId="List5">
    <w:name w:val="List 5"/>
    <w:basedOn w:val="Normal"/>
    <w:uiPriority w:val="99"/>
    <w:unhideWhenUsed/>
    <w:rsid w:val="00445B8B"/>
    <w:pPr>
      <w:ind w:left="1415" w:hanging="283"/>
      <w:contextualSpacing/>
    </w:pPr>
  </w:style>
  <w:style w:type="character" w:customStyle="1" w:styleId="VisionBoxChar">
    <w:name w:val="VisionBox Char"/>
    <w:basedOn w:val="DefaultParagraphFont"/>
    <w:link w:val="VisionBox"/>
    <w:rsid w:val="005F4EDF"/>
    <w:rPr>
      <w:rFonts w:ascii="Arial" w:hAnsi="Arial" w:cs="Times New Roman"/>
      <w:color w:val="358189"/>
      <w:szCs w:val="24"/>
    </w:rPr>
  </w:style>
  <w:style w:type="character" w:customStyle="1" w:styleId="HeaderwhiteChar">
    <w:name w:val="Header (white) Char"/>
    <w:basedOn w:val="VisionBoxChar"/>
    <w:link w:val="Headerwhite"/>
    <w:rsid w:val="00261777"/>
    <w:rPr>
      <w:rFonts w:ascii="Arial" w:hAnsi="Arial" w:cs="Times New Roman"/>
      <w:color w:val="FFFFFF" w:themeColor="background1"/>
      <w:szCs w:val="24"/>
    </w:rPr>
  </w:style>
  <w:style w:type="character" w:customStyle="1" w:styleId="HeaderlistwhiteChar">
    <w:name w:val="Header list (white) Char"/>
    <w:basedOn w:val="HeaderwhiteChar"/>
    <w:link w:val="Headerlistwhite"/>
    <w:rsid w:val="002C4E14"/>
    <w:rPr>
      <w:rFonts w:ascii="Arial" w:eastAsiaTheme="minorEastAsia" w:hAnsi="Arial" w:cs="Times New Roman"/>
      <w:color w:val="FFFFFF" w:themeColor="background1"/>
      <w:szCs w:val="24"/>
    </w:rPr>
  </w:style>
  <w:style w:type="paragraph" w:styleId="TOAHeading">
    <w:name w:val="toa heading"/>
    <w:next w:val="Normal"/>
    <w:uiPriority w:val="99"/>
    <w:unhideWhenUsed/>
    <w:rsid w:val="00524825"/>
    <w:rPr>
      <w:rFonts w:ascii="Arial" w:eastAsia="Arial" w:hAnsi="Arial" w:cs="Arial"/>
      <w:b/>
      <w:bCs/>
      <w:color w:val="3F4A75"/>
      <w:kern w:val="28"/>
      <w:sz w:val="44"/>
      <w:szCs w:val="36"/>
    </w:rPr>
  </w:style>
  <w:style w:type="character" w:customStyle="1" w:styleId="Heading8Char">
    <w:name w:val="Heading 8 Char"/>
    <w:basedOn w:val="DefaultParagraphFont"/>
    <w:link w:val="Heading8"/>
    <w:uiPriority w:val="9"/>
    <w:semiHidden/>
    <w:rsid w:val="00834C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4CC5"/>
    <w:rPr>
      <w:rFonts w:asciiTheme="majorHAnsi" w:eastAsiaTheme="majorEastAsia" w:hAnsiTheme="majorHAnsi" w:cstheme="majorBidi"/>
      <w:i/>
      <w:iCs/>
      <w:color w:val="272727" w:themeColor="text1" w:themeTint="D8"/>
      <w:sz w:val="21"/>
      <w:szCs w:val="21"/>
    </w:rPr>
  </w:style>
  <w:style w:type="paragraph" w:customStyle="1" w:styleId="Normalwhite">
    <w:name w:val="Normal (white)"/>
    <w:basedOn w:val="Normal"/>
    <w:link w:val="NormalwhiteChar"/>
    <w:qFormat/>
    <w:rsid w:val="005F2326"/>
    <w:rPr>
      <w:color w:val="FFFFFF" w:themeColor="background1"/>
      <w:sz w:val="20"/>
    </w:rPr>
  </w:style>
  <w:style w:type="character" w:customStyle="1" w:styleId="NormalwhiteChar">
    <w:name w:val="Normal (white) Char"/>
    <w:basedOn w:val="DefaultParagraphFont"/>
    <w:link w:val="Normalwhite"/>
    <w:rsid w:val="005F2326"/>
    <w:rPr>
      <w:rFonts w:ascii="Arial" w:eastAsiaTheme="minorEastAsia" w:hAnsi="Arial" w:cs="Times New Roman"/>
      <w:color w:val="FFFFFF" w:themeColor="background1"/>
      <w:sz w:val="20"/>
      <w:szCs w:val="24"/>
    </w:rPr>
  </w:style>
  <w:style w:type="paragraph" w:styleId="BlockText">
    <w:name w:val="Block Text"/>
    <w:basedOn w:val="Normal"/>
    <w:uiPriority w:val="99"/>
    <w:semiHidden/>
    <w:unhideWhenUsed/>
    <w:rsid w:val="009253DC"/>
    <w:pPr>
      <w:pBdr>
        <w:top w:val="single" w:sz="2" w:space="10" w:color="004C90" w:themeColor="accent1"/>
        <w:left w:val="single" w:sz="2" w:space="10" w:color="004C90" w:themeColor="accent1"/>
        <w:bottom w:val="single" w:sz="2" w:space="10" w:color="004C90" w:themeColor="accent1"/>
        <w:right w:val="single" w:sz="2" w:space="10" w:color="004C90" w:themeColor="accent1"/>
      </w:pBdr>
      <w:ind w:left="1152" w:right="1152"/>
    </w:pPr>
    <w:rPr>
      <w:rFonts w:asciiTheme="minorHAnsi" w:hAnsiTheme="minorHAnsi" w:cstheme="minorBidi"/>
      <w:i/>
      <w:iCs/>
      <w:color w:val="004C90" w:themeColor="accent1"/>
    </w:rPr>
  </w:style>
  <w:style w:type="paragraph" w:styleId="BodyText2">
    <w:name w:val="Body Text 2"/>
    <w:basedOn w:val="Normal"/>
    <w:link w:val="BodyText2Char"/>
    <w:uiPriority w:val="99"/>
    <w:semiHidden/>
    <w:unhideWhenUsed/>
    <w:rsid w:val="009253DC"/>
    <w:pPr>
      <w:spacing w:line="480" w:lineRule="auto"/>
    </w:pPr>
  </w:style>
  <w:style w:type="character" w:customStyle="1" w:styleId="BodyText2Char">
    <w:name w:val="Body Text 2 Char"/>
    <w:basedOn w:val="DefaultParagraphFont"/>
    <w:link w:val="BodyText2"/>
    <w:uiPriority w:val="99"/>
    <w:semiHidden/>
    <w:rsid w:val="009253DC"/>
    <w:rPr>
      <w:rFonts w:ascii="Arial" w:eastAsiaTheme="minorEastAsia" w:hAnsi="Arial" w:cs="Times New Roman"/>
      <w:color w:val="000000" w:themeColor="text1"/>
      <w:szCs w:val="24"/>
    </w:rPr>
  </w:style>
  <w:style w:type="paragraph" w:styleId="BodyText3">
    <w:name w:val="Body Text 3"/>
    <w:basedOn w:val="Normal"/>
    <w:link w:val="BodyText3Char"/>
    <w:uiPriority w:val="99"/>
    <w:semiHidden/>
    <w:unhideWhenUsed/>
    <w:rsid w:val="009253DC"/>
    <w:rPr>
      <w:sz w:val="16"/>
      <w:szCs w:val="16"/>
    </w:rPr>
  </w:style>
  <w:style w:type="character" w:customStyle="1" w:styleId="BodyText3Char">
    <w:name w:val="Body Text 3 Char"/>
    <w:basedOn w:val="DefaultParagraphFont"/>
    <w:link w:val="BodyText3"/>
    <w:uiPriority w:val="99"/>
    <w:semiHidden/>
    <w:rsid w:val="009253DC"/>
    <w:rPr>
      <w:rFonts w:ascii="Arial" w:eastAsiaTheme="minorEastAsia" w:hAnsi="Arial" w:cs="Times New Roman"/>
      <w:color w:val="000000" w:themeColor="text1"/>
      <w:sz w:val="16"/>
      <w:szCs w:val="16"/>
    </w:rPr>
  </w:style>
  <w:style w:type="paragraph" w:styleId="BodyTextFirstIndent">
    <w:name w:val="Body Text First Indent"/>
    <w:basedOn w:val="BodyText"/>
    <w:link w:val="BodyTextFirstIndentChar"/>
    <w:uiPriority w:val="99"/>
    <w:semiHidden/>
    <w:unhideWhenUsed/>
    <w:rsid w:val="009253DC"/>
    <w:pPr>
      <w:ind w:firstLine="360"/>
    </w:pPr>
  </w:style>
  <w:style w:type="character" w:customStyle="1" w:styleId="BodyTextFirstIndentChar">
    <w:name w:val="Body Text First Indent Char"/>
    <w:basedOn w:val="BodyTextChar"/>
    <w:link w:val="BodyTextFirstIndent"/>
    <w:uiPriority w:val="99"/>
    <w:semiHidden/>
    <w:rsid w:val="009253DC"/>
    <w:rPr>
      <w:rFonts w:ascii="Arial" w:eastAsiaTheme="minorEastAsia" w:hAnsi="Arial" w:cs="Times New Roman"/>
      <w:color w:val="000000" w:themeColor="text1"/>
      <w:szCs w:val="24"/>
    </w:rPr>
  </w:style>
  <w:style w:type="paragraph" w:styleId="BodyTextIndent">
    <w:name w:val="Body Text Indent"/>
    <w:basedOn w:val="Normal"/>
    <w:link w:val="BodyTextIndentChar"/>
    <w:uiPriority w:val="99"/>
    <w:semiHidden/>
    <w:unhideWhenUsed/>
    <w:rsid w:val="009253DC"/>
    <w:pPr>
      <w:ind w:left="283"/>
    </w:pPr>
  </w:style>
  <w:style w:type="character" w:customStyle="1" w:styleId="BodyTextIndentChar">
    <w:name w:val="Body Text Indent Char"/>
    <w:basedOn w:val="DefaultParagraphFont"/>
    <w:link w:val="BodyTextIndent"/>
    <w:uiPriority w:val="99"/>
    <w:semiHidden/>
    <w:rsid w:val="009253DC"/>
    <w:rPr>
      <w:rFonts w:ascii="Arial" w:eastAsiaTheme="minorEastAsia" w:hAnsi="Arial" w:cs="Times New Roman"/>
      <w:color w:val="000000" w:themeColor="text1"/>
      <w:szCs w:val="24"/>
    </w:rPr>
  </w:style>
  <w:style w:type="paragraph" w:styleId="BodyTextFirstIndent2">
    <w:name w:val="Body Text First Indent 2"/>
    <w:basedOn w:val="BodyTextIndent"/>
    <w:link w:val="BodyTextFirstIndent2Char"/>
    <w:uiPriority w:val="99"/>
    <w:semiHidden/>
    <w:unhideWhenUsed/>
    <w:rsid w:val="009253DC"/>
    <w:pPr>
      <w:ind w:left="360" w:firstLine="360"/>
    </w:pPr>
  </w:style>
  <w:style w:type="character" w:customStyle="1" w:styleId="BodyTextFirstIndent2Char">
    <w:name w:val="Body Text First Indent 2 Char"/>
    <w:basedOn w:val="BodyTextIndentChar"/>
    <w:link w:val="BodyTextFirstIndent2"/>
    <w:uiPriority w:val="99"/>
    <w:semiHidden/>
    <w:rsid w:val="009253DC"/>
    <w:rPr>
      <w:rFonts w:ascii="Arial" w:eastAsiaTheme="minorEastAsia" w:hAnsi="Arial" w:cs="Times New Roman"/>
      <w:color w:val="000000" w:themeColor="text1"/>
      <w:szCs w:val="24"/>
    </w:rPr>
  </w:style>
  <w:style w:type="paragraph" w:styleId="BodyTextIndent2">
    <w:name w:val="Body Text Indent 2"/>
    <w:basedOn w:val="Normal"/>
    <w:link w:val="BodyTextIndent2Char"/>
    <w:uiPriority w:val="99"/>
    <w:semiHidden/>
    <w:unhideWhenUsed/>
    <w:rsid w:val="009253DC"/>
    <w:pPr>
      <w:spacing w:line="480" w:lineRule="auto"/>
      <w:ind w:left="283"/>
    </w:pPr>
  </w:style>
  <w:style w:type="character" w:customStyle="1" w:styleId="BodyTextIndent2Char">
    <w:name w:val="Body Text Indent 2 Char"/>
    <w:basedOn w:val="DefaultParagraphFont"/>
    <w:link w:val="BodyTextIndent2"/>
    <w:uiPriority w:val="99"/>
    <w:semiHidden/>
    <w:rsid w:val="009253DC"/>
    <w:rPr>
      <w:rFonts w:ascii="Arial" w:eastAsiaTheme="minorEastAsia" w:hAnsi="Arial" w:cs="Times New Roman"/>
      <w:color w:val="000000" w:themeColor="text1"/>
      <w:szCs w:val="24"/>
    </w:rPr>
  </w:style>
  <w:style w:type="paragraph" w:styleId="BodyTextIndent3">
    <w:name w:val="Body Text Indent 3"/>
    <w:basedOn w:val="Normal"/>
    <w:link w:val="BodyTextIndent3Char"/>
    <w:uiPriority w:val="99"/>
    <w:semiHidden/>
    <w:unhideWhenUsed/>
    <w:rsid w:val="009253DC"/>
    <w:pPr>
      <w:ind w:left="283"/>
    </w:pPr>
    <w:rPr>
      <w:sz w:val="16"/>
      <w:szCs w:val="16"/>
    </w:rPr>
  </w:style>
  <w:style w:type="character" w:customStyle="1" w:styleId="BodyTextIndent3Char">
    <w:name w:val="Body Text Indent 3 Char"/>
    <w:basedOn w:val="DefaultParagraphFont"/>
    <w:link w:val="BodyTextIndent3"/>
    <w:uiPriority w:val="99"/>
    <w:semiHidden/>
    <w:rsid w:val="009253DC"/>
    <w:rPr>
      <w:rFonts w:ascii="Arial" w:eastAsiaTheme="minorEastAsia" w:hAnsi="Arial" w:cs="Times New Roman"/>
      <w:color w:val="000000" w:themeColor="text1"/>
      <w:sz w:val="16"/>
      <w:szCs w:val="16"/>
    </w:rPr>
  </w:style>
  <w:style w:type="paragraph" w:styleId="Closing">
    <w:name w:val="Closing"/>
    <w:basedOn w:val="Normal"/>
    <w:link w:val="ClosingChar"/>
    <w:uiPriority w:val="99"/>
    <w:semiHidden/>
    <w:unhideWhenUsed/>
    <w:rsid w:val="009253DC"/>
    <w:pPr>
      <w:spacing w:before="0" w:after="0" w:line="240" w:lineRule="auto"/>
      <w:ind w:left="4252"/>
    </w:pPr>
  </w:style>
  <w:style w:type="character" w:customStyle="1" w:styleId="ClosingChar">
    <w:name w:val="Closing Char"/>
    <w:basedOn w:val="DefaultParagraphFont"/>
    <w:link w:val="Closing"/>
    <w:uiPriority w:val="99"/>
    <w:semiHidden/>
    <w:rsid w:val="009253DC"/>
    <w:rPr>
      <w:rFonts w:ascii="Arial" w:eastAsiaTheme="minorEastAsia" w:hAnsi="Arial" w:cs="Times New Roman"/>
      <w:color w:val="000000" w:themeColor="text1"/>
      <w:szCs w:val="24"/>
    </w:rPr>
  </w:style>
  <w:style w:type="paragraph" w:styleId="Date">
    <w:name w:val="Date"/>
    <w:basedOn w:val="Normal"/>
    <w:next w:val="Normal"/>
    <w:link w:val="DateChar"/>
    <w:uiPriority w:val="99"/>
    <w:semiHidden/>
    <w:unhideWhenUsed/>
    <w:rsid w:val="009253DC"/>
  </w:style>
  <w:style w:type="character" w:customStyle="1" w:styleId="DateChar">
    <w:name w:val="Date Char"/>
    <w:basedOn w:val="DefaultParagraphFont"/>
    <w:link w:val="Date"/>
    <w:uiPriority w:val="99"/>
    <w:semiHidden/>
    <w:rsid w:val="009253DC"/>
    <w:rPr>
      <w:rFonts w:ascii="Arial" w:eastAsiaTheme="minorEastAsia" w:hAnsi="Arial" w:cs="Times New Roman"/>
      <w:color w:val="000000" w:themeColor="text1"/>
      <w:szCs w:val="24"/>
    </w:rPr>
  </w:style>
  <w:style w:type="paragraph" w:styleId="DocumentMap">
    <w:name w:val="Document Map"/>
    <w:basedOn w:val="Normal"/>
    <w:link w:val="DocumentMapChar"/>
    <w:uiPriority w:val="99"/>
    <w:semiHidden/>
    <w:unhideWhenUsed/>
    <w:rsid w:val="009253D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253DC"/>
    <w:rPr>
      <w:rFonts w:ascii="Segoe UI" w:eastAsiaTheme="minorEastAsia" w:hAnsi="Segoe UI" w:cs="Segoe UI"/>
      <w:color w:val="000000" w:themeColor="text1"/>
      <w:sz w:val="16"/>
      <w:szCs w:val="16"/>
    </w:rPr>
  </w:style>
  <w:style w:type="paragraph" w:styleId="E-mailSignature">
    <w:name w:val="E-mail Signature"/>
    <w:basedOn w:val="Normal"/>
    <w:link w:val="E-mailSignatureChar"/>
    <w:uiPriority w:val="99"/>
    <w:semiHidden/>
    <w:unhideWhenUsed/>
    <w:rsid w:val="009253DC"/>
    <w:pPr>
      <w:spacing w:before="0" w:after="0" w:line="240" w:lineRule="auto"/>
    </w:pPr>
  </w:style>
  <w:style w:type="character" w:customStyle="1" w:styleId="E-mailSignatureChar">
    <w:name w:val="E-mail Signature Char"/>
    <w:basedOn w:val="DefaultParagraphFont"/>
    <w:link w:val="E-mailSignature"/>
    <w:uiPriority w:val="99"/>
    <w:semiHidden/>
    <w:rsid w:val="009253DC"/>
    <w:rPr>
      <w:rFonts w:ascii="Arial" w:eastAsiaTheme="minorEastAsia" w:hAnsi="Arial" w:cs="Times New Roman"/>
      <w:color w:val="000000" w:themeColor="text1"/>
      <w:szCs w:val="24"/>
    </w:rPr>
  </w:style>
  <w:style w:type="paragraph" w:styleId="EnvelopeAddress">
    <w:name w:val="envelope address"/>
    <w:basedOn w:val="Normal"/>
    <w:uiPriority w:val="99"/>
    <w:semiHidden/>
    <w:unhideWhenUsed/>
    <w:rsid w:val="009253D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253D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9253DC"/>
    <w:pPr>
      <w:spacing w:before="0" w:after="0" w:line="240" w:lineRule="auto"/>
    </w:pPr>
    <w:rPr>
      <w:i/>
      <w:iCs/>
    </w:rPr>
  </w:style>
  <w:style w:type="character" w:customStyle="1" w:styleId="HTMLAddressChar">
    <w:name w:val="HTML Address Char"/>
    <w:basedOn w:val="DefaultParagraphFont"/>
    <w:link w:val="HTMLAddress"/>
    <w:uiPriority w:val="99"/>
    <w:semiHidden/>
    <w:rsid w:val="009253DC"/>
    <w:rPr>
      <w:rFonts w:ascii="Arial" w:eastAsiaTheme="minorEastAsia" w:hAnsi="Arial" w:cs="Times New Roman"/>
      <w:i/>
      <w:iCs/>
      <w:color w:val="000000" w:themeColor="text1"/>
      <w:szCs w:val="24"/>
    </w:rPr>
  </w:style>
  <w:style w:type="paragraph" w:styleId="HTMLPreformatted">
    <w:name w:val="HTML Preformatted"/>
    <w:basedOn w:val="Normal"/>
    <w:link w:val="HTMLPreformattedChar"/>
    <w:uiPriority w:val="99"/>
    <w:semiHidden/>
    <w:unhideWhenUsed/>
    <w:rsid w:val="009253D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253DC"/>
    <w:rPr>
      <w:rFonts w:ascii="Consolas" w:eastAsiaTheme="minorEastAsia" w:hAnsi="Consolas" w:cs="Times New Roman"/>
      <w:color w:val="000000" w:themeColor="text1"/>
      <w:sz w:val="20"/>
      <w:szCs w:val="20"/>
    </w:rPr>
  </w:style>
  <w:style w:type="paragraph" w:styleId="Index1">
    <w:name w:val="index 1"/>
    <w:basedOn w:val="Normal"/>
    <w:next w:val="Normal"/>
    <w:autoRedefine/>
    <w:uiPriority w:val="99"/>
    <w:semiHidden/>
    <w:unhideWhenUsed/>
    <w:rsid w:val="009253DC"/>
    <w:pPr>
      <w:spacing w:before="0" w:after="0" w:line="240" w:lineRule="auto"/>
      <w:ind w:left="220" w:hanging="220"/>
    </w:pPr>
  </w:style>
  <w:style w:type="paragraph" w:styleId="Index2">
    <w:name w:val="index 2"/>
    <w:basedOn w:val="Normal"/>
    <w:next w:val="Normal"/>
    <w:autoRedefine/>
    <w:uiPriority w:val="99"/>
    <w:semiHidden/>
    <w:unhideWhenUsed/>
    <w:rsid w:val="009253DC"/>
    <w:pPr>
      <w:spacing w:before="0" w:after="0" w:line="240" w:lineRule="auto"/>
      <w:ind w:left="440" w:hanging="220"/>
    </w:pPr>
  </w:style>
  <w:style w:type="paragraph" w:styleId="Index3">
    <w:name w:val="index 3"/>
    <w:basedOn w:val="Normal"/>
    <w:next w:val="Normal"/>
    <w:autoRedefine/>
    <w:uiPriority w:val="99"/>
    <w:semiHidden/>
    <w:unhideWhenUsed/>
    <w:rsid w:val="009253DC"/>
    <w:pPr>
      <w:spacing w:before="0" w:after="0" w:line="240" w:lineRule="auto"/>
      <w:ind w:left="660" w:hanging="220"/>
    </w:pPr>
  </w:style>
  <w:style w:type="paragraph" w:styleId="Index4">
    <w:name w:val="index 4"/>
    <w:basedOn w:val="Normal"/>
    <w:next w:val="Normal"/>
    <w:autoRedefine/>
    <w:uiPriority w:val="99"/>
    <w:semiHidden/>
    <w:unhideWhenUsed/>
    <w:rsid w:val="009253DC"/>
    <w:pPr>
      <w:spacing w:before="0" w:after="0" w:line="240" w:lineRule="auto"/>
      <w:ind w:left="880" w:hanging="220"/>
    </w:pPr>
  </w:style>
  <w:style w:type="paragraph" w:styleId="Index5">
    <w:name w:val="index 5"/>
    <w:basedOn w:val="Normal"/>
    <w:next w:val="Normal"/>
    <w:autoRedefine/>
    <w:uiPriority w:val="99"/>
    <w:semiHidden/>
    <w:unhideWhenUsed/>
    <w:rsid w:val="009253DC"/>
    <w:pPr>
      <w:spacing w:before="0" w:after="0" w:line="240" w:lineRule="auto"/>
      <w:ind w:left="1100" w:hanging="220"/>
    </w:pPr>
  </w:style>
  <w:style w:type="paragraph" w:styleId="Index6">
    <w:name w:val="index 6"/>
    <w:basedOn w:val="Normal"/>
    <w:next w:val="Normal"/>
    <w:autoRedefine/>
    <w:uiPriority w:val="99"/>
    <w:semiHidden/>
    <w:unhideWhenUsed/>
    <w:rsid w:val="009253DC"/>
    <w:pPr>
      <w:spacing w:before="0" w:after="0" w:line="240" w:lineRule="auto"/>
      <w:ind w:left="1320" w:hanging="220"/>
    </w:pPr>
  </w:style>
  <w:style w:type="paragraph" w:styleId="Index7">
    <w:name w:val="index 7"/>
    <w:basedOn w:val="Normal"/>
    <w:next w:val="Normal"/>
    <w:autoRedefine/>
    <w:uiPriority w:val="99"/>
    <w:semiHidden/>
    <w:unhideWhenUsed/>
    <w:rsid w:val="009253DC"/>
    <w:pPr>
      <w:spacing w:before="0" w:after="0" w:line="240" w:lineRule="auto"/>
      <w:ind w:left="1540" w:hanging="220"/>
    </w:pPr>
  </w:style>
  <w:style w:type="paragraph" w:styleId="Index8">
    <w:name w:val="index 8"/>
    <w:basedOn w:val="Normal"/>
    <w:next w:val="Normal"/>
    <w:autoRedefine/>
    <w:uiPriority w:val="99"/>
    <w:semiHidden/>
    <w:unhideWhenUsed/>
    <w:rsid w:val="009253DC"/>
    <w:pPr>
      <w:spacing w:before="0" w:after="0" w:line="240" w:lineRule="auto"/>
      <w:ind w:left="1760" w:hanging="220"/>
    </w:pPr>
  </w:style>
  <w:style w:type="paragraph" w:styleId="Index9">
    <w:name w:val="index 9"/>
    <w:basedOn w:val="Normal"/>
    <w:next w:val="Normal"/>
    <w:autoRedefine/>
    <w:uiPriority w:val="99"/>
    <w:semiHidden/>
    <w:unhideWhenUsed/>
    <w:rsid w:val="009253DC"/>
    <w:pPr>
      <w:spacing w:before="0" w:after="0" w:line="240" w:lineRule="auto"/>
      <w:ind w:left="1980" w:hanging="220"/>
    </w:pPr>
  </w:style>
  <w:style w:type="paragraph" w:styleId="IndexHeading">
    <w:name w:val="index heading"/>
    <w:basedOn w:val="Normal"/>
    <w:next w:val="Index1"/>
    <w:uiPriority w:val="99"/>
    <w:semiHidden/>
    <w:unhideWhenUsed/>
    <w:rsid w:val="009253DC"/>
    <w:rPr>
      <w:rFonts w:asciiTheme="majorHAnsi" w:eastAsiaTheme="majorEastAsia" w:hAnsiTheme="majorHAnsi" w:cstheme="majorBidi"/>
      <w:b/>
      <w:bCs/>
    </w:rPr>
  </w:style>
  <w:style w:type="paragraph" w:styleId="List">
    <w:name w:val="List"/>
    <w:basedOn w:val="Normal"/>
    <w:uiPriority w:val="99"/>
    <w:semiHidden/>
    <w:unhideWhenUsed/>
    <w:rsid w:val="009253DC"/>
    <w:pPr>
      <w:ind w:left="283" w:hanging="283"/>
      <w:contextualSpacing/>
    </w:pPr>
  </w:style>
  <w:style w:type="paragraph" w:styleId="List2">
    <w:name w:val="List 2"/>
    <w:basedOn w:val="Normal"/>
    <w:uiPriority w:val="99"/>
    <w:semiHidden/>
    <w:unhideWhenUsed/>
    <w:rsid w:val="009253DC"/>
    <w:pPr>
      <w:ind w:left="566" w:hanging="283"/>
      <w:contextualSpacing/>
    </w:pPr>
  </w:style>
  <w:style w:type="paragraph" w:styleId="List3">
    <w:name w:val="List 3"/>
    <w:basedOn w:val="Normal"/>
    <w:uiPriority w:val="99"/>
    <w:semiHidden/>
    <w:unhideWhenUsed/>
    <w:rsid w:val="009253DC"/>
    <w:pPr>
      <w:ind w:left="849" w:hanging="283"/>
      <w:contextualSpacing/>
    </w:pPr>
  </w:style>
  <w:style w:type="paragraph" w:styleId="List4">
    <w:name w:val="List 4"/>
    <w:basedOn w:val="Normal"/>
    <w:uiPriority w:val="99"/>
    <w:semiHidden/>
    <w:unhideWhenUsed/>
    <w:rsid w:val="009253DC"/>
    <w:pPr>
      <w:ind w:left="1132" w:hanging="283"/>
      <w:contextualSpacing/>
    </w:pPr>
  </w:style>
  <w:style w:type="paragraph" w:styleId="ListBullet3">
    <w:name w:val="List Bullet 3"/>
    <w:basedOn w:val="Normal"/>
    <w:uiPriority w:val="99"/>
    <w:semiHidden/>
    <w:unhideWhenUsed/>
    <w:rsid w:val="009253DC"/>
    <w:pPr>
      <w:numPr>
        <w:numId w:val="34"/>
      </w:numPr>
      <w:contextualSpacing/>
    </w:pPr>
  </w:style>
  <w:style w:type="paragraph" w:styleId="ListBullet5">
    <w:name w:val="List Bullet 5"/>
    <w:basedOn w:val="Normal"/>
    <w:uiPriority w:val="99"/>
    <w:semiHidden/>
    <w:unhideWhenUsed/>
    <w:rsid w:val="009253DC"/>
    <w:pPr>
      <w:numPr>
        <w:numId w:val="36"/>
      </w:numPr>
      <w:contextualSpacing/>
    </w:pPr>
  </w:style>
  <w:style w:type="paragraph" w:styleId="ListContinue">
    <w:name w:val="List Continue"/>
    <w:basedOn w:val="Normal"/>
    <w:uiPriority w:val="99"/>
    <w:semiHidden/>
    <w:unhideWhenUsed/>
    <w:rsid w:val="009253DC"/>
    <w:pPr>
      <w:ind w:left="283"/>
      <w:contextualSpacing/>
    </w:pPr>
  </w:style>
  <w:style w:type="paragraph" w:styleId="ListContinue2">
    <w:name w:val="List Continue 2"/>
    <w:basedOn w:val="Normal"/>
    <w:uiPriority w:val="99"/>
    <w:semiHidden/>
    <w:unhideWhenUsed/>
    <w:rsid w:val="009253DC"/>
    <w:pPr>
      <w:ind w:left="566"/>
      <w:contextualSpacing/>
    </w:pPr>
  </w:style>
  <w:style w:type="paragraph" w:styleId="ListContinue3">
    <w:name w:val="List Continue 3"/>
    <w:basedOn w:val="Normal"/>
    <w:uiPriority w:val="99"/>
    <w:semiHidden/>
    <w:unhideWhenUsed/>
    <w:rsid w:val="009253DC"/>
    <w:pPr>
      <w:ind w:left="849"/>
      <w:contextualSpacing/>
    </w:pPr>
  </w:style>
  <w:style w:type="paragraph" w:styleId="ListContinue4">
    <w:name w:val="List Continue 4"/>
    <w:basedOn w:val="Normal"/>
    <w:uiPriority w:val="99"/>
    <w:semiHidden/>
    <w:unhideWhenUsed/>
    <w:rsid w:val="009253DC"/>
    <w:pPr>
      <w:ind w:left="1132"/>
      <w:contextualSpacing/>
    </w:pPr>
  </w:style>
  <w:style w:type="paragraph" w:styleId="ListContinue5">
    <w:name w:val="List Continue 5"/>
    <w:basedOn w:val="Normal"/>
    <w:uiPriority w:val="99"/>
    <w:semiHidden/>
    <w:unhideWhenUsed/>
    <w:rsid w:val="009253DC"/>
    <w:pPr>
      <w:ind w:left="1415"/>
      <w:contextualSpacing/>
    </w:pPr>
  </w:style>
  <w:style w:type="paragraph" w:styleId="ListNumber4">
    <w:name w:val="List Number 4"/>
    <w:basedOn w:val="Normal"/>
    <w:uiPriority w:val="99"/>
    <w:semiHidden/>
    <w:unhideWhenUsed/>
    <w:rsid w:val="009253DC"/>
    <w:pPr>
      <w:numPr>
        <w:numId w:val="49"/>
      </w:numPr>
      <w:contextualSpacing/>
    </w:pPr>
  </w:style>
  <w:style w:type="paragraph" w:styleId="ListNumber5">
    <w:name w:val="List Number 5"/>
    <w:basedOn w:val="Normal"/>
    <w:uiPriority w:val="99"/>
    <w:semiHidden/>
    <w:unhideWhenUsed/>
    <w:rsid w:val="009253DC"/>
    <w:pPr>
      <w:numPr>
        <w:numId w:val="50"/>
      </w:numPr>
      <w:contextualSpacing/>
    </w:pPr>
  </w:style>
  <w:style w:type="paragraph" w:styleId="MacroText">
    <w:name w:val="macro"/>
    <w:link w:val="MacroTextChar"/>
    <w:uiPriority w:val="99"/>
    <w:semiHidden/>
    <w:unhideWhenUsed/>
    <w:rsid w:val="009253DC"/>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eastAsiaTheme="minorEastAsia" w:hAnsi="Consolas" w:cs="Times New Roman"/>
      <w:color w:val="000000" w:themeColor="text1"/>
      <w:sz w:val="20"/>
      <w:szCs w:val="20"/>
    </w:rPr>
  </w:style>
  <w:style w:type="character" w:customStyle="1" w:styleId="MacroTextChar">
    <w:name w:val="Macro Text Char"/>
    <w:basedOn w:val="DefaultParagraphFont"/>
    <w:link w:val="MacroText"/>
    <w:uiPriority w:val="99"/>
    <w:semiHidden/>
    <w:rsid w:val="009253DC"/>
    <w:rPr>
      <w:rFonts w:ascii="Consolas" w:eastAsiaTheme="minorEastAsia" w:hAnsi="Consolas" w:cs="Times New Roman"/>
      <w:color w:val="000000" w:themeColor="text1"/>
      <w:sz w:val="20"/>
      <w:szCs w:val="20"/>
    </w:rPr>
  </w:style>
  <w:style w:type="paragraph" w:styleId="MessageHeader">
    <w:name w:val="Message Header"/>
    <w:basedOn w:val="Normal"/>
    <w:link w:val="MessageHeaderChar"/>
    <w:uiPriority w:val="99"/>
    <w:semiHidden/>
    <w:unhideWhenUsed/>
    <w:rsid w:val="009253D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253DC"/>
    <w:rPr>
      <w:rFonts w:asciiTheme="majorHAnsi" w:eastAsiaTheme="majorEastAsia" w:hAnsiTheme="majorHAnsi" w:cstheme="majorBidi"/>
      <w:color w:val="000000" w:themeColor="text1"/>
      <w:sz w:val="24"/>
      <w:szCs w:val="24"/>
      <w:shd w:val="pct20" w:color="auto" w:fill="auto"/>
    </w:rPr>
  </w:style>
  <w:style w:type="paragraph" w:styleId="NoteHeading">
    <w:name w:val="Note Heading"/>
    <w:basedOn w:val="Normal"/>
    <w:next w:val="Normal"/>
    <w:link w:val="NoteHeadingChar"/>
    <w:uiPriority w:val="99"/>
    <w:semiHidden/>
    <w:unhideWhenUsed/>
    <w:rsid w:val="009253DC"/>
    <w:pPr>
      <w:spacing w:before="0" w:after="0" w:line="240" w:lineRule="auto"/>
    </w:pPr>
  </w:style>
  <w:style w:type="character" w:customStyle="1" w:styleId="NoteHeadingChar">
    <w:name w:val="Note Heading Char"/>
    <w:basedOn w:val="DefaultParagraphFont"/>
    <w:link w:val="NoteHeading"/>
    <w:uiPriority w:val="99"/>
    <w:semiHidden/>
    <w:rsid w:val="009253DC"/>
    <w:rPr>
      <w:rFonts w:ascii="Arial" w:eastAsiaTheme="minorEastAsia" w:hAnsi="Arial" w:cs="Times New Roman"/>
      <w:color w:val="000000" w:themeColor="text1"/>
      <w:szCs w:val="24"/>
    </w:rPr>
  </w:style>
  <w:style w:type="paragraph" w:styleId="PlainText">
    <w:name w:val="Plain Text"/>
    <w:basedOn w:val="Normal"/>
    <w:link w:val="PlainTextChar"/>
    <w:uiPriority w:val="99"/>
    <w:semiHidden/>
    <w:unhideWhenUsed/>
    <w:rsid w:val="009253D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253DC"/>
    <w:rPr>
      <w:rFonts w:ascii="Consolas" w:eastAsiaTheme="minorEastAsia" w:hAnsi="Consolas" w:cs="Times New Roman"/>
      <w:color w:val="000000" w:themeColor="text1"/>
      <w:sz w:val="21"/>
      <w:szCs w:val="21"/>
    </w:rPr>
  </w:style>
  <w:style w:type="paragraph" w:styleId="Salutation">
    <w:name w:val="Salutation"/>
    <w:basedOn w:val="Normal"/>
    <w:next w:val="Normal"/>
    <w:link w:val="SalutationChar"/>
    <w:uiPriority w:val="99"/>
    <w:semiHidden/>
    <w:unhideWhenUsed/>
    <w:rsid w:val="009253DC"/>
  </w:style>
  <w:style w:type="character" w:customStyle="1" w:styleId="SalutationChar">
    <w:name w:val="Salutation Char"/>
    <w:basedOn w:val="DefaultParagraphFont"/>
    <w:link w:val="Salutation"/>
    <w:uiPriority w:val="99"/>
    <w:semiHidden/>
    <w:rsid w:val="009253DC"/>
    <w:rPr>
      <w:rFonts w:ascii="Arial" w:eastAsiaTheme="minorEastAsia" w:hAnsi="Arial" w:cs="Times New Roman"/>
      <w:color w:val="000000" w:themeColor="text1"/>
      <w:szCs w:val="24"/>
    </w:rPr>
  </w:style>
  <w:style w:type="paragraph" w:styleId="Signature">
    <w:name w:val="Signature"/>
    <w:basedOn w:val="Normal"/>
    <w:link w:val="SignatureChar"/>
    <w:uiPriority w:val="99"/>
    <w:semiHidden/>
    <w:unhideWhenUsed/>
    <w:rsid w:val="009253DC"/>
    <w:pPr>
      <w:spacing w:before="0" w:after="0" w:line="240" w:lineRule="auto"/>
      <w:ind w:left="4252"/>
    </w:pPr>
  </w:style>
  <w:style w:type="character" w:customStyle="1" w:styleId="SignatureChar">
    <w:name w:val="Signature Char"/>
    <w:basedOn w:val="DefaultParagraphFont"/>
    <w:link w:val="Signature"/>
    <w:uiPriority w:val="99"/>
    <w:semiHidden/>
    <w:rsid w:val="009253DC"/>
    <w:rPr>
      <w:rFonts w:ascii="Arial" w:eastAsiaTheme="minorEastAsia" w:hAnsi="Arial" w:cs="Times New Roman"/>
      <w:color w:val="000000" w:themeColor="text1"/>
      <w:szCs w:val="24"/>
    </w:rPr>
  </w:style>
  <w:style w:type="paragraph" w:styleId="TableofAuthorities">
    <w:name w:val="table of authorities"/>
    <w:basedOn w:val="Normal"/>
    <w:next w:val="Normal"/>
    <w:uiPriority w:val="99"/>
    <w:semiHidden/>
    <w:unhideWhenUsed/>
    <w:rsid w:val="009253DC"/>
    <w:pPr>
      <w:spacing w:after="0"/>
      <w:ind w:left="220" w:hanging="220"/>
    </w:pPr>
  </w:style>
  <w:style w:type="paragraph" w:styleId="TableofFigures">
    <w:name w:val="table of figures"/>
    <w:basedOn w:val="Normal"/>
    <w:next w:val="Normal"/>
    <w:uiPriority w:val="99"/>
    <w:semiHidden/>
    <w:unhideWhenUsed/>
    <w:rsid w:val="009253DC"/>
    <w:pPr>
      <w:spacing w:after="0"/>
    </w:pPr>
  </w:style>
  <w:style w:type="paragraph" w:styleId="TOC5">
    <w:name w:val="toc 5"/>
    <w:basedOn w:val="Normal"/>
    <w:next w:val="Normal"/>
    <w:autoRedefine/>
    <w:uiPriority w:val="39"/>
    <w:semiHidden/>
    <w:unhideWhenUsed/>
    <w:rsid w:val="009253DC"/>
    <w:pPr>
      <w:spacing w:after="100"/>
      <w:ind w:left="880"/>
    </w:pPr>
  </w:style>
  <w:style w:type="paragraph" w:styleId="TOC8">
    <w:name w:val="toc 8"/>
    <w:basedOn w:val="Normal"/>
    <w:next w:val="Normal"/>
    <w:autoRedefine/>
    <w:uiPriority w:val="39"/>
    <w:semiHidden/>
    <w:unhideWhenUsed/>
    <w:rsid w:val="009253DC"/>
    <w:pPr>
      <w:spacing w:after="100"/>
      <w:ind w:left="1540"/>
    </w:pPr>
  </w:style>
  <w:style w:type="paragraph" w:styleId="TOC9">
    <w:name w:val="toc 9"/>
    <w:basedOn w:val="Normal"/>
    <w:next w:val="Normal"/>
    <w:autoRedefine/>
    <w:uiPriority w:val="39"/>
    <w:semiHidden/>
    <w:unhideWhenUsed/>
    <w:rsid w:val="009253D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371">
      <w:bodyDiv w:val="1"/>
      <w:marLeft w:val="0"/>
      <w:marRight w:val="0"/>
      <w:marTop w:val="0"/>
      <w:marBottom w:val="0"/>
      <w:divBdr>
        <w:top w:val="none" w:sz="0" w:space="0" w:color="auto"/>
        <w:left w:val="none" w:sz="0" w:space="0" w:color="auto"/>
        <w:bottom w:val="none" w:sz="0" w:space="0" w:color="auto"/>
        <w:right w:val="none" w:sz="0" w:space="0" w:color="auto"/>
      </w:divBdr>
    </w:div>
    <w:div w:id="22291789">
      <w:bodyDiv w:val="1"/>
      <w:marLeft w:val="0"/>
      <w:marRight w:val="0"/>
      <w:marTop w:val="0"/>
      <w:marBottom w:val="0"/>
      <w:divBdr>
        <w:top w:val="none" w:sz="0" w:space="0" w:color="auto"/>
        <w:left w:val="none" w:sz="0" w:space="0" w:color="auto"/>
        <w:bottom w:val="none" w:sz="0" w:space="0" w:color="auto"/>
        <w:right w:val="none" w:sz="0" w:space="0" w:color="auto"/>
      </w:divBdr>
    </w:div>
    <w:div w:id="274144326">
      <w:bodyDiv w:val="1"/>
      <w:marLeft w:val="0"/>
      <w:marRight w:val="0"/>
      <w:marTop w:val="0"/>
      <w:marBottom w:val="0"/>
      <w:divBdr>
        <w:top w:val="none" w:sz="0" w:space="0" w:color="auto"/>
        <w:left w:val="none" w:sz="0" w:space="0" w:color="auto"/>
        <w:bottom w:val="none" w:sz="0" w:space="0" w:color="auto"/>
        <w:right w:val="none" w:sz="0" w:space="0" w:color="auto"/>
      </w:divBdr>
    </w:div>
    <w:div w:id="481317321">
      <w:bodyDiv w:val="1"/>
      <w:marLeft w:val="0"/>
      <w:marRight w:val="0"/>
      <w:marTop w:val="0"/>
      <w:marBottom w:val="0"/>
      <w:divBdr>
        <w:top w:val="none" w:sz="0" w:space="0" w:color="auto"/>
        <w:left w:val="none" w:sz="0" w:space="0" w:color="auto"/>
        <w:bottom w:val="none" w:sz="0" w:space="0" w:color="auto"/>
        <w:right w:val="none" w:sz="0" w:space="0" w:color="auto"/>
      </w:divBdr>
    </w:div>
    <w:div w:id="569928017">
      <w:bodyDiv w:val="1"/>
      <w:marLeft w:val="0"/>
      <w:marRight w:val="0"/>
      <w:marTop w:val="0"/>
      <w:marBottom w:val="0"/>
      <w:divBdr>
        <w:top w:val="none" w:sz="0" w:space="0" w:color="auto"/>
        <w:left w:val="none" w:sz="0" w:space="0" w:color="auto"/>
        <w:bottom w:val="none" w:sz="0" w:space="0" w:color="auto"/>
        <w:right w:val="none" w:sz="0" w:space="0" w:color="auto"/>
      </w:divBdr>
      <w:divsChild>
        <w:div w:id="816145069">
          <w:marLeft w:val="0"/>
          <w:marRight w:val="0"/>
          <w:marTop w:val="0"/>
          <w:marBottom w:val="0"/>
          <w:divBdr>
            <w:top w:val="none" w:sz="0" w:space="0" w:color="auto"/>
            <w:left w:val="none" w:sz="0" w:space="0" w:color="auto"/>
            <w:bottom w:val="none" w:sz="0" w:space="0" w:color="auto"/>
            <w:right w:val="none" w:sz="0" w:space="0" w:color="auto"/>
          </w:divBdr>
        </w:div>
        <w:div w:id="1054934765">
          <w:marLeft w:val="0"/>
          <w:marRight w:val="0"/>
          <w:marTop w:val="0"/>
          <w:marBottom w:val="0"/>
          <w:divBdr>
            <w:top w:val="none" w:sz="0" w:space="0" w:color="auto"/>
            <w:left w:val="none" w:sz="0" w:space="0" w:color="auto"/>
            <w:bottom w:val="none" w:sz="0" w:space="0" w:color="auto"/>
            <w:right w:val="none" w:sz="0" w:space="0" w:color="auto"/>
          </w:divBdr>
        </w:div>
        <w:div w:id="1192183874">
          <w:marLeft w:val="0"/>
          <w:marRight w:val="0"/>
          <w:marTop w:val="0"/>
          <w:marBottom w:val="0"/>
          <w:divBdr>
            <w:top w:val="none" w:sz="0" w:space="0" w:color="auto"/>
            <w:left w:val="none" w:sz="0" w:space="0" w:color="auto"/>
            <w:bottom w:val="none" w:sz="0" w:space="0" w:color="auto"/>
            <w:right w:val="none" w:sz="0" w:space="0" w:color="auto"/>
          </w:divBdr>
        </w:div>
      </w:divsChild>
    </w:div>
    <w:div w:id="657614500">
      <w:bodyDiv w:val="1"/>
      <w:marLeft w:val="0"/>
      <w:marRight w:val="0"/>
      <w:marTop w:val="0"/>
      <w:marBottom w:val="0"/>
      <w:divBdr>
        <w:top w:val="none" w:sz="0" w:space="0" w:color="auto"/>
        <w:left w:val="none" w:sz="0" w:space="0" w:color="auto"/>
        <w:bottom w:val="none" w:sz="0" w:space="0" w:color="auto"/>
        <w:right w:val="none" w:sz="0" w:space="0" w:color="auto"/>
      </w:divBdr>
    </w:div>
    <w:div w:id="663628640">
      <w:bodyDiv w:val="1"/>
      <w:marLeft w:val="0"/>
      <w:marRight w:val="0"/>
      <w:marTop w:val="0"/>
      <w:marBottom w:val="0"/>
      <w:divBdr>
        <w:top w:val="none" w:sz="0" w:space="0" w:color="auto"/>
        <w:left w:val="none" w:sz="0" w:space="0" w:color="auto"/>
        <w:bottom w:val="none" w:sz="0" w:space="0" w:color="auto"/>
        <w:right w:val="none" w:sz="0" w:space="0" w:color="auto"/>
      </w:divBdr>
      <w:divsChild>
        <w:div w:id="62486977">
          <w:marLeft w:val="0"/>
          <w:marRight w:val="0"/>
          <w:marTop w:val="0"/>
          <w:marBottom w:val="0"/>
          <w:divBdr>
            <w:top w:val="none" w:sz="0" w:space="0" w:color="auto"/>
            <w:left w:val="none" w:sz="0" w:space="0" w:color="auto"/>
            <w:bottom w:val="none" w:sz="0" w:space="0" w:color="auto"/>
            <w:right w:val="none" w:sz="0" w:space="0" w:color="auto"/>
          </w:divBdr>
        </w:div>
        <w:div w:id="785272478">
          <w:marLeft w:val="0"/>
          <w:marRight w:val="0"/>
          <w:marTop w:val="0"/>
          <w:marBottom w:val="0"/>
          <w:divBdr>
            <w:top w:val="none" w:sz="0" w:space="0" w:color="auto"/>
            <w:left w:val="none" w:sz="0" w:space="0" w:color="auto"/>
            <w:bottom w:val="none" w:sz="0" w:space="0" w:color="auto"/>
            <w:right w:val="none" w:sz="0" w:space="0" w:color="auto"/>
          </w:divBdr>
        </w:div>
        <w:div w:id="826821778">
          <w:marLeft w:val="0"/>
          <w:marRight w:val="0"/>
          <w:marTop w:val="0"/>
          <w:marBottom w:val="0"/>
          <w:divBdr>
            <w:top w:val="none" w:sz="0" w:space="0" w:color="auto"/>
            <w:left w:val="none" w:sz="0" w:space="0" w:color="auto"/>
            <w:bottom w:val="none" w:sz="0" w:space="0" w:color="auto"/>
            <w:right w:val="none" w:sz="0" w:space="0" w:color="auto"/>
          </w:divBdr>
        </w:div>
        <w:div w:id="1101298058">
          <w:marLeft w:val="0"/>
          <w:marRight w:val="0"/>
          <w:marTop w:val="0"/>
          <w:marBottom w:val="0"/>
          <w:divBdr>
            <w:top w:val="none" w:sz="0" w:space="0" w:color="auto"/>
            <w:left w:val="none" w:sz="0" w:space="0" w:color="auto"/>
            <w:bottom w:val="none" w:sz="0" w:space="0" w:color="auto"/>
            <w:right w:val="none" w:sz="0" w:space="0" w:color="auto"/>
          </w:divBdr>
        </w:div>
        <w:div w:id="1786384704">
          <w:marLeft w:val="0"/>
          <w:marRight w:val="0"/>
          <w:marTop w:val="0"/>
          <w:marBottom w:val="0"/>
          <w:divBdr>
            <w:top w:val="none" w:sz="0" w:space="0" w:color="auto"/>
            <w:left w:val="none" w:sz="0" w:space="0" w:color="auto"/>
            <w:bottom w:val="none" w:sz="0" w:space="0" w:color="auto"/>
            <w:right w:val="none" w:sz="0" w:space="0" w:color="auto"/>
          </w:divBdr>
        </w:div>
        <w:div w:id="1992631353">
          <w:marLeft w:val="0"/>
          <w:marRight w:val="0"/>
          <w:marTop w:val="0"/>
          <w:marBottom w:val="0"/>
          <w:divBdr>
            <w:top w:val="none" w:sz="0" w:space="0" w:color="auto"/>
            <w:left w:val="none" w:sz="0" w:space="0" w:color="auto"/>
            <w:bottom w:val="none" w:sz="0" w:space="0" w:color="auto"/>
            <w:right w:val="none" w:sz="0" w:space="0" w:color="auto"/>
          </w:divBdr>
        </w:div>
      </w:divsChild>
    </w:div>
    <w:div w:id="720717391">
      <w:bodyDiv w:val="1"/>
      <w:marLeft w:val="0"/>
      <w:marRight w:val="0"/>
      <w:marTop w:val="0"/>
      <w:marBottom w:val="0"/>
      <w:divBdr>
        <w:top w:val="none" w:sz="0" w:space="0" w:color="auto"/>
        <w:left w:val="none" w:sz="0" w:space="0" w:color="auto"/>
        <w:bottom w:val="none" w:sz="0" w:space="0" w:color="auto"/>
        <w:right w:val="none" w:sz="0" w:space="0" w:color="auto"/>
      </w:divBdr>
    </w:div>
    <w:div w:id="808211185">
      <w:bodyDiv w:val="1"/>
      <w:marLeft w:val="0"/>
      <w:marRight w:val="0"/>
      <w:marTop w:val="0"/>
      <w:marBottom w:val="0"/>
      <w:divBdr>
        <w:top w:val="none" w:sz="0" w:space="0" w:color="auto"/>
        <w:left w:val="none" w:sz="0" w:space="0" w:color="auto"/>
        <w:bottom w:val="none" w:sz="0" w:space="0" w:color="auto"/>
        <w:right w:val="none" w:sz="0" w:space="0" w:color="auto"/>
      </w:divBdr>
    </w:div>
    <w:div w:id="815338984">
      <w:bodyDiv w:val="1"/>
      <w:marLeft w:val="0"/>
      <w:marRight w:val="0"/>
      <w:marTop w:val="0"/>
      <w:marBottom w:val="0"/>
      <w:divBdr>
        <w:top w:val="none" w:sz="0" w:space="0" w:color="auto"/>
        <w:left w:val="none" w:sz="0" w:space="0" w:color="auto"/>
        <w:bottom w:val="none" w:sz="0" w:space="0" w:color="auto"/>
        <w:right w:val="none" w:sz="0" w:space="0" w:color="auto"/>
      </w:divBdr>
    </w:div>
    <w:div w:id="941575995">
      <w:bodyDiv w:val="1"/>
      <w:marLeft w:val="0"/>
      <w:marRight w:val="0"/>
      <w:marTop w:val="0"/>
      <w:marBottom w:val="0"/>
      <w:divBdr>
        <w:top w:val="none" w:sz="0" w:space="0" w:color="auto"/>
        <w:left w:val="none" w:sz="0" w:space="0" w:color="auto"/>
        <w:bottom w:val="none" w:sz="0" w:space="0" w:color="auto"/>
        <w:right w:val="none" w:sz="0" w:space="0" w:color="auto"/>
      </w:divBdr>
      <w:divsChild>
        <w:div w:id="311911243">
          <w:marLeft w:val="0"/>
          <w:marRight w:val="0"/>
          <w:marTop w:val="0"/>
          <w:marBottom w:val="0"/>
          <w:divBdr>
            <w:top w:val="none" w:sz="0" w:space="0" w:color="auto"/>
            <w:left w:val="none" w:sz="0" w:space="0" w:color="auto"/>
            <w:bottom w:val="none" w:sz="0" w:space="0" w:color="auto"/>
            <w:right w:val="none" w:sz="0" w:space="0" w:color="auto"/>
          </w:divBdr>
        </w:div>
        <w:div w:id="1560747752">
          <w:marLeft w:val="0"/>
          <w:marRight w:val="0"/>
          <w:marTop w:val="0"/>
          <w:marBottom w:val="0"/>
          <w:divBdr>
            <w:top w:val="none" w:sz="0" w:space="0" w:color="auto"/>
            <w:left w:val="none" w:sz="0" w:space="0" w:color="auto"/>
            <w:bottom w:val="none" w:sz="0" w:space="0" w:color="auto"/>
            <w:right w:val="none" w:sz="0" w:space="0" w:color="auto"/>
          </w:divBdr>
        </w:div>
      </w:divsChild>
    </w:div>
    <w:div w:id="962266833">
      <w:bodyDiv w:val="1"/>
      <w:marLeft w:val="0"/>
      <w:marRight w:val="0"/>
      <w:marTop w:val="0"/>
      <w:marBottom w:val="0"/>
      <w:divBdr>
        <w:top w:val="none" w:sz="0" w:space="0" w:color="auto"/>
        <w:left w:val="none" w:sz="0" w:space="0" w:color="auto"/>
        <w:bottom w:val="none" w:sz="0" w:space="0" w:color="auto"/>
        <w:right w:val="none" w:sz="0" w:space="0" w:color="auto"/>
      </w:divBdr>
    </w:div>
    <w:div w:id="1011836399">
      <w:bodyDiv w:val="1"/>
      <w:marLeft w:val="0"/>
      <w:marRight w:val="0"/>
      <w:marTop w:val="0"/>
      <w:marBottom w:val="0"/>
      <w:divBdr>
        <w:top w:val="none" w:sz="0" w:space="0" w:color="auto"/>
        <w:left w:val="none" w:sz="0" w:space="0" w:color="auto"/>
        <w:bottom w:val="none" w:sz="0" w:space="0" w:color="auto"/>
        <w:right w:val="none" w:sz="0" w:space="0" w:color="auto"/>
      </w:divBdr>
    </w:div>
    <w:div w:id="1110012430">
      <w:bodyDiv w:val="1"/>
      <w:marLeft w:val="0"/>
      <w:marRight w:val="0"/>
      <w:marTop w:val="0"/>
      <w:marBottom w:val="0"/>
      <w:divBdr>
        <w:top w:val="none" w:sz="0" w:space="0" w:color="auto"/>
        <w:left w:val="none" w:sz="0" w:space="0" w:color="auto"/>
        <w:bottom w:val="none" w:sz="0" w:space="0" w:color="auto"/>
        <w:right w:val="none" w:sz="0" w:space="0" w:color="auto"/>
      </w:divBdr>
    </w:div>
    <w:div w:id="1156385680">
      <w:bodyDiv w:val="1"/>
      <w:marLeft w:val="0"/>
      <w:marRight w:val="0"/>
      <w:marTop w:val="0"/>
      <w:marBottom w:val="0"/>
      <w:divBdr>
        <w:top w:val="none" w:sz="0" w:space="0" w:color="auto"/>
        <w:left w:val="none" w:sz="0" w:space="0" w:color="auto"/>
        <w:bottom w:val="none" w:sz="0" w:space="0" w:color="auto"/>
        <w:right w:val="none" w:sz="0" w:space="0" w:color="auto"/>
      </w:divBdr>
    </w:div>
    <w:div w:id="1193302055">
      <w:bodyDiv w:val="1"/>
      <w:marLeft w:val="0"/>
      <w:marRight w:val="0"/>
      <w:marTop w:val="0"/>
      <w:marBottom w:val="0"/>
      <w:divBdr>
        <w:top w:val="none" w:sz="0" w:space="0" w:color="auto"/>
        <w:left w:val="none" w:sz="0" w:space="0" w:color="auto"/>
        <w:bottom w:val="none" w:sz="0" w:space="0" w:color="auto"/>
        <w:right w:val="none" w:sz="0" w:space="0" w:color="auto"/>
      </w:divBdr>
    </w:div>
    <w:div w:id="1231498882">
      <w:bodyDiv w:val="1"/>
      <w:marLeft w:val="0"/>
      <w:marRight w:val="0"/>
      <w:marTop w:val="0"/>
      <w:marBottom w:val="0"/>
      <w:divBdr>
        <w:top w:val="none" w:sz="0" w:space="0" w:color="auto"/>
        <w:left w:val="none" w:sz="0" w:space="0" w:color="auto"/>
        <w:bottom w:val="none" w:sz="0" w:space="0" w:color="auto"/>
        <w:right w:val="none" w:sz="0" w:space="0" w:color="auto"/>
      </w:divBdr>
    </w:div>
    <w:div w:id="1308362148">
      <w:bodyDiv w:val="1"/>
      <w:marLeft w:val="0"/>
      <w:marRight w:val="0"/>
      <w:marTop w:val="0"/>
      <w:marBottom w:val="0"/>
      <w:divBdr>
        <w:top w:val="none" w:sz="0" w:space="0" w:color="auto"/>
        <w:left w:val="none" w:sz="0" w:space="0" w:color="auto"/>
        <w:bottom w:val="none" w:sz="0" w:space="0" w:color="auto"/>
        <w:right w:val="none" w:sz="0" w:space="0" w:color="auto"/>
      </w:divBdr>
      <w:divsChild>
        <w:div w:id="615718369">
          <w:marLeft w:val="0"/>
          <w:marRight w:val="0"/>
          <w:marTop w:val="0"/>
          <w:marBottom w:val="0"/>
          <w:divBdr>
            <w:top w:val="none" w:sz="0" w:space="0" w:color="auto"/>
            <w:left w:val="none" w:sz="0" w:space="0" w:color="auto"/>
            <w:bottom w:val="none" w:sz="0" w:space="0" w:color="auto"/>
            <w:right w:val="none" w:sz="0" w:space="0" w:color="auto"/>
          </w:divBdr>
        </w:div>
        <w:div w:id="703025321">
          <w:marLeft w:val="0"/>
          <w:marRight w:val="0"/>
          <w:marTop w:val="0"/>
          <w:marBottom w:val="0"/>
          <w:divBdr>
            <w:top w:val="none" w:sz="0" w:space="0" w:color="auto"/>
            <w:left w:val="none" w:sz="0" w:space="0" w:color="auto"/>
            <w:bottom w:val="none" w:sz="0" w:space="0" w:color="auto"/>
            <w:right w:val="none" w:sz="0" w:space="0" w:color="auto"/>
          </w:divBdr>
        </w:div>
        <w:div w:id="848445280">
          <w:marLeft w:val="0"/>
          <w:marRight w:val="0"/>
          <w:marTop w:val="0"/>
          <w:marBottom w:val="0"/>
          <w:divBdr>
            <w:top w:val="none" w:sz="0" w:space="0" w:color="auto"/>
            <w:left w:val="none" w:sz="0" w:space="0" w:color="auto"/>
            <w:bottom w:val="none" w:sz="0" w:space="0" w:color="auto"/>
            <w:right w:val="none" w:sz="0" w:space="0" w:color="auto"/>
          </w:divBdr>
        </w:div>
      </w:divsChild>
    </w:div>
    <w:div w:id="1320232519">
      <w:bodyDiv w:val="1"/>
      <w:marLeft w:val="0"/>
      <w:marRight w:val="0"/>
      <w:marTop w:val="0"/>
      <w:marBottom w:val="0"/>
      <w:divBdr>
        <w:top w:val="none" w:sz="0" w:space="0" w:color="auto"/>
        <w:left w:val="none" w:sz="0" w:space="0" w:color="auto"/>
        <w:bottom w:val="none" w:sz="0" w:space="0" w:color="auto"/>
        <w:right w:val="none" w:sz="0" w:space="0" w:color="auto"/>
      </w:divBdr>
    </w:div>
    <w:div w:id="1323237979">
      <w:bodyDiv w:val="1"/>
      <w:marLeft w:val="0"/>
      <w:marRight w:val="0"/>
      <w:marTop w:val="0"/>
      <w:marBottom w:val="0"/>
      <w:divBdr>
        <w:top w:val="none" w:sz="0" w:space="0" w:color="auto"/>
        <w:left w:val="none" w:sz="0" w:space="0" w:color="auto"/>
        <w:bottom w:val="none" w:sz="0" w:space="0" w:color="auto"/>
        <w:right w:val="none" w:sz="0" w:space="0" w:color="auto"/>
      </w:divBdr>
    </w:div>
    <w:div w:id="1342704992">
      <w:bodyDiv w:val="1"/>
      <w:marLeft w:val="0"/>
      <w:marRight w:val="0"/>
      <w:marTop w:val="0"/>
      <w:marBottom w:val="0"/>
      <w:divBdr>
        <w:top w:val="none" w:sz="0" w:space="0" w:color="auto"/>
        <w:left w:val="none" w:sz="0" w:space="0" w:color="auto"/>
        <w:bottom w:val="none" w:sz="0" w:space="0" w:color="auto"/>
        <w:right w:val="none" w:sz="0" w:space="0" w:color="auto"/>
      </w:divBdr>
    </w:div>
    <w:div w:id="1361857135">
      <w:bodyDiv w:val="1"/>
      <w:marLeft w:val="0"/>
      <w:marRight w:val="0"/>
      <w:marTop w:val="0"/>
      <w:marBottom w:val="0"/>
      <w:divBdr>
        <w:top w:val="none" w:sz="0" w:space="0" w:color="auto"/>
        <w:left w:val="none" w:sz="0" w:space="0" w:color="auto"/>
        <w:bottom w:val="none" w:sz="0" w:space="0" w:color="auto"/>
        <w:right w:val="none" w:sz="0" w:space="0" w:color="auto"/>
      </w:divBdr>
      <w:divsChild>
        <w:div w:id="237593682">
          <w:marLeft w:val="0"/>
          <w:marRight w:val="0"/>
          <w:marTop w:val="0"/>
          <w:marBottom w:val="0"/>
          <w:divBdr>
            <w:top w:val="none" w:sz="0" w:space="0" w:color="auto"/>
            <w:left w:val="none" w:sz="0" w:space="0" w:color="auto"/>
            <w:bottom w:val="none" w:sz="0" w:space="0" w:color="auto"/>
            <w:right w:val="none" w:sz="0" w:space="0" w:color="auto"/>
          </w:divBdr>
          <w:divsChild>
            <w:div w:id="4920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8163">
      <w:bodyDiv w:val="1"/>
      <w:marLeft w:val="0"/>
      <w:marRight w:val="0"/>
      <w:marTop w:val="0"/>
      <w:marBottom w:val="0"/>
      <w:divBdr>
        <w:top w:val="none" w:sz="0" w:space="0" w:color="auto"/>
        <w:left w:val="none" w:sz="0" w:space="0" w:color="auto"/>
        <w:bottom w:val="none" w:sz="0" w:space="0" w:color="auto"/>
        <w:right w:val="none" w:sz="0" w:space="0" w:color="auto"/>
      </w:divBdr>
    </w:div>
    <w:div w:id="1488550148">
      <w:bodyDiv w:val="1"/>
      <w:marLeft w:val="0"/>
      <w:marRight w:val="0"/>
      <w:marTop w:val="0"/>
      <w:marBottom w:val="0"/>
      <w:divBdr>
        <w:top w:val="none" w:sz="0" w:space="0" w:color="auto"/>
        <w:left w:val="none" w:sz="0" w:space="0" w:color="auto"/>
        <w:bottom w:val="none" w:sz="0" w:space="0" w:color="auto"/>
        <w:right w:val="none" w:sz="0" w:space="0" w:color="auto"/>
      </w:divBdr>
      <w:divsChild>
        <w:div w:id="227037375">
          <w:marLeft w:val="0"/>
          <w:marRight w:val="0"/>
          <w:marTop w:val="0"/>
          <w:marBottom w:val="0"/>
          <w:divBdr>
            <w:top w:val="none" w:sz="0" w:space="0" w:color="auto"/>
            <w:left w:val="none" w:sz="0" w:space="0" w:color="auto"/>
            <w:bottom w:val="none" w:sz="0" w:space="0" w:color="auto"/>
            <w:right w:val="none" w:sz="0" w:space="0" w:color="auto"/>
          </w:divBdr>
          <w:divsChild>
            <w:div w:id="14665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09839">
      <w:bodyDiv w:val="1"/>
      <w:marLeft w:val="0"/>
      <w:marRight w:val="0"/>
      <w:marTop w:val="0"/>
      <w:marBottom w:val="0"/>
      <w:divBdr>
        <w:top w:val="none" w:sz="0" w:space="0" w:color="auto"/>
        <w:left w:val="none" w:sz="0" w:space="0" w:color="auto"/>
        <w:bottom w:val="none" w:sz="0" w:space="0" w:color="auto"/>
        <w:right w:val="none" w:sz="0" w:space="0" w:color="auto"/>
      </w:divBdr>
    </w:div>
    <w:div w:id="1527599090">
      <w:bodyDiv w:val="1"/>
      <w:marLeft w:val="0"/>
      <w:marRight w:val="0"/>
      <w:marTop w:val="0"/>
      <w:marBottom w:val="0"/>
      <w:divBdr>
        <w:top w:val="none" w:sz="0" w:space="0" w:color="auto"/>
        <w:left w:val="none" w:sz="0" w:space="0" w:color="auto"/>
        <w:bottom w:val="none" w:sz="0" w:space="0" w:color="auto"/>
        <w:right w:val="none" w:sz="0" w:space="0" w:color="auto"/>
      </w:divBdr>
    </w:div>
    <w:div w:id="1530753266">
      <w:bodyDiv w:val="1"/>
      <w:marLeft w:val="0"/>
      <w:marRight w:val="0"/>
      <w:marTop w:val="0"/>
      <w:marBottom w:val="0"/>
      <w:divBdr>
        <w:top w:val="none" w:sz="0" w:space="0" w:color="auto"/>
        <w:left w:val="none" w:sz="0" w:space="0" w:color="auto"/>
        <w:bottom w:val="none" w:sz="0" w:space="0" w:color="auto"/>
        <w:right w:val="none" w:sz="0" w:space="0" w:color="auto"/>
      </w:divBdr>
    </w:div>
    <w:div w:id="1555698922">
      <w:bodyDiv w:val="1"/>
      <w:marLeft w:val="0"/>
      <w:marRight w:val="0"/>
      <w:marTop w:val="0"/>
      <w:marBottom w:val="0"/>
      <w:divBdr>
        <w:top w:val="none" w:sz="0" w:space="0" w:color="auto"/>
        <w:left w:val="none" w:sz="0" w:space="0" w:color="auto"/>
        <w:bottom w:val="none" w:sz="0" w:space="0" w:color="auto"/>
        <w:right w:val="none" w:sz="0" w:space="0" w:color="auto"/>
      </w:divBdr>
    </w:div>
    <w:div w:id="1634023978">
      <w:bodyDiv w:val="1"/>
      <w:marLeft w:val="0"/>
      <w:marRight w:val="0"/>
      <w:marTop w:val="0"/>
      <w:marBottom w:val="0"/>
      <w:divBdr>
        <w:top w:val="none" w:sz="0" w:space="0" w:color="auto"/>
        <w:left w:val="none" w:sz="0" w:space="0" w:color="auto"/>
        <w:bottom w:val="none" w:sz="0" w:space="0" w:color="auto"/>
        <w:right w:val="none" w:sz="0" w:space="0" w:color="auto"/>
      </w:divBdr>
    </w:div>
    <w:div w:id="1635284495">
      <w:bodyDiv w:val="1"/>
      <w:marLeft w:val="0"/>
      <w:marRight w:val="0"/>
      <w:marTop w:val="0"/>
      <w:marBottom w:val="0"/>
      <w:divBdr>
        <w:top w:val="none" w:sz="0" w:space="0" w:color="auto"/>
        <w:left w:val="none" w:sz="0" w:space="0" w:color="auto"/>
        <w:bottom w:val="none" w:sz="0" w:space="0" w:color="auto"/>
        <w:right w:val="none" w:sz="0" w:space="0" w:color="auto"/>
      </w:divBdr>
      <w:divsChild>
        <w:div w:id="1163204953">
          <w:marLeft w:val="0"/>
          <w:marRight w:val="0"/>
          <w:marTop w:val="0"/>
          <w:marBottom w:val="0"/>
          <w:divBdr>
            <w:top w:val="none" w:sz="0" w:space="0" w:color="auto"/>
            <w:left w:val="none" w:sz="0" w:space="0" w:color="auto"/>
            <w:bottom w:val="none" w:sz="0" w:space="0" w:color="auto"/>
            <w:right w:val="none" w:sz="0" w:space="0" w:color="auto"/>
          </w:divBdr>
        </w:div>
        <w:div w:id="1866866162">
          <w:marLeft w:val="0"/>
          <w:marRight w:val="0"/>
          <w:marTop w:val="0"/>
          <w:marBottom w:val="0"/>
          <w:divBdr>
            <w:top w:val="none" w:sz="0" w:space="0" w:color="auto"/>
            <w:left w:val="none" w:sz="0" w:space="0" w:color="auto"/>
            <w:bottom w:val="none" w:sz="0" w:space="0" w:color="auto"/>
            <w:right w:val="none" w:sz="0" w:space="0" w:color="auto"/>
          </w:divBdr>
        </w:div>
        <w:div w:id="2050102028">
          <w:marLeft w:val="0"/>
          <w:marRight w:val="0"/>
          <w:marTop w:val="0"/>
          <w:marBottom w:val="0"/>
          <w:divBdr>
            <w:top w:val="none" w:sz="0" w:space="0" w:color="auto"/>
            <w:left w:val="none" w:sz="0" w:space="0" w:color="auto"/>
            <w:bottom w:val="none" w:sz="0" w:space="0" w:color="auto"/>
            <w:right w:val="none" w:sz="0" w:space="0" w:color="auto"/>
          </w:divBdr>
        </w:div>
      </w:divsChild>
    </w:div>
    <w:div w:id="1975519634">
      <w:bodyDiv w:val="1"/>
      <w:marLeft w:val="0"/>
      <w:marRight w:val="0"/>
      <w:marTop w:val="0"/>
      <w:marBottom w:val="0"/>
      <w:divBdr>
        <w:top w:val="none" w:sz="0" w:space="0" w:color="auto"/>
        <w:left w:val="none" w:sz="0" w:space="0" w:color="auto"/>
        <w:bottom w:val="none" w:sz="0" w:space="0" w:color="auto"/>
        <w:right w:val="none" w:sz="0" w:space="0" w:color="auto"/>
      </w:divBdr>
    </w:div>
    <w:div w:id="2026782999">
      <w:bodyDiv w:val="1"/>
      <w:marLeft w:val="0"/>
      <w:marRight w:val="0"/>
      <w:marTop w:val="0"/>
      <w:marBottom w:val="0"/>
      <w:divBdr>
        <w:top w:val="none" w:sz="0" w:space="0" w:color="auto"/>
        <w:left w:val="none" w:sz="0" w:space="0" w:color="auto"/>
        <w:bottom w:val="none" w:sz="0" w:space="0" w:color="auto"/>
        <w:right w:val="none" w:sz="0" w:space="0" w:color="auto"/>
      </w:divBdr>
    </w:div>
    <w:div w:id="2031714244">
      <w:bodyDiv w:val="1"/>
      <w:marLeft w:val="0"/>
      <w:marRight w:val="0"/>
      <w:marTop w:val="0"/>
      <w:marBottom w:val="0"/>
      <w:divBdr>
        <w:top w:val="none" w:sz="0" w:space="0" w:color="auto"/>
        <w:left w:val="none" w:sz="0" w:space="0" w:color="auto"/>
        <w:bottom w:val="none" w:sz="0" w:space="0" w:color="auto"/>
        <w:right w:val="none" w:sz="0" w:space="0" w:color="auto"/>
      </w:divBdr>
    </w:div>
    <w:div w:id="20675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99" Type="http://schemas.openxmlformats.org/officeDocument/2006/relationships/hyperlink" Target="https://www.agedcarequality.gov.au/resource-library/good-spirit-good-life-quality-life-tool-and-package" TargetMode="External"/><Relationship Id="rId303" Type="http://schemas.openxmlformats.org/officeDocument/2006/relationships/hyperlink" Target="https://www.ncbi.nlm.nih.gov/pmc/articles/PMC6407786/pdf/pone.0213263.pdf" TargetMode="External"/><Relationship Id="rId21" Type="http://schemas.openxmlformats.org/officeDocument/2006/relationships/footer" Target="footer5.xml"/><Relationship Id="rId42" Type="http://schemas.openxmlformats.org/officeDocument/2006/relationships/image" Target="media/image16.png"/><Relationship Id="rId63" Type="http://schemas.openxmlformats.org/officeDocument/2006/relationships/header" Target="header23.xml"/><Relationship Id="rId84" Type="http://schemas.openxmlformats.org/officeDocument/2006/relationships/hyperlink" Target="https://www.agedcarequality.gov.au/minimising-restrictive-practices/provider-resources" TargetMode="External"/><Relationship Id="rId138" Type="http://schemas.openxmlformats.org/officeDocument/2006/relationships/image" Target="media/image52.png"/><Relationship Id="rId159" Type="http://schemas.openxmlformats.org/officeDocument/2006/relationships/header" Target="header54.xml"/><Relationship Id="rId324" Type="http://schemas.openxmlformats.org/officeDocument/2006/relationships/hyperlink" Target="https://www.clinedaus.org.au/" TargetMode="External"/><Relationship Id="rId170" Type="http://schemas.openxmlformats.org/officeDocument/2006/relationships/hyperlink" Target="https://amhonline.amh.net.au/auth" TargetMode="External"/><Relationship Id="rId191" Type="http://schemas.openxmlformats.org/officeDocument/2006/relationships/hyperlink" Target="https://www.ariia.org.au/knowledge-implementation-hub/rehabilitation-reablement-and-restorative-care/about-rehabilitation-care" TargetMode="External"/><Relationship Id="rId205" Type="http://schemas.openxmlformats.org/officeDocument/2006/relationships/header" Target="header77.xml"/><Relationship Id="rId226" Type="http://schemas.openxmlformats.org/officeDocument/2006/relationships/header" Target="header86.xml"/><Relationship Id="rId247" Type="http://schemas.openxmlformats.org/officeDocument/2006/relationships/header" Target="header95.xml"/><Relationship Id="rId107" Type="http://schemas.openxmlformats.org/officeDocument/2006/relationships/hyperlink" Target="https://research-repository.griffith.edu.au/server/api/core/bitstreams/74cbca57-f974-4d32-a037-3b627d539386/content" TargetMode="External"/><Relationship Id="rId268" Type="http://schemas.openxmlformats.org/officeDocument/2006/relationships/header" Target="header103.xml"/><Relationship Id="rId289" Type="http://schemas.openxmlformats.org/officeDocument/2006/relationships/header" Target="header112.xml"/><Relationship Id="rId11" Type="http://schemas.openxmlformats.org/officeDocument/2006/relationships/image" Target="media/image1.jpg"/><Relationship Id="rId32" Type="http://schemas.openxmlformats.org/officeDocument/2006/relationships/header" Target="header8.xml"/><Relationship Id="rId53" Type="http://schemas.openxmlformats.org/officeDocument/2006/relationships/header" Target="header20.xml"/><Relationship Id="rId74" Type="http://schemas.openxmlformats.org/officeDocument/2006/relationships/header" Target="header27.xml"/><Relationship Id="rId128" Type="http://schemas.openxmlformats.org/officeDocument/2006/relationships/header" Target="header43.xml"/><Relationship Id="rId149" Type="http://schemas.openxmlformats.org/officeDocument/2006/relationships/image" Target="media/image56.png"/><Relationship Id="rId314" Type="http://schemas.openxmlformats.org/officeDocument/2006/relationships/hyperlink" Target="https://www.nursingmidwiferyboard.gov.au/Codes-Guidelines-Statements/Professional-standards/registered-nurse-standards-for-practice" TargetMode="External"/><Relationship Id="rId335" Type="http://schemas.openxmlformats.org/officeDocument/2006/relationships/header" Target="header124.xml"/><Relationship Id="rId5" Type="http://schemas.openxmlformats.org/officeDocument/2006/relationships/numbering" Target="numbering.xml"/><Relationship Id="rId95" Type="http://schemas.openxmlformats.org/officeDocument/2006/relationships/image" Target="media/image38.emf"/><Relationship Id="rId160" Type="http://schemas.openxmlformats.org/officeDocument/2006/relationships/header" Target="header55.xml"/><Relationship Id="rId181" Type="http://schemas.openxmlformats.org/officeDocument/2006/relationships/image" Target="media/image64.png"/><Relationship Id="rId216" Type="http://schemas.openxmlformats.org/officeDocument/2006/relationships/header" Target="header80.xml"/><Relationship Id="rId237" Type="http://schemas.openxmlformats.org/officeDocument/2006/relationships/hyperlink" Target="https://www.safetyandquality.gov.au/sites/default/files/migrated/A-guide-to-the-potentially-preventable-hospitalisations-indicator-in-Australia.pdf" TargetMode="External"/><Relationship Id="rId258" Type="http://schemas.openxmlformats.org/officeDocument/2006/relationships/header" Target="header97.xml"/><Relationship Id="rId279" Type="http://schemas.openxmlformats.org/officeDocument/2006/relationships/hyperlink" Target="https://www.ausmed.com.au/learn/articles/quality-of-care-survey" TargetMode="External"/><Relationship Id="rId22" Type="http://schemas.openxmlformats.org/officeDocument/2006/relationships/header" Target="header6.xml"/><Relationship Id="rId43" Type="http://schemas.openxmlformats.org/officeDocument/2006/relationships/image" Target="media/image17.emf"/><Relationship Id="rId64" Type="http://schemas.openxmlformats.org/officeDocument/2006/relationships/header" Target="header24.xml"/><Relationship Id="rId118" Type="http://schemas.openxmlformats.org/officeDocument/2006/relationships/header" Target="header36.xml"/><Relationship Id="rId139" Type="http://schemas.openxmlformats.org/officeDocument/2006/relationships/header" Target="header45.xml"/><Relationship Id="rId290" Type="http://schemas.openxmlformats.org/officeDocument/2006/relationships/header" Target="header113.xml"/><Relationship Id="rId304" Type="http://schemas.openxmlformats.org/officeDocument/2006/relationships/hyperlink" Target="https://www.agedcareguide.com.au/information/quality-of-life-factors-for-older-australians" TargetMode="External"/><Relationship Id="rId325" Type="http://schemas.openxmlformats.org/officeDocument/2006/relationships/hyperlink" Target="https://www.ahpra.gov.au/Registration.aspx" TargetMode="External"/><Relationship Id="rId85" Type="http://schemas.openxmlformats.org/officeDocument/2006/relationships/hyperlink" Target="https://www.agedcarequality.gov.au/sites/default/files/media/sirs-inappropriate-use-of-restrictive-practices-fact-sheet_0.pdf" TargetMode="External"/><Relationship Id="rId150" Type="http://schemas.openxmlformats.org/officeDocument/2006/relationships/header" Target="header48.xml"/><Relationship Id="rId171" Type="http://schemas.openxmlformats.org/officeDocument/2006/relationships/hyperlink" Target="https://www.mims.com.au/index.php/products/mims-online" TargetMode="External"/><Relationship Id="rId192" Type="http://schemas.openxmlformats.org/officeDocument/2006/relationships/hyperlink" Target="https://www.agedcarequality.gov.au/sites/default/files/media/Guidance%20and%20resources_Standard%204.pdf" TargetMode="External"/><Relationship Id="rId206" Type="http://schemas.openxmlformats.org/officeDocument/2006/relationships/header" Target="header78.xml"/><Relationship Id="rId227" Type="http://schemas.openxmlformats.org/officeDocument/2006/relationships/header" Target="header87.xml"/><Relationship Id="rId248" Type="http://schemas.openxmlformats.org/officeDocument/2006/relationships/header" Target="header96.xml"/><Relationship Id="rId269" Type="http://schemas.openxmlformats.org/officeDocument/2006/relationships/footer" Target="footer11.xml"/><Relationship Id="rId12" Type="http://schemas.openxmlformats.org/officeDocument/2006/relationships/header" Target="header1.xml"/><Relationship Id="rId33" Type="http://schemas.openxmlformats.org/officeDocument/2006/relationships/header" Target="header9.xml"/><Relationship Id="rId108" Type="http://schemas.openxmlformats.org/officeDocument/2006/relationships/hyperlink" Target="https://www.agedcarequality.gov.au/providers/food-nutrition-dining-information-providers" TargetMode="External"/><Relationship Id="rId129" Type="http://schemas.openxmlformats.org/officeDocument/2006/relationships/header" Target="header44.xml"/><Relationship Id="rId280" Type="http://schemas.openxmlformats.org/officeDocument/2006/relationships/hyperlink" Target="https://www.agedcarequality.gov.au/resources/guidance-and-resources-providers-support-aged-care-quality-standards" TargetMode="External"/><Relationship Id="rId315" Type="http://schemas.openxmlformats.org/officeDocument/2006/relationships/hyperlink" Target="https://www.nursingmidwiferyboard.gov.au/Codes-Guidelines-Statements/Frameworks.aspx" TargetMode="External"/><Relationship Id="rId336" Type="http://schemas.openxmlformats.org/officeDocument/2006/relationships/header" Target="header125.xml"/><Relationship Id="rId54" Type="http://schemas.openxmlformats.org/officeDocument/2006/relationships/footer" Target="footer6.xml"/><Relationship Id="rId75" Type="http://schemas.openxmlformats.org/officeDocument/2006/relationships/image" Target="media/image30.png"/><Relationship Id="rId96" Type="http://schemas.openxmlformats.org/officeDocument/2006/relationships/image" Target="media/image39.png"/><Relationship Id="rId140" Type="http://schemas.openxmlformats.org/officeDocument/2006/relationships/header" Target="header46.xml"/><Relationship Id="rId161" Type="http://schemas.openxmlformats.org/officeDocument/2006/relationships/header" Target="header56.xml"/><Relationship Id="rId182" Type="http://schemas.openxmlformats.org/officeDocument/2006/relationships/header" Target="header65.xml"/><Relationship Id="rId217" Type="http://schemas.openxmlformats.org/officeDocument/2006/relationships/footer" Target="footer8.xml"/><Relationship Id="rId6" Type="http://schemas.openxmlformats.org/officeDocument/2006/relationships/styles" Target="styles.xml"/><Relationship Id="rId238" Type="http://schemas.openxmlformats.org/officeDocument/2006/relationships/hyperlink" Target="https://www.aihw.gov.au/reports/primary-health-care/potentially-preventable-hospitalisations-2020-22/contents/about" TargetMode="External"/><Relationship Id="rId259" Type="http://schemas.openxmlformats.org/officeDocument/2006/relationships/header" Target="header98.xml"/><Relationship Id="rId23" Type="http://schemas.openxmlformats.org/officeDocument/2006/relationships/image" Target="media/image3.png"/><Relationship Id="rId119" Type="http://schemas.openxmlformats.org/officeDocument/2006/relationships/header" Target="header37.xml"/><Relationship Id="rId270" Type="http://schemas.openxmlformats.org/officeDocument/2006/relationships/header" Target="header104.xml"/><Relationship Id="rId291" Type="http://schemas.openxmlformats.org/officeDocument/2006/relationships/image" Target="media/image88.png"/><Relationship Id="rId305" Type="http://schemas.openxmlformats.org/officeDocument/2006/relationships/hyperlink" Target="https://archive.cdc.gov/" TargetMode="External"/><Relationship Id="rId326" Type="http://schemas.openxmlformats.org/officeDocument/2006/relationships/hyperlink" Target="https://nasrhp.org.au/" TargetMode="External"/><Relationship Id="rId44" Type="http://schemas.openxmlformats.org/officeDocument/2006/relationships/image" Target="media/image18.png"/><Relationship Id="rId65" Type="http://schemas.openxmlformats.org/officeDocument/2006/relationships/hyperlink" Target="https://internationalguideline.com/" TargetMode="External"/><Relationship Id="rId86" Type="http://schemas.openxmlformats.org/officeDocument/2006/relationships/hyperlink" Target="https://dementia.com.au/services/severe-behaviour-response-teams-sbrt" TargetMode="External"/><Relationship Id="rId130" Type="http://schemas.openxmlformats.org/officeDocument/2006/relationships/hyperlink" Target="https://www.safetyandquality.gov.au/our-work/comprehensive-care/related-topics/falls-prevention" TargetMode="External"/><Relationship Id="rId151" Type="http://schemas.openxmlformats.org/officeDocument/2006/relationships/header" Target="header49.xml"/><Relationship Id="rId172" Type="http://schemas.openxmlformats.org/officeDocument/2006/relationships/hyperlink" Target="https://dementia.com.au/services/severe-behaviour-response-teams-sbrt" TargetMode="External"/><Relationship Id="rId193" Type="http://schemas.openxmlformats.org/officeDocument/2006/relationships/header" Target="header71.xml"/><Relationship Id="rId207" Type="http://schemas.openxmlformats.org/officeDocument/2006/relationships/hyperlink" Target="https://www.health.gov.au/resources/collections/national-aged-care-mandatory-quality-indicator-program-manual" TargetMode="External"/><Relationship Id="rId228" Type="http://schemas.openxmlformats.org/officeDocument/2006/relationships/header" Target="header88.xml"/><Relationship Id="rId249" Type="http://schemas.openxmlformats.org/officeDocument/2006/relationships/hyperlink" Target="https://www.health.gov.au/our-work/workforce-advisory-service" TargetMode="External"/><Relationship Id="rId13" Type="http://schemas.openxmlformats.org/officeDocument/2006/relationships/header" Target="header2.xml"/><Relationship Id="rId109" Type="http://schemas.openxmlformats.org/officeDocument/2006/relationships/hyperlink" Target="https://www.agedcarequality.gov.au/resource-library/find-out-more-about-food-nutrition-and-dining" TargetMode="External"/><Relationship Id="rId260" Type="http://schemas.openxmlformats.org/officeDocument/2006/relationships/header" Target="header99.xml"/><Relationship Id="rId281" Type="http://schemas.openxmlformats.org/officeDocument/2006/relationships/hyperlink" Target="https://www.agedcarequality.gov.au/resources/quality-standards-consumer-outcomes-poster-english" TargetMode="External"/><Relationship Id="rId316" Type="http://schemas.openxmlformats.org/officeDocument/2006/relationships/hyperlink" Target="https://www.nursingmidwiferyboard.gov.au/Codes-Guidelines-Statements/Professional-standards" TargetMode="External"/><Relationship Id="rId337" Type="http://schemas.openxmlformats.org/officeDocument/2006/relationships/header" Target="header126.xml"/><Relationship Id="rId34" Type="http://schemas.openxmlformats.org/officeDocument/2006/relationships/image" Target="media/image11.emf"/><Relationship Id="rId55" Type="http://schemas.openxmlformats.org/officeDocument/2006/relationships/header" Target="header21.xml"/><Relationship Id="rId76" Type="http://schemas.openxmlformats.org/officeDocument/2006/relationships/hyperlink" Target="https://www.legislation.gov.au/Series/F2014L00830" TargetMode="External"/><Relationship Id="rId97" Type="http://schemas.openxmlformats.org/officeDocument/2006/relationships/image" Target="media/image40.emf"/><Relationship Id="rId120" Type="http://schemas.openxmlformats.org/officeDocument/2006/relationships/header" Target="header38.xml"/><Relationship Id="rId141" Type="http://schemas.openxmlformats.org/officeDocument/2006/relationships/header" Target="header47.xml"/><Relationship Id="rId7" Type="http://schemas.openxmlformats.org/officeDocument/2006/relationships/settings" Target="settings.xml"/><Relationship Id="rId162" Type="http://schemas.openxmlformats.org/officeDocument/2006/relationships/header" Target="header57.xml"/><Relationship Id="rId183" Type="http://schemas.openxmlformats.org/officeDocument/2006/relationships/header" Target="header66.xml"/><Relationship Id="rId218" Type="http://schemas.openxmlformats.org/officeDocument/2006/relationships/image" Target="media/image72.emf"/><Relationship Id="rId239" Type="http://schemas.openxmlformats.org/officeDocument/2006/relationships/header" Target="header90.xml"/><Relationship Id="rId250" Type="http://schemas.openxmlformats.org/officeDocument/2006/relationships/hyperlink" Target="https://equiplearning.mooc.utas.edu.au/" TargetMode="External"/><Relationship Id="rId271" Type="http://schemas.openxmlformats.org/officeDocument/2006/relationships/header" Target="header105.xml"/><Relationship Id="rId292" Type="http://schemas.openxmlformats.org/officeDocument/2006/relationships/header" Target="header114.xml"/><Relationship Id="rId306" Type="http://schemas.openxmlformats.org/officeDocument/2006/relationships/hyperlink" Target="https://www.gen-agedcaredata.gov.au/Topics/Quality-in-aged-care" TargetMode="External"/><Relationship Id="rId24" Type="http://schemas.openxmlformats.org/officeDocument/2006/relationships/image" Target="media/image4.jpeg"/><Relationship Id="rId45" Type="http://schemas.openxmlformats.org/officeDocument/2006/relationships/header" Target="header13.xml"/><Relationship Id="rId66" Type="http://schemas.openxmlformats.org/officeDocument/2006/relationships/hyperlink" Target="https://www.aci.health.nsw.gov.au/__data/assets/pdf_file/0011/387929/07.-_Waterlow-Clinician-Summary-v.5.0.pdf" TargetMode="External"/><Relationship Id="rId87" Type="http://schemas.openxmlformats.org/officeDocument/2006/relationships/hyperlink" Target="https://dementia.com.au/services/dementia-behaviour-management-advisory-service-dbas" TargetMode="External"/><Relationship Id="rId110" Type="http://schemas.openxmlformats.org/officeDocument/2006/relationships/hyperlink" Target="https://dietitiansaustralia.org.au/sites/default/files/2021-12/202012-PositionStatement-Malnutrition_in_Aged_Care.pdf" TargetMode="External"/><Relationship Id="rId131" Type="http://schemas.openxmlformats.org/officeDocument/2006/relationships/hyperlink" Target="https://www.health.gov.au/sites/default/files/documents/2021/04/don-t-fall-for-it-falls-can-be-prevented.pdf" TargetMode="External"/><Relationship Id="rId327" Type="http://schemas.openxmlformats.org/officeDocument/2006/relationships/hyperlink" Target="https://www.health.gov.au/topics/allied-health-care/who-can-provide" TargetMode="External"/><Relationship Id="rId152" Type="http://schemas.openxmlformats.org/officeDocument/2006/relationships/header" Target="header50.xml"/><Relationship Id="rId173" Type="http://schemas.openxmlformats.org/officeDocument/2006/relationships/hyperlink" Target="https://dementia.com.au/services/dementia-behaviour-management-advisory-service-dbas" TargetMode="External"/><Relationship Id="rId194" Type="http://schemas.openxmlformats.org/officeDocument/2006/relationships/header" Target="header72.xml"/><Relationship Id="rId208" Type="http://schemas.openxmlformats.org/officeDocument/2006/relationships/hyperlink" Target="https://www.continence.org.au/Continence-SMART-Care" TargetMode="External"/><Relationship Id="rId229" Type="http://schemas.openxmlformats.org/officeDocument/2006/relationships/header" Target="header89.xml"/><Relationship Id="rId240" Type="http://schemas.openxmlformats.org/officeDocument/2006/relationships/footer" Target="footer9.xml"/><Relationship Id="rId261" Type="http://schemas.openxmlformats.org/officeDocument/2006/relationships/footer" Target="footer10.xml"/><Relationship Id="rId14" Type="http://schemas.openxmlformats.org/officeDocument/2006/relationships/footer" Target="footer1.xml"/><Relationship Id="rId35" Type="http://schemas.openxmlformats.org/officeDocument/2006/relationships/image" Target="media/image12.emf"/><Relationship Id="rId56" Type="http://schemas.openxmlformats.org/officeDocument/2006/relationships/image" Target="media/image21.png"/><Relationship Id="rId77" Type="http://schemas.openxmlformats.org/officeDocument/2006/relationships/image" Target="media/image31.png"/><Relationship Id="rId100" Type="http://schemas.openxmlformats.org/officeDocument/2006/relationships/header" Target="header35.xml"/><Relationship Id="rId282" Type="http://schemas.openxmlformats.org/officeDocument/2006/relationships/hyperlink" Target="https://www.who.int/health-topics/quality-of-care" TargetMode="External"/><Relationship Id="rId317" Type="http://schemas.openxmlformats.org/officeDocument/2006/relationships/hyperlink" Target="https://www.nursingmidwiferyboard.gov.au/Registration-Standards/Continuing-professional-development.aspx" TargetMode="External"/><Relationship Id="rId338"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eader" Target="header33.xml"/><Relationship Id="rId121" Type="http://schemas.openxmlformats.org/officeDocument/2006/relationships/image" Target="media/image47.png"/><Relationship Id="rId142" Type="http://schemas.openxmlformats.org/officeDocument/2006/relationships/image" Target="media/image54.emf"/><Relationship Id="rId163" Type="http://schemas.openxmlformats.org/officeDocument/2006/relationships/header" Target="header58.xml"/><Relationship Id="rId184" Type="http://schemas.openxmlformats.org/officeDocument/2006/relationships/header" Target="header67.xml"/><Relationship Id="rId219" Type="http://schemas.openxmlformats.org/officeDocument/2006/relationships/image" Target="media/image73.png"/><Relationship Id="rId3" Type="http://schemas.openxmlformats.org/officeDocument/2006/relationships/customXml" Target="../customXml/item3.xml"/><Relationship Id="rId214" Type="http://schemas.openxmlformats.org/officeDocument/2006/relationships/hyperlink" Target="https://www.continencelearning.com" TargetMode="External"/><Relationship Id="rId230" Type="http://schemas.openxmlformats.org/officeDocument/2006/relationships/hyperlink" Target="https://hunterprimarycare.com.au/health-professionals/professional-health-services/ace-education-resources-2/" TargetMode="External"/><Relationship Id="rId235" Type="http://schemas.openxmlformats.org/officeDocument/2006/relationships/hyperlink" Target="https://www.eldac.com.au/tabid/5020/Default.aspx" TargetMode="External"/><Relationship Id="rId251" Type="http://schemas.openxmlformats.org/officeDocument/2006/relationships/hyperlink" Target="https://www.health.gov.au/our-work/aged-care-transition-to-practice-program" TargetMode="External"/><Relationship Id="rId256" Type="http://schemas.openxmlformats.org/officeDocument/2006/relationships/hyperlink" Target="https://www.fairwork.gov.au/employment-conditions/awards/awards-summary/ma000018-summary" TargetMode="External"/><Relationship Id="rId277" Type="http://schemas.openxmlformats.org/officeDocument/2006/relationships/hyperlink" Target="https://www.health.gov.au/resources/collections/national-aged-care-mandatory-quality-indicator-program-manual" TargetMode="External"/><Relationship Id="rId298" Type="http://schemas.openxmlformats.org/officeDocument/2006/relationships/hyperlink" Target="https://www.health.gov.au/resources/collections/national-aged-care-mandatory-quality-indicator-program-manual" TargetMode="External"/><Relationship Id="rId25" Type="http://schemas.openxmlformats.org/officeDocument/2006/relationships/image" Target="media/image5.png"/><Relationship Id="rId46" Type="http://schemas.openxmlformats.org/officeDocument/2006/relationships/header" Target="header14.xml"/><Relationship Id="rId67" Type="http://schemas.openxmlformats.org/officeDocument/2006/relationships/hyperlink" Target="https://www.health.gov.au/resources/publications/an-acc-reference-manual-and-an-acc-assessment-tool" TargetMode="External"/><Relationship Id="rId116" Type="http://schemas.openxmlformats.org/officeDocument/2006/relationships/image" Target="media/image44.emf"/><Relationship Id="rId137" Type="http://schemas.openxmlformats.org/officeDocument/2006/relationships/image" Target="media/image51.emf"/><Relationship Id="rId158" Type="http://schemas.openxmlformats.org/officeDocument/2006/relationships/image" Target="media/image59.png"/><Relationship Id="rId272" Type="http://schemas.openxmlformats.org/officeDocument/2006/relationships/header" Target="header106.xml"/><Relationship Id="rId293" Type="http://schemas.openxmlformats.org/officeDocument/2006/relationships/header" Target="header115.xml"/><Relationship Id="rId302" Type="http://schemas.openxmlformats.org/officeDocument/2006/relationships/hyperlink" Target="https://ahha.asn.au/resource/evidence-brief-no-23-quality-of-life-tools-to-support-measurement-of-aged-care-quality/" TargetMode="External"/><Relationship Id="rId307" Type="http://schemas.openxmlformats.org/officeDocument/2006/relationships/header" Target="header120.xml"/><Relationship Id="rId323" Type="http://schemas.openxmlformats.org/officeDocument/2006/relationships/hyperlink" Target="https://ahpa.com.au/allied-health-professions/" TargetMode="External"/><Relationship Id="rId328" Type="http://schemas.openxmlformats.org/officeDocument/2006/relationships/hyperlink" Target="https://www.ahpa.com.au/key-areas-aged-care" TargetMode="External"/><Relationship Id="rId20" Type="http://schemas.openxmlformats.org/officeDocument/2006/relationships/footer" Target="footer4.xml"/><Relationship Id="rId41" Type="http://schemas.openxmlformats.org/officeDocument/2006/relationships/header" Target="header12.xml"/><Relationship Id="rId62" Type="http://schemas.openxmlformats.org/officeDocument/2006/relationships/header" Target="header22.xml"/><Relationship Id="rId83" Type="http://schemas.openxmlformats.org/officeDocument/2006/relationships/hyperlink" Target="https://www.agedcarequality.gov.au/older-australians/safety-care/minimising-restrictive-practices" TargetMode="External"/><Relationship Id="rId88" Type="http://schemas.openxmlformats.org/officeDocument/2006/relationships/header" Target="header31.xml"/><Relationship Id="rId111" Type="http://schemas.openxmlformats.org/officeDocument/2006/relationships/hyperlink" Target="http://thelanternproject.com.au/" TargetMode="External"/><Relationship Id="rId132" Type="http://schemas.openxmlformats.org/officeDocument/2006/relationships/hyperlink" Target="https://www.health.vic.gov.au/sites/default/files/migrated/files/collections/factsheets/s/scp-falls-pdf.pdf" TargetMode="External"/><Relationship Id="rId153" Type="http://schemas.openxmlformats.org/officeDocument/2006/relationships/header" Target="header51.xml"/><Relationship Id="rId174" Type="http://schemas.openxmlformats.org/officeDocument/2006/relationships/hyperlink" Target="https://www.dementia.com.au/resource-hub?topic=behaviour" TargetMode="External"/><Relationship Id="rId179" Type="http://schemas.openxmlformats.org/officeDocument/2006/relationships/header" Target="header63.xml"/><Relationship Id="rId195" Type="http://schemas.openxmlformats.org/officeDocument/2006/relationships/footer" Target="footer7.xml"/><Relationship Id="rId209" Type="http://schemas.openxmlformats.org/officeDocument/2006/relationships/hyperlink" Target="https://www.cec.health.nsw.gov.au/__data/assets/pdf_file/0015/424401/Incontinence-Associated-Dermatitis-IAD-Best-Practice-Principles.pdf" TargetMode="External"/><Relationship Id="rId190" Type="http://schemas.openxmlformats.org/officeDocument/2006/relationships/hyperlink" Target="https://www.health.gov.au/sites/default/files/documents/2021/04/an-acc-reference-manual-and-an-acc-assessment-tool.pdf" TargetMode="External"/><Relationship Id="rId204" Type="http://schemas.openxmlformats.org/officeDocument/2006/relationships/header" Target="header76.xml"/><Relationship Id="rId220" Type="http://schemas.openxmlformats.org/officeDocument/2006/relationships/header" Target="header81.xml"/><Relationship Id="rId225" Type="http://schemas.openxmlformats.org/officeDocument/2006/relationships/header" Target="header85.xml"/><Relationship Id="rId241" Type="http://schemas.openxmlformats.org/officeDocument/2006/relationships/image" Target="media/image76.emf"/><Relationship Id="rId246" Type="http://schemas.openxmlformats.org/officeDocument/2006/relationships/header" Target="header94.xml"/><Relationship Id="rId267" Type="http://schemas.openxmlformats.org/officeDocument/2006/relationships/image" Target="media/image82.png"/><Relationship Id="rId288" Type="http://schemas.openxmlformats.org/officeDocument/2006/relationships/header" Target="header111.xml"/><Relationship Id="rId15" Type="http://schemas.openxmlformats.org/officeDocument/2006/relationships/footer" Target="footer2.xml"/><Relationship Id="rId36" Type="http://schemas.openxmlformats.org/officeDocument/2006/relationships/image" Target="media/image13.png"/><Relationship Id="rId57" Type="http://schemas.openxmlformats.org/officeDocument/2006/relationships/image" Target="media/image22.png"/><Relationship Id="rId106" Type="http://schemas.openxmlformats.org/officeDocument/2006/relationships/hyperlink" Target="https://www.bapen.org.uk/screening-and-must/must-calculator" TargetMode="External"/><Relationship Id="rId127" Type="http://schemas.openxmlformats.org/officeDocument/2006/relationships/header" Target="header42.xml"/><Relationship Id="rId262" Type="http://schemas.openxmlformats.org/officeDocument/2006/relationships/image" Target="media/image79.png"/><Relationship Id="rId283" Type="http://schemas.openxmlformats.org/officeDocument/2006/relationships/header" Target="header110.xml"/><Relationship Id="rId313" Type="http://schemas.openxmlformats.org/officeDocument/2006/relationships/hyperlink" Target="https://www.nursingmidwiferyboard.gov.au/Codes-Guidelines-Statements/FAQ/Enrolled-nurse-standards-for-practice.aspx" TargetMode="External"/><Relationship Id="rId318" Type="http://schemas.openxmlformats.org/officeDocument/2006/relationships/hyperlink" Target="https://www.agedcarequality.gov.au/workers/education-and-training-workers" TargetMode="External"/><Relationship Id="rId33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image" Target="media/image37.emf"/><Relationship Id="rId99" Type="http://schemas.openxmlformats.org/officeDocument/2006/relationships/header" Target="header34.xml"/><Relationship Id="rId101" Type="http://schemas.openxmlformats.org/officeDocument/2006/relationships/image" Target="media/image42.emf"/><Relationship Id="rId122" Type="http://schemas.openxmlformats.org/officeDocument/2006/relationships/header" Target="header39.xml"/><Relationship Id="rId143" Type="http://schemas.openxmlformats.org/officeDocument/2006/relationships/image" Target="media/image55.png"/><Relationship Id="rId148" Type="http://schemas.openxmlformats.org/officeDocument/2006/relationships/hyperlink" Target="https://opan.org.au/yourchoice/" TargetMode="External"/><Relationship Id="rId164" Type="http://schemas.openxmlformats.org/officeDocument/2006/relationships/header" Target="header59.xml"/><Relationship Id="rId169" Type="http://schemas.openxmlformats.org/officeDocument/2006/relationships/hyperlink" Target="https://www.agedcarequality.gov.au/resources/six-steps-safe-prescribing-antipsychotics-and-benzodiazepines-residential-aged-care" TargetMode="External"/><Relationship Id="rId185" Type="http://schemas.openxmlformats.org/officeDocument/2006/relationships/image" Target="media/image65.emf"/><Relationship Id="rId334" Type="http://schemas.openxmlformats.org/officeDocument/2006/relationships/header" Target="header12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64.xml"/><Relationship Id="rId210" Type="http://schemas.openxmlformats.org/officeDocument/2006/relationships/hyperlink" Target="https://www.aihw.gov.au/reports/disability/incontinence-in-australia/summary" TargetMode="External"/><Relationship Id="rId215" Type="http://schemas.openxmlformats.org/officeDocument/2006/relationships/header" Target="header79.xml"/><Relationship Id="rId236" Type="http://schemas.openxmlformats.org/officeDocument/2006/relationships/hyperlink" Target="https://www.australianageingagenda.com.au/clinical/infection-control/study-identifies-how-to-minimise-resident-infection-related-hospitalisations/" TargetMode="External"/><Relationship Id="rId257" Type="http://schemas.openxmlformats.org/officeDocument/2006/relationships/hyperlink" Target="https://nap.nationalacademies.org/read/26526/chapter/1" TargetMode="External"/><Relationship Id="rId278" Type="http://schemas.openxmlformats.org/officeDocument/2006/relationships/hyperlink" Target="https://www.agedcarequality.gov.au/sites/default/files/media/acqsc_working_with_aged_care_consumers_-_resource.pdf" TargetMode="External"/><Relationship Id="rId26" Type="http://schemas.openxmlformats.org/officeDocument/2006/relationships/hyperlink" Target="https://www.agedcarequality.gov.au/media/89299" TargetMode="External"/><Relationship Id="rId231" Type="http://schemas.openxmlformats.org/officeDocument/2006/relationships/hyperlink" Target="https://www.health.gov.au/initiatives-and-programs/phn/how-we-support-phns/aged-care" TargetMode="External"/><Relationship Id="rId252" Type="http://schemas.openxmlformats.org/officeDocument/2006/relationships/hyperlink" Target="https://www.health.gov.au/initiatives-and-programs/nursing-and-allied-health-scholarships" TargetMode="External"/><Relationship Id="rId273" Type="http://schemas.openxmlformats.org/officeDocument/2006/relationships/image" Target="media/image83.png"/><Relationship Id="rId294" Type="http://schemas.openxmlformats.org/officeDocument/2006/relationships/header" Target="header116.xml"/><Relationship Id="rId308" Type="http://schemas.openxmlformats.org/officeDocument/2006/relationships/footer" Target="footer13.xml"/><Relationship Id="rId329" Type="http://schemas.openxmlformats.org/officeDocument/2006/relationships/image" Target="media/image95.png"/><Relationship Id="rId47" Type="http://schemas.openxmlformats.org/officeDocument/2006/relationships/header" Target="header15.xml"/><Relationship Id="rId68" Type="http://schemas.openxmlformats.org/officeDocument/2006/relationships/hyperlink" Target="https://www.health.vic.gov.au/sites/default/files/2023-11/standardised-care-pressure-injuries.pdf" TargetMode="External"/><Relationship Id="rId89" Type="http://schemas.openxmlformats.org/officeDocument/2006/relationships/header" Target="header32.xml"/><Relationship Id="rId112" Type="http://schemas.openxmlformats.org/officeDocument/2006/relationships/hyperlink" Target="https://www.cclhd.health.nsw.gov.au/wp-content/uploads/BestPracticeFoodandNutritionManualforAgedCare.pdf" TargetMode="External"/><Relationship Id="rId133" Type="http://schemas.openxmlformats.org/officeDocument/2006/relationships/hyperlink" Target="https://www.health.vic.gov.au/wellbeing-and-participation/falls-prevention-tools" TargetMode="External"/><Relationship Id="rId154" Type="http://schemas.openxmlformats.org/officeDocument/2006/relationships/header" Target="header52.xml"/><Relationship Id="rId175" Type="http://schemas.openxmlformats.org/officeDocument/2006/relationships/image" Target="media/image61.png"/><Relationship Id="rId196" Type="http://schemas.openxmlformats.org/officeDocument/2006/relationships/image" Target="media/image66.emf"/><Relationship Id="rId200" Type="http://schemas.openxmlformats.org/officeDocument/2006/relationships/header" Target="header75.xml"/><Relationship Id="rId16" Type="http://schemas.openxmlformats.org/officeDocument/2006/relationships/header" Target="header3.xml"/><Relationship Id="rId221" Type="http://schemas.openxmlformats.org/officeDocument/2006/relationships/header" Target="header82.xml"/><Relationship Id="rId242" Type="http://schemas.openxmlformats.org/officeDocument/2006/relationships/image" Target="media/image77.png"/><Relationship Id="rId263" Type="http://schemas.openxmlformats.org/officeDocument/2006/relationships/header" Target="header100.xml"/><Relationship Id="rId284" Type="http://schemas.openxmlformats.org/officeDocument/2006/relationships/footer" Target="footer12.xml"/><Relationship Id="rId319" Type="http://schemas.openxmlformats.org/officeDocument/2006/relationships/hyperlink" Target="https://www.health.gov.au/our-work/nursing-and-allied-health-scholarships?language=en" TargetMode="External"/><Relationship Id="rId37" Type="http://schemas.openxmlformats.org/officeDocument/2006/relationships/image" Target="media/image14.png"/><Relationship Id="rId58" Type="http://schemas.openxmlformats.org/officeDocument/2006/relationships/image" Target="media/image23.png"/><Relationship Id="rId79" Type="http://schemas.openxmlformats.org/officeDocument/2006/relationships/header" Target="header29.xml"/><Relationship Id="rId102" Type="http://schemas.openxmlformats.org/officeDocument/2006/relationships/image" Target="media/image43.png"/><Relationship Id="rId123" Type="http://schemas.openxmlformats.org/officeDocument/2006/relationships/header" Target="header40.xml"/><Relationship Id="rId144" Type="http://schemas.openxmlformats.org/officeDocument/2006/relationships/hyperlink" Target="https://amhonline.amh.net.au/auth" TargetMode="External"/><Relationship Id="rId330" Type="http://schemas.openxmlformats.org/officeDocument/2006/relationships/hyperlink" Target="https://www.recreationaltherapy.au/" TargetMode="External"/><Relationship Id="rId90" Type="http://schemas.openxmlformats.org/officeDocument/2006/relationships/image" Target="media/image33.emf"/><Relationship Id="rId165" Type="http://schemas.openxmlformats.org/officeDocument/2006/relationships/header" Target="header60.xml"/><Relationship Id="rId186" Type="http://schemas.openxmlformats.org/officeDocument/2006/relationships/header" Target="header68.xml"/><Relationship Id="rId211" Type="http://schemas.openxmlformats.org/officeDocument/2006/relationships/hyperlink" Target="https://www.continence.org.au/get-support/who-can-help/national-continence-helpline" TargetMode="External"/><Relationship Id="rId232" Type="http://schemas.openxmlformats.org/officeDocument/2006/relationships/hyperlink" Target="https://www.agedcareprepare.com.au/how-to-reduce-hospitalisation-in-aged-care-facilities" TargetMode="External"/><Relationship Id="rId253" Type="http://schemas.openxmlformats.org/officeDocument/2006/relationships/hyperlink" Target="https://www.palliaged.com.au/Portals/5/Documents/Australian_Context/research-paper-1-How-Australian-Residential-Aged-Care-Staffing-Levels-Compare.pdf" TargetMode="External"/><Relationship Id="rId274" Type="http://schemas.openxmlformats.org/officeDocument/2006/relationships/header" Target="header107.xml"/><Relationship Id="rId295" Type="http://schemas.openxmlformats.org/officeDocument/2006/relationships/header" Target="header117.xml"/><Relationship Id="rId309" Type="http://schemas.openxmlformats.org/officeDocument/2006/relationships/header" Target="header121.xml"/><Relationship Id="rId27" Type="http://schemas.openxmlformats.org/officeDocument/2006/relationships/image" Target="media/image6.png"/><Relationship Id="rId48" Type="http://schemas.openxmlformats.org/officeDocument/2006/relationships/header" Target="header16.xml"/><Relationship Id="rId69" Type="http://schemas.openxmlformats.org/officeDocument/2006/relationships/hyperlink" Target="https://elearning.woundinnovations.com.au/" TargetMode="External"/><Relationship Id="rId113" Type="http://schemas.openxmlformats.org/officeDocument/2006/relationships/hyperlink" Target="https://www.cclhd.health.nsw.gov.au/wp-content/uploads/EatingWellANutritionResourceforOlderPeople.pdf" TargetMode="External"/><Relationship Id="rId134" Type="http://schemas.openxmlformats.org/officeDocument/2006/relationships/hyperlink" Target="https://fallspreventiononlineworkshops.com.au/" TargetMode="External"/><Relationship Id="rId320" Type="http://schemas.openxmlformats.org/officeDocument/2006/relationships/image" Target="media/image91.png"/><Relationship Id="rId80" Type="http://schemas.openxmlformats.org/officeDocument/2006/relationships/header" Target="header30.xml"/><Relationship Id="rId155" Type="http://schemas.openxmlformats.org/officeDocument/2006/relationships/header" Target="header53.xml"/><Relationship Id="rId176" Type="http://schemas.openxmlformats.org/officeDocument/2006/relationships/image" Target="media/image62.png"/><Relationship Id="rId197" Type="http://schemas.openxmlformats.org/officeDocument/2006/relationships/image" Target="media/image67.png"/><Relationship Id="rId201" Type="http://schemas.openxmlformats.org/officeDocument/2006/relationships/image" Target="media/image69.png"/><Relationship Id="rId222" Type="http://schemas.openxmlformats.org/officeDocument/2006/relationships/header" Target="header83.xml"/><Relationship Id="rId243" Type="http://schemas.openxmlformats.org/officeDocument/2006/relationships/header" Target="header91.xml"/><Relationship Id="rId264" Type="http://schemas.openxmlformats.org/officeDocument/2006/relationships/header" Target="header101.xml"/><Relationship Id="rId285" Type="http://schemas.openxmlformats.org/officeDocument/2006/relationships/image" Target="media/image84.emf"/><Relationship Id="rId17" Type="http://schemas.openxmlformats.org/officeDocument/2006/relationships/footer" Target="footer3.xml"/><Relationship Id="rId38" Type="http://schemas.openxmlformats.org/officeDocument/2006/relationships/image" Target="media/image15.png"/><Relationship Id="rId59" Type="http://schemas.openxmlformats.org/officeDocument/2006/relationships/image" Target="media/image24.png"/><Relationship Id="rId103" Type="http://schemas.openxmlformats.org/officeDocument/2006/relationships/hyperlink" Target="https://www.bapen.org.uk/screening-and-must/must/must-toolkit" TargetMode="External"/><Relationship Id="rId124" Type="http://schemas.openxmlformats.org/officeDocument/2006/relationships/header" Target="header41.xml"/><Relationship Id="rId310" Type="http://schemas.openxmlformats.org/officeDocument/2006/relationships/image" Target="media/image90.png"/><Relationship Id="rId70" Type="http://schemas.openxmlformats.org/officeDocument/2006/relationships/hyperlink" Target="https://www.ncbi.nlm.nih.gov/books/NBK326430/" TargetMode="External"/><Relationship Id="rId91" Type="http://schemas.openxmlformats.org/officeDocument/2006/relationships/image" Target="media/image34.png"/><Relationship Id="rId145" Type="http://schemas.openxmlformats.org/officeDocument/2006/relationships/hyperlink" Target="https://www.mims.com.au/index.php/products/mims-online" TargetMode="External"/><Relationship Id="rId166" Type="http://schemas.openxmlformats.org/officeDocument/2006/relationships/header" Target="header61.xml"/><Relationship Id="rId187" Type="http://schemas.openxmlformats.org/officeDocument/2006/relationships/header" Target="header69.xml"/><Relationship Id="rId331" Type="http://schemas.openxmlformats.org/officeDocument/2006/relationships/hyperlink" Target="https://www.cambridge.org/core/journals/ageing-and-society/article/barriers-and-enablers-to-leisure-provision-in-residential-aged-care-personal-care-attendant-perspectives/2247A383E6BCFFBF2CAEC328A93B4D70" TargetMode="External"/><Relationship Id="rId1" Type="http://schemas.openxmlformats.org/officeDocument/2006/relationships/customXml" Target="../customXml/item1.xml"/><Relationship Id="rId212" Type="http://schemas.openxmlformats.org/officeDocument/2006/relationships/hyperlink" Target="https://www.continence.org.au/professionals/aged-care-resources" TargetMode="External"/><Relationship Id="rId233" Type="http://schemas.openxmlformats.org/officeDocument/2006/relationships/hyperlink" Target="https://www.ahrq.gov/patient-safety/settings/long-term-care/resource/facilities/ltc.html" TargetMode="External"/><Relationship Id="rId254" Type="http://schemas.openxmlformats.org/officeDocument/2006/relationships/hyperlink" Target="https://www.agedcarequality.gov.au/" TargetMode="External"/><Relationship Id="rId28" Type="http://schemas.openxmlformats.org/officeDocument/2006/relationships/image" Target="media/image7.png"/><Relationship Id="rId49" Type="http://schemas.openxmlformats.org/officeDocument/2006/relationships/header" Target="header17.xml"/><Relationship Id="rId114" Type="http://schemas.openxmlformats.org/officeDocument/2006/relationships/hyperlink" Target="https://www.health.tas.gov.au/campaigns/healthy-ageing/online-training-help-older-people-eat-well" TargetMode="External"/><Relationship Id="rId275" Type="http://schemas.openxmlformats.org/officeDocument/2006/relationships/header" Target="header108.xml"/><Relationship Id="rId296" Type="http://schemas.openxmlformats.org/officeDocument/2006/relationships/header" Target="header118.xml"/><Relationship Id="rId300" Type="http://schemas.openxmlformats.org/officeDocument/2006/relationships/hyperlink" Target="https://www.agedcarequality.gov.au/sites/default/files/media/Guidance%20and%20resources_Standard%204.pdf" TargetMode="External"/><Relationship Id="rId60" Type="http://schemas.openxmlformats.org/officeDocument/2006/relationships/image" Target="media/image25.png"/><Relationship Id="rId81" Type="http://schemas.openxmlformats.org/officeDocument/2006/relationships/image" Target="media/image32.emf"/><Relationship Id="rId135" Type="http://schemas.openxmlformats.org/officeDocument/2006/relationships/hyperlink" Target="https://academic.oup.com/ageing/article/51/9/afac205/6730755" TargetMode="External"/><Relationship Id="rId156" Type="http://schemas.openxmlformats.org/officeDocument/2006/relationships/image" Target="media/image57.png"/><Relationship Id="rId177" Type="http://schemas.openxmlformats.org/officeDocument/2006/relationships/header" Target="header62.xml"/><Relationship Id="rId198" Type="http://schemas.openxmlformats.org/officeDocument/2006/relationships/header" Target="header73.xml"/><Relationship Id="rId321" Type="http://schemas.openxmlformats.org/officeDocument/2006/relationships/header" Target="header122.xml"/><Relationship Id="rId202" Type="http://schemas.openxmlformats.org/officeDocument/2006/relationships/image" Target="media/image70.png"/><Relationship Id="rId223" Type="http://schemas.openxmlformats.org/officeDocument/2006/relationships/image" Target="media/image75.png"/><Relationship Id="rId244" Type="http://schemas.openxmlformats.org/officeDocument/2006/relationships/header" Target="header92.xml"/><Relationship Id="rId18" Type="http://schemas.openxmlformats.org/officeDocument/2006/relationships/header" Target="header4.xml"/><Relationship Id="rId39" Type="http://schemas.openxmlformats.org/officeDocument/2006/relationships/header" Target="header10.xml"/><Relationship Id="rId265" Type="http://schemas.openxmlformats.org/officeDocument/2006/relationships/header" Target="header102.xml"/><Relationship Id="rId286" Type="http://schemas.openxmlformats.org/officeDocument/2006/relationships/image" Target="media/image85.png"/><Relationship Id="rId50" Type="http://schemas.openxmlformats.org/officeDocument/2006/relationships/header" Target="header18.xml"/><Relationship Id="rId104" Type="http://schemas.openxmlformats.org/officeDocument/2006/relationships/hyperlink" Target="https://www.mna-elderly.com/sites/default/files/2021-10/mna-guide-english-sf.pdf" TargetMode="External"/><Relationship Id="rId125" Type="http://schemas.openxmlformats.org/officeDocument/2006/relationships/image" Target="media/image48.png"/><Relationship Id="rId146" Type="http://schemas.openxmlformats.org/officeDocument/2006/relationships/hyperlink" Target="https://www.safetyandquality.gov.au/sites/default/files/2021-04/fourth_atlas_2021_-_6.1_polypharmacy_75_years_and_over.pdf" TargetMode="External"/><Relationship Id="rId167" Type="http://schemas.openxmlformats.org/officeDocument/2006/relationships/hyperlink" Target="https://www.nswtag.org.au/wp-content/uploads/2018/06/1.2-Deprescribing-Guide-for-Antipsychotics-for-Treatment-of-Behavioural-and-Psychological-Symptoms-of-Dementia.pdf" TargetMode="External"/><Relationship Id="rId188" Type="http://schemas.openxmlformats.org/officeDocument/2006/relationships/header" Target="header70.xml"/><Relationship Id="rId311" Type="http://schemas.openxmlformats.org/officeDocument/2006/relationships/hyperlink" Target="https://www.nursingmidwiferyboard.gov.au/Codes-Guidelines-Statements/FAQ/Fact-sheet-scope-of-practice-and-capabilities-of-nurses.aspx" TargetMode="External"/><Relationship Id="rId332" Type="http://schemas.openxmlformats.org/officeDocument/2006/relationships/hyperlink" Target="https://journals.plos.org/plosone/article?id=10.1371/journal.pone.0273412" TargetMode="External"/><Relationship Id="rId71" Type="http://schemas.openxmlformats.org/officeDocument/2006/relationships/image" Target="media/image28.emf"/><Relationship Id="rId92" Type="http://schemas.openxmlformats.org/officeDocument/2006/relationships/image" Target="media/image35.emf"/><Relationship Id="rId213" Type="http://schemas.openxmlformats.org/officeDocument/2006/relationships/hyperlink" Target="https://www.continencesupportnow.com/" TargetMode="External"/><Relationship Id="rId234" Type="http://schemas.openxmlformats.org/officeDocument/2006/relationships/hyperlink" Target="https://www.advancecareplanning.org.au/training-and-education" TargetMode="External"/><Relationship Id="rId2" Type="http://schemas.openxmlformats.org/officeDocument/2006/relationships/customXml" Target="../customXml/item2.xml"/><Relationship Id="rId29" Type="http://schemas.openxmlformats.org/officeDocument/2006/relationships/image" Target="media/image8.png"/><Relationship Id="rId255" Type="http://schemas.openxmlformats.org/officeDocument/2006/relationships/hyperlink" Target="https://www.nursingmidwiferyboard.gov.au/registration-standards/continuing-professional-development.aspx" TargetMode="External"/><Relationship Id="rId276" Type="http://schemas.openxmlformats.org/officeDocument/2006/relationships/header" Target="header109.xml"/><Relationship Id="rId297" Type="http://schemas.openxmlformats.org/officeDocument/2006/relationships/header" Target="header119.xml"/><Relationship Id="rId40" Type="http://schemas.openxmlformats.org/officeDocument/2006/relationships/header" Target="header11.xml"/><Relationship Id="rId115" Type="http://schemas.openxmlformats.org/officeDocument/2006/relationships/hyperlink" Target="https://nutricia.com.au/adult/wp-content/uploads/sites/7/2022/02/ANZ_Community_Malnutrition_and_Frailty_Guidelines_March_2022_FINAL.pdf" TargetMode="External"/><Relationship Id="rId136" Type="http://schemas.openxmlformats.org/officeDocument/2006/relationships/image" Target="media/image50.emf"/><Relationship Id="rId157" Type="http://schemas.openxmlformats.org/officeDocument/2006/relationships/image" Target="media/image58.png"/><Relationship Id="rId178" Type="http://schemas.openxmlformats.org/officeDocument/2006/relationships/image" Target="media/image63.png"/><Relationship Id="rId301" Type="http://schemas.openxmlformats.org/officeDocument/2006/relationships/hyperlink" Target="https://www.health.gov.au/sites/default/files/documents/2022/07/measurement-tools-for-assessing-quality-of-life-consumer-satisfaction-and-consumer-experience-across-residential-and-in-home-aged-care-summary-report.pdf" TargetMode="External"/><Relationship Id="rId322" Type="http://schemas.openxmlformats.org/officeDocument/2006/relationships/image" Target="media/image94.png"/><Relationship Id="rId61" Type="http://schemas.openxmlformats.org/officeDocument/2006/relationships/image" Target="media/image26.png"/><Relationship Id="rId82" Type="http://schemas.openxmlformats.org/officeDocument/2006/relationships/hyperlink" Target="https://www.health.gov.au/resources/publications/cognitive-decline-scale-pas" TargetMode="External"/><Relationship Id="rId199" Type="http://schemas.openxmlformats.org/officeDocument/2006/relationships/header" Target="header74.xml"/><Relationship Id="rId203" Type="http://schemas.openxmlformats.org/officeDocument/2006/relationships/image" Target="media/image71.emf"/><Relationship Id="rId19" Type="http://schemas.openxmlformats.org/officeDocument/2006/relationships/header" Target="header5.xml"/><Relationship Id="rId224" Type="http://schemas.openxmlformats.org/officeDocument/2006/relationships/header" Target="header84.xml"/><Relationship Id="rId245" Type="http://schemas.openxmlformats.org/officeDocument/2006/relationships/header" Target="header93.xml"/><Relationship Id="rId266" Type="http://schemas.openxmlformats.org/officeDocument/2006/relationships/image" Target="media/image81.png"/><Relationship Id="rId287" Type="http://schemas.openxmlformats.org/officeDocument/2006/relationships/image" Target="media/image86.png"/><Relationship Id="rId30" Type="http://schemas.openxmlformats.org/officeDocument/2006/relationships/image" Target="media/image9.png"/><Relationship Id="rId105" Type="http://schemas.openxmlformats.org/officeDocument/2006/relationships/hyperlink" Target="https://www.health.qld.gov.au/__data/assets/pdf_file/0021/152454/hphe_scrn_tools.pdf" TargetMode="External"/><Relationship Id="rId126" Type="http://schemas.openxmlformats.org/officeDocument/2006/relationships/image" Target="media/image49.png"/><Relationship Id="rId147" Type="http://schemas.openxmlformats.org/officeDocument/2006/relationships/hyperlink" Target="https://www.health.gov.au/resources/publications/handbook-of-tools-to-support-medicine-management-in-multimorbidity-and-polypharmacy" TargetMode="External"/><Relationship Id="rId168" Type="http://schemas.openxmlformats.org/officeDocument/2006/relationships/hyperlink" Target="https://dta.com.au/resources/antipsychotic-tracking-tool/" TargetMode="External"/><Relationship Id="rId312" Type="http://schemas.openxmlformats.org/officeDocument/2006/relationships/hyperlink" Target="https://www.nursingmidwiferyboard.gov.au/Codes-Guidelines-Statements/FAQ/Fact-sheet-What-do-nurses-and-midwives-do.aspx" TargetMode="External"/><Relationship Id="rId333" Type="http://schemas.openxmlformats.org/officeDocument/2006/relationships/hyperlink" Target="https://www.ariia.org.au/knowledge-implementation-hub/meaningful-lifestyle-activities" TargetMode="External"/><Relationship Id="rId51" Type="http://schemas.openxmlformats.org/officeDocument/2006/relationships/image" Target="media/image20.png"/><Relationship Id="rId72" Type="http://schemas.openxmlformats.org/officeDocument/2006/relationships/header" Target="header25.xml"/><Relationship Id="rId93" Type="http://schemas.openxmlformats.org/officeDocument/2006/relationships/image" Target="media/image36.emf"/><Relationship Id="rId189" Type="http://schemas.openxmlformats.org/officeDocument/2006/relationships/hyperlink" Target="https://www.health.gov.au/resources/collections/national-aged-care-mandatory-quality-indicator-program-manual"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doi.org/10.1016/j.jamda.2016.04.002" TargetMode="External"/><Relationship Id="rId21" Type="http://schemas.openxmlformats.org/officeDocument/2006/relationships/hyperlink" Target="https://www.abs.gov.au/statistics/health/disability/disability-ageing-and-carers-australia-summary-findings/latest-release" TargetMode="External"/><Relationship Id="rId34" Type="http://schemas.openxmlformats.org/officeDocument/2006/relationships/hyperlink" Target="https://agedcare.royalcommission.gov.au/system/files/2020-06/WIT.0273.0001.0001.pdf" TargetMode="External"/><Relationship Id="rId42" Type="http://schemas.openxmlformats.org/officeDocument/2006/relationships/hyperlink" Target="https://agedcare.royalcommission.gov.au/system/files/2020-06/WIT.0273.0001.0001.pdf" TargetMode="External"/><Relationship Id="rId47" Type="http://schemas.openxmlformats.org/officeDocument/2006/relationships/hyperlink" Target="https://doi.org/10.25816/EB1N-RN89" TargetMode="External"/><Relationship Id="rId50" Type="http://schemas.openxmlformats.org/officeDocument/2006/relationships/hyperlink" Target="https://www.aihw.gov.au/reports/hospitals/australias-hospitals-at-a-glance-2018-19/summary" TargetMode="External"/><Relationship Id="rId55" Type="http://schemas.openxmlformats.org/officeDocument/2006/relationships/hyperlink" Target="http://dx.doi.org/10.3390/healthcare8020114" TargetMode="External"/><Relationship Id="rId63" Type="http://schemas.openxmlformats.org/officeDocument/2006/relationships/hyperlink" Target="https://agedcare.royalcommission.gov.au/sites/default/files/2021-02/qce-and-community-expectatons.pdf" TargetMode="External"/><Relationship Id="rId68" Type="http://schemas.openxmlformats.org/officeDocument/2006/relationships/hyperlink" Target="http://link.springer.com/10.1007/978-0-387-75466-6_40" TargetMode="External"/><Relationship Id="rId76" Type="http://schemas.openxmlformats.org/officeDocument/2006/relationships/hyperlink" Target="https://www.jnursinghomeresearch.com/all-issues.html?article=125" TargetMode="External"/><Relationship Id="rId84" Type="http://schemas.openxmlformats.org/officeDocument/2006/relationships/hyperlink" Target="https://doi.org/10.1071/AH20312" TargetMode="External"/><Relationship Id="rId89" Type="http://schemas.openxmlformats.org/officeDocument/2006/relationships/hyperlink" Target="https://www.health.gov.au/resources/publications/quarterly-financial-report-data-definitions-q1-july-to-september-2024?language=en" TargetMode="External"/><Relationship Id="rId97" Type="http://schemas.openxmlformats.org/officeDocument/2006/relationships/hyperlink" Target="https://www.health.gov.au/resources/publications/scoping-study-on-multidisciplinary-models-of-care-in-residential-aged-care-homes-summary?language=en" TargetMode="External"/><Relationship Id="rId7" Type="http://schemas.openxmlformats.org/officeDocument/2006/relationships/hyperlink" Target="http://www.ihi.org/resources/Pages/HowtoImprove/default.aspx" TargetMode="External"/><Relationship Id="rId71" Type="http://schemas.openxmlformats.org/officeDocument/2006/relationships/hyperlink" Target="https://agedcare.royalcommission.gov.au/royal-commission-aged-care-quality-and-safety" TargetMode="External"/><Relationship Id="rId92" Type="http://schemas.openxmlformats.org/officeDocument/2006/relationships/hyperlink" Target="https://doi.org/10.1007/s12603-017-0970-8" TargetMode="External"/><Relationship Id="rId2" Type="http://schemas.openxmlformats.org/officeDocument/2006/relationships/hyperlink" Target="https://www.nice.org.uk/about/nice-communities/social-care/quick-guides/helping-to-prevent-pressure-ulcers" TargetMode="External"/><Relationship Id="rId16" Type="http://schemas.openxmlformats.org/officeDocument/2006/relationships/hyperlink" Target="https://www.safetyandquality.gov.au/our-work/comprehensive-care/related-topics/falls-prevention" TargetMode="External"/><Relationship Id="rId29" Type="http://schemas.openxmlformats.org/officeDocument/2006/relationships/hyperlink" Target="https://doi.org/10.1016/j.jamda.2016.04.002" TargetMode="External"/><Relationship Id="rId11" Type="http://schemas.openxmlformats.org/officeDocument/2006/relationships/hyperlink" Target="file:///C:/Users/mpalmer3/Downloads/Health-Literacy-Unplanned-Weight-Loss.pdf" TargetMode="External"/><Relationship Id="rId24" Type="http://schemas.openxmlformats.org/officeDocument/2006/relationships/hyperlink" Target="https://doi.org/10.1186/s12877-021-02627-7" TargetMode="External"/><Relationship Id="rId32" Type="http://schemas.openxmlformats.org/officeDocument/2006/relationships/hyperlink" Target="https://www.continence.org.au/about-us/our-work/key-statitics-incontinence" TargetMode="External"/><Relationship Id="rId37" Type="http://schemas.openxmlformats.org/officeDocument/2006/relationships/hyperlink" Target="https://www.ics.org/news/887" TargetMode="External"/><Relationship Id="rId40" Type="http://schemas.openxmlformats.org/officeDocument/2006/relationships/hyperlink" Target="https://nap.nationalacademies.org/catalog/26526/the-national-imperative-to-improve-nursing-home-quality-honoring-our" TargetMode="External"/><Relationship Id="rId45" Type="http://schemas.openxmlformats.org/officeDocument/2006/relationships/hyperlink" Target="https://www.aihw.gov.au/reports/primary-health-care/potentially-preventable-hospitalisations/contents/overview" TargetMode="External"/><Relationship Id="rId53" Type="http://schemas.openxmlformats.org/officeDocument/2006/relationships/hyperlink" Target="https://www.jnursinghomeresearch.com/all-issues.html?article=125" TargetMode="External"/><Relationship Id="rId58" Type="http://schemas.openxmlformats.org/officeDocument/2006/relationships/hyperlink" Target="https://www.healthaffairs.org/doi/epdf/10.1377/hlthaff.2016.1310" TargetMode="External"/><Relationship Id="rId66" Type="http://schemas.openxmlformats.org/officeDocument/2006/relationships/hyperlink" Target="https://agedcare.royalcommission.gov.au/publications/research-paper-20-quality-care-experience-and-community-expectations" TargetMode="External"/><Relationship Id="rId74" Type="http://schemas.openxmlformats.org/officeDocument/2006/relationships/hyperlink" Target="https://nap.nationalacademies.org/catalog/26526/the-national-imperative-to-improve-nursing-home-quality-honoring-our" TargetMode="External"/><Relationship Id="rId79" Type="http://schemas.openxmlformats.org/officeDocument/2006/relationships/hyperlink" Target="https://nap.nationalacademies.org/catalog/26526/the-national-imperative-to-improve-nursing-home-quality-honoring-our" TargetMode="External"/><Relationship Id="rId87" Type="http://schemas.openxmlformats.org/officeDocument/2006/relationships/hyperlink" Target="https://ahpa.com.au/wp-content/uploads/2022/12/AHPA-Brief-State-of-Allied-Health-in-Residential-Aged-Care-Survey-Results-December-2022.pdf" TargetMode="External"/><Relationship Id="rId5" Type="http://schemas.openxmlformats.org/officeDocument/2006/relationships/hyperlink" Target="https://www.health.vic.gov.au/residential-aged-care/standardised-care-processes" TargetMode="External"/><Relationship Id="rId61" Type="http://schemas.openxmlformats.org/officeDocument/2006/relationships/hyperlink" Target="https://agedcare.royalcommission.gov.au/publications/research-paper-20-quality-care-experience-and-community-expectations" TargetMode="External"/><Relationship Id="rId82" Type="http://schemas.openxmlformats.org/officeDocument/2006/relationships/hyperlink" Target="https://public.tableau.com/app/profile/healthworkforcedata/viz/FactsheetsProd/NursingFields?FieldLink=EnrolledNurses&amp;Factsheet=Employed%20in%20Nursing&amp;ProfgroupLink=NursesMidwives" TargetMode="External"/><Relationship Id="rId90" Type="http://schemas.openxmlformats.org/officeDocument/2006/relationships/hyperlink" Target="https://www.health.vic.gov.au/publications/supervision-and-delegation-framework-for-allied-health-assistants" TargetMode="External"/><Relationship Id="rId95" Type="http://schemas.openxmlformats.org/officeDocument/2006/relationships/hyperlink" Target="https://bmcmedicine.biomedcentral.com/articles/10.1186/s12916-023-03224-8" TargetMode="External"/><Relationship Id="rId19" Type="http://schemas.openxmlformats.org/officeDocument/2006/relationships/hyperlink" Target="https://www.dhi.health.nsw.gov.au/ArticleDocuments/304/Antipsychotic_Medications2013.pdf.aspx" TargetMode="External"/><Relationship Id="rId14" Type="http://schemas.openxmlformats.org/officeDocument/2006/relationships/hyperlink" Target="https://www2.health.vic.gov.au/ageing-and-aged-care/residential-aged-care/safety-and-quality/participating-with-consumers" TargetMode="External"/><Relationship Id="rId22" Type="http://schemas.openxmlformats.org/officeDocument/2006/relationships/hyperlink" Target="http://www.ncbi.nlm.nih.gov/books/NBK470404/" TargetMode="External"/><Relationship Id="rId27" Type="http://schemas.openxmlformats.org/officeDocument/2006/relationships/hyperlink" Target="http://www.ncbi.nlm.nih.gov/books/NBK470404" TargetMode="External"/><Relationship Id="rId30" Type="http://schemas.openxmlformats.org/officeDocument/2006/relationships/hyperlink" Target="https://doi.org/10.1016/j.jamda.2016.04.002" TargetMode="External"/><Relationship Id="rId35" Type="http://schemas.openxmlformats.org/officeDocument/2006/relationships/hyperlink" Target="https://www.continence.org.au/incontinence/understanding-incontinence" TargetMode="External"/><Relationship Id="rId43" Type="http://schemas.openxmlformats.org/officeDocument/2006/relationships/hyperlink" Target="https://www.aihw.gov.au/reports-data/myhospitals/sectors/emergency-department-care" TargetMode="External"/><Relationship Id="rId48" Type="http://schemas.openxmlformats.org/officeDocument/2006/relationships/hyperlink" Target="https://agedcare.royalcommission.gov.au/publications/research-paper-18-hospitalisations-australian-aged-care-201415-201819" TargetMode="External"/><Relationship Id="rId56" Type="http://schemas.openxmlformats.org/officeDocument/2006/relationships/hyperlink" Target="https://nap.nationalacademies.org/catalog/26526/the-national-imperative-to-improve-nursing-home-quality-honoring-our" TargetMode="External"/><Relationship Id="rId64" Type="http://schemas.openxmlformats.org/officeDocument/2006/relationships/hyperlink" Target="https://www.who.int/tools/whoqol" TargetMode="External"/><Relationship Id="rId69" Type="http://schemas.openxmlformats.org/officeDocument/2006/relationships/hyperlink" Target="https://agedcare.royalcommission.gov.au/publications/research-paper-20-quality-care-experience-and-community-expectations" TargetMode="External"/><Relationship Id="rId77" Type="http://schemas.openxmlformats.org/officeDocument/2006/relationships/hyperlink" Target="https://doi.org/10.1111/opn.12276" TargetMode="External"/><Relationship Id="rId100" Type="http://schemas.openxmlformats.org/officeDocument/2006/relationships/hyperlink" Target="https://www.ariia.org.au/knowledge-implementation-hub/meaningful-lifestyle-activities" TargetMode="External"/><Relationship Id="rId8" Type="http://schemas.openxmlformats.org/officeDocument/2006/relationships/hyperlink" Target="https://www.mayoclinic.org/healthy-lifestyle/caregivers/in-depth/senior-health/art-20044699" TargetMode="External"/><Relationship Id="rId51" Type="http://schemas.openxmlformats.org/officeDocument/2006/relationships/hyperlink" Target="https://nap.nationalacademies.org/catalog/26526/the-national-imperative-to-improve-nursing-home-quality-honoring-our" TargetMode="External"/><Relationship Id="rId72" Type="http://schemas.openxmlformats.org/officeDocument/2006/relationships/hyperlink" Target="https://www.cota.org.au/wp-content/uploads/2018/09/Quality-and-Choice-in-Aged-Care-Project-Report-FINAL-Feb-2018.pdf" TargetMode="External"/><Relationship Id="rId80" Type="http://schemas.openxmlformats.org/officeDocument/2006/relationships/hyperlink" Target="https://www.anmf.org.au/media/tnxmp1e0/anmf_aged_care_worker_survey_report_2023.pdf" TargetMode="External"/><Relationship Id="rId85" Type="http://schemas.openxmlformats.org/officeDocument/2006/relationships/hyperlink" Target="https://doi.org/10.1071/AH20312" TargetMode="External"/><Relationship Id="rId93" Type="http://schemas.openxmlformats.org/officeDocument/2006/relationships/hyperlink" Target="https://doi.org/10.1016/j.nut.2015.08.009" TargetMode="External"/><Relationship Id="rId98" Type="http://schemas.openxmlformats.org/officeDocument/2006/relationships/hyperlink" Target="https://www.ariia.org.au/knowledge-implementation-hub/meaningful-lifestyle-activities" TargetMode="External"/><Relationship Id="rId3" Type="http://schemas.openxmlformats.org/officeDocument/2006/relationships/hyperlink" Target="http://www.ihi.org/resources/Pages/HowtoImprove/default.aspx" TargetMode="External"/><Relationship Id="rId12" Type="http://schemas.openxmlformats.org/officeDocument/2006/relationships/hyperlink" Target="https://www2.health.vic.gov.au/ageing-and-aged-care/residential-aged-care/safety-and-quality/participating-with-consumers" TargetMode="External"/><Relationship Id="rId17" Type="http://schemas.openxmlformats.org/officeDocument/2006/relationships/hyperlink" Target="https://ajp.com.au/features/the-aged-care-dilemma-2/" TargetMode="External"/><Relationship Id="rId25" Type="http://schemas.openxmlformats.org/officeDocument/2006/relationships/hyperlink" Target="https://doi.org/10.1371/journal.pone.0177353" TargetMode="External"/><Relationship Id="rId33" Type="http://schemas.openxmlformats.org/officeDocument/2006/relationships/hyperlink" Target="https://www.aihw.gov.au/reports/disability/incontinence-in-australia/summary" TargetMode="External"/><Relationship Id="rId38" Type="http://schemas.openxmlformats.org/officeDocument/2006/relationships/hyperlink" Target="https://agedcare.royalcommission.gov.au/royal-commission-aged-care-quality-and-safety" TargetMode="External"/><Relationship Id="rId46" Type="http://schemas.openxmlformats.org/officeDocument/2006/relationships/hyperlink" Target="https://agedcare.royalcommission.gov.au/publications/research-paper-18-hospitalisations-australian-aged-care-201415-201819" TargetMode="External"/><Relationship Id="rId59" Type="http://schemas.openxmlformats.org/officeDocument/2006/relationships/hyperlink" Target="https://agedcare.royalcommission.gov.au/sites/default/files/2019-12/research-paper-1.pdf" TargetMode="External"/><Relationship Id="rId67" Type="http://schemas.openxmlformats.org/officeDocument/2006/relationships/hyperlink" Target="https://doi.org/10.1007/978-0-387-75466-6_40" TargetMode="External"/><Relationship Id="rId20" Type="http://schemas.openxmlformats.org/officeDocument/2006/relationships/hyperlink" Target="https://www.gen-agedcaredata.gov.au/Topics/Care-needs-in-aged-care" TargetMode="External"/><Relationship Id="rId41" Type="http://schemas.openxmlformats.org/officeDocument/2006/relationships/hyperlink" Target="https://www.continence.org.au/professionals/academic-resources" TargetMode="External"/><Relationship Id="rId54" Type="http://schemas.openxmlformats.org/officeDocument/2006/relationships/hyperlink" Target="https://nap.nationalacademies.org/catalog/26526/the-national-imperative-to-improve-nursing-home-quality-honoring-our" TargetMode="External"/><Relationship Id="rId62" Type="http://schemas.openxmlformats.org/officeDocument/2006/relationships/hyperlink" Target="https://www.cota.org.au/wp-content/uploads/2018/09/Quality-and-Choice-in-Aged-Care-Project-Report-FINAL-Feb-2018.pdf" TargetMode="External"/><Relationship Id="rId70" Type="http://schemas.openxmlformats.org/officeDocument/2006/relationships/hyperlink" Target="https://doi.org/10.1007/978-0-387-75466-6_40" TargetMode="External"/><Relationship Id="rId75" Type="http://schemas.openxmlformats.org/officeDocument/2006/relationships/hyperlink" Target="https://www.cota.org.au/wp-content/uploads/2018/09/Quality-and-Choice-in-Aged-Care-Project-Report-FINAL-Feb-2018.pdf" TargetMode="External"/><Relationship Id="rId83" Type="http://schemas.openxmlformats.org/officeDocument/2006/relationships/hyperlink" Target="https://www.nursingmidwiferyboard.gov.au/Codes-Guidelines-Statements/Professional-standards/enrolled-nurse-standards-for-practice.aspx" TargetMode="External"/><Relationship Id="rId88" Type="http://schemas.openxmlformats.org/officeDocument/2006/relationships/hyperlink" Target="https://www.ahpa.com.au/news-updates/summary-of-results-from-survey-of-allied-health-workforce-in-residential-aged-care-2023" TargetMode="External"/><Relationship Id="rId91" Type="http://schemas.openxmlformats.org/officeDocument/2006/relationships/hyperlink" Target="https://www.health.vic.gov.au/publications/supervision-and-delegation-framework-for-allied-health-assistants" TargetMode="External"/><Relationship Id="rId96" Type="http://schemas.openxmlformats.org/officeDocument/2006/relationships/hyperlink" Target="https://www.ahpa.com.au/news-updates/summary-of-results-from-survey-of-allied-health-workforce-in-residential-aged-care-2023" TargetMode="External"/><Relationship Id="rId1" Type="http://schemas.openxmlformats.org/officeDocument/2006/relationships/hyperlink" Target="https://www.agedcarequality.gov.au/providers/assessment-processes/continuous-improvementn" TargetMode="External"/><Relationship Id="rId6" Type="http://schemas.openxmlformats.org/officeDocument/2006/relationships/hyperlink" Target="https://www.veteransmates.net.au/topic-54-therapeutic-brief" TargetMode="External"/><Relationship Id="rId15" Type="http://schemas.openxmlformats.org/officeDocument/2006/relationships/hyperlink" Target="https://doi.org/10.1093/intqhc/mzac050" TargetMode="External"/><Relationship Id="rId23" Type="http://schemas.openxmlformats.org/officeDocument/2006/relationships/hyperlink" Target="http://www.ncbi.nlm.nih.gov/books/NBK470404" TargetMode="External"/><Relationship Id="rId28" Type="http://schemas.openxmlformats.org/officeDocument/2006/relationships/hyperlink" Target="https://www.gen-agedcaredata.gov.au/Topics/Care-needs-in-aged-care" TargetMode="External"/><Relationship Id="rId36" Type="http://schemas.openxmlformats.org/officeDocument/2006/relationships/hyperlink" Target="https://www.ics.org/news/887" TargetMode="External"/><Relationship Id="rId49" Type="http://schemas.openxmlformats.org/officeDocument/2006/relationships/hyperlink" Target="https://www.aihw.gov.au/reports/hospitals/australias-hospitals-at-a-glance-2018-19/summary" TargetMode="External"/><Relationship Id="rId57" Type="http://schemas.openxmlformats.org/officeDocument/2006/relationships/hyperlink" Target="https://nap.nationalacademies.org/catalog/26526/the-national-imperative-to-improve-nursing-home-quality-honoring-our" TargetMode="External"/><Relationship Id="rId10" Type="http://schemas.openxmlformats.org/officeDocument/2006/relationships/hyperlink" Target="https://www.mayoclinic.org/healthy-lifestyle/caregivers/in-depth/senior-health/art-20044699" TargetMode="External"/><Relationship Id="rId31" Type="http://schemas.openxmlformats.org/officeDocument/2006/relationships/hyperlink" Target="https://doi.org/10.1016/j.nedt.2018.04.019" TargetMode="External"/><Relationship Id="rId44" Type="http://schemas.openxmlformats.org/officeDocument/2006/relationships/hyperlink" Target="https://agedcare.royalcommission.gov.au/publications/research-paper-18-hospitalisations-australian-aged-care-201415-201819" TargetMode="External"/><Relationship Id="rId52" Type="http://schemas.openxmlformats.org/officeDocument/2006/relationships/hyperlink" Target="https://nap.nationalacademies.org/catalog/26526/the-national-imperative-to-improve-nursing-home-quality-honoring-our" TargetMode="External"/><Relationship Id="rId60" Type="http://schemas.openxmlformats.org/officeDocument/2006/relationships/hyperlink" Target="https://doi.org/10.17226/26526" TargetMode="External"/><Relationship Id="rId65" Type="http://schemas.openxmlformats.org/officeDocument/2006/relationships/hyperlink" Target="https://agedcare.royalcommission.gov.au/sites/default/files/2020-10/research-paper-14.pdf" TargetMode="External"/><Relationship Id="rId73" Type="http://schemas.openxmlformats.org/officeDocument/2006/relationships/hyperlink" Target="https://agedcare.royalcommission.gov.au/royal-commission-aged-care-quality-and-safety" TargetMode="External"/><Relationship Id="rId78" Type="http://schemas.openxmlformats.org/officeDocument/2006/relationships/hyperlink" Target="https://doi.org/10.1177/0733464815617288" TargetMode="External"/><Relationship Id="rId81" Type="http://schemas.openxmlformats.org/officeDocument/2006/relationships/hyperlink" Target="https://www.health.gov.au/resources/publications/2020-aged-care-workforce-census?language=en" TargetMode="External"/><Relationship Id="rId86" Type="http://schemas.openxmlformats.org/officeDocument/2006/relationships/hyperlink" Target="https://www.health.gov.au/resources/publications/data-extract-from-the-quarterly-financial-snapshot-reports-of-the-aged-care-sector" TargetMode="External"/><Relationship Id="rId94" Type="http://schemas.openxmlformats.org/officeDocument/2006/relationships/hyperlink" Target="https://ahpa.com.au/advocacy/summary-of-results-from-survey-of-allied-health-workforce-in-residential-aged-care-2023/" TargetMode="External"/><Relationship Id="rId99" Type="http://schemas.openxmlformats.org/officeDocument/2006/relationships/hyperlink" Target="https://www.health.gov.au/resources/publications/data-extract-from-the-quarterly-financial-snapshot-reports-of-the-aged-care-sector" TargetMode="External"/><Relationship Id="rId4" Type="http://schemas.openxmlformats.org/officeDocument/2006/relationships/hyperlink" Target="https://academic.oup.com/ageing/article/46/4/688/2801280" TargetMode="External"/><Relationship Id="rId9" Type="http://schemas.openxmlformats.org/officeDocument/2006/relationships/hyperlink" Target="https://www.mayoclinic.org/healthy-lifestyle/caregivers/in-depth/senior-health/art-20044699" TargetMode="External"/><Relationship Id="rId13" Type="http://schemas.openxmlformats.org/officeDocument/2006/relationships/hyperlink" Target="file:///C:/Users/nphan4/AppData/Local/Microsoft/Windows/INetCache/Content.Outlook/HOJDY171/Health" TargetMode="External"/><Relationship Id="rId18" Type="http://schemas.openxmlformats.org/officeDocument/2006/relationships/hyperlink" Target="https://www.cochrane.org/CD011128/SCHIZ_drug-treatments-constipation-caused-antipsychotic-medications" TargetMode="External"/><Relationship Id="rId39" Type="http://schemas.openxmlformats.org/officeDocument/2006/relationships/hyperlink" Target="https://www.ics.org/news/887"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0.emf"/></Relationships>
</file>

<file path=word/_rels/header100.xml.rels><?xml version="1.0" encoding="UTF-8" standalone="yes"?>
<Relationships xmlns="http://schemas.openxmlformats.org/package/2006/relationships"><Relationship Id="rId1" Type="http://schemas.openxmlformats.org/officeDocument/2006/relationships/image" Target="media/image80.png"/></Relationships>
</file>

<file path=word/_rels/header101.xml.rels><?xml version="1.0" encoding="UTF-8" standalone="yes"?>
<Relationships xmlns="http://schemas.openxmlformats.org/package/2006/relationships"><Relationship Id="rId1" Type="http://schemas.openxmlformats.org/officeDocument/2006/relationships/image" Target="media/image80.png"/></Relationships>
</file>

<file path=word/_rels/header103.xml.rels><?xml version="1.0" encoding="UTF-8" standalone="yes"?>
<Relationships xmlns="http://schemas.openxmlformats.org/package/2006/relationships"><Relationship Id="rId1" Type="http://schemas.openxmlformats.org/officeDocument/2006/relationships/image" Target="media/image80.png"/></Relationships>
</file>

<file path=word/_rels/header107.xml.rels><?xml version="1.0" encoding="UTF-8" standalone="yes"?>
<Relationships xmlns="http://schemas.openxmlformats.org/package/2006/relationships"><Relationship Id="rId1" Type="http://schemas.openxmlformats.org/officeDocument/2006/relationships/image" Target="media/image80.png"/></Relationships>
</file>

<file path=word/_rels/header108.xml.rels><?xml version="1.0" encoding="UTF-8" standalone="yes"?>
<Relationships xmlns="http://schemas.openxmlformats.org/package/2006/relationships"><Relationship Id="rId1" Type="http://schemas.openxmlformats.org/officeDocument/2006/relationships/image" Target="media/image80.png"/></Relationships>
</file>

<file path=word/_rels/header11.xml.rels><?xml version="1.0" encoding="UTF-8" standalone="yes"?>
<Relationships xmlns="http://schemas.openxmlformats.org/package/2006/relationships"><Relationship Id="rId1" Type="http://schemas.openxmlformats.org/officeDocument/2006/relationships/image" Target="media/image10.emf"/></Relationships>
</file>

<file path=word/_rels/header111.xml.rels><?xml version="1.0" encoding="UTF-8" standalone="yes"?>
<Relationships xmlns="http://schemas.openxmlformats.org/package/2006/relationships"><Relationship Id="rId1" Type="http://schemas.openxmlformats.org/officeDocument/2006/relationships/image" Target="media/image87.emf"/></Relationships>
</file>

<file path=word/_rels/header112.xml.rels><?xml version="1.0" encoding="UTF-8" standalone="yes"?>
<Relationships xmlns="http://schemas.openxmlformats.org/package/2006/relationships"><Relationship Id="rId1" Type="http://schemas.openxmlformats.org/officeDocument/2006/relationships/image" Target="media/image87.emf"/></Relationships>
</file>

<file path=word/_rels/header115.xml.rels><?xml version="1.0" encoding="UTF-8" standalone="yes"?>
<Relationships xmlns="http://schemas.openxmlformats.org/package/2006/relationships"><Relationship Id="rId1" Type="http://schemas.openxmlformats.org/officeDocument/2006/relationships/image" Target="media/image87.emf"/></Relationships>
</file>

<file path=word/_rels/header117.xml.rels><?xml version="1.0" encoding="UTF-8" standalone="yes"?>
<Relationships xmlns="http://schemas.openxmlformats.org/package/2006/relationships"><Relationship Id="rId1" Type="http://schemas.openxmlformats.org/officeDocument/2006/relationships/image" Target="media/image87.emf"/></Relationships>
</file>

<file path=word/_rels/header118.xml.rels><?xml version="1.0" encoding="UTF-8" standalone="yes"?>
<Relationships xmlns="http://schemas.openxmlformats.org/package/2006/relationships"><Relationship Id="rId1" Type="http://schemas.openxmlformats.org/officeDocument/2006/relationships/image" Target="media/image87.emf"/></Relationships>
</file>

<file path=word/_rels/header121.xml.rels><?xml version="1.0" encoding="UTF-8" standalone="yes"?>
<Relationships xmlns="http://schemas.openxmlformats.org/package/2006/relationships"><Relationship Id="rId1" Type="http://schemas.openxmlformats.org/officeDocument/2006/relationships/image" Target="media/image89.jpg"/></Relationships>
</file>

<file path=word/_rels/header122.xml.rels><?xml version="1.0" encoding="UTF-8" standalone="yes"?>
<Relationships xmlns="http://schemas.openxmlformats.org/package/2006/relationships"><Relationship Id="rId2" Type="http://schemas.openxmlformats.org/officeDocument/2006/relationships/image" Target="media/image93.svg"/><Relationship Id="rId1" Type="http://schemas.openxmlformats.org/officeDocument/2006/relationships/image" Target="media/image92.png"/></Relationships>
</file>

<file path=word/_rels/header123.xml.rels><?xml version="1.0" encoding="UTF-8" standalone="yes"?>
<Relationships xmlns="http://schemas.openxmlformats.org/package/2006/relationships"><Relationship Id="rId2" Type="http://schemas.openxmlformats.org/officeDocument/2006/relationships/image" Target="media/image97.svg"/><Relationship Id="rId1" Type="http://schemas.openxmlformats.org/officeDocument/2006/relationships/image" Target="media/image96.png"/></Relationships>
</file>

<file path=word/_rels/header13.xml.rels><?xml version="1.0" encoding="UTF-8" standalone="yes"?>
<Relationships xmlns="http://schemas.openxmlformats.org/package/2006/relationships"><Relationship Id="rId1" Type="http://schemas.openxmlformats.org/officeDocument/2006/relationships/image" Target="media/image19.emf"/></Relationships>
</file>

<file path=word/_rels/header14.xml.rels><?xml version="1.0" encoding="UTF-8" standalone="yes"?>
<Relationships xmlns="http://schemas.openxmlformats.org/package/2006/relationships"><Relationship Id="rId1" Type="http://schemas.openxmlformats.org/officeDocument/2006/relationships/image" Target="media/image19.emf"/></Relationships>
</file>

<file path=word/_rels/header16.xml.rels><?xml version="1.0" encoding="UTF-8" standalone="yes"?>
<Relationships xmlns="http://schemas.openxmlformats.org/package/2006/relationships"><Relationship Id="rId1" Type="http://schemas.openxmlformats.org/officeDocument/2006/relationships/image" Target="media/image19.emf"/></Relationships>
</file>

<file path=word/_rels/header17.xml.rels><?xml version="1.0" encoding="UTF-8" standalone="yes"?>
<Relationships xmlns="http://schemas.openxmlformats.org/package/2006/relationships"><Relationship Id="rId1" Type="http://schemas.openxmlformats.org/officeDocument/2006/relationships/image" Target="media/image19.emf"/></Relationships>
</file>

<file path=word/_rels/header19.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9.emf"/></Relationships>
</file>

<file path=word/_rels/header22.xml.rels><?xml version="1.0" encoding="UTF-8" standalone="yes"?>
<Relationships xmlns="http://schemas.openxmlformats.org/package/2006/relationships"><Relationship Id="rId1" Type="http://schemas.openxmlformats.org/officeDocument/2006/relationships/image" Target="media/image19.emf"/></Relationships>
</file>

<file path=word/_rels/header23.xml.rels><?xml version="1.0" encoding="UTF-8" standalone="yes"?>
<Relationships xmlns="http://schemas.openxmlformats.org/package/2006/relationships"><Relationship Id="rId1" Type="http://schemas.openxmlformats.org/officeDocument/2006/relationships/image" Target="media/image27.png"/></Relationships>
</file>

<file path=word/_rels/header25.xml.rels><?xml version="1.0" encoding="UTF-8" standalone="yes"?>
<Relationships xmlns="http://schemas.openxmlformats.org/package/2006/relationships"><Relationship Id="rId1" Type="http://schemas.openxmlformats.org/officeDocument/2006/relationships/image" Target="media/image29.emf"/></Relationships>
</file>

<file path=word/_rels/header26.xml.rels><?xml version="1.0" encoding="UTF-8" standalone="yes"?>
<Relationships xmlns="http://schemas.openxmlformats.org/package/2006/relationships"><Relationship Id="rId1" Type="http://schemas.openxmlformats.org/officeDocument/2006/relationships/image" Target="media/image29.emf"/></Relationships>
</file>

<file path=word/_rels/header28.xml.rels><?xml version="1.0" encoding="UTF-8" standalone="yes"?>
<Relationships xmlns="http://schemas.openxmlformats.org/package/2006/relationships"><Relationship Id="rId1" Type="http://schemas.openxmlformats.org/officeDocument/2006/relationships/image" Target="media/image29.emf"/></Relationships>
</file>

<file path=word/_rels/header29.xml.rels><?xml version="1.0" encoding="UTF-8" standalone="yes"?>
<Relationships xmlns="http://schemas.openxmlformats.org/package/2006/relationships"><Relationship Id="rId1" Type="http://schemas.openxmlformats.org/officeDocument/2006/relationships/image" Target="media/image29.emf"/></Relationships>
</file>

<file path=word/_rels/header31.xml.rels><?xml version="1.0" encoding="UTF-8" standalone="yes"?>
<Relationships xmlns="http://schemas.openxmlformats.org/package/2006/relationships"><Relationship Id="rId1" Type="http://schemas.openxmlformats.org/officeDocument/2006/relationships/image" Target="media/image29.emf"/></Relationships>
</file>

<file path=word/_rels/header33.xml.rels><?xml version="1.0" encoding="UTF-8" standalone="yes"?>
<Relationships xmlns="http://schemas.openxmlformats.org/package/2006/relationships"><Relationship Id="rId1" Type="http://schemas.openxmlformats.org/officeDocument/2006/relationships/image" Target="media/image41.emf"/></Relationships>
</file>

<file path=word/_rels/header34.xml.rels><?xml version="1.0" encoding="UTF-8" standalone="yes"?>
<Relationships xmlns="http://schemas.openxmlformats.org/package/2006/relationships"><Relationship Id="rId1" Type="http://schemas.openxmlformats.org/officeDocument/2006/relationships/image" Target="media/image41.emf"/></Relationships>
</file>

<file path=word/_rels/header37.xml.rels><?xml version="1.0" encoding="UTF-8" standalone="yes"?>
<Relationships xmlns="http://schemas.openxmlformats.org/package/2006/relationships"><Relationship Id="rId1" Type="http://schemas.openxmlformats.org/officeDocument/2006/relationships/image" Target="media/image46.emf"/></Relationships>
</file>

<file path=word/_rels/header39.xml.rels><?xml version="1.0" encoding="UTF-8" standalone="yes"?>
<Relationships xmlns="http://schemas.openxmlformats.org/package/2006/relationships"><Relationship Id="rId1" Type="http://schemas.openxmlformats.org/officeDocument/2006/relationships/image" Target="media/image46.emf"/></Relationships>
</file>

<file path=word/_rels/header40.xml.rels><?xml version="1.0" encoding="UTF-8" standalone="yes"?>
<Relationships xmlns="http://schemas.openxmlformats.org/package/2006/relationships"><Relationship Id="rId1" Type="http://schemas.openxmlformats.org/officeDocument/2006/relationships/image" Target="media/image46.emf"/></Relationships>
</file>

<file path=word/_rels/header42.xml.rels><?xml version="1.0" encoding="UTF-8" standalone="yes"?>
<Relationships xmlns="http://schemas.openxmlformats.org/package/2006/relationships"><Relationship Id="rId1" Type="http://schemas.openxmlformats.org/officeDocument/2006/relationships/image" Target="media/image46.emf"/></Relationships>
</file>

<file path=word/_rels/header43.xml.rels><?xml version="1.0" encoding="UTF-8" standalone="yes"?>
<Relationships xmlns="http://schemas.openxmlformats.org/package/2006/relationships"><Relationship Id="rId1" Type="http://schemas.openxmlformats.org/officeDocument/2006/relationships/image" Target="media/image46.emf"/></Relationships>
</file>

<file path=word/_rels/header45.xml.rels><?xml version="1.0" encoding="UTF-8" standalone="yes"?>
<Relationships xmlns="http://schemas.openxmlformats.org/package/2006/relationships"><Relationship Id="rId1" Type="http://schemas.openxmlformats.org/officeDocument/2006/relationships/image" Target="media/image53.emf"/></Relationships>
</file>

<file path=word/_rels/header46.xml.rels><?xml version="1.0" encoding="UTF-8" standalone="yes"?>
<Relationships xmlns="http://schemas.openxmlformats.org/package/2006/relationships"><Relationship Id="rId1" Type="http://schemas.openxmlformats.org/officeDocument/2006/relationships/image" Target="media/image53.emf"/></Relationships>
</file>

<file path=word/_rels/header48.xml.rels><?xml version="1.0" encoding="UTF-8" standalone="yes"?>
<Relationships xmlns="http://schemas.openxmlformats.org/package/2006/relationships"><Relationship Id="rId1" Type="http://schemas.openxmlformats.org/officeDocument/2006/relationships/image" Target="media/image53.emf"/></Relationships>
</file>

<file path=word/_rels/header49.xml.rels><?xml version="1.0" encoding="UTF-8" standalone="yes"?>
<Relationships xmlns="http://schemas.openxmlformats.org/package/2006/relationships"><Relationship Id="rId1" Type="http://schemas.openxmlformats.org/officeDocument/2006/relationships/image" Target="media/image53.emf"/></Relationships>
</file>

<file path=word/_rels/header52.xml.rels><?xml version="1.0" encoding="UTF-8" standalone="yes"?>
<Relationships xmlns="http://schemas.openxmlformats.org/package/2006/relationships"><Relationship Id="rId1" Type="http://schemas.openxmlformats.org/officeDocument/2006/relationships/image" Target="media/image53.emf"/></Relationships>
</file>

<file path=word/_rels/header54.xml.rels><?xml version="1.0" encoding="UTF-8" standalone="yes"?>
<Relationships xmlns="http://schemas.openxmlformats.org/package/2006/relationships"><Relationship Id="rId1" Type="http://schemas.openxmlformats.org/officeDocument/2006/relationships/image" Target="media/image53.emf"/></Relationships>
</file>

<file path=word/_rels/header55.xml.rels><?xml version="1.0" encoding="UTF-8" standalone="yes"?>
<Relationships xmlns="http://schemas.openxmlformats.org/package/2006/relationships"><Relationship Id="rId1" Type="http://schemas.openxmlformats.org/officeDocument/2006/relationships/image" Target="media/image53.emf"/></Relationships>
</file>

<file path=word/_rels/header57.xml.rels><?xml version="1.0" encoding="UTF-8" standalone="yes"?>
<Relationships xmlns="http://schemas.openxmlformats.org/package/2006/relationships"><Relationship Id="rId1" Type="http://schemas.openxmlformats.org/officeDocument/2006/relationships/image" Target="media/image53.emf"/></Relationships>
</file>

<file path=word/_rels/header58.xml.rels><?xml version="1.0" encoding="UTF-8" standalone="yes"?>
<Relationships xmlns="http://schemas.openxmlformats.org/package/2006/relationships"><Relationship Id="rId1" Type="http://schemas.openxmlformats.org/officeDocument/2006/relationships/image" Target="media/image53.emf"/></Relationships>
</file>

<file path=word/_rels/header60.xml.rels><?xml version="1.0" encoding="UTF-8" standalone="yes"?>
<Relationships xmlns="http://schemas.openxmlformats.org/package/2006/relationships"><Relationship Id="rId1" Type="http://schemas.openxmlformats.org/officeDocument/2006/relationships/image" Target="media/image60.png"/></Relationships>
</file>

<file path=word/_rels/header61.xml.rels><?xml version="1.0" encoding="UTF-8" standalone="yes"?>
<Relationships xmlns="http://schemas.openxmlformats.org/package/2006/relationships"><Relationship Id="rId1" Type="http://schemas.openxmlformats.org/officeDocument/2006/relationships/image" Target="media/image53.emf"/></Relationships>
</file>

<file path=word/_rels/header62.xml.rels><?xml version="1.0" encoding="UTF-8" standalone="yes"?>
<Relationships xmlns="http://schemas.openxmlformats.org/package/2006/relationships"><Relationship Id="rId1" Type="http://schemas.openxmlformats.org/officeDocument/2006/relationships/image" Target="media/image60.png"/></Relationships>
</file>

<file path=word/_rels/header63.xml.rels><?xml version="1.0" encoding="UTF-8" standalone="yes"?>
<Relationships xmlns="http://schemas.openxmlformats.org/package/2006/relationships"><Relationship Id="rId1" Type="http://schemas.openxmlformats.org/officeDocument/2006/relationships/image" Target="media/image60.png"/></Relationships>
</file>

<file path=word/_rels/header65.xml.rels><?xml version="1.0" encoding="UTF-8" standalone="yes"?>
<Relationships xmlns="http://schemas.openxmlformats.org/package/2006/relationships"><Relationship Id="rId1" Type="http://schemas.openxmlformats.org/officeDocument/2006/relationships/image" Target="media/image60.png"/></Relationships>
</file>

<file path=word/_rels/header66.xml.rels><?xml version="1.0" encoding="UTF-8" standalone="yes"?>
<Relationships xmlns="http://schemas.openxmlformats.org/package/2006/relationships"><Relationship Id="rId1" Type="http://schemas.openxmlformats.org/officeDocument/2006/relationships/image" Target="media/image60.png"/></Relationships>
</file>

<file path=word/_rels/header68.xml.rels><?xml version="1.0" encoding="UTF-8" standalone="yes"?>
<Relationships xmlns="http://schemas.openxmlformats.org/package/2006/relationships"><Relationship Id="rId1" Type="http://schemas.openxmlformats.org/officeDocument/2006/relationships/image" Target="media/image60.png"/></Relationships>
</file>

<file path=word/_rels/header71.xml.rels><?xml version="1.0" encoding="UTF-8" standalone="yes"?>
<Relationships xmlns="http://schemas.openxmlformats.org/package/2006/relationships"><Relationship Id="rId1" Type="http://schemas.openxmlformats.org/officeDocument/2006/relationships/image" Target="media/image60.png"/></Relationships>
</file>

<file path=word/_rels/header73.xml.rels><?xml version="1.0" encoding="UTF-8" standalone="yes"?>
<Relationships xmlns="http://schemas.openxmlformats.org/package/2006/relationships"><Relationship Id="rId1" Type="http://schemas.openxmlformats.org/officeDocument/2006/relationships/image" Target="media/image68.emf"/></Relationships>
</file>

<file path=word/_rels/header74.xml.rels><?xml version="1.0" encoding="UTF-8" standalone="yes"?>
<Relationships xmlns="http://schemas.openxmlformats.org/package/2006/relationships"><Relationship Id="rId1" Type="http://schemas.openxmlformats.org/officeDocument/2006/relationships/image" Target="media/image68.emf"/></Relationships>
</file>

<file path=word/_rels/header77.xml.rels><?xml version="1.0" encoding="UTF-8" standalone="yes"?>
<Relationships xmlns="http://schemas.openxmlformats.org/package/2006/relationships"><Relationship Id="rId1" Type="http://schemas.openxmlformats.org/officeDocument/2006/relationships/image" Target="media/image68.emf"/></Relationships>
</file>

<file path=word/_rels/header79.xml.rels><?xml version="1.0" encoding="UTF-8" standalone="yes"?>
<Relationships xmlns="http://schemas.openxmlformats.org/package/2006/relationships"><Relationship Id="rId1" Type="http://schemas.openxmlformats.org/officeDocument/2006/relationships/image" Target="media/image68.emf"/></Relationships>
</file>

<file path=word/_rels/header8.xml.rels><?xml version="1.0" encoding="UTF-8" standalone="yes"?>
<Relationships xmlns="http://schemas.openxmlformats.org/package/2006/relationships"><Relationship Id="rId1" Type="http://schemas.openxmlformats.org/officeDocument/2006/relationships/image" Target="media/image10.emf"/></Relationships>
</file>

<file path=word/_rels/header81.xml.rels><?xml version="1.0" encoding="UTF-8" standalone="yes"?>
<Relationships xmlns="http://schemas.openxmlformats.org/package/2006/relationships"><Relationship Id="rId1" Type="http://schemas.openxmlformats.org/officeDocument/2006/relationships/image" Target="media/image74.emf"/></Relationships>
</file>

<file path=word/_rels/header82.xml.rels><?xml version="1.0" encoding="UTF-8" standalone="yes"?>
<Relationships xmlns="http://schemas.openxmlformats.org/package/2006/relationships"><Relationship Id="rId1" Type="http://schemas.openxmlformats.org/officeDocument/2006/relationships/image" Target="media/image74.emf"/></Relationships>
</file>

<file path=word/_rels/header84.xml.rels><?xml version="1.0" encoding="UTF-8" standalone="yes"?>
<Relationships xmlns="http://schemas.openxmlformats.org/package/2006/relationships"><Relationship Id="rId1" Type="http://schemas.openxmlformats.org/officeDocument/2006/relationships/image" Target="media/image74.emf"/></Relationships>
</file>

<file path=word/_rels/header85.xml.rels><?xml version="1.0" encoding="UTF-8" standalone="yes"?>
<Relationships xmlns="http://schemas.openxmlformats.org/package/2006/relationships"><Relationship Id="rId1" Type="http://schemas.openxmlformats.org/officeDocument/2006/relationships/image" Target="media/image74.emf"/></Relationships>
</file>

<file path=word/_rels/header87.xml.rels><?xml version="1.0" encoding="UTF-8" standalone="yes"?>
<Relationships xmlns="http://schemas.openxmlformats.org/package/2006/relationships"><Relationship Id="rId1" Type="http://schemas.openxmlformats.org/officeDocument/2006/relationships/image" Target="media/image74.emf"/></Relationships>
</file>

<file path=word/_rels/header88.xml.rels><?xml version="1.0" encoding="UTF-8" standalone="yes"?>
<Relationships xmlns="http://schemas.openxmlformats.org/package/2006/relationships"><Relationship Id="rId1" Type="http://schemas.openxmlformats.org/officeDocument/2006/relationships/image" Target="media/image74.emf"/></Relationships>
</file>

<file path=word/_rels/header91.xml.rels><?xml version="1.0" encoding="UTF-8" standalone="yes"?>
<Relationships xmlns="http://schemas.openxmlformats.org/package/2006/relationships"><Relationship Id="rId1" Type="http://schemas.openxmlformats.org/officeDocument/2006/relationships/image" Target="media/image78.emf"/></Relationships>
</file>

<file path=word/_rels/header92.xml.rels><?xml version="1.0" encoding="UTF-8" standalone="yes"?>
<Relationships xmlns="http://schemas.openxmlformats.org/package/2006/relationships"><Relationship Id="rId1" Type="http://schemas.openxmlformats.org/officeDocument/2006/relationships/image" Target="media/image78.emf"/></Relationships>
</file>

<file path=word/_rels/header94.xml.rels><?xml version="1.0" encoding="UTF-8" standalone="yes"?>
<Relationships xmlns="http://schemas.openxmlformats.org/package/2006/relationships"><Relationship Id="rId1" Type="http://schemas.openxmlformats.org/officeDocument/2006/relationships/image" Target="media/image53.emf"/></Relationships>
</file>

<file path=word/_rels/header97.xml.rels><?xml version="1.0" encoding="UTF-8" standalone="yes"?>
<Relationships xmlns="http://schemas.openxmlformats.org/package/2006/relationships"><Relationship Id="rId1" Type="http://schemas.openxmlformats.org/officeDocument/2006/relationships/image" Target="media/image78.emf"/></Relationships>
</file>

<file path=word/_rels/header98.xml.rels><?xml version="1.0" encoding="UTF-8" standalone="yes"?>
<Relationships xmlns="http://schemas.openxmlformats.org/package/2006/relationships"><Relationship Id="rId1" Type="http://schemas.openxmlformats.org/officeDocument/2006/relationships/image" Target="media/image7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ANNA\OneDrive%20-%20Department%20of%20Health\Documents\Department%20of%20Health%20and%20Aged%20Care%20long%20document%20large%20image%20template.dotx" TargetMode="External"/></Relationships>
</file>

<file path=word/theme/theme1.xml><?xml version="1.0" encoding="utf-8"?>
<a:theme xmlns:a="http://schemas.openxmlformats.org/drawingml/2006/main" name="QI">
  <a:themeElements>
    <a:clrScheme name="DoH">
      <a:dk1>
        <a:sysClr val="windowText" lastClr="000000"/>
      </a:dk1>
      <a:lt1>
        <a:sysClr val="window" lastClr="FFFFFF"/>
      </a:lt1>
      <a:dk2>
        <a:srgbClr val="004C90"/>
      </a:dk2>
      <a:lt2>
        <a:srgbClr val="A5A5A5"/>
      </a:lt2>
      <a:accent1>
        <a:srgbClr val="004C90"/>
      </a:accent1>
      <a:accent2>
        <a:srgbClr val="00B3C3"/>
      </a:accent2>
      <a:accent3>
        <a:srgbClr val="0090D4"/>
      </a:accent3>
      <a:accent4>
        <a:srgbClr val="008995"/>
      </a:accent4>
      <a:accent5>
        <a:srgbClr val="FFC000"/>
      </a:accent5>
      <a:accent6>
        <a:srgbClr val="FF0000"/>
      </a:accent6>
      <a:hlink>
        <a:srgbClr val="00B3C3"/>
      </a:hlink>
      <a:folHlink>
        <a:srgbClr val="00899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QI" id="{D4C1C088-4523-4130-A2CE-3E24FBC09D00}" vid="{251CFF72-F677-432C-B4B1-39F106E070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64A53-E950-4133-A0BE-C0C17B31E61D}">
  <ds:schemaRefs>
    <ds:schemaRef ds:uri="a8cc7a43-a68b-4438-8589-e2ac88de3a31"/>
    <ds:schemaRef ds:uri="39336520-97d7-4b22-9e31-40c8a6e4d7f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B9461C2-BAB1-482B-BA3D-3967CEE895EC}">
  <ds:schemaRefs>
    <ds:schemaRef ds:uri="http://schemas.microsoft.com/sharepoint/v3/contenttype/forms"/>
  </ds:schemaRefs>
</ds:datastoreItem>
</file>

<file path=customXml/itemProps3.xml><?xml version="1.0" encoding="utf-8"?>
<ds:datastoreItem xmlns:ds="http://schemas.openxmlformats.org/officeDocument/2006/customXml" ds:itemID="{85CF3D32-C9C4-4DBC-87C8-BC54CFAAC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68E83D-B52C-4E2D-AF16-E78390E1C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large image template.dotx</Template>
  <TotalTime>6</TotalTime>
  <Pages>133</Pages>
  <Words>22287</Words>
  <Characters>134273</Characters>
  <Application>Microsoft Office Word</Application>
  <DocSecurity>0</DocSecurity>
  <Lines>3226</Lines>
  <Paragraphs>1375</Paragraphs>
  <ScaleCrop>false</ScaleCrop>
  <HeadingPairs>
    <vt:vector size="2" baseType="variant">
      <vt:variant>
        <vt:lpstr>Title</vt:lpstr>
      </vt:variant>
      <vt:variant>
        <vt:i4>1</vt:i4>
      </vt:variant>
    </vt:vector>
  </HeadingPairs>
  <TitlesOfParts>
    <vt:vector size="1" baseType="lpstr">
      <vt:lpstr>National Aged Care Mandatory Quality Indicator Program Manual 4.0 – Part B</vt:lpstr>
    </vt:vector>
  </TitlesOfParts>
  <Company/>
  <LinksUpToDate>false</LinksUpToDate>
  <CharactersWithSpaces>155957</CharactersWithSpaces>
  <SharedDoc>false</SharedDoc>
  <HLinks>
    <vt:vector size="1410" baseType="variant">
      <vt:variant>
        <vt:i4>4522005</vt:i4>
      </vt:variant>
      <vt:variant>
        <vt:i4>687</vt:i4>
      </vt:variant>
      <vt:variant>
        <vt:i4>0</vt:i4>
      </vt:variant>
      <vt:variant>
        <vt:i4>5</vt:i4>
      </vt:variant>
      <vt:variant>
        <vt:lpwstr>https://www.ariia.org.au/knowledge-implementation-hub/meaningful-lifestyle-activities</vt:lpwstr>
      </vt:variant>
      <vt:variant>
        <vt:lpwstr>:~:text=Australian%20aged%20care%20residents%20spend%20over%2045%20per,activities%E2%80%99%20as%20a%20priority%20topic%20for%20the%20sector.</vt:lpwstr>
      </vt:variant>
      <vt:variant>
        <vt:i4>68</vt:i4>
      </vt:variant>
      <vt:variant>
        <vt:i4>684</vt:i4>
      </vt:variant>
      <vt:variant>
        <vt:i4>0</vt:i4>
      </vt:variant>
      <vt:variant>
        <vt:i4>5</vt:i4>
      </vt:variant>
      <vt:variant>
        <vt:lpwstr>https://journals.plos.org/plosone/article?id=10.1371/journal.pone.0273412</vt:lpwstr>
      </vt:variant>
      <vt:variant>
        <vt:lpwstr/>
      </vt:variant>
      <vt:variant>
        <vt:i4>4259840</vt:i4>
      </vt:variant>
      <vt:variant>
        <vt:i4>681</vt:i4>
      </vt:variant>
      <vt:variant>
        <vt:i4>0</vt:i4>
      </vt:variant>
      <vt:variant>
        <vt:i4>5</vt:i4>
      </vt:variant>
      <vt:variant>
        <vt:lpwstr>https://www.cambridge.org/core/journals/ageing-and-society/article/barriers-and-enablers-to-leisure-provision-in-residential-aged-care-personal-care-attendant-perspectives/2247A383E6BCFFBF2CAEC328A93B4D70</vt:lpwstr>
      </vt:variant>
      <vt:variant>
        <vt:lpwstr/>
      </vt:variant>
      <vt:variant>
        <vt:i4>6553638</vt:i4>
      </vt:variant>
      <vt:variant>
        <vt:i4>678</vt:i4>
      </vt:variant>
      <vt:variant>
        <vt:i4>0</vt:i4>
      </vt:variant>
      <vt:variant>
        <vt:i4>5</vt:i4>
      </vt:variant>
      <vt:variant>
        <vt:lpwstr>https://www.recreationaltherapy.au/</vt:lpwstr>
      </vt:variant>
      <vt:variant>
        <vt:lpwstr/>
      </vt:variant>
      <vt:variant>
        <vt:i4>6619238</vt:i4>
      </vt:variant>
      <vt:variant>
        <vt:i4>675</vt:i4>
      </vt:variant>
      <vt:variant>
        <vt:i4>0</vt:i4>
      </vt:variant>
      <vt:variant>
        <vt:i4>5</vt:i4>
      </vt:variant>
      <vt:variant>
        <vt:lpwstr>https://www.ahpa.com.au/key-areas-aged-care</vt:lpwstr>
      </vt:variant>
      <vt:variant>
        <vt:lpwstr/>
      </vt:variant>
      <vt:variant>
        <vt:i4>7340089</vt:i4>
      </vt:variant>
      <vt:variant>
        <vt:i4>672</vt:i4>
      </vt:variant>
      <vt:variant>
        <vt:i4>0</vt:i4>
      </vt:variant>
      <vt:variant>
        <vt:i4>5</vt:i4>
      </vt:variant>
      <vt:variant>
        <vt:lpwstr>https://www.health.gov.au/topics/allied-health-care/who-can-provide</vt:lpwstr>
      </vt:variant>
      <vt:variant>
        <vt:lpwstr/>
      </vt:variant>
      <vt:variant>
        <vt:i4>3407922</vt:i4>
      </vt:variant>
      <vt:variant>
        <vt:i4>669</vt:i4>
      </vt:variant>
      <vt:variant>
        <vt:i4>0</vt:i4>
      </vt:variant>
      <vt:variant>
        <vt:i4>5</vt:i4>
      </vt:variant>
      <vt:variant>
        <vt:lpwstr>https://nasrhp.org.au/</vt:lpwstr>
      </vt:variant>
      <vt:variant>
        <vt:lpwstr/>
      </vt:variant>
      <vt:variant>
        <vt:i4>6422624</vt:i4>
      </vt:variant>
      <vt:variant>
        <vt:i4>666</vt:i4>
      </vt:variant>
      <vt:variant>
        <vt:i4>0</vt:i4>
      </vt:variant>
      <vt:variant>
        <vt:i4>5</vt:i4>
      </vt:variant>
      <vt:variant>
        <vt:lpwstr>https://www.ahpra.gov.au/Registration.aspx</vt:lpwstr>
      </vt:variant>
      <vt:variant>
        <vt:lpwstr/>
      </vt:variant>
      <vt:variant>
        <vt:i4>6029396</vt:i4>
      </vt:variant>
      <vt:variant>
        <vt:i4>663</vt:i4>
      </vt:variant>
      <vt:variant>
        <vt:i4>0</vt:i4>
      </vt:variant>
      <vt:variant>
        <vt:i4>5</vt:i4>
      </vt:variant>
      <vt:variant>
        <vt:lpwstr>https://www.clinedaus.org.au/</vt:lpwstr>
      </vt:variant>
      <vt:variant>
        <vt:lpwstr/>
      </vt:variant>
      <vt:variant>
        <vt:i4>2490490</vt:i4>
      </vt:variant>
      <vt:variant>
        <vt:i4>660</vt:i4>
      </vt:variant>
      <vt:variant>
        <vt:i4>0</vt:i4>
      </vt:variant>
      <vt:variant>
        <vt:i4>5</vt:i4>
      </vt:variant>
      <vt:variant>
        <vt:lpwstr>https://ahpa.com.au/allied-health-professions/</vt:lpwstr>
      </vt:variant>
      <vt:variant>
        <vt:lpwstr/>
      </vt:variant>
      <vt:variant>
        <vt:i4>6029326</vt:i4>
      </vt:variant>
      <vt:variant>
        <vt:i4>657</vt:i4>
      </vt:variant>
      <vt:variant>
        <vt:i4>0</vt:i4>
      </vt:variant>
      <vt:variant>
        <vt:i4>5</vt:i4>
      </vt:variant>
      <vt:variant>
        <vt:lpwstr>https://www.health.gov.au/our-work/nursing-and-allied-health-scholarships?language=en</vt:lpwstr>
      </vt:variant>
      <vt:variant>
        <vt:lpwstr/>
      </vt:variant>
      <vt:variant>
        <vt:i4>1441876</vt:i4>
      </vt:variant>
      <vt:variant>
        <vt:i4>654</vt:i4>
      </vt:variant>
      <vt:variant>
        <vt:i4>0</vt:i4>
      </vt:variant>
      <vt:variant>
        <vt:i4>5</vt:i4>
      </vt:variant>
      <vt:variant>
        <vt:lpwstr>https://www.agedcarequality.gov.au/workers/education-and-training-workers</vt:lpwstr>
      </vt:variant>
      <vt:variant>
        <vt:lpwstr/>
      </vt:variant>
      <vt:variant>
        <vt:i4>5308505</vt:i4>
      </vt:variant>
      <vt:variant>
        <vt:i4>651</vt:i4>
      </vt:variant>
      <vt:variant>
        <vt:i4>0</vt:i4>
      </vt:variant>
      <vt:variant>
        <vt:i4>5</vt:i4>
      </vt:variant>
      <vt:variant>
        <vt:lpwstr>https://www.nursingmidwiferyboard.gov.au/Registration-Standards/Continuing-professional-development.aspx</vt:lpwstr>
      </vt:variant>
      <vt:variant>
        <vt:lpwstr/>
      </vt:variant>
      <vt:variant>
        <vt:i4>2097254</vt:i4>
      </vt:variant>
      <vt:variant>
        <vt:i4>648</vt:i4>
      </vt:variant>
      <vt:variant>
        <vt:i4>0</vt:i4>
      </vt:variant>
      <vt:variant>
        <vt:i4>5</vt:i4>
      </vt:variant>
      <vt:variant>
        <vt:lpwstr>https://www.nursingmidwiferyboard.gov.au/Codes-Guidelines-Statements/Professional-standards</vt:lpwstr>
      </vt:variant>
      <vt:variant>
        <vt:lpwstr/>
      </vt:variant>
      <vt:variant>
        <vt:i4>5636118</vt:i4>
      </vt:variant>
      <vt:variant>
        <vt:i4>645</vt:i4>
      </vt:variant>
      <vt:variant>
        <vt:i4>0</vt:i4>
      </vt:variant>
      <vt:variant>
        <vt:i4>5</vt:i4>
      </vt:variant>
      <vt:variant>
        <vt:lpwstr>https://www.nursingmidwiferyboard.gov.au/Codes-Guidelines-Statements/Frameworks.aspx</vt:lpwstr>
      </vt:variant>
      <vt:variant>
        <vt:lpwstr/>
      </vt:variant>
      <vt:variant>
        <vt:i4>8192125</vt:i4>
      </vt:variant>
      <vt:variant>
        <vt:i4>642</vt:i4>
      </vt:variant>
      <vt:variant>
        <vt:i4>0</vt:i4>
      </vt:variant>
      <vt:variant>
        <vt:i4>5</vt:i4>
      </vt:variant>
      <vt:variant>
        <vt:lpwstr>https://www.nursingmidwiferyboard.gov.au/Codes-Guidelines-Statements/Professional-standards/registered-nurse-standards-for-practice</vt:lpwstr>
      </vt:variant>
      <vt:variant>
        <vt:lpwstr/>
      </vt:variant>
      <vt:variant>
        <vt:i4>6684776</vt:i4>
      </vt:variant>
      <vt:variant>
        <vt:i4>639</vt:i4>
      </vt:variant>
      <vt:variant>
        <vt:i4>0</vt:i4>
      </vt:variant>
      <vt:variant>
        <vt:i4>5</vt:i4>
      </vt:variant>
      <vt:variant>
        <vt:lpwstr>https://www.nursingmidwiferyboard.gov.au/Codes-Guidelines-Statements/FAQ/Enrolled-nurse-standards-for-practice.aspx</vt:lpwstr>
      </vt:variant>
      <vt:variant>
        <vt:lpwstr/>
      </vt:variant>
      <vt:variant>
        <vt:i4>7929910</vt:i4>
      </vt:variant>
      <vt:variant>
        <vt:i4>636</vt:i4>
      </vt:variant>
      <vt:variant>
        <vt:i4>0</vt:i4>
      </vt:variant>
      <vt:variant>
        <vt:i4>5</vt:i4>
      </vt:variant>
      <vt:variant>
        <vt:lpwstr>https://www.nursingmidwiferyboard.gov.au/Codes-Guidelines-Statements/FAQ/Fact-sheet-What-do-nurses-and-midwives-do.aspx</vt:lpwstr>
      </vt:variant>
      <vt:variant>
        <vt:lpwstr/>
      </vt:variant>
      <vt:variant>
        <vt:i4>393239</vt:i4>
      </vt:variant>
      <vt:variant>
        <vt:i4>633</vt:i4>
      </vt:variant>
      <vt:variant>
        <vt:i4>0</vt:i4>
      </vt:variant>
      <vt:variant>
        <vt:i4>5</vt:i4>
      </vt:variant>
      <vt:variant>
        <vt:lpwstr>https://www.nursingmidwiferyboard.gov.au/Codes-Guidelines-Statements/FAQ/Fact-sheet-scope-of-practice-and-capabilities-of-nurses.aspx</vt:lpwstr>
      </vt:variant>
      <vt:variant>
        <vt:lpwstr/>
      </vt:variant>
      <vt:variant>
        <vt:i4>8061048</vt:i4>
      </vt:variant>
      <vt:variant>
        <vt:i4>630</vt:i4>
      </vt:variant>
      <vt:variant>
        <vt:i4>0</vt:i4>
      </vt:variant>
      <vt:variant>
        <vt:i4>5</vt:i4>
      </vt:variant>
      <vt:variant>
        <vt:lpwstr>https://www.gen-agedcaredata.gov.au/Topics/Quality-in-aged-care</vt:lpwstr>
      </vt:variant>
      <vt:variant>
        <vt:lpwstr/>
      </vt:variant>
      <vt:variant>
        <vt:i4>1966153</vt:i4>
      </vt:variant>
      <vt:variant>
        <vt:i4>627</vt:i4>
      </vt:variant>
      <vt:variant>
        <vt:i4>0</vt:i4>
      </vt:variant>
      <vt:variant>
        <vt:i4>5</vt:i4>
      </vt:variant>
      <vt:variant>
        <vt:lpwstr>https://archive.cdc.gov/</vt:lpwstr>
      </vt:variant>
      <vt:variant>
        <vt:lpwstr>/details?url=https://www.cdc.gov/hrqol/index.htm</vt:lpwstr>
      </vt:variant>
      <vt:variant>
        <vt:i4>8061036</vt:i4>
      </vt:variant>
      <vt:variant>
        <vt:i4>624</vt:i4>
      </vt:variant>
      <vt:variant>
        <vt:i4>0</vt:i4>
      </vt:variant>
      <vt:variant>
        <vt:i4>5</vt:i4>
      </vt:variant>
      <vt:variant>
        <vt:lpwstr>https://www.agedcareguide.com.au/information/quality-of-life-factors-for-older-australians</vt:lpwstr>
      </vt:variant>
      <vt:variant>
        <vt:lpwstr/>
      </vt:variant>
      <vt:variant>
        <vt:i4>4718679</vt:i4>
      </vt:variant>
      <vt:variant>
        <vt:i4>621</vt:i4>
      </vt:variant>
      <vt:variant>
        <vt:i4>0</vt:i4>
      </vt:variant>
      <vt:variant>
        <vt:i4>5</vt:i4>
      </vt:variant>
      <vt:variant>
        <vt:lpwstr>https://www.ncbi.nlm.nih.gov/pmc/articles/PMC6407786/pdf/pone.0213263.pdf</vt:lpwstr>
      </vt:variant>
      <vt:variant>
        <vt:lpwstr/>
      </vt:variant>
      <vt:variant>
        <vt:i4>4390999</vt:i4>
      </vt:variant>
      <vt:variant>
        <vt:i4>618</vt:i4>
      </vt:variant>
      <vt:variant>
        <vt:i4>0</vt:i4>
      </vt:variant>
      <vt:variant>
        <vt:i4>5</vt:i4>
      </vt:variant>
      <vt:variant>
        <vt:lpwstr>https://ahha.asn.au/resource/evidence-brief-no-23-quality-of-life-tools-to-support-measurement-of-aged-care-quality/</vt:lpwstr>
      </vt:variant>
      <vt:variant>
        <vt:lpwstr/>
      </vt:variant>
      <vt:variant>
        <vt:i4>917513</vt:i4>
      </vt:variant>
      <vt:variant>
        <vt:i4>615</vt:i4>
      </vt:variant>
      <vt:variant>
        <vt:i4>0</vt:i4>
      </vt:variant>
      <vt:variant>
        <vt:i4>5</vt:i4>
      </vt:variant>
      <vt:variant>
        <vt:lpwstr>https://www.health.gov.au/sites/default/files/documents/2022/07/measurement-tools-for-assessing-quality-of-life-consumer-satisfaction-and-consumer-experience-across-residential-and-in-home-aged-care-summary-report.pdf</vt:lpwstr>
      </vt:variant>
      <vt:variant>
        <vt:lpwstr/>
      </vt:variant>
      <vt:variant>
        <vt:i4>4391035</vt:i4>
      </vt:variant>
      <vt:variant>
        <vt:i4>612</vt:i4>
      </vt:variant>
      <vt:variant>
        <vt:i4>0</vt:i4>
      </vt:variant>
      <vt:variant>
        <vt:i4>5</vt:i4>
      </vt:variant>
      <vt:variant>
        <vt:lpwstr>https://www.agedcarequality.gov.au/sites/default/files/media/Guidance and resources_Standard 4.pdf</vt:lpwstr>
      </vt:variant>
      <vt:variant>
        <vt:lpwstr/>
      </vt:variant>
      <vt:variant>
        <vt:i4>5308447</vt:i4>
      </vt:variant>
      <vt:variant>
        <vt:i4>609</vt:i4>
      </vt:variant>
      <vt:variant>
        <vt:i4>0</vt:i4>
      </vt:variant>
      <vt:variant>
        <vt:i4>5</vt:i4>
      </vt:variant>
      <vt:variant>
        <vt:lpwstr>https://bmcgeriatr.biomedcentral.com/articles/10.1186/s12877-021-02614-y</vt:lpwstr>
      </vt:variant>
      <vt:variant>
        <vt:lpwstr/>
      </vt:variant>
      <vt:variant>
        <vt:i4>6881320</vt:i4>
      </vt:variant>
      <vt:variant>
        <vt:i4>606</vt:i4>
      </vt:variant>
      <vt:variant>
        <vt:i4>0</vt:i4>
      </vt:variant>
      <vt:variant>
        <vt:i4>5</vt:i4>
      </vt:variant>
      <vt:variant>
        <vt:lpwstr>https://www.agedcarequality.gov.au/resource-library/good-spirit-good-life-quality-life-tool-and-package</vt:lpwstr>
      </vt:variant>
      <vt:variant>
        <vt:lpwstr/>
      </vt:variant>
      <vt:variant>
        <vt:i4>5570624</vt:i4>
      </vt:variant>
      <vt:variant>
        <vt:i4>603</vt:i4>
      </vt:variant>
      <vt:variant>
        <vt:i4>0</vt:i4>
      </vt:variant>
      <vt:variant>
        <vt:i4>5</vt:i4>
      </vt:variant>
      <vt:variant>
        <vt:lpwstr>https://www.health.gov.au/resources/collections/national-aged-care-mandatory-quality-indicator-program-manual</vt:lpwstr>
      </vt:variant>
      <vt:variant>
        <vt:lpwstr/>
      </vt:variant>
      <vt:variant>
        <vt:i4>3342403</vt:i4>
      </vt:variant>
      <vt:variant>
        <vt:i4>588</vt:i4>
      </vt:variant>
      <vt:variant>
        <vt:i4>0</vt:i4>
      </vt:variant>
      <vt:variant>
        <vt:i4>5</vt:i4>
      </vt:variant>
      <vt:variant>
        <vt:lpwstr>https://www.who.int/health-topics/quality-of-care</vt:lpwstr>
      </vt:variant>
      <vt:variant>
        <vt:lpwstr>tab=tab_1</vt:lpwstr>
      </vt:variant>
      <vt:variant>
        <vt:i4>2687095</vt:i4>
      </vt:variant>
      <vt:variant>
        <vt:i4>585</vt:i4>
      </vt:variant>
      <vt:variant>
        <vt:i4>0</vt:i4>
      </vt:variant>
      <vt:variant>
        <vt:i4>5</vt:i4>
      </vt:variant>
      <vt:variant>
        <vt:lpwstr>https://www.agedcarequality.gov.au/resources/quality-standards-consumer-outcomes-poster-english</vt:lpwstr>
      </vt:variant>
      <vt:variant>
        <vt:lpwstr/>
      </vt:variant>
      <vt:variant>
        <vt:i4>720914</vt:i4>
      </vt:variant>
      <vt:variant>
        <vt:i4>582</vt:i4>
      </vt:variant>
      <vt:variant>
        <vt:i4>0</vt:i4>
      </vt:variant>
      <vt:variant>
        <vt:i4>5</vt:i4>
      </vt:variant>
      <vt:variant>
        <vt:lpwstr>https://www.agedcarequality.gov.au/resources/guidance-and-resources-providers-support-aged-care-quality-standards</vt:lpwstr>
      </vt:variant>
      <vt:variant>
        <vt:lpwstr/>
      </vt:variant>
      <vt:variant>
        <vt:i4>6946923</vt:i4>
      </vt:variant>
      <vt:variant>
        <vt:i4>579</vt:i4>
      </vt:variant>
      <vt:variant>
        <vt:i4>0</vt:i4>
      </vt:variant>
      <vt:variant>
        <vt:i4>5</vt:i4>
      </vt:variant>
      <vt:variant>
        <vt:lpwstr>https://www.ausmed.com.au/learn/articles/quality-of-care-survey</vt:lpwstr>
      </vt:variant>
      <vt:variant>
        <vt:lpwstr/>
      </vt:variant>
      <vt:variant>
        <vt:i4>4128852</vt:i4>
      </vt:variant>
      <vt:variant>
        <vt:i4>576</vt:i4>
      </vt:variant>
      <vt:variant>
        <vt:i4>0</vt:i4>
      </vt:variant>
      <vt:variant>
        <vt:i4>5</vt:i4>
      </vt:variant>
      <vt:variant>
        <vt:lpwstr>https://www.agedcarequality.gov.au/sites/default/files/media/acqsc_working_with_aged_care_consumers_-_resource.pdf</vt:lpwstr>
      </vt:variant>
      <vt:variant>
        <vt:lpwstr/>
      </vt:variant>
      <vt:variant>
        <vt:i4>5570624</vt:i4>
      </vt:variant>
      <vt:variant>
        <vt:i4>573</vt:i4>
      </vt:variant>
      <vt:variant>
        <vt:i4>0</vt:i4>
      </vt:variant>
      <vt:variant>
        <vt:i4>5</vt:i4>
      </vt:variant>
      <vt:variant>
        <vt:lpwstr>https://www.health.gov.au/resources/collections/national-aged-care-mandatory-quality-indicator-program-manual</vt:lpwstr>
      </vt:variant>
      <vt:variant>
        <vt:lpwstr/>
      </vt:variant>
      <vt:variant>
        <vt:i4>2949240</vt:i4>
      </vt:variant>
      <vt:variant>
        <vt:i4>555</vt:i4>
      </vt:variant>
      <vt:variant>
        <vt:i4>0</vt:i4>
      </vt:variant>
      <vt:variant>
        <vt:i4>5</vt:i4>
      </vt:variant>
      <vt:variant>
        <vt:lpwstr>https://nap.nationalacademies.org/read/26526/chapter/1</vt:lpwstr>
      </vt:variant>
      <vt:variant>
        <vt:lpwstr/>
      </vt:variant>
      <vt:variant>
        <vt:i4>71</vt:i4>
      </vt:variant>
      <vt:variant>
        <vt:i4>552</vt:i4>
      </vt:variant>
      <vt:variant>
        <vt:i4>0</vt:i4>
      </vt:variant>
      <vt:variant>
        <vt:i4>5</vt:i4>
      </vt:variant>
      <vt:variant>
        <vt:lpwstr>https://www.fairwork.gov.au/employment-conditions/awards/awards-summary/ma000018-summary</vt:lpwstr>
      </vt:variant>
      <vt:variant>
        <vt:lpwstr/>
      </vt:variant>
      <vt:variant>
        <vt:i4>5308505</vt:i4>
      </vt:variant>
      <vt:variant>
        <vt:i4>549</vt:i4>
      </vt:variant>
      <vt:variant>
        <vt:i4>0</vt:i4>
      </vt:variant>
      <vt:variant>
        <vt:i4>5</vt:i4>
      </vt:variant>
      <vt:variant>
        <vt:lpwstr>https://www.nursingmidwiferyboard.gov.au/registration-standards/continuing-professional-development.aspx</vt:lpwstr>
      </vt:variant>
      <vt:variant>
        <vt:lpwstr/>
      </vt:variant>
      <vt:variant>
        <vt:i4>3670053</vt:i4>
      </vt:variant>
      <vt:variant>
        <vt:i4>546</vt:i4>
      </vt:variant>
      <vt:variant>
        <vt:i4>0</vt:i4>
      </vt:variant>
      <vt:variant>
        <vt:i4>5</vt:i4>
      </vt:variant>
      <vt:variant>
        <vt:lpwstr>https://www.agedcarequality.gov.au/</vt:lpwstr>
      </vt:variant>
      <vt:variant>
        <vt:lpwstr/>
      </vt:variant>
      <vt:variant>
        <vt:i4>2687002</vt:i4>
      </vt:variant>
      <vt:variant>
        <vt:i4>543</vt:i4>
      </vt:variant>
      <vt:variant>
        <vt:i4>0</vt:i4>
      </vt:variant>
      <vt:variant>
        <vt:i4>5</vt:i4>
      </vt:variant>
      <vt:variant>
        <vt:lpwstr>https://www.palliaged.com.au/Portals/5/Documents/Australian_Context/research-paper-1-How-Australian-Residential-Aged-Care-Staffing-Levels-Compare.pdf</vt:lpwstr>
      </vt:variant>
      <vt:variant>
        <vt:lpwstr>:~:text=This%20report%20reviews%20the%20national%20and%20international%20staffing,and%20%282%29%20specification%20of%20%E2%80%98appropriate%E2%80%99%20%28not%20minimum%29%20levels.</vt:lpwstr>
      </vt:variant>
      <vt:variant>
        <vt:i4>4587605</vt:i4>
      </vt:variant>
      <vt:variant>
        <vt:i4>540</vt:i4>
      </vt:variant>
      <vt:variant>
        <vt:i4>0</vt:i4>
      </vt:variant>
      <vt:variant>
        <vt:i4>5</vt:i4>
      </vt:variant>
      <vt:variant>
        <vt:lpwstr>https://www.health.gov.au/initiatives-and-programs/nursing-and-allied-health-scholarships</vt:lpwstr>
      </vt:variant>
      <vt:variant>
        <vt:lpwstr/>
      </vt:variant>
      <vt:variant>
        <vt:i4>6750324</vt:i4>
      </vt:variant>
      <vt:variant>
        <vt:i4>537</vt:i4>
      </vt:variant>
      <vt:variant>
        <vt:i4>0</vt:i4>
      </vt:variant>
      <vt:variant>
        <vt:i4>5</vt:i4>
      </vt:variant>
      <vt:variant>
        <vt:lpwstr>https://www.health.gov.au/our-work/aged-care-transition-to-practice-program</vt:lpwstr>
      </vt:variant>
      <vt:variant>
        <vt:lpwstr/>
      </vt:variant>
      <vt:variant>
        <vt:i4>2293859</vt:i4>
      </vt:variant>
      <vt:variant>
        <vt:i4>534</vt:i4>
      </vt:variant>
      <vt:variant>
        <vt:i4>0</vt:i4>
      </vt:variant>
      <vt:variant>
        <vt:i4>5</vt:i4>
      </vt:variant>
      <vt:variant>
        <vt:lpwstr>https://equiplearning.mooc.utas.edu.au/</vt:lpwstr>
      </vt:variant>
      <vt:variant>
        <vt:lpwstr/>
      </vt:variant>
      <vt:variant>
        <vt:i4>1376326</vt:i4>
      </vt:variant>
      <vt:variant>
        <vt:i4>531</vt:i4>
      </vt:variant>
      <vt:variant>
        <vt:i4>0</vt:i4>
      </vt:variant>
      <vt:variant>
        <vt:i4>5</vt:i4>
      </vt:variant>
      <vt:variant>
        <vt:lpwstr>https://www.health.gov.au/our-work/workforce-advisory-service</vt:lpwstr>
      </vt:variant>
      <vt:variant>
        <vt:lpwstr/>
      </vt:variant>
      <vt:variant>
        <vt:i4>7602228</vt:i4>
      </vt:variant>
      <vt:variant>
        <vt:i4>522</vt:i4>
      </vt:variant>
      <vt:variant>
        <vt:i4>0</vt:i4>
      </vt:variant>
      <vt:variant>
        <vt:i4>5</vt:i4>
      </vt:variant>
      <vt:variant>
        <vt:lpwstr>https://www.aihw.gov.au/reports/primary-health-care/potentially-preventable-hospitalisations-2020-22/contents/about</vt:lpwstr>
      </vt:variant>
      <vt:variant>
        <vt:lpwstr/>
      </vt:variant>
      <vt:variant>
        <vt:i4>3735648</vt:i4>
      </vt:variant>
      <vt:variant>
        <vt:i4>519</vt:i4>
      </vt:variant>
      <vt:variant>
        <vt:i4>0</vt:i4>
      </vt:variant>
      <vt:variant>
        <vt:i4>5</vt:i4>
      </vt:variant>
      <vt:variant>
        <vt:lpwstr>https://www.safetyandquality.gov.au/sites/default/files/migrated/A-guide-to-the-potentially-preventable-hospitalisations-indicator-in-Australia.pdf</vt:lpwstr>
      </vt:variant>
      <vt:variant>
        <vt:lpwstr/>
      </vt:variant>
      <vt:variant>
        <vt:i4>6553651</vt:i4>
      </vt:variant>
      <vt:variant>
        <vt:i4>516</vt:i4>
      </vt:variant>
      <vt:variant>
        <vt:i4>0</vt:i4>
      </vt:variant>
      <vt:variant>
        <vt:i4>5</vt:i4>
      </vt:variant>
      <vt:variant>
        <vt:lpwstr>https://www.australianageingagenda.com.au/clinical/infection-control/study-identifies-how-to-minimise-resident-infection-related-hospitalisations/</vt:lpwstr>
      </vt:variant>
      <vt:variant>
        <vt:lpwstr/>
      </vt:variant>
      <vt:variant>
        <vt:i4>4718679</vt:i4>
      </vt:variant>
      <vt:variant>
        <vt:i4>513</vt:i4>
      </vt:variant>
      <vt:variant>
        <vt:i4>0</vt:i4>
      </vt:variant>
      <vt:variant>
        <vt:i4>5</vt:i4>
      </vt:variant>
      <vt:variant>
        <vt:lpwstr>https://www.eldac.com.au/tabid/5020/Default.aspx</vt:lpwstr>
      </vt:variant>
      <vt:variant>
        <vt:lpwstr/>
      </vt:variant>
      <vt:variant>
        <vt:i4>5111834</vt:i4>
      </vt:variant>
      <vt:variant>
        <vt:i4>510</vt:i4>
      </vt:variant>
      <vt:variant>
        <vt:i4>0</vt:i4>
      </vt:variant>
      <vt:variant>
        <vt:i4>5</vt:i4>
      </vt:variant>
      <vt:variant>
        <vt:lpwstr>https://www.advancecareplanning.org.au/training-and-education</vt:lpwstr>
      </vt:variant>
      <vt:variant>
        <vt:lpwstr/>
      </vt:variant>
      <vt:variant>
        <vt:i4>393283</vt:i4>
      </vt:variant>
      <vt:variant>
        <vt:i4>507</vt:i4>
      </vt:variant>
      <vt:variant>
        <vt:i4>0</vt:i4>
      </vt:variant>
      <vt:variant>
        <vt:i4>5</vt:i4>
      </vt:variant>
      <vt:variant>
        <vt:lpwstr>https://www.ahrq.gov/patient-safety/settings/long-term-care/resource/facilities/ltc.html</vt:lpwstr>
      </vt:variant>
      <vt:variant>
        <vt:lpwstr/>
      </vt:variant>
      <vt:variant>
        <vt:i4>655368</vt:i4>
      </vt:variant>
      <vt:variant>
        <vt:i4>504</vt:i4>
      </vt:variant>
      <vt:variant>
        <vt:i4>0</vt:i4>
      </vt:variant>
      <vt:variant>
        <vt:i4>5</vt:i4>
      </vt:variant>
      <vt:variant>
        <vt:lpwstr>https://www.agedcareprepare.com.au/how-to-reduce-hospitalisation-in-aged-care-facilities</vt:lpwstr>
      </vt:variant>
      <vt:variant>
        <vt:lpwstr/>
      </vt:variant>
      <vt:variant>
        <vt:i4>7340073</vt:i4>
      </vt:variant>
      <vt:variant>
        <vt:i4>501</vt:i4>
      </vt:variant>
      <vt:variant>
        <vt:i4>0</vt:i4>
      </vt:variant>
      <vt:variant>
        <vt:i4>5</vt:i4>
      </vt:variant>
      <vt:variant>
        <vt:lpwstr>https://www.health.gov.au/initiatives-and-programs/phn/how-we-support-phns/aged-care</vt:lpwstr>
      </vt:variant>
      <vt:variant>
        <vt:lpwstr>:~:text=PHNs%20will%20help%20guide%20and,maintaining%20residents'%20online%20medical%20records</vt:lpwstr>
      </vt:variant>
      <vt:variant>
        <vt:i4>786517</vt:i4>
      </vt:variant>
      <vt:variant>
        <vt:i4>498</vt:i4>
      </vt:variant>
      <vt:variant>
        <vt:i4>0</vt:i4>
      </vt:variant>
      <vt:variant>
        <vt:i4>5</vt:i4>
      </vt:variant>
      <vt:variant>
        <vt:lpwstr>https://hunterprimarycare.com.au/health-professionals/professional-health-services/ace-education-resources-2/</vt:lpwstr>
      </vt:variant>
      <vt:variant>
        <vt:lpwstr/>
      </vt:variant>
      <vt:variant>
        <vt:i4>2162798</vt:i4>
      </vt:variant>
      <vt:variant>
        <vt:i4>486</vt:i4>
      </vt:variant>
      <vt:variant>
        <vt:i4>0</vt:i4>
      </vt:variant>
      <vt:variant>
        <vt:i4>5</vt:i4>
      </vt:variant>
      <vt:variant>
        <vt:lpwstr>https://www.continencelearning.com/</vt:lpwstr>
      </vt:variant>
      <vt:variant>
        <vt:lpwstr/>
      </vt:variant>
      <vt:variant>
        <vt:i4>5636116</vt:i4>
      </vt:variant>
      <vt:variant>
        <vt:i4>483</vt:i4>
      </vt:variant>
      <vt:variant>
        <vt:i4>0</vt:i4>
      </vt:variant>
      <vt:variant>
        <vt:i4>5</vt:i4>
      </vt:variant>
      <vt:variant>
        <vt:lpwstr>https://www.continencesupportnow.com/</vt:lpwstr>
      </vt:variant>
      <vt:variant>
        <vt:lpwstr/>
      </vt:variant>
      <vt:variant>
        <vt:i4>7405675</vt:i4>
      </vt:variant>
      <vt:variant>
        <vt:i4>480</vt:i4>
      </vt:variant>
      <vt:variant>
        <vt:i4>0</vt:i4>
      </vt:variant>
      <vt:variant>
        <vt:i4>5</vt:i4>
      </vt:variant>
      <vt:variant>
        <vt:lpwstr>https://www.continence.org.au/professionals/aged-care-resources</vt:lpwstr>
      </vt:variant>
      <vt:variant>
        <vt:lpwstr/>
      </vt:variant>
      <vt:variant>
        <vt:i4>3997737</vt:i4>
      </vt:variant>
      <vt:variant>
        <vt:i4>477</vt:i4>
      </vt:variant>
      <vt:variant>
        <vt:i4>0</vt:i4>
      </vt:variant>
      <vt:variant>
        <vt:i4>5</vt:i4>
      </vt:variant>
      <vt:variant>
        <vt:lpwstr>https://www.continence.org.au/get-support/who-can-help/national-continence-helpline</vt:lpwstr>
      </vt:variant>
      <vt:variant>
        <vt:lpwstr/>
      </vt:variant>
      <vt:variant>
        <vt:i4>2949168</vt:i4>
      </vt:variant>
      <vt:variant>
        <vt:i4>474</vt:i4>
      </vt:variant>
      <vt:variant>
        <vt:i4>0</vt:i4>
      </vt:variant>
      <vt:variant>
        <vt:i4>5</vt:i4>
      </vt:variant>
      <vt:variant>
        <vt:lpwstr>https://journals.lww.com/aswcjournal/Fulltext/2018/11000/Incontinence_Associated_Dermatitis__State_of_the.4.aspx</vt:lpwstr>
      </vt:variant>
      <vt:variant>
        <vt:lpwstr/>
      </vt:variant>
      <vt:variant>
        <vt:i4>655370</vt:i4>
      </vt:variant>
      <vt:variant>
        <vt:i4>471</vt:i4>
      </vt:variant>
      <vt:variant>
        <vt:i4>0</vt:i4>
      </vt:variant>
      <vt:variant>
        <vt:i4>5</vt:i4>
      </vt:variant>
      <vt:variant>
        <vt:lpwstr>https://www.aihw.gov.au/reports/disability/incontinence-in-australia/summary</vt:lpwstr>
      </vt:variant>
      <vt:variant>
        <vt:lpwstr/>
      </vt:variant>
      <vt:variant>
        <vt:i4>983148</vt:i4>
      </vt:variant>
      <vt:variant>
        <vt:i4>468</vt:i4>
      </vt:variant>
      <vt:variant>
        <vt:i4>0</vt:i4>
      </vt:variant>
      <vt:variant>
        <vt:i4>5</vt:i4>
      </vt:variant>
      <vt:variant>
        <vt:lpwstr>https://www.cec.health.nsw.gov.au/__data/assets/pdf_file/0015/424401/Incontinence-Associated-Dermatitis-IAD-Best-Practice-Principles.pdf</vt:lpwstr>
      </vt:variant>
      <vt:variant>
        <vt:lpwstr/>
      </vt:variant>
      <vt:variant>
        <vt:i4>1966180</vt:i4>
      </vt:variant>
      <vt:variant>
        <vt:i4>465</vt:i4>
      </vt:variant>
      <vt:variant>
        <vt:i4>0</vt:i4>
      </vt:variant>
      <vt:variant>
        <vt:i4>5</vt:i4>
      </vt:variant>
      <vt:variant>
        <vt:lpwstr>https://images.skintghent.be/2018491033795_iad-best-practice-document.pdf</vt:lpwstr>
      </vt:variant>
      <vt:variant>
        <vt:lpwstr/>
      </vt:variant>
      <vt:variant>
        <vt:i4>983104</vt:i4>
      </vt:variant>
      <vt:variant>
        <vt:i4>461</vt:i4>
      </vt:variant>
      <vt:variant>
        <vt:i4>0</vt:i4>
      </vt:variant>
      <vt:variant>
        <vt:i4>5</vt:i4>
      </vt:variant>
      <vt:variant>
        <vt:lpwstr>https://www.continence.org.au/Continence-SMART-Care</vt:lpwstr>
      </vt:variant>
      <vt:variant>
        <vt:lpwstr>:~:text=Continence%20SMART%20Care%20(CSC)%20is,that%20optimises%20their%20functional%20ability</vt:lpwstr>
      </vt:variant>
      <vt:variant>
        <vt:i4>2359394</vt:i4>
      </vt:variant>
      <vt:variant>
        <vt:i4>459</vt:i4>
      </vt:variant>
      <vt:variant>
        <vt:i4>0</vt:i4>
      </vt:variant>
      <vt:variant>
        <vt:i4>5</vt:i4>
      </vt:variant>
      <vt:variant>
        <vt:lpwstr>https://www.nari.net.au/model-of-continence-care</vt:lpwstr>
      </vt:variant>
      <vt:variant>
        <vt:lpwstr>:~:text=This%20research%20co-designed%20and%20evaluated%20a%20best%20practice%20model%20for</vt:lpwstr>
      </vt:variant>
      <vt:variant>
        <vt:i4>5570624</vt:i4>
      </vt:variant>
      <vt:variant>
        <vt:i4>456</vt:i4>
      </vt:variant>
      <vt:variant>
        <vt:i4>0</vt:i4>
      </vt:variant>
      <vt:variant>
        <vt:i4>5</vt:i4>
      </vt:variant>
      <vt:variant>
        <vt:lpwstr>https://www.health.gov.au/resources/collections/national-aged-care-mandatory-quality-indicator-program-manual</vt:lpwstr>
      </vt:variant>
      <vt:variant>
        <vt:lpwstr/>
      </vt:variant>
      <vt:variant>
        <vt:i4>4391035</vt:i4>
      </vt:variant>
      <vt:variant>
        <vt:i4>435</vt:i4>
      </vt:variant>
      <vt:variant>
        <vt:i4>0</vt:i4>
      </vt:variant>
      <vt:variant>
        <vt:i4>5</vt:i4>
      </vt:variant>
      <vt:variant>
        <vt:lpwstr>https://www.agedcarequality.gov.au/sites/default/files/media/Guidance and resources_Standard 4.pdf</vt:lpwstr>
      </vt:variant>
      <vt:variant>
        <vt:lpwstr/>
      </vt:variant>
      <vt:variant>
        <vt:i4>131103</vt:i4>
      </vt:variant>
      <vt:variant>
        <vt:i4>432</vt:i4>
      </vt:variant>
      <vt:variant>
        <vt:i4>0</vt:i4>
      </vt:variant>
      <vt:variant>
        <vt:i4>5</vt:i4>
      </vt:variant>
      <vt:variant>
        <vt:lpwstr>https://www.ariia.org.au/knowledge-implementation-hub/rehabilitation-reablement-and-restorative-care/about-rehabilitation-care</vt:lpwstr>
      </vt:variant>
      <vt:variant>
        <vt:lpwstr>:~:text=A%20reablement%20approach%20to%20aged%20care%20is%20emphasised,taking%20over%20tasks%20they%20can%20do%20for%20themselves.</vt:lpwstr>
      </vt:variant>
      <vt:variant>
        <vt:i4>3145782</vt:i4>
      </vt:variant>
      <vt:variant>
        <vt:i4>429</vt:i4>
      </vt:variant>
      <vt:variant>
        <vt:i4>0</vt:i4>
      </vt:variant>
      <vt:variant>
        <vt:i4>5</vt:i4>
      </vt:variant>
      <vt:variant>
        <vt:lpwstr>https://www.health.gov.au/sites/default/files/documents/2021/04/an-acc-reference-manual-and-an-acc-assessment-tool.pdf</vt:lpwstr>
      </vt:variant>
      <vt:variant>
        <vt:lpwstr/>
      </vt:variant>
      <vt:variant>
        <vt:i4>5570624</vt:i4>
      </vt:variant>
      <vt:variant>
        <vt:i4>426</vt:i4>
      </vt:variant>
      <vt:variant>
        <vt:i4>0</vt:i4>
      </vt:variant>
      <vt:variant>
        <vt:i4>5</vt:i4>
      </vt:variant>
      <vt:variant>
        <vt:lpwstr>https://www.health.gov.au/resources/collections/national-aged-care-mandatory-quality-indicator-program-manual</vt:lpwstr>
      </vt:variant>
      <vt:variant>
        <vt:lpwstr/>
      </vt:variant>
      <vt:variant>
        <vt:i4>786439</vt:i4>
      </vt:variant>
      <vt:variant>
        <vt:i4>399</vt:i4>
      </vt:variant>
      <vt:variant>
        <vt:i4>0</vt:i4>
      </vt:variant>
      <vt:variant>
        <vt:i4>5</vt:i4>
      </vt:variant>
      <vt:variant>
        <vt:lpwstr>https://www.dementia.com.au/resource-hub?topic=behaviour</vt:lpwstr>
      </vt:variant>
      <vt:variant>
        <vt:lpwstr/>
      </vt:variant>
      <vt:variant>
        <vt:i4>5374043</vt:i4>
      </vt:variant>
      <vt:variant>
        <vt:i4>396</vt:i4>
      </vt:variant>
      <vt:variant>
        <vt:i4>0</vt:i4>
      </vt:variant>
      <vt:variant>
        <vt:i4>5</vt:i4>
      </vt:variant>
      <vt:variant>
        <vt:lpwstr>https://dementia.com.au/services/dementia-behaviour-management-advisory-service-dbas</vt:lpwstr>
      </vt:variant>
      <vt:variant>
        <vt:lpwstr/>
      </vt:variant>
      <vt:variant>
        <vt:i4>5308421</vt:i4>
      </vt:variant>
      <vt:variant>
        <vt:i4>393</vt:i4>
      </vt:variant>
      <vt:variant>
        <vt:i4>0</vt:i4>
      </vt:variant>
      <vt:variant>
        <vt:i4>5</vt:i4>
      </vt:variant>
      <vt:variant>
        <vt:lpwstr>https://dementia.com.au/services/severe-behaviour-response-teams-sbrt</vt:lpwstr>
      </vt:variant>
      <vt:variant>
        <vt:lpwstr/>
      </vt:variant>
      <vt:variant>
        <vt:i4>3735657</vt:i4>
      </vt:variant>
      <vt:variant>
        <vt:i4>390</vt:i4>
      </vt:variant>
      <vt:variant>
        <vt:i4>0</vt:i4>
      </vt:variant>
      <vt:variant>
        <vt:i4>5</vt:i4>
      </vt:variant>
      <vt:variant>
        <vt:lpwstr>https://www.mims.com.au/index.php/products/mims-online</vt:lpwstr>
      </vt:variant>
      <vt:variant>
        <vt:lpwstr/>
      </vt:variant>
      <vt:variant>
        <vt:i4>5701635</vt:i4>
      </vt:variant>
      <vt:variant>
        <vt:i4>387</vt:i4>
      </vt:variant>
      <vt:variant>
        <vt:i4>0</vt:i4>
      </vt:variant>
      <vt:variant>
        <vt:i4>5</vt:i4>
      </vt:variant>
      <vt:variant>
        <vt:lpwstr>https://amhonline.amh.net.au/auth</vt:lpwstr>
      </vt:variant>
      <vt:variant>
        <vt:lpwstr/>
      </vt:variant>
      <vt:variant>
        <vt:i4>65616</vt:i4>
      </vt:variant>
      <vt:variant>
        <vt:i4>384</vt:i4>
      </vt:variant>
      <vt:variant>
        <vt:i4>0</vt:i4>
      </vt:variant>
      <vt:variant>
        <vt:i4>5</vt:i4>
      </vt:variant>
      <vt:variant>
        <vt:lpwstr>https://www.agedcarequality.gov.au/resources/six-steps-safe-prescribing-antipsychotics-and-benzodiazepines-residential-aged-care</vt:lpwstr>
      </vt:variant>
      <vt:variant>
        <vt:lpwstr/>
      </vt:variant>
      <vt:variant>
        <vt:i4>4587535</vt:i4>
      </vt:variant>
      <vt:variant>
        <vt:i4>381</vt:i4>
      </vt:variant>
      <vt:variant>
        <vt:i4>0</vt:i4>
      </vt:variant>
      <vt:variant>
        <vt:i4>5</vt:i4>
      </vt:variant>
      <vt:variant>
        <vt:lpwstr>https://dta.com.au/resources/antipsychotic-tracking-tool/</vt:lpwstr>
      </vt:variant>
      <vt:variant>
        <vt:lpwstr/>
      </vt:variant>
      <vt:variant>
        <vt:i4>2621542</vt:i4>
      </vt:variant>
      <vt:variant>
        <vt:i4>378</vt:i4>
      </vt:variant>
      <vt:variant>
        <vt:i4>0</vt:i4>
      </vt:variant>
      <vt:variant>
        <vt:i4>5</vt:i4>
      </vt:variant>
      <vt:variant>
        <vt:lpwstr>https://www.nswtag.org.au/wp-content/uploads/2018/06/1.2-Deprescribing-Guide-for-Antipsychotics-for-Treatment-of-Behavioural-and-Psychological-Symptoms-of-Dementia.pdf</vt:lpwstr>
      </vt:variant>
      <vt:variant>
        <vt:lpwstr/>
      </vt:variant>
      <vt:variant>
        <vt:i4>3145770</vt:i4>
      </vt:variant>
      <vt:variant>
        <vt:i4>351</vt:i4>
      </vt:variant>
      <vt:variant>
        <vt:i4>0</vt:i4>
      </vt:variant>
      <vt:variant>
        <vt:i4>5</vt:i4>
      </vt:variant>
      <vt:variant>
        <vt:lpwstr>https://opan.org.au/yourchoice/</vt:lpwstr>
      </vt:variant>
      <vt:variant>
        <vt:lpwstr/>
      </vt:variant>
      <vt:variant>
        <vt:i4>5636115</vt:i4>
      </vt:variant>
      <vt:variant>
        <vt:i4>348</vt:i4>
      </vt:variant>
      <vt:variant>
        <vt:i4>0</vt:i4>
      </vt:variant>
      <vt:variant>
        <vt:i4>5</vt:i4>
      </vt:variant>
      <vt:variant>
        <vt:lpwstr>https://www.health.gov.au/resources/publications/handbook-of-tools-to-support-medicine-management-in-multimorbidity-and-polypharmacy</vt:lpwstr>
      </vt:variant>
      <vt:variant>
        <vt:lpwstr/>
      </vt:variant>
      <vt:variant>
        <vt:i4>3145818</vt:i4>
      </vt:variant>
      <vt:variant>
        <vt:i4>345</vt:i4>
      </vt:variant>
      <vt:variant>
        <vt:i4>0</vt:i4>
      </vt:variant>
      <vt:variant>
        <vt:i4>5</vt:i4>
      </vt:variant>
      <vt:variant>
        <vt:lpwstr>https://www.safetyandquality.gov.au/sites/default/files/2021-04/fourth_atlas_2021_-_6.1_polypharmacy_75_years_and_over.pdf</vt:lpwstr>
      </vt:variant>
      <vt:variant>
        <vt:lpwstr/>
      </vt:variant>
      <vt:variant>
        <vt:i4>3735657</vt:i4>
      </vt:variant>
      <vt:variant>
        <vt:i4>342</vt:i4>
      </vt:variant>
      <vt:variant>
        <vt:i4>0</vt:i4>
      </vt:variant>
      <vt:variant>
        <vt:i4>5</vt:i4>
      </vt:variant>
      <vt:variant>
        <vt:lpwstr>https://www.mims.com.au/index.php/products/mims-online</vt:lpwstr>
      </vt:variant>
      <vt:variant>
        <vt:lpwstr/>
      </vt:variant>
      <vt:variant>
        <vt:i4>5701635</vt:i4>
      </vt:variant>
      <vt:variant>
        <vt:i4>339</vt:i4>
      </vt:variant>
      <vt:variant>
        <vt:i4>0</vt:i4>
      </vt:variant>
      <vt:variant>
        <vt:i4>5</vt:i4>
      </vt:variant>
      <vt:variant>
        <vt:lpwstr>https://amhonline.amh.net.au/auth</vt:lpwstr>
      </vt:variant>
      <vt:variant>
        <vt:lpwstr/>
      </vt:variant>
      <vt:variant>
        <vt:i4>1835038</vt:i4>
      </vt:variant>
      <vt:variant>
        <vt:i4>318</vt:i4>
      </vt:variant>
      <vt:variant>
        <vt:i4>0</vt:i4>
      </vt:variant>
      <vt:variant>
        <vt:i4>5</vt:i4>
      </vt:variant>
      <vt:variant>
        <vt:lpwstr>https://academic.oup.com/ageing/article/51/9/afac205/6730755</vt:lpwstr>
      </vt:variant>
      <vt:variant>
        <vt:lpwstr/>
      </vt:variant>
      <vt:variant>
        <vt:i4>3145776</vt:i4>
      </vt:variant>
      <vt:variant>
        <vt:i4>315</vt:i4>
      </vt:variant>
      <vt:variant>
        <vt:i4>0</vt:i4>
      </vt:variant>
      <vt:variant>
        <vt:i4>5</vt:i4>
      </vt:variant>
      <vt:variant>
        <vt:lpwstr>https://fallspreventiononlineworkshops.com.au/</vt:lpwstr>
      </vt:variant>
      <vt:variant>
        <vt:lpwstr/>
      </vt:variant>
      <vt:variant>
        <vt:i4>1572938</vt:i4>
      </vt:variant>
      <vt:variant>
        <vt:i4>312</vt:i4>
      </vt:variant>
      <vt:variant>
        <vt:i4>0</vt:i4>
      </vt:variant>
      <vt:variant>
        <vt:i4>5</vt:i4>
      </vt:variant>
      <vt:variant>
        <vt:lpwstr>https://www.health.vic.gov.au/wellbeing-and-participation/falls-prevention-tools</vt:lpwstr>
      </vt:variant>
      <vt:variant>
        <vt:lpwstr/>
      </vt:variant>
      <vt:variant>
        <vt:i4>7536672</vt:i4>
      </vt:variant>
      <vt:variant>
        <vt:i4>309</vt:i4>
      </vt:variant>
      <vt:variant>
        <vt:i4>0</vt:i4>
      </vt:variant>
      <vt:variant>
        <vt:i4>5</vt:i4>
      </vt:variant>
      <vt:variant>
        <vt:lpwstr>https://www.health.vic.gov.au/sites/default/files/migrated/files/collections/factsheets/s/scp-falls-pdf.pdf</vt:lpwstr>
      </vt:variant>
      <vt:variant>
        <vt:lpwstr/>
      </vt:variant>
      <vt:variant>
        <vt:i4>4587604</vt:i4>
      </vt:variant>
      <vt:variant>
        <vt:i4>306</vt:i4>
      </vt:variant>
      <vt:variant>
        <vt:i4>0</vt:i4>
      </vt:variant>
      <vt:variant>
        <vt:i4>5</vt:i4>
      </vt:variant>
      <vt:variant>
        <vt:lpwstr>https://www.health.gov.au/sites/default/files/documents/2021/04/don-t-fall-for-it-falls-can-be-prevented.pdf</vt:lpwstr>
      </vt:variant>
      <vt:variant>
        <vt:lpwstr/>
      </vt:variant>
      <vt:variant>
        <vt:i4>3866674</vt:i4>
      </vt:variant>
      <vt:variant>
        <vt:i4>303</vt:i4>
      </vt:variant>
      <vt:variant>
        <vt:i4>0</vt:i4>
      </vt:variant>
      <vt:variant>
        <vt:i4>5</vt:i4>
      </vt:variant>
      <vt:variant>
        <vt:lpwstr>https://www.safetyandquality.gov.au/our-work/comprehensive-care/related-topics/falls-prevention</vt:lpwstr>
      </vt:variant>
      <vt:variant>
        <vt:lpwstr/>
      </vt:variant>
      <vt:variant>
        <vt:i4>7536738</vt:i4>
      </vt:variant>
      <vt:variant>
        <vt:i4>267</vt:i4>
      </vt:variant>
      <vt:variant>
        <vt:i4>0</vt:i4>
      </vt:variant>
      <vt:variant>
        <vt:i4>5</vt:i4>
      </vt:variant>
      <vt:variant>
        <vt:lpwstr>https://nutricia.com.au/adult/wp-content/uploads/sites/7/2022/02/ANZ_Community_Malnutrition_and_Frailty_Guidelines_March_2022_FINAL.pdf</vt:lpwstr>
      </vt:variant>
      <vt:variant>
        <vt:lpwstr/>
      </vt:variant>
      <vt:variant>
        <vt:i4>5177363</vt:i4>
      </vt:variant>
      <vt:variant>
        <vt:i4>264</vt:i4>
      </vt:variant>
      <vt:variant>
        <vt:i4>0</vt:i4>
      </vt:variant>
      <vt:variant>
        <vt:i4>5</vt:i4>
      </vt:variant>
      <vt:variant>
        <vt:lpwstr>https://www.health.tas.gov.au/campaigns/healthy-ageing/online-training-help-older-people-eat-well</vt:lpwstr>
      </vt:variant>
      <vt:variant>
        <vt:lpwstr/>
      </vt:variant>
      <vt:variant>
        <vt:i4>458844</vt:i4>
      </vt:variant>
      <vt:variant>
        <vt:i4>261</vt:i4>
      </vt:variant>
      <vt:variant>
        <vt:i4>0</vt:i4>
      </vt:variant>
      <vt:variant>
        <vt:i4>5</vt:i4>
      </vt:variant>
      <vt:variant>
        <vt:lpwstr>https://www.cclhd.health.nsw.gov.au/wp-content/uploads/EatingWellANutritionResourceforOlderPeople.pdf</vt:lpwstr>
      </vt:variant>
      <vt:variant>
        <vt:lpwstr/>
      </vt:variant>
      <vt:variant>
        <vt:i4>5046288</vt:i4>
      </vt:variant>
      <vt:variant>
        <vt:i4>258</vt:i4>
      </vt:variant>
      <vt:variant>
        <vt:i4>0</vt:i4>
      </vt:variant>
      <vt:variant>
        <vt:i4>5</vt:i4>
      </vt:variant>
      <vt:variant>
        <vt:lpwstr>https://www.cclhd.health.nsw.gov.au/wp-content/uploads/BestPracticeFoodandNutritionManualforAgedCare.pdf</vt:lpwstr>
      </vt:variant>
      <vt:variant>
        <vt:lpwstr/>
      </vt:variant>
      <vt:variant>
        <vt:i4>1245193</vt:i4>
      </vt:variant>
      <vt:variant>
        <vt:i4>255</vt:i4>
      </vt:variant>
      <vt:variant>
        <vt:i4>0</vt:i4>
      </vt:variant>
      <vt:variant>
        <vt:i4>5</vt:i4>
      </vt:variant>
      <vt:variant>
        <vt:lpwstr>http://thelanternproject.com.au/</vt:lpwstr>
      </vt:variant>
      <vt:variant>
        <vt:lpwstr/>
      </vt:variant>
      <vt:variant>
        <vt:i4>3997715</vt:i4>
      </vt:variant>
      <vt:variant>
        <vt:i4>252</vt:i4>
      </vt:variant>
      <vt:variant>
        <vt:i4>0</vt:i4>
      </vt:variant>
      <vt:variant>
        <vt:i4>5</vt:i4>
      </vt:variant>
      <vt:variant>
        <vt:lpwstr>https://dietitiansaustralia.org.au/sites/default/files/2021-12/202012-PositionStatement-Malnutrition_in_Aged_Care.pdf</vt:lpwstr>
      </vt:variant>
      <vt:variant>
        <vt:lpwstr/>
      </vt:variant>
      <vt:variant>
        <vt:i4>4456538</vt:i4>
      </vt:variant>
      <vt:variant>
        <vt:i4>249</vt:i4>
      </vt:variant>
      <vt:variant>
        <vt:i4>0</vt:i4>
      </vt:variant>
      <vt:variant>
        <vt:i4>5</vt:i4>
      </vt:variant>
      <vt:variant>
        <vt:lpwstr>https://www.agedcarequality.gov.au/resource-library/find-out-more-about-food-nutrition-and-dining</vt:lpwstr>
      </vt:variant>
      <vt:variant>
        <vt:lpwstr/>
      </vt:variant>
      <vt:variant>
        <vt:i4>5308489</vt:i4>
      </vt:variant>
      <vt:variant>
        <vt:i4>246</vt:i4>
      </vt:variant>
      <vt:variant>
        <vt:i4>0</vt:i4>
      </vt:variant>
      <vt:variant>
        <vt:i4>5</vt:i4>
      </vt:variant>
      <vt:variant>
        <vt:lpwstr>https://www.agedcarequality.gov.au/providers/food-nutrition-dining-information-providers</vt:lpwstr>
      </vt:variant>
      <vt:variant>
        <vt:lpwstr/>
      </vt:variant>
      <vt:variant>
        <vt:i4>6750322</vt:i4>
      </vt:variant>
      <vt:variant>
        <vt:i4>243</vt:i4>
      </vt:variant>
      <vt:variant>
        <vt:i4>0</vt:i4>
      </vt:variant>
      <vt:variant>
        <vt:i4>5</vt:i4>
      </vt:variant>
      <vt:variant>
        <vt:lpwstr>https://research-repository.griffith.edu.au/server/api/core/bitstreams/74cbca57-f974-4d32-a037-3b627d539386/content</vt:lpwstr>
      </vt:variant>
      <vt:variant>
        <vt:lpwstr/>
      </vt:variant>
      <vt:variant>
        <vt:i4>8257582</vt:i4>
      </vt:variant>
      <vt:variant>
        <vt:i4>240</vt:i4>
      </vt:variant>
      <vt:variant>
        <vt:i4>0</vt:i4>
      </vt:variant>
      <vt:variant>
        <vt:i4>5</vt:i4>
      </vt:variant>
      <vt:variant>
        <vt:lpwstr>https://www.bapen.org.uk/screening-and-must/must-calculator</vt:lpwstr>
      </vt:variant>
      <vt:variant>
        <vt:lpwstr/>
      </vt:variant>
      <vt:variant>
        <vt:i4>7733321</vt:i4>
      </vt:variant>
      <vt:variant>
        <vt:i4>237</vt:i4>
      </vt:variant>
      <vt:variant>
        <vt:i4>0</vt:i4>
      </vt:variant>
      <vt:variant>
        <vt:i4>5</vt:i4>
      </vt:variant>
      <vt:variant>
        <vt:lpwstr>https://www.health.qld.gov.au/__data/assets/pdf_file/0021/152454/hphe_scrn_tools.pdf</vt:lpwstr>
      </vt:variant>
      <vt:variant>
        <vt:lpwstr/>
      </vt:variant>
      <vt:variant>
        <vt:i4>720902</vt:i4>
      </vt:variant>
      <vt:variant>
        <vt:i4>234</vt:i4>
      </vt:variant>
      <vt:variant>
        <vt:i4>0</vt:i4>
      </vt:variant>
      <vt:variant>
        <vt:i4>5</vt:i4>
      </vt:variant>
      <vt:variant>
        <vt:lpwstr>https://www.mna-elderly.com/sites/default/files/2021-10/mna-guide-english-sf.pdf</vt:lpwstr>
      </vt:variant>
      <vt:variant>
        <vt:lpwstr/>
      </vt:variant>
      <vt:variant>
        <vt:i4>5439559</vt:i4>
      </vt:variant>
      <vt:variant>
        <vt:i4>231</vt:i4>
      </vt:variant>
      <vt:variant>
        <vt:i4>0</vt:i4>
      </vt:variant>
      <vt:variant>
        <vt:i4>5</vt:i4>
      </vt:variant>
      <vt:variant>
        <vt:lpwstr>https://www.bapen.org.uk/screening-and-must/must/must-toolkit</vt:lpwstr>
      </vt:variant>
      <vt:variant>
        <vt:lpwstr/>
      </vt:variant>
      <vt:variant>
        <vt:i4>1376285</vt:i4>
      </vt:variant>
      <vt:variant>
        <vt:i4>222</vt:i4>
      </vt:variant>
      <vt:variant>
        <vt:i4>0</vt:i4>
      </vt:variant>
      <vt:variant>
        <vt:i4>5</vt:i4>
      </vt:variant>
      <vt:variant>
        <vt:lpwstr/>
      </vt:variant>
      <vt:variant>
        <vt:lpwstr>Malnutrition</vt:lpwstr>
      </vt:variant>
      <vt:variant>
        <vt:i4>3604534</vt:i4>
      </vt:variant>
      <vt:variant>
        <vt:i4>204</vt:i4>
      </vt:variant>
      <vt:variant>
        <vt:i4>0</vt:i4>
      </vt:variant>
      <vt:variant>
        <vt:i4>5</vt:i4>
      </vt:variant>
      <vt:variant>
        <vt:lpwstr>https://dementia.com.au/bsp</vt:lpwstr>
      </vt:variant>
      <vt:variant>
        <vt:lpwstr/>
      </vt:variant>
      <vt:variant>
        <vt:i4>5374043</vt:i4>
      </vt:variant>
      <vt:variant>
        <vt:i4>201</vt:i4>
      </vt:variant>
      <vt:variant>
        <vt:i4>0</vt:i4>
      </vt:variant>
      <vt:variant>
        <vt:i4>5</vt:i4>
      </vt:variant>
      <vt:variant>
        <vt:lpwstr>https://dementia.com.au/services/dementia-behaviour-management-advisory-service-dbas</vt:lpwstr>
      </vt:variant>
      <vt:variant>
        <vt:lpwstr/>
      </vt:variant>
      <vt:variant>
        <vt:i4>5308421</vt:i4>
      </vt:variant>
      <vt:variant>
        <vt:i4>198</vt:i4>
      </vt:variant>
      <vt:variant>
        <vt:i4>0</vt:i4>
      </vt:variant>
      <vt:variant>
        <vt:i4>5</vt:i4>
      </vt:variant>
      <vt:variant>
        <vt:lpwstr>https://dementia.com.au/services/severe-behaviour-response-teams-sbrt</vt:lpwstr>
      </vt:variant>
      <vt:variant>
        <vt:lpwstr/>
      </vt:variant>
      <vt:variant>
        <vt:i4>4128791</vt:i4>
      </vt:variant>
      <vt:variant>
        <vt:i4>195</vt:i4>
      </vt:variant>
      <vt:variant>
        <vt:i4>0</vt:i4>
      </vt:variant>
      <vt:variant>
        <vt:i4>5</vt:i4>
      </vt:variant>
      <vt:variant>
        <vt:lpwstr>https://www.agedcarequality.gov.au/sites/default/files/media/sirs-inappropriate-use-of-restrictive-practices-fact-sheet_0.pdf</vt:lpwstr>
      </vt:variant>
      <vt:variant>
        <vt:lpwstr/>
      </vt:variant>
      <vt:variant>
        <vt:i4>7667751</vt:i4>
      </vt:variant>
      <vt:variant>
        <vt:i4>192</vt:i4>
      </vt:variant>
      <vt:variant>
        <vt:i4>0</vt:i4>
      </vt:variant>
      <vt:variant>
        <vt:i4>5</vt:i4>
      </vt:variant>
      <vt:variant>
        <vt:lpwstr>https://www.agedcarequality.gov.au/minimising-restrictive-practices/provider-resources</vt:lpwstr>
      </vt:variant>
      <vt:variant>
        <vt:lpwstr/>
      </vt:variant>
      <vt:variant>
        <vt:i4>196696</vt:i4>
      </vt:variant>
      <vt:variant>
        <vt:i4>189</vt:i4>
      </vt:variant>
      <vt:variant>
        <vt:i4>0</vt:i4>
      </vt:variant>
      <vt:variant>
        <vt:i4>5</vt:i4>
      </vt:variant>
      <vt:variant>
        <vt:lpwstr>https://www.agedcarequality.gov.au/older-australians/safety-care/minimising-restrictive-practices</vt:lpwstr>
      </vt:variant>
      <vt:variant>
        <vt:lpwstr/>
      </vt:variant>
      <vt:variant>
        <vt:i4>7798816</vt:i4>
      </vt:variant>
      <vt:variant>
        <vt:i4>186</vt:i4>
      </vt:variant>
      <vt:variant>
        <vt:i4>0</vt:i4>
      </vt:variant>
      <vt:variant>
        <vt:i4>5</vt:i4>
      </vt:variant>
      <vt:variant>
        <vt:lpwstr>https://www.health.gov.au/resources/publications/cognitive-decline-scale-pas</vt:lpwstr>
      </vt:variant>
      <vt:variant>
        <vt:lpwstr>:~:text=Cognitive%20Decline%20Scale%20%28PAS%29%20%20%20%20,have%20reduced%20fine%20motor%20skills%20or%20visually%20impaired.</vt:lpwstr>
      </vt:variant>
      <vt:variant>
        <vt:i4>917524</vt:i4>
      </vt:variant>
      <vt:variant>
        <vt:i4>177</vt:i4>
      </vt:variant>
      <vt:variant>
        <vt:i4>0</vt:i4>
      </vt:variant>
      <vt:variant>
        <vt:i4>5</vt:i4>
      </vt:variant>
      <vt:variant>
        <vt:lpwstr>https://www.legislation.gov.au/Series/F2014L00830</vt:lpwstr>
      </vt:variant>
      <vt:variant>
        <vt:lpwstr/>
      </vt:variant>
      <vt:variant>
        <vt:i4>1769560</vt:i4>
      </vt:variant>
      <vt:variant>
        <vt:i4>168</vt:i4>
      </vt:variant>
      <vt:variant>
        <vt:i4>0</vt:i4>
      </vt:variant>
      <vt:variant>
        <vt:i4>5</vt:i4>
      </vt:variant>
      <vt:variant>
        <vt:lpwstr>https://www.ncbi.nlm.nih.gov/books/NBK326430/</vt:lpwstr>
      </vt:variant>
      <vt:variant>
        <vt:lpwstr/>
      </vt:variant>
      <vt:variant>
        <vt:i4>6946855</vt:i4>
      </vt:variant>
      <vt:variant>
        <vt:i4>165</vt:i4>
      </vt:variant>
      <vt:variant>
        <vt:i4>0</vt:i4>
      </vt:variant>
      <vt:variant>
        <vt:i4>5</vt:i4>
      </vt:variant>
      <vt:variant>
        <vt:lpwstr>https://elearning.woundinnovations.com.au/</vt:lpwstr>
      </vt:variant>
      <vt:variant>
        <vt:lpwstr/>
      </vt:variant>
      <vt:variant>
        <vt:i4>4325403</vt:i4>
      </vt:variant>
      <vt:variant>
        <vt:i4>162</vt:i4>
      </vt:variant>
      <vt:variant>
        <vt:i4>0</vt:i4>
      </vt:variant>
      <vt:variant>
        <vt:i4>5</vt:i4>
      </vt:variant>
      <vt:variant>
        <vt:lpwstr>https://www.health.vic.gov.au/sites/default/files/2023-11/standardised-care-pressure-injuries.pdf</vt:lpwstr>
      </vt:variant>
      <vt:variant>
        <vt:lpwstr/>
      </vt:variant>
      <vt:variant>
        <vt:i4>4522051</vt:i4>
      </vt:variant>
      <vt:variant>
        <vt:i4>159</vt:i4>
      </vt:variant>
      <vt:variant>
        <vt:i4>0</vt:i4>
      </vt:variant>
      <vt:variant>
        <vt:i4>5</vt:i4>
      </vt:variant>
      <vt:variant>
        <vt:lpwstr>https://www.sahealth.sa.gov.au/wps/wcm/connect/b24a8480438d09be9e63dfbc736a4e18/2010maybradenrisktool.pdf?MOD=AJPERES&amp;amp;CACHEID=ROOTWORKSPACE-b24a8480438d09be9e63dfbc736a4e18-nwLnylK</vt:lpwstr>
      </vt:variant>
      <vt:variant>
        <vt:lpwstr/>
      </vt:variant>
      <vt:variant>
        <vt:i4>7274544</vt:i4>
      </vt:variant>
      <vt:variant>
        <vt:i4>156</vt:i4>
      </vt:variant>
      <vt:variant>
        <vt:i4>0</vt:i4>
      </vt:variant>
      <vt:variant>
        <vt:i4>5</vt:i4>
      </vt:variant>
      <vt:variant>
        <vt:lpwstr>https://www.health.gov.au/resources/publications/an-acc-reference-manual-and-an-acc-assessment-tool</vt:lpwstr>
      </vt:variant>
      <vt:variant>
        <vt:lpwstr/>
      </vt:variant>
      <vt:variant>
        <vt:i4>4980821</vt:i4>
      </vt:variant>
      <vt:variant>
        <vt:i4>153</vt:i4>
      </vt:variant>
      <vt:variant>
        <vt:i4>0</vt:i4>
      </vt:variant>
      <vt:variant>
        <vt:i4>5</vt:i4>
      </vt:variant>
      <vt:variant>
        <vt:lpwstr>https://www.aci.health.nsw.gov.au/__data/assets/pdf_file/0011/387929/07.-_Waterlow-Clinician-Summary-v.5.0.pdf</vt:lpwstr>
      </vt:variant>
      <vt:variant>
        <vt:lpwstr/>
      </vt:variant>
      <vt:variant>
        <vt:i4>6750327</vt:i4>
      </vt:variant>
      <vt:variant>
        <vt:i4>150</vt:i4>
      </vt:variant>
      <vt:variant>
        <vt:i4>0</vt:i4>
      </vt:variant>
      <vt:variant>
        <vt:i4>5</vt:i4>
      </vt:variant>
      <vt:variant>
        <vt:lpwstr>https://internationalguideline.com/</vt:lpwstr>
      </vt:variant>
      <vt:variant>
        <vt:lpwstr/>
      </vt:variant>
      <vt:variant>
        <vt:i4>6488105</vt:i4>
      </vt:variant>
      <vt:variant>
        <vt:i4>114</vt:i4>
      </vt:variant>
      <vt:variant>
        <vt:i4>0</vt:i4>
      </vt:variant>
      <vt:variant>
        <vt:i4>5</vt:i4>
      </vt:variant>
      <vt:variant>
        <vt:lpwstr>https://www.agedcarequality.gov.au/media/89299</vt:lpwstr>
      </vt:variant>
      <vt:variant>
        <vt:lpwstr/>
      </vt:variant>
      <vt:variant>
        <vt:i4>2031667</vt:i4>
      </vt:variant>
      <vt:variant>
        <vt:i4>104</vt:i4>
      </vt:variant>
      <vt:variant>
        <vt:i4>0</vt:i4>
      </vt:variant>
      <vt:variant>
        <vt:i4>5</vt:i4>
      </vt:variant>
      <vt:variant>
        <vt:lpwstr/>
      </vt:variant>
      <vt:variant>
        <vt:lpwstr>_Toc193889904</vt:lpwstr>
      </vt:variant>
      <vt:variant>
        <vt:i4>2031667</vt:i4>
      </vt:variant>
      <vt:variant>
        <vt:i4>98</vt:i4>
      </vt:variant>
      <vt:variant>
        <vt:i4>0</vt:i4>
      </vt:variant>
      <vt:variant>
        <vt:i4>5</vt:i4>
      </vt:variant>
      <vt:variant>
        <vt:lpwstr/>
      </vt:variant>
      <vt:variant>
        <vt:lpwstr>_Toc193889903</vt:lpwstr>
      </vt:variant>
      <vt:variant>
        <vt:i4>2031667</vt:i4>
      </vt:variant>
      <vt:variant>
        <vt:i4>92</vt:i4>
      </vt:variant>
      <vt:variant>
        <vt:i4>0</vt:i4>
      </vt:variant>
      <vt:variant>
        <vt:i4>5</vt:i4>
      </vt:variant>
      <vt:variant>
        <vt:lpwstr/>
      </vt:variant>
      <vt:variant>
        <vt:lpwstr>_Toc193889902</vt:lpwstr>
      </vt:variant>
      <vt:variant>
        <vt:i4>2031667</vt:i4>
      </vt:variant>
      <vt:variant>
        <vt:i4>86</vt:i4>
      </vt:variant>
      <vt:variant>
        <vt:i4>0</vt:i4>
      </vt:variant>
      <vt:variant>
        <vt:i4>5</vt:i4>
      </vt:variant>
      <vt:variant>
        <vt:lpwstr/>
      </vt:variant>
      <vt:variant>
        <vt:lpwstr>_Toc193889901</vt:lpwstr>
      </vt:variant>
      <vt:variant>
        <vt:i4>2031667</vt:i4>
      </vt:variant>
      <vt:variant>
        <vt:i4>80</vt:i4>
      </vt:variant>
      <vt:variant>
        <vt:i4>0</vt:i4>
      </vt:variant>
      <vt:variant>
        <vt:i4>5</vt:i4>
      </vt:variant>
      <vt:variant>
        <vt:lpwstr/>
      </vt:variant>
      <vt:variant>
        <vt:lpwstr>_Toc193889900</vt:lpwstr>
      </vt:variant>
      <vt:variant>
        <vt:i4>1441842</vt:i4>
      </vt:variant>
      <vt:variant>
        <vt:i4>74</vt:i4>
      </vt:variant>
      <vt:variant>
        <vt:i4>0</vt:i4>
      </vt:variant>
      <vt:variant>
        <vt:i4>5</vt:i4>
      </vt:variant>
      <vt:variant>
        <vt:lpwstr/>
      </vt:variant>
      <vt:variant>
        <vt:lpwstr>_Toc193889899</vt:lpwstr>
      </vt:variant>
      <vt:variant>
        <vt:i4>1441842</vt:i4>
      </vt:variant>
      <vt:variant>
        <vt:i4>68</vt:i4>
      </vt:variant>
      <vt:variant>
        <vt:i4>0</vt:i4>
      </vt:variant>
      <vt:variant>
        <vt:i4>5</vt:i4>
      </vt:variant>
      <vt:variant>
        <vt:lpwstr/>
      </vt:variant>
      <vt:variant>
        <vt:lpwstr>_Toc193889898</vt:lpwstr>
      </vt:variant>
      <vt:variant>
        <vt:i4>1441842</vt:i4>
      </vt:variant>
      <vt:variant>
        <vt:i4>62</vt:i4>
      </vt:variant>
      <vt:variant>
        <vt:i4>0</vt:i4>
      </vt:variant>
      <vt:variant>
        <vt:i4>5</vt:i4>
      </vt:variant>
      <vt:variant>
        <vt:lpwstr/>
      </vt:variant>
      <vt:variant>
        <vt:lpwstr>_Toc193889897</vt:lpwstr>
      </vt:variant>
      <vt:variant>
        <vt:i4>1441842</vt:i4>
      </vt:variant>
      <vt:variant>
        <vt:i4>56</vt:i4>
      </vt:variant>
      <vt:variant>
        <vt:i4>0</vt:i4>
      </vt:variant>
      <vt:variant>
        <vt:i4>5</vt:i4>
      </vt:variant>
      <vt:variant>
        <vt:lpwstr/>
      </vt:variant>
      <vt:variant>
        <vt:lpwstr>_Toc193889896</vt:lpwstr>
      </vt:variant>
      <vt:variant>
        <vt:i4>1441842</vt:i4>
      </vt:variant>
      <vt:variant>
        <vt:i4>50</vt:i4>
      </vt:variant>
      <vt:variant>
        <vt:i4>0</vt:i4>
      </vt:variant>
      <vt:variant>
        <vt:i4>5</vt:i4>
      </vt:variant>
      <vt:variant>
        <vt:lpwstr/>
      </vt:variant>
      <vt:variant>
        <vt:lpwstr>_Toc193889895</vt:lpwstr>
      </vt:variant>
      <vt:variant>
        <vt:i4>1441842</vt:i4>
      </vt:variant>
      <vt:variant>
        <vt:i4>44</vt:i4>
      </vt:variant>
      <vt:variant>
        <vt:i4>0</vt:i4>
      </vt:variant>
      <vt:variant>
        <vt:i4>5</vt:i4>
      </vt:variant>
      <vt:variant>
        <vt:lpwstr/>
      </vt:variant>
      <vt:variant>
        <vt:lpwstr>_Toc193889894</vt:lpwstr>
      </vt:variant>
      <vt:variant>
        <vt:i4>1441842</vt:i4>
      </vt:variant>
      <vt:variant>
        <vt:i4>38</vt:i4>
      </vt:variant>
      <vt:variant>
        <vt:i4>0</vt:i4>
      </vt:variant>
      <vt:variant>
        <vt:i4>5</vt:i4>
      </vt:variant>
      <vt:variant>
        <vt:lpwstr/>
      </vt:variant>
      <vt:variant>
        <vt:lpwstr>_Toc193889893</vt:lpwstr>
      </vt:variant>
      <vt:variant>
        <vt:i4>1441842</vt:i4>
      </vt:variant>
      <vt:variant>
        <vt:i4>32</vt:i4>
      </vt:variant>
      <vt:variant>
        <vt:i4>0</vt:i4>
      </vt:variant>
      <vt:variant>
        <vt:i4>5</vt:i4>
      </vt:variant>
      <vt:variant>
        <vt:lpwstr/>
      </vt:variant>
      <vt:variant>
        <vt:lpwstr>_Toc193889892</vt:lpwstr>
      </vt:variant>
      <vt:variant>
        <vt:i4>1441842</vt:i4>
      </vt:variant>
      <vt:variant>
        <vt:i4>26</vt:i4>
      </vt:variant>
      <vt:variant>
        <vt:i4>0</vt:i4>
      </vt:variant>
      <vt:variant>
        <vt:i4>5</vt:i4>
      </vt:variant>
      <vt:variant>
        <vt:lpwstr/>
      </vt:variant>
      <vt:variant>
        <vt:lpwstr>_Toc193889891</vt:lpwstr>
      </vt:variant>
      <vt:variant>
        <vt:i4>1441842</vt:i4>
      </vt:variant>
      <vt:variant>
        <vt:i4>20</vt:i4>
      </vt:variant>
      <vt:variant>
        <vt:i4>0</vt:i4>
      </vt:variant>
      <vt:variant>
        <vt:i4>5</vt:i4>
      </vt:variant>
      <vt:variant>
        <vt:lpwstr/>
      </vt:variant>
      <vt:variant>
        <vt:lpwstr>_Toc193889890</vt:lpwstr>
      </vt:variant>
      <vt:variant>
        <vt:i4>1507378</vt:i4>
      </vt:variant>
      <vt:variant>
        <vt:i4>14</vt:i4>
      </vt:variant>
      <vt:variant>
        <vt:i4>0</vt:i4>
      </vt:variant>
      <vt:variant>
        <vt:i4>5</vt:i4>
      </vt:variant>
      <vt:variant>
        <vt:lpwstr/>
      </vt:variant>
      <vt:variant>
        <vt:lpwstr>_Toc193889889</vt:lpwstr>
      </vt:variant>
      <vt:variant>
        <vt:i4>1507378</vt:i4>
      </vt:variant>
      <vt:variant>
        <vt:i4>8</vt:i4>
      </vt:variant>
      <vt:variant>
        <vt:i4>0</vt:i4>
      </vt:variant>
      <vt:variant>
        <vt:i4>5</vt:i4>
      </vt:variant>
      <vt:variant>
        <vt:lpwstr/>
      </vt:variant>
      <vt:variant>
        <vt:lpwstr>_Toc193889888</vt:lpwstr>
      </vt:variant>
      <vt:variant>
        <vt:i4>1507378</vt:i4>
      </vt:variant>
      <vt:variant>
        <vt:i4>2</vt:i4>
      </vt:variant>
      <vt:variant>
        <vt:i4>0</vt:i4>
      </vt:variant>
      <vt:variant>
        <vt:i4>5</vt:i4>
      </vt:variant>
      <vt:variant>
        <vt:lpwstr/>
      </vt:variant>
      <vt:variant>
        <vt:lpwstr>_Toc193889887</vt:lpwstr>
      </vt:variant>
      <vt:variant>
        <vt:i4>4522005</vt:i4>
      </vt:variant>
      <vt:variant>
        <vt:i4>297</vt:i4>
      </vt:variant>
      <vt:variant>
        <vt:i4>0</vt:i4>
      </vt:variant>
      <vt:variant>
        <vt:i4>5</vt:i4>
      </vt:variant>
      <vt:variant>
        <vt:lpwstr>https://www.ariia.org.au/knowledge-implementation-hub/meaningful-lifestyle-activities</vt:lpwstr>
      </vt:variant>
      <vt:variant>
        <vt:lpwstr>:~:text=Australian%20aged%20care%20residents%20spend%20over%2045%20per,activities%E2%80%99%20as%20a%20priority%20topic%20for%20the%20sector.</vt:lpwstr>
      </vt:variant>
      <vt:variant>
        <vt:i4>7864376</vt:i4>
      </vt:variant>
      <vt:variant>
        <vt:i4>294</vt:i4>
      </vt:variant>
      <vt:variant>
        <vt:i4>0</vt:i4>
      </vt:variant>
      <vt:variant>
        <vt:i4>5</vt:i4>
      </vt:variant>
      <vt:variant>
        <vt:lpwstr>https://www.health.gov.au/resources/publications/data-extract-from-the-quarterly-financial-snapshot-reports-of-the-aged-care-sector</vt:lpwstr>
      </vt:variant>
      <vt:variant>
        <vt:lpwstr/>
      </vt:variant>
      <vt:variant>
        <vt:i4>4522005</vt:i4>
      </vt:variant>
      <vt:variant>
        <vt:i4>291</vt:i4>
      </vt:variant>
      <vt:variant>
        <vt:i4>0</vt:i4>
      </vt:variant>
      <vt:variant>
        <vt:i4>5</vt:i4>
      </vt:variant>
      <vt:variant>
        <vt:lpwstr>https://www.ariia.org.au/knowledge-implementation-hub/meaningful-lifestyle-activities</vt:lpwstr>
      </vt:variant>
      <vt:variant>
        <vt:lpwstr>:~:text=Australian%20aged%20care%20residents%20spend%20over%2045%20per,activities%E2%80%99%20as%20a%20priority%20topic%20for%20the%20sector.</vt:lpwstr>
      </vt:variant>
      <vt:variant>
        <vt:i4>6684783</vt:i4>
      </vt:variant>
      <vt:variant>
        <vt:i4>288</vt:i4>
      </vt:variant>
      <vt:variant>
        <vt:i4>0</vt:i4>
      </vt:variant>
      <vt:variant>
        <vt:i4>5</vt:i4>
      </vt:variant>
      <vt:variant>
        <vt:lpwstr>https://www.health.gov.au/resources/publications/scoping-study-on-multidisciplinary-models-of-care-in-residential-aged-care-homes-summary?language=en</vt:lpwstr>
      </vt:variant>
      <vt:variant>
        <vt:lpwstr>:~:text=We%20engaged%20HealthConsult%20to%20assess%20best%20practice%20multidisciplinary,study%20and%20details%20a%20best-practice%20model%20of%20care.</vt:lpwstr>
      </vt:variant>
      <vt:variant>
        <vt:i4>4522078</vt:i4>
      </vt:variant>
      <vt:variant>
        <vt:i4>285</vt:i4>
      </vt:variant>
      <vt:variant>
        <vt:i4>0</vt:i4>
      </vt:variant>
      <vt:variant>
        <vt:i4>5</vt:i4>
      </vt:variant>
      <vt:variant>
        <vt:lpwstr>https://www.ahpa.com.au/news-updates/summary-of-results-from-survey-of-allied-health-workforce-in-residential-aged-care-2023</vt:lpwstr>
      </vt:variant>
      <vt:variant>
        <vt:lpwstr/>
      </vt:variant>
      <vt:variant>
        <vt:i4>917515</vt:i4>
      </vt:variant>
      <vt:variant>
        <vt:i4>282</vt:i4>
      </vt:variant>
      <vt:variant>
        <vt:i4>0</vt:i4>
      </vt:variant>
      <vt:variant>
        <vt:i4>5</vt:i4>
      </vt:variant>
      <vt:variant>
        <vt:lpwstr>https://bmcmedicine.biomedcentral.com/articles/10.1186/s12916-023-03224-8</vt:lpwstr>
      </vt:variant>
      <vt:variant>
        <vt:lpwstr>:~:text=This%20study%20estimated%20the%20prevalence%20of%20evidence-based%20care,by%20adherence%20to%20clinical%20practice%20guideline%20%28CPG%29%20recommendations.</vt:lpwstr>
      </vt:variant>
      <vt:variant>
        <vt:i4>983049</vt:i4>
      </vt:variant>
      <vt:variant>
        <vt:i4>279</vt:i4>
      </vt:variant>
      <vt:variant>
        <vt:i4>0</vt:i4>
      </vt:variant>
      <vt:variant>
        <vt:i4>5</vt:i4>
      </vt:variant>
      <vt:variant>
        <vt:lpwstr>https://ahpa.com.au/advocacy/summary-of-results-from-survey-of-allied-health-workforce-in-residential-aged-care-2023/</vt:lpwstr>
      </vt:variant>
      <vt:variant>
        <vt:lpwstr/>
      </vt:variant>
      <vt:variant>
        <vt:i4>4980745</vt:i4>
      </vt:variant>
      <vt:variant>
        <vt:i4>276</vt:i4>
      </vt:variant>
      <vt:variant>
        <vt:i4>0</vt:i4>
      </vt:variant>
      <vt:variant>
        <vt:i4>5</vt:i4>
      </vt:variant>
      <vt:variant>
        <vt:lpwstr>https://doi.org/10.1016/j.nut.2015.08.009</vt:lpwstr>
      </vt:variant>
      <vt:variant>
        <vt:lpwstr/>
      </vt:variant>
      <vt:variant>
        <vt:i4>655380</vt:i4>
      </vt:variant>
      <vt:variant>
        <vt:i4>273</vt:i4>
      </vt:variant>
      <vt:variant>
        <vt:i4>0</vt:i4>
      </vt:variant>
      <vt:variant>
        <vt:i4>5</vt:i4>
      </vt:variant>
      <vt:variant>
        <vt:lpwstr>https://doi.org/10.1007/s12603-017-0970-8</vt:lpwstr>
      </vt:variant>
      <vt:variant>
        <vt:lpwstr/>
      </vt:variant>
      <vt:variant>
        <vt:i4>327682</vt:i4>
      </vt:variant>
      <vt:variant>
        <vt:i4>270</vt:i4>
      </vt:variant>
      <vt:variant>
        <vt:i4>0</vt:i4>
      </vt:variant>
      <vt:variant>
        <vt:i4>5</vt:i4>
      </vt:variant>
      <vt:variant>
        <vt:lpwstr>https://www.health.vic.gov.au/publications/supervision-and-delegation-framework-for-allied-health-assistants</vt:lpwstr>
      </vt:variant>
      <vt:variant>
        <vt:lpwstr/>
      </vt:variant>
      <vt:variant>
        <vt:i4>327682</vt:i4>
      </vt:variant>
      <vt:variant>
        <vt:i4>267</vt:i4>
      </vt:variant>
      <vt:variant>
        <vt:i4>0</vt:i4>
      </vt:variant>
      <vt:variant>
        <vt:i4>5</vt:i4>
      </vt:variant>
      <vt:variant>
        <vt:lpwstr>https://www.health.vic.gov.au/publications/supervision-and-delegation-framework-for-allied-health-assistants</vt:lpwstr>
      </vt:variant>
      <vt:variant>
        <vt:lpwstr/>
      </vt:variant>
      <vt:variant>
        <vt:i4>7929890</vt:i4>
      </vt:variant>
      <vt:variant>
        <vt:i4>264</vt:i4>
      </vt:variant>
      <vt:variant>
        <vt:i4>0</vt:i4>
      </vt:variant>
      <vt:variant>
        <vt:i4>5</vt:i4>
      </vt:variant>
      <vt:variant>
        <vt:lpwstr>https://www.health.gov.au/resources/publications/quarterly-financial-report-data-definitions-q1-july-to-september-2024?language=en</vt:lpwstr>
      </vt:variant>
      <vt:variant>
        <vt:lpwstr/>
      </vt:variant>
      <vt:variant>
        <vt:i4>4522078</vt:i4>
      </vt:variant>
      <vt:variant>
        <vt:i4>261</vt:i4>
      </vt:variant>
      <vt:variant>
        <vt:i4>0</vt:i4>
      </vt:variant>
      <vt:variant>
        <vt:i4>5</vt:i4>
      </vt:variant>
      <vt:variant>
        <vt:lpwstr>https://www.ahpa.com.au/news-updates/summary-of-results-from-survey-of-allied-health-workforce-in-residential-aged-care-2023</vt:lpwstr>
      </vt:variant>
      <vt:variant>
        <vt:lpwstr/>
      </vt:variant>
      <vt:variant>
        <vt:i4>3342452</vt:i4>
      </vt:variant>
      <vt:variant>
        <vt:i4>258</vt:i4>
      </vt:variant>
      <vt:variant>
        <vt:i4>0</vt:i4>
      </vt:variant>
      <vt:variant>
        <vt:i4>5</vt:i4>
      </vt:variant>
      <vt:variant>
        <vt:lpwstr>https://ahpa.com.au/wp-content/uploads/2022/12/AHPA-Brief-State-of-Allied-Health-in-Residential-Aged-Care-Survey-Results-December-2022.pdf</vt:lpwstr>
      </vt:variant>
      <vt:variant>
        <vt:lpwstr/>
      </vt:variant>
      <vt:variant>
        <vt:i4>7864376</vt:i4>
      </vt:variant>
      <vt:variant>
        <vt:i4>255</vt:i4>
      </vt:variant>
      <vt:variant>
        <vt:i4>0</vt:i4>
      </vt:variant>
      <vt:variant>
        <vt:i4>5</vt:i4>
      </vt:variant>
      <vt:variant>
        <vt:lpwstr>https://www.health.gov.au/resources/publications/data-extract-from-the-quarterly-financial-snapshot-reports-of-the-aged-care-sector</vt:lpwstr>
      </vt:variant>
      <vt:variant>
        <vt:lpwstr/>
      </vt:variant>
      <vt:variant>
        <vt:i4>8192059</vt:i4>
      </vt:variant>
      <vt:variant>
        <vt:i4>252</vt:i4>
      </vt:variant>
      <vt:variant>
        <vt:i4>0</vt:i4>
      </vt:variant>
      <vt:variant>
        <vt:i4>5</vt:i4>
      </vt:variant>
      <vt:variant>
        <vt:lpwstr>https://doi.org/10.1071/AH20312</vt:lpwstr>
      </vt:variant>
      <vt:variant>
        <vt:lpwstr/>
      </vt:variant>
      <vt:variant>
        <vt:i4>8192059</vt:i4>
      </vt:variant>
      <vt:variant>
        <vt:i4>249</vt:i4>
      </vt:variant>
      <vt:variant>
        <vt:i4>0</vt:i4>
      </vt:variant>
      <vt:variant>
        <vt:i4>5</vt:i4>
      </vt:variant>
      <vt:variant>
        <vt:lpwstr>https://doi.org/10.1071/AH20312</vt:lpwstr>
      </vt:variant>
      <vt:variant>
        <vt:lpwstr/>
      </vt:variant>
      <vt:variant>
        <vt:i4>4128881</vt:i4>
      </vt:variant>
      <vt:variant>
        <vt:i4>246</vt:i4>
      </vt:variant>
      <vt:variant>
        <vt:i4>0</vt:i4>
      </vt:variant>
      <vt:variant>
        <vt:i4>5</vt:i4>
      </vt:variant>
      <vt:variant>
        <vt:lpwstr>https://www.nursingmidwiferyboard.gov.au/Codes-Guidelines-Statements/Professional-standards/enrolled-nurse-standards-for-practice.aspx</vt:lpwstr>
      </vt:variant>
      <vt:variant>
        <vt:lpwstr/>
      </vt:variant>
      <vt:variant>
        <vt:i4>8323130</vt:i4>
      </vt:variant>
      <vt:variant>
        <vt:i4>243</vt:i4>
      </vt:variant>
      <vt:variant>
        <vt:i4>0</vt:i4>
      </vt:variant>
      <vt:variant>
        <vt:i4>5</vt:i4>
      </vt:variant>
      <vt:variant>
        <vt:lpwstr>https://public.tableau.com/app/profile/healthworkforcedata/viz/FactsheetsProd/NursingFields?FieldLink=EnrolledNurses&amp;Factsheet=Employed%20in%20Nursing&amp;ProfgroupLink=NursesMidwives</vt:lpwstr>
      </vt:variant>
      <vt:variant>
        <vt:lpwstr/>
      </vt:variant>
      <vt:variant>
        <vt:i4>4653064</vt:i4>
      </vt:variant>
      <vt:variant>
        <vt:i4>240</vt:i4>
      </vt:variant>
      <vt:variant>
        <vt:i4>0</vt:i4>
      </vt:variant>
      <vt:variant>
        <vt:i4>5</vt:i4>
      </vt:variant>
      <vt:variant>
        <vt:lpwstr>https://www.health.gov.au/resources/publications/2020-aged-care-workforce-census?language=en</vt:lpwstr>
      </vt:variant>
      <vt:variant>
        <vt:lpwstr/>
      </vt:variant>
      <vt:variant>
        <vt:i4>4194395</vt:i4>
      </vt:variant>
      <vt:variant>
        <vt:i4>237</vt:i4>
      </vt:variant>
      <vt:variant>
        <vt:i4>0</vt:i4>
      </vt:variant>
      <vt:variant>
        <vt:i4>5</vt:i4>
      </vt:variant>
      <vt:variant>
        <vt:lpwstr>https://www.anmf.org.au/media/tnxmp1e0/anmf_aged_care_worker_survey_report_2023.pdf</vt:lpwstr>
      </vt:variant>
      <vt:variant>
        <vt:lpwstr/>
      </vt:variant>
      <vt:variant>
        <vt:i4>6094925</vt:i4>
      </vt:variant>
      <vt:variant>
        <vt:i4>234</vt:i4>
      </vt:variant>
      <vt:variant>
        <vt:i4>0</vt:i4>
      </vt:variant>
      <vt:variant>
        <vt:i4>5</vt:i4>
      </vt:variant>
      <vt:variant>
        <vt:lpwstr>https://nap.nationalacademies.org/catalog/26526/the-national-imperative-to-improve-nursing-home-quality-honoring-our</vt:lpwstr>
      </vt:variant>
      <vt:variant>
        <vt:lpwstr/>
      </vt:variant>
      <vt:variant>
        <vt:i4>1048663</vt:i4>
      </vt:variant>
      <vt:variant>
        <vt:i4>231</vt:i4>
      </vt:variant>
      <vt:variant>
        <vt:i4>0</vt:i4>
      </vt:variant>
      <vt:variant>
        <vt:i4>5</vt:i4>
      </vt:variant>
      <vt:variant>
        <vt:lpwstr>https://doi.org/10.1177/0733464815617288</vt:lpwstr>
      </vt:variant>
      <vt:variant>
        <vt:lpwstr/>
      </vt:variant>
      <vt:variant>
        <vt:i4>4784216</vt:i4>
      </vt:variant>
      <vt:variant>
        <vt:i4>228</vt:i4>
      </vt:variant>
      <vt:variant>
        <vt:i4>0</vt:i4>
      </vt:variant>
      <vt:variant>
        <vt:i4>5</vt:i4>
      </vt:variant>
      <vt:variant>
        <vt:lpwstr>https://doi.org/10.1111/opn.12276</vt:lpwstr>
      </vt:variant>
      <vt:variant>
        <vt:lpwstr/>
      </vt:variant>
      <vt:variant>
        <vt:i4>1507420</vt:i4>
      </vt:variant>
      <vt:variant>
        <vt:i4>225</vt:i4>
      </vt:variant>
      <vt:variant>
        <vt:i4>0</vt:i4>
      </vt:variant>
      <vt:variant>
        <vt:i4>5</vt:i4>
      </vt:variant>
      <vt:variant>
        <vt:lpwstr>https://www.jnursinghomeresearch.com/all-issues.html?article=125</vt:lpwstr>
      </vt:variant>
      <vt:variant>
        <vt:lpwstr/>
      </vt:variant>
      <vt:variant>
        <vt:i4>5636110</vt:i4>
      </vt:variant>
      <vt:variant>
        <vt:i4>222</vt:i4>
      </vt:variant>
      <vt:variant>
        <vt:i4>0</vt:i4>
      </vt:variant>
      <vt:variant>
        <vt:i4>5</vt:i4>
      </vt:variant>
      <vt:variant>
        <vt:lpwstr>https://www.cota.org.au/wp-content/uploads/2018/09/Quality-and-Choice-in-Aged-Care-Project-Report-FINAL-Feb-2018.pdf</vt:lpwstr>
      </vt:variant>
      <vt:variant>
        <vt:lpwstr/>
      </vt:variant>
      <vt:variant>
        <vt:i4>6094925</vt:i4>
      </vt:variant>
      <vt:variant>
        <vt:i4>219</vt:i4>
      </vt:variant>
      <vt:variant>
        <vt:i4>0</vt:i4>
      </vt:variant>
      <vt:variant>
        <vt:i4>5</vt:i4>
      </vt:variant>
      <vt:variant>
        <vt:lpwstr>https://nap.nationalacademies.org/catalog/26526/the-national-imperative-to-improve-nursing-home-quality-honoring-our</vt:lpwstr>
      </vt:variant>
      <vt:variant>
        <vt:lpwstr/>
      </vt:variant>
      <vt:variant>
        <vt:i4>4456477</vt:i4>
      </vt:variant>
      <vt:variant>
        <vt:i4>216</vt:i4>
      </vt:variant>
      <vt:variant>
        <vt:i4>0</vt:i4>
      </vt:variant>
      <vt:variant>
        <vt:i4>5</vt:i4>
      </vt:variant>
      <vt:variant>
        <vt:lpwstr>https://agedcare.royalcommission.gov.au/royal-commission-aged-care-quality-and-safety</vt:lpwstr>
      </vt:variant>
      <vt:variant>
        <vt:lpwstr/>
      </vt:variant>
      <vt:variant>
        <vt:i4>5636110</vt:i4>
      </vt:variant>
      <vt:variant>
        <vt:i4>213</vt:i4>
      </vt:variant>
      <vt:variant>
        <vt:i4>0</vt:i4>
      </vt:variant>
      <vt:variant>
        <vt:i4>5</vt:i4>
      </vt:variant>
      <vt:variant>
        <vt:lpwstr>https://www.cota.org.au/wp-content/uploads/2018/09/Quality-and-Choice-in-Aged-Care-Project-Report-FINAL-Feb-2018.pdf</vt:lpwstr>
      </vt:variant>
      <vt:variant>
        <vt:lpwstr/>
      </vt:variant>
      <vt:variant>
        <vt:i4>4456477</vt:i4>
      </vt:variant>
      <vt:variant>
        <vt:i4>210</vt:i4>
      </vt:variant>
      <vt:variant>
        <vt:i4>0</vt:i4>
      </vt:variant>
      <vt:variant>
        <vt:i4>5</vt:i4>
      </vt:variant>
      <vt:variant>
        <vt:lpwstr>https://agedcare.royalcommission.gov.au/royal-commission-aged-care-quality-and-safety</vt:lpwstr>
      </vt:variant>
      <vt:variant>
        <vt:lpwstr/>
      </vt:variant>
      <vt:variant>
        <vt:i4>7340127</vt:i4>
      </vt:variant>
      <vt:variant>
        <vt:i4>207</vt:i4>
      </vt:variant>
      <vt:variant>
        <vt:i4>0</vt:i4>
      </vt:variant>
      <vt:variant>
        <vt:i4>5</vt:i4>
      </vt:variant>
      <vt:variant>
        <vt:lpwstr>https://doi.org/10.1007/978-0-387-75466-6_40</vt:lpwstr>
      </vt:variant>
      <vt:variant>
        <vt:lpwstr/>
      </vt:variant>
      <vt:variant>
        <vt:i4>4194397</vt:i4>
      </vt:variant>
      <vt:variant>
        <vt:i4>204</vt:i4>
      </vt:variant>
      <vt:variant>
        <vt:i4>0</vt:i4>
      </vt:variant>
      <vt:variant>
        <vt:i4>5</vt:i4>
      </vt:variant>
      <vt:variant>
        <vt:lpwstr>https://agedcare.royalcommission.gov.au/publications/research-paper-20-quality-care-experience-and-community-expectations</vt:lpwstr>
      </vt:variant>
      <vt:variant>
        <vt:lpwstr/>
      </vt:variant>
      <vt:variant>
        <vt:i4>2031650</vt:i4>
      </vt:variant>
      <vt:variant>
        <vt:i4>201</vt:i4>
      </vt:variant>
      <vt:variant>
        <vt:i4>0</vt:i4>
      </vt:variant>
      <vt:variant>
        <vt:i4>5</vt:i4>
      </vt:variant>
      <vt:variant>
        <vt:lpwstr>http://link.springer.com/10.1007/978-0-387-75466-6_40</vt:lpwstr>
      </vt:variant>
      <vt:variant>
        <vt:lpwstr/>
      </vt:variant>
      <vt:variant>
        <vt:i4>7340127</vt:i4>
      </vt:variant>
      <vt:variant>
        <vt:i4>198</vt:i4>
      </vt:variant>
      <vt:variant>
        <vt:i4>0</vt:i4>
      </vt:variant>
      <vt:variant>
        <vt:i4>5</vt:i4>
      </vt:variant>
      <vt:variant>
        <vt:lpwstr>https://doi.org/10.1007/978-0-387-75466-6_40</vt:lpwstr>
      </vt:variant>
      <vt:variant>
        <vt:lpwstr/>
      </vt:variant>
      <vt:variant>
        <vt:i4>4194397</vt:i4>
      </vt:variant>
      <vt:variant>
        <vt:i4>195</vt:i4>
      </vt:variant>
      <vt:variant>
        <vt:i4>0</vt:i4>
      </vt:variant>
      <vt:variant>
        <vt:i4>5</vt:i4>
      </vt:variant>
      <vt:variant>
        <vt:lpwstr>https://agedcare.royalcommission.gov.au/publications/research-paper-20-quality-care-experience-and-community-expectations</vt:lpwstr>
      </vt:variant>
      <vt:variant>
        <vt:lpwstr/>
      </vt:variant>
      <vt:variant>
        <vt:i4>1179716</vt:i4>
      </vt:variant>
      <vt:variant>
        <vt:i4>192</vt:i4>
      </vt:variant>
      <vt:variant>
        <vt:i4>0</vt:i4>
      </vt:variant>
      <vt:variant>
        <vt:i4>5</vt:i4>
      </vt:variant>
      <vt:variant>
        <vt:lpwstr>https://agedcare.royalcommission.gov.au/sites/default/files/2020-10/research-paper-14.pdf</vt:lpwstr>
      </vt:variant>
      <vt:variant>
        <vt:lpwstr/>
      </vt:variant>
      <vt:variant>
        <vt:i4>1441882</vt:i4>
      </vt:variant>
      <vt:variant>
        <vt:i4>189</vt:i4>
      </vt:variant>
      <vt:variant>
        <vt:i4>0</vt:i4>
      </vt:variant>
      <vt:variant>
        <vt:i4>5</vt:i4>
      </vt:variant>
      <vt:variant>
        <vt:lpwstr>https://www.who.int/tools/whoqol</vt:lpwstr>
      </vt:variant>
      <vt:variant>
        <vt:lpwstr/>
      </vt:variant>
      <vt:variant>
        <vt:i4>4</vt:i4>
      </vt:variant>
      <vt:variant>
        <vt:i4>186</vt:i4>
      </vt:variant>
      <vt:variant>
        <vt:i4>0</vt:i4>
      </vt:variant>
      <vt:variant>
        <vt:i4>5</vt:i4>
      </vt:variant>
      <vt:variant>
        <vt:lpwstr>https://agedcare.royalcommission.gov.au/sites/default/files/2021-02/qce-and-community-expectatons.pdf</vt:lpwstr>
      </vt:variant>
      <vt:variant>
        <vt:lpwstr/>
      </vt:variant>
      <vt:variant>
        <vt:i4>5636110</vt:i4>
      </vt:variant>
      <vt:variant>
        <vt:i4>183</vt:i4>
      </vt:variant>
      <vt:variant>
        <vt:i4>0</vt:i4>
      </vt:variant>
      <vt:variant>
        <vt:i4>5</vt:i4>
      </vt:variant>
      <vt:variant>
        <vt:lpwstr>https://www.cota.org.au/wp-content/uploads/2018/09/Quality-and-Choice-in-Aged-Care-Project-Report-FINAL-Feb-2018.pdf</vt:lpwstr>
      </vt:variant>
      <vt:variant>
        <vt:lpwstr/>
      </vt:variant>
      <vt:variant>
        <vt:i4>4194397</vt:i4>
      </vt:variant>
      <vt:variant>
        <vt:i4>180</vt:i4>
      </vt:variant>
      <vt:variant>
        <vt:i4>0</vt:i4>
      </vt:variant>
      <vt:variant>
        <vt:i4>5</vt:i4>
      </vt:variant>
      <vt:variant>
        <vt:lpwstr>https://agedcare.royalcommission.gov.au/publications/research-paper-20-quality-care-experience-and-community-expectations</vt:lpwstr>
      </vt:variant>
      <vt:variant>
        <vt:lpwstr/>
      </vt:variant>
      <vt:variant>
        <vt:i4>3735668</vt:i4>
      </vt:variant>
      <vt:variant>
        <vt:i4>177</vt:i4>
      </vt:variant>
      <vt:variant>
        <vt:i4>0</vt:i4>
      </vt:variant>
      <vt:variant>
        <vt:i4>5</vt:i4>
      </vt:variant>
      <vt:variant>
        <vt:lpwstr>https://doi.org/10.17226/26526</vt:lpwstr>
      </vt:variant>
      <vt:variant>
        <vt:lpwstr/>
      </vt:variant>
      <vt:variant>
        <vt:i4>4653131</vt:i4>
      </vt:variant>
      <vt:variant>
        <vt:i4>174</vt:i4>
      </vt:variant>
      <vt:variant>
        <vt:i4>0</vt:i4>
      </vt:variant>
      <vt:variant>
        <vt:i4>5</vt:i4>
      </vt:variant>
      <vt:variant>
        <vt:lpwstr>https://agedcare.royalcommission.gov.au/sites/default/files/2019-12/research-paper-1.pdf</vt:lpwstr>
      </vt:variant>
      <vt:variant>
        <vt:lpwstr/>
      </vt:variant>
      <vt:variant>
        <vt:i4>5701720</vt:i4>
      </vt:variant>
      <vt:variant>
        <vt:i4>171</vt:i4>
      </vt:variant>
      <vt:variant>
        <vt:i4>0</vt:i4>
      </vt:variant>
      <vt:variant>
        <vt:i4>5</vt:i4>
      </vt:variant>
      <vt:variant>
        <vt:lpwstr>https://www.healthaffairs.org/doi/epdf/10.1377/hlthaff.2016.1310</vt:lpwstr>
      </vt:variant>
      <vt:variant>
        <vt:lpwstr/>
      </vt:variant>
      <vt:variant>
        <vt:i4>6094925</vt:i4>
      </vt:variant>
      <vt:variant>
        <vt:i4>168</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165</vt:i4>
      </vt:variant>
      <vt:variant>
        <vt:i4>0</vt:i4>
      </vt:variant>
      <vt:variant>
        <vt:i4>5</vt:i4>
      </vt:variant>
      <vt:variant>
        <vt:lpwstr>https://nap.nationalacademies.org/catalog/26526/the-national-imperative-to-improve-nursing-home-quality-honoring-our</vt:lpwstr>
      </vt:variant>
      <vt:variant>
        <vt:lpwstr/>
      </vt:variant>
      <vt:variant>
        <vt:i4>3932223</vt:i4>
      </vt:variant>
      <vt:variant>
        <vt:i4>162</vt:i4>
      </vt:variant>
      <vt:variant>
        <vt:i4>0</vt:i4>
      </vt:variant>
      <vt:variant>
        <vt:i4>5</vt:i4>
      </vt:variant>
      <vt:variant>
        <vt:lpwstr>http://dx.doi.org/10.3390/healthcare8020114</vt:lpwstr>
      </vt:variant>
      <vt:variant>
        <vt:lpwstr/>
      </vt:variant>
      <vt:variant>
        <vt:i4>6094925</vt:i4>
      </vt:variant>
      <vt:variant>
        <vt:i4>159</vt:i4>
      </vt:variant>
      <vt:variant>
        <vt:i4>0</vt:i4>
      </vt:variant>
      <vt:variant>
        <vt:i4>5</vt:i4>
      </vt:variant>
      <vt:variant>
        <vt:lpwstr>https://nap.nationalacademies.org/catalog/26526/the-national-imperative-to-improve-nursing-home-quality-honoring-our</vt:lpwstr>
      </vt:variant>
      <vt:variant>
        <vt:lpwstr/>
      </vt:variant>
      <vt:variant>
        <vt:i4>1507420</vt:i4>
      </vt:variant>
      <vt:variant>
        <vt:i4>156</vt:i4>
      </vt:variant>
      <vt:variant>
        <vt:i4>0</vt:i4>
      </vt:variant>
      <vt:variant>
        <vt:i4>5</vt:i4>
      </vt:variant>
      <vt:variant>
        <vt:lpwstr>https://www.jnursinghomeresearch.com/all-issues.html?article=125</vt:lpwstr>
      </vt:variant>
      <vt:variant>
        <vt:lpwstr/>
      </vt:variant>
      <vt:variant>
        <vt:i4>6094925</vt:i4>
      </vt:variant>
      <vt:variant>
        <vt:i4>153</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150</vt:i4>
      </vt:variant>
      <vt:variant>
        <vt:i4>0</vt:i4>
      </vt:variant>
      <vt:variant>
        <vt:i4>5</vt:i4>
      </vt:variant>
      <vt:variant>
        <vt:lpwstr>https://nap.nationalacademies.org/catalog/26526/the-national-imperative-to-improve-nursing-home-quality-honoring-our</vt:lpwstr>
      </vt:variant>
      <vt:variant>
        <vt:lpwstr/>
      </vt:variant>
      <vt:variant>
        <vt:i4>8192123</vt:i4>
      </vt:variant>
      <vt:variant>
        <vt:i4>147</vt:i4>
      </vt:variant>
      <vt:variant>
        <vt:i4>0</vt:i4>
      </vt:variant>
      <vt:variant>
        <vt:i4>5</vt:i4>
      </vt:variant>
      <vt:variant>
        <vt:lpwstr>https://www.aihw.gov.au/reports/hospitals/australias-hospitals-at-a-glance-2018-19/summary</vt:lpwstr>
      </vt:variant>
      <vt:variant>
        <vt:lpwstr/>
      </vt:variant>
      <vt:variant>
        <vt:i4>8192123</vt:i4>
      </vt:variant>
      <vt:variant>
        <vt:i4>144</vt:i4>
      </vt:variant>
      <vt:variant>
        <vt:i4>0</vt:i4>
      </vt:variant>
      <vt:variant>
        <vt:i4>5</vt:i4>
      </vt:variant>
      <vt:variant>
        <vt:lpwstr>https://www.aihw.gov.au/reports/hospitals/australias-hospitals-at-a-glance-2018-19/summary</vt:lpwstr>
      </vt:variant>
      <vt:variant>
        <vt:lpwstr/>
      </vt:variant>
      <vt:variant>
        <vt:i4>2097202</vt:i4>
      </vt:variant>
      <vt:variant>
        <vt:i4>141</vt:i4>
      </vt:variant>
      <vt:variant>
        <vt:i4>0</vt:i4>
      </vt:variant>
      <vt:variant>
        <vt:i4>5</vt:i4>
      </vt:variant>
      <vt:variant>
        <vt:lpwstr>https://agedcare.royalcommission.gov.au/publications/research-paper-18-hospitalisations-australian-aged-care-201415-201819</vt:lpwstr>
      </vt:variant>
      <vt:variant>
        <vt:lpwstr/>
      </vt:variant>
      <vt:variant>
        <vt:i4>3080247</vt:i4>
      </vt:variant>
      <vt:variant>
        <vt:i4>138</vt:i4>
      </vt:variant>
      <vt:variant>
        <vt:i4>0</vt:i4>
      </vt:variant>
      <vt:variant>
        <vt:i4>5</vt:i4>
      </vt:variant>
      <vt:variant>
        <vt:lpwstr>https://doi.org/10.25816/EB1N-RN89</vt:lpwstr>
      </vt:variant>
      <vt:variant>
        <vt:lpwstr/>
      </vt:variant>
      <vt:variant>
        <vt:i4>2097202</vt:i4>
      </vt:variant>
      <vt:variant>
        <vt:i4>135</vt:i4>
      </vt:variant>
      <vt:variant>
        <vt:i4>0</vt:i4>
      </vt:variant>
      <vt:variant>
        <vt:i4>5</vt:i4>
      </vt:variant>
      <vt:variant>
        <vt:lpwstr>https://agedcare.royalcommission.gov.au/publications/research-paper-18-hospitalisations-australian-aged-care-201415-201819</vt:lpwstr>
      </vt:variant>
      <vt:variant>
        <vt:lpwstr/>
      </vt:variant>
      <vt:variant>
        <vt:i4>6684732</vt:i4>
      </vt:variant>
      <vt:variant>
        <vt:i4>132</vt:i4>
      </vt:variant>
      <vt:variant>
        <vt:i4>0</vt:i4>
      </vt:variant>
      <vt:variant>
        <vt:i4>5</vt:i4>
      </vt:variant>
      <vt:variant>
        <vt:lpwstr>https://www.aihw.gov.au/reports/primary-health-care/potentially-preventable-hospitalisations/contents/overview</vt:lpwstr>
      </vt:variant>
      <vt:variant>
        <vt:lpwstr/>
      </vt:variant>
      <vt:variant>
        <vt:i4>2097202</vt:i4>
      </vt:variant>
      <vt:variant>
        <vt:i4>129</vt:i4>
      </vt:variant>
      <vt:variant>
        <vt:i4>0</vt:i4>
      </vt:variant>
      <vt:variant>
        <vt:i4>5</vt:i4>
      </vt:variant>
      <vt:variant>
        <vt:lpwstr>https://agedcare.royalcommission.gov.au/publications/research-paper-18-hospitalisations-australian-aged-care-201415-201819</vt:lpwstr>
      </vt:variant>
      <vt:variant>
        <vt:lpwstr/>
      </vt:variant>
      <vt:variant>
        <vt:i4>6750262</vt:i4>
      </vt:variant>
      <vt:variant>
        <vt:i4>126</vt:i4>
      </vt:variant>
      <vt:variant>
        <vt:i4>0</vt:i4>
      </vt:variant>
      <vt:variant>
        <vt:i4>5</vt:i4>
      </vt:variant>
      <vt:variant>
        <vt:lpwstr>https://www.aihw.gov.au/reports-data/myhospitals/sectors/emergency-department-care</vt:lpwstr>
      </vt:variant>
      <vt:variant>
        <vt:lpwstr/>
      </vt:variant>
      <vt:variant>
        <vt:i4>3866747</vt:i4>
      </vt:variant>
      <vt:variant>
        <vt:i4>123</vt:i4>
      </vt:variant>
      <vt:variant>
        <vt:i4>0</vt:i4>
      </vt:variant>
      <vt:variant>
        <vt:i4>5</vt:i4>
      </vt:variant>
      <vt:variant>
        <vt:lpwstr>https://agedcare.royalcommission.gov.au/system/files/2020-06/WIT.0273.0001.0001.pdf</vt:lpwstr>
      </vt:variant>
      <vt:variant>
        <vt:lpwstr/>
      </vt:variant>
      <vt:variant>
        <vt:i4>4063341</vt:i4>
      </vt:variant>
      <vt:variant>
        <vt:i4>120</vt:i4>
      </vt:variant>
      <vt:variant>
        <vt:i4>0</vt:i4>
      </vt:variant>
      <vt:variant>
        <vt:i4>5</vt:i4>
      </vt:variant>
      <vt:variant>
        <vt:lpwstr>https://www.continence.org.au/professionals/academic-resources</vt:lpwstr>
      </vt:variant>
      <vt:variant>
        <vt:lpwstr/>
      </vt:variant>
      <vt:variant>
        <vt:i4>6094925</vt:i4>
      </vt:variant>
      <vt:variant>
        <vt:i4>117</vt:i4>
      </vt:variant>
      <vt:variant>
        <vt:i4>0</vt:i4>
      </vt:variant>
      <vt:variant>
        <vt:i4>5</vt:i4>
      </vt:variant>
      <vt:variant>
        <vt:lpwstr>https://nap.nationalacademies.org/catalog/26526/the-national-imperative-to-improve-nursing-home-quality-honoring-our</vt:lpwstr>
      </vt:variant>
      <vt:variant>
        <vt:lpwstr/>
      </vt:variant>
      <vt:variant>
        <vt:i4>4259932</vt:i4>
      </vt:variant>
      <vt:variant>
        <vt:i4>114</vt:i4>
      </vt:variant>
      <vt:variant>
        <vt:i4>0</vt:i4>
      </vt:variant>
      <vt:variant>
        <vt:i4>5</vt:i4>
      </vt:variant>
      <vt:variant>
        <vt:lpwstr>https://www.ics.org/news/887</vt:lpwstr>
      </vt:variant>
      <vt:variant>
        <vt:lpwstr/>
      </vt:variant>
      <vt:variant>
        <vt:i4>4456477</vt:i4>
      </vt:variant>
      <vt:variant>
        <vt:i4>111</vt:i4>
      </vt:variant>
      <vt:variant>
        <vt:i4>0</vt:i4>
      </vt:variant>
      <vt:variant>
        <vt:i4>5</vt:i4>
      </vt:variant>
      <vt:variant>
        <vt:lpwstr>https://agedcare.royalcommission.gov.au/royal-commission-aged-care-quality-and-safety</vt:lpwstr>
      </vt:variant>
      <vt:variant>
        <vt:lpwstr/>
      </vt:variant>
      <vt:variant>
        <vt:i4>4259932</vt:i4>
      </vt:variant>
      <vt:variant>
        <vt:i4>108</vt:i4>
      </vt:variant>
      <vt:variant>
        <vt:i4>0</vt:i4>
      </vt:variant>
      <vt:variant>
        <vt:i4>5</vt:i4>
      </vt:variant>
      <vt:variant>
        <vt:lpwstr>https://www.ics.org/news/887</vt:lpwstr>
      </vt:variant>
      <vt:variant>
        <vt:lpwstr/>
      </vt:variant>
      <vt:variant>
        <vt:i4>4259932</vt:i4>
      </vt:variant>
      <vt:variant>
        <vt:i4>105</vt:i4>
      </vt:variant>
      <vt:variant>
        <vt:i4>0</vt:i4>
      </vt:variant>
      <vt:variant>
        <vt:i4>5</vt:i4>
      </vt:variant>
      <vt:variant>
        <vt:lpwstr>https://www.ics.org/news/887</vt:lpwstr>
      </vt:variant>
      <vt:variant>
        <vt:lpwstr/>
      </vt:variant>
      <vt:variant>
        <vt:i4>1835082</vt:i4>
      </vt:variant>
      <vt:variant>
        <vt:i4>102</vt:i4>
      </vt:variant>
      <vt:variant>
        <vt:i4>0</vt:i4>
      </vt:variant>
      <vt:variant>
        <vt:i4>5</vt:i4>
      </vt:variant>
      <vt:variant>
        <vt:lpwstr>https://www.continence.org.au/incontinence/understanding-incontinence</vt:lpwstr>
      </vt:variant>
      <vt:variant>
        <vt:lpwstr/>
      </vt:variant>
      <vt:variant>
        <vt:i4>3866747</vt:i4>
      </vt:variant>
      <vt:variant>
        <vt:i4>99</vt:i4>
      </vt:variant>
      <vt:variant>
        <vt:i4>0</vt:i4>
      </vt:variant>
      <vt:variant>
        <vt:i4>5</vt:i4>
      </vt:variant>
      <vt:variant>
        <vt:lpwstr>https://agedcare.royalcommission.gov.au/system/files/2020-06/WIT.0273.0001.0001.pdf</vt:lpwstr>
      </vt:variant>
      <vt:variant>
        <vt:lpwstr/>
      </vt:variant>
      <vt:variant>
        <vt:i4>655370</vt:i4>
      </vt:variant>
      <vt:variant>
        <vt:i4>96</vt:i4>
      </vt:variant>
      <vt:variant>
        <vt:i4>0</vt:i4>
      </vt:variant>
      <vt:variant>
        <vt:i4>5</vt:i4>
      </vt:variant>
      <vt:variant>
        <vt:lpwstr>https://www.aihw.gov.au/reports/disability/incontinence-in-australia/summary</vt:lpwstr>
      </vt:variant>
      <vt:variant>
        <vt:lpwstr/>
      </vt:variant>
      <vt:variant>
        <vt:i4>7077921</vt:i4>
      </vt:variant>
      <vt:variant>
        <vt:i4>93</vt:i4>
      </vt:variant>
      <vt:variant>
        <vt:i4>0</vt:i4>
      </vt:variant>
      <vt:variant>
        <vt:i4>5</vt:i4>
      </vt:variant>
      <vt:variant>
        <vt:lpwstr>https://www.continence.org.au/about-us/our-work/key-statitics-incontinence</vt:lpwstr>
      </vt:variant>
      <vt:variant>
        <vt:lpwstr/>
      </vt:variant>
      <vt:variant>
        <vt:i4>3997749</vt:i4>
      </vt:variant>
      <vt:variant>
        <vt:i4>90</vt:i4>
      </vt:variant>
      <vt:variant>
        <vt:i4>0</vt:i4>
      </vt:variant>
      <vt:variant>
        <vt:i4>5</vt:i4>
      </vt:variant>
      <vt:variant>
        <vt:lpwstr>https://doi.org/10.1016/j.nedt.2018.04.019</vt:lpwstr>
      </vt:variant>
      <vt:variant>
        <vt:lpwstr/>
      </vt:variant>
      <vt:variant>
        <vt:i4>4128889</vt:i4>
      </vt:variant>
      <vt:variant>
        <vt:i4>87</vt:i4>
      </vt:variant>
      <vt:variant>
        <vt:i4>0</vt:i4>
      </vt:variant>
      <vt:variant>
        <vt:i4>5</vt:i4>
      </vt:variant>
      <vt:variant>
        <vt:lpwstr>https://doi.org/10.1016/j.jamda.2016.04.002</vt:lpwstr>
      </vt:variant>
      <vt:variant>
        <vt:lpwstr/>
      </vt:variant>
      <vt:variant>
        <vt:i4>4128889</vt:i4>
      </vt:variant>
      <vt:variant>
        <vt:i4>84</vt:i4>
      </vt:variant>
      <vt:variant>
        <vt:i4>0</vt:i4>
      </vt:variant>
      <vt:variant>
        <vt:i4>5</vt:i4>
      </vt:variant>
      <vt:variant>
        <vt:lpwstr>https://doi.org/10.1016/j.jamda.2016.04.002</vt:lpwstr>
      </vt:variant>
      <vt:variant>
        <vt:lpwstr/>
      </vt:variant>
      <vt:variant>
        <vt:i4>6094872</vt:i4>
      </vt:variant>
      <vt:variant>
        <vt:i4>81</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3211318</vt:i4>
      </vt:variant>
      <vt:variant>
        <vt:i4>78</vt:i4>
      </vt:variant>
      <vt:variant>
        <vt:i4>0</vt:i4>
      </vt:variant>
      <vt:variant>
        <vt:i4>5</vt:i4>
      </vt:variant>
      <vt:variant>
        <vt:lpwstr>http://www.ncbi.nlm.nih.gov/books/NBK470404</vt:lpwstr>
      </vt:variant>
      <vt:variant>
        <vt:lpwstr/>
      </vt:variant>
      <vt:variant>
        <vt:i4>4128889</vt:i4>
      </vt:variant>
      <vt:variant>
        <vt:i4>75</vt:i4>
      </vt:variant>
      <vt:variant>
        <vt:i4>0</vt:i4>
      </vt:variant>
      <vt:variant>
        <vt:i4>5</vt:i4>
      </vt:variant>
      <vt:variant>
        <vt:lpwstr>https://doi.org/10.1016/j.jamda.2016.04.002</vt:lpwstr>
      </vt:variant>
      <vt:variant>
        <vt:lpwstr/>
      </vt:variant>
      <vt:variant>
        <vt:i4>4915270</vt:i4>
      </vt:variant>
      <vt:variant>
        <vt:i4>72</vt:i4>
      </vt:variant>
      <vt:variant>
        <vt:i4>0</vt:i4>
      </vt:variant>
      <vt:variant>
        <vt:i4>5</vt:i4>
      </vt:variant>
      <vt:variant>
        <vt:lpwstr>https://doi.org/10.1371/journal.pone.0177353</vt:lpwstr>
      </vt:variant>
      <vt:variant>
        <vt:lpwstr/>
      </vt:variant>
      <vt:variant>
        <vt:i4>2228276</vt:i4>
      </vt:variant>
      <vt:variant>
        <vt:i4>69</vt:i4>
      </vt:variant>
      <vt:variant>
        <vt:i4>0</vt:i4>
      </vt:variant>
      <vt:variant>
        <vt:i4>5</vt:i4>
      </vt:variant>
      <vt:variant>
        <vt:lpwstr>https://doi.org/10.1186/s12877-021-02627-7</vt:lpwstr>
      </vt:variant>
      <vt:variant>
        <vt:lpwstr/>
      </vt:variant>
      <vt:variant>
        <vt:i4>3211318</vt:i4>
      </vt:variant>
      <vt:variant>
        <vt:i4>66</vt:i4>
      </vt:variant>
      <vt:variant>
        <vt:i4>0</vt:i4>
      </vt:variant>
      <vt:variant>
        <vt:i4>5</vt:i4>
      </vt:variant>
      <vt:variant>
        <vt:lpwstr>http://www.ncbi.nlm.nih.gov/books/NBK470404</vt:lpwstr>
      </vt:variant>
      <vt:variant>
        <vt:lpwstr/>
      </vt:variant>
      <vt:variant>
        <vt:i4>1966082</vt:i4>
      </vt:variant>
      <vt:variant>
        <vt:i4>63</vt:i4>
      </vt:variant>
      <vt:variant>
        <vt:i4>0</vt:i4>
      </vt:variant>
      <vt:variant>
        <vt:i4>5</vt:i4>
      </vt:variant>
      <vt:variant>
        <vt:lpwstr>http://www.ncbi.nlm.nih.gov/books/NBK470404/</vt:lpwstr>
      </vt:variant>
      <vt:variant>
        <vt:lpwstr/>
      </vt:variant>
      <vt:variant>
        <vt:i4>7995491</vt:i4>
      </vt:variant>
      <vt:variant>
        <vt:i4>60</vt:i4>
      </vt:variant>
      <vt:variant>
        <vt:i4>0</vt:i4>
      </vt:variant>
      <vt:variant>
        <vt:i4>5</vt:i4>
      </vt:variant>
      <vt:variant>
        <vt:lpwstr>https://www.abs.gov.au/statistics/health/disability/disability-ageing-and-carers-australia-summary-findings/latest-release</vt:lpwstr>
      </vt:variant>
      <vt:variant>
        <vt:lpwstr/>
      </vt:variant>
      <vt:variant>
        <vt:i4>6094872</vt:i4>
      </vt:variant>
      <vt:variant>
        <vt:i4>57</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4915311</vt:i4>
      </vt:variant>
      <vt:variant>
        <vt:i4>54</vt:i4>
      </vt:variant>
      <vt:variant>
        <vt:i4>0</vt:i4>
      </vt:variant>
      <vt:variant>
        <vt:i4>5</vt:i4>
      </vt:variant>
      <vt:variant>
        <vt:lpwstr>https://www.dhi.health.nsw.gov.au/ArticleDocuments/304/Antipsychotic_Medications2013.pdf.aspx</vt:lpwstr>
      </vt:variant>
      <vt:variant>
        <vt:lpwstr/>
      </vt:variant>
      <vt:variant>
        <vt:i4>4063254</vt:i4>
      </vt:variant>
      <vt:variant>
        <vt:i4>51</vt:i4>
      </vt:variant>
      <vt:variant>
        <vt:i4>0</vt:i4>
      </vt:variant>
      <vt:variant>
        <vt:i4>5</vt:i4>
      </vt:variant>
      <vt:variant>
        <vt:lpwstr>https://www.cochrane.org/CD011128/SCHIZ_drug-treatments-constipation-caused-antipsychotic-medications</vt:lpwstr>
      </vt:variant>
      <vt:variant>
        <vt:lpwstr/>
      </vt:variant>
      <vt:variant>
        <vt:i4>4194315</vt:i4>
      </vt:variant>
      <vt:variant>
        <vt:i4>48</vt:i4>
      </vt:variant>
      <vt:variant>
        <vt:i4>0</vt:i4>
      </vt:variant>
      <vt:variant>
        <vt:i4>5</vt:i4>
      </vt:variant>
      <vt:variant>
        <vt:lpwstr>https://ajp.com.au/features/the-aged-care-dilemma-2/</vt:lpwstr>
      </vt:variant>
      <vt:variant>
        <vt:lpwstr/>
      </vt:variant>
      <vt:variant>
        <vt:i4>3866674</vt:i4>
      </vt:variant>
      <vt:variant>
        <vt:i4>45</vt:i4>
      </vt:variant>
      <vt:variant>
        <vt:i4>0</vt:i4>
      </vt:variant>
      <vt:variant>
        <vt:i4>5</vt:i4>
      </vt:variant>
      <vt:variant>
        <vt:lpwstr>https://www.safetyandquality.gov.au/our-work/comprehensive-care/related-topics/falls-prevention</vt:lpwstr>
      </vt:variant>
      <vt:variant>
        <vt:lpwstr/>
      </vt:variant>
      <vt:variant>
        <vt:i4>6946863</vt:i4>
      </vt:variant>
      <vt:variant>
        <vt:i4>42</vt:i4>
      </vt:variant>
      <vt:variant>
        <vt:i4>0</vt:i4>
      </vt:variant>
      <vt:variant>
        <vt:i4>5</vt:i4>
      </vt:variant>
      <vt:variant>
        <vt:lpwstr>https://doi.org/10.1093/intqhc/mzac050</vt:lpwstr>
      </vt:variant>
      <vt:variant>
        <vt:lpwstr/>
      </vt:variant>
      <vt:variant>
        <vt:i4>1638471</vt:i4>
      </vt:variant>
      <vt:variant>
        <vt:i4>39</vt:i4>
      </vt:variant>
      <vt:variant>
        <vt:i4>0</vt:i4>
      </vt:variant>
      <vt:variant>
        <vt:i4>5</vt:i4>
      </vt:variant>
      <vt:variant>
        <vt:lpwstr>https://www2.health.vic.gov.au/ageing-and-aged-care/residential-aged-care/safety-and-quality/participating-with-consumers</vt:lpwstr>
      </vt:variant>
      <vt:variant>
        <vt:lpwstr/>
      </vt:variant>
      <vt:variant>
        <vt:i4>4128825</vt:i4>
      </vt:variant>
      <vt:variant>
        <vt:i4>36</vt:i4>
      </vt:variant>
      <vt:variant>
        <vt:i4>0</vt:i4>
      </vt:variant>
      <vt:variant>
        <vt:i4>5</vt:i4>
      </vt:variant>
      <vt:variant>
        <vt:lpwstr>C:\Users\nphan4\AppData\Local\Microsoft\Windows\INetCache\Content.Outlook\HOJDY171\Health</vt:lpwstr>
      </vt:variant>
      <vt:variant>
        <vt:lpwstr/>
      </vt:variant>
      <vt:variant>
        <vt:i4>1638471</vt:i4>
      </vt:variant>
      <vt:variant>
        <vt:i4>33</vt:i4>
      </vt:variant>
      <vt:variant>
        <vt:i4>0</vt:i4>
      </vt:variant>
      <vt:variant>
        <vt:i4>5</vt:i4>
      </vt:variant>
      <vt:variant>
        <vt:lpwstr>https://www2.health.vic.gov.au/ageing-and-aged-care/residential-aged-care/safety-and-quality/participating-with-consumers</vt:lpwstr>
      </vt:variant>
      <vt:variant>
        <vt:lpwstr/>
      </vt:variant>
      <vt:variant>
        <vt:i4>131160</vt:i4>
      </vt:variant>
      <vt:variant>
        <vt:i4>30</vt:i4>
      </vt:variant>
      <vt:variant>
        <vt:i4>0</vt:i4>
      </vt:variant>
      <vt:variant>
        <vt:i4>5</vt:i4>
      </vt:variant>
      <vt:variant>
        <vt:lpwstr>C:\Users\mpalmer3\Downloads\Health-Literacy-Unplanned-Weight-Loss.pdf</vt:lpwstr>
      </vt:variant>
      <vt:variant>
        <vt:lpwstr/>
      </vt:variant>
      <vt:variant>
        <vt:i4>2424947</vt:i4>
      </vt:variant>
      <vt:variant>
        <vt:i4>27</vt:i4>
      </vt:variant>
      <vt:variant>
        <vt:i4>0</vt:i4>
      </vt:variant>
      <vt:variant>
        <vt:i4>5</vt:i4>
      </vt:variant>
      <vt:variant>
        <vt:lpwstr>https://www.mayoclinic.org/healthy-lifestyle/caregivers/in-depth/senior-health/art-20044699</vt:lpwstr>
      </vt:variant>
      <vt:variant>
        <vt:lpwstr/>
      </vt:variant>
      <vt:variant>
        <vt:i4>2424947</vt:i4>
      </vt:variant>
      <vt:variant>
        <vt:i4>24</vt:i4>
      </vt:variant>
      <vt:variant>
        <vt:i4>0</vt:i4>
      </vt:variant>
      <vt:variant>
        <vt:i4>5</vt:i4>
      </vt:variant>
      <vt:variant>
        <vt:lpwstr>https://www.mayoclinic.org/healthy-lifestyle/caregivers/in-depth/senior-health/art-20044699</vt:lpwstr>
      </vt:variant>
      <vt:variant>
        <vt:lpwstr/>
      </vt:variant>
      <vt:variant>
        <vt:i4>2424947</vt:i4>
      </vt:variant>
      <vt:variant>
        <vt:i4>21</vt:i4>
      </vt:variant>
      <vt:variant>
        <vt:i4>0</vt:i4>
      </vt:variant>
      <vt:variant>
        <vt:i4>5</vt:i4>
      </vt:variant>
      <vt:variant>
        <vt:lpwstr>https://www.mayoclinic.org/healthy-lifestyle/caregivers/in-depth/senior-health/art-20044699</vt:lpwstr>
      </vt:variant>
      <vt:variant>
        <vt:lpwstr/>
      </vt:variant>
      <vt:variant>
        <vt:i4>5767240</vt:i4>
      </vt:variant>
      <vt:variant>
        <vt:i4>18</vt:i4>
      </vt:variant>
      <vt:variant>
        <vt:i4>0</vt:i4>
      </vt:variant>
      <vt:variant>
        <vt:i4>5</vt:i4>
      </vt:variant>
      <vt:variant>
        <vt:lpwstr>http://www.ihi.org/resources/Pages/HowtoImprove/default.aspx</vt:lpwstr>
      </vt:variant>
      <vt:variant>
        <vt:lpwstr/>
      </vt:variant>
      <vt:variant>
        <vt:i4>8192118</vt:i4>
      </vt:variant>
      <vt:variant>
        <vt:i4>15</vt:i4>
      </vt:variant>
      <vt:variant>
        <vt:i4>0</vt:i4>
      </vt:variant>
      <vt:variant>
        <vt:i4>5</vt:i4>
      </vt:variant>
      <vt:variant>
        <vt:lpwstr>https://www.veteransmates.net.au/topic-54-therapeutic-brief</vt:lpwstr>
      </vt:variant>
      <vt:variant>
        <vt:lpwstr/>
      </vt:variant>
      <vt:variant>
        <vt:i4>3932267</vt:i4>
      </vt:variant>
      <vt:variant>
        <vt:i4>12</vt:i4>
      </vt:variant>
      <vt:variant>
        <vt:i4>0</vt:i4>
      </vt:variant>
      <vt:variant>
        <vt:i4>5</vt:i4>
      </vt:variant>
      <vt:variant>
        <vt:lpwstr>https://www.health.vic.gov.au/residential-aged-care/standardised-care-processes</vt:lpwstr>
      </vt:variant>
      <vt:variant>
        <vt:lpwstr/>
      </vt:variant>
      <vt:variant>
        <vt:i4>1572881</vt:i4>
      </vt:variant>
      <vt:variant>
        <vt:i4>9</vt:i4>
      </vt:variant>
      <vt:variant>
        <vt:i4>0</vt:i4>
      </vt:variant>
      <vt:variant>
        <vt:i4>5</vt:i4>
      </vt:variant>
      <vt:variant>
        <vt:lpwstr>https://academic.oup.com/ageing/article/46/4/688/2801280</vt:lpwstr>
      </vt:variant>
      <vt:variant>
        <vt:lpwstr/>
      </vt:variant>
      <vt:variant>
        <vt:i4>5767240</vt:i4>
      </vt:variant>
      <vt:variant>
        <vt:i4>6</vt:i4>
      </vt:variant>
      <vt:variant>
        <vt:i4>0</vt:i4>
      </vt:variant>
      <vt:variant>
        <vt:i4>5</vt:i4>
      </vt:variant>
      <vt:variant>
        <vt:lpwstr>http://www.ihi.org/resources/Pages/HowtoImprove/default.aspx</vt:lpwstr>
      </vt:variant>
      <vt:variant>
        <vt:lpwstr/>
      </vt:variant>
      <vt:variant>
        <vt:i4>3866672</vt:i4>
      </vt:variant>
      <vt:variant>
        <vt:i4>3</vt:i4>
      </vt:variant>
      <vt:variant>
        <vt:i4>0</vt:i4>
      </vt:variant>
      <vt:variant>
        <vt:i4>5</vt:i4>
      </vt:variant>
      <vt:variant>
        <vt:lpwstr>https://www.nice.org.uk/about/nice-communities/social-care/quick-guides/helping-to-prevent-pressure-ulcers</vt:lpwstr>
      </vt:variant>
      <vt:variant>
        <vt:lpwstr/>
      </vt:variant>
      <vt:variant>
        <vt:i4>5505050</vt:i4>
      </vt:variant>
      <vt:variant>
        <vt:i4>0</vt:i4>
      </vt:variant>
      <vt:variant>
        <vt:i4>0</vt:i4>
      </vt:variant>
      <vt:variant>
        <vt:i4>5</vt:i4>
      </vt:variant>
      <vt:variant>
        <vt:lpwstr>https://www.agedcarequality.gov.au/providers/assessment-processes/continuous-improvementn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Mandatory Quality Indicator Program Manual 4.0 – Part B</dc:title>
  <dc:subject>Aged care</dc:subject>
  <dc:creator>Australian Government Department of Health and Aged Care</dc:creator>
  <cp:keywords>Aged care</cp:keywords>
  <dc:description/>
  <cp:revision>4</cp:revision>
  <cp:lastPrinted>2025-03-31T06:09:00Z</cp:lastPrinted>
  <dcterms:created xsi:type="dcterms:W3CDTF">2025-03-31T06:04:00Z</dcterms:created>
  <dcterms:modified xsi:type="dcterms:W3CDTF">2025-03-31T06:10:00Z</dcterms:modified>
</cp:coreProperties>
</file>