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772C" w14:textId="066E98C1" w:rsidR="00703535" w:rsidRPr="005D6B0F" w:rsidRDefault="00992D3B" w:rsidP="005D6B0F">
      <w:r>
        <w:rPr>
          <w:noProof/>
        </w:rPr>
        <w:drawing>
          <wp:inline distT="0" distB="0" distL="0" distR="0" wp14:anchorId="57A95CE3" wp14:editId="390A548B">
            <wp:extent cx="3239770" cy="1320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L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9770" cy="1320165"/>
                    </a:xfrm>
                    <a:prstGeom prst="rect">
                      <a:avLst/>
                    </a:prstGeom>
                  </pic:spPr>
                </pic:pic>
              </a:graphicData>
            </a:graphic>
          </wp:inline>
        </w:drawing>
      </w:r>
    </w:p>
    <w:p w14:paraId="032F47AD" w14:textId="3F1B4107" w:rsidR="009E0B84" w:rsidRPr="00F66828" w:rsidRDefault="00676643" w:rsidP="005D6B0F">
      <w:pPr>
        <w:pStyle w:val="Title"/>
      </w:pPr>
      <w:r w:rsidRPr="005D6B0F">
        <w:t>Mpox</w:t>
      </w:r>
      <w:r w:rsidRPr="00F66828">
        <w:t xml:space="preserve"> (Monkeypox </w:t>
      </w:r>
      <w:r w:rsidR="00AE17DB" w:rsidRPr="00F66828">
        <w:t>v</w:t>
      </w:r>
      <w:r w:rsidRPr="00F66828">
        <w:t>irus</w:t>
      </w:r>
      <w:r w:rsidR="00AE17DB" w:rsidRPr="00F66828">
        <w:t xml:space="preserve"> infection</w:t>
      </w:r>
      <w:r w:rsidR="001E46A6" w:rsidRPr="00F66828">
        <w:t>)</w:t>
      </w:r>
    </w:p>
    <w:p w14:paraId="47DD6507" w14:textId="17429EBA" w:rsidR="00177AD2" w:rsidRPr="005D6B0F" w:rsidRDefault="009E0B84" w:rsidP="005D6B0F">
      <w:pPr>
        <w:pStyle w:val="Subtitle"/>
      </w:pPr>
      <w:r w:rsidRPr="00F66828">
        <w:t>Laboratory case definition</w:t>
      </w:r>
    </w:p>
    <w:p w14:paraId="1379ABB1" w14:textId="4CEB855B" w:rsidR="009E0B84" w:rsidRPr="00F66828" w:rsidRDefault="009E0B84" w:rsidP="005D6B0F">
      <w:pPr>
        <w:pStyle w:val="IntroPara"/>
      </w:pPr>
      <w:r w:rsidRPr="00F66828">
        <w:t xml:space="preserve">The Public Health Laboratory Network </w:t>
      </w:r>
      <w:r w:rsidR="00353703" w:rsidRPr="00F66828">
        <w:t xml:space="preserve">(PHLN) </w:t>
      </w:r>
      <w:r w:rsidRPr="00F66828">
        <w:t>ha</w:t>
      </w:r>
      <w:r w:rsidR="002A45F8" w:rsidRPr="00F66828">
        <w:t>s</w:t>
      </w:r>
      <w:r w:rsidRPr="00F66828">
        <w:t xml:space="preserve"> developed standard case definition</w:t>
      </w:r>
      <w:r w:rsidR="00353703" w:rsidRPr="00F66828">
        <w:t>s</w:t>
      </w:r>
      <w:r w:rsidRPr="00F66828">
        <w:t xml:space="preserve"> for the diagnosis of</w:t>
      </w:r>
      <w:r w:rsidR="005A42C2" w:rsidRPr="00F66828">
        <w:t xml:space="preserve"> key</w:t>
      </w:r>
      <w:r w:rsidRPr="00F66828">
        <w:t xml:space="preserve"> diseases in Australia. This document contains the laboratory case definition for </w:t>
      </w:r>
      <w:r w:rsidR="005A42C2" w:rsidRPr="00F66828">
        <w:t>Mpox</w:t>
      </w:r>
      <w:r w:rsidRPr="00F66828">
        <w:t>.</w:t>
      </w:r>
    </w:p>
    <w:tbl>
      <w:tblPr>
        <w:tblStyle w:val="ListTable3-Accent3"/>
        <w:tblW w:w="0" w:type="auto"/>
        <w:tblLook w:val="04A0" w:firstRow="1" w:lastRow="0" w:firstColumn="1" w:lastColumn="0" w:noHBand="0" w:noVBand="1"/>
      </w:tblPr>
      <w:tblGrid>
        <w:gridCol w:w="1024"/>
        <w:gridCol w:w="3813"/>
        <w:gridCol w:w="1937"/>
        <w:gridCol w:w="2286"/>
      </w:tblGrid>
      <w:tr w:rsidR="006A0177" w:rsidRPr="00F66828" w14:paraId="04C2D4BA" w14:textId="77777777" w:rsidTr="1CD67B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2357BE9E" w14:textId="77777777" w:rsidR="006A0177" w:rsidRPr="005D6B0F" w:rsidRDefault="006A0177" w:rsidP="005D6B0F">
            <w:pPr>
              <w:pStyle w:val="TableHeaderWhite"/>
            </w:pPr>
            <w:r w:rsidRPr="005D6B0F">
              <w:t>Version</w:t>
            </w:r>
          </w:p>
        </w:tc>
        <w:tc>
          <w:tcPr>
            <w:tcW w:w="4229" w:type="dxa"/>
          </w:tcPr>
          <w:p w14:paraId="78387B1A" w14:textId="77777777" w:rsidR="006A0177" w:rsidRPr="005D6B0F" w:rsidRDefault="006A0177" w:rsidP="005D6B0F">
            <w:pPr>
              <w:pStyle w:val="TableHeaderWhite"/>
              <w:cnfStyle w:val="100000000000" w:firstRow="1" w:lastRow="0" w:firstColumn="0" w:lastColumn="0" w:oddVBand="0" w:evenVBand="0" w:oddHBand="0" w:evenHBand="0" w:firstRowFirstColumn="0" w:firstRowLastColumn="0" w:lastRowFirstColumn="0" w:lastRowLastColumn="0"/>
            </w:pPr>
            <w:r w:rsidRPr="005D6B0F">
              <w:t>Status</w:t>
            </w:r>
          </w:p>
        </w:tc>
        <w:tc>
          <w:tcPr>
            <w:tcW w:w="2008" w:type="dxa"/>
          </w:tcPr>
          <w:p w14:paraId="29D78E21" w14:textId="77777777" w:rsidR="006A0177" w:rsidRPr="005D6B0F" w:rsidRDefault="006A0177" w:rsidP="005D6B0F">
            <w:pPr>
              <w:pStyle w:val="TableHeaderWhite"/>
              <w:cnfStyle w:val="100000000000" w:firstRow="1" w:lastRow="0" w:firstColumn="0" w:lastColumn="0" w:oddVBand="0" w:evenVBand="0" w:oddHBand="0" w:evenHBand="0" w:firstRowFirstColumn="0" w:firstRowLastColumn="0" w:lastRowFirstColumn="0" w:lastRowLastColumn="0"/>
            </w:pPr>
            <w:proofErr w:type="spellStart"/>
            <w:r w:rsidRPr="005D6B0F">
              <w:t>Authorisation</w:t>
            </w:r>
            <w:proofErr w:type="spellEnd"/>
          </w:p>
        </w:tc>
        <w:tc>
          <w:tcPr>
            <w:tcW w:w="2501" w:type="dxa"/>
          </w:tcPr>
          <w:p w14:paraId="4D74613A" w14:textId="77777777" w:rsidR="006A0177" w:rsidRPr="005D6B0F" w:rsidRDefault="006A0177" w:rsidP="005D6B0F">
            <w:pPr>
              <w:pStyle w:val="TableHeaderWhite"/>
              <w:cnfStyle w:val="100000000000" w:firstRow="1" w:lastRow="0" w:firstColumn="0" w:lastColumn="0" w:oddVBand="0" w:evenVBand="0" w:oddHBand="0" w:evenHBand="0" w:firstRowFirstColumn="0" w:firstRowLastColumn="0" w:lastRowFirstColumn="0" w:lastRowLastColumn="0"/>
            </w:pPr>
            <w:r w:rsidRPr="005D6B0F">
              <w:t>Consensus Date</w:t>
            </w:r>
          </w:p>
        </w:tc>
      </w:tr>
      <w:tr w:rsidR="001624B8" w:rsidRPr="00F66828" w14:paraId="24AC95A8" w14:textId="77777777" w:rsidTr="1CD67B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Pr>
          <w:p w14:paraId="75AA7AF2" w14:textId="32EE9456" w:rsidR="001624B8" w:rsidRPr="00F66828" w:rsidRDefault="001624B8" w:rsidP="00AE1822">
            <w:pPr>
              <w:pStyle w:val="TableText"/>
            </w:pPr>
            <w:r w:rsidRPr="00F66828">
              <w:t>1.5</w:t>
            </w:r>
          </w:p>
        </w:tc>
        <w:tc>
          <w:tcPr>
            <w:tcW w:w="4229" w:type="dxa"/>
          </w:tcPr>
          <w:p w14:paraId="283B930C" w14:textId="24C9C669" w:rsidR="001624B8" w:rsidRPr="005D6B0F" w:rsidRDefault="000771C6" w:rsidP="005D6B0F">
            <w:pPr>
              <w:pStyle w:val="TableText"/>
              <w:cnfStyle w:val="000000100000" w:firstRow="0" w:lastRow="0" w:firstColumn="0" w:lastColumn="0" w:oddVBand="0" w:evenVBand="0" w:oddHBand="1" w:evenHBand="0" w:firstRowFirstColumn="0" w:firstRowLastColumn="0" w:lastRowFirstColumn="0" w:lastRowLastColumn="0"/>
            </w:pPr>
            <w:r w:rsidRPr="005D6B0F">
              <w:t xml:space="preserve">Updates to </w:t>
            </w:r>
            <w:r w:rsidR="005D3C14" w:rsidRPr="005D6B0F">
              <w:t>laboratory diagnosis and specimen handling content</w:t>
            </w:r>
            <w:r w:rsidR="00E36A43" w:rsidRPr="005D6B0F">
              <w:t xml:space="preserve">. </w:t>
            </w:r>
            <w:r w:rsidR="00843B38" w:rsidRPr="005D6B0F">
              <w:t xml:space="preserve">Inclusion of recommendations </w:t>
            </w:r>
            <w:r w:rsidR="00CF20A9" w:rsidRPr="005D6B0F">
              <w:t>for testing asymptomatic individuals</w:t>
            </w:r>
            <w:r w:rsidR="00E215D8" w:rsidRPr="005D6B0F">
              <w:t xml:space="preserve">. </w:t>
            </w:r>
          </w:p>
        </w:tc>
        <w:tc>
          <w:tcPr>
            <w:tcW w:w="2008" w:type="dxa"/>
          </w:tcPr>
          <w:p w14:paraId="1084F407" w14:textId="3324B319" w:rsidR="001624B8" w:rsidRPr="005D6B0F" w:rsidRDefault="007C4F59" w:rsidP="005D6B0F">
            <w:pPr>
              <w:pStyle w:val="TableText"/>
              <w:cnfStyle w:val="000000100000" w:firstRow="0" w:lastRow="0" w:firstColumn="0" w:lastColumn="0" w:oddVBand="0" w:evenVBand="0" w:oddHBand="1" w:evenHBand="0" w:firstRowFirstColumn="0" w:firstRowLastColumn="0" w:lastRowFirstColumn="0" w:lastRowLastColumn="0"/>
            </w:pPr>
            <w:r w:rsidRPr="005D6B0F">
              <w:t>PHLN</w:t>
            </w:r>
          </w:p>
        </w:tc>
        <w:tc>
          <w:tcPr>
            <w:tcW w:w="2501" w:type="dxa"/>
          </w:tcPr>
          <w:p w14:paraId="57925AA7" w14:textId="19679FB0" w:rsidR="001624B8" w:rsidRPr="005D6B0F" w:rsidRDefault="000F3A61" w:rsidP="005D6B0F">
            <w:pPr>
              <w:pStyle w:val="TableText"/>
              <w:cnfStyle w:val="000000100000" w:firstRow="0" w:lastRow="0" w:firstColumn="0" w:lastColumn="0" w:oddVBand="0" w:evenVBand="0" w:oddHBand="1" w:evenHBand="0" w:firstRowFirstColumn="0" w:firstRowLastColumn="0" w:lastRowFirstColumn="0" w:lastRowLastColumn="0"/>
            </w:pPr>
            <w:r w:rsidRPr="005D6B0F">
              <w:t>7 March 2025</w:t>
            </w:r>
          </w:p>
        </w:tc>
      </w:tr>
      <w:tr w:rsidR="006A0177" w:rsidRPr="00F66828" w14:paraId="76210D4F" w14:textId="77777777" w:rsidTr="1CD67B21">
        <w:tc>
          <w:tcPr>
            <w:cnfStyle w:val="001000000000" w:firstRow="0" w:lastRow="0" w:firstColumn="1" w:lastColumn="0" w:oddVBand="0" w:evenVBand="0" w:oddHBand="0" w:evenHBand="0" w:firstRowFirstColumn="0" w:firstRowLastColumn="0" w:lastRowFirstColumn="0" w:lastRowLastColumn="0"/>
            <w:tcW w:w="279" w:type="dxa"/>
          </w:tcPr>
          <w:p w14:paraId="5F0CA1BF" w14:textId="41C936FB" w:rsidR="006A0177" w:rsidRPr="00F66828" w:rsidRDefault="006A0177" w:rsidP="00AE1822">
            <w:pPr>
              <w:pStyle w:val="TableText"/>
            </w:pPr>
            <w:r w:rsidRPr="00F66828">
              <w:t>1.4</w:t>
            </w:r>
          </w:p>
        </w:tc>
        <w:tc>
          <w:tcPr>
            <w:tcW w:w="4229" w:type="dxa"/>
          </w:tcPr>
          <w:p w14:paraId="2B66D3A6" w14:textId="771B1745" w:rsidR="006A0177" w:rsidRPr="005D6B0F" w:rsidRDefault="006A0177" w:rsidP="005D6B0F">
            <w:pPr>
              <w:pStyle w:val="TableText"/>
              <w:cnfStyle w:val="000000000000" w:firstRow="0" w:lastRow="0" w:firstColumn="0" w:lastColumn="0" w:oddVBand="0" w:evenVBand="0" w:oddHBand="0" w:evenHBand="0" w:firstRowFirstColumn="0" w:firstRowLastColumn="0" w:lastRowFirstColumn="0" w:lastRowLastColumn="0"/>
            </w:pPr>
            <w:r w:rsidRPr="005D6B0F">
              <w:t>All references to ‘Monkeypox’</w:t>
            </w:r>
            <w:r w:rsidR="00442C9B" w:rsidRPr="005D6B0F">
              <w:t xml:space="preserve"> disease</w:t>
            </w:r>
            <w:r w:rsidRPr="005D6B0F">
              <w:t xml:space="preserve"> amended to ‘Mpox’.</w:t>
            </w:r>
          </w:p>
          <w:p w14:paraId="02A6006C" w14:textId="5036D51F" w:rsidR="006A0177" w:rsidRPr="00F66828" w:rsidRDefault="00C70CE7" w:rsidP="005D6B0F">
            <w:pPr>
              <w:pStyle w:val="TableText"/>
              <w:cnfStyle w:val="000000000000" w:firstRow="0" w:lastRow="0" w:firstColumn="0" w:lastColumn="0" w:oddVBand="0" w:evenVBand="0" w:oddHBand="0" w:evenHBand="0" w:firstRowFirstColumn="0" w:firstRowLastColumn="0" w:lastRowFirstColumn="0" w:lastRowLastColumn="0"/>
            </w:pPr>
            <w:r w:rsidRPr="005D6B0F">
              <w:t>Update to laboratory case definition template.</w:t>
            </w:r>
          </w:p>
        </w:tc>
        <w:tc>
          <w:tcPr>
            <w:tcW w:w="2008" w:type="dxa"/>
          </w:tcPr>
          <w:p w14:paraId="356ACF28" w14:textId="41478D10" w:rsidR="006A0177" w:rsidRPr="005D6B0F" w:rsidRDefault="00DC3D11" w:rsidP="005D6B0F">
            <w:pPr>
              <w:pStyle w:val="TableText"/>
              <w:cnfStyle w:val="000000000000" w:firstRow="0" w:lastRow="0" w:firstColumn="0" w:lastColumn="0" w:oddVBand="0" w:evenVBand="0" w:oddHBand="0" w:evenHBand="0" w:firstRowFirstColumn="0" w:firstRowLastColumn="0" w:lastRowFirstColumn="0" w:lastRowLastColumn="0"/>
            </w:pPr>
            <w:r w:rsidRPr="005D6B0F">
              <w:t>PHLN</w:t>
            </w:r>
          </w:p>
        </w:tc>
        <w:tc>
          <w:tcPr>
            <w:tcW w:w="2501" w:type="dxa"/>
          </w:tcPr>
          <w:p w14:paraId="5D99F38B" w14:textId="3DD83234" w:rsidR="006A0177" w:rsidRPr="005D6B0F" w:rsidRDefault="00DC3D11" w:rsidP="005D6B0F">
            <w:pPr>
              <w:pStyle w:val="TableText"/>
              <w:cnfStyle w:val="000000000000" w:firstRow="0" w:lastRow="0" w:firstColumn="0" w:lastColumn="0" w:oddVBand="0" w:evenVBand="0" w:oddHBand="0" w:evenHBand="0" w:firstRowFirstColumn="0" w:firstRowLastColumn="0" w:lastRowFirstColumn="0" w:lastRowLastColumn="0"/>
            </w:pPr>
            <w:r w:rsidRPr="005D6B0F">
              <w:t>17 July</w:t>
            </w:r>
            <w:r w:rsidR="007B452B" w:rsidRPr="005D6B0F">
              <w:t xml:space="preserve"> 2023</w:t>
            </w:r>
          </w:p>
        </w:tc>
      </w:tr>
      <w:tr w:rsidR="006A0177" w:rsidRPr="00F66828" w14:paraId="3CCB7F09" w14:textId="77777777" w:rsidTr="1CD67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270C3E12" w14:textId="68492E88" w:rsidR="006A0177" w:rsidRPr="00F66828" w:rsidRDefault="006A0177" w:rsidP="00AE1822">
            <w:pPr>
              <w:pStyle w:val="TableText"/>
            </w:pPr>
            <w:r w:rsidRPr="00F66828">
              <w:t>1.3</w:t>
            </w:r>
          </w:p>
        </w:tc>
        <w:tc>
          <w:tcPr>
            <w:tcW w:w="4229" w:type="dxa"/>
          </w:tcPr>
          <w:p w14:paraId="1BB60079" w14:textId="469E1FB9" w:rsidR="006A0177" w:rsidRPr="005D6B0F" w:rsidRDefault="006A0177" w:rsidP="005D6B0F">
            <w:pPr>
              <w:pStyle w:val="TableText"/>
              <w:cnfStyle w:val="000000100000" w:firstRow="0" w:lastRow="0" w:firstColumn="0" w:lastColumn="0" w:oddVBand="0" w:evenVBand="0" w:oddHBand="1" w:evenHBand="0" w:firstRowFirstColumn="0" w:firstRowLastColumn="0" w:lastRowFirstColumn="0" w:lastRowLastColumn="0"/>
            </w:pPr>
            <w:r w:rsidRPr="005D6B0F">
              <w:t>Updated to include individual laboratory risk assessments to determine appropriate personal protective equipment to use when handling M</w:t>
            </w:r>
            <w:r w:rsidR="00CD317C" w:rsidRPr="005D6B0F">
              <w:t>PX</w:t>
            </w:r>
            <w:r w:rsidRPr="005D6B0F">
              <w:t xml:space="preserve"> specimen.</w:t>
            </w:r>
          </w:p>
        </w:tc>
        <w:tc>
          <w:tcPr>
            <w:tcW w:w="2008" w:type="dxa"/>
          </w:tcPr>
          <w:p w14:paraId="303CE3D2" w14:textId="34BD036F" w:rsidR="006A0177" w:rsidRPr="005D6B0F" w:rsidRDefault="006A0177" w:rsidP="005D6B0F">
            <w:pPr>
              <w:pStyle w:val="TableText"/>
              <w:cnfStyle w:val="000000100000" w:firstRow="0" w:lastRow="0" w:firstColumn="0" w:lastColumn="0" w:oddVBand="0" w:evenVBand="0" w:oddHBand="1" w:evenHBand="0" w:firstRowFirstColumn="0" w:firstRowLastColumn="0" w:lastRowFirstColumn="0" w:lastRowLastColumn="0"/>
            </w:pPr>
            <w:r w:rsidRPr="005D6B0F">
              <w:t>PHLN</w:t>
            </w:r>
          </w:p>
        </w:tc>
        <w:tc>
          <w:tcPr>
            <w:tcW w:w="2501" w:type="dxa"/>
          </w:tcPr>
          <w:p w14:paraId="2AFCBC2B" w14:textId="2EE34DBF" w:rsidR="006A0177" w:rsidRPr="005D6B0F" w:rsidRDefault="007B452B" w:rsidP="005D6B0F">
            <w:pPr>
              <w:pStyle w:val="TableText"/>
              <w:cnfStyle w:val="000000100000" w:firstRow="0" w:lastRow="0" w:firstColumn="0" w:lastColumn="0" w:oddVBand="0" w:evenVBand="0" w:oddHBand="1" w:evenHBand="0" w:firstRowFirstColumn="0" w:firstRowLastColumn="0" w:lastRowFirstColumn="0" w:lastRowLastColumn="0"/>
            </w:pPr>
            <w:r w:rsidRPr="005D6B0F">
              <w:t>17 August</w:t>
            </w:r>
            <w:r w:rsidR="006A0177" w:rsidRPr="005D6B0F">
              <w:t xml:space="preserve"> 2022</w:t>
            </w:r>
          </w:p>
        </w:tc>
      </w:tr>
      <w:tr w:rsidR="006A0177" w:rsidRPr="00F66828" w14:paraId="159D1321" w14:textId="77777777" w:rsidTr="1CD67B21">
        <w:tc>
          <w:tcPr>
            <w:cnfStyle w:val="001000000000" w:firstRow="0" w:lastRow="0" w:firstColumn="1" w:lastColumn="0" w:oddVBand="0" w:evenVBand="0" w:oddHBand="0" w:evenHBand="0" w:firstRowFirstColumn="0" w:firstRowLastColumn="0" w:lastRowFirstColumn="0" w:lastRowLastColumn="0"/>
            <w:tcW w:w="279" w:type="dxa"/>
          </w:tcPr>
          <w:p w14:paraId="61C558BE" w14:textId="711C20BA" w:rsidR="006A0177" w:rsidRPr="00F66828" w:rsidRDefault="006A0177" w:rsidP="00AE1822">
            <w:pPr>
              <w:pStyle w:val="TableText"/>
            </w:pPr>
            <w:r w:rsidRPr="00F66828">
              <w:t>1.2</w:t>
            </w:r>
          </w:p>
        </w:tc>
        <w:tc>
          <w:tcPr>
            <w:tcW w:w="4229" w:type="dxa"/>
          </w:tcPr>
          <w:p w14:paraId="6AEA4F95" w14:textId="6600341C" w:rsidR="00CD317C" w:rsidRPr="005D6B0F" w:rsidRDefault="00CD317C" w:rsidP="005D6B0F">
            <w:pPr>
              <w:pStyle w:val="TableText"/>
              <w:cnfStyle w:val="000000000000" w:firstRow="0" w:lastRow="0" w:firstColumn="0" w:lastColumn="0" w:oddVBand="0" w:evenVBand="0" w:oddHBand="0" w:evenHBand="0" w:firstRowFirstColumn="0" w:firstRowLastColumn="0" w:lastRowFirstColumn="0" w:lastRowLastColumn="0"/>
            </w:pPr>
            <w:r w:rsidRPr="005D6B0F">
              <w:t>Updates to the probable/confirmed and suspected MPX guidelines.</w:t>
            </w:r>
          </w:p>
        </w:tc>
        <w:tc>
          <w:tcPr>
            <w:tcW w:w="2008" w:type="dxa"/>
          </w:tcPr>
          <w:p w14:paraId="39FC00D0" w14:textId="2402A3CF" w:rsidR="006A0177" w:rsidRPr="005D6B0F" w:rsidRDefault="00CD317C" w:rsidP="005D6B0F">
            <w:pPr>
              <w:pStyle w:val="TableText"/>
              <w:cnfStyle w:val="000000000000" w:firstRow="0" w:lastRow="0" w:firstColumn="0" w:lastColumn="0" w:oddVBand="0" w:evenVBand="0" w:oddHBand="0" w:evenHBand="0" w:firstRowFirstColumn="0" w:firstRowLastColumn="0" w:lastRowFirstColumn="0" w:lastRowLastColumn="0"/>
            </w:pPr>
            <w:r w:rsidRPr="005D6B0F">
              <w:t>PHLN</w:t>
            </w:r>
          </w:p>
        </w:tc>
        <w:tc>
          <w:tcPr>
            <w:tcW w:w="2501" w:type="dxa"/>
          </w:tcPr>
          <w:p w14:paraId="13B804CE" w14:textId="624AF425" w:rsidR="006A0177" w:rsidRPr="005D6B0F" w:rsidRDefault="00CD317C" w:rsidP="005D6B0F">
            <w:pPr>
              <w:pStyle w:val="TableText"/>
              <w:cnfStyle w:val="000000000000" w:firstRow="0" w:lastRow="0" w:firstColumn="0" w:lastColumn="0" w:oddVBand="0" w:evenVBand="0" w:oddHBand="0" w:evenHBand="0" w:firstRowFirstColumn="0" w:firstRowLastColumn="0" w:lastRowFirstColumn="0" w:lastRowLastColumn="0"/>
            </w:pPr>
            <w:r w:rsidRPr="005D6B0F">
              <w:t>1 July 2022</w:t>
            </w:r>
          </w:p>
        </w:tc>
      </w:tr>
      <w:tr w:rsidR="006A0177" w:rsidRPr="00F66828" w14:paraId="362AD4DD" w14:textId="77777777" w:rsidTr="1CD67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41679134" w14:textId="77777777" w:rsidR="006A0177" w:rsidRPr="00F66828" w:rsidRDefault="006A0177" w:rsidP="00AE1822">
            <w:pPr>
              <w:pStyle w:val="TableText"/>
            </w:pPr>
            <w:r w:rsidRPr="00F66828">
              <w:t>1.1</w:t>
            </w:r>
          </w:p>
        </w:tc>
        <w:tc>
          <w:tcPr>
            <w:tcW w:w="4229" w:type="dxa"/>
          </w:tcPr>
          <w:p w14:paraId="5C262E43" w14:textId="37F089A9" w:rsidR="00CD317C" w:rsidRPr="005D6B0F" w:rsidRDefault="00C70CE7" w:rsidP="005D6B0F">
            <w:pPr>
              <w:pStyle w:val="TableText"/>
              <w:cnfStyle w:val="000000100000" w:firstRow="0" w:lastRow="0" w:firstColumn="0" w:lastColumn="0" w:oddVBand="0" w:evenVBand="0" w:oddHBand="1" w:evenHBand="0" w:firstRowFirstColumn="0" w:firstRowLastColumn="0" w:lastRowFirstColumn="0" w:lastRowLastColumn="0"/>
            </w:pPr>
            <w:r w:rsidRPr="005D6B0F">
              <w:t xml:space="preserve">Updates to the personal protective </w:t>
            </w:r>
            <w:r w:rsidR="58249159" w:rsidRPr="005D6B0F">
              <w:t>equipment</w:t>
            </w:r>
            <w:r w:rsidRPr="005D6B0F">
              <w:t xml:space="preserve"> recommendations.</w:t>
            </w:r>
          </w:p>
          <w:p w14:paraId="3D3A431E" w14:textId="3D0093C3" w:rsidR="006A0177" w:rsidRPr="00F66828" w:rsidRDefault="006A0177" w:rsidP="00AE1822">
            <w:pPr>
              <w:pStyle w:val="TableText"/>
              <w:cnfStyle w:val="000000100000" w:firstRow="0" w:lastRow="0" w:firstColumn="0" w:lastColumn="0" w:oddVBand="0" w:evenVBand="0" w:oddHBand="1" w:evenHBand="0" w:firstRowFirstColumn="0" w:firstRowLastColumn="0" w:lastRowFirstColumn="0" w:lastRowLastColumn="0"/>
            </w:pPr>
          </w:p>
        </w:tc>
        <w:tc>
          <w:tcPr>
            <w:tcW w:w="2008" w:type="dxa"/>
          </w:tcPr>
          <w:p w14:paraId="7F2DBDD2" w14:textId="77777777" w:rsidR="006A0177" w:rsidRPr="005D6B0F" w:rsidRDefault="006A0177" w:rsidP="005D6B0F">
            <w:pPr>
              <w:pStyle w:val="TableText"/>
              <w:cnfStyle w:val="000000100000" w:firstRow="0" w:lastRow="0" w:firstColumn="0" w:lastColumn="0" w:oddVBand="0" w:evenVBand="0" w:oddHBand="1" w:evenHBand="0" w:firstRowFirstColumn="0" w:firstRowLastColumn="0" w:lastRowFirstColumn="0" w:lastRowLastColumn="0"/>
            </w:pPr>
            <w:r w:rsidRPr="005D6B0F">
              <w:t>PHLN</w:t>
            </w:r>
          </w:p>
        </w:tc>
        <w:tc>
          <w:tcPr>
            <w:tcW w:w="2501" w:type="dxa"/>
          </w:tcPr>
          <w:p w14:paraId="18D81F05" w14:textId="27ED0948" w:rsidR="006A0177" w:rsidRPr="005D6B0F" w:rsidRDefault="00CD317C" w:rsidP="005D6B0F">
            <w:pPr>
              <w:pStyle w:val="TableText"/>
              <w:cnfStyle w:val="000000100000" w:firstRow="0" w:lastRow="0" w:firstColumn="0" w:lastColumn="0" w:oddVBand="0" w:evenVBand="0" w:oddHBand="1" w:evenHBand="0" w:firstRowFirstColumn="0" w:firstRowLastColumn="0" w:lastRowFirstColumn="0" w:lastRowLastColumn="0"/>
            </w:pPr>
            <w:r w:rsidRPr="005D6B0F">
              <w:t xml:space="preserve">27 </w:t>
            </w:r>
            <w:r w:rsidR="00C70CE7" w:rsidRPr="005D6B0F">
              <w:t>June</w:t>
            </w:r>
            <w:r w:rsidRPr="005D6B0F">
              <w:t xml:space="preserve"> 2022</w:t>
            </w:r>
          </w:p>
        </w:tc>
      </w:tr>
      <w:tr w:rsidR="006A0177" w:rsidRPr="00F66828" w14:paraId="35BA6E44" w14:textId="77777777" w:rsidTr="1CD67B21">
        <w:tc>
          <w:tcPr>
            <w:cnfStyle w:val="001000000000" w:firstRow="0" w:lastRow="0" w:firstColumn="1" w:lastColumn="0" w:oddVBand="0" w:evenVBand="0" w:oddHBand="0" w:evenHBand="0" w:firstRowFirstColumn="0" w:firstRowLastColumn="0" w:lastRowFirstColumn="0" w:lastRowLastColumn="0"/>
            <w:tcW w:w="279" w:type="dxa"/>
          </w:tcPr>
          <w:p w14:paraId="2434F828" w14:textId="77777777" w:rsidR="006A0177" w:rsidRPr="00F66828" w:rsidRDefault="006A0177" w:rsidP="00AE1822">
            <w:pPr>
              <w:pStyle w:val="TableText"/>
            </w:pPr>
            <w:r w:rsidRPr="00F66828">
              <w:t>1.0</w:t>
            </w:r>
          </w:p>
        </w:tc>
        <w:tc>
          <w:tcPr>
            <w:tcW w:w="4229" w:type="dxa"/>
          </w:tcPr>
          <w:p w14:paraId="1F20D027" w14:textId="77777777" w:rsidR="006A0177" w:rsidRPr="005D6B0F" w:rsidRDefault="006A0177" w:rsidP="005D6B0F">
            <w:pPr>
              <w:pStyle w:val="TableText"/>
              <w:cnfStyle w:val="000000000000" w:firstRow="0" w:lastRow="0" w:firstColumn="0" w:lastColumn="0" w:oddVBand="0" w:evenVBand="0" w:oddHBand="0" w:evenHBand="0" w:firstRowFirstColumn="0" w:firstRowLastColumn="0" w:lastRowFirstColumn="0" w:lastRowLastColumn="0"/>
            </w:pPr>
            <w:r w:rsidRPr="005D6B0F">
              <w:t>Initial PHLN Laboratory Case Definition</w:t>
            </w:r>
          </w:p>
        </w:tc>
        <w:tc>
          <w:tcPr>
            <w:tcW w:w="2008" w:type="dxa"/>
          </w:tcPr>
          <w:p w14:paraId="48DE35CB" w14:textId="77777777" w:rsidR="006A0177" w:rsidRPr="005D6B0F" w:rsidRDefault="006A0177" w:rsidP="005D6B0F">
            <w:pPr>
              <w:pStyle w:val="TableText"/>
              <w:cnfStyle w:val="000000000000" w:firstRow="0" w:lastRow="0" w:firstColumn="0" w:lastColumn="0" w:oddVBand="0" w:evenVBand="0" w:oddHBand="0" w:evenHBand="0" w:firstRowFirstColumn="0" w:firstRowLastColumn="0" w:lastRowFirstColumn="0" w:lastRowLastColumn="0"/>
            </w:pPr>
            <w:r w:rsidRPr="005D6B0F">
              <w:t>PHLN</w:t>
            </w:r>
          </w:p>
        </w:tc>
        <w:tc>
          <w:tcPr>
            <w:tcW w:w="2501" w:type="dxa"/>
          </w:tcPr>
          <w:p w14:paraId="0FC28D7B" w14:textId="17D0D361" w:rsidR="006A0177" w:rsidRPr="005D6B0F" w:rsidRDefault="00CD317C" w:rsidP="005D6B0F">
            <w:pPr>
              <w:pStyle w:val="TableText"/>
              <w:cnfStyle w:val="000000000000" w:firstRow="0" w:lastRow="0" w:firstColumn="0" w:lastColumn="0" w:oddVBand="0" w:evenVBand="0" w:oddHBand="0" w:evenHBand="0" w:firstRowFirstColumn="0" w:firstRowLastColumn="0" w:lastRowFirstColumn="0" w:lastRowLastColumn="0"/>
            </w:pPr>
            <w:r w:rsidRPr="005D6B0F">
              <w:t>27 May 2022</w:t>
            </w:r>
          </w:p>
        </w:tc>
      </w:tr>
    </w:tbl>
    <w:p w14:paraId="18669196" w14:textId="77777777" w:rsidR="005D6B0F" w:rsidRDefault="005D6B0F" w:rsidP="005D6B0F">
      <w:pPr>
        <w:rPr>
          <w:lang w:eastAsia="en-AU"/>
        </w:rPr>
      </w:pPr>
      <w:r>
        <w:rPr>
          <w:lang w:eastAsia="en-AU"/>
        </w:rPr>
        <w:br w:type="page"/>
      </w:r>
    </w:p>
    <w:p w14:paraId="4B9AD1D6" w14:textId="0DCF9F3E" w:rsidR="006B3295" w:rsidRPr="005D6B0F" w:rsidRDefault="006B3295" w:rsidP="005D6B0F">
      <w:pPr>
        <w:pStyle w:val="Heading1"/>
      </w:pPr>
      <w:r w:rsidRPr="005D6B0F">
        <w:lastRenderedPageBreak/>
        <w:t>PHLN summary laboratory definition</w:t>
      </w:r>
    </w:p>
    <w:p w14:paraId="0D70EA58" w14:textId="77777777" w:rsidR="006B3295" w:rsidRPr="005D6B0F" w:rsidRDefault="006B3295" w:rsidP="005D6B0F">
      <w:pPr>
        <w:pStyle w:val="Heading2"/>
      </w:pPr>
      <w:r w:rsidRPr="005D6B0F">
        <w:t>Condition</w:t>
      </w:r>
    </w:p>
    <w:p w14:paraId="26CC024D" w14:textId="6A7AA953" w:rsidR="001E46A6" w:rsidRPr="00F66828" w:rsidRDefault="001E46A6" w:rsidP="005D6B0F">
      <w:r w:rsidRPr="00F66828">
        <w:t xml:space="preserve">Acute </w:t>
      </w:r>
      <w:r w:rsidR="009E5399" w:rsidRPr="00F66828">
        <w:t>m</w:t>
      </w:r>
      <w:r w:rsidRPr="00F66828">
        <w:t xml:space="preserve">pox </w:t>
      </w:r>
      <w:r w:rsidR="006B3295" w:rsidRPr="00F66828">
        <w:t>due to</w:t>
      </w:r>
      <w:r w:rsidRPr="00F66828">
        <w:t xml:space="preserve"> infection </w:t>
      </w:r>
      <w:r w:rsidR="006B3295" w:rsidRPr="00F66828">
        <w:t>with the m</w:t>
      </w:r>
      <w:r w:rsidR="00442C9B" w:rsidRPr="00F66828">
        <w:t>onkey</w:t>
      </w:r>
      <w:r w:rsidR="006B3295" w:rsidRPr="00F66828">
        <w:t>pox virus.</w:t>
      </w:r>
    </w:p>
    <w:p w14:paraId="42EF6638" w14:textId="3B849B3A" w:rsidR="00EF24F4" w:rsidRPr="005D6B0F" w:rsidRDefault="00EF24F4" w:rsidP="005D6B0F">
      <w:pPr>
        <w:pStyle w:val="Heading3"/>
      </w:pPr>
      <w:r w:rsidRPr="005D6B0F">
        <w:t>Definitive Criteria</w:t>
      </w:r>
    </w:p>
    <w:p w14:paraId="2ACE169F" w14:textId="7236B699" w:rsidR="001E46A6" w:rsidRPr="00F66828" w:rsidRDefault="001E46A6" w:rsidP="005D6B0F">
      <w:pPr>
        <w:pStyle w:val="ListBullet"/>
      </w:pPr>
      <w:r w:rsidRPr="00F66828">
        <w:t xml:space="preserve">Detection of </w:t>
      </w:r>
      <w:r w:rsidR="009E5399" w:rsidRPr="00F66828">
        <w:t>m</w:t>
      </w:r>
      <w:r w:rsidRPr="00F66828">
        <w:t>onkeypox virus by nucleic acid amplification testing in clinical specimens; OR</w:t>
      </w:r>
    </w:p>
    <w:p w14:paraId="3F46A7C8" w14:textId="3808081D" w:rsidR="001E46A6" w:rsidRPr="00F66828" w:rsidRDefault="001E46A6" w:rsidP="005D6B0F">
      <w:pPr>
        <w:pStyle w:val="ListBullet"/>
      </w:pPr>
      <w:r w:rsidRPr="00F66828">
        <w:t xml:space="preserve">Detection of </w:t>
      </w:r>
      <w:r w:rsidR="009E5399" w:rsidRPr="00F66828">
        <w:t>m</w:t>
      </w:r>
      <w:r w:rsidRPr="00F66828">
        <w:t>onkeypox virus-specific sequences using next generation sequencing for clinical specimens; OR</w:t>
      </w:r>
    </w:p>
    <w:p w14:paraId="41D7D2A0" w14:textId="272C162E" w:rsidR="001E46A6" w:rsidRPr="00F66828" w:rsidRDefault="001E46A6" w:rsidP="005D6B0F">
      <w:pPr>
        <w:pStyle w:val="ListBullet"/>
      </w:pPr>
      <w:r w:rsidRPr="00F66828">
        <w:t xml:space="preserve">Isolation of </w:t>
      </w:r>
      <w:r w:rsidR="009E5399" w:rsidRPr="00F66828">
        <w:t>m</w:t>
      </w:r>
      <w:r w:rsidRPr="00F66828">
        <w:t>onkeypox virus by culture from clinical specimens</w:t>
      </w:r>
    </w:p>
    <w:p w14:paraId="75315CF7" w14:textId="7812F511" w:rsidR="00EF24F4" w:rsidRPr="005D6B0F" w:rsidRDefault="00EF24F4" w:rsidP="005D6B0F">
      <w:pPr>
        <w:pStyle w:val="Heading3"/>
      </w:pPr>
      <w:r w:rsidRPr="005D6B0F">
        <w:t>Suggestive Criteria</w:t>
      </w:r>
    </w:p>
    <w:p w14:paraId="1433B936" w14:textId="77777777" w:rsidR="00F12DA4" w:rsidRPr="00F66828" w:rsidRDefault="001E46A6" w:rsidP="005D6B0F">
      <w:pPr>
        <w:pStyle w:val="ListBullet"/>
      </w:pPr>
      <w:r w:rsidRPr="00F66828">
        <w:t xml:space="preserve">Detection of </w:t>
      </w:r>
      <w:proofErr w:type="spellStart"/>
      <w:r w:rsidRPr="00F66828">
        <w:t>Orthopoxvirus</w:t>
      </w:r>
      <w:proofErr w:type="spellEnd"/>
      <w:r w:rsidRPr="00F66828">
        <w:t xml:space="preserve"> by nucleic acid amplification testing in clinical </w:t>
      </w:r>
      <w:proofErr w:type="gramStart"/>
      <w:r w:rsidRPr="00F66828">
        <w:t>specimens;</w:t>
      </w:r>
      <w:proofErr w:type="gramEnd"/>
      <w:r w:rsidRPr="00F66828">
        <w:t xml:space="preserve"> </w:t>
      </w:r>
    </w:p>
    <w:p w14:paraId="1D7D55FB" w14:textId="09080851" w:rsidR="001E46A6" w:rsidRPr="00F66828" w:rsidRDefault="001E46A6" w:rsidP="005D6B0F">
      <w:r w:rsidRPr="00F66828">
        <w:t>OR</w:t>
      </w:r>
    </w:p>
    <w:p w14:paraId="0B274781" w14:textId="0C588F63" w:rsidR="001E46A6" w:rsidRPr="00F66828" w:rsidRDefault="001E46A6" w:rsidP="005D6B0F">
      <w:pPr>
        <w:pStyle w:val="ListBullet"/>
      </w:pPr>
      <w:r w:rsidRPr="00F66828">
        <w:t xml:space="preserve">Detection of Orthopoxvirus by electron microscopy </w:t>
      </w:r>
      <w:r w:rsidR="00EF2494" w:rsidRPr="00F66828">
        <w:t>in</w:t>
      </w:r>
      <w:r w:rsidRPr="00F66828">
        <w:t xml:space="preserve"> clinical specimens</w:t>
      </w:r>
    </w:p>
    <w:p w14:paraId="10BB8733" w14:textId="61FF277F" w:rsidR="001E46A6" w:rsidRPr="005D6B0F" w:rsidRDefault="001E46A6" w:rsidP="005D6B0F">
      <w:pPr>
        <w:pStyle w:val="Heading3"/>
      </w:pPr>
      <w:r w:rsidRPr="005D6B0F">
        <w:t>Comments</w:t>
      </w:r>
    </w:p>
    <w:p w14:paraId="49863C6E" w14:textId="058F0FC9" w:rsidR="001E46A6" w:rsidRPr="00F66828" w:rsidRDefault="001E46A6" w:rsidP="005D6B0F">
      <w:r w:rsidRPr="00F66828">
        <w:t xml:space="preserve">In addition to testing for </w:t>
      </w:r>
      <w:r w:rsidR="00EC4B60" w:rsidRPr="00F66828">
        <w:t>m</w:t>
      </w:r>
      <w:r w:rsidRPr="00F66828">
        <w:t xml:space="preserve">onkeypox virus, referring clinicians should consider testing for other infective causes of vesicular, vesiculopapular and pustular rashes. Other differential diagnoses may include varicella zoster virus, herpes simplex virus-1 and -2, syphilis, molluscum contagiosum and Orf virus. Smallpox (caused by the variola virus) has been eliminated as a naturally occurring infectious illness with global eradication certified by the World Health Organization (WHO) in 1980 but bears clinical similarities to </w:t>
      </w:r>
      <w:r w:rsidR="00442C9B" w:rsidRPr="00F66828">
        <w:t>m</w:t>
      </w:r>
      <w:r w:rsidRPr="00F66828">
        <w:t xml:space="preserve">onkeypox virus infection. If smallpox is considered a differential diagnosis, there are additional public health considerations, and specimens should be handled as for a suspected smallpox case; please refer to </w:t>
      </w:r>
      <w:r w:rsidR="001C1320" w:rsidRPr="00F66828">
        <w:t xml:space="preserve">the </w:t>
      </w:r>
      <w:r w:rsidRPr="00F66828">
        <w:t xml:space="preserve">PHLN Smallpox Laboratory Case Definition. </w:t>
      </w:r>
    </w:p>
    <w:p w14:paraId="4D970369" w14:textId="3DC92C97" w:rsidR="001E46A6" w:rsidRPr="00F66828" w:rsidRDefault="001E46A6" w:rsidP="005D6B0F">
      <w:r w:rsidRPr="00F66828">
        <w:t>Variola, vaccinia, cowpox, monkeypox and other Orthopoxvirus virions cannot be definitively distinguished from each other by electron microscopy.</w:t>
      </w:r>
    </w:p>
    <w:p w14:paraId="01C85BC8" w14:textId="1E7B1FE5" w:rsidR="00EF24F4" w:rsidRPr="005D6B0F" w:rsidRDefault="00EF24F4" w:rsidP="005D6B0F">
      <w:pPr>
        <w:pStyle w:val="Heading1"/>
      </w:pPr>
      <w:r w:rsidRPr="005D6B0F">
        <w:t>Introduction</w:t>
      </w:r>
    </w:p>
    <w:p w14:paraId="3F32AF9F" w14:textId="3733CB7D" w:rsidR="001E46A6" w:rsidRPr="00F66828" w:rsidRDefault="420B7C2C" w:rsidP="005D6B0F">
      <w:r w:rsidRPr="00F66828">
        <w:t xml:space="preserve">Monkeypox virus </w:t>
      </w:r>
      <w:r w:rsidR="24CE7D67" w:rsidRPr="00F66828">
        <w:t xml:space="preserve">(MPXV) </w:t>
      </w:r>
      <w:r w:rsidRPr="00F66828">
        <w:t>is a poxvirus (Family Poxviridae, genus Orthopoxvirus; other members include variola and vaccinia viruses) with brick-shaped virions of 220–450 nm in length</w:t>
      </w:r>
      <w:r w:rsidR="00920551" w:rsidRPr="00F66828">
        <w:t xml:space="preserve"> </w:t>
      </w:r>
      <w:r w:rsidR="001E46A6" w:rsidRPr="00F66828">
        <w:fldChar w:fldCharType="begin"/>
      </w:r>
      <w:r w:rsidR="001E46A6" w:rsidRPr="00F66828">
        <w:instrText xml:space="preserve"> ADDIN ZOTERO_ITEM CSL_CITATION {"citationID":"ztmLrxVQ","properties":{"formattedCitation":"[1]","plainCitation":"[1]","noteIndex":0},"citationItems":[{"id":1559,"uris":["http://zotero.org/users/5687618/items/9QET4DHV"],"uri":["http://zotero.org/users/5687618/items/9QET4DHV"],"itemData":{"id":1559,"type":"book","edition":"12th","ISBN":"978-1-55581-983-5","number-of-pages":"2832","number-of-volumes":"2","publisher":"Wiley","title":"Manual of Clinical Microbiology, 2 Volume Set, 12th Edition","title-short":"Manual of Clinical Microbiology","URL":"https://www.wiley.com/en-us/Manual+of+Clinical+Microbiology%2C+2+Volume+Set%2C+12th+Edition-p-9781555819835","volume":"2","author":[{"family":"Carroll Karen C. et al.","given":""}],"issued":{"date-parts":[["2019"]]}}}],"schema":"https://github.com/citation-style-language/schema/raw/master/csl-citation.json"} </w:instrText>
      </w:r>
      <w:r w:rsidR="001E46A6" w:rsidRPr="00F66828">
        <w:fldChar w:fldCharType="separate"/>
      </w:r>
      <w:r w:rsidRPr="00F66828">
        <w:t>[1]</w:t>
      </w:r>
      <w:r w:rsidR="001E46A6" w:rsidRPr="00F66828">
        <w:fldChar w:fldCharType="end"/>
      </w:r>
      <w:r w:rsidRPr="00F66828">
        <w:t xml:space="preserve">. Two clades of </w:t>
      </w:r>
      <w:r w:rsidR="2C401694" w:rsidRPr="00F66828">
        <w:t>m</w:t>
      </w:r>
      <w:r w:rsidRPr="00F66828">
        <w:t>onkeypox virus have been identified</w:t>
      </w:r>
      <w:r w:rsidR="788D8A97" w:rsidRPr="00F66828">
        <w:t xml:space="preserve">, Clade I (formally the Congo </w:t>
      </w:r>
      <w:r w:rsidR="788D8A97" w:rsidRPr="00F66828">
        <w:lastRenderedPageBreak/>
        <w:t>Basin (Central African) clade) and Clade II (formally the West African clade)</w:t>
      </w:r>
      <w:r w:rsidR="00BC05BD" w:rsidRPr="00F66828">
        <w:t xml:space="preserve"> </w:t>
      </w:r>
      <w:r w:rsidR="001E46A6" w:rsidRPr="00F66828">
        <w:fldChar w:fldCharType="begin"/>
      </w:r>
      <w:r w:rsidR="001E46A6" w:rsidRPr="00F66828">
        <w:instrText xml:space="preserve"> ADDIN ZOTERO_ITEM CSL_CITATION {"citationID":"c8GEgrL2","properties":{"formattedCitation":"[2]","plainCitation":"[2]","noteIndex":0},"citationItems":[{"id":1491,"uris":["http://zotero.org/users/5687618/items/BRPMIDYG"],"uri":["http://zotero.org/users/5687618/items/BRPMIDYG"],"itemData":{"id":1491,"type":"article-journal","abstract":"Smallpox eradication, coordinated by the WHO and certified 40 years ago, led to the cessation of routine smallpox vaccination in most countries. It is estimated that over 70% of the world's population is no longer protected against smallpox, and through cross-immunity, to closely related orthopox viruses such as monkeypox. Monkeypox is now a re-emerging disease. Monkeypox is endemic in as yet unconfirmed animal reservoirs in sub-Saharan Africa, while its human epidemiology appears to be changing. Monkeypox in small animals imported from Ghana as exotic pets was at the origin of an outbreak of human monkeypox in the USA in 2003. Travellers infected in Nigeria were at the origin of monkeypox cases in the UK in 2018 and 2019, Israel in 2018 and Singapore in2019. Together with sporadic reports of human infections with other orthopox viruses, these facts invite speculation that emergent or re-emergent human monkeypox might fill the epidemiological niche vacated by smallpox. An ad-hoc and unofficial group of interested experts met to consider these issues at Chatham House, London in June 2019, in order to review available data and identify monkeypox-related research gaps. Gaps identified by the experts included:The experts further agreed on the need for a better understanding of the genomic evolution and changing epidemiology of orthopox viruses, the usefulness of in-field genomic diagnostics, and the best disease control strategies, including the possibility of vaccination with new generation non-replicating smallpox vaccines and treatment with recently developed antivirals.","container-title":"Vaccine","DOI":"10.1016/j.vaccine.2020.04.062","ISSN":"1873-2518","issue":"33","journalAbbreviation":"Vaccine","language":"eng","note":"PMID: 32417140","page":"5077-5081","source":"PubMed","title":"Human monkeypox - After 40 years, an unintended consequence of smallpox eradication","volume":"38","author":[{"family":"Simpson","given":"Karl"},{"family":"Heymann","given":"David"},{"family":"Brown","given":"Colin S."},{"family":"Edmunds","given":"W. John"},{"family":"Elsgaard","given":"Jesper"},{"family":"Fine","given":"Paul"},{"family":"Hochrein","given":"Hubertus"},{"family":"Hoff","given":"Nicole A."},{"family":"Green","given":"Andrew"},{"family":"Ihekweazu","given":"Chikwe"},{"family":"Jones","given":"Terry C."},{"family":"Lule","given":"Swaib"},{"family":"Maclennan","given":"Jane"},{"family":"McCollum","given":"Andrea"},{"family":"Mühlemann","given":"Barbara"},{"family":"Nightingale","given":"Emily"},{"family":"Ogoina","given":"Dimie"},{"family":"Ogunleye","given":"Adesola"},{"family":"Petersen","given":"Brett"},{"family":"Powell","given":"Jacqueline"},{"family":"Quantick","given":"Ollie"},{"family":"Rimoin","given":"Anne W."},{"family":"Ulaeato","given":"David"},{"family":"Wapling","given":"Andy"}],"issued":{"date-parts":[["2020",7,14]]}}}],"schema":"https://github.com/citation-style-language/schema/raw/master/csl-citation.json"} </w:instrText>
      </w:r>
      <w:r w:rsidR="001E46A6" w:rsidRPr="00F66828">
        <w:fldChar w:fldCharType="separate"/>
      </w:r>
      <w:r w:rsidRPr="00F66828">
        <w:t>[2]</w:t>
      </w:r>
      <w:r w:rsidR="001E46A6" w:rsidRPr="00F66828">
        <w:fldChar w:fldCharType="end"/>
      </w:r>
      <w:r w:rsidRPr="00F66828">
        <w:t xml:space="preserve">. </w:t>
      </w:r>
      <w:r w:rsidR="7CD98E47" w:rsidRPr="00F66828">
        <w:t xml:space="preserve">There are also subclades and lineages which have different epidemiology and clinical features. </w:t>
      </w:r>
      <w:r w:rsidRPr="00F66828">
        <w:t xml:space="preserve">Monkeypox virus is considered the most important </w:t>
      </w:r>
      <w:r w:rsidR="28145D50" w:rsidRPr="00F66828">
        <w:t xml:space="preserve">Orthopoxvirus </w:t>
      </w:r>
      <w:r w:rsidRPr="00F66828">
        <w:t xml:space="preserve">capable of infecting humans since the eradication of smallpox (caused by variola virus). </w:t>
      </w:r>
    </w:p>
    <w:p w14:paraId="16883D62" w14:textId="64C52086" w:rsidR="001E46A6" w:rsidRPr="00F66828" w:rsidRDefault="420B7C2C" w:rsidP="005D6B0F">
      <w:r w:rsidRPr="00F66828">
        <w:t>Mpox is a zoonosis</w:t>
      </w:r>
      <w:r w:rsidR="7898F7BD" w:rsidRPr="00F66828">
        <w:t>, MPXV</w:t>
      </w:r>
      <w:r w:rsidRPr="00F66828">
        <w:t xml:space="preserve">  can infect a range of mammalian species (including humans and non-human primates), but the natural reservoir remains unknown</w:t>
      </w:r>
      <w:r w:rsidR="0026055D" w:rsidRPr="00F66828">
        <w:t xml:space="preserve">, although arboreal rodents including </w:t>
      </w:r>
      <w:r w:rsidR="00007B27" w:rsidRPr="00F66828">
        <w:t xml:space="preserve">rope </w:t>
      </w:r>
      <w:r w:rsidR="0026055D" w:rsidRPr="00F66828">
        <w:t>squirrels</w:t>
      </w:r>
      <w:r w:rsidR="00007B27" w:rsidRPr="00F66828">
        <w:t>, sun squirrels, African pouch rats and dormice</w:t>
      </w:r>
      <w:r w:rsidR="0026055D" w:rsidRPr="00F66828">
        <w:t xml:space="preserve"> have been suggested as the most probable </w:t>
      </w:r>
      <w:r w:rsidRPr="00F66828">
        <w:fldChar w:fldCharType="begin"/>
      </w:r>
      <w:r w:rsidRPr="00F66828">
        <w:instrText xml:space="preserve"> ADDIN ZOTERO_ITEM CSL_CITATION {"citationID":"aJBjjPFh","properties":{"formattedCitation":"[3]","plainCitation":"[3]","noteIndex":0},"citationItems":[{"id":1505,"uris":["http://zotero.org/users/5687618/items/4F478PUP"],"uri":["http://zotero.org/users/5687618/items/4F478PUP"],"itemData":{"id":1505,"type":"article-journal","abstract":"International wildlife trafficking (IWT) is a thriving and pervasive illegal enterprise that adversely affects modern societies. Yet, despite being globally recognized as a threat to biodiversity, national security, economy, and biosecurity, IWT remains largely unabated and is proliferating at an alarming rate. The increase in IWT is generally attributed to a lack of prioritization to curb wildlife crime through legal and scientific infrastructure. This review: (1) lays out the damaging scope and influence of IWT; (2) discusses the potential of DNA marker systems, barcodes, and emerging molecular technologies, such as long-read portable sequencing, to facilitate rapid, in situ identification of species and individuals; and (3) encourages initiatives that promote quality and innovation. Interdisciplinary collaboration promises to be one of the most effective ways forward to surmounting the complex scientific and legal challenges posed by IWT.\nSmallpox, a disease caused by the variola virus, is one of the most dangerous diseases and had killed numerous people before it was eradicated in 1980. However, smallpox has emerged as the most threatening bio-terrorism agent; as the first- and second-generation smallpox vaccines have been controversial and have caused severe adverse reactions, new demands for safe smallpox vaccines have been raised and some attenuated smallpox vaccines have been developed. We have developed a cell culture-based highly attenuated third-generation smallpox vaccine candidate KVAC103 strain by 103 serial passages of the Lancy-Vaxina strain derived from the Lister in Vero cells. Several clones were selected, taking into consideration their shape, size, and growth rate in mammalian cells. The clones were then inoculated intracerebrally in suckling mice to test for neurovirulence by observing survival. Protective immune responses in adult mice were examined by measuring the levels of neutralization antibodies and IFN-γ expression. Among several clones, clone 7 was considered the best alternative candidate because there was no mortality in suckling mice against a lethal challenge. In addition, enhanced neutralizing antibodies and T-cell mediated IFN-γ production were observed in clone 7-immunized mice. Clone 7 was named “KVAC103” and was used for the skin toxicity test and full-genome analysis. KVAC103-inoculated rabbits showed reduced skin lesions compared to those inoculated with the Lister strain, Lancy-Vaxina. A whole genome analysis of KVAC103 revealed two major deleted regions that might contribute to the reduced virulence of KVAC103 compared to the Lister strain. Phylogenetic inference supported the close relationship with the Lister strain. Collectively, our data demonstrate that KVAC103 holds promise for use as a third-generation smallpox vaccine strain due to its enhanced safety and efficacy.\nIn this study, a rapid method for the detection of Central and West Africa clades of Monkeypox virus (MPXV) using recombinase polymerase amplification (RPA) assay targeting the G2R gene was developed. MPXV, an Orthopoxvirus, is a zoonotic dsDNA virus, which is listed as a biothreat agent. RPA was operated at a single constant temperature of 42°C and produced results within 3 to 10 minutes. The MPXV-RPA-assay was highly sensitive with a limit of detection of 16 DNA molecules/μl. The clinical performance of the MPXV-RPA-assay was tested using 47 sera and whole blood samples from humans collected during the recent MPXV outbreak in Nigeria as well as 48 plasma samples from monkeys some of which were experimentally infected with MPXV. The specificity of the MPXV-RPA-assay was 100% (50/50), while the sensitivity was 95% (43/45). This new MPXV-RPA-assay is fast and can be easily utilised at low resource settings using a solar powered mobile suitcase laboratory.\nThe identification of monkeypox in 3 separate patients in the United Kingdom in September raised media and political attention on an emerging public health threat. Nigeria, whose last confirmed case of monkeypox was in 1978, is currently experiencing an unusually large and outbreak of human monkeypox cases, a ‘One Human-Environmental-Animal Health’ approach is being effectively used to define and tackle the outbreak. As of 13th October 2018, there have been one hundred and sixteen confirmed cases the majority of whom are under 40 years. Over the past 20 years ten Central and West African countries have reported monkeypox cases which have risen exponentially. We review the history and evolution of monkeypox outbreaks in Africa and USA, the changing clinical presentations, and discuss possible factors underlying the increasing numbers being detected including the cessation of smallpox vaccination programs. Major knowledge gaps remain on the epidemiology, host reservoir, and emergence, transmission, pathogenesis and prevention of monkeypoz.","container-title":"The Lancet Infectious Diseases","DOI":"10.1016/S1473-3099(03)00856-9","ISSN":"1473-3099","issue":"1","journalAbbreviation":"The Lancet Infectious Diseases","language":"en","page":"15-25","source":"ScienceDirect","title":"Human monkeypox: an emerging zoonosis","title-short":"Human monkeypox","volume":"4","author":[{"family":"Di Giulio","given":"Daniel B"},{"family":"Eckburg","given":"Paul B"}],"issued":{"date-parts":[["2004",1,1]]}}}],"schema":"https://github.com/citation-style-language/schema/raw/master/csl-citation.json"} </w:instrText>
      </w:r>
      <w:r w:rsidRPr="00F66828">
        <w:fldChar w:fldCharType="separate"/>
      </w:r>
      <w:r w:rsidRPr="00F66828">
        <w:t>[3</w:t>
      </w:r>
      <w:r w:rsidR="00007B27" w:rsidRPr="00F66828">
        <w:t>,4</w:t>
      </w:r>
      <w:r w:rsidRPr="00F66828">
        <w:t>]</w:t>
      </w:r>
      <w:r w:rsidRPr="00F66828">
        <w:fldChar w:fldCharType="end"/>
      </w:r>
      <w:r w:rsidRPr="00F66828">
        <w:t xml:space="preserve">. Most cases have been reported in the Democratic Republic of the Congo </w:t>
      </w:r>
      <w:r w:rsidR="0026055D" w:rsidRPr="00F66828">
        <w:t xml:space="preserve">(DRC) </w:t>
      </w:r>
      <w:r w:rsidRPr="00F66828">
        <w:t xml:space="preserve">and other central and western African countries. Mpox cases reported outside Africa have been linked to international </w:t>
      </w:r>
      <w:r w:rsidR="0B50D3EC" w:rsidRPr="00F66828">
        <w:t xml:space="preserve">human </w:t>
      </w:r>
      <w:r w:rsidRPr="00F66828">
        <w:t>travel or movement of animals, and secondary transmission has been reported</w:t>
      </w:r>
      <w:r w:rsidR="00BC05BD" w:rsidRPr="00F66828">
        <w:t xml:space="preserve"> </w:t>
      </w:r>
      <w:r w:rsidRPr="00F66828">
        <w:fldChar w:fldCharType="begin"/>
      </w:r>
      <w:r w:rsidRPr="00F66828">
        <w:instrText xml:space="preserve"> ADDIN ZOTERO_ITEM CSL_CITATION {"citationID":"sCsMZOTm","properties":{"formattedCitation":"[4\\uc0\\u8211{}6]","plainCitation":"[4–6]","noteIndex":0},"citationItems":[{"id":1525,"uris":["http://zotero.org/users/5687618/items/9ZILADNN"],"uri":["http://zotero.org/users/5687618/items/9ZILADNN"],"itemData":{"id":1525,"type":"article-journal","container-title":"New England Journal of Medicine","DOI":"10.1056/NEJMoa032299","ISSN":"0028-4793","issue":"4","journalAbbreviation":"N Engl J Med","note":"publisher: Massachusetts Medical Society","page":"342-350","source":"nejm.org (Atypon)","title":"The Detection of Monkeypox in Humans in the Western Hemisphere","volume":"350","author":[{"family":"Reed","given":"Kurt D."},{"family":"Melski","given":"John W."},{"family":"Graham","given":"Mary Beth"},{"family":"Regnery","given":"Russell L."},{"family":"Sotir","given":"Mark J."},{"family":"Wegner","given":"Mark V."},{"family":"Kazmierczak","given":"James J."},{"family":"Stratman","given":"Erik J."},{"family":"Li","given":"Yu"},{"family":"Fairley","given":"Janet A."},{"family":"Swain","given":"Geoffrey R."},{"family":"Olson","given":"Victoria A."},{"family":"Sargent","given":"Elizabeth K."},{"family":"Kehl","given":"Sue C."},{"family":"Frace","given":"Michael A."},{"family":"Kline","given":"Richard"},{"family":"Foldy","given":"Seth L."},{"family":"Davis","given":"Jeffrey P."},{"family":"Damon","given":"Inger K."}],"issued":{"date-parts":[["2004",1,22]]}}},{"id":1527,"uris":["http://zotero.org/users/5687618/items/7BVQSSM5"],"uri":["http://zotero.org/users/5687618/items/7BVQSSM5"],"itemData":{"id":1527,"type":"article-journal","container-title":"The Lancet Infectious Diseases","DOI":"10.1016/S1473-3099(19)30537-7","ISSN":"1473-3099, 1474-4457","issue":"11","journalAbbreviation":"The Lancet Infectious Diseases","language":"English","note":"publisher: Elsevier\nPMID: 31657773","page":"1166","source":"www.thelancet.com","title":"A case of imported Monkeypox in Singapore","volume":"19","author":[{"family":"Ng","given":"Oon Tek"},{"family":"Lee","given":"Vernon"},{"family":"Marimuthu","given":"Kalisvar"},{"family":"Vasoo","given":"Shawn"},{"family":"Chan","given":"Guanhao"},{"family":"Lin","given":"Raymond Tzer Pin"},{"family":"Leo","given":"Yee Sin"}],"issued":{"date-parts":[["2019",11,1]]}}},{"id":1498,"uris":["http://zotero.org/users/5687618/items/2SVSQCHX"],"uri":["http://zotero.org/users/5687618/items/2SVSQCHX"],"itemData":{"id":1498,"type":"article-journal","abstract":"Diagnosis of Imported Monkeypox, Israel, 2018","DOI":"10.3201/eid2505.190076","language":"en-us","source":"wwwnc.cdc.gov","title":"Diagnosis of Imported Monkeypox, Israel, 2018 - Volume 25, Number 5—May 2019 - Emerging Infectious Diseases journal - CDC","URL":"https://wwwnc.cdc.gov/eid/article/25/5/19-0076_article","author":[{"family":"Erez","given":"Noam"},{"family":"Achdout","given":"Hagit"},{"family":"Milrot","given":"Elad"},{"family":"Schwartz","given":"Yuval"},{"family":"Wiener-Well","given":"Yonit"},{"family":"Paran","given":"Nir"},{"family":"Politi","given":"Boaz"},{"family":"Tamir","given":"Hadas"},{"family":"Israely","given":"Tomer"},{"family":"Weiss","given":"Shay"},{"family":"Beth-Din","given":"Adi"},{"family":"Shifman","given":"Ohad"},{"family":"Israeli","given":"Ofir"},{"family":"Yitzhaki","given":"Shmuel"},{"family":"Shapira","given":"Shmuel C."},{"family":"Melamed","given":"Sharon"},{"family":"Schwartz","given":"Eli"}],"accessed":{"date-parts":[["2022",5,19]]}}}],"schema":"https://github.com/citation-style-language/schema/raw/master/csl-citation.json"} </w:instrText>
      </w:r>
      <w:r w:rsidRPr="00F66828">
        <w:fldChar w:fldCharType="separate"/>
      </w:r>
      <w:r w:rsidRPr="00F66828">
        <w:t>[</w:t>
      </w:r>
      <w:r w:rsidR="00EC1E75" w:rsidRPr="00F66828">
        <w:t>5-7</w:t>
      </w:r>
      <w:r w:rsidRPr="00F66828">
        <w:t>]</w:t>
      </w:r>
      <w:r w:rsidRPr="00F66828">
        <w:fldChar w:fldCharType="end"/>
      </w:r>
      <w:r w:rsidRPr="00F66828">
        <w:t>. In 2022, a</w:t>
      </w:r>
      <w:r w:rsidR="16022548" w:rsidRPr="00F66828">
        <w:t xml:space="preserve"> large</w:t>
      </w:r>
      <w:r w:rsidRPr="00F66828">
        <w:t xml:space="preserve"> number of mpox cases </w:t>
      </w:r>
      <w:r w:rsidR="6A7A1E69" w:rsidRPr="00F66828">
        <w:t>due to MPXV</w:t>
      </w:r>
      <w:r w:rsidR="1CCDA62F" w:rsidRPr="00F66828">
        <w:t xml:space="preserve"> </w:t>
      </w:r>
      <w:r w:rsidR="6A7A1E69" w:rsidRPr="00F66828">
        <w:t>clade</w:t>
      </w:r>
      <w:r w:rsidR="014EDC2B" w:rsidRPr="00F66828">
        <w:t xml:space="preserve"> </w:t>
      </w:r>
      <w:r w:rsidR="6A7A1E69" w:rsidRPr="00F66828">
        <w:t xml:space="preserve">IIb </w:t>
      </w:r>
      <w:r w:rsidRPr="00F66828">
        <w:t>were reported in Europe, the United Kingdom (UK)</w:t>
      </w:r>
      <w:r w:rsidR="16022548" w:rsidRPr="00F66828">
        <w:t>, and the Americas</w:t>
      </w:r>
      <w:r w:rsidRPr="00F66828">
        <w:t xml:space="preserve"> </w:t>
      </w:r>
      <w:r w:rsidR="16022548" w:rsidRPr="00F66828">
        <w:t xml:space="preserve">(including </w:t>
      </w:r>
      <w:r w:rsidR="0B50D3EC" w:rsidRPr="00F66828">
        <w:t xml:space="preserve">the </w:t>
      </w:r>
      <w:r w:rsidRPr="00F66828">
        <w:t>United States</w:t>
      </w:r>
      <w:r w:rsidR="0B50D3EC" w:rsidRPr="00F66828">
        <w:t xml:space="preserve"> of America</w:t>
      </w:r>
      <w:r w:rsidRPr="00F66828">
        <w:t xml:space="preserve"> (US</w:t>
      </w:r>
      <w:r w:rsidR="27D07068" w:rsidRPr="00F66828">
        <w:t>A</w:t>
      </w:r>
      <w:r w:rsidRPr="00F66828">
        <w:t>)</w:t>
      </w:r>
      <w:r w:rsidR="16022548" w:rsidRPr="00F66828">
        <w:t>, Canada, Brazil, Colombia, Mexico and Peru)</w:t>
      </w:r>
      <w:r w:rsidRPr="00F66828">
        <w:t xml:space="preserve"> in men who have sex with men (MSM)</w:t>
      </w:r>
      <w:r w:rsidR="00BC05BD" w:rsidRPr="00F66828">
        <w:t xml:space="preserve"> </w:t>
      </w:r>
      <w:r w:rsidRPr="00F66828">
        <w:fldChar w:fldCharType="begin"/>
      </w:r>
      <w:r w:rsidRPr="00F66828">
        <w:instrText xml:space="preserve"> ADDIN ZOTERO_ITEM CSL_CITATION {"citationID":"z7ib339y","properties":{"formattedCitation":"[7,8]","plainCitation":"[7,8]","noteIndex":0},"citationItems":[{"id":1531,"uris":["http://zotero.org/users/5687618/items/D3CEGTZT"],"uri":["http://zotero.org/users/5687618/items/D3CEGTZT"],"itemData":{"id":1531,"type":"webpage","language":"en","title":"Monkeypox - United Kingdom of Great Britain and Northern Ireland","URL":"https://www.who.int/emergencies/disease-outbreak-news/item/2022-DON383","accessed":{"date-parts":[["2022",5,19]]}}},{"id":1533,"uris":["http://zotero.org/users/5687618/items/JEAD9MML"],"uri":["http://zotero.org/users/5687618/items/JEAD9MML"],"itemData":{"id":1533,"type":"webpage","abstract":"The confirmed case poses no risk to the general public","language":"en","title":"Massachusetts public health officials confirm case of monkeypox | Mass.gov","URL":"https://www.mass.gov/news/massachusetts-public-health-officials-confirm-case-of-monkeypox","accessed":{"date-parts":[["2022",5,19]]}}}],"schema":"https://github.com/citation-style-language/schema/raw/master/csl-citation.json"} </w:instrText>
      </w:r>
      <w:r w:rsidRPr="00F66828">
        <w:fldChar w:fldCharType="separate"/>
      </w:r>
      <w:r w:rsidRPr="00F66828">
        <w:t>[</w:t>
      </w:r>
      <w:r w:rsidR="00EC1E75" w:rsidRPr="00F66828">
        <w:t>8</w:t>
      </w:r>
      <w:r w:rsidRPr="00F66828">
        <w:t>,</w:t>
      </w:r>
      <w:r w:rsidR="00EC1E75" w:rsidRPr="00F66828">
        <w:t>9</w:t>
      </w:r>
      <w:r w:rsidRPr="00F66828">
        <w:t>]</w:t>
      </w:r>
      <w:r w:rsidRPr="00F66828">
        <w:fldChar w:fldCharType="end"/>
      </w:r>
      <w:r w:rsidR="5E6C6AD4" w:rsidRPr="00F66828">
        <w:t>.</w:t>
      </w:r>
      <w:r w:rsidR="0026055D" w:rsidRPr="00F66828">
        <w:t xml:space="preserve"> There were 144 cases of mpox reported in Australia in 2022</w:t>
      </w:r>
      <w:r w:rsidR="00EC1E75" w:rsidRPr="00F66828">
        <w:t xml:space="preserve"> [10]</w:t>
      </w:r>
      <w:r w:rsidR="0026055D" w:rsidRPr="00F66828">
        <w:t>.</w:t>
      </w:r>
      <w:r w:rsidR="5E6C6AD4" w:rsidRPr="00F66828">
        <w:t xml:space="preserve"> </w:t>
      </w:r>
      <w:r w:rsidR="0026055D" w:rsidRPr="00F66828">
        <w:t>Since late 2023, a</w:t>
      </w:r>
      <w:r w:rsidR="7F160645" w:rsidRPr="00F66828">
        <w:t xml:space="preserve"> large number of mpox cases</w:t>
      </w:r>
      <w:r w:rsidR="11A9F31D" w:rsidRPr="00F66828">
        <w:t xml:space="preserve"> due to MPXV clade Ib </w:t>
      </w:r>
      <w:r w:rsidR="00103D5D" w:rsidRPr="00F66828">
        <w:t xml:space="preserve">have </w:t>
      </w:r>
      <w:r w:rsidR="11A9F31D" w:rsidRPr="00F66828">
        <w:t>occur</w:t>
      </w:r>
      <w:r w:rsidR="20EDADCC" w:rsidRPr="00F66828">
        <w:t>r</w:t>
      </w:r>
      <w:r w:rsidR="11A9F31D" w:rsidRPr="00F66828">
        <w:t>ed</w:t>
      </w:r>
      <w:r w:rsidR="7F160645" w:rsidRPr="00F66828">
        <w:t xml:space="preserve"> in </w:t>
      </w:r>
      <w:r w:rsidR="0026055D" w:rsidRPr="00F66828">
        <w:t>DRC</w:t>
      </w:r>
      <w:r w:rsidR="10458A57" w:rsidRPr="00F66828">
        <w:t xml:space="preserve"> with spread to </w:t>
      </w:r>
      <w:r w:rsidR="0026055D" w:rsidRPr="00F66828">
        <w:t>other countries within and outside Africa (including Sweden, Thailand, India, Germany, UK, USA and Canada)</w:t>
      </w:r>
      <w:r w:rsidR="10458A57" w:rsidRPr="00F66828">
        <w:t>.</w:t>
      </w:r>
      <w:r w:rsidR="0026055D" w:rsidRPr="00F66828">
        <w:t xml:space="preserve"> However, there have been more than </w:t>
      </w:r>
      <w:r w:rsidR="00103D5D" w:rsidRPr="00F66828">
        <w:t xml:space="preserve">1400 </w:t>
      </w:r>
      <w:r w:rsidR="0026055D" w:rsidRPr="00F66828">
        <w:t>mpox cases in Australia in 2024</w:t>
      </w:r>
      <w:r w:rsidR="00DF2D46" w:rsidRPr="00F66828">
        <w:t xml:space="preserve"> [10]</w:t>
      </w:r>
      <w:r w:rsidR="0026055D" w:rsidRPr="00F66828">
        <w:t>, with almost all cases from local transmission.</w:t>
      </w:r>
    </w:p>
    <w:p w14:paraId="398ADBDF" w14:textId="64C24898" w:rsidR="005B0E08" w:rsidRPr="00F66828" w:rsidRDefault="004C5A9B" w:rsidP="005D6B0F">
      <w:r w:rsidRPr="00F66828">
        <w:t>Mpox</w:t>
      </w:r>
      <w:r w:rsidR="001E46A6" w:rsidRPr="00F66828">
        <w:t xml:space="preserve"> has a</w:t>
      </w:r>
      <w:r w:rsidR="000242B8" w:rsidRPr="00F66828">
        <w:t xml:space="preserve"> usual</w:t>
      </w:r>
      <w:r w:rsidR="001E46A6" w:rsidRPr="00F66828">
        <w:t xml:space="preserve"> incubation period of </w:t>
      </w:r>
      <w:r w:rsidR="00DE0C1C" w:rsidRPr="00F66828">
        <w:t>7</w:t>
      </w:r>
      <w:r w:rsidR="001E46A6" w:rsidRPr="00F66828">
        <w:t xml:space="preserve">–14 days </w:t>
      </w:r>
      <w:r w:rsidR="00DE0C1C" w:rsidRPr="00F66828">
        <w:t>(</w:t>
      </w:r>
      <w:r w:rsidR="00C657EB" w:rsidRPr="00F66828">
        <w:t xml:space="preserve">but can </w:t>
      </w:r>
      <w:r w:rsidR="00DE0C1C" w:rsidRPr="00F66828">
        <w:t xml:space="preserve">range </w:t>
      </w:r>
      <w:r w:rsidR="00C657EB" w:rsidRPr="00F66828">
        <w:t xml:space="preserve">from </w:t>
      </w:r>
      <w:r w:rsidR="00DE0C1C" w:rsidRPr="00F66828">
        <w:t>5-21 days)</w:t>
      </w:r>
      <w:r w:rsidR="00993A35" w:rsidRPr="00F66828">
        <w:t>. The initial phase of clinical illness (prodromal period) usually lasts 1 to 5 days and is characterised by fever, fatigue, lymphadenopathy, headache, muscle aches, joint pain and back pain</w:t>
      </w:r>
      <w:r w:rsidR="00CC0D6A" w:rsidRPr="00F66828">
        <w:t xml:space="preserve"> </w:t>
      </w:r>
      <w:r w:rsidR="001E46A6" w:rsidRPr="00F66828">
        <w:fldChar w:fldCharType="begin"/>
      </w:r>
      <w:r w:rsidR="001E46A6" w:rsidRPr="00F66828">
        <w:instrText xml:space="preserve"> ADDIN ZOTERO_ITEM CSL_CITATION {"citationID":"a91Spya2","properties":{"formattedCitation":"[3,9]","plainCitation":"[3,9]","noteIndex":0},"citationItems":[{"id":1505,"uris":["http://zotero.org/users/5687618/items/4F478PUP"],"uri":["http://zotero.org/users/5687618/items/4F478PUP"],"itemData":{"id":1505,"type":"article-journal","abstract":"International wildlife trafficking (IWT) is a thriving and pervasive illegal enterprise that adversely affects modern societies. Yet, despite being globally recognized as a threat to biodiversity, national security, economy, and biosecurity, IWT remains largely unabated and is proliferating at an alarming rate. The increase in IWT is generally attributed to a lack of prioritization to curb wildlife crime through legal and scientific infrastructure. This review: (1) lays out the damaging scope and influence of IWT; (2) discusses the potential of DNA marker systems, barcodes, and emerging molecular technologies, such as long-read portable sequencing, to facilitate rapid, in situ identification of species and individuals; and (3) encourages initiatives that promote quality and innovation. Interdisciplinary collaboration promises to be one of the most effective ways forward to surmounting the complex scientific and legal challenges posed by IWT.\nSmallpox, a disease caused by the variola virus, is one of the most dangerous diseases and had killed numerous people before it was eradicated in 1980. However, smallpox has emerged as the most threatening bio-terrorism agent; as the first- and second-generation smallpox vaccines have been controversial and have caused severe adverse reactions, new demands for safe smallpox vaccines have been raised and some attenuated smallpox vaccines have been developed. We have developed a cell culture-based highly attenuated third-generation smallpox vaccine candidate KVAC103 strain by 103 serial passages of the Lancy-Vaxina strain derived from the Lister in Vero cells. Several clones were selected, taking into consideration their shape, size, and growth rate in mammalian cells. The clones were then inoculated intracerebrally in suckling mice to test for neurovirulence by observing survival. Protective immune responses in adult mice were examined by measuring the levels of neutralization antibodies and IFN-γ expression. Among several clones, clone 7 was considered the best alternative candidate because there was no mortality in suckling mice against a lethal challenge. In addition, enhanced neutralizing antibodies and T-cell mediated IFN-γ production were observed in clone 7-immunized mice. Clone 7 was named “KVAC103” and was used for the skin toxicity test and full-genome analysis. KVAC103-inoculated rabbits showed reduced skin lesions compared to those inoculated with the Lister strain, Lancy-Vaxina. A whole genome analysis of KVAC103 revealed two major deleted regions that might contribute to the reduced virulence of KVAC103 compared to the Lister strain. Phylogenetic inference supported the close relationship with the Lister strain. Collectively, our data demonstrate that KVAC103 holds promise for use as a third-generation smallpox vaccine strain due to its enhanced safety and efficacy.\nIn this study, a rapid method for the detection of Central and West Africa clades of Monkeypox virus (MPXV) using recombinase polymerase amplification (RPA) assay targeting the G2R gene was developed. MPXV, an Orthopoxvirus, is a zoonotic dsDNA virus, which is listed as a biothreat agent. RPA was operated at a single constant temperature of 42°C and produced results within 3 to 10 minutes. The MPXV-RPA-assay was highly sensitive with a limit of detection of 16 DNA molecules/μl. The clinical performance of the MPXV-RPA-assay was tested using 47 sera and whole blood samples from humans collected during the recent MPXV outbreak in Nigeria as well as 48 plasma samples from monkeys some of which were experimentally infected with MPXV. The specificity of the MPXV-RPA-assay was 100% (50/50), while the sensitivity was 95% (43/45). This new MPXV-RPA-assay is fast and can be easily utilised at low resource settings using a solar powered mobile suitcase laboratory.\nThe identification of monkeypox in 3 separate patients in the United Kingdom in September raised media and political attention on an emerging public health threat. Nigeria, whose last confirmed case of monkeypox was in 1978, is currently experiencing an unusually large and outbreak of human monkeypox cases, a ‘One Human-Environmental-Animal Health’ approach is being effectively used to define and tackle the outbreak. As of 13th October 2018, there have been one hundred and sixteen confirmed cases the majority of whom are under 40 years. Over the past 20 years ten Central and West African countries have reported monkeypox cases which have risen exponentially. We review the history and evolution of monkeypox outbreaks in Africa and USA, the changing clinical presentations, and discuss possible factors underlying the increasing numbers being detected including the cessation of smallpox vaccination programs. Major knowledge gaps remain on the epidemiology, host reservoir, and emergence, transmission, pathogenesis and prevention of monkeypoz.","container-title":"The Lancet Infectious Diseases","DOI":"10.1016/S1473-3099(03)00856-9","ISSN":"1473-3099","issue":"1","journalAbbreviation":"The Lancet Infectious Diseases","language":"en","page":"15-25","source":"ScienceDirect","title":"Human monkeypox: an emerging zoonosis","title-short":"Human monkeypox","volume":"4","author":[{"family":"Di Giulio","given":"Daniel B"},{"family":"Eckburg","given":"Paul B"}],"issued":{"date-parts":[["2004",1,1]]}}},{"id":1535,"uris":["http://zotero.org/users/5687618/items/R8I6JKUV"],"uri":["http://zotero.org/users/5687618/items/R8I6JKUV"],"itemData":{"id":1535,"type":"article-journal","abstract":"Human monkeypox is a zoonotic Orthopoxvirus with a presentation similar to smallpox. Clinical differentiation of the disease from smallpox and varicella is difficult. Laboratory diagnostics are principal components to identification and surveillance of disease, and new tests are needed for a more precise and rapid diagnosis. The majority of human infections occur in Central Africa, where surveillance in rural areas with poor infrastructure is difficult but can be accomplished with evidence-guided tools and educational materials to inform public health workers of important principles. Contemporary epidemiological studies are needed now that populations do not receive routine smallpox vaccination. New therapeutics and vaccines offer hope for the treatment and prevention of monkeypox; however, more research must be done before they are ready to be deployed in an endemic setting. There is a need for more research in the epidemiology, ecology, and biology of the virus in endemic areas to better understand and prevent human infections.","container-title":"Clinical Infectious Diseases","DOI":"10.1093/cid/cit703","ISSN":"1058-4838","issue":"2","journalAbbreviation":"Clinical Infectious Diseases","page":"260-267","source":"Silverchair","title":"Human Monkeypox","volume":"58","author":[{"family":"McCollum","given":"Andrea M."},{"family":"Damon","given":"Inger K."}],"issued":{"date-parts":[["2014",1,15]]}}}],"schema":"https://github.com/citation-style-language/schema/raw/master/csl-citation.json"} </w:instrText>
      </w:r>
      <w:r w:rsidR="001E46A6" w:rsidRPr="00F66828">
        <w:fldChar w:fldCharType="separate"/>
      </w:r>
      <w:r w:rsidR="001E46A6" w:rsidRPr="00F66828">
        <w:t>[3,</w:t>
      </w:r>
      <w:r w:rsidR="00644163" w:rsidRPr="00F66828">
        <w:t>11</w:t>
      </w:r>
      <w:r w:rsidR="001E46A6" w:rsidRPr="00F66828">
        <w:t>]</w:t>
      </w:r>
      <w:r w:rsidR="001E46A6" w:rsidRPr="00F66828">
        <w:fldChar w:fldCharType="end"/>
      </w:r>
      <w:r w:rsidR="001E46A6" w:rsidRPr="00F66828">
        <w:t xml:space="preserve">. </w:t>
      </w:r>
    </w:p>
    <w:p w14:paraId="1C1D18DC" w14:textId="0C67D400" w:rsidR="005B0E08" w:rsidRPr="00F66828" w:rsidRDefault="24B6FB6C" w:rsidP="005D6B0F">
      <w:r w:rsidRPr="00F66828">
        <w:t xml:space="preserve">This is typically followed by a second phase involving the appearance of a rash lasting 2–3 weeks. The skin lesions typically begin to develop simultaneously and evolve together on any given part of the body, including the oral mucous membranes, conjunctiva, cornea and genitalia, and may be generalised or localised, discrete or confluent. </w:t>
      </w:r>
      <w:r w:rsidR="2D1EE13F" w:rsidRPr="00F66828">
        <w:t xml:space="preserve">In a minority of cases non-simultaneous cropping can occur, as for varicella. </w:t>
      </w:r>
      <w:r w:rsidRPr="00F66828">
        <w:t xml:space="preserve">The evolution of lesions progresses through four stages — macular, papular, vesicular, to pustular — before scabbing over and then healing. </w:t>
      </w:r>
    </w:p>
    <w:p w14:paraId="03A78B2F" w14:textId="39B88FDE" w:rsidR="001E46A6" w:rsidRPr="00F66828" w:rsidRDefault="24B6FB6C" w:rsidP="005D6B0F">
      <w:r w:rsidRPr="00F66828">
        <w:t xml:space="preserve">In </w:t>
      </w:r>
      <w:r w:rsidR="1A8CBEE2" w:rsidRPr="00F66828">
        <w:t>MPXV clade</w:t>
      </w:r>
      <w:r w:rsidR="3A43AD2C" w:rsidRPr="00F66828">
        <w:t xml:space="preserve"> </w:t>
      </w:r>
      <w:r w:rsidR="1A8CBEE2" w:rsidRPr="00F66828">
        <w:t>IIb disease</w:t>
      </w:r>
      <w:r w:rsidRPr="00F66828">
        <w:t xml:space="preserve">, </w:t>
      </w:r>
      <w:r w:rsidR="00BC05BD" w:rsidRPr="00F66828">
        <w:t>previously atypical locations of infection such</w:t>
      </w:r>
      <w:r w:rsidR="58F99137" w:rsidRPr="00F66828">
        <w:t xml:space="preserve"> anogenital and mucosal lesions </w:t>
      </w:r>
      <w:r w:rsidR="00BC05BD" w:rsidRPr="00F66828">
        <w:t xml:space="preserve">were </w:t>
      </w:r>
      <w:r w:rsidR="58F99137" w:rsidRPr="00F66828">
        <w:t>common</w:t>
      </w:r>
      <w:r w:rsidR="00BC05BD" w:rsidRPr="00F66828">
        <w:t xml:space="preserve">. Other features such as </w:t>
      </w:r>
      <w:r w:rsidRPr="00F66828">
        <w:t xml:space="preserve">localised rash without prodromal symptoms and anorectal pain </w:t>
      </w:r>
      <w:r w:rsidR="00BC05BD" w:rsidRPr="00F66828">
        <w:t xml:space="preserve">from proctitis </w:t>
      </w:r>
      <w:r w:rsidRPr="00F66828">
        <w:t>without other clinical features</w:t>
      </w:r>
      <w:r w:rsidR="00BC05BD" w:rsidRPr="00F66828">
        <w:t xml:space="preserve"> have also been observed</w:t>
      </w:r>
      <w:r w:rsidRPr="00F66828">
        <w:t>.</w:t>
      </w:r>
      <w:r w:rsidR="420B7C2C" w:rsidRPr="00F66828">
        <w:t xml:space="preserve"> </w:t>
      </w:r>
      <w:r w:rsidR="004C5A9B" w:rsidRPr="00F66828">
        <w:t xml:space="preserve">Clinical presentation may also be attenuated by prior </w:t>
      </w:r>
      <w:r w:rsidR="00BC05BD" w:rsidRPr="00F66828">
        <w:t xml:space="preserve">infection and/or </w:t>
      </w:r>
      <w:r w:rsidR="004C5A9B" w:rsidRPr="00F66828">
        <w:t xml:space="preserve">vaccination. </w:t>
      </w:r>
      <w:r w:rsidR="420B7C2C" w:rsidRPr="00F66828">
        <w:t>Care is largely supportive</w:t>
      </w:r>
      <w:r w:rsidR="788D8A97" w:rsidRPr="00F66828">
        <w:t xml:space="preserve">. The case fatality rate in mpox patients is estimated to be between </w:t>
      </w:r>
      <w:r w:rsidR="420B7C2C" w:rsidRPr="00F66828">
        <w:lastRenderedPageBreak/>
        <w:t>0–11%</w:t>
      </w:r>
      <w:r w:rsidR="788D8A97" w:rsidRPr="00F66828">
        <w:t xml:space="preserve"> </w:t>
      </w:r>
      <w:r w:rsidRPr="00F66828">
        <w:fldChar w:fldCharType="begin"/>
      </w:r>
      <w:r w:rsidRPr="00F66828">
        <w:instrText xml:space="preserve"> ADDIN ZOTERO_ITEM CSL_CITATION {"citationID":"DNlWvt9t","properties":{"formattedCitation":"[10]","plainCitation":"[10]","noteIndex":0},"citationItems":[{"id":1538,"uris":["http://zotero.org/users/5687618/items/6WJPKAH6"],"uri":["http://zotero.org/users/5687618/items/6WJPKAH6"],"itemData":{"id":1538,"type":"webpage","abstract":"WHO fact sheet on monkeypox: includes key facts, definition, outbreaks, transmission, symptoms, diagnosis, treatment, prevention, WHO response.","language":"en","title":"Monkeypox","URL":"https://www.who.int/news-room/fact-sheets/detail/monkeypox","accessed":{"date-parts":[["2022",5,19]]}}}],"schema":"https://github.com/citation-style-language/schema/raw/master/csl-citation.json"} </w:instrText>
      </w:r>
      <w:r w:rsidRPr="00F66828">
        <w:fldChar w:fldCharType="separate"/>
      </w:r>
      <w:r w:rsidR="420B7C2C" w:rsidRPr="00F66828">
        <w:t>[1</w:t>
      </w:r>
      <w:r w:rsidR="002446FE" w:rsidRPr="00F66828">
        <w:t>2</w:t>
      </w:r>
      <w:r w:rsidR="420B7C2C" w:rsidRPr="00F66828">
        <w:t>]</w:t>
      </w:r>
      <w:r w:rsidRPr="00F66828">
        <w:fldChar w:fldCharType="end"/>
      </w:r>
      <w:r w:rsidR="788D8A97" w:rsidRPr="00F66828">
        <w:t xml:space="preserve">. However, </w:t>
      </w:r>
      <w:r w:rsidR="420B7C2C" w:rsidRPr="00F66828">
        <w:t>there are significant challenges in accurately estimating this rate</w:t>
      </w:r>
      <w:r w:rsidR="00BC05BD" w:rsidRPr="00F66828">
        <w:t xml:space="preserve"> </w:t>
      </w:r>
      <w:r w:rsidRPr="00F66828">
        <w:fldChar w:fldCharType="begin"/>
      </w:r>
      <w:r w:rsidRPr="00F66828">
        <w:instrText xml:space="preserve"> ADDIN ZOTERO_ITEM CSL_CITATION {"citationID":"SvOBG9qq","properties":{"formattedCitation":"[3]","plainCitation":"[3]","noteIndex":0},"citationItems":[{"id":1505,"uris":["http://zotero.org/users/5687618/items/4F478PUP"],"uri":["http://zotero.org/users/5687618/items/4F478PUP"],"itemData":{"id":1505,"type":"article-journal","abstract":"International wildlife trafficking (IWT) is a thriving and pervasive illegal enterprise that adversely affects modern societies. Yet, despite being globally recognized as a threat to biodiversity, national security, economy, and biosecurity, IWT remains largely unabated and is proliferating at an alarming rate. The increase in IWT is generally attributed to a lack of prioritization to curb wildlife crime through legal and scientific infrastructure. This review: (1) lays out the damaging scope and influence of IWT; (2) discusses the potential of DNA marker systems, barcodes, and emerging molecular technologies, such as long-read portable sequencing, to facilitate rapid, in situ identification of species and individuals; and (3) encourages initiatives that promote quality and innovation. Interdisciplinary collaboration promises to be one of the most effective ways forward to surmounting the complex scientific and legal challenges posed by IWT.\nSmallpox, a disease caused by the variola virus, is one of the most dangerous diseases and had killed numerous people before it was eradicated in 1980. However, smallpox has emerged as the most threatening bio-terrorism agent; as the first- and second-generation smallpox vaccines have been controversial and have caused severe adverse reactions, new demands for safe smallpox vaccines have been raised and some attenuated smallpox vaccines have been developed. We have developed a cell culture-based highly attenuated third-generation smallpox vaccine candidate KVAC103 strain by 103 serial passages of the Lancy-Vaxina strain derived from the Lister in Vero cells. Several clones were selected, taking into consideration their shape, size, and growth rate in mammalian cells. The clones were then inoculated intracerebrally in suckling mice to test for neurovirulence by observing survival. Protective immune responses in adult mice were examined by measuring the levels of neutralization antibodies and IFN-γ expression. Among several clones, clone 7 was considered the best alternative candidate because there was no mortality in suckling mice against a lethal challenge. In addition, enhanced neutralizing antibodies and T-cell mediated IFN-γ production were observed in clone 7-immunized mice. Clone 7 was named “KVAC103” and was used for the skin toxicity test and full-genome analysis. KVAC103-inoculated rabbits showed reduced skin lesions compared to those inoculated with the Lister strain, Lancy-Vaxina. A whole genome analysis of KVAC103 revealed two major deleted regions that might contribute to the reduced virulence of KVAC103 compared to the Lister strain. Phylogenetic inference supported the close relationship with the Lister strain. Collectively, our data demonstrate that KVAC103 holds promise for use as a third-generation smallpox vaccine strain due to its enhanced safety and efficacy.\nIn this study, a rapid method for the detection of Central and West Africa clades of Monkeypox virus (MPXV) using recombinase polymerase amplification (RPA) assay targeting the G2R gene was developed. MPXV, an Orthopoxvirus, is a zoonotic dsDNA virus, which is listed as a biothreat agent. RPA was operated at a single constant temperature of 42°C and produced results within 3 to 10 minutes. The MPXV-RPA-assay was highly sensitive with a limit of detection of 16 DNA molecules/μl. The clinical performance of the MPXV-RPA-assay was tested using 47 sera and whole blood samples from humans collected during the recent MPXV outbreak in Nigeria as well as 48 plasma samples from monkeys some of which were experimentally infected with MPXV. The specificity of the MPXV-RPA-assay was 100% (50/50), while the sensitivity was 95% (43/45). This new MPXV-RPA-assay is fast and can be easily utilised at low resource settings using a solar powered mobile suitcase laboratory.\nThe identification of monkeypox in 3 separate patients in the United Kingdom in September raised media and political attention on an emerging public health threat. Nigeria, whose last confirmed case of monkeypox was in 1978, is currently experiencing an unusually large and outbreak of human monkeypox cases, a ‘One Human-Environmental-Animal Health’ approach is being effectively used to define and tackle the outbreak. As of 13th October 2018, there have been one hundred and sixteen confirmed cases the majority of whom are under 40 years. Over the past 20 years ten Central and West African countries have reported monkeypox cases which have risen exponentially. We review the history and evolution of monkeypox outbreaks in Africa and USA, the changing clinical presentations, and discuss possible factors underlying the increasing numbers being detected including the cessation of smallpox vaccination programs. Major knowledge gaps remain on the epidemiology, host reservoir, and emergence, transmission, pathogenesis and prevention of monkeypoz.","container-title":"The Lancet Infectious Diseases","DOI":"10.1016/S1473-3099(03)00856-9","ISSN":"1473-3099","issue":"1","journalAbbreviation":"The Lancet Infectious Diseases","language":"en","page":"15-25","source":"ScienceDirect","title":"Human monkeypox: an emerging zoonosis","title-short":"Human monkeypox","volume":"4","author":[{"family":"Di Giulio","given":"Daniel B"},{"family":"Eckburg","given":"Paul B"}],"issued":{"date-parts":[["2004",1,1]]}}}],"schema":"https://github.com/citation-style-language/schema/raw/master/csl-citation.json"} </w:instrText>
      </w:r>
      <w:r w:rsidRPr="00F66828">
        <w:fldChar w:fldCharType="separate"/>
      </w:r>
      <w:r w:rsidR="420B7C2C" w:rsidRPr="00F66828">
        <w:t>[3]</w:t>
      </w:r>
      <w:r w:rsidRPr="00F66828">
        <w:fldChar w:fldCharType="end"/>
      </w:r>
      <w:r w:rsidR="420B7C2C" w:rsidRPr="00F66828">
        <w:t xml:space="preserve">. </w:t>
      </w:r>
      <w:r w:rsidR="514F17A9" w:rsidRPr="00F66828">
        <w:t xml:space="preserve">Case fatality </w:t>
      </w:r>
      <w:r w:rsidR="19B2B277" w:rsidRPr="00F66828">
        <w:t>rates are</w:t>
      </w:r>
      <w:r w:rsidR="514F17A9" w:rsidRPr="00F66828">
        <w:t xml:space="preserve"> lower for </w:t>
      </w:r>
      <w:r w:rsidR="0B4B8140" w:rsidRPr="00F66828">
        <w:t xml:space="preserve">patients infected with </w:t>
      </w:r>
      <w:r w:rsidR="00EB278F" w:rsidRPr="00F66828">
        <w:t xml:space="preserve">clade </w:t>
      </w:r>
      <w:r w:rsidR="788D8A97" w:rsidRPr="00F66828">
        <w:t>II</w:t>
      </w:r>
      <w:r w:rsidR="000206C0" w:rsidRPr="00F66828">
        <w:t>b</w:t>
      </w:r>
      <w:r w:rsidR="1820E7A7" w:rsidRPr="00F66828">
        <w:t xml:space="preserve"> </w:t>
      </w:r>
      <w:r w:rsidR="00EB278F" w:rsidRPr="00F66828">
        <w:t xml:space="preserve">and clade Ib viruses </w:t>
      </w:r>
      <w:r w:rsidR="009D47E7" w:rsidRPr="00F66828">
        <w:t xml:space="preserve">(&lt;1%) </w:t>
      </w:r>
      <w:r w:rsidR="514F17A9" w:rsidRPr="00F66828">
        <w:t xml:space="preserve">compared to </w:t>
      </w:r>
      <w:r w:rsidR="00EB278F" w:rsidRPr="00F66828">
        <w:t xml:space="preserve">clade </w:t>
      </w:r>
      <w:r w:rsidR="788D8A97" w:rsidRPr="00F66828">
        <w:t>I</w:t>
      </w:r>
      <w:r w:rsidR="00BC05BD" w:rsidRPr="00F66828">
        <w:t>a</w:t>
      </w:r>
      <w:r w:rsidR="44B9D16E" w:rsidRPr="00F66828">
        <w:t xml:space="preserve"> </w:t>
      </w:r>
      <w:r w:rsidR="000206C0" w:rsidRPr="00F66828">
        <w:t xml:space="preserve">(5-10%) </w:t>
      </w:r>
      <w:r w:rsidR="00EB278F" w:rsidRPr="00F66828">
        <w:t>viruses</w:t>
      </w:r>
      <w:r w:rsidR="514F17A9" w:rsidRPr="00F66828">
        <w:t xml:space="preserve">. </w:t>
      </w:r>
      <w:r w:rsidR="420B7C2C" w:rsidRPr="00F66828">
        <w:t xml:space="preserve">Clinical presentation is </w:t>
      </w:r>
      <w:proofErr w:type="gramStart"/>
      <w:r w:rsidR="420B7C2C" w:rsidRPr="00F66828">
        <w:t>similar to</w:t>
      </w:r>
      <w:proofErr w:type="gramEnd"/>
      <w:r w:rsidR="420B7C2C" w:rsidRPr="00F66828">
        <w:t xml:space="preserve"> smallpox, although the development of lymphadenopathy is generally not seen with smallpox. </w:t>
      </w:r>
    </w:p>
    <w:p w14:paraId="4D932E7D" w14:textId="14885FD9" w:rsidR="001E46A6" w:rsidRPr="005D6B0F" w:rsidRDefault="001E46A6" w:rsidP="005D6B0F">
      <w:r w:rsidRPr="005D6B0F">
        <w:t xml:space="preserve">Human-to-human transmission </w:t>
      </w:r>
      <w:r w:rsidR="005B0E08" w:rsidRPr="005D6B0F">
        <w:t>is by</w:t>
      </w:r>
      <w:r w:rsidRPr="005D6B0F">
        <w:t xml:space="preserve"> close physical contact, contaminated fomites and respiratory droplets</w:t>
      </w:r>
      <w:r w:rsidR="00511E53" w:rsidRPr="005D6B0F">
        <w:t xml:space="preserve"> </w:t>
      </w:r>
      <w:r w:rsidRPr="005D6B0F">
        <w:fldChar w:fldCharType="begin"/>
      </w:r>
      <w:r w:rsidRPr="005D6B0F">
        <w:instrText xml:space="preserve"> ADDIN ZOTERO_ITEM CSL_CITATION {"citationID":"OJtbia9A","properties":{"formattedCitation":"[11\\uc0\\u8211{}14]","plainCitation":"[11–14]","noteIndex":0},"citationItems":[{"id":1540,"uris":["http://zotero.org/users/5687618/items/ZLTZS5NC"],"uri":["http://zotero.org/users/5687618/items/ZLTZS5NC"],"itemData":{"id":1540,"type":"webpage","abstract":"Transmission of Monkeypox. Monkeypox is a viral disease that occurs mostly in central and western Africa. It is called monkeypox because it was first identified in laboratory monkeys. However, it is much more common among animals such as rats, mice, rabbits, and the African Squirrel.","language":"en-us","title":"Transmission | Monkeypox | Poxvirus | CDC","URL":"https://www.cdc.gov/poxvirus/monkeypox/transmission.html","accessed":{"date-parts":[["2022",5,19]]},"issued":{"date-parts":[["2021",7,16]]}}},{"id":1542,"uris":["http://zotero.org/users/5687618/items/HH7VFISG"],"uri":["http://zotero.org/users/5687618/items/HH7VFISG"],"itemData":{"id":1542,"type":"article-journal","abstract":"During the outbreak, 50% of household members living with an infected person developed symptom of monkeypox infection., A 600-fold increase in monkeypox cases occurred in the Bokungu Health Zone of the Democratic Republic of the Congo during the second half of 2013; this increase prompted an outbreak investigation. A total of 104 possible cases were reported from this health zone; among 60 suspected cases that were tested, 50 (48.1%) cases were confirmed by laboratory testing, and 10 (9.6%) tested negative for monkeypox virus (MPXV) infection. The household attack rate (i.e., rate of persons living with an infected person that develop symptoms of MPXV infection) was 50%. Nine families showed &gt;1 transmission event, and &gt;6 transmission events occurred within this health zone. Mean incubation period was 8 days (range 4–14 days). The high attack rate and transmission observed in this study reinforce the importance of surveillance and rapid identification of monkeypox cases. Community education and training are needed to prevent transmission of MPXV infection during outbreaks.","container-title":"Emerging Infectious Diseases","DOI":"10.3201/eid2206.150579","ISSN":"1080-6040","issue":"6","journalAbbreviation":"Emerg Infect Dis","note":"PMID: 27191380\nPMCID: PMC4880088","page":"1014-1021","source":"PubMed Central","title":"Extended Human-to-Human Transmission during a Monkeypox Outbreak in the Democratic Republic of the Congo","volume":"22","author":[{"family":"Nolen","given":"Leisha Diane"},{"family":"Osadebe","given":"Lynda"},{"family":"Katomba","given":"Jacques"},{"family":"Likofata","given":"Jacques"},{"family":"Mukadi","given":"Daniel"},{"family":"Monroe","given":"Benjamin"},{"family":"Doty","given":"Jeffrey"},{"family":"Hughes","given":"Christine Marie"},{"family":"Kabamba","given":"Joelle"},{"family":"Malekani","given":"Jean"},{"family":"Bomponda","given":"Pierre Lokwa"},{"family":"Lokota","given":"Jules Inonga"},{"family":"Balilo","given":"Marcel Pie"},{"family":"Likafi","given":"Toutou"},{"family":"Lushima","given":"Robert Shongo"},{"family":"Ilunga","given":"Benoit Kebela"},{"family":"Nkawa","given":"Frida"},{"family":"Pukuta","given":"Elisabeth"},{"family":"Karhemere","given":"Stomy"},{"family":"Tamfum","given":"Jean-Jacques Muyembe"},{"family":"Nguete","given":"Beatrice"},{"family":"Wemakoy","given":"Emile Okitolonda"},{"family":"McCollum","given":"Andrea M."},{"family":"Reynolds","given":"Mary G."}],"issued":{"date-parts":[["2016",6]]}}},{"id":1545,"uris":["http://zotero.org/users/5687618/items/YMSPEIZ3"],"uri":["http://zotero.org/users/5687618/items/YMSPEIZ3"],"itemData":{"id":1545,"type":"article-journal","abstract":"Background. In 2003, human monkeypox was first identified in the United States. The outbreak was associated with exposure to infected prairie dogs, but the potential for person-to-person transmission was a concern. This study examines health care worker (HCW) exposure to 3 patients with confirmed monkeypox.Methods. Exposed HCWs, defined as HCWs who entered a 2-m radius surrounding case patients with confirmed monkeypox, were identified by infection-control practitioners. A self-administered questionnaire and analysis of paired serum specimens determined exposure status, immune response, and postexposure signs and symptoms of monkeypox.Results. Of 81 exposed HCWs, 57 (70%) participated in the study. Among 57 participants, 40 (70%) had </w:instrText>
      </w:r>
      <w:r w:rsidRPr="005D6B0F">
        <w:rPr>
          <w:rFonts w:ascii="Cambria Math" w:hAnsi="Cambria Math" w:cs="Cambria Math"/>
        </w:rPr>
        <w:instrText>⩾</w:instrText>
      </w:r>
      <w:r w:rsidRPr="005D6B0F">
        <w:instrText xml:space="preserve">1 unprotected exposure; none reported signs or symptoms consistent with monkeypox illness. One exposed HCW (2%), who had been vaccinated for smallpox within the past year, had serological evidence of recent orthopoxvirus infection; acute- and convalescent-phase serum specimens tested positive for anti-orthopoxvirus IgM. No exposed HCWs had signs and symptoms consistent with monkeypox.Conclusion. More than three-quarters of exposed HCWs reported at least 1 unprotected encounter with a patient who had monkeypox. One asymptomatic HCW showed laboratory evidence of recent orthopoxvirus infection, which was possibly attributable to either recent infection or smallpox vaccination. Transmission of monkeypox likely is a rare event in the health care setting.","container-title":"Clinical Infectious Diseases","DOI":"10.1086/427805","ISSN":"1058-4838","issue":"5","journalAbbreviation":"Clinical Infectious Diseases","page":"689-694","source":"Silverchair","title":"Evaluation of Human-to-Human Transmission of Monkeypox from Infected Patients to Health Care Workers","volume":"40","author":[{"family":"Fleischauer","given":"Aaron T."},{"family":"Kile","given":"James C."},{"family":"Davidson","given":"Molly"},{"family":"Fischer","given":"Marc"},{"family":"Karem","given":"Kevin L."},{"family":"Teclaw","given":"Robert"},{"family":"Messersmith","given":"Hans"},{"family":"Pontones","given":"Pamela"},{"family":"Beard","given":"Bradley A."},{"family":"Braden","given":"Zachary H."},{"family":"Cono","given":"Joanne"},{"family":"Sejvar","given":"James J."},{"family":"Khan","given":"Ali S."},{"family":"Damon","given":"Inger"},{"family":"Kuehnert","given":"Matthew J."}],"issued":{"date-parts":[["2005",3,1]]}}},{"id":1548,"uris":["http://zotero.org/users/5687618/items/8TPBLQ7N"],"uri":["http://zotero.org/users/5687618/items/8TPBLQ7N"],"itemData":{"id":1548,"type":"article-journal","abstract":"Human monkeypox is a zoonotic smallpox-like disease caused by an orthopoxvirus of interhuman transmissibility too low to sustain spread in susceptible populations. In February 1997, 88 cases of febrile pustular rash were identified for the previous 12 months in 12 villages of the Katako-Kombe Health Zone, Democratic Republic of Congo (attack rate = 22 per 1,000; case-fatality rate = 3.7%). Seven were active cases confirmed by virus isolation. Orthopoxvirus- neutralizing antibodies were detected in 54% of 72 patients who provided serum and 25% of 59 wild-caught animals, mainly squirrels. Hemagglutination-inhibition assays and Western blotting detected antibodies in 68% and 73% of patients, respectively. Vaccinia vaccination, which protects against monkeypox, ceased by 1983 after global smallpox eradication, leading to an increase in the proportion of susceptible people.","container-title":"Emerging Infectious Diseases","ISSN":"1080-6040","issue":"3","journalAbbreviation":"Emerg Infect Dis","note":"PMID: 11384521\nPMCID: PMC2631782","page":"434-438","source":"PubMed Central","title":"Outbreak of human monkeypox, Democratic Republic of Congo, 1996 to 1997.","volume":"7","author":[{"family":"Hutin","given":"Y J"},{"family":"Williams","given":"R J"},{"family":"Malfait","given":"P"},{"family":"Pebody","given":"R"},{"family":"Loparev","given":"V N"},{"family":"Ropp","given":"S L"},{"family":"Rodriguez","given":"M"},{"family":"Knight","given":"J C"},{"family":"Tshioko","given":"F K"},{"family":"Khan","given":"A S"},{"family":"Szczeniowski","given":"M V"},{"family":"Esposito","given":"J J"}],"issued":{"date-parts":[["2001"]]}}}],"schema":"https://github.com/citation-style-language/schema/raw/master/csl-citation.json"} </w:instrText>
      </w:r>
      <w:r w:rsidRPr="005D6B0F">
        <w:fldChar w:fldCharType="separate"/>
      </w:r>
      <w:r w:rsidRPr="005D6B0F">
        <w:t>[1</w:t>
      </w:r>
      <w:r w:rsidR="000D23CC" w:rsidRPr="005D6B0F">
        <w:t>2-15</w:t>
      </w:r>
      <w:r w:rsidRPr="005D6B0F">
        <w:t>]</w:t>
      </w:r>
      <w:r w:rsidRPr="005D6B0F">
        <w:fldChar w:fldCharType="end"/>
      </w:r>
      <w:r w:rsidRPr="005D6B0F">
        <w:t>. Transmission can also occur from direct contact with infected animals.</w:t>
      </w:r>
    </w:p>
    <w:p w14:paraId="226B55E4" w14:textId="40CA3901" w:rsidR="001E46A6" w:rsidRPr="005D6B0F" w:rsidRDefault="420B7C2C" w:rsidP="005D6B0F">
      <w:r w:rsidRPr="005D6B0F">
        <w:t>Vaccinia vaccination using a live-virus preparation of vaccinia virus (A</w:t>
      </w:r>
      <w:r w:rsidR="28145D50" w:rsidRPr="005D6B0F">
        <w:t>CAM</w:t>
      </w:r>
      <w:r w:rsidRPr="005D6B0F">
        <w:t>200</w:t>
      </w:r>
      <w:r w:rsidR="28145D50" w:rsidRPr="005D6B0F">
        <w:t>0</w:t>
      </w:r>
      <w:r w:rsidR="14BAE835" w:rsidRPr="005D6B0F">
        <w:t>™</w:t>
      </w:r>
      <w:r w:rsidRPr="005D6B0F">
        <w:t xml:space="preserve">) is cross-protective against </w:t>
      </w:r>
      <w:proofErr w:type="spellStart"/>
      <w:r w:rsidRPr="005D6B0F">
        <w:t>Orthopoxvirus</w:t>
      </w:r>
      <w:proofErr w:type="spellEnd"/>
      <w:r w:rsidRPr="005D6B0F">
        <w:t xml:space="preserve"> infection and was used for widespread vaccination against smallpox. Epidemiological evidence suggests that vaccinia vaccination has some protection against m</w:t>
      </w:r>
      <w:r w:rsidR="0C5420AB" w:rsidRPr="005D6B0F">
        <w:t xml:space="preserve">pox </w:t>
      </w:r>
      <w:r w:rsidR="001E46A6" w:rsidRPr="005D6B0F">
        <w:fldChar w:fldCharType="begin"/>
      </w:r>
      <w:r w:rsidR="001E46A6" w:rsidRPr="005D6B0F">
        <w:instrText xml:space="preserve"> ADDIN ZOTERO_ITEM CSL_CITATION {"citationID":"wDASUUuI","properties":{"formattedCitation":"[15,16]","plainCitation":"[15,16]","noteIndex":0},"citationItems":[{"id":1550,"uris":["http://zotero.org/users/5687618/items/CUB3XE28"],"uri":["http://zotero.org/users/5687618/items/CUB3XE28"],"itemData":{"id":1550,"type":"article-journal","abstract":"Data on monkeypox in Zaire over the five years 1980–1984 are analysed to assess the protection imparted by past smallpox vaccination and the transmission potential of the virus in unveccinated communities. Attack rates In individuals with and without vaccination scars indicated that smallpox vaccination (discontinued In 1980) imparted approximately 85% protection against monkeypox. It is predicted that monkeypox virus will continue to be introduced into human communities from animal sources, and that the average magnitude and duration of monkeypox epidemics will increase as vaccine-derived protection declines in the population. On the other hand, current evidence Indicates that the virus is appreciably less transmissible than was smallpox, and that it will not persist In human communities, even in the total absence of vaccination. The findings thus support the recommendation of the Global Commission for the Certification of Smallpox Eradication to cease routine smallpox vaccination in monkeypox endemic areas, but to encourage continued epidemiological surveillance.","container-title":"International Journal of Epidemiology","DOI":"10.1093/ije/17.3.643","ISSN":"0300-5771","issue":"3","journalAbbreviation":"International Journal of Epidemiology","page":"643-650","source":"Silverchair","title":"The Transmission Potential of Monkeypox Virus in Human Populations","volume":"17","author":[{"family":"FINE","given":"P E M"},{"family":"JEZEK","given":"Z"},{"family":"GRAB","given":"B"},{"family":"DIXON","given":"H"}],"issued":{"date-parts":[["1988",9,1]]}}},{"id":1552,"uris":["http://zotero.org/users/5687618/items/U5MVQ2XH"],"uri":["http://zotero.org/users/5687618/items/U5MVQ2XH"],"itemData":{"id":1552,"type":"article-journal","abstract":"Studies on the burden of human monkeypox in the Democratic Republic of the Congo (DRC) were last conducted from 1981 to 1986. Since then, the population that is immunologically naïve to orthopoxviruses has increased significantly due to cessation of mass smallpox vaccination campaigns. To assess the current risk of infection, we analyzed human monkeypox incidence trends in a monkeypox-enzootic region. Active, population-based surveillance was conducted in nine health zones in central DRC. Epidemiologic data and biological samples were obtained from suspected cases. Cumulative incidence (per 10,000 population) and major determinants of infection were compared with data from active surveillance in similar regions from 1981 to 1986. Between November 2005 and November 2007, 760 laboratory-confirmed human monkeypox cases were identified in participating health zones. The average annual cumulative incidence across zones was 5.53 per 10,000 (2.18-14.42). Factors associated with increased risk of infection included: living in forested areas, male gender, age &lt; 15, and no prior smallpox vaccination. Vaccinated persons had a 5.2-fold lower risk of monkeypox than unvaccinated persons (0.78 vs. 4.05 per 10,000). Comparison of active surveillance data in the same health zone from the 1980s (0.72 per 10,000) and 2006-07 (14.42 per 10,000) suggests a 20-fold increase in human monkeypox incidence. Thirty years after mass smallpox vaccination campaigns ceased, human monkeypox incidence has dramatically increased in rural DRC. Improved surveillance and epidemiological analysis is needed to better assess the public health burden and develop strategies for reducing the risk of wider spread of infection.","container-title":"Proceedings of the National Academy of Sciences of the United States of America","DOI":"10.1073/pnas.1005769107","ISSN":"1091-6490","issue":"37","journalAbbreviation":"Proc Natl Acad Sci U S A","language":"eng","note":"PMID: 20805472\nPMCID: PMC2941342","page":"16262-16267","source":"PubMed","title":"Major increase in human monkeypox incidence 30 years after smallpox vaccination campaigns cease in the Democratic Republic of Congo","volume":"107","author":[{"family":"Rimoin","given":"Anne W."},{"family":"Mulembakani","given":"Prime M."},{"family":"Johnston","given":"Sara C."},{"family":"Lloyd Smith","given":"James O."},{"family":"Kisalu","given":"Neville K."},{"family":"Kinkela","given":"Timothee L."},{"family":"Blumberg","given":"Seth"},{"family":"Thomassen","given":"Henri A."},{"family":"Pike","given":"Brian L."},{"family":"Fair","given":"Joseph N."},{"family":"Wolfe","given":"Nathan D."},{"family":"Shongo","given":"Robert L."},{"family":"Graham","given":"Barney S."},{"family":"Formenty","given":"Pierre"},{"family":"Okitolonda","given":"Emile"},{"family":"Hensley","given":"Lisa E."},{"family":"Meyer","given":"Hermann"},{"family":"Wright","given":"Linda L."},{"family":"Muyembe","given":"Jean-Jacques"}],"issued":{"date-parts":[["2010",9,14]]}}}],"schema":"https://github.com/citation-style-language/schema/raw/master/csl-citation.json"} </w:instrText>
      </w:r>
      <w:r w:rsidR="001E46A6" w:rsidRPr="005D6B0F">
        <w:fldChar w:fldCharType="separate"/>
      </w:r>
      <w:r w:rsidRPr="005D6B0F">
        <w:t>[1</w:t>
      </w:r>
      <w:r w:rsidR="00A1328D" w:rsidRPr="005D6B0F">
        <w:t>6</w:t>
      </w:r>
      <w:r w:rsidRPr="005D6B0F">
        <w:t>,1</w:t>
      </w:r>
      <w:r w:rsidR="00A1328D" w:rsidRPr="005D6B0F">
        <w:t>7</w:t>
      </w:r>
      <w:r w:rsidRPr="005D6B0F">
        <w:t>]</w:t>
      </w:r>
      <w:r w:rsidR="001E46A6" w:rsidRPr="005D6B0F">
        <w:fldChar w:fldCharType="end"/>
      </w:r>
      <w:r w:rsidRPr="005D6B0F">
        <w:t>. In the US</w:t>
      </w:r>
      <w:r w:rsidR="58F99137" w:rsidRPr="005D6B0F">
        <w:t xml:space="preserve">, </w:t>
      </w:r>
      <w:r w:rsidR="755E1094" w:rsidRPr="005D6B0F">
        <w:t xml:space="preserve">(MVA-BN) </w:t>
      </w:r>
      <w:r w:rsidR="58F99137" w:rsidRPr="005D6B0F">
        <w:t>JYNNEOSÒ,</w:t>
      </w:r>
      <w:r w:rsidRPr="005D6B0F">
        <w:t xml:space="preserve"> a newer vaccinia-based, live attenuated vaccine </w:t>
      </w:r>
      <w:r w:rsidR="58F99137" w:rsidRPr="005D6B0F">
        <w:t>w</w:t>
      </w:r>
      <w:r w:rsidRPr="005D6B0F">
        <w:t xml:space="preserve">as specifically licensed for the prevention of </w:t>
      </w:r>
      <w:r w:rsidR="342BF0E1" w:rsidRPr="005D6B0F">
        <w:t xml:space="preserve">mpox </w:t>
      </w:r>
      <w:r w:rsidR="001E46A6" w:rsidRPr="005D6B0F">
        <w:fldChar w:fldCharType="begin"/>
      </w:r>
      <w:r w:rsidR="001E46A6" w:rsidRPr="005D6B0F">
        <w:instrText xml:space="preserve"> ADDIN ZOTERO_ITEM CSL_CITATION {"citationID":"RbZr3x8Q","properties":{"formattedCitation":"[17]","plainCitation":"[17]","noteIndex":0},"citationItems":[{"id":1555,"uris":["http://zotero.org/users/5687618/items/ZCCWUK4N"],"uri":["http://zotero.org/users/5687618/items/ZCCWUK4N"],"itemData":{"id":1555,"type":"webpage","abstract":"FDA announced approval of Jynneos for the prevention of smallpox and monkeypox disease in adults 18 years of age and older determined to be at high risk","container-title":"FDA","language":"en","note":"publisher: FDA","title":"FDA approves first live, non-replicating vaccine to prevent smallpox and monkeypox","URL":"https://www.fda.gov/news-events/press-announcements/fda-approves-first-live-non-replicating-vaccine-prevent-smallpox-and-monkeypox","author":[{"family":"Commissioner","given":"Office","dropping-particle":"of the"}],"accessed":{"date-parts":[["2022",5,19]]},"issued":{"date-parts":[["2020",3,24]]}}}],"schema":"https://github.com/citation-style-language/schema/raw/master/csl-citation.json"} </w:instrText>
      </w:r>
      <w:r w:rsidR="001E46A6" w:rsidRPr="005D6B0F">
        <w:fldChar w:fldCharType="separate"/>
      </w:r>
      <w:r w:rsidRPr="005D6B0F">
        <w:t>[1</w:t>
      </w:r>
      <w:r w:rsidR="00D44EC3" w:rsidRPr="005D6B0F">
        <w:t>8</w:t>
      </w:r>
      <w:r w:rsidRPr="005D6B0F">
        <w:t>]</w:t>
      </w:r>
      <w:r w:rsidR="001E46A6" w:rsidRPr="005D6B0F">
        <w:fldChar w:fldCharType="end"/>
      </w:r>
      <w:r w:rsidR="58F99137" w:rsidRPr="005D6B0F">
        <w:t>, and this vaccine was also rolled out in Australia in 2022</w:t>
      </w:r>
      <w:r w:rsidRPr="005D6B0F">
        <w:t xml:space="preserve">. Cessation of vaccinia vaccination worldwide (including in Australia) following smallpox eradication means that populations remain largely susceptible to </w:t>
      </w:r>
      <w:r w:rsidR="4EEAEF41" w:rsidRPr="005D6B0F">
        <w:t>MPXV</w:t>
      </w:r>
      <w:r w:rsidRPr="005D6B0F">
        <w:t xml:space="preserve"> infection.</w:t>
      </w:r>
    </w:p>
    <w:p w14:paraId="2015E080" w14:textId="7562C370" w:rsidR="00EF24F4" w:rsidRPr="005D6B0F" w:rsidRDefault="00D67B8E" w:rsidP="005D6B0F">
      <w:pPr>
        <w:pStyle w:val="Heading1"/>
      </w:pPr>
      <w:r w:rsidRPr="005D6B0F">
        <w:t>L</w:t>
      </w:r>
      <w:r w:rsidR="00EF24F4" w:rsidRPr="005D6B0F">
        <w:t>aboratory diagnos</w:t>
      </w:r>
      <w:r w:rsidR="002713C6" w:rsidRPr="005D6B0F">
        <w:t>i</w:t>
      </w:r>
      <w:r w:rsidR="00EF24F4" w:rsidRPr="005D6B0F">
        <w:t>s</w:t>
      </w:r>
    </w:p>
    <w:p w14:paraId="1FFDBA78" w14:textId="5AC83DFE" w:rsidR="002713C6" w:rsidRPr="005D6B0F" w:rsidRDefault="002713C6" w:rsidP="005D6B0F">
      <w:pPr>
        <w:pStyle w:val="Heading2"/>
      </w:pPr>
      <w:r w:rsidRPr="005D6B0F">
        <w:t>Test method</w:t>
      </w:r>
    </w:p>
    <w:p w14:paraId="0E524B39" w14:textId="77777777" w:rsidR="002713C6" w:rsidRPr="005D6B0F" w:rsidRDefault="002713C6" w:rsidP="005D6B0F">
      <w:pPr>
        <w:pStyle w:val="Heading3"/>
      </w:pPr>
      <w:r w:rsidRPr="005D6B0F">
        <w:t>Nucleic acid amplification tests</w:t>
      </w:r>
    </w:p>
    <w:p w14:paraId="061C8FD8" w14:textId="096E7CA7" w:rsidR="002713C6" w:rsidRPr="005D6B0F" w:rsidRDefault="68EAFDE0" w:rsidP="005D6B0F">
      <w:r w:rsidRPr="005D6B0F">
        <w:t xml:space="preserve">Multiple in-house </w:t>
      </w:r>
      <w:r w:rsidR="373228F2" w:rsidRPr="005D6B0F">
        <w:t>nucleic acid amplification (</w:t>
      </w:r>
      <w:r w:rsidRPr="005D6B0F">
        <w:t>NAA</w:t>
      </w:r>
      <w:r w:rsidR="373228F2" w:rsidRPr="005D6B0F">
        <w:t>)</w:t>
      </w:r>
      <w:r w:rsidRPr="005D6B0F">
        <w:t xml:space="preserve"> assays have been described for detection of </w:t>
      </w:r>
      <w:proofErr w:type="spellStart"/>
      <w:r w:rsidRPr="005D6B0F">
        <w:t>Orthopoxviruses</w:t>
      </w:r>
      <w:proofErr w:type="spellEnd"/>
      <w:r w:rsidRPr="005D6B0F">
        <w:t xml:space="preserve"> including </w:t>
      </w:r>
      <w:r w:rsidR="720BC043" w:rsidRPr="005D6B0F">
        <w:t>MPXV</w:t>
      </w:r>
      <w:r w:rsidRPr="005D6B0F">
        <w:t xml:space="preserve"> using both gel-</w:t>
      </w:r>
      <w:r w:rsidR="004B72CB" w:rsidRPr="005D6B0F">
        <w:t xml:space="preserve">electrophoresis </w:t>
      </w:r>
      <w:r w:rsidRPr="005D6B0F">
        <w:t>based and real time methods</w:t>
      </w:r>
      <w:r w:rsidR="00E92B1B" w:rsidRPr="005D6B0F">
        <w:t xml:space="preserve"> </w:t>
      </w:r>
      <w:r w:rsidRPr="005D6B0F">
        <w:t xml:space="preserve">[1]. </w:t>
      </w:r>
      <w:r w:rsidR="005A4055" w:rsidRPr="005D6B0F">
        <w:t>Commercial a</w:t>
      </w:r>
      <w:r w:rsidRPr="005D6B0F">
        <w:t xml:space="preserve">ssays for the specific detection of </w:t>
      </w:r>
      <w:r w:rsidR="005A4055" w:rsidRPr="005D6B0F">
        <w:t>MPXV</w:t>
      </w:r>
      <w:r w:rsidRPr="005D6B0F">
        <w:t xml:space="preserve"> </w:t>
      </w:r>
      <w:r w:rsidR="005A4055" w:rsidRPr="005D6B0F">
        <w:t>are available overseas and in Australia</w:t>
      </w:r>
      <w:r w:rsidR="00BC05BD" w:rsidRPr="005D6B0F">
        <w:t xml:space="preserve"> </w:t>
      </w:r>
      <w:r w:rsidRPr="005D6B0F">
        <w:t>[</w:t>
      </w:r>
      <w:r w:rsidR="4F7533C6" w:rsidRPr="005D6B0F">
        <w:t>1</w:t>
      </w:r>
      <w:r w:rsidR="00D44EC3" w:rsidRPr="005D6B0F">
        <w:t>9</w:t>
      </w:r>
      <w:r w:rsidR="4F7533C6" w:rsidRPr="005D6B0F">
        <w:t>,</w:t>
      </w:r>
      <w:r w:rsidR="00D44EC3" w:rsidRPr="005D6B0F">
        <w:t>20</w:t>
      </w:r>
      <w:r w:rsidR="0AF24BD5" w:rsidRPr="005D6B0F">
        <w:t>]. At the time of writing</w:t>
      </w:r>
      <w:r w:rsidR="005A4055" w:rsidRPr="005D6B0F">
        <w:t>,</w:t>
      </w:r>
      <w:r w:rsidR="0AF24BD5" w:rsidRPr="005D6B0F">
        <w:t xml:space="preserve"> one commercially supplied test kit for the detection of </w:t>
      </w:r>
      <w:r w:rsidR="005A4055" w:rsidRPr="005D6B0F">
        <w:t>MPXV</w:t>
      </w:r>
      <w:r w:rsidR="0AF24BD5" w:rsidRPr="005D6B0F">
        <w:t xml:space="preserve"> is registered on the Australian Register of Therapeutic Goods (ARTG) (</w:t>
      </w:r>
      <w:hyperlink r:id="rId12">
        <w:r w:rsidR="0AF24BD5" w:rsidRPr="005D6B0F">
          <w:rPr>
            <w:rStyle w:val="Hyperlink"/>
            <w:color w:val="000000" w:themeColor="text1"/>
            <w:u w:val="none"/>
          </w:rPr>
          <w:t>ARTG 407409</w:t>
        </w:r>
      </w:hyperlink>
      <w:r w:rsidR="0AF24BD5" w:rsidRPr="005D6B0F">
        <w:t xml:space="preserve">). </w:t>
      </w:r>
      <w:r w:rsidR="58F99137" w:rsidRPr="005D6B0F">
        <w:t xml:space="preserve">In-house and commercial assays typically target the F3L, G2R or TNF receptor genes. Evaluations of </w:t>
      </w:r>
      <w:r w:rsidR="00A63584" w:rsidRPr="005D6B0F">
        <w:t xml:space="preserve">some of </w:t>
      </w:r>
      <w:r w:rsidR="58F99137" w:rsidRPr="005D6B0F">
        <w:t>these assays show comparable limits of detection</w:t>
      </w:r>
      <w:r w:rsidR="76A80B80" w:rsidRPr="005D6B0F">
        <w:t xml:space="preserve"> </w:t>
      </w:r>
      <w:r w:rsidR="58F99137" w:rsidRPr="005D6B0F">
        <w:t>[2</w:t>
      </w:r>
      <w:r w:rsidR="00D44EC3" w:rsidRPr="005D6B0F">
        <w:t>1</w:t>
      </w:r>
      <w:r w:rsidR="58F99137" w:rsidRPr="005D6B0F">
        <w:t xml:space="preserve">]. </w:t>
      </w:r>
      <w:r w:rsidRPr="005D6B0F">
        <w:t xml:space="preserve">Multiplex NAA assays which differentiate Clades I and II of the </w:t>
      </w:r>
      <w:r w:rsidR="005A4055" w:rsidRPr="005D6B0F">
        <w:t>MPXV</w:t>
      </w:r>
      <w:r w:rsidRPr="005D6B0F">
        <w:t xml:space="preserve"> have been described</w:t>
      </w:r>
      <w:r w:rsidR="16320CA8" w:rsidRPr="005D6B0F">
        <w:t xml:space="preserve"> </w:t>
      </w:r>
      <w:r w:rsidRPr="005D6B0F">
        <w:t>[</w:t>
      </w:r>
      <w:r w:rsidR="4F7533C6" w:rsidRPr="005D6B0F">
        <w:t>2</w:t>
      </w:r>
      <w:r w:rsidR="00D44EC3" w:rsidRPr="005D6B0F">
        <w:t>2</w:t>
      </w:r>
      <w:r w:rsidRPr="005D6B0F">
        <w:t>], based on fragment length of the NAA product of the E5R gene.</w:t>
      </w:r>
      <w:r w:rsidR="7CD98E47" w:rsidRPr="005D6B0F">
        <w:t xml:space="preserve"> More recently, </w:t>
      </w:r>
      <w:r w:rsidR="6BC31C30" w:rsidRPr="005D6B0F">
        <w:t>NAA assays have been developed to detect</w:t>
      </w:r>
      <w:r w:rsidR="054668A0" w:rsidRPr="005D6B0F">
        <w:t xml:space="preserve"> clade </w:t>
      </w:r>
      <w:proofErr w:type="spellStart"/>
      <w:r w:rsidR="054668A0" w:rsidRPr="005D6B0F">
        <w:t>Ib</w:t>
      </w:r>
      <w:proofErr w:type="spellEnd"/>
      <w:r w:rsidR="054668A0" w:rsidRPr="005D6B0F">
        <w:t xml:space="preserve"> </w:t>
      </w:r>
      <w:r w:rsidR="005A4055" w:rsidRPr="005D6B0F">
        <w:t>MPXV</w:t>
      </w:r>
      <w:r w:rsidR="054668A0" w:rsidRPr="005D6B0F">
        <w:t xml:space="preserve"> with the</w:t>
      </w:r>
      <w:r w:rsidR="7CD98E47" w:rsidRPr="005D6B0F">
        <w:t xml:space="preserve"> 1140 base pair deletion </w:t>
      </w:r>
      <w:r w:rsidR="054668A0" w:rsidRPr="005D6B0F">
        <w:t xml:space="preserve">in </w:t>
      </w:r>
      <w:r w:rsidR="6BC31C30" w:rsidRPr="005D6B0F">
        <w:t xml:space="preserve">the C3L gene </w:t>
      </w:r>
      <w:r w:rsidR="7CD98E47" w:rsidRPr="005D6B0F">
        <w:t>[</w:t>
      </w:r>
      <w:r w:rsidR="002448C8" w:rsidRPr="005D6B0F">
        <w:t>2</w:t>
      </w:r>
      <w:r w:rsidR="00D44EC3" w:rsidRPr="005D6B0F">
        <w:t>3</w:t>
      </w:r>
      <w:r w:rsidR="7CD98E47" w:rsidRPr="005D6B0F">
        <w:t>].</w:t>
      </w:r>
      <w:r w:rsidR="12912572" w:rsidRPr="005D6B0F">
        <w:t xml:space="preserve">  </w:t>
      </w:r>
      <w:r w:rsidRPr="005D6B0F">
        <w:t xml:space="preserve">As the analytical sensitivity of NAA assays used in the detection of </w:t>
      </w:r>
      <w:proofErr w:type="spellStart"/>
      <w:r w:rsidR="608E7B37" w:rsidRPr="005D6B0F">
        <w:t>O</w:t>
      </w:r>
      <w:r w:rsidRPr="005D6B0F">
        <w:t>rthopoxviruses</w:t>
      </w:r>
      <w:proofErr w:type="spellEnd"/>
      <w:r w:rsidRPr="005D6B0F">
        <w:t xml:space="preserve"> is high</w:t>
      </w:r>
      <w:r w:rsidR="00D44EC3" w:rsidRPr="005D6B0F">
        <w:t xml:space="preserve"> </w:t>
      </w:r>
      <w:r w:rsidRPr="005D6B0F">
        <w:t>[</w:t>
      </w:r>
      <w:r w:rsidR="00D22CF3" w:rsidRPr="005D6B0F">
        <w:t>2</w:t>
      </w:r>
      <w:r w:rsidR="001E1213" w:rsidRPr="005D6B0F">
        <w:t>4</w:t>
      </w:r>
      <w:r w:rsidRPr="005D6B0F">
        <w:t xml:space="preserve">], they may potentially be used to exclude a diagnosis of </w:t>
      </w:r>
      <w:r w:rsidR="7CD24E60" w:rsidRPr="005D6B0F">
        <w:t>MPXV</w:t>
      </w:r>
      <w:r w:rsidRPr="005D6B0F">
        <w:t xml:space="preserve"> infection from an appropriately collected sample. Where </w:t>
      </w:r>
      <w:proofErr w:type="spellStart"/>
      <w:r w:rsidRPr="005D6B0F">
        <w:t>Orthopoxvirus</w:t>
      </w:r>
      <w:proofErr w:type="spellEnd"/>
      <w:r w:rsidRPr="005D6B0F">
        <w:t xml:space="preserve"> DNA is detected,</w:t>
      </w:r>
      <w:r w:rsidR="7A8BDE95" w:rsidRPr="005D6B0F">
        <w:t xml:space="preserve"> </w:t>
      </w:r>
      <w:r w:rsidR="34385485" w:rsidRPr="005D6B0F">
        <w:t>MPXV</w:t>
      </w:r>
      <w:r w:rsidRPr="005D6B0F">
        <w:t>-specific NAA assays should be performed to confirm the diagnosis.</w:t>
      </w:r>
    </w:p>
    <w:p w14:paraId="10C7058C" w14:textId="77777777" w:rsidR="002713C6" w:rsidRPr="005D6B0F" w:rsidRDefault="002713C6" w:rsidP="005D6B0F">
      <w:pPr>
        <w:pStyle w:val="Heading3"/>
      </w:pPr>
      <w:r w:rsidRPr="005D6B0F">
        <w:lastRenderedPageBreak/>
        <w:t>Viral genome sequencing</w:t>
      </w:r>
    </w:p>
    <w:p w14:paraId="3E2C888D" w14:textId="47E8E0AB" w:rsidR="002713C6" w:rsidRPr="00F66828" w:rsidRDefault="68EAFDE0" w:rsidP="005D6B0F">
      <w:r w:rsidRPr="00F66828">
        <w:t xml:space="preserve">Genome sequencing from clinical samples with sufficient viral load can assist in </w:t>
      </w:r>
      <w:r w:rsidR="52E5025B" w:rsidRPr="00F66828">
        <w:t xml:space="preserve">determining </w:t>
      </w:r>
      <w:r w:rsidR="383EEE76" w:rsidRPr="00F66828">
        <w:t>MPXV</w:t>
      </w:r>
      <w:r w:rsidR="52E5025B" w:rsidRPr="00F66828">
        <w:t xml:space="preserve"> clades, subclades and lineages. In addition, sequencing may help identify</w:t>
      </w:r>
      <w:r w:rsidR="7D480D17" w:rsidRPr="00F66828">
        <w:t xml:space="preserve"> </w:t>
      </w:r>
      <w:r w:rsidR="08928751" w:rsidRPr="00F66828">
        <w:t>or rule out</w:t>
      </w:r>
      <w:r w:rsidR="00ED1CF6" w:rsidRPr="00F66828">
        <w:t xml:space="preserve"> </w:t>
      </w:r>
      <w:r w:rsidR="52E5025B" w:rsidRPr="00F66828">
        <w:t>transmission chains,</w:t>
      </w:r>
      <w:r w:rsidR="1CE909FA" w:rsidRPr="00F66828">
        <w:t xml:space="preserve"> </w:t>
      </w:r>
      <w:r w:rsidR="444E0FE5" w:rsidRPr="00F66828">
        <w:t>provide contextualisation for resolving new international incursions or local circulation</w:t>
      </w:r>
      <w:r w:rsidR="001E1213" w:rsidRPr="00F66828">
        <w:t xml:space="preserve"> [25]</w:t>
      </w:r>
      <w:r w:rsidR="1CE909FA" w:rsidRPr="00F66828">
        <w:t>,</w:t>
      </w:r>
      <w:r w:rsidR="52E5025B" w:rsidRPr="00F66828">
        <w:t xml:space="preserve"> inform whether NAA assays are fit for purpose, and monitor </w:t>
      </w:r>
      <w:r w:rsidR="2B2621D1" w:rsidRPr="00F66828">
        <w:t xml:space="preserve">for </w:t>
      </w:r>
      <w:r w:rsidR="077591AE" w:rsidRPr="00F66828">
        <w:t>ther</w:t>
      </w:r>
      <w:r w:rsidR="386D968E" w:rsidRPr="00F66828">
        <w:t>a</w:t>
      </w:r>
      <w:r w:rsidR="077591AE" w:rsidRPr="00F66828">
        <w:t>peutic and vaccine escape</w:t>
      </w:r>
      <w:r w:rsidR="00891E2E" w:rsidRPr="00F66828">
        <w:t xml:space="preserve"> [26]</w:t>
      </w:r>
      <w:r w:rsidR="52E5025B" w:rsidRPr="00F66828">
        <w:t xml:space="preserve">. Genomic sequencing also </w:t>
      </w:r>
      <w:r w:rsidR="230EC329" w:rsidRPr="00F66828">
        <w:t>allows the monitoring of</w:t>
      </w:r>
      <w:r w:rsidR="384B999D" w:rsidRPr="00F66828">
        <w:t xml:space="preserve"> ongoing</w:t>
      </w:r>
      <w:r w:rsidR="230EC329" w:rsidRPr="00F66828">
        <w:t xml:space="preserve"> viral evolution</w:t>
      </w:r>
      <w:r w:rsidRPr="00F66828">
        <w:t xml:space="preserve"> </w:t>
      </w:r>
      <w:r w:rsidR="3F123FA2" w:rsidRPr="00F66828">
        <w:t xml:space="preserve">in </w:t>
      </w:r>
      <w:r w:rsidRPr="00F66828">
        <w:t>the human population [</w:t>
      </w:r>
      <w:r w:rsidR="00FE0972" w:rsidRPr="00F66828">
        <w:t>27</w:t>
      </w:r>
      <w:r w:rsidRPr="00F66828">
        <w:t xml:space="preserve">]. Both Illumina and Oxford Nanopore sequencing technologies have been used for </w:t>
      </w:r>
      <w:r w:rsidR="52E5025B" w:rsidRPr="00F66828">
        <w:t xml:space="preserve">whole </w:t>
      </w:r>
      <w:r w:rsidRPr="00F66828">
        <w:t>genome sequencing</w:t>
      </w:r>
      <w:r w:rsidR="005A4055" w:rsidRPr="00F66828">
        <w:t xml:space="preserve"> </w:t>
      </w:r>
      <w:r w:rsidRPr="00F66828">
        <w:t>[</w:t>
      </w:r>
      <w:r w:rsidR="00FE0972" w:rsidRPr="00F66828">
        <w:t>28</w:t>
      </w:r>
      <w:r w:rsidRPr="00F66828">
        <w:t>].</w:t>
      </w:r>
      <w:r w:rsidR="52E5025B" w:rsidRPr="00F66828">
        <w:t xml:space="preserve"> Amplicon based, metagenomics or targeted enrichment by hybdr</w:t>
      </w:r>
      <w:r w:rsidR="3E841DC5" w:rsidRPr="00F66828">
        <w:t>is</w:t>
      </w:r>
      <w:r w:rsidR="52E5025B" w:rsidRPr="00F66828">
        <w:t xml:space="preserve">ation capture sequencing methods have </w:t>
      </w:r>
      <w:r w:rsidR="00B2235C" w:rsidRPr="00F66828">
        <w:t xml:space="preserve"> </w:t>
      </w:r>
      <w:r w:rsidR="52E5025B" w:rsidRPr="00F66828">
        <w:t>been used. G</w:t>
      </w:r>
      <w:r w:rsidR="230EC329" w:rsidRPr="00F66828">
        <w:t>lobal g</w:t>
      </w:r>
      <w:r w:rsidR="52E5025B" w:rsidRPr="00F66828">
        <w:t>enom</w:t>
      </w:r>
      <w:r w:rsidR="230EC329" w:rsidRPr="00F66828">
        <w:t>ic</w:t>
      </w:r>
      <w:r w:rsidR="52E5025B" w:rsidRPr="00F66828">
        <w:t xml:space="preserve"> data are available on publicly accessible databases such as GISAID EpiPox. </w:t>
      </w:r>
    </w:p>
    <w:p w14:paraId="4D7F6802" w14:textId="77777777" w:rsidR="002713C6" w:rsidRPr="005D6B0F" w:rsidRDefault="002713C6" w:rsidP="005D6B0F">
      <w:pPr>
        <w:pStyle w:val="Heading3"/>
      </w:pPr>
      <w:r w:rsidRPr="005D6B0F">
        <w:t>Electron microscopy</w:t>
      </w:r>
    </w:p>
    <w:p w14:paraId="2BC5E5F3" w14:textId="02674ACE" w:rsidR="002713C6" w:rsidRPr="00F66828" w:rsidRDefault="002713C6" w:rsidP="005D6B0F">
      <w:r w:rsidRPr="00F66828">
        <w:t>Electron microscopy can distinguish orthopoxvirus infection from parapoxviruses and herpesviruses but is unable to differentiate species within the genera. For species level identification, more specific methods such as NAA techniques are required. Orthopoxviruses have a distinct brick-shaped morphology when examined with sodium phosphotungstate or other heavy-metal negative stains.</w:t>
      </w:r>
    </w:p>
    <w:p w14:paraId="62137138" w14:textId="77777777" w:rsidR="002713C6" w:rsidRPr="005D6B0F" w:rsidRDefault="002713C6" w:rsidP="005D6B0F">
      <w:pPr>
        <w:pStyle w:val="Heading3"/>
      </w:pPr>
      <w:r w:rsidRPr="005D6B0F">
        <w:t>Virus growth assays</w:t>
      </w:r>
    </w:p>
    <w:p w14:paraId="1EEB584C" w14:textId="6280D47F" w:rsidR="002713C6" w:rsidRPr="00F66828" w:rsidRDefault="68EAFDE0" w:rsidP="005D6B0F">
      <w:proofErr w:type="spellStart"/>
      <w:r w:rsidRPr="00F66828">
        <w:t>Orthopoxviruses</w:t>
      </w:r>
      <w:proofErr w:type="spellEnd"/>
      <w:r w:rsidRPr="00F66828">
        <w:t xml:space="preserve"> can be isolated in a variety of cell lines including Vero</w:t>
      </w:r>
      <w:r w:rsidR="58F99137" w:rsidRPr="00F66828">
        <w:t xml:space="preserve">, </w:t>
      </w:r>
      <w:r w:rsidR="230EC329" w:rsidRPr="00F66828">
        <w:t xml:space="preserve">African Green monkey, </w:t>
      </w:r>
      <w:r w:rsidR="58F99137" w:rsidRPr="00F66828">
        <w:t>Buffalo Green Monkey</w:t>
      </w:r>
      <w:r w:rsidRPr="00F66828">
        <w:t xml:space="preserve"> and HeLa cells. </w:t>
      </w:r>
      <w:r w:rsidR="06C668FC" w:rsidRPr="00F66828">
        <w:t>Successful isolation of virus is generally confirmed using NAA</w:t>
      </w:r>
      <w:r w:rsidR="12039CE9" w:rsidRPr="00F66828">
        <w:t xml:space="preserve"> in addition to observing cytopathic effects</w:t>
      </w:r>
      <w:r w:rsidR="06C668FC" w:rsidRPr="00F66828">
        <w:t xml:space="preserve">. </w:t>
      </w:r>
      <w:r w:rsidRPr="00F66828">
        <w:t xml:space="preserve">The </w:t>
      </w:r>
      <w:r w:rsidR="12039CE9" w:rsidRPr="00F66828">
        <w:t>analytical performance</w:t>
      </w:r>
      <w:r w:rsidRPr="00F66828">
        <w:t xml:space="preserve"> of </w:t>
      </w:r>
      <w:r w:rsidR="12039CE9" w:rsidRPr="00F66828">
        <w:t>virus culture using different cell lines</w:t>
      </w:r>
      <w:r w:rsidR="12912572" w:rsidRPr="00F66828">
        <w:t xml:space="preserve"> </w:t>
      </w:r>
      <w:r w:rsidR="4E1798C0" w:rsidRPr="00F66828">
        <w:t>is</w:t>
      </w:r>
      <w:r w:rsidRPr="00F66828">
        <w:t xml:space="preserve"> uncertain, and is performed at reference laboratories only under PC3 conditions</w:t>
      </w:r>
      <w:r w:rsidR="12039CE9" w:rsidRPr="00F66828">
        <w:t xml:space="preserve"> by staff</w:t>
      </w:r>
      <w:r w:rsidR="18C9F357" w:rsidRPr="00F66828">
        <w:t xml:space="preserve"> vaccinated against vaccinia or smallpox</w:t>
      </w:r>
      <w:r w:rsidRPr="00F66828">
        <w:t>.</w:t>
      </w:r>
      <w:r w:rsidR="12039CE9" w:rsidRPr="00F66828">
        <w:t xml:space="preserve"> </w:t>
      </w:r>
      <w:r w:rsidR="005B2AA2" w:rsidRPr="00F66828">
        <w:t>In laboratories performing MPXV isolation, s</w:t>
      </w:r>
      <w:r w:rsidR="12039CE9" w:rsidRPr="00F66828">
        <w:t xml:space="preserve">tandardised protocols (including for virus harvesting) </w:t>
      </w:r>
      <w:r w:rsidR="005B2AA2" w:rsidRPr="00F66828">
        <w:t xml:space="preserve">should be </w:t>
      </w:r>
      <w:r w:rsidR="12039CE9" w:rsidRPr="00F66828">
        <w:t xml:space="preserve">developed. Further characterisation of the isolate </w:t>
      </w:r>
      <w:r w:rsidR="18C9F357" w:rsidRPr="00F66828">
        <w:t xml:space="preserve">and monitoring of the serially passaged virus </w:t>
      </w:r>
      <w:r w:rsidR="12039CE9" w:rsidRPr="00F66828">
        <w:t xml:space="preserve">by genomic sequencing </w:t>
      </w:r>
      <w:r w:rsidR="18C9F357" w:rsidRPr="00F66828">
        <w:t>may be performed.</w:t>
      </w:r>
    </w:p>
    <w:p w14:paraId="45A7251D" w14:textId="77777777" w:rsidR="002713C6" w:rsidRPr="005D6B0F" w:rsidRDefault="002713C6" w:rsidP="005D6B0F">
      <w:pPr>
        <w:pStyle w:val="Heading3"/>
      </w:pPr>
      <w:r w:rsidRPr="005D6B0F">
        <w:t>Serology</w:t>
      </w:r>
    </w:p>
    <w:p w14:paraId="3847AAA5" w14:textId="37E8D282" w:rsidR="002713C6" w:rsidRPr="00F66828" w:rsidRDefault="002713C6" w:rsidP="005D6B0F">
      <w:r w:rsidRPr="00F66828">
        <w:t>Serologic</w:t>
      </w:r>
      <w:r w:rsidR="000D356D" w:rsidRPr="00F66828">
        <w:t>al</w:t>
      </w:r>
      <w:r w:rsidRPr="00F66828">
        <w:t xml:space="preserve"> methods for diagnosis of Orthopoxviruses have been described including </w:t>
      </w:r>
      <w:r w:rsidR="40F637D1" w:rsidRPr="00F66828">
        <w:t>virus neutralisation</w:t>
      </w:r>
      <w:r w:rsidRPr="00F66828">
        <w:t xml:space="preserve"> tests, haemagglutination-inhibition, immunofluorescence, enzyme-linked immunosorbent assays and Western blot. There are currently no assays registered on the ARTG.</w:t>
      </w:r>
    </w:p>
    <w:p w14:paraId="306A3F01" w14:textId="50F4E098" w:rsidR="002713C6" w:rsidRPr="00F66828" w:rsidRDefault="68EAFDE0" w:rsidP="005D6B0F">
      <w:r w:rsidRPr="00F66828">
        <w:lastRenderedPageBreak/>
        <w:t xml:space="preserve">Serological testing may have a role in </w:t>
      </w:r>
      <w:r w:rsidR="00854F4B" w:rsidRPr="00F66828">
        <w:t xml:space="preserve">diagnosis of acute mpox infections, </w:t>
      </w:r>
      <w:r w:rsidRPr="00F66828">
        <w:t>epidemiologic surveillance studies</w:t>
      </w:r>
      <w:r w:rsidR="3CB300AE" w:rsidRPr="00F66828">
        <w:t xml:space="preserve"> </w:t>
      </w:r>
      <w:proofErr w:type="gramStart"/>
      <w:r w:rsidR="3CB300AE" w:rsidRPr="00F66828">
        <w:t>and also</w:t>
      </w:r>
      <w:proofErr w:type="gramEnd"/>
      <w:r w:rsidR="3CB300AE" w:rsidRPr="00F66828">
        <w:t xml:space="preserve"> </w:t>
      </w:r>
      <w:r w:rsidR="7A260E4C" w:rsidRPr="00F66828">
        <w:t xml:space="preserve">to </w:t>
      </w:r>
      <w:r w:rsidR="3CB300AE" w:rsidRPr="00F66828">
        <w:t xml:space="preserve">determine the secondary attack rate in </w:t>
      </w:r>
      <w:r w:rsidR="45C992D2" w:rsidRPr="00F66828">
        <w:t>asymptomatic</w:t>
      </w:r>
      <w:r w:rsidR="3CB300AE" w:rsidRPr="00F66828">
        <w:t xml:space="preserve"> or pauci-symptomatic contacts of cases</w:t>
      </w:r>
      <w:r w:rsidR="00854F4B" w:rsidRPr="00F66828">
        <w:t xml:space="preserve"> [</w:t>
      </w:r>
      <w:r w:rsidR="00B77E48" w:rsidRPr="00F66828">
        <w:t>29]</w:t>
      </w:r>
      <w:r w:rsidRPr="00F66828">
        <w:t xml:space="preserve">. Testing for </w:t>
      </w:r>
      <w:r w:rsidR="0D7221C2" w:rsidRPr="00F66828">
        <w:t>MPXV</w:t>
      </w:r>
      <w:r w:rsidRPr="00F66828">
        <w:t>-specific IgM can be considered within five days of presentation, or IgG after eight days</w:t>
      </w:r>
      <w:r w:rsidR="005B2AA2" w:rsidRPr="00F66828">
        <w:t xml:space="preserve"> </w:t>
      </w:r>
      <w:r w:rsidRPr="00F66828">
        <w:t>[</w:t>
      </w:r>
      <w:r w:rsidR="00B77E48" w:rsidRPr="00F66828">
        <w:t>30</w:t>
      </w:r>
      <w:r w:rsidRPr="00F66828">
        <w:t>]. An IgM capture assay</w:t>
      </w:r>
      <w:r w:rsidR="005B2AA2" w:rsidRPr="00F66828">
        <w:t xml:space="preserve"> </w:t>
      </w:r>
      <w:r w:rsidRPr="00F66828">
        <w:t>[</w:t>
      </w:r>
      <w:r w:rsidR="00FE0972" w:rsidRPr="00F66828">
        <w:t>3</w:t>
      </w:r>
      <w:r w:rsidR="00B77E48" w:rsidRPr="00F66828">
        <w:t>1</w:t>
      </w:r>
      <w:r w:rsidRPr="00F66828">
        <w:t>] was found to have sensitivity and specificity of 95% in detecting epidemiologically linked and laboratory confirmed cases.</w:t>
      </w:r>
    </w:p>
    <w:p w14:paraId="76FFD2A4" w14:textId="5D590673" w:rsidR="002713C6" w:rsidRPr="00F66828" w:rsidRDefault="68EAFDE0" w:rsidP="005D6B0F">
      <w:pPr>
        <w:rPr>
          <w:lang w:eastAsia="en-AU"/>
        </w:rPr>
      </w:pPr>
      <w:r w:rsidRPr="00F66828">
        <w:t xml:space="preserve">Orthopoxviruses have a high degree of antigenic </w:t>
      </w:r>
      <w:r w:rsidR="06869650" w:rsidRPr="00F66828">
        <w:t xml:space="preserve">relatedness </w:t>
      </w:r>
      <w:r w:rsidRPr="00F66828">
        <w:t xml:space="preserve">and serologic tests for </w:t>
      </w:r>
      <w:r w:rsidR="005B2AA2" w:rsidRPr="00F66828">
        <w:t>MPXV</w:t>
      </w:r>
      <w:r w:rsidRPr="00F66828">
        <w:t xml:space="preserve"> may be cross-reactive with other orthopoxviruses, including </w:t>
      </w:r>
      <w:r w:rsidR="3CB300AE" w:rsidRPr="00F66828">
        <w:t xml:space="preserve">vaccinia </w:t>
      </w:r>
      <w:r w:rsidRPr="00F66828">
        <w:t>virus-based vaccines</w:t>
      </w:r>
      <w:r w:rsidR="00FE0972" w:rsidRPr="00F66828">
        <w:t xml:space="preserve"> [</w:t>
      </w:r>
      <w:r w:rsidR="00915E23" w:rsidRPr="00F66828">
        <w:t>29,</w:t>
      </w:r>
      <w:r w:rsidR="00FE0972" w:rsidRPr="00F66828">
        <w:t>31]</w:t>
      </w:r>
      <w:r w:rsidRPr="00F66828">
        <w:t xml:space="preserve">. Neutralising antibodies to </w:t>
      </w:r>
      <w:r w:rsidR="3CB300AE" w:rsidRPr="00F66828">
        <w:t xml:space="preserve">vaccinia </w:t>
      </w:r>
      <w:r w:rsidRPr="00F66828">
        <w:t xml:space="preserve">virus have been detected at least 20 years post vaccination. Vaccination and infection history should be considered in interpretation of any </w:t>
      </w:r>
      <w:r w:rsidR="3220B587" w:rsidRPr="00F66828">
        <w:t>MPXV</w:t>
      </w:r>
      <w:r w:rsidRPr="00F66828">
        <w:t xml:space="preserve"> serology.</w:t>
      </w:r>
      <w:r w:rsidR="00A71B33" w:rsidRPr="00F66828">
        <w:t xml:space="preserve"> </w:t>
      </w:r>
    </w:p>
    <w:p w14:paraId="4598CD1C" w14:textId="515F1B46" w:rsidR="002713C6" w:rsidRPr="005D6B0F" w:rsidRDefault="68EAFDE0" w:rsidP="005D6B0F">
      <w:pPr>
        <w:pStyle w:val="Heading2"/>
      </w:pPr>
      <w:r w:rsidRPr="005D6B0F">
        <w:t>Suitable specimen types</w:t>
      </w:r>
    </w:p>
    <w:p w14:paraId="3D5374D2" w14:textId="39AD89B1" w:rsidR="3849642A" w:rsidRPr="00F66828" w:rsidRDefault="033BE97F" w:rsidP="005D6B0F">
      <w:r w:rsidRPr="00F66828">
        <w:t xml:space="preserve">At present it is not recommended to test for MPXV in asymptomatic individuals at high risk of infection as there are insufficient data on the utility or cost effectiveness of screening for mpox. </w:t>
      </w:r>
      <w:proofErr w:type="gramStart"/>
      <w:r w:rsidRPr="00F66828">
        <w:t>Similarly</w:t>
      </w:r>
      <w:proofErr w:type="gramEnd"/>
      <w:r w:rsidRPr="00F66828">
        <w:t xml:space="preserve"> pre-travel MPXV testing in asymptomatic persons is also not recommended.</w:t>
      </w:r>
    </w:p>
    <w:p w14:paraId="0F80131C" w14:textId="7904B597" w:rsidR="002713C6" w:rsidRPr="00F66828" w:rsidRDefault="68EAFDE0" w:rsidP="005D6B0F">
      <w:r w:rsidRPr="00F66828">
        <w:t xml:space="preserve">Lesion material should be collected from persons with suspected </w:t>
      </w:r>
      <w:r w:rsidR="153EFC51" w:rsidRPr="00F66828">
        <w:t>MPXV</w:t>
      </w:r>
      <w:r w:rsidRPr="00F66828">
        <w:t xml:space="preserve"> infection with an active lesion or rash. Acceptable sample types include lesion fluid, lesion tissue, lesion crust or skin biopsy</w:t>
      </w:r>
      <w:r w:rsidR="005B2AA2" w:rsidRPr="00F66828">
        <w:t xml:space="preserve"> </w:t>
      </w:r>
      <w:r w:rsidRPr="00F66828">
        <w:t xml:space="preserve">[3]. It is recommended at least two swabs from morphologically distinct lesions and/or anatomical locations are collected. Material can be collected using a sterile dry swab (e.g. nylon, polyester or Dacron) suitable for NAA testing. </w:t>
      </w:r>
    </w:p>
    <w:p w14:paraId="3F69C7DA" w14:textId="3B5964CF" w:rsidR="002713C6" w:rsidRPr="00F66828" w:rsidRDefault="68EAFDE0" w:rsidP="005D6B0F">
      <w:r w:rsidRPr="00F66828">
        <w:t xml:space="preserve">Nasopharyngeal and throat swabs are also suitable specimens. NAA of blood may be considered in specific cases. Whole blood or serum samples can be tested by NAA to detect the presence of </w:t>
      </w:r>
      <w:r w:rsidR="4A489BEB" w:rsidRPr="00F66828">
        <w:t>MPXV</w:t>
      </w:r>
      <w:r w:rsidRPr="00F66828">
        <w:t>, but are often negative due to the transient nature of viraemia</w:t>
      </w:r>
      <w:r w:rsidR="005B2AA2" w:rsidRPr="00F66828">
        <w:t xml:space="preserve"> </w:t>
      </w:r>
      <w:r w:rsidRPr="00F66828">
        <w:t>[</w:t>
      </w:r>
      <w:r w:rsidR="00923775" w:rsidRPr="00F66828">
        <w:t>32</w:t>
      </w:r>
      <w:r w:rsidRPr="00F66828">
        <w:t xml:space="preserve">], and therefore should not be used to exclude </w:t>
      </w:r>
      <w:r w:rsidR="005E43B7" w:rsidRPr="00F66828">
        <w:t>mpox</w:t>
      </w:r>
      <w:r w:rsidRPr="00F66828">
        <w:t>. A minimum of 5 mL of EDTA whole blood or 10 mL of serum is recommended.</w:t>
      </w:r>
    </w:p>
    <w:p w14:paraId="68712442" w14:textId="69E93884" w:rsidR="52A631CB" w:rsidRPr="00F66828" w:rsidRDefault="52A631CB" w:rsidP="005D6B0F">
      <w:r w:rsidRPr="00F66828">
        <w:t xml:space="preserve">If there is no obvious lesion, for example, macular rash alone, discuss approaches with a specialist microbiologist. </w:t>
      </w:r>
      <w:r w:rsidR="79BC851E" w:rsidRPr="00F66828">
        <w:t>If symptomatic</w:t>
      </w:r>
      <w:r w:rsidR="59F42933" w:rsidRPr="00F66828">
        <w:t xml:space="preserve"> mucosal disease is suspected</w:t>
      </w:r>
      <w:r w:rsidR="79BC851E" w:rsidRPr="00F66828">
        <w:t xml:space="preserve">, </w:t>
      </w:r>
      <w:r w:rsidR="44923319" w:rsidRPr="00F66828">
        <w:t xml:space="preserve">a </w:t>
      </w:r>
      <w:r w:rsidR="79BC851E" w:rsidRPr="00F66828">
        <w:t xml:space="preserve">rectal </w:t>
      </w:r>
      <w:r w:rsidR="44E6C635" w:rsidRPr="00F66828">
        <w:t xml:space="preserve">swab </w:t>
      </w:r>
      <w:r w:rsidR="79BC851E" w:rsidRPr="00F66828">
        <w:t>(proctitis),</w:t>
      </w:r>
      <w:r w:rsidR="2611677E" w:rsidRPr="00F66828">
        <w:t xml:space="preserve"> </w:t>
      </w:r>
      <w:r w:rsidR="79BC851E" w:rsidRPr="00F66828">
        <w:t>urethral</w:t>
      </w:r>
      <w:r w:rsidR="79AE8E11" w:rsidRPr="00F66828">
        <w:t xml:space="preserve"> swab or first void urine (urethritis)</w:t>
      </w:r>
      <w:r w:rsidR="79BC851E" w:rsidRPr="00F66828">
        <w:t xml:space="preserve"> and conju</w:t>
      </w:r>
      <w:r w:rsidR="5AEB324E" w:rsidRPr="00F66828">
        <w:t>n</w:t>
      </w:r>
      <w:r w:rsidR="79BC851E" w:rsidRPr="00F66828">
        <w:t xml:space="preserve">ctival </w:t>
      </w:r>
      <w:r w:rsidR="665937E5" w:rsidRPr="00F66828">
        <w:t xml:space="preserve">(conjunctivitis) </w:t>
      </w:r>
      <w:r w:rsidR="79BC851E" w:rsidRPr="00F66828">
        <w:t>swab</w:t>
      </w:r>
      <w:r w:rsidR="28DBD815" w:rsidRPr="00F66828">
        <w:t>, as appropriate,</w:t>
      </w:r>
      <w:r w:rsidR="79BC851E" w:rsidRPr="00F66828">
        <w:t xml:space="preserve"> </w:t>
      </w:r>
      <w:r w:rsidR="72A824AD" w:rsidRPr="00F66828">
        <w:t>is</w:t>
      </w:r>
      <w:r w:rsidR="79BC851E" w:rsidRPr="00F66828">
        <w:t xml:space="preserve"> recommen</w:t>
      </w:r>
      <w:r w:rsidR="193D07E5" w:rsidRPr="00F66828">
        <w:t>de</w:t>
      </w:r>
      <w:r w:rsidR="79BC851E" w:rsidRPr="00F66828">
        <w:t>d</w:t>
      </w:r>
      <w:r w:rsidR="707297BC" w:rsidRPr="00F66828">
        <w:t>.</w:t>
      </w:r>
      <w:r w:rsidR="4498359B" w:rsidRPr="00F66828">
        <w:t xml:space="preserve"> </w:t>
      </w:r>
    </w:p>
    <w:p w14:paraId="01DF9A72" w14:textId="6F7D3CC7" w:rsidR="002713C6" w:rsidRDefault="75037D38" w:rsidP="005D6B0F">
      <w:r w:rsidRPr="00F66828">
        <w:t>MPXV</w:t>
      </w:r>
      <w:r w:rsidR="68EAFDE0" w:rsidRPr="00F66828">
        <w:t xml:space="preserve"> may be detected in semen, although evidence is still emerging about the diagnostic yield and clinical value of this specimen type</w:t>
      </w:r>
      <w:r w:rsidR="005B2AA2" w:rsidRPr="00F66828">
        <w:t xml:space="preserve"> </w:t>
      </w:r>
      <w:r w:rsidR="68EAFDE0" w:rsidRPr="00F66828">
        <w:t>[</w:t>
      </w:r>
      <w:r w:rsidR="000E20A6" w:rsidRPr="00F66828">
        <w:t>33</w:t>
      </w:r>
      <w:r w:rsidR="68EAFDE0" w:rsidRPr="00F66828">
        <w:t>].</w:t>
      </w:r>
    </w:p>
    <w:p w14:paraId="5CDDDDDD" w14:textId="0A6616B6" w:rsidR="002713C6" w:rsidRPr="005D6B0F" w:rsidRDefault="002713C6" w:rsidP="005D6B0F">
      <w:pPr>
        <w:pStyle w:val="Heading2"/>
      </w:pPr>
      <w:r w:rsidRPr="005D6B0F">
        <w:t xml:space="preserve">Specimen collection </w:t>
      </w:r>
    </w:p>
    <w:p w14:paraId="59F76E47" w14:textId="5425AECB" w:rsidR="002713C6" w:rsidRPr="005D6B0F" w:rsidRDefault="00B15DC0" w:rsidP="005D6B0F">
      <w:r w:rsidRPr="005D6B0F">
        <w:lastRenderedPageBreak/>
        <w:t>For details on specimen collection, handling and transport</w:t>
      </w:r>
      <w:r w:rsidR="007238AA" w:rsidRPr="005D6B0F">
        <w:t xml:space="preserve"> for MPXV testing</w:t>
      </w:r>
      <w:r w:rsidRPr="005D6B0F">
        <w:t>, please refer to the ‘PHLN Guidance on mpox patient referral, specimen collection and test requesting’</w:t>
      </w:r>
      <w:r w:rsidR="00193F0F" w:rsidRPr="005D6B0F">
        <w:t xml:space="preserve"> [34]</w:t>
      </w:r>
      <w:r w:rsidRPr="005D6B0F">
        <w:t xml:space="preserve">. </w:t>
      </w:r>
      <w:r w:rsidR="01DC9F7F" w:rsidRPr="005D6B0F">
        <w:t>Lesion s</w:t>
      </w:r>
      <w:r w:rsidR="68EAFDE0" w:rsidRPr="005D6B0F">
        <w:t xml:space="preserve">amples should be collected on the tip of the swab and ideally exudate should be visible. Vigorously rub the bottom of the lesion to ensure cellular material from the lesion base is collected. It may be necessary to deroof the lesion. </w:t>
      </w:r>
      <w:r w:rsidR="16D38807" w:rsidRPr="005D6B0F">
        <w:t>It is not recommended to use a scalpel for this due to the risk of sharps injury</w:t>
      </w:r>
      <w:r w:rsidR="68EAFDE0" w:rsidRPr="005D6B0F">
        <w:t>.</w:t>
      </w:r>
    </w:p>
    <w:p w14:paraId="03212C0D" w14:textId="006CB912" w:rsidR="002713C6" w:rsidRPr="005D6B0F" w:rsidRDefault="2695B20A" w:rsidP="005D6B0F">
      <w:pPr>
        <w:pStyle w:val="Heading2"/>
      </w:pPr>
      <w:r w:rsidRPr="005D6B0F">
        <w:t>Specimen handling</w:t>
      </w:r>
    </w:p>
    <w:p w14:paraId="34ACAB3D" w14:textId="1B380490" w:rsidR="002713C6" w:rsidRPr="00F66828" w:rsidRDefault="68EAFDE0" w:rsidP="005D6B0F">
      <w:r w:rsidRPr="00F66828">
        <w:t>Each sample should be placed in individual sterile containers or collection tubes. Avoid adding transport media as this may dilute the sample and increase the risk of leakage during transport. However, swabs that have already been placed into suitable transport medium (e.g. viral transport media) may be tested.</w:t>
      </w:r>
    </w:p>
    <w:p w14:paraId="1731B15F" w14:textId="097DC529" w:rsidR="6BC4EB81" w:rsidRPr="00F66828" w:rsidRDefault="6BC4EB81" w:rsidP="005D6B0F">
      <w:r w:rsidRPr="00F66828">
        <w:t>Specimen primary containers should be wiped down using a suitable detergent, followed by a Therapeutic Goods Administration (TGA) approved hospital-grade disinfectant with activity against viruses. This will be recorded on the label and product information. Alternatively, use a bleach solution. You can also use a TGA-listed 2-in-1 (single step) combined cleaning and disinfection product with activity against viruses. For more information, please refer to the TGA website for a list of suitable hospital-grade disinfectants</w:t>
      </w:r>
      <w:r w:rsidR="005B2AA2" w:rsidRPr="00F66828">
        <w:t xml:space="preserve"> </w:t>
      </w:r>
      <w:r w:rsidR="128F1DCA" w:rsidRPr="00F66828">
        <w:t>[</w:t>
      </w:r>
      <w:r w:rsidR="005B2AA2" w:rsidRPr="00F66828">
        <w:t>3</w:t>
      </w:r>
      <w:r w:rsidR="00F72F68" w:rsidRPr="00F66828">
        <w:t>5</w:t>
      </w:r>
      <w:r w:rsidR="3333519B" w:rsidRPr="00F66828">
        <w:t>]</w:t>
      </w:r>
      <w:r w:rsidRPr="00F66828">
        <w:t xml:space="preserve">. Suitable disinfectants are also available from the United States Environmental Protection Agency </w:t>
      </w:r>
      <w:r w:rsidR="087DB8E4" w:rsidRPr="00F66828">
        <w:t>[</w:t>
      </w:r>
      <w:r w:rsidR="005B2AA2" w:rsidRPr="00F66828">
        <w:t>3</w:t>
      </w:r>
      <w:r w:rsidR="00C06983" w:rsidRPr="00F66828">
        <w:t>6</w:t>
      </w:r>
      <w:r w:rsidR="7EE64CF1" w:rsidRPr="00F66828">
        <w:t>]</w:t>
      </w:r>
      <w:r w:rsidRPr="00F66828">
        <w:t xml:space="preserve">.   </w:t>
      </w:r>
    </w:p>
    <w:p w14:paraId="7FBBB041" w14:textId="39015DD5" w:rsidR="2CDDA92A" w:rsidRPr="005D6B0F" w:rsidRDefault="2CDDA92A" w:rsidP="005D6B0F">
      <w:r w:rsidRPr="005D6B0F">
        <w:t>Make sure specimen containers and tubes that contain fluid are screwed shut securely to prevent leakage during transport</w:t>
      </w:r>
      <w:r w:rsidR="29D6C268" w:rsidRPr="005D6B0F">
        <w:t xml:space="preserve"> and place in a specimen bag</w:t>
      </w:r>
      <w:r w:rsidRPr="005D6B0F">
        <w:t xml:space="preserve">. The specimen bag should contain sufficient absorbent material (for example, cotton wool or tissue), to absorb the entire contents of the primary receptacle in case there is any leakage. </w:t>
      </w:r>
      <w:r w:rsidR="4272ECB0" w:rsidRPr="005D6B0F">
        <w:t xml:space="preserve">Place the </w:t>
      </w:r>
      <w:r w:rsidR="46B07853" w:rsidRPr="005D6B0F">
        <w:t>specimen bag</w:t>
      </w:r>
      <w:r w:rsidR="4272ECB0" w:rsidRPr="005D6B0F">
        <w:t xml:space="preserve"> into a secondary container, such as a second specimen bag or rigid container prior to transport to the laboratory. Keep mpox specimens separate from other specimens.</w:t>
      </w:r>
    </w:p>
    <w:p w14:paraId="2E3328DF" w14:textId="527926F1" w:rsidR="0016600B" w:rsidRPr="00F66828" w:rsidRDefault="2CDDA92A" w:rsidP="005D6B0F">
      <w:r w:rsidRPr="00F66828">
        <w:t>After the specimen collection</w:t>
      </w:r>
      <w:r w:rsidR="44F8A86C" w:rsidRPr="00F66828">
        <w:t xml:space="preserve"> and packaging</w:t>
      </w:r>
      <w:r w:rsidRPr="00F66828">
        <w:t xml:space="preserve">, conduct environmental cleaning as per the </w:t>
      </w:r>
      <w:r w:rsidR="00A053F2" w:rsidRPr="00F66828">
        <w:t>jurisdictional infection prevention and control</w:t>
      </w:r>
      <w:r w:rsidRPr="00F66828">
        <w:t xml:space="preserve"> </w:t>
      </w:r>
      <w:r w:rsidR="007238AA" w:rsidRPr="00F66828">
        <w:t xml:space="preserve">advice </w:t>
      </w:r>
      <w:r w:rsidRPr="00F66828">
        <w:t>for health</w:t>
      </w:r>
      <w:r w:rsidR="00A053F2" w:rsidRPr="00F66828">
        <w:t>care</w:t>
      </w:r>
      <w:r w:rsidRPr="00F66828">
        <w:t xml:space="preserve"> workers.   </w:t>
      </w:r>
    </w:p>
    <w:p w14:paraId="1046DC28" w14:textId="60D64A97" w:rsidR="182B0264" w:rsidRPr="005D6B0F" w:rsidRDefault="182B0264" w:rsidP="005D6B0F">
      <w:pPr>
        <w:pStyle w:val="Heading3"/>
      </w:pPr>
      <w:r w:rsidRPr="005D6B0F">
        <w:t>Personal protective equipment</w:t>
      </w:r>
    </w:p>
    <w:p w14:paraId="5D1853DF" w14:textId="77777777" w:rsidR="005D6B0F" w:rsidRPr="005D6B0F" w:rsidRDefault="005D6B0F" w:rsidP="005D6B0F"/>
    <w:p w14:paraId="5F52CAD2" w14:textId="77777777" w:rsidR="009C688F" w:rsidRPr="005D6B0F" w:rsidRDefault="009C688F" w:rsidP="005D6B0F">
      <w:pPr>
        <w:pStyle w:val="Heading3"/>
        <w:sectPr w:rsidR="009C688F" w:rsidRPr="005D6B0F" w:rsidSect="009C688F">
          <w:headerReference w:type="default" r:id="rId13"/>
          <w:footerReference w:type="default" r:id="rId14"/>
          <w:type w:val="continuous"/>
          <w:pgSz w:w="11906" w:h="16838"/>
          <w:pgMar w:top="1985" w:right="1418" w:bottom="1276" w:left="1418" w:header="709" w:footer="260" w:gutter="0"/>
          <w:cols w:space="708"/>
          <w:titlePg/>
          <w:docGrid w:linePitch="360"/>
        </w:sectPr>
      </w:pPr>
    </w:p>
    <w:p w14:paraId="58858273" w14:textId="3BEC2B49" w:rsidR="20165C87" w:rsidRPr="005D6B0F" w:rsidRDefault="182B0264" w:rsidP="005D6B0F">
      <w:r w:rsidRPr="005D6B0F">
        <w:t>Appropriate personal protective equipment (PPE) should be worn while collecting samples from patients</w:t>
      </w:r>
      <w:r w:rsidR="002205CC" w:rsidRPr="005D6B0F">
        <w:t xml:space="preserve"> with</w:t>
      </w:r>
      <w:r w:rsidRPr="005D6B0F">
        <w:t xml:space="preserve"> suspected </w:t>
      </w:r>
      <w:r w:rsidR="00D05113" w:rsidRPr="005D6B0F">
        <w:t>mpox</w:t>
      </w:r>
      <w:r w:rsidR="006F0A5E" w:rsidRPr="005D6B0F">
        <w:t xml:space="preserve"> </w:t>
      </w:r>
      <w:r w:rsidRPr="005D6B0F">
        <w:t>[3</w:t>
      </w:r>
      <w:r w:rsidR="00B312EB" w:rsidRPr="005D6B0F">
        <w:t>4</w:t>
      </w:r>
      <w:r w:rsidRPr="005D6B0F">
        <w:t>]. This includes disposable fluid resistant gown, disposable gloves, face shield or goggles, and a fluid-repellent surgical mask (FRSM).  Consider wearing a P2/N95 PFR or equivalent if:</w:t>
      </w:r>
      <w:r w:rsidR="009C688F" w:rsidRPr="005D6B0F">
        <w:t xml:space="preserve"> t</w:t>
      </w:r>
      <w:r w:rsidR="20165C87" w:rsidRPr="005D6B0F">
        <w:t xml:space="preserve">he patient has respiratory symptoms; </w:t>
      </w:r>
      <w:r w:rsidR="009C688F" w:rsidRPr="005D6B0F">
        <w:lastRenderedPageBreak/>
        <w:t xml:space="preserve">varicella </w:t>
      </w:r>
      <w:r w:rsidR="20165C87" w:rsidRPr="005D6B0F">
        <w:t>is suspected; or</w:t>
      </w:r>
      <w:r w:rsidR="009C688F" w:rsidRPr="005D6B0F">
        <w:t xml:space="preserve"> if t</w:t>
      </w:r>
      <w:r w:rsidR="20165C87" w:rsidRPr="005D6B0F">
        <w:t>here are other high-risk exposure events, for example prolonged exposure with the patient (such as hospitalised patient) or aerosol generating activities.</w:t>
      </w:r>
    </w:p>
    <w:p w14:paraId="063BC01F" w14:textId="77777777" w:rsidR="009C688F" w:rsidRPr="005D6B0F" w:rsidRDefault="009C688F" w:rsidP="005D6B0F">
      <w:pPr>
        <w:sectPr w:rsidR="009C688F" w:rsidRPr="005D6B0F" w:rsidSect="009C688F">
          <w:type w:val="continuous"/>
          <w:pgSz w:w="11906" w:h="16838"/>
          <w:pgMar w:top="1985" w:right="1418" w:bottom="1276" w:left="1418" w:header="709" w:footer="260" w:gutter="0"/>
          <w:cols w:space="708"/>
          <w:titlePg/>
          <w:docGrid w:linePitch="360"/>
        </w:sectPr>
      </w:pPr>
    </w:p>
    <w:p w14:paraId="53DC1BAE" w14:textId="09A412C3" w:rsidR="40681BBF" w:rsidRPr="005D6B0F" w:rsidRDefault="40681BBF" w:rsidP="005D6B0F">
      <w:pPr>
        <w:pStyle w:val="Heading2"/>
      </w:pPr>
      <w:r w:rsidRPr="005D6B0F">
        <w:t>Specimen transport guidelines</w:t>
      </w:r>
    </w:p>
    <w:p w14:paraId="7CD027A4" w14:textId="14A39B50" w:rsidR="52848B75" w:rsidRPr="005D6B0F" w:rsidRDefault="52848B75" w:rsidP="005D6B0F">
      <w:r w:rsidRPr="005D6B0F">
        <w:t>For details on</w:t>
      </w:r>
      <w:r w:rsidR="561AB5E2" w:rsidRPr="005D6B0F">
        <w:t xml:space="preserve"> specimen</w:t>
      </w:r>
      <w:r w:rsidRPr="005D6B0F">
        <w:t xml:space="preserve"> transportation, refer to the </w:t>
      </w:r>
      <w:r w:rsidR="68485FAD" w:rsidRPr="005D6B0F">
        <w:t>‘</w:t>
      </w:r>
      <w:r w:rsidRPr="005D6B0F">
        <w:t>Requirements for the packaging and transport of pathology specimens and associated materials (Fifth Edition 2022)</w:t>
      </w:r>
      <w:r w:rsidR="09306AEE" w:rsidRPr="005D6B0F">
        <w:t>’</w:t>
      </w:r>
      <w:r w:rsidRPr="005D6B0F">
        <w:t xml:space="preserve"> and </w:t>
      </w:r>
      <w:r w:rsidR="36180199" w:rsidRPr="005D6B0F">
        <w:t>‘</w:t>
      </w:r>
      <w:r w:rsidRPr="005D6B0F">
        <w:t>Recommendations on the Transport of Dangerous Goods Volume I (Twenty-third revised edition 2023)</w:t>
      </w:r>
      <w:r w:rsidR="5496051A" w:rsidRPr="005D6B0F">
        <w:t>’</w:t>
      </w:r>
      <w:r w:rsidRPr="005D6B0F">
        <w:t xml:space="preserve">. Note that except for MPXV cultures, samples may be transported as category B biological hazards (UN 3373). MPXV cultures should be transported as category A biological hazards (UN 2814). </w:t>
      </w:r>
    </w:p>
    <w:p w14:paraId="2E091730" w14:textId="13010A76" w:rsidR="52848B75" w:rsidRPr="005D6B0F" w:rsidRDefault="52848B75" w:rsidP="005D6B0F">
      <w:r w:rsidRPr="005D6B0F">
        <w:t xml:space="preserve">Submit specimens to the testing laboratory as soon as possible. If there is a delay in transport to the laboratory, refrigerate specimens (approximately 4 °C) or frozen (–20 °C or lower). You can store refrigerated specimens for up to 7 days, and frozen specimens for up to a month. Keep the specimens refrigerated during transport to the reference laboratory. </w:t>
      </w:r>
    </w:p>
    <w:p w14:paraId="469A15E7" w14:textId="10DA0AC3" w:rsidR="08163A1C" w:rsidRPr="005D6B0F" w:rsidRDefault="52848B75" w:rsidP="005D6B0F">
      <w:r w:rsidRPr="005D6B0F">
        <w:t>Raise any questions about specimen collection and transport with the specialist microbiologist to whom the specimen is being referred.</w:t>
      </w:r>
      <w:r w:rsidR="08163A1C" w:rsidRPr="005D6B0F">
        <w:t xml:space="preserve"> </w:t>
      </w:r>
    </w:p>
    <w:p w14:paraId="26767C98" w14:textId="434F45CD" w:rsidR="3849642A" w:rsidRPr="005D6B0F" w:rsidRDefault="5C8064DD" w:rsidP="005D6B0F">
      <w:pPr>
        <w:pStyle w:val="Heading3"/>
      </w:pPr>
      <w:r w:rsidRPr="005D6B0F">
        <w:t>Laboratory handling of specimens and prevention of laboratory acquired infection</w:t>
      </w:r>
    </w:p>
    <w:p w14:paraId="516D891D" w14:textId="0F56C27A" w:rsidR="00C66734" w:rsidRPr="00F66828" w:rsidRDefault="5C8064DD" w:rsidP="005D6B0F">
      <w:r w:rsidRPr="00F66828">
        <w:t xml:space="preserve">There is a risk of laboratory-acquired </w:t>
      </w:r>
      <w:r w:rsidR="31F607B0" w:rsidRPr="00F66828">
        <w:t>MPXV</w:t>
      </w:r>
      <w:r w:rsidRPr="00F66828">
        <w:t xml:space="preserve"> infection, but with appropriate biosafety this risk is low. Local risk-assessments should be conducted, and are the responsibility of each laboratory. There have been no reported cases of laboratory-acquired </w:t>
      </w:r>
      <w:r w:rsidR="7A837416" w:rsidRPr="00F66828">
        <w:t>MPXV</w:t>
      </w:r>
      <w:r w:rsidRPr="00F66828">
        <w:t xml:space="preserve"> infection. Several cases, however, have been reported of laboratory-acquired Orthopoxvirus infections (largely vaccinia) as a result of needlestick or splash injuries</w:t>
      </w:r>
      <w:r w:rsidR="006C1B96" w:rsidRPr="00F66828">
        <w:t xml:space="preserve"> </w:t>
      </w:r>
      <w:r w:rsidRPr="00F66828">
        <w:t>[</w:t>
      </w:r>
      <w:r w:rsidR="00D22CF3" w:rsidRPr="00F66828">
        <w:t>3</w:t>
      </w:r>
      <w:r w:rsidR="002B4219" w:rsidRPr="00F66828">
        <w:t>7</w:t>
      </w:r>
      <w:r w:rsidR="4F7533C6" w:rsidRPr="00F66828">
        <w:t>–</w:t>
      </w:r>
      <w:r w:rsidR="002B4219" w:rsidRPr="00F66828">
        <w:t>42</w:t>
      </w:r>
      <w:r w:rsidRPr="00F66828">
        <w:t xml:space="preserve">]. </w:t>
      </w:r>
      <w:r w:rsidR="594D4037" w:rsidRPr="00F66828">
        <w:t xml:space="preserve">Guidelines for the handling of laboratory specimens may change as further evidence for the risk of transmission in this setting is generated.  </w:t>
      </w:r>
    </w:p>
    <w:p w14:paraId="7232011D" w14:textId="61E40188" w:rsidR="00C66734" w:rsidRPr="00F66828" w:rsidRDefault="5C8064DD" w:rsidP="005D6B0F">
      <w:r w:rsidRPr="00F66828">
        <w:t xml:space="preserve">Vaccinia vaccination likely provides protection against </w:t>
      </w:r>
      <w:r w:rsidR="741E0E45" w:rsidRPr="00F66828">
        <w:t>MPXV</w:t>
      </w:r>
      <w:r w:rsidRPr="00F66828">
        <w:t xml:space="preserve"> infection and is recommended for laboratory workers in some settings [</w:t>
      </w:r>
      <w:r w:rsidR="001A19EF" w:rsidRPr="00F66828">
        <w:t>43-45</w:t>
      </w:r>
      <w:r w:rsidRPr="00F66828">
        <w:t xml:space="preserve">]. Vaccinia vaccination </w:t>
      </w:r>
      <w:r w:rsidR="11C7D930" w:rsidRPr="00F66828">
        <w:t xml:space="preserve">is protective in animal models and </w:t>
      </w:r>
      <w:r w:rsidRPr="00F66828">
        <w:t>may also have a role in post-exposure prophylaxis in cases of occupational exposure. Consideration of this should be included in local risk assessments depending on diagnostic sample burden, as risks of vaccinia vaccination may not outweigh benefit in low burden settings.</w:t>
      </w:r>
    </w:p>
    <w:p w14:paraId="0E3719B9" w14:textId="77777777" w:rsidR="002713C6" w:rsidRPr="005D6B0F" w:rsidRDefault="39A46F66" w:rsidP="005D6B0F">
      <w:pPr>
        <w:pStyle w:val="Heading3"/>
      </w:pPr>
      <w:r w:rsidRPr="005D6B0F">
        <w:lastRenderedPageBreak/>
        <w:t>Microbiology specimens suspected to contain monkeypox virus</w:t>
      </w:r>
    </w:p>
    <w:p w14:paraId="31E9FB78" w14:textId="0E4913C6" w:rsidR="002205CC" w:rsidRPr="005D6B0F" w:rsidRDefault="39A46F66" w:rsidP="005D6B0F">
      <w:r w:rsidRPr="005D6B0F">
        <w:t xml:space="preserve">When handling clinical specimens suspected to contain MPXV, PPE should be worn according to appropriately conducted risk assessments undertaken by local laboratory </w:t>
      </w:r>
      <w:proofErr w:type="gramStart"/>
      <w:r w:rsidRPr="005D6B0F">
        <w:t>management..</w:t>
      </w:r>
      <w:proofErr w:type="gramEnd"/>
    </w:p>
    <w:p w14:paraId="2868C32B" w14:textId="6BD69E3F" w:rsidR="002205CC" w:rsidRPr="005D6B0F" w:rsidRDefault="68EAFDE0" w:rsidP="005D6B0F">
      <w:r w:rsidRPr="00F66828">
        <w:t xml:space="preserve">Diagnostic testing </w:t>
      </w:r>
      <w:r w:rsidRPr="005D6B0F">
        <w:t xml:space="preserve">for </w:t>
      </w:r>
      <w:r w:rsidR="43679458" w:rsidRPr="005D6B0F">
        <w:t>MPXV from primary specimens</w:t>
      </w:r>
      <w:r w:rsidRPr="005D6B0F">
        <w:t xml:space="preserve"> should be conducted in </w:t>
      </w:r>
      <w:r w:rsidR="58F99137" w:rsidRPr="005D6B0F">
        <w:t xml:space="preserve">a </w:t>
      </w:r>
      <w:r w:rsidRPr="005D6B0F">
        <w:t>Physical Containment 2 (PC2)</w:t>
      </w:r>
      <w:r w:rsidR="58F99137" w:rsidRPr="005D6B0F">
        <w:t xml:space="preserve"> laboratory</w:t>
      </w:r>
      <w:r w:rsidR="4C8A8A0B" w:rsidRPr="005D6B0F">
        <w:t xml:space="preserve"> with </w:t>
      </w:r>
      <w:bookmarkStart w:id="0" w:name="_Hlk114647190"/>
      <w:r w:rsidRPr="005D6B0F">
        <w:t>appropriate PPE</w:t>
      </w:r>
      <w:r w:rsidR="7F27FA90" w:rsidRPr="005D6B0F">
        <w:t xml:space="preserve">. </w:t>
      </w:r>
      <w:bookmarkEnd w:id="0"/>
      <w:r w:rsidR="3C84B5C5" w:rsidRPr="005D6B0F">
        <w:t xml:space="preserve">Samples should be handled in a class II biological safety cabinet, particularly if any aerosol generating procedures are performed (e.g. </w:t>
      </w:r>
      <w:proofErr w:type="spellStart"/>
      <w:r w:rsidR="3C84B5C5" w:rsidRPr="005D6B0F">
        <w:t>vortexing</w:t>
      </w:r>
      <w:proofErr w:type="spellEnd"/>
      <w:r w:rsidR="3C84B5C5" w:rsidRPr="005D6B0F">
        <w:t xml:space="preserve"> or sonication). Sealed centrifuge rotors or sample cups should be used where available. </w:t>
      </w:r>
      <w:r w:rsidRPr="005D6B0F">
        <w:t xml:space="preserve">If these specimens are also processed in bacteriology laboratories, after the plate and slide preparation, extra PPE precautions are not necessary. </w:t>
      </w:r>
    </w:p>
    <w:p w14:paraId="17E2F2B9" w14:textId="2381BE84" w:rsidR="1545D556" w:rsidRPr="00F66828" w:rsidRDefault="1545D556" w:rsidP="005D6B0F">
      <w:r w:rsidRPr="005D6B0F">
        <w:t xml:space="preserve">Laboratory-based NAA testing for </w:t>
      </w:r>
      <w:r w:rsidR="74B8493B" w:rsidRPr="005D6B0F">
        <w:t xml:space="preserve">primary </w:t>
      </w:r>
      <w:r w:rsidRPr="005D6B0F">
        <w:t>specimens suspected or confirmed to contain MPXV are handled at a different level of risk compared to MPXV cultures. If there is doubt about the associated level of risk, or any other questions about transport requirements, discuss these cases with the</w:t>
      </w:r>
      <w:r w:rsidRPr="00F66828">
        <w:t xml:space="preserve"> specialist microbiologist.  </w:t>
      </w:r>
    </w:p>
    <w:p w14:paraId="216A9C32" w14:textId="77777777" w:rsidR="00C66734" w:rsidRPr="005D6B0F" w:rsidRDefault="00C66734" w:rsidP="005D6B0F">
      <w:pPr>
        <w:pStyle w:val="Heading3"/>
      </w:pPr>
      <w:r w:rsidRPr="005D6B0F">
        <w:t>Routine chemistry, haematology and urinalysis testing</w:t>
      </w:r>
    </w:p>
    <w:p w14:paraId="750D67BF" w14:textId="767788A5" w:rsidR="00C66734" w:rsidRPr="00F66828" w:rsidRDefault="00C66734" w:rsidP="005D6B0F">
      <w:r w:rsidRPr="00F66828">
        <w:t xml:space="preserve">Standard laboratory precautions should be taken when processing samples from patients with suspected mpox. Vaccination of laboratory personnel handling these specimens is not recommended, in line with </w:t>
      </w:r>
      <w:r w:rsidR="00E12C93" w:rsidRPr="00F66828">
        <w:t xml:space="preserve">international </w:t>
      </w:r>
      <w:r w:rsidRPr="00F66828">
        <w:t>guidance [</w:t>
      </w:r>
      <w:r w:rsidR="006C1B96" w:rsidRPr="00F66828">
        <w:t>4</w:t>
      </w:r>
      <w:r w:rsidR="008A1338" w:rsidRPr="00F66828">
        <w:t>3,44</w:t>
      </w:r>
      <w:r w:rsidRPr="00F66828">
        <w:t>]. All laboratories handling monkeypox virus specimens should have completed an individual risk assessment for these processes. Precautions for handling of other non</w:t>
      </w:r>
      <w:r w:rsidRPr="00F66828">
        <w:noBreakHyphen/>
        <w:t>microbiology specimen types should be considered by laboratories as part of their individual risk assessment.</w:t>
      </w:r>
    </w:p>
    <w:p w14:paraId="1E51F948" w14:textId="77777777" w:rsidR="00C66734" w:rsidRPr="005D6B0F" w:rsidRDefault="00C66734" w:rsidP="005D6B0F">
      <w:pPr>
        <w:pStyle w:val="Heading3"/>
      </w:pPr>
      <w:r w:rsidRPr="005D6B0F">
        <w:t>Culture of monkeypox virus</w:t>
      </w:r>
    </w:p>
    <w:p w14:paraId="5155E849" w14:textId="6E98E439" w:rsidR="00C66734" w:rsidRPr="00F66828" w:rsidRDefault="5C8064DD" w:rsidP="005D6B0F">
      <w:r w:rsidRPr="00F66828">
        <w:t xml:space="preserve">Culture of </w:t>
      </w:r>
      <w:r w:rsidR="005E3EF5" w:rsidRPr="00F66828">
        <w:t>MPXV</w:t>
      </w:r>
      <w:r w:rsidRPr="00F66828">
        <w:t xml:space="preserve"> should only be performed at specialised reference laboratories under PC level 3 or 4.</w:t>
      </w:r>
      <w:r w:rsidR="58F99137" w:rsidRPr="00F66828">
        <w:t xml:space="preserve"> Unless contraindicated, it is recommended that staff performing </w:t>
      </w:r>
      <w:r w:rsidR="16A9A007" w:rsidRPr="00F66828">
        <w:t>MPXV</w:t>
      </w:r>
      <w:r w:rsidR="58F99137" w:rsidRPr="00F66828">
        <w:t xml:space="preserve"> culture be vaccinated with vaccinia.</w:t>
      </w:r>
    </w:p>
    <w:p w14:paraId="6524A13A" w14:textId="183C5036" w:rsidR="00EF24F4" w:rsidRPr="005D6B0F" w:rsidRDefault="001E46A6" w:rsidP="005D6B0F">
      <w:pPr>
        <w:pStyle w:val="Heading2"/>
      </w:pPr>
      <w:r w:rsidRPr="005D6B0F">
        <w:t>A</w:t>
      </w:r>
      <w:r w:rsidR="005A42C2" w:rsidRPr="005D6B0F">
        <w:t>c</w:t>
      </w:r>
      <w:r w:rsidRPr="005D6B0F">
        <w:t>cess to diagnostic testing</w:t>
      </w:r>
    </w:p>
    <w:p w14:paraId="3A5D2D74" w14:textId="62C2175A" w:rsidR="00EF24F4" w:rsidRPr="00F66828" w:rsidRDefault="00CE22D5" w:rsidP="005D6B0F">
      <w:r w:rsidRPr="00F66828">
        <w:t xml:space="preserve">MPXV testing </w:t>
      </w:r>
      <w:r w:rsidR="001E46A6" w:rsidRPr="00F66828">
        <w:t xml:space="preserve">is </w:t>
      </w:r>
      <w:r w:rsidRPr="00F66828">
        <w:t xml:space="preserve">generally </w:t>
      </w:r>
      <w:r w:rsidR="001E46A6" w:rsidRPr="00F66828">
        <w:t xml:space="preserve">performed at jurisdictional PHLN laboratories. Prior to testing, suspected cases </w:t>
      </w:r>
      <w:r w:rsidR="00D91DE8" w:rsidRPr="00F66828">
        <w:t xml:space="preserve">should </w:t>
      </w:r>
      <w:r w:rsidR="001E46A6" w:rsidRPr="00F66828">
        <w:t xml:space="preserve">be notified through the relevant state or territory Public Health Unit. Direct contact with the </w:t>
      </w:r>
      <w:r w:rsidR="7ED7E2D5" w:rsidRPr="00F66828">
        <w:t>specialist</w:t>
      </w:r>
      <w:r w:rsidR="001E46A6" w:rsidRPr="00F66828">
        <w:t xml:space="preserve"> microbiologist at the testing laboratory is essential to arrange receipt of specimens and obtain advice on specimen collection, safe packaging, and </w:t>
      </w:r>
      <w:r w:rsidR="001E46A6" w:rsidRPr="00F66828">
        <w:lastRenderedPageBreak/>
        <w:t>transport. Excessive sample collection should be discouraged to minimise risk to healthcare workers or laboratory personnel.</w:t>
      </w:r>
    </w:p>
    <w:p w14:paraId="1595E2D5" w14:textId="17833AD3" w:rsidR="00EF24F4" w:rsidRPr="005D6B0F" w:rsidRDefault="005A42C2" w:rsidP="005D6B0F">
      <w:pPr>
        <w:pStyle w:val="Heading2"/>
      </w:pPr>
      <w:r w:rsidRPr="005D6B0F">
        <w:t>Quality assurance programs</w:t>
      </w:r>
    </w:p>
    <w:p w14:paraId="6C104B1B" w14:textId="627D1B03" w:rsidR="00B07150" w:rsidRPr="00F66828" w:rsidRDefault="00BF7A1D" w:rsidP="005D6B0F">
      <w:r w:rsidRPr="00F66828">
        <w:t>T</w:t>
      </w:r>
      <w:r w:rsidR="005A42C2" w:rsidRPr="00F66828">
        <w:t xml:space="preserve">he Royal College of Pathologists of Australasia Quality Assurance Program (RCPAQAP) </w:t>
      </w:r>
      <w:r w:rsidRPr="00F66828">
        <w:t xml:space="preserve">Biosecurity program offers a </w:t>
      </w:r>
      <w:r w:rsidR="58BBE288" w:rsidRPr="00F66828">
        <w:t>MPXV</w:t>
      </w:r>
      <w:r w:rsidRPr="00F66828">
        <w:t xml:space="preserve"> proficiency testing panel for PHLN member laboratories</w:t>
      </w:r>
      <w:r w:rsidR="005A42C2" w:rsidRPr="00F66828">
        <w:t>.</w:t>
      </w:r>
    </w:p>
    <w:p w14:paraId="5A7CCF88" w14:textId="481E4C5C" w:rsidR="00B07150" w:rsidRPr="005D6B0F" w:rsidRDefault="00B07150" w:rsidP="005D6B0F">
      <w:pPr>
        <w:pStyle w:val="Heading1"/>
      </w:pPr>
      <w:r w:rsidRPr="005D6B0F">
        <w:t>SNOMED CT terms</w:t>
      </w:r>
    </w:p>
    <w:tbl>
      <w:tblPr>
        <w:tblStyle w:val="ListTable3-Accent3"/>
        <w:tblW w:w="0" w:type="auto"/>
        <w:tblLook w:val="04A0" w:firstRow="1" w:lastRow="0" w:firstColumn="1" w:lastColumn="0" w:noHBand="0" w:noVBand="1"/>
      </w:tblPr>
      <w:tblGrid>
        <w:gridCol w:w="3005"/>
        <w:gridCol w:w="3006"/>
        <w:gridCol w:w="3006"/>
      </w:tblGrid>
      <w:tr w:rsidR="00B07150" w:rsidRPr="00F66828" w14:paraId="6087DA3D" w14:textId="77777777" w:rsidTr="005D6B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005" w:type="dxa"/>
          </w:tcPr>
          <w:p w14:paraId="0132816E" w14:textId="77777777" w:rsidR="00B07150" w:rsidRPr="00F66828" w:rsidRDefault="00B07150" w:rsidP="005D6B0F">
            <w:pPr>
              <w:pStyle w:val="TableHeaderWhite"/>
            </w:pPr>
            <w:r w:rsidRPr="00F66828">
              <w:t>SNOMED CT code</w:t>
            </w:r>
          </w:p>
        </w:tc>
        <w:tc>
          <w:tcPr>
            <w:tcW w:w="3006" w:type="dxa"/>
          </w:tcPr>
          <w:p w14:paraId="099C1774" w14:textId="77777777" w:rsidR="00B07150" w:rsidRPr="00F66828" w:rsidRDefault="00B07150" w:rsidP="005D6B0F">
            <w:pPr>
              <w:pStyle w:val="TableHeaderWhite"/>
              <w:cnfStyle w:val="100000000000" w:firstRow="1" w:lastRow="0" w:firstColumn="0" w:lastColumn="0" w:oddVBand="0" w:evenVBand="0" w:oddHBand="0" w:evenHBand="0" w:firstRowFirstColumn="0" w:firstRowLastColumn="0" w:lastRowFirstColumn="0" w:lastRowLastColumn="0"/>
            </w:pPr>
            <w:r w:rsidRPr="00F66828">
              <w:t>Term name</w:t>
            </w:r>
          </w:p>
        </w:tc>
        <w:tc>
          <w:tcPr>
            <w:tcW w:w="3006" w:type="dxa"/>
          </w:tcPr>
          <w:p w14:paraId="443C835A" w14:textId="77777777" w:rsidR="00B07150" w:rsidRPr="00F66828" w:rsidRDefault="00B07150" w:rsidP="005D6B0F">
            <w:pPr>
              <w:pStyle w:val="TableHeaderWhite"/>
              <w:cnfStyle w:val="100000000000" w:firstRow="1" w:lastRow="0" w:firstColumn="0" w:lastColumn="0" w:oddVBand="0" w:evenVBand="0" w:oddHBand="0" w:evenHBand="0" w:firstRowFirstColumn="0" w:firstRowLastColumn="0" w:lastRowFirstColumn="0" w:lastRowLastColumn="0"/>
            </w:pPr>
            <w:r w:rsidRPr="00F66828">
              <w:t>Description</w:t>
            </w:r>
          </w:p>
        </w:tc>
      </w:tr>
      <w:tr w:rsidR="0091506E" w:rsidRPr="00F66828" w14:paraId="011090EF" w14:textId="77777777" w:rsidTr="001D5E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6CC43B4" w14:textId="6990A3DE" w:rsidR="0091506E" w:rsidRPr="00F66828" w:rsidRDefault="0091506E" w:rsidP="005D6B0F">
            <w:pPr>
              <w:rPr>
                <w:b w:val="0"/>
                <w:bCs w:val="0"/>
                <w:i/>
                <w:iCs/>
                <w:color w:val="808080" w:themeColor="background1" w:themeShade="80"/>
              </w:rPr>
            </w:pPr>
            <w:r w:rsidRPr="00F66828">
              <w:t>359814004</w:t>
            </w:r>
          </w:p>
        </w:tc>
        <w:tc>
          <w:tcPr>
            <w:tcW w:w="3006" w:type="dxa"/>
          </w:tcPr>
          <w:p w14:paraId="754E3FA8" w14:textId="47672C61" w:rsidR="0091506E" w:rsidRPr="00F66828" w:rsidRDefault="0091506E" w:rsidP="005D6B0F">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r w:rsidRPr="00F66828">
              <w:t>Monkeypox</w:t>
            </w:r>
          </w:p>
        </w:tc>
        <w:tc>
          <w:tcPr>
            <w:tcW w:w="3006" w:type="dxa"/>
          </w:tcPr>
          <w:p w14:paraId="55ED061E" w14:textId="2E066A9B" w:rsidR="0091506E" w:rsidRPr="00F66828" w:rsidRDefault="0091506E" w:rsidP="005D6B0F">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F66828">
              <w:t>Disorder</w:t>
            </w:r>
          </w:p>
        </w:tc>
      </w:tr>
      <w:tr w:rsidR="0091506E" w:rsidRPr="00F66828" w14:paraId="1A585024" w14:textId="77777777" w:rsidTr="001D5EDB">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394C0BE" w14:textId="6CEB5E07" w:rsidR="0091506E" w:rsidRPr="00F66828" w:rsidRDefault="0091506E" w:rsidP="005D6B0F">
            <w:r w:rsidRPr="00F66828">
              <w:t>59774002</w:t>
            </w:r>
          </w:p>
        </w:tc>
        <w:tc>
          <w:tcPr>
            <w:tcW w:w="3006" w:type="dxa"/>
          </w:tcPr>
          <w:p w14:paraId="2CB32167" w14:textId="5C1E62E6" w:rsidR="0091506E" w:rsidRPr="00F66828" w:rsidRDefault="0091506E" w:rsidP="005D6B0F">
            <w:pPr>
              <w:cnfStyle w:val="000000000000" w:firstRow="0" w:lastRow="0" w:firstColumn="0" w:lastColumn="0" w:oddVBand="0" w:evenVBand="0" w:oddHBand="0" w:evenHBand="0" w:firstRowFirstColumn="0" w:firstRowLastColumn="0" w:lastRowFirstColumn="0" w:lastRowLastColumn="0"/>
            </w:pPr>
            <w:r w:rsidRPr="00F66828">
              <w:t>Monkeypox virus</w:t>
            </w:r>
          </w:p>
        </w:tc>
        <w:tc>
          <w:tcPr>
            <w:tcW w:w="3006" w:type="dxa"/>
          </w:tcPr>
          <w:p w14:paraId="6F152C7B" w14:textId="47347C5F" w:rsidR="0091506E" w:rsidRPr="00F66828" w:rsidRDefault="0091506E" w:rsidP="005D6B0F">
            <w:pPr>
              <w:cnfStyle w:val="000000000000" w:firstRow="0" w:lastRow="0" w:firstColumn="0" w:lastColumn="0" w:oddVBand="0" w:evenVBand="0" w:oddHBand="0" w:evenHBand="0" w:firstRowFirstColumn="0" w:firstRowLastColumn="0" w:lastRowFirstColumn="0" w:lastRowLastColumn="0"/>
            </w:pPr>
            <w:r w:rsidRPr="00F66828">
              <w:t>Organism</w:t>
            </w:r>
          </w:p>
        </w:tc>
      </w:tr>
      <w:tr w:rsidR="0091506E" w:rsidRPr="00F66828" w14:paraId="3785DAFA" w14:textId="77777777" w:rsidTr="001D5E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6A4AC6C9" w14:textId="13EB7A94" w:rsidR="0091506E" w:rsidRPr="00F66828" w:rsidRDefault="0091506E" w:rsidP="005D6B0F">
            <w:pPr>
              <w:rPr>
                <w:b w:val="0"/>
                <w:bCs w:val="0"/>
              </w:rPr>
            </w:pPr>
            <w:r w:rsidRPr="00F66828">
              <w:t>1290831000000108</w:t>
            </w:r>
          </w:p>
        </w:tc>
        <w:tc>
          <w:tcPr>
            <w:tcW w:w="3006" w:type="dxa"/>
          </w:tcPr>
          <w:p w14:paraId="51B8F65E" w14:textId="40074530" w:rsidR="0091506E" w:rsidRPr="00F66828" w:rsidRDefault="0091506E" w:rsidP="005D6B0F">
            <w:pPr>
              <w:cnfStyle w:val="000000100000" w:firstRow="0" w:lastRow="0" w:firstColumn="0" w:lastColumn="0" w:oddVBand="0" w:evenVBand="0" w:oddHBand="1" w:evenHBand="0" w:firstRowFirstColumn="0" w:firstRowLastColumn="0" w:lastRowFirstColumn="0" w:lastRowLastColumn="0"/>
            </w:pPr>
            <w:r w:rsidRPr="00F66828">
              <w:t>Monkeypox virus detection result positive</w:t>
            </w:r>
          </w:p>
        </w:tc>
        <w:tc>
          <w:tcPr>
            <w:tcW w:w="3006" w:type="dxa"/>
          </w:tcPr>
          <w:p w14:paraId="3FD05CD3" w14:textId="7FE2AC55" w:rsidR="0091506E" w:rsidRPr="00F66828" w:rsidRDefault="0091506E" w:rsidP="005D6B0F">
            <w:pPr>
              <w:cnfStyle w:val="000000100000" w:firstRow="0" w:lastRow="0" w:firstColumn="0" w:lastColumn="0" w:oddVBand="0" w:evenVBand="0" w:oddHBand="1" w:evenHBand="0" w:firstRowFirstColumn="0" w:firstRowLastColumn="0" w:lastRowFirstColumn="0" w:lastRowLastColumn="0"/>
            </w:pPr>
            <w:r w:rsidRPr="00F66828">
              <w:t>Finding</w:t>
            </w:r>
          </w:p>
        </w:tc>
      </w:tr>
    </w:tbl>
    <w:p w14:paraId="539D7420" w14:textId="2CD75071" w:rsidR="00B07150" w:rsidRPr="00F66828" w:rsidRDefault="00B07150" w:rsidP="005D6B0F">
      <w:r w:rsidRPr="00F66828">
        <w:br w:type="page"/>
      </w:r>
    </w:p>
    <w:p w14:paraId="322BD421" w14:textId="5111B4EC" w:rsidR="00EF24F4" w:rsidRPr="005D6B0F" w:rsidRDefault="00EF24F4" w:rsidP="005D6B0F">
      <w:pPr>
        <w:pStyle w:val="Heading1"/>
      </w:pPr>
      <w:r w:rsidRPr="005D6B0F">
        <w:lastRenderedPageBreak/>
        <w:t>References</w:t>
      </w:r>
    </w:p>
    <w:p w14:paraId="4CDB5020" w14:textId="7E434783" w:rsidR="00AD1897" w:rsidRPr="005D6B0F" w:rsidRDefault="00AD1897" w:rsidP="005D6B0F">
      <w:pPr>
        <w:pStyle w:val="NormalWeb"/>
      </w:pPr>
      <w:hyperlink r:id="rId15" w:history="1">
        <w:r w:rsidRPr="005D6B0F">
          <w:t>Carroll KC. et al. Manual of Clinical Microbiology, 2 Volume Set, 12th Edition. 12th ed. Wiley, 2019</w:t>
        </w:r>
      </w:hyperlink>
      <w:r w:rsidRPr="005D6B0F">
        <w:t>. Available at: (</w:t>
      </w:r>
      <w:hyperlink r:id="rId16" w:history="1">
        <w:r w:rsidRPr="007F75EE">
          <w:rPr>
            <w:rStyle w:val="Hyperlink"/>
          </w:rPr>
          <w:t>https://www.wiley.com/en-us/Manual+of+Clinical+Microbiology%2C+2+Volume+Set%2C+12th+Edition-p-9781555819835</w:t>
        </w:r>
      </w:hyperlink>
      <w:r w:rsidRPr="005D6B0F">
        <w:t>).</w:t>
      </w:r>
    </w:p>
    <w:p w14:paraId="149DB997" w14:textId="329E7FE0" w:rsidR="00AD1897" w:rsidRPr="005D6B0F" w:rsidRDefault="00AD1897" w:rsidP="005D6B0F">
      <w:pPr>
        <w:pStyle w:val="NormalWeb"/>
      </w:pPr>
      <w:r w:rsidRPr="005D6B0F">
        <w:t xml:space="preserve">Simpson K, Heymann D, Brown CS, et al. Human monkeypox - After 40 years, an unintended consequence of smallpox eradication. Vaccine 2020; 38:5077–5081. </w:t>
      </w:r>
    </w:p>
    <w:p w14:paraId="01E580CB" w14:textId="35E3499F" w:rsidR="00AD1897" w:rsidRPr="005D6B0F" w:rsidRDefault="00AD1897" w:rsidP="005D6B0F">
      <w:pPr>
        <w:pStyle w:val="NormalWeb"/>
      </w:pPr>
      <w:r w:rsidRPr="005D6B0F">
        <w:t>Di Giulio DB, Eckburg PB. Human monkeypox: an emerging zoonosis. Lancet Infect</w:t>
      </w:r>
      <w:r w:rsidR="00007B27" w:rsidRPr="005D6B0F">
        <w:t xml:space="preserve"> </w:t>
      </w:r>
      <w:r w:rsidRPr="005D6B0F">
        <w:t xml:space="preserve">Dis 2004; 4:15–25. </w:t>
      </w:r>
    </w:p>
    <w:p w14:paraId="32F61ED6" w14:textId="2CBAF69B" w:rsidR="00007B27" w:rsidRPr="005D6B0F" w:rsidRDefault="00007B27" w:rsidP="005D6B0F">
      <w:pPr>
        <w:pStyle w:val="NormalWeb"/>
      </w:pPr>
      <w:proofErr w:type="spellStart"/>
      <w:r w:rsidRPr="005D6B0F">
        <w:t>Meseko</w:t>
      </w:r>
      <w:proofErr w:type="spellEnd"/>
      <w:r w:rsidRPr="005D6B0F">
        <w:t xml:space="preserve"> C, </w:t>
      </w:r>
      <w:proofErr w:type="spellStart"/>
      <w:r w:rsidRPr="005D6B0F">
        <w:t>Aedeji</w:t>
      </w:r>
      <w:proofErr w:type="spellEnd"/>
      <w:r w:rsidRPr="005D6B0F">
        <w:t xml:space="preserve"> A, Shittu I, et al. </w:t>
      </w:r>
      <w:proofErr w:type="spellStart"/>
      <w:r w:rsidRPr="005D6B0F">
        <w:t>Orthopoxcirus</w:t>
      </w:r>
      <w:proofErr w:type="spellEnd"/>
      <w:r w:rsidRPr="005D6B0F">
        <w:t xml:space="preserve"> infections in rodents, Nigeria, 2018-2019. Emerg Infect Dis 2023; 2:433-434.</w:t>
      </w:r>
    </w:p>
    <w:p w14:paraId="5C8AA24B" w14:textId="3AA21000" w:rsidR="00AD1897" w:rsidRPr="005D6B0F" w:rsidRDefault="00AD1897" w:rsidP="005D6B0F">
      <w:pPr>
        <w:pStyle w:val="NormalWeb"/>
      </w:pPr>
      <w:r w:rsidRPr="005D6B0F">
        <w:t xml:space="preserve">Reed KD, </w:t>
      </w:r>
      <w:proofErr w:type="spellStart"/>
      <w:r w:rsidRPr="005D6B0F">
        <w:t>Melski</w:t>
      </w:r>
      <w:proofErr w:type="spellEnd"/>
      <w:r w:rsidRPr="005D6B0F">
        <w:t xml:space="preserve"> JW, Graham MB, et al. The </w:t>
      </w:r>
      <w:r w:rsidR="00B13E8C" w:rsidRPr="005D6B0F">
        <w:t>d</w:t>
      </w:r>
      <w:r w:rsidRPr="005D6B0F">
        <w:t xml:space="preserve">etection of </w:t>
      </w:r>
      <w:r w:rsidR="00B13E8C" w:rsidRPr="005D6B0F">
        <w:t>m</w:t>
      </w:r>
      <w:r w:rsidRPr="005D6B0F">
        <w:t xml:space="preserve">onkeypox in </w:t>
      </w:r>
      <w:r w:rsidR="00B13E8C" w:rsidRPr="005D6B0F">
        <w:t>h</w:t>
      </w:r>
      <w:r w:rsidRPr="005D6B0F">
        <w:t>umans in the Western Hemisphere. N Engl J Med 2004; 350:342–350.</w:t>
      </w:r>
    </w:p>
    <w:p w14:paraId="4D80FA14" w14:textId="4390EFC9" w:rsidR="00AD1897" w:rsidRPr="005D6B0F" w:rsidRDefault="00AD1897" w:rsidP="005D6B0F">
      <w:pPr>
        <w:pStyle w:val="NormalWeb"/>
      </w:pPr>
      <w:r w:rsidRPr="005D6B0F">
        <w:t xml:space="preserve">Ng OT, Lee V, Marimuthu K, et al. A case of imported </w:t>
      </w:r>
      <w:r w:rsidR="00B13E8C" w:rsidRPr="005D6B0F">
        <w:t>m</w:t>
      </w:r>
      <w:r w:rsidRPr="005D6B0F">
        <w:t xml:space="preserve">onkeypox in Singapore. Lancet Infect Dis 2019; 19:1166. </w:t>
      </w:r>
    </w:p>
    <w:p w14:paraId="6806B225" w14:textId="093C4D77" w:rsidR="00AD1897" w:rsidRPr="005D6B0F" w:rsidRDefault="00AD1897" w:rsidP="005D6B0F">
      <w:pPr>
        <w:pStyle w:val="NormalWeb"/>
      </w:pPr>
      <w:r w:rsidRPr="005D6B0F">
        <w:t xml:space="preserve">Erez N, </w:t>
      </w:r>
      <w:proofErr w:type="spellStart"/>
      <w:r w:rsidRPr="005D6B0F">
        <w:t>Achdout</w:t>
      </w:r>
      <w:proofErr w:type="spellEnd"/>
      <w:r w:rsidRPr="005D6B0F">
        <w:t xml:space="preserve"> H, </w:t>
      </w:r>
      <w:proofErr w:type="spellStart"/>
      <w:r w:rsidRPr="005D6B0F">
        <w:t>Milrot</w:t>
      </w:r>
      <w:proofErr w:type="spellEnd"/>
      <w:r w:rsidRPr="005D6B0F">
        <w:t xml:space="preserve"> E, et al. Diagnosis of </w:t>
      </w:r>
      <w:r w:rsidR="00FE09CC" w:rsidRPr="005D6B0F">
        <w:t>i</w:t>
      </w:r>
      <w:r w:rsidRPr="005D6B0F">
        <w:t xml:space="preserve">mported </w:t>
      </w:r>
      <w:r w:rsidR="00FE09CC" w:rsidRPr="005D6B0F">
        <w:t>monkeypox</w:t>
      </w:r>
      <w:r w:rsidRPr="005D6B0F">
        <w:t>, Israel, 2018</w:t>
      </w:r>
      <w:r w:rsidR="00FE09CC" w:rsidRPr="005D6B0F">
        <w:t>. Emerg Infect Dis 2019; 25:980-983</w:t>
      </w:r>
      <w:r w:rsidR="006C0D9E" w:rsidRPr="005D6B0F">
        <w:t>.</w:t>
      </w:r>
    </w:p>
    <w:p w14:paraId="63ED3052" w14:textId="51AE42AD" w:rsidR="00AD1897" w:rsidRPr="005D6B0F" w:rsidRDefault="008B2E79" w:rsidP="005D6B0F">
      <w:pPr>
        <w:pStyle w:val="NormalWeb"/>
      </w:pPr>
      <w:r w:rsidRPr="005D6B0F">
        <w:t xml:space="preserve">World Health Organization. </w:t>
      </w:r>
      <w:r w:rsidR="00AD1897" w:rsidRPr="005D6B0F">
        <w:t>M</w:t>
      </w:r>
      <w:r w:rsidR="00D5598D" w:rsidRPr="005D6B0F">
        <w:t xml:space="preserve">pox outbreak. </w:t>
      </w:r>
      <w:r w:rsidR="00AD1897" w:rsidRPr="005D6B0F">
        <w:t>Available at: (</w:t>
      </w:r>
      <w:hyperlink r:id="rId17" w:history="1">
        <w:r w:rsidR="00D5598D" w:rsidRPr="007F75EE">
          <w:rPr>
            <w:rStyle w:val="Hyperlink"/>
          </w:rPr>
          <w:t>https://www.who.int/emergencies/situations/mpox-outbreak</w:t>
        </w:r>
      </w:hyperlink>
      <w:r w:rsidR="00AD1897" w:rsidRPr="005D6B0F">
        <w:t xml:space="preserve">). Accessed </w:t>
      </w:r>
      <w:r w:rsidR="00D5598D" w:rsidRPr="005D6B0F">
        <w:t>28 February 2025</w:t>
      </w:r>
      <w:r w:rsidR="00AD1897" w:rsidRPr="005D6B0F">
        <w:t>.</w:t>
      </w:r>
    </w:p>
    <w:p w14:paraId="1D63B5CC" w14:textId="2B23B07A" w:rsidR="00AD1897" w:rsidRPr="005D6B0F" w:rsidRDefault="008B2E79" w:rsidP="005D6B0F">
      <w:pPr>
        <w:pStyle w:val="NormalWeb"/>
      </w:pPr>
      <w:r w:rsidRPr="005D6B0F">
        <w:t>Hou W, Wu N, Liu Y, et al. Mpox: global epidemic situation and countermeasures. Virulence 202</w:t>
      </w:r>
      <w:r w:rsidR="00A621F6" w:rsidRPr="005D6B0F">
        <w:t>5</w:t>
      </w:r>
      <w:r w:rsidRPr="005D6B0F">
        <w:t>; 16:2457958.</w:t>
      </w:r>
    </w:p>
    <w:p w14:paraId="70CC272A" w14:textId="3F0C1EC9" w:rsidR="00097C0D" w:rsidRPr="005D6B0F" w:rsidRDefault="00097C0D" w:rsidP="005D6B0F">
      <w:pPr>
        <w:pStyle w:val="NormalWeb"/>
      </w:pPr>
      <w:r w:rsidRPr="005D6B0F">
        <w:t>Australian Government Department of Health and Aged Care. National Notifiable Disease Surveillance System. Available at: (</w:t>
      </w:r>
      <w:hyperlink r:id="rId18" w:history="1">
        <w:r w:rsidRPr="007F75EE">
          <w:rPr>
            <w:rStyle w:val="Hyperlink"/>
          </w:rPr>
          <w:t>https://nindss.health.gov.au/pbi-dashboard/</w:t>
        </w:r>
      </w:hyperlink>
      <w:r w:rsidRPr="005D6B0F">
        <w:t>). Accessed 28 February 2025.</w:t>
      </w:r>
    </w:p>
    <w:p w14:paraId="15421E31" w14:textId="7A88D846" w:rsidR="00AD1897" w:rsidRPr="005D6B0F" w:rsidRDefault="00AD1897" w:rsidP="005D6B0F">
      <w:pPr>
        <w:pStyle w:val="NormalWeb"/>
      </w:pPr>
      <w:r w:rsidRPr="005D6B0F">
        <w:t xml:space="preserve">McCollum AM, Damon IK. Human </w:t>
      </w:r>
      <w:r w:rsidR="009A169F" w:rsidRPr="005D6B0F">
        <w:t>monkeypox</w:t>
      </w:r>
      <w:r w:rsidRPr="005D6B0F">
        <w:t>. Clin Infect Dis 2014; 58:260</w:t>
      </w:r>
      <w:r w:rsidR="009A169F" w:rsidRPr="005D6B0F">
        <w:t>-</w:t>
      </w:r>
      <w:r w:rsidRPr="005D6B0F">
        <w:t xml:space="preserve">267. </w:t>
      </w:r>
    </w:p>
    <w:p w14:paraId="248CF16E" w14:textId="74EBC559" w:rsidR="00AD1897" w:rsidRPr="005D6B0F" w:rsidRDefault="00056567" w:rsidP="005D6B0F">
      <w:pPr>
        <w:pStyle w:val="NormalWeb"/>
      </w:pPr>
      <w:r w:rsidRPr="005D6B0F">
        <w:t>European Centre for Disease Prevention and Control. Mpox. Available at: (</w:t>
      </w:r>
      <w:hyperlink r:id="rId19" w:history="1">
        <w:r w:rsidRPr="007F75EE">
          <w:rPr>
            <w:rStyle w:val="Hyperlink"/>
          </w:rPr>
          <w:t>https://www.ecdc.europa.eu/en/mpox</w:t>
        </w:r>
      </w:hyperlink>
      <w:r w:rsidRPr="005D6B0F">
        <w:t>). Accessed 28 February 2025.</w:t>
      </w:r>
    </w:p>
    <w:p w14:paraId="5A253C66" w14:textId="09144A98" w:rsidR="00AD1897" w:rsidRPr="005D6B0F" w:rsidRDefault="00AD1897" w:rsidP="005D6B0F">
      <w:pPr>
        <w:pStyle w:val="NormalWeb"/>
      </w:pPr>
      <w:r w:rsidRPr="005D6B0F">
        <w:t xml:space="preserve">Nolen LD, </w:t>
      </w:r>
      <w:proofErr w:type="spellStart"/>
      <w:r w:rsidRPr="005D6B0F">
        <w:t>Osadebe</w:t>
      </w:r>
      <w:proofErr w:type="spellEnd"/>
      <w:r w:rsidRPr="005D6B0F">
        <w:t xml:space="preserve"> L, Katomba J, et al. Extended </w:t>
      </w:r>
      <w:r w:rsidR="002B4219" w:rsidRPr="005D6B0F">
        <w:t>h</w:t>
      </w:r>
      <w:r w:rsidRPr="005D6B0F">
        <w:t>uman-to-</w:t>
      </w:r>
      <w:r w:rsidR="002B4219" w:rsidRPr="005D6B0F">
        <w:t>h</w:t>
      </w:r>
      <w:r w:rsidRPr="005D6B0F">
        <w:t xml:space="preserve">uman </w:t>
      </w:r>
      <w:r w:rsidR="002B4219" w:rsidRPr="005D6B0F">
        <w:t>t</w:t>
      </w:r>
      <w:r w:rsidRPr="005D6B0F">
        <w:t xml:space="preserve">ransmission during a </w:t>
      </w:r>
      <w:r w:rsidR="002B4219" w:rsidRPr="005D6B0F">
        <w:t>m</w:t>
      </w:r>
      <w:r w:rsidRPr="005D6B0F">
        <w:t xml:space="preserve">onkeypox </w:t>
      </w:r>
      <w:r w:rsidR="002B4219" w:rsidRPr="005D6B0F">
        <w:t>o</w:t>
      </w:r>
      <w:r w:rsidRPr="005D6B0F">
        <w:t xml:space="preserve">utbreak in the Democratic Republic of </w:t>
      </w:r>
      <w:proofErr w:type="gramStart"/>
      <w:r w:rsidRPr="005D6B0F">
        <w:t>the Congo</w:t>
      </w:r>
      <w:proofErr w:type="gramEnd"/>
      <w:r w:rsidRPr="005D6B0F">
        <w:t xml:space="preserve">. Emerg Infect Dis 2016; 22:1014–1021. </w:t>
      </w:r>
    </w:p>
    <w:p w14:paraId="618B0A64" w14:textId="0D719E4A" w:rsidR="00AD1897" w:rsidRPr="005D6B0F" w:rsidRDefault="00AD1897" w:rsidP="005D6B0F">
      <w:pPr>
        <w:pStyle w:val="NormalWeb"/>
      </w:pPr>
      <w:r w:rsidRPr="005D6B0F">
        <w:t>Fleischauer AT, Kile JC, Davidson M, et al. Evaluation of Human-to-Human Transmission of Monkeypox from Infected Patients to Health Care Workers. Clin</w:t>
      </w:r>
      <w:r w:rsidR="00E23F05" w:rsidRPr="005D6B0F">
        <w:t xml:space="preserve"> </w:t>
      </w:r>
      <w:r w:rsidRPr="005D6B0F">
        <w:t>Infect Dis 2005; 40:689</w:t>
      </w:r>
      <w:r w:rsidR="00CF2943" w:rsidRPr="005D6B0F">
        <w:t>-</w:t>
      </w:r>
      <w:r w:rsidRPr="005D6B0F">
        <w:t xml:space="preserve">694. </w:t>
      </w:r>
    </w:p>
    <w:p w14:paraId="2E1A8967" w14:textId="5AD2239F" w:rsidR="00AD1897" w:rsidRPr="005D6B0F" w:rsidRDefault="00AD1897" w:rsidP="005D6B0F">
      <w:pPr>
        <w:pStyle w:val="NormalWeb"/>
      </w:pPr>
      <w:proofErr w:type="spellStart"/>
      <w:r w:rsidRPr="005D6B0F">
        <w:lastRenderedPageBreak/>
        <w:t>Hutin</w:t>
      </w:r>
      <w:proofErr w:type="spellEnd"/>
      <w:r w:rsidRPr="005D6B0F">
        <w:t xml:space="preserve"> YJ, Williams RJ, Malfait P, et al. Outbreak of human monkeypox, Democratic Republic of Congo, 1996 to 1997. Emerg Infect Dis 2001; 7:434</w:t>
      </w:r>
      <w:r w:rsidR="00A1328D" w:rsidRPr="005D6B0F">
        <w:t>-</w:t>
      </w:r>
      <w:r w:rsidRPr="005D6B0F">
        <w:t xml:space="preserve">438. </w:t>
      </w:r>
    </w:p>
    <w:p w14:paraId="4B15FD8C" w14:textId="5D84C09A" w:rsidR="00AD1897" w:rsidRPr="005D6B0F" w:rsidRDefault="00AD1897" w:rsidP="005D6B0F">
      <w:pPr>
        <w:pStyle w:val="NormalWeb"/>
      </w:pPr>
      <w:r w:rsidRPr="005D6B0F">
        <w:t>F</w:t>
      </w:r>
      <w:r w:rsidR="00A1328D" w:rsidRPr="005D6B0F">
        <w:t>ine PE, Jezek Z, Grab B, Dixon H.</w:t>
      </w:r>
      <w:r w:rsidRPr="005D6B0F">
        <w:t xml:space="preserve"> The </w:t>
      </w:r>
      <w:r w:rsidR="00A1328D" w:rsidRPr="005D6B0F">
        <w:t>t</w:t>
      </w:r>
      <w:r w:rsidRPr="005D6B0F">
        <w:t xml:space="preserve">ransmission </w:t>
      </w:r>
      <w:r w:rsidR="00A1328D" w:rsidRPr="005D6B0F">
        <w:t>p</w:t>
      </w:r>
      <w:r w:rsidRPr="005D6B0F">
        <w:t xml:space="preserve">otential of </w:t>
      </w:r>
      <w:r w:rsidR="00A1328D" w:rsidRPr="005D6B0F">
        <w:t>m</w:t>
      </w:r>
      <w:r w:rsidRPr="005D6B0F">
        <w:t xml:space="preserve">onkeypox </w:t>
      </w:r>
      <w:r w:rsidR="00A1328D" w:rsidRPr="005D6B0F">
        <w:t>v</w:t>
      </w:r>
      <w:r w:rsidRPr="005D6B0F">
        <w:t xml:space="preserve">irus in </w:t>
      </w:r>
      <w:r w:rsidR="00A1328D" w:rsidRPr="005D6B0F">
        <w:t>h</w:t>
      </w:r>
      <w:r w:rsidRPr="005D6B0F">
        <w:t xml:space="preserve">uman </w:t>
      </w:r>
      <w:r w:rsidR="00A1328D" w:rsidRPr="005D6B0F">
        <w:t>p</w:t>
      </w:r>
      <w:r w:rsidRPr="005D6B0F">
        <w:t>opulations. Int J Epidemiol 1988; 17:643</w:t>
      </w:r>
      <w:r w:rsidR="00A1328D" w:rsidRPr="005D6B0F">
        <w:t>-</w:t>
      </w:r>
      <w:r w:rsidRPr="005D6B0F">
        <w:t xml:space="preserve">650. </w:t>
      </w:r>
    </w:p>
    <w:p w14:paraId="25ACC87D" w14:textId="3E6FCD0B" w:rsidR="00AD1897" w:rsidRPr="005D6B0F" w:rsidRDefault="00AD1897" w:rsidP="005D6B0F">
      <w:pPr>
        <w:pStyle w:val="NormalWeb"/>
      </w:pPr>
      <w:proofErr w:type="spellStart"/>
      <w:r w:rsidRPr="005D6B0F">
        <w:t>Rimoin</w:t>
      </w:r>
      <w:proofErr w:type="spellEnd"/>
      <w:r w:rsidRPr="005D6B0F">
        <w:t xml:space="preserve"> AW, </w:t>
      </w:r>
      <w:proofErr w:type="spellStart"/>
      <w:r w:rsidRPr="005D6B0F">
        <w:t>Mulembakani</w:t>
      </w:r>
      <w:proofErr w:type="spellEnd"/>
      <w:r w:rsidRPr="005D6B0F">
        <w:t xml:space="preserve"> PM, Johnston SC, et al. Major increase in human monkeypox incidence 30 years after smallpox vaccination campaigns cease in the Democratic Republic of Congo. Proc Natl </w:t>
      </w:r>
      <w:proofErr w:type="spellStart"/>
      <w:r w:rsidRPr="005D6B0F">
        <w:t>Acad</w:t>
      </w:r>
      <w:proofErr w:type="spellEnd"/>
      <w:r w:rsidRPr="005D6B0F">
        <w:t xml:space="preserve"> Sci U S A 2010; 107:16262–16267. </w:t>
      </w:r>
    </w:p>
    <w:p w14:paraId="70943B13" w14:textId="071C33D3" w:rsidR="00AD1897" w:rsidRPr="005D6B0F" w:rsidRDefault="00DF17C1" w:rsidP="005D6B0F">
      <w:pPr>
        <w:pStyle w:val="NormalWeb"/>
      </w:pPr>
      <w:r w:rsidRPr="005D6B0F">
        <w:t>U.S. Food &amp; Drug Administration</w:t>
      </w:r>
      <w:r w:rsidR="00AD1897" w:rsidRPr="005D6B0F">
        <w:t>. FDA approves first live, non-replicating vaccine to prevent smallpox and monkeypox. Available at: (</w:t>
      </w:r>
      <w:hyperlink r:id="rId20" w:history="1">
        <w:r w:rsidR="00AD1897" w:rsidRPr="007F75EE">
          <w:rPr>
            <w:rStyle w:val="Hyperlink"/>
          </w:rPr>
          <w:t>https://www.fda.gov/news-events/press-announcements/fda-approves-first-live-non-replicating-vaccine-prevent-smallpox-and-monkeypox</w:t>
        </w:r>
      </w:hyperlink>
      <w:r w:rsidR="00AD1897" w:rsidRPr="005D6B0F">
        <w:t>). Accessed 19 May 2022.</w:t>
      </w:r>
    </w:p>
    <w:p w14:paraId="01AB35AD" w14:textId="1181B73E" w:rsidR="00AD1897" w:rsidRPr="005D6B0F" w:rsidRDefault="00AD1897" w:rsidP="005D6B0F">
      <w:pPr>
        <w:pStyle w:val="NormalWeb"/>
      </w:pPr>
      <w:r w:rsidRPr="005D6B0F">
        <w:t xml:space="preserve">Li D, Wilkins K, McCollum AM, et al. Evaluation of the GeneXpert for Human Monkeypox Diagnosis. Am J Trop Med </w:t>
      </w:r>
      <w:proofErr w:type="spellStart"/>
      <w:r w:rsidRPr="005D6B0F">
        <w:t>Hyg</w:t>
      </w:r>
      <w:proofErr w:type="spellEnd"/>
      <w:r w:rsidRPr="005D6B0F">
        <w:t xml:space="preserve"> 2017; 96:405</w:t>
      </w:r>
      <w:r w:rsidR="00D44EC3" w:rsidRPr="005D6B0F">
        <w:t>-</w:t>
      </w:r>
      <w:r w:rsidRPr="005D6B0F">
        <w:t>410.</w:t>
      </w:r>
    </w:p>
    <w:p w14:paraId="2036E55F" w14:textId="7699290D" w:rsidR="00AD1897" w:rsidRPr="005D6B0F" w:rsidRDefault="00AD1897" w:rsidP="005D6B0F">
      <w:pPr>
        <w:pStyle w:val="NormalWeb"/>
      </w:pPr>
      <w:proofErr w:type="spellStart"/>
      <w:r w:rsidRPr="005D6B0F">
        <w:t>BioFire</w:t>
      </w:r>
      <w:proofErr w:type="spellEnd"/>
      <w:r w:rsidRPr="005D6B0F">
        <w:t xml:space="preserve">® </w:t>
      </w:r>
      <w:proofErr w:type="spellStart"/>
      <w:r w:rsidRPr="005D6B0F">
        <w:t>FilmArray</w:t>
      </w:r>
      <w:proofErr w:type="spellEnd"/>
      <w:r w:rsidRPr="005D6B0F">
        <w:t xml:space="preserve">® </w:t>
      </w:r>
      <w:proofErr w:type="spellStart"/>
      <w:r w:rsidRPr="005D6B0F">
        <w:t>BioSurveillance</w:t>
      </w:r>
      <w:proofErr w:type="spellEnd"/>
      <w:r w:rsidRPr="005D6B0F">
        <w:t xml:space="preserve"> System. </w:t>
      </w:r>
      <w:proofErr w:type="spellStart"/>
      <w:r w:rsidRPr="005D6B0F">
        <w:t>BioFire</w:t>
      </w:r>
      <w:proofErr w:type="spellEnd"/>
      <w:r w:rsidRPr="005D6B0F">
        <w:t xml:space="preserve"> </w:t>
      </w:r>
      <w:proofErr w:type="spellStart"/>
      <w:r w:rsidRPr="005D6B0F">
        <w:t>Defense</w:t>
      </w:r>
      <w:proofErr w:type="spellEnd"/>
      <w:r w:rsidRPr="005D6B0F">
        <w:t>. Available at: (</w:t>
      </w:r>
      <w:hyperlink r:id="rId21" w:history="1">
        <w:r w:rsidRPr="007F75EE">
          <w:rPr>
            <w:rStyle w:val="Hyperlink"/>
          </w:rPr>
          <w:t>https://www.biofiredefense.com/products/biofire-filmarray-biosurveillance-system/</w:t>
        </w:r>
      </w:hyperlink>
      <w:r w:rsidRPr="005D6B0F">
        <w:t>). Accessed 19 May 2022.</w:t>
      </w:r>
    </w:p>
    <w:p w14:paraId="4B97DB02" w14:textId="364BD637" w:rsidR="00CC1F03" w:rsidRPr="005D6B0F" w:rsidRDefault="00A63584" w:rsidP="005D6B0F">
      <w:pPr>
        <w:pStyle w:val="NormalWeb"/>
      </w:pPr>
      <w:r w:rsidRPr="005D6B0F">
        <w:t xml:space="preserve">Papadakis G, Tran T, Druce J, Lim CK, Williamson DA, Jackson K. Evaluation of 16 molecular assays for the detection of </w:t>
      </w:r>
      <w:proofErr w:type="spellStart"/>
      <w:r w:rsidRPr="005D6B0F">
        <w:t>orthopox</w:t>
      </w:r>
      <w:proofErr w:type="spellEnd"/>
      <w:r w:rsidRPr="005D6B0F">
        <w:t xml:space="preserve"> and mpox viruses</w:t>
      </w:r>
      <w:r w:rsidR="00CC1F03" w:rsidRPr="005D6B0F">
        <w:t>.</w:t>
      </w:r>
      <w:r w:rsidRPr="005D6B0F">
        <w:t xml:space="preserve"> J Clin </w:t>
      </w:r>
      <w:proofErr w:type="spellStart"/>
      <w:r w:rsidRPr="005D6B0F">
        <w:t>Virol</w:t>
      </w:r>
      <w:proofErr w:type="spellEnd"/>
      <w:r w:rsidRPr="005D6B0F">
        <w:t xml:space="preserve"> 2023; 161: 105424.</w:t>
      </w:r>
    </w:p>
    <w:p w14:paraId="59C519A8" w14:textId="77777777" w:rsidR="009715E0" w:rsidRPr="005D6B0F" w:rsidRDefault="00AD1897" w:rsidP="005D6B0F">
      <w:pPr>
        <w:pStyle w:val="NormalWeb"/>
      </w:pPr>
      <w:proofErr w:type="spellStart"/>
      <w:r w:rsidRPr="005D6B0F">
        <w:t>Shchelkunov</w:t>
      </w:r>
      <w:proofErr w:type="spellEnd"/>
      <w:r w:rsidRPr="005D6B0F">
        <w:t xml:space="preserve"> SN, Gavrilova EV, Babkin IV. Multiplex PCR detection and species differentiation of </w:t>
      </w:r>
      <w:proofErr w:type="spellStart"/>
      <w:r w:rsidRPr="005D6B0F">
        <w:t>orthopoxviruses</w:t>
      </w:r>
      <w:proofErr w:type="spellEnd"/>
      <w:r w:rsidRPr="005D6B0F">
        <w:t xml:space="preserve"> pathogenic to humans. Mol Cell Probes 2005; 19:1–8.</w:t>
      </w:r>
    </w:p>
    <w:p w14:paraId="750A37D7" w14:textId="740A4499" w:rsidR="00AD1897" w:rsidRPr="005D6B0F" w:rsidRDefault="009715E0" w:rsidP="005D6B0F">
      <w:pPr>
        <w:pStyle w:val="NormalWeb"/>
      </w:pPr>
      <w:r w:rsidRPr="005D6B0F">
        <w:t xml:space="preserve">Schuele L, </w:t>
      </w:r>
      <w:proofErr w:type="spellStart"/>
      <w:r w:rsidRPr="005D6B0F">
        <w:t>Masirika</w:t>
      </w:r>
      <w:proofErr w:type="spellEnd"/>
      <w:r w:rsidRPr="005D6B0F">
        <w:t xml:space="preserve"> LM, Udahemuka, et al. Real-time PCR assay to detect the novel clade </w:t>
      </w:r>
      <w:proofErr w:type="spellStart"/>
      <w:r w:rsidRPr="005D6B0F">
        <w:t>Ib</w:t>
      </w:r>
      <w:proofErr w:type="spellEnd"/>
      <w:r w:rsidRPr="005D6B0F">
        <w:t xml:space="preserve"> monkeypox virus, September 2023 to May 2024. Euro</w:t>
      </w:r>
      <w:r w:rsidR="00D44EC3" w:rsidRPr="005D6B0F">
        <w:t xml:space="preserve"> </w:t>
      </w:r>
      <w:proofErr w:type="spellStart"/>
      <w:r w:rsidR="00D44EC3" w:rsidRPr="005D6B0F">
        <w:t>Surveill</w:t>
      </w:r>
      <w:proofErr w:type="spellEnd"/>
      <w:r w:rsidRPr="005D6B0F">
        <w:t xml:space="preserve"> 2024; 29:2400486.</w:t>
      </w:r>
      <w:r w:rsidR="00AD1897" w:rsidRPr="005D6B0F">
        <w:t xml:space="preserve"> </w:t>
      </w:r>
    </w:p>
    <w:p w14:paraId="240D2B25" w14:textId="78495DB9" w:rsidR="00AD1897" w:rsidRPr="005D6B0F" w:rsidRDefault="00AD1897" w:rsidP="005D6B0F">
      <w:pPr>
        <w:pStyle w:val="NormalWeb"/>
      </w:pPr>
      <w:r w:rsidRPr="005D6B0F">
        <w:t xml:space="preserve">Fedorko DP, Preuss JC, Fahle GA, et al. Comparison of </w:t>
      </w:r>
      <w:r w:rsidR="002B4219" w:rsidRPr="005D6B0F">
        <w:t>m</w:t>
      </w:r>
      <w:r w:rsidRPr="005D6B0F">
        <w:t xml:space="preserve">ethods for </w:t>
      </w:r>
      <w:r w:rsidR="002B4219" w:rsidRPr="005D6B0F">
        <w:t>d</w:t>
      </w:r>
      <w:r w:rsidRPr="005D6B0F">
        <w:t xml:space="preserve">etection of </w:t>
      </w:r>
      <w:r w:rsidR="002B4219" w:rsidRPr="005D6B0F">
        <w:t>v</w:t>
      </w:r>
      <w:r w:rsidRPr="005D6B0F">
        <w:t xml:space="preserve">accinia </w:t>
      </w:r>
      <w:r w:rsidR="002B4219" w:rsidRPr="005D6B0F">
        <w:t>v</w:t>
      </w:r>
      <w:r w:rsidRPr="005D6B0F">
        <w:t xml:space="preserve">irus in </w:t>
      </w:r>
      <w:r w:rsidR="002B4219" w:rsidRPr="005D6B0F">
        <w:t>p</w:t>
      </w:r>
      <w:r w:rsidRPr="005D6B0F">
        <w:t xml:space="preserve">atient </w:t>
      </w:r>
      <w:r w:rsidR="002B4219" w:rsidRPr="005D6B0F">
        <w:t>s</w:t>
      </w:r>
      <w:r w:rsidRPr="005D6B0F">
        <w:t xml:space="preserve">pecimens. J Clin </w:t>
      </w:r>
      <w:proofErr w:type="spellStart"/>
      <w:r w:rsidRPr="005D6B0F">
        <w:t>Microbiol</w:t>
      </w:r>
      <w:proofErr w:type="spellEnd"/>
      <w:r w:rsidRPr="005D6B0F">
        <w:t xml:space="preserve"> 2005; 43:4602–4606. </w:t>
      </w:r>
    </w:p>
    <w:p w14:paraId="4A7B1EA3" w14:textId="145DEF19" w:rsidR="003A2DB1" w:rsidRPr="005D6B0F" w:rsidRDefault="003A2DB1" w:rsidP="005D6B0F">
      <w:pPr>
        <w:pStyle w:val="NormalWeb"/>
      </w:pPr>
      <w:r w:rsidRPr="005D6B0F">
        <w:t xml:space="preserve">Edenborough K, Aziz A, Sexton-Oates N, et al. Mpox genomics in outbreak control: challenges and limitations. Lancet Microbe 2024; </w:t>
      </w:r>
      <w:r w:rsidR="006E2BBA" w:rsidRPr="005D6B0F">
        <w:t xml:space="preserve">100999. </w:t>
      </w:r>
      <w:r w:rsidRPr="005D6B0F">
        <w:t>Available at: (</w:t>
      </w:r>
      <w:hyperlink r:id="rId22" w:history="1">
        <w:r w:rsidRPr="005D6B0F">
          <w:rPr>
            <w:rStyle w:val="Hyperlink"/>
          </w:rPr>
          <w:t>https://www.thelancet.com/journals/lanmic/article/PIIS2666-5247(24)00267-2/fulltext</w:t>
        </w:r>
      </w:hyperlink>
      <w:r w:rsidRPr="005D6B0F">
        <w:t>). Accessed 28 February 2025.</w:t>
      </w:r>
    </w:p>
    <w:p w14:paraId="14A669E3" w14:textId="743D694C" w:rsidR="007F2CA1" w:rsidRPr="005D6B0F" w:rsidRDefault="007F2CA1" w:rsidP="005D6B0F">
      <w:pPr>
        <w:pStyle w:val="NormalWeb"/>
      </w:pPr>
      <w:r w:rsidRPr="005D6B0F">
        <w:t xml:space="preserve">Ahmed SF, Sohail MS, Quadeer AA, McKay MR. Vaccinia-virus based vaccines are expected to elicit </w:t>
      </w:r>
      <w:proofErr w:type="gramStart"/>
      <w:r w:rsidRPr="005D6B0F">
        <w:t>highly-cross</w:t>
      </w:r>
      <w:proofErr w:type="gramEnd"/>
      <w:r w:rsidRPr="005D6B0F">
        <w:t xml:space="preserve"> reactive immunity to 2022 monkeypox virus. Viruses 2022; 14:1960.</w:t>
      </w:r>
    </w:p>
    <w:p w14:paraId="283CDD9F" w14:textId="73A5A30F" w:rsidR="00AD1897" w:rsidRPr="005D6B0F" w:rsidRDefault="00AD1897" w:rsidP="005D6B0F">
      <w:pPr>
        <w:pStyle w:val="NormalWeb"/>
      </w:pPr>
      <w:r w:rsidRPr="005D6B0F">
        <w:lastRenderedPageBreak/>
        <w:t xml:space="preserve">Yinka-Ogunleye A, Aruna O, </w:t>
      </w:r>
      <w:proofErr w:type="spellStart"/>
      <w:r w:rsidRPr="005D6B0F">
        <w:t>Dalhat</w:t>
      </w:r>
      <w:proofErr w:type="spellEnd"/>
      <w:r w:rsidRPr="005D6B0F">
        <w:t xml:space="preserve"> M, et al. Outbreak of human monkeypox in Nigeria in 2017–18: a clinical and epidemiological report. Lancet Infect Dis 2019; 19:872–879. </w:t>
      </w:r>
    </w:p>
    <w:p w14:paraId="420ED28F" w14:textId="103BC634" w:rsidR="00AD1897" w:rsidRPr="005D6B0F" w:rsidRDefault="00AD1897" w:rsidP="005D6B0F">
      <w:pPr>
        <w:pStyle w:val="NormalWeb"/>
      </w:pPr>
      <w:r w:rsidRPr="005D6B0F">
        <w:t xml:space="preserve">Cohen-Gihon I, Israeli O, Shifman O, et al. Identification and </w:t>
      </w:r>
      <w:r w:rsidR="002B4219" w:rsidRPr="005D6B0F">
        <w:t>whole</w:t>
      </w:r>
      <w:r w:rsidRPr="005D6B0F">
        <w:t>-</w:t>
      </w:r>
      <w:r w:rsidR="002B4219" w:rsidRPr="005D6B0F">
        <w:t xml:space="preserve">genome sequencing </w:t>
      </w:r>
      <w:r w:rsidRPr="005D6B0F">
        <w:t xml:space="preserve">of a </w:t>
      </w:r>
      <w:r w:rsidR="002B4219" w:rsidRPr="005D6B0F">
        <w:t>m</w:t>
      </w:r>
      <w:r w:rsidRPr="005D6B0F">
        <w:t xml:space="preserve">onkeypox </w:t>
      </w:r>
      <w:r w:rsidR="002B4219" w:rsidRPr="005D6B0F">
        <w:t>v</w:t>
      </w:r>
      <w:r w:rsidRPr="005D6B0F">
        <w:t xml:space="preserve">irus </w:t>
      </w:r>
      <w:r w:rsidR="002B4219" w:rsidRPr="005D6B0F">
        <w:t>s</w:t>
      </w:r>
      <w:r w:rsidRPr="005D6B0F">
        <w:t xml:space="preserve">train </w:t>
      </w:r>
      <w:r w:rsidR="002B4219" w:rsidRPr="005D6B0F">
        <w:t>i</w:t>
      </w:r>
      <w:r w:rsidRPr="005D6B0F">
        <w:t xml:space="preserve">solated in Israel. </w:t>
      </w:r>
      <w:proofErr w:type="spellStart"/>
      <w:r w:rsidRPr="005D6B0F">
        <w:t>Microbiol</w:t>
      </w:r>
      <w:proofErr w:type="spellEnd"/>
      <w:r w:rsidRPr="005D6B0F">
        <w:t xml:space="preserve"> </w:t>
      </w:r>
      <w:proofErr w:type="spellStart"/>
      <w:r w:rsidRPr="005D6B0F">
        <w:t>Resour</w:t>
      </w:r>
      <w:proofErr w:type="spellEnd"/>
      <w:r w:rsidRPr="005D6B0F">
        <w:t xml:space="preserve"> </w:t>
      </w:r>
      <w:proofErr w:type="spellStart"/>
      <w:r w:rsidRPr="005D6B0F">
        <w:t>Announc</w:t>
      </w:r>
      <w:proofErr w:type="spellEnd"/>
      <w:r w:rsidRPr="005D6B0F">
        <w:t xml:space="preserve"> 2020; </w:t>
      </w:r>
      <w:proofErr w:type="gramStart"/>
      <w:r w:rsidRPr="005D6B0F">
        <w:t>9:e</w:t>
      </w:r>
      <w:proofErr w:type="gramEnd"/>
      <w:r w:rsidRPr="005D6B0F">
        <w:t xml:space="preserve">01524-19. </w:t>
      </w:r>
    </w:p>
    <w:p w14:paraId="5AA8A006" w14:textId="67F8E7EA" w:rsidR="00B77E48" w:rsidRPr="005D6B0F" w:rsidRDefault="00B77E48" w:rsidP="005D6B0F">
      <w:pPr>
        <w:pStyle w:val="NormalWeb"/>
      </w:pPr>
      <w:r w:rsidRPr="005D6B0F">
        <w:t xml:space="preserve">Asquith W, Hueston L, Dwyer D, et al. Characterizing the acute antibody response of monkeypox ad MVA-BN vaccine following an Australian outbreak. J Med </w:t>
      </w:r>
      <w:proofErr w:type="spellStart"/>
      <w:r w:rsidRPr="005D6B0F">
        <w:t>Virol</w:t>
      </w:r>
      <w:proofErr w:type="spellEnd"/>
      <w:r w:rsidRPr="005D6B0F">
        <w:t xml:space="preserve"> 2023; </w:t>
      </w:r>
      <w:proofErr w:type="gramStart"/>
      <w:r w:rsidRPr="005D6B0F">
        <w:t>96:e</w:t>
      </w:r>
      <w:proofErr w:type="gramEnd"/>
      <w:r w:rsidRPr="005D6B0F">
        <w:t>29407</w:t>
      </w:r>
      <w:r w:rsidR="001022D1" w:rsidRPr="005D6B0F">
        <w:t>.</w:t>
      </w:r>
    </w:p>
    <w:p w14:paraId="4DB0A1D3" w14:textId="30730F58" w:rsidR="00AD1897" w:rsidRPr="005D6B0F" w:rsidRDefault="00AD1897" w:rsidP="005D6B0F">
      <w:pPr>
        <w:pStyle w:val="NormalWeb"/>
      </w:pPr>
      <w:r w:rsidRPr="005D6B0F">
        <w:t xml:space="preserve">Petersen E, Kantele A, Koopmans M, et al. Human Monkeypox: </w:t>
      </w:r>
      <w:r w:rsidR="002B4219" w:rsidRPr="005D6B0F">
        <w:t xml:space="preserve">epidemiologic </w:t>
      </w:r>
      <w:r w:rsidRPr="005D6B0F">
        <w:t xml:space="preserve">and </w:t>
      </w:r>
      <w:r w:rsidR="002B4219" w:rsidRPr="005D6B0F">
        <w:t>c</w:t>
      </w:r>
      <w:r w:rsidRPr="005D6B0F">
        <w:t xml:space="preserve">linical </w:t>
      </w:r>
      <w:r w:rsidR="002B4219" w:rsidRPr="005D6B0F">
        <w:t>c</w:t>
      </w:r>
      <w:r w:rsidRPr="005D6B0F">
        <w:t xml:space="preserve">haracteristics, </w:t>
      </w:r>
      <w:r w:rsidR="002B4219" w:rsidRPr="005D6B0F">
        <w:t>d</w:t>
      </w:r>
      <w:r w:rsidRPr="005D6B0F">
        <w:t xml:space="preserve">iagnosis, and </w:t>
      </w:r>
      <w:r w:rsidR="002B4219" w:rsidRPr="005D6B0F">
        <w:t>p</w:t>
      </w:r>
      <w:r w:rsidRPr="005D6B0F">
        <w:t xml:space="preserve">revention. Infect Dis Clin North Am 2019; 33:1027–1043. </w:t>
      </w:r>
    </w:p>
    <w:p w14:paraId="0C3CE862" w14:textId="20988EB0" w:rsidR="00AD1897" w:rsidRPr="005D6B0F" w:rsidRDefault="00AD1897" w:rsidP="005D6B0F">
      <w:pPr>
        <w:pStyle w:val="NormalWeb"/>
      </w:pPr>
      <w:r w:rsidRPr="005D6B0F">
        <w:t xml:space="preserve">Karem KL, Reynolds M, Braden Z, et al. characterization of acute-phase humoral immunity to monkeypox: use of immunoglobulin M enzyme-linked immunosorbent assay for detection of monkeypox infection during the 2003 North American outbreak. Clin </w:t>
      </w:r>
      <w:proofErr w:type="spellStart"/>
      <w:r w:rsidRPr="005D6B0F">
        <w:t>Diagn</w:t>
      </w:r>
      <w:proofErr w:type="spellEnd"/>
      <w:r w:rsidRPr="005D6B0F">
        <w:t xml:space="preserve"> Lab Immunol 2005; 12:867–872. </w:t>
      </w:r>
    </w:p>
    <w:p w14:paraId="17ABAB15" w14:textId="2B642E3B" w:rsidR="00AD1897" w:rsidRPr="005D6B0F" w:rsidRDefault="00923775" w:rsidP="005D6B0F">
      <w:pPr>
        <w:pStyle w:val="NormalWeb"/>
      </w:pPr>
      <w:r w:rsidRPr="005D6B0F">
        <w:t>World Health Organization</w:t>
      </w:r>
      <w:r w:rsidR="00AD1897" w:rsidRPr="005D6B0F">
        <w:t>.</w:t>
      </w:r>
      <w:r w:rsidRPr="005D6B0F">
        <w:t xml:space="preserve"> Diagnostic testing and testing strategies for mpox: interim guidance, 12 November 2024. Available at: (</w:t>
      </w:r>
      <w:hyperlink r:id="rId23" w:history="1">
        <w:r w:rsidRPr="005D6B0F">
          <w:rPr>
            <w:rStyle w:val="Hyperlink"/>
          </w:rPr>
          <w:t>https://iris.who.int/handle/10665/379547</w:t>
        </w:r>
      </w:hyperlink>
      <w:r w:rsidRPr="005D6B0F">
        <w:t>). Accessed 28 February 2025.</w:t>
      </w:r>
    </w:p>
    <w:p w14:paraId="2FCEEFF0" w14:textId="4AF3F7F4" w:rsidR="00AD1897" w:rsidRPr="005D6B0F" w:rsidRDefault="00AD1897" w:rsidP="005D6B0F">
      <w:pPr>
        <w:pStyle w:val="NormalWeb"/>
      </w:pPr>
      <w:r w:rsidRPr="005D6B0F">
        <w:t>Peiro-Mestres, A,</w:t>
      </w:r>
      <w:r w:rsidR="00BC3AB2" w:rsidRPr="005D6B0F">
        <w:t xml:space="preserve"> Fuertes I, </w:t>
      </w:r>
      <w:proofErr w:type="spellStart"/>
      <w:r w:rsidR="00BC3AB2" w:rsidRPr="005D6B0F">
        <w:t>Camprubi</w:t>
      </w:r>
      <w:proofErr w:type="spellEnd"/>
      <w:r w:rsidR="00BC3AB2" w:rsidRPr="005D6B0F">
        <w:t>-Ferrer D,</w:t>
      </w:r>
      <w:r w:rsidRPr="005D6B0F">
        <w:t xml:space="preserve"> et. al. Frequent detection of monkeypox virus DNA in saliva, semen, and other clinical samples from 12 patients, Barcelona, Spain, May to June 2022. Euro </w:t>
      </w:r>
      <w:proofErr w:type="spellStart"/>
      <w:r w:rsidRPr="005D6B0F">
        <w:t>Surveill</w:t>
      </w:r>
      <w:proofErr w:type="spellEnd"/>
      <w:r w:rsidRPr="005D6B0F">
        <w:t xml:space="preserve"> 27</w:t>
      </w:r>
      <w:r w:rsidR="00E23F05" w:rsidRPr="005D6B0F">
        <w:t>:2200503</w:t>
      </w:r>
      <w:r w:rsidRPr="005D6B0F">
        <w:t>.</w:t>
      </w:r>
    </w:p>
    <w:p w14:paraId="6BBDCD27" w14:textId="66FE91EE" w:rsidR="004F1BBE" w:rsidRPr="005D6B0F" w:rsidRDefault="004F1BBE" w:rsidP="005D6B0F">
      <w:pPr>
        <w:pStyle w:val="NormalWeb"/>
      </w:pPr>
      <w:r w:rsidRPr="005D6B0F">
        <w:t>Australian Government Department of Health Aged Care. Public Health Laboratory Network.</w:t>
      </w:r>
      <w:r w:rsidR="008965B2" w:rsidRPr="005D6B0F">
        <w:t xml:space="preserve"> PHLN guidance on mpox patient referral, specimen collection and test requesting. </w:t>
      </w:r>
      <w:proofErr w:type="spellStart"/>
      <w:r w:rsidR="008965B2" w:rsidRPr="005D6B0F">
        <w:t>Avaialble</w:t>
      </w:r>
      <w:proofErr w:type="spellEnd"/>
      <w:r w:rsidR="008965B2" w:rsidRPr="005D6B0F">
        <w:t xml:space="preserve"> at: (</w:t>
      </w:r>
      <w:hyperlink r:id="rId24" w:history="1">
        <w:r w:rsidR="008965B2" w:rsidRPr="005D6B0F">
          <w:rPr>
            <w:rStyle w:val="Hyperlink"/>
          </w:rPr>
          <w:t>https://www.health.gov.au/resources/publications/phln-guidance-on-mpox-patient-referral-specimen-collection-and-test-requesting?language=en</w:t>
        </w:r>
      </w:hyperlink>
      <w:r w:rsidR="008965B2" w:rsidRPr="005D6B0F">
        <w:t>). Accessed 28 February 2025.</w:t>
      </w:r>
    </w:p>
    <w:p w14:paraId="37B04507" w14:textId="68ADB9CD" w:rsidR="005B2AA2" w:rsidRPr="005D6B0F" w:rsidRDefault="005B2AA2" w:rsidP="005D6B0F">
      <w:pPr>
        <w:pStyle w:val="NormalWeb"/>
      </w:pPr>
      <w:r w:rsidRPr="005D6B0F">
        <w:t>Aus</w:t>
      </w:r>
      <w:r w:rsidR="00E23F05" w:rsidRPr="005D6B0F">
        <w:t xml:space="preserve">tralian Government Department of Health Aged Care. </w:t>
      </w:r>
      <w:r w:rsidRPr="005D6B0F">
        <w:t xml:space="preserve">Therapeutic Goods Administration. Understanding regulation of disinfectants, </w:t>
      </w:r>
      <w:proofErr w:type="spellStart"/>
      <w:r w:rsidRPr="005D6B0F">
        <w:t>sterilants</w:t>
      </w:r>
      <w:proofErr w:type="spellEnd"/>
      <w:r w:rsidRPr="005D6B0F">
        <w:t xml:space="preserve"> and sanitary products. Available at: (https://www.tga.gov.au/resources/guidance/understanding-regulation-disinfectants-sterilants-and-sanitary-products). Accessed 27 February 2025.</w:t>
      </w:r>
    </w:p>
    <w:p w14:paraId="1733C72F" w14:textId="09E939DD" w:rsidR="005B2AA2" w:rsidRPr="005D6B0F" w:rsidRDefault="005B2AA2" w:rsidP="005D6B0F">
      <w:pPr>
        <w:pStyle w:val="NormalWeb"/>
      </w:pPr>
      <w:r w:rsidRPr="005D6B0F">
        <w:t>United States Environmental Protection Agency. Selected EPA-</w:t>
      </w:r>
      <w:r w:rsidR="002B4219" w:rsidRPr="005D6B0F">
        <w:t>r</w:t>
      </w:r>
      <w:r w:rsidRPr="005D6B0F">
        <w:t xml:space="preserve">egistered </w:t>
      </w:r>
      <w:r w:rsidR="002B4219" w:rsidRPr="005D6B0F">
        <w:t>d</w:t>
      </w:r>
      <w:r w:rsidRPr="005D6B0F">
        <w:t>isinfectants. Available at: (</w:t>
      </w:r>
      <w:hyperlink r:id="rId25" w:history="1">
        <w:r w:rsidRPr="005D6B0F">
          <w:rPr>
            <w:rStyle w:val="Hyperlink"/>
          </w:rPr>
          <w:t>https://www.epa.gov/pesticide-registration/selected-epa-registered-disinfectants</w:t>
        </w:r>
      </w:hyperlink>
      <w:r w:rsidRPr="005D6B0F">
        <w:t>). Accessed 27 February 2025.</w:t>
      </w:r>
    </w:p>
    <w:p w14:paraId="30D7A394" w14:textId="4D3914D7" w:rsidR="00AD1897" w:rsidRPr="005D6B0F" w:rsidRDefault="00AD1897" w:rsidP="005D6B0F">
      <w:pPr>
        <w:pStyle w:val="NormalWeb"/>
      </w:pPr>
      <w:r w:rsidRPr="005D6B0F">
        <w:lastRenderedPageBreak/>
        <w:t xml:space="preserve">McCollum AM, Austin C, Nawrocki J, et al. Investigation of the First Laboratory-Acquired Human Cowpox Virus Infection in the United States. J Infect Dis 2012; 206:63–68. </w:t>
      </w:r>
    </w:p>
    <w:p w14:paraId="5BAB32FD" w14:textId="23EE7236" w:rsidR="00AD1897" w:rsidRPr="005D6B0F" w:rsidRDefault="00AD1897" w:rsidP="005D6B0F">
      <w:pPr>
        <w:pStyle w:val="NormalWeb"/>
      </w:pPr>
      <w:r w:rsidRPr="005D6B0F">
        <w:t>Whitehouse ER. Novel Treatment of a Vaccinia Virus Infection from an Occupational Needlestick</w:t>
      </w:r>
      <w:r w:rsidR="00BF5454" w:rsidRPr="005D6B0F">
        <w:t>--</w:t>
      </w:r>
      <w:r w:rsidRPr="005D6B0F">
        <w:t xml:space="preserve">San Diego, California, 2019. MMWR </w:t>
      </w:r>
      <w:proofErr w:type="spellStart"/>
      <w:r w:rsidRPr="005D6B0F">
        <w:t>Morb</w:t>
      </w:r>
      <w:proofErr w:type="spellEnd"/>
      <w:r w:rsidRPr="005D6B0F">
        <w:t xml:space="preserve"> Mortal </w:t>
      </w:r>
      <w:proofErr w:type="spellStart"/>
      <w:r w:rsidRPr="005D6B0F">
        <w:t>Wkly</w:t>
      </w:r>
      <w:proofErr w:type="spellEnd"/>
      <w:r w:rsidRPr="005D6B0F">
        <w:t xml:space="preserve"> Rep 2019; 68. Available at: (</w:t>
      </w:r>
      <w:hyperlink r:id="rId26" w:history="1">
        <w:r w:rsidRPr="005D6B0F">
          <w:rPr>
            <w:rStyle w:val="Hyperlink"/>
          </w:rPr>
          <w:t>https://www.cdc.gov/mmwr/volumes/68/wr/mm6842a2.htm</w:t>
        </w:r>
      </w:hyperlink>
      <w:r w:rsidRPr="005D6B0F">
        <w:t>). Accessed 23 May 2022.</w:t>
      </w:r>
    </w:p>
    <w:p w14:paraId="51D00606" w14:textId="5DE7285C" w:rsidR="00AD1897" w:rsidRPr="005D6B0F" w:rsidRDefault="00AD1897" w:rsidP="005D6B0F">
      <w:pPr>
        <w:pStyle w:val="NormalWeb"/>
      </w:pPr>
      <w:proofErr w:type="spellStart"/>
      <w:r w:rsidRPr="005D6B0F">
        <w:t>Moussatché</w:t>
      </w:r>
      <w:proofErr w:type="spellEnd"/>
      <w:r w:rsidRPr="005D6B0F">
        <w:t xml:space="preserve"> N, </w:t>
      </w:r>
      <w:proofErr w:type="spellStart"/>
      <w:r w:rsidRPr="005D6B0F">
        <w:t>Tuyama</w:t>
      </w:r>
      <w:proofErr w:type="spellEnd"/>
      <w:r w:rsidRPr="005D6B0F">
        <w:t xml:space="preserve"> M, Kato SE, et al. Accidental Infection of Laboratory Worker with Vaccinia. Emerg Infect Dis 2003; 9:724–726. </w:t>
      </w:r>
    </w:p>
    <w:p w14:paraId="34840685" w14:textId="446FB605" w:rsidR="00AD1897" w:rsidRPr="005D6B0F" w:rsidRDefault="00AD1897" w:rsidP="005D6B0F">
      <w:pPr>
        <w:pStyle w:val="NormalWeb"/>
      </w:pPr>
      <w:r w:rsidRPr="005D6B0F">
        <w:t xml:space="preserve">Hsu CH, Farland J, Winters T, et al. Laboratory-acquired vaccinia virus infection in a recently immunized person--Massachusetts, 2013. MMWR </w:t>
      </w:r>
      <w:proofErr w:type="spellStart"/>
      <w:r w:rsidRPr="005D6B0F">
        <w:t>Morb</w:t>
      </w:r>
      <w:proofErr w:type="spellEnd"/>
      <w:r w:rsidRPr="005D6B0F">
        <w:t xml:space="preserve"> Mortal </w:t>
      </w:r>
      <w:proofErr w:type="spellStart"/>
      <w:r w:rsidRPr="005D6B0F">
        <w:t>Wkly</w:t>
      </w:r>
      <w:proofErr w:type="spellEnd"/>
      <w:r w:rsidRPr="005D6B0F">
        <w:t xml:space="preserve"> Rep 2015; 64:435–438. </w:t>
      </w:r>
    </w:p>
    <w:p w14:paraId="47FAFD33" w14:textId="1D61F5D5" w:rsidR="00AD1897" w:rsidRPr="005D6B0F" w:rsidRDefault="00AD1897" w:rsidP="005D6B0F">
      <w:pPr>
        <w:pStyle w:val="NormalWeb"/>
      </w:pPr>
      <w:r w:rsidRPr="005D6B0F">
        <w:t>Laboratory-</w:t>
      </w:r>
      <w:r w:rsidR="00A66C78" w:rsidRPr="005D6B0F">
        <w:t xml:space="preserve">acquired vaccinia exposures </w:t>
      </w:r>
      <w:r w:rsidRPr="005D6B0F">
        <w:t xml:space="preserve">and </w:t>
      </w:r>
      <w:r w:rsidR="00A66C78" w:rsidRPr="005D6B0F">
        <w:t>i</w:t>
      </w:r>
      <w:r w:rsidRPr="005D6B0F">
        <w:t>nfections</w:t>
      </w:r>
      <w:r w:rsidR="00A66C78" w:rsidRPr="005D6B0F">
        <w:t>--</w:t>
      </w:r>
      <w:r w:rsidRPr="005D6B0F">
        <w:t>United States, 2005--2007. Available at: (</w:t>
      </w:r>
      <w:hyperlink r:id="rId27" w:history="1">
        <w:r w:rsidRPr="005D6B0F">
          <w:rPr>
            <w:rStyle w:val="Hyperlink"/>
          </w:rPr>
          <w:t>https://www.cdc.gov/mmwr/preview/mmwrhtml/mm5715a3.htm</w:t>
        </w:r>
      </w:hyperlink>
      <w:r w:rsidRPr="005D6B0F">
        <w:t>). Accessed 23 May 2022.</w:t>
      </w:r>
    </w:p>
    <w:p w14:paraId="02D0620D" w14:textId="1E86864E" w:rsidR="00AD1897" w:rsidRPr="005D6B0F" w:rsidRDefault="00AD1897" w:rsidP="005D6B0F">
      <w:pPr>
        <w:pStyle w:val="NormalWeb"/>
      </w:pPr>
      <w:r w:rsidRPr="005D6B0F">
        <w:t xml:space="preserve">Peate WF. Prevention of </w:t>
      </w:r>
      <w:r w:rsidR="00A66C78" w:rsidRPr="005D6B0F">
        <w:t>vaccinia i</w:t>
      </w:r>
      <w:r w:rsidRPr="005D6B0F">
        <w:t xml:space="preserve">nfection in a </w:t>
      </w:r>
      <w:r w:rsidR="00A66C78" w:rsidRPr="005D6B0F">
        <w:t>l</w:t>
      </w:r>
      <w:r w:rsidRPr="005D6B0F">
        <w:t xml:space="preserve">aboratory </w:t>
      </w:r>
      <w:proofErr w:type="spellStart"/>
      <w:r w:rsidRPr="005D6B0F">
        <w:t>orker</w:t>
      </w:r>
      <w:proofErr w:type="spellEnd"/>
      <w:r w:rsidRPr="005D6B0F">
        <w:t xml:space="preserve">. Military Medicine 2007; 172:1117–1118. </w:t>
      </w:r>
    </w:p>
    <w:p w14:paraId="0F4E3C01" w14:textId="77ED74E7" w:rsidR="00AD1897" w:rsidRPr="005D6B0F" w:rsidRDefault="00831577" w:rsidP="005D6B0F">
      <w:pPr>
        <w:pStyle w:val="NormalWeb"/>
      </w:pPr>
      <w:r w:rsidRPr="005D6B0F">
        <w:t xml:space="preserve">His Majesty’s Government. Smallpox and mpox: the green book, chapter 29. </w:t>
      </w:r>
      <w:r w:rsidR="00AD1897" w:rsidRPr="005D6B0F">
        <w:t>Available at: (</w:t>
      </w:r>
      <w:hyperlink r:id="rId28" w:history="1">
        <w:r w:rsidRPr="005D6B0F">
          <w:rPr>
            <w:rStyle w:val="Hyperlink"/>
          </w:rPr>
          <w:t>https://www.gov.uk/government/publications/smallpox-and-vaccinia-the-green-book-chapter-29</w:t>
        </w:r>
      </w:hyperlink>
      <w:r w:rsidR="00AD1897" w:rsidRPr="005D6B0F">
        <w:t xml:space="preserve">). Accessed </w:t>
      </w:r>
      <w:r w:rsidRPr="005D6B0F">
        <w:t>28 February 2025</w:t>
      </w:r>
      <w:r w:rsidR="00AD1897" w:rsidRPr="005D6B0F">
        <w:t>.</w:t>
      </w:r>
    </w:p>
    <w:p w14:paraId="4760BD72" w14:textId="625CA987" w:rsidR="00AD1897" w:rsidRPr="005D6B0F" w:rsidRDefault="00AD1897" w:rsidP="005D6B0F">
      <w:pPr>
        <w:pStyle w:val="NormalWeb"/>
      </w:pPr>
      <w:proofErr w:type="spellStart"/>
      <w:r w:rsidRPr="005D6B0F">
        <w:t>Centers</w:t>
      </w:r>
      <w:proofErr w:type="spellEnd"/>
      <w:r w:rsidRPr="005D6B0F">
        <w:t xml:space="preserve"> for Disease Control and Prevention. </w:t>
      </w:r>
      <w:r w:rsidR="00831577" w:rsidRPr="005D6B0F">
        <w:t xml:space="preserve">ACIP recommendations: </w:t>
      </w:r>
      <w:proofErr w:type="spellStart"/>
      <w:r w:rsidR="00831577" w:rsidRPr="005D6B0F">
        <w:t>Orthopoxviruses</w:t>
      </w:r>
      <w:proofErr w:type="spellEnd"/>
      <w:r w:rsidR="00831577" w:rsidRPr="005D6B0F">
        <w:t xml:space="preserve"> (smallpox and mpox) vaccines. </w:t>
      </w:r>
      <w:r w:rsidRPr="005D6B0F">
        <w:t>Available at: (</w:t>
      </w:r>
      <w:hyperlink r:id="rId29" w:history="1">
        <w:r w:rsidR="00831577" w:rsidRPr="005D6B0F">
          <w:rPr>
            <w:rStyle w:val="Hyperlink"/>
          </w:rPr>
          <w:t>https://www.cdc.gov/acip-recs/hcp/vaccine-specific/smallpox-mpox.html?CDC_AAref_Val=https://www.cdc.gov/vaccines/hcp/acip-recs/vacc-specific/smallpox.html</w:t>
        </w:r>
      </w:hyperlink>
      <w:r w:rsidRPr="005D6B0F">
        <w:t xml:space="preserve">). Accessed </w:t>
      </w:r>
      <w:r w:rsidR="00831577" w:rsidRPr="005D6B0F">
        <w:t>28 February 2025</w:t>
      </w:r>
      <w:r w:rsidRPr="005D6B0F">
        <w:t>.</w:t>
      </w:r>
    </w:p>
    <w:p w14:paraId="099A00D8" w14:textId="20B0B63E" w:rsidR="00F6284F" w:rsidRPr="005D6B0F" w:rsidRDefault="00972334" w:rsidP="005D6B0F">
      <w:pPr>
        <w:pStyle w:val="NormalWeb"/>
      </w:pPr>
      <w:r w:rsidRPr="005D6B0F">
        <w:t xml:space="preserve">Australian Government Department of Health and Aged Care. Australian Immunisation Handbook. </w:t>
      </w:r>
      <w:r w:rsidR="00AD1897" w:rsidRPr="005D6B0F">
        <w:t>Table. Recommended vaccines for laboratory workers who routinely work with specific organisms. Available at: (</w:t>
      </w:r>
      <w:hyperlink r:id="rId30" w:history="1">
        <w:r w:rsidRPr="005D6B0F">
          <w:rPr>
            <w:rStyle w:val="Hyperlink"/>
          </w:rPr>
          <w:t>https://immunisationhandbook.health.gov.au/resources/tables/table-recommended-vaccines-for-laboratory-workers-who-routinely-work-with-specific-organisms</w:t>
        </w:r>
      </w:hyperlink>
      <w:r w:rsidR="00AD1897" w:rsidRPr="005D6B0F">
        <w:t xml:space="preserve">). Accessed </w:t>
      </w:r>
      <w:r w:rsidRPr="005D6B0F">
        <w:t>28 February 2025</w:t>
      </w:r>
      <w:r w:rsidR="00AD1897" w:rsidRPr="005D6B0F">
        <w:t>.</w:t>
      </w:r>
    </w:p>
    <w:p w14:paraId="2F4B73A7" w14:textId="453079D9" w:rsidR="00942951" w:rsidRPr="00F66828" w:rsidRDefault="00942951" w:rsidP="005D6B0F">
      <w:pPr>
        <w:rPr>
          <w:lang w:eastAsia="en-AU"/>
        </w:rPr>
      </w:pPr>
      <w:r w:rsidRPr="00F66828">
        <w:br w:type="page"/>
      </w:r>
    </w:p>
    <w:p w14:paraId="19E5A010" w14:textId="77777777" w:rsidR="00942951" w:rsidRPr="005D6B0F" w:rsidRDefault="00942951" w:rsidP="005D6B0F">
      <w:pPr>
        <w:pStyle w:val="Heading1"/>
      </w:pPr>
      <w:r w:rsidRPr="005D6B0F">
        <w:lastRenderedPageBreak/>
        <w:t>Glossary</w:t>
      </w:r>
    </w:p>
    <w:p w14:paraId="0192586E" w14:textId="4CEE9038" w:rsidR="00942951" w:rsidRPr="00F66828" w:rsidRDefault="00942951" w:rsidP="005D6B0F">
      <w:r w:rsidRPr="005D6B0F">
        <w:rPr>
          <w:rStyle w:val="Strong"/>
        </w:rPr>
        <w:t>ARTG</w:t>
      </w:r>
      <w:r w:rsidR="005D6B0F">
        <w:rPr>
          <w:rStyle w:val="Strong"/>
        </w:rPr>
        <w:t xml:space="preserve"> </w:t>
      </w:r>
      <w:r w:rsidRPr="00F66828">
        <w:t xml:space="preserve">– </w:t>
      </w:r>
      <w:r w:rsidRPr="005D6B0F">
        <w:t>Australian Register of Therapeutic Goods</w:t>
      </w:r>
      <w:r w:rsidRPr="00F66828">
        <w:t xml:space="preserve"> </w:t>
      </w:r>
    </w:p>
    <w:p w14:paraId="43AD97B8" w14:textId="1D191EF2" w:rsidR="00D16C30" w:rsidRPr="00F66828" w:rsidRDefault="00D16C30" w:rsidP="005D6B0F">
      <w:r w:rsidRPr="005D6B0F">
        <w:rPr>
          <w:rStyle w:val="Strong"/>
        </w:rPr>
        <w:t xml:space="preserve">DNA </w:t>
      </w:r>
      <w:r w:rsidRPr="00F66828">
        <w:t>– Deoxyribonucleic acid</w:t>
      </w:r>
    </w:p>
    <w:p w14:paraId="7D72B126" w14:textId="2F8F0861" w:rsidR="001A292C" w:rsidRPr="00F66828" w:rsidRDefault="001A292C" w:rsidP="005D6B0F">
      <w:r w:rsidRPr="005D6B0F">
        <w:rPr>
          <w:rStyle w:val="Strong"/>
        </w:rPr>
        <w:t xml:space="preserve">EDTA </w:t>
      </w:r>
      <w:r w:rsidRPr="00F66828">
        <w:t xml:space="preserve">- </w:t>
      </w:r>
      <w:r w:rsidRPr="005D6B0F">
        <w:t>Ethylenediaminetetraacetic acid</w:t>
      </w:r>
    </w:p>
    <w:p w14:paraId="4F376E51" w14:textId="17476491" w:rsidR="00257EDE" w:rsidRPr="00F66828" w:rsidRDefault="00257EDE" w:rsidP="005D6B0F">
      <w:r w:rsidRPr="005D6B0F">
        <w:rPr>
          <w:rStyle w:val="Strong"/>
        </w:rPr>
        <w:t xml:space="preserve">GISAID </w:t>
      </w:r>
      <w:r w:rsidRPr="00F66828">
        <w:t>– Global Initiative on Sharing All Influenza Data</w:t>
      </w:r>
    </w:p>
    <w:p w14:paraId="0F3D51B3" w14:textId="4EA1EBB0" w:rsidR="001B393A" w:rsidRPr="005D6B0F" w:rsidRDefault="001B393A" w:rsidP="005D6B0F">
      <w:pPr>
        <w:rPr>
          <w:rStyle w:val="Strong"/>
        </w:rPr>
      </w:pPr>
      <w:r w:rsidRPr="005D6B0F">
        <w:rPr>
          <w:rStyle w:val="Strong"/>
        </w:rPr>
        <w:t xml:space="preserve">IgG </w:t>
      </w:r>
      <w:r w:rsidRPr="00F66828">
        <w:t>– Immunoglobulin G</w:t>
      </w:r>
    </w:p>
    <w:p w14:paraId="566A9767" w14:textId="69B7D67D" w:rsidR="001B393A" w:rsidRPr="00F66828" w:rsidRDefault="001B393A" w:rsidP="005D6B0F">
      <w:r w:rsidRPr="005D6B0F">
        <w:rPr>
          <w:rStyle w:val="Strong"/>
        </w:rPr>
        <w:t xml:space="preserve">IgM </w:t>
      </w:r>
      <w:r w:rsidRPr="00F66828">
        <w:t>– Immunoglobulin M</w:t>
      </w:r>
    </w:p>
    <w:p w14:paraId="311460D5" w14:textId="393F124B" w:rsidR="00D16C30" w:rsidRPr="00F66828" w:rsidRDefault="00D16C30" w:rsidP="005D6B0F">
      <w:r w:rsidRPr="005D6B0F">
        <w:rPr>
          <w:rStyle w:val="Strong"/>
        </w:rPr>
        <w:t xml:space="preserve">MPXV </w:t>
      </w:r>
      <w:r w:rsidRPr="00F66828">
        <w:t>– Monkeypox virus</w:t>
      </w:r>
    </w:p>
    <w:p w14:paraId="4F8D5C93" w14:textId="7D11C51F" w:rsidR="00D16C30" w:rsidRPr="00F66828" w:rsidRDefault="00D16C30" w:rsidP="005D6B0F">
      <w:r w:rsidRPr="005D6B0F">
        <w:rPr>
          <w:rStyle w:val="Strong"/>
        </w:rPr>
        <w:t xml:space="preserve">MSM </w:t>
      </w:r>
      <w:r w:rsidRPr="00F66828">
        <w:t>– Men who have sex with men</w:t>
      </w:r>
    </w:p>
    <w:p w14:paraId="5893059F" w14:textId="258CEAE8" w:rsidR="00D16C30" w:rsidRPr="00F66828" w:rsidRDefault="00D16C30" w:rsidP="005D6B0F">
      <w:r w:rsidRPr="005D6B0F">
        <w:rPr>
          <w:rStyle w:val="Strong"/>
        </w:rPr>
        <w:t xml:space="preserve">MVA-BN </w:t>
      </w:r>
      <w:r w:rsidRPr="00F66828">
        <w:t>– Modified Vaccinia Ankara-Bavaria Nordic</w:t>
      </w:r>
    </w:p>
    <w:p w14:paraId="2346A454" w14:textId="5C52E2F4" w:rsidR="00D16C30" w:rsidRPr="00F66828" w:rsidRDefault="00D16C30" w:rsidP="005D6B0F">
      <w:r w:rsidRPr="005D6B0F">
        <w:rPr>
          <w:rStyle w:val="Strong"/>
        </w:rPr>
        <w:t xml:space="preserve">NAA </w:t>
      </w:r>
      <w:r w:rsidRPr="00F66828">
        <w:t>– Nucleic acid amplification</w:t>
      </w:r>
    </w:p>
    <w:p w14:paraId="1E770BF4" w14:textId="204FE35C" w:rsidR="00D16C30" w:rsidRPr="00F66828" w:rsidRDefault="00D16C30" w:rsidP="005D6B0F">
      <w:r w:rsidRPr="005D6B0F">
        <w:rPr>
          <w:rStyle w:val="Strong"/>
        </w:rPr>
        <w:t xml:space="preserve">NAAT </w:t>
      </w:r>
      <w:r w:rsidRPr="00F66828">
        <w:t xml:space="preserve">– </w:t>
      </w:r>
      <w:proofErr w:type="spellStart"/>
      <w:r w:rsidRPr="00F66828">
        <w:t>Nucliec</w:t>
      </w:r>
      <w:proofErr w:type="spellEnd"/>
      <w:r w:rsidRPr="00F66828">
        <w:t xml:space="preserve"> acid amplification test</w:t>
      </w:r>
    </w:p>
    <w:p w14:paraId="684D7ECF" w14:textId="1160AE20" w:rsidR="00455317" w:rsidRPr="00F66828" w:rsidRDefault="00455317" w:rsidP="005D6B0F">
      <w:r w:rsidRPr="005D6B0F">
        <w:rPr>
          <w:rStyle w:val="Strong"/>
        </w:rPr>
        <w:t>PC</w:t>
      </w:r>
      <w:r w:rsidR="00D86900" w:rsidRPr="005D6B0F">
        <w:rPr>
          <w:rStyle w:val="Strong"/>
        </w:rPr>
        <w:t>2</w:t>
      </w:r>
      <w:r w:rsidRPr="005D6B0F">
        <w:rPr>
          <w:rStyle w:val="Strong"/>
        </w:rPr>
        <w:t xml:space="preserve"> </w:t>
      </w:r>
      <w:r w:rsidRPr="00F66828">
        <w:t xml:space="preserve">– Physical Containment Level </w:t>
      </w:r>
      <w:r w:rsidR="00D86900" w:rsidRPr="00F66828">
        <w:t>2</w:t>
      </w:r>
    </w:p>
    <w:p w14:paraId="4C383F76" w14:textId="6029AD3F" w:rsidR="00D86900" w:rsidRPr="00F66828" w:rsidRDefault="00D86900" w:rsidP="005D6B0F">
      <w:r w:rsidRPr="005D6B0F">
        <w:rPr>
          <w:rStyle w:val="Strong"/>
        </w:rPr>
        <w:t xml:space="preserve">PC3 </w:t>
      </w:r>
      <w:r w:rsidRPr="00F66828">
        <w:t>– Physical Containment Level 3</w:t>
      </w:r>
    </w:p>
    <w:p w14:paraId="012A375F" w14:textId="15D55A1E" w:rsidR="00D16C30" w:rsidRPr="00F66828" w:rsidRDefault="00D16C30" w:rsidP="005D6B0F">
      <w:r w:rsidRPr="005D6B0F">
        <w:rPr>
          <w:rStyle w:val="Strong"/>
        </w:rPr>
        <w:t>PHLN</w:t>
      </w:r>
      <w:r w:rsidRPr="00F66828">
        <w:t xml:space="preserve"> – Public Health Laboratory Network</w:t>
      </w:r>
    </w:p>
    <w:p w14:paraId="065E2233" w14:textId="3F4C48C5" w:rsidR="00F51F57" w:rsidRPr="00F66828" w:rsidRDefault="00F51F57" w:rsidP="005D6B0F">
      <w:r w:rsidRPr="005D6B0F">
        <w:rPr>
          <w:rStyle w:val="Strong"/>
        </w:rPr>
        <w:t xml:space="preserve">PPE </w:t>
      </w:r>
      <w:r w:rsidRPr="00F66828">
        <w:t>– Personal protective equipment</w:t>
      </w:r>
    </w:p>
    <w:p w14:paraId="63509956" w14:textId="1F954D53" w:rsidR="00D86900" w:rsidRPr="00F66828" w:rsidRDefault="00D86900" w:rsidP="005D6B0F">
      <w:r w:rsidRPr="005D6B0F">
        <w:rPr>
          <w:rStyle w:val="Strong"/>
        </w:rPr>
        <w:t xml:space="preserve">RCPAQAP </w:t>
      </w:r>
      <w:r w:rsidRPr="00F66828">
        <w:t>– Royal College of Pathologists of Australasia Quality Assurance Program</w:t>
      </w:r>
    </w:p>
    <w:p w14:paraId="02B8995A" w14:textId="45BC99B2" w:rsidR="001B552E" w:rsidRPr="00F66828" w:rsidRDefault="001B552E" w:rsidP="005D6B0F">
      <w:r w:rsidRPr="005D6B0F">
        <w:rPr>
          <w:rStyle w:val="Strong"/>
        </w:rPr>
        <w:t xml:space="preserve">TGA </w:t>
      </w:r>
      <w:r w:rsidRPr="00F66828">
        <w:t>– Therapeutic Goods Administration</w:t>
      </w:r>
    </w:p>
    <w:p w14:paraId="5A566E70" w14:textId="77777777" w:rsidR="00942951" w:rsidRPr="00F66828" w:rsidRDefault="00942951" w:rsidP="005D6B0F">
      <w:r w:rsidRPr="005D6B0F">
        <w:rPr>
          <w:rStyle w:val="Strong"/>
        </w:rPr>
        <w:t>WHO</w:t>
      </w:r>
      <w:r w:rsidRPr="00F66828">
        <w:t xml:space="preserve"> – World Health Organization</w:t>
      </w:r>
    </w:p>
    <w:sectPr w:rsidR="00942951" w:rsidRPr="00F66828" w:rsidSect="00E12D00">
      <w:type w:val="continuous"/>
      <w:pgSz w:w="11906" w:h="16838"/>
      <w:pgMar w:top="1985" w:right="1418" w:bottom="1276" w:left="1418" w:header="709"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C87D" w14:textId="77777777" w:rsidR="00A962ED" w:rsidRDefault="00A962ED" w:rsidP="005D6B0F">
      <w:r>
        <w:separator/>
      </w:r>
    </w:p>
    <w:p w14:paraId="1DA41265" w14:textId="77777777" w:rsidR="00A962ED" w:rsidRDefault="00A962ED" w:rsidP="005D6B0F"/>
  </w:endnote>
  <w:endnote w:type="continuationSeparator" w:id="0">
    <w:p w14:paraId="6A6C4AAA" w14:textId="77777777" w:rsidR="00A962ED" w:rsidRDefault="00A962ED" w:rsidP="005D6B0F">
      <w:r>
        <w:continuationSeparator/>
      </w:r>
    </w:p>
    <w:p w14:paraId="577939DE" w14:textId="77777777" w:rsidR="00A962ED" w:rsidRDefault="00A962ED" w:rsidP="005D6B0F"/>
  </w:endnote>
  <w:endnote w:type="continuationNotice" w:id="1">
    <w:p w14:paraId="08662AC6" w14:textId="77777777" w:rsidR="00A962ED" w:rsidRDefault="00A962ED" w:rsidP="005D6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419652"/>
      <w:docPartObj>
        <w:docPartGallery w:val="Page Numbers (Bottom of Page)"/>
        <w:docPartUnique/>
      </w:docPartObj>
    </w:sdtPr>
    <w:sdtContent>
      <w:sdt>
        <w:sdtPr>
          <w:id w:val="-1769616900"/>
          <w:docPartObj>
            <w:docPartGallery w:val="Page Numbers (Top of Page)"/>
            <w:docPartUnique/>
          </w:docPartObj>
        </w:sdtPr>
        <w:sdtContent>
          <w:p w14:paraId="55B7FCB0" w14:textId="1C1A8152" w:rsidR="00EF24F4" w:rsidRDefault="005A42C2" w:rsidP="005D6B0F">
            <w:pPr>
              <w:pStyle w:val="Footer"/>
            </w:pPr>
            <w:r>
              <w:t>Mpox (Monkeypox virus)</w:t>
            </w:r>
            <w:r w:rsidR="00364BBE">
              <w:t xml:space="preserve"> – Laboratory case definition</w:t>
            </w:r>
            <w:r w:rsidR="0016600B">
              <w:t xml:space="preserve"> – version 1.5</w:t>
            </w:r>
            <w:r w:rsidR="00364BBE">
              <w:tab/>
            </w:r>
            <w:r w:rsidR="00364BBE">
              <w:tab/>
            </w:r>
            <w:r w:rsidR="00EF24F4">
              <w:t xml:space="preserve">Page </w:t>
            </w:r>
            <w:r w:rsidR="00EF24F4">
              <w:rPr>
                <w:b/>
                <w:bCs/>
                <w:sz w:val="24"/>
              </w:rPr>
              <w:fldChar w:fldCharType="begin"/>
            </w:r>
            <w:r w:rsidR="00EF24F4">
              <w:rPr>
                <w:b/>
                <w:bCs/>
              </w:rPr>
              <w:instrText xml:space="preserve"> PAGE </w:instrText>
            </w:r>
            <w:r w:rsidR="00EF24F4">
              <w:rPr>
                <w:b/>
                <w:bCs/>
                <w:sz w:val="24"/>
              </w:rPr>
              <w:fldChar w:fldCharType="separate"/>
            </w:r>
            <w:r w:rsidR="00EF24F4">
              <w:rPr>
                <w:b/>
                <w:bCs/>
                <w:noProof/>
              </w:rPr>
              <w:t>2</w:t>
            </w:r>
            <w:r w:rsidR="00EF24F4">
              <w:rPr>
                <w:b/>
                <w:bCs/>
                <w:sz w:val="24"/>
              </w:rPr>
              <w:fldChar w:fldCharType="end"/>
            </w:r>
            <w:r w:rsidR="00EF24F4">
              <w:t xml:space="preserve"> of </w:t>
            </w:r>
            <w:r w:rsidR="00EF24F4">
              <w:rPr>
                <w:b/>
                <w:bCs/>
                <w:sz w:val="24"/>
              </w:rPr>
              <w:fldChar w:fldCharType="begin"/>
            </w:r>
            <w:r w:rsidR="00EF24F4">
              <w:rPr>
                <w:b/>
                <w:bCs/>
              </w:rPr>
              <w:instrText xml:space="preserve"> NUMPAGES  </w:instrText>
            </w:r>
            <w:r w:rsidR="00EF24F4">
              <w:rPr>
                <w:b/>
                <w:bCs/>
                <w:sz w:val="24"/>
              </w:rPr>
              <w:fldChar w:fldCharType="separate"/>
            </w:r>
            <w:r w:rsidR="00EF24F4">
              <w:rPr>
                <w:b/>
                <w:bCs/>
                <w:noProof/>
              </w:rPr>
              <w:t>2</w:t>
            </w:r>
            <w:r w:rsidR="00EF24F4">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1CC2B" w14:textId="77777777" w:rsidR="00A962ED" w:rsidRDefault="00A962ED" w:rsidP="005D6B0F">
      <w:r>
        <w:separator/>
      </w:r>
    </w:p>
  </w:footnote>
  <w:footnote w:type="continuationSeparator" w:id="0">
    <w:p w14:paraId="078246C2" w14:textId="77777777" w:rsidR="00A962ED" w:rsidRDefault="00A962ED" w:rsidP="005D6B0F">
      <w:r>
        <w:continuationSeparator/>
      </w:r>
    </w:p>
    <w:p w14:paraId="2BE1347A" w14:textId="77777777" w:rsidR="00A962ED" w:rsidRDefault="00A962ED" w:rsidP="005D6B0F"/>
  </w:footnote>
  <w:footnote w:type="continuationNotice" w:id="1">
    <w:p w14:paraId="17FA60B0" w14:textId="77777777" w:rsidR="00A962ED" w:rsidRDefault="00A962ED" w:rsidP="005D6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2EA" w14:textId="1CF81FFE" w:rsidR="008E0C77" w:rsidRDefault="008E0C77" w:rsidP="005D6B0F">
    <w:pPr>
      <w:pStyle w:val="Headertext"/>
    </w:pPr>
  </w:p>
</w:hdr>
</file>

<file path=word/intelligence2.xml><?xml version="1.0" encoding="utf-8"?>
<int2:intelligence xmlns:int2="http://schemas.microsoft.com/office/intelligence/2020/intelligence" xmlns:oel="http://schemas.microsoft.com/office/2019/extlst">
  <int2:observations>
    <int2:textHash int2:hashCode="3jpUXB6t0qnUYT" int2:id="IKnCohvs">
      <int2:state int2:value="Rejected" int2:type="AugLoop_Text_Critique"/>
    </int2:textHash>
    <int2:textHash int2:hashCode="sBJwfTkhAXL8Mi" int2:id="mdGJD7sN">
      <int2:state int2:value="Rejected" int2:type="AugLoop_Text_Critique"/>
    </int2:textHash>
    <int2:textHash int2:hashCode="Df/LiOKe2IJ42o" int2:id="aqMIGsx4">
      <int2:state int2:value="Rejected" int2:type="AugLoop_Text_Critique"/>
    </int2:textHash>
    <int2:textHash int2:hashCode="7DvmcHjywRuyJ7" int2:id="bMvGioZG">
      <int2:state int2:value="Rejected" int2:type="AugLoop_Text_Critique"/>
    </int2:textHash>
    <int2:textHash int2:hashCode="5UVOJ1fds2gMgM" int2:id="gLNa3du7">
      <int2:state int2:value="Rejected" int2:type="AugLoop_Text_Critique"/>
    </int2:textHash>
    <int2:textHash int2:hashCode="62V+FSvLYaOwDA" int2:id="TjLE6yf8">
      <int2:state int2:value="Rejected" int2:type="AugLoop_Text_Critique"/>
    </int2:textHash>
    <int2:textHash int2:hashCode="ffcmpcJbBplIDx" int2:id="SLq9w6qo">
      <int2:state int2:value="Rejected" int2:type="AugLoop_Text_Critique"/>
    </int2:textHash>
    <int2:textHash int2:hashCode="S4PCNNJi8gVLJo" int2:id="2h7QfdR9">
      <int2:state int2:value="Rejected" int2:type="AugLoop_Text_Critique"/>
    </int2:textHash>
    <int2:textHash int2:hashCode="3573dIhm2MF8zN" int2:id="32NvIyAP">
      <int2:state int2:value="Rejected" int2:type="AugLoop_Text_Critique"/>
    </int2:textHash>
    <int2:textHash int2:hashCode="QH0Mtj/FoEzhsQ" int2:id="TCAwCRPd">
      <int2:state int2:value="Rejected" int2:type="AugLoop_Text_Critique"/>
    </int2:textHash>
    <int2:textHash int2:hashCode="au3udUh22hbkNp" int2:id="rZ7XBLIc">
      <int2:state int2:value="Rejected" int2:type="AugLoop_Text_Critique"/>
    </int2:textHash>
    <int2:textHash int2:hashCode="DOvsIA4+3WD4Dx" int2:id="Ta06E5lG">
      <int2:state int2:value="Rejected" int2:type="AugLoop_Text_Critique"/>
    </int2:textHash>
    <int2:textHash int2:hashCode="0L2BAF+jsSEXoX" int2:id="pqFXMvw2">
      <int2:state int2:value="Rejected" int2:type="AugLoop_Text_Critique"/>
    </int2:textHash>
    <int2:textHash int2:hashCode="pBRo9QowhtBtZe" int2:id="38nzZ3n6">
      <int2:state int2:value="Rejected" int2:type="AugLoop_Text_Critique"/>
    </int2:textHash>
    <int2:textHash int2:hashCode="FQcjGQrnGrWg3X" int2:id="xK60L2SF">
      <int2:state int2:value="Rejected" int2:type="AugLoop_Text_Critique"/>
    </int2:textHash>
    <int2:textHash int2:hashCode="76CQ3gDI4qfySb" int2:id="RPVZT6JU">
      <int2:state int2:value="Rejected" int2:type="AugLoop_Text_Critique"/>
    </int2:textHash>
    <int2:textHash int2:hashCode="JleL6NtghVklv0" int2:id="niwjd9a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D696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16329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66215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CF03BA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3565FA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2E18B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9D609B"/>
    <w:multiLevelType w:val="multilevel"/>
    <w:tmpl w:val="3D601560"/>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973426"/>
    <w:multiLevelType w:val="hybridMultilevel"/>
    <w:tmpl w:val="B81C7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A4394"/>
    <w:multiLevelType w:val="hybridMultilevel"/>
    <w:tmpl w:val="1C3EDB5E"/>
    <w:lvl w:ilvl="0" w:tplc="4DA2C554">
      <w:start w:val="1"/>
      <w:numFmt w:val="decimal"/>
      <w:pStyle w:val="NormalWeb"/>
      <w:lvlText w:val="%1."/>
      <w:lvlJc w:val="left"/>
      <w:pPr>
        <w:ind w:left="825" w:hanging="465"/>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8F5D3A"/>
    <w:multiLevelType w:val="hybridMultilevel"/>
    <w:tmpl w:val="9DF8B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FEC630"/>
    <w:multiLevelType w:val="hybridMultilevel"/>
    <w:tmpl w:val="05FC04B6"/>
    <w:lvl w:ilvl="0" w:tplc="288285FE">
      <w:numFmt w:val="none"/>
      <w:lvlText w:val=""/>
      <w:lvlJc w:val="left"/>
      <w:pPr>
        <w:tabs>
          <w:tab w:val="num" w:pos="360"/>
        </w:tabs>
      </w:pPr>
    </w:lvl>
    <w:lvl w:ilvl="1" w:tplc="E872E37A">
      <w:start w:val="1"/>
      <w:numFmt w:val="lowerLetter"/>
      <w:lvlText w:val="%2."/>
      <w:lvlJc w:val="left"/>
      <w:pPr>
        <w:ind w:left="1440" w:hanging="360"/>
      </w:pPr>
    </w:lvl>
    <w:lvl w:ilvl="2" w:tplc="5F3CFD86">
      <w:start w:val="1"/>
      <w:numFmt w:val="lowerRoman"/>
      <w:lvlText w:val="%3."/>
      <w:lvlJc w:val="right"/>
      <w:pPr>
        <w:ind w:left="2160" w:hanging="180"/>
      </w:pPr>
    </w:lvl>
    <w:lvl w:ilvl="3" w:tplc="C50E5AB6">
      <w:start w:val="1"/>
      <w:numFmt w:val="decimal"/>
      <w:lvlText w:val="%4."/>
      <w:lvlJc w:val="left"/>
      <w:pPr>
        <w:ind w:left="2880" w:hanging="360"/>
      </w:pPr>
    </w:lvl>
    <w:lvl w:ilvl="4" w:tplc="6F523B82">
      <w:start w:val="1"/>
      <w:numFmt w:val="lowerLetter"/>
      <w:lvlText w:val="%5."/>
      <w:lvlJc w:val="left"/>
      <w:pPr>
        <w:ind w:left="3600" w:hanging="360"/>
      </w:pPr>
    </w:lvl>
    <w:lvl w:ilvl="5" w:tplc="79BC8176">
      <w:start w:val="1"/>
      <w:numFmt w:val="lowerRoman"/>
      <w:lvlText w:val="%6."/>
      <w:lvlJc w:val="right"/>
      <w:pPr>
        <w:ind w:left="4320" w:hanging="180"/>
      </w:pPr>
    </w:lvl>
    <w:lvl w:ilvl="6" w:tplc="FB987D76">
      <w:start w:val="1"/>
      <w:numFmt w:val="decimal"/>
      <w:lvlText w:val="%7."/>
      <w:lvlJc w:val="left"/>
      <w:pPr>
        <w:ind w:left="5040" w:hanging="360"/>
      </w:pPr>
    </w:lvl>
    <w:lvl w:ilvl="7" w:tplc="987669AE">
      <w:start w:val="1"/>
      <w:numFmt w:val="lowerLetter"/>
      <w:lvlText w:val="%8."/>
      <w:lvlJc w:val="left"/>
      <w:pPr>
        <w:ind w:left="5760" w:hanging="360"/>
      </w:pPr>
    </w:lvl>
    <w:lvl w:ilvl="8" w:tplc="CFE059FE">
      <w:start w:val="1"/>
      <w:numFmt w:val="lowerRoman"/>
      <w:lvlText w:val="%9."/>
      <w:lvlJc w:val="right"/>
      <w:pPr>
        <w:ind w:left="6480" w:hanging="180"/>
      </w:pPr>
    </w:lvl>
  </w:abstractNum>
  <w:abstractNum w:abstractNumId="18" w15:restartNumberingAfterBreak="0">
    <w:nsid w:val="39DD22E3"/>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767868"/>
    <w:multiLevelType w:val="hybridMultilevel"/>
    <w:tmpl w:val="FEBAD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35F6F"/>
    <w:multiLevelType w:val="hybridMultilevel"/>
    <w:tmpl w:val="D81AD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77A71"/>
    <w:multiLevelType w:val="hybridMultilevel"/>
    <w:tmpl w:val="05641A90"/>
    <w:lvl w:ilvl="0" w:tplc="668A21A6">
      <w:numFmt w:val="none"/>
      <w:lvlText w:val=""/>
      <w:lvlJc w:val="left"/>
      <w:pPr>
        <w:tabs>
          <w:tab w:val="num" w:pos="360"/>
        </w:tabs>
      </w:pPr>
    </w:lvl>
    <w:lvl w:ilvl="1" w:tplc="52421F76">
      <w:start w:val="1"/>
      <w:numFmt w:val="lowerLetter"/>
      <w:lvlText w:val="%2."/>
      <w:lvlJc w:val="left"/>
      <w:pPr>
        <w:ind w:left="1440" w:hanging="360"/>
      </w:pPr>
    </w:lvl>
    <w:lvl w:ilvl="2" w:tplc="37DC6E40">
      <w:start w:val="1"/>
      <w:numFmt w:val="lowerRoman"/>
      <w:lvlText w:val="%3."/>
      <w:lvlJc w:val="right"/>
      <w:pPr>
        <w:ind w:left="2160" w:hanging="180"/>
      </w:pPr>
    </w:lvl>
    <w:lvl w:ilvl="3" w:tplc="1EEA6282">
      <w:start w:val="1"/>
      <w:numFmt w:val="decimal"/>
      <w:lvlText w:val="%4."/>
      <w:lvlJc w:val="left"/>
      <w:pPr>
        <w:ind w:left="2880" w:hanging="360"/>
      </w:pPr>
    </w:lvl>
    <w:lvl w:ilvl="4" w:tplc="89668A3C">
      <w:start w:val="1"/>
      <w:numFmt w:val="lowerLetter"/>
      <w:lvlText w:val="%5."/>
      <w:lvlJc w:val="left"/>
      <w:pPr>
        <w:ind w:left="3600" w:hanging="360"/>
      </w:pPr>
    </w:lvl>
    <w:lvl w:ilvl="5" w:tplc="A2E25414">
      <w:start w:val="1"/>
      <w:numFmt w:val="lowerRoman"/>
      <w:lvlText w:val="%6."/>
      <w:lvlJc w:val="right"/>
      <w:pPr>
        <w:ind w:left="4320" w:hanging="180"/>
      </w:pPr>
    </w:lvl>
    <w:lvl w:ilvl="6" w:tplc="0EC6FEC0">
      <w:start w:val="1"/>
      <w:numFmt w:val="decimal"/>
      <w:lvlText w:val="%7."/>
      <w:lvlJc w:val="left"/>
      <w:pPr>
        <w:ind w:left="5040" w:hanging="360"/>
      </w:pPr>
    </w:lvl>
    <w:lvl w:ilvl="7" w:tplc="ABC89A62">
      <w:start w:val="1"/>
      <w:numFmt w:val="lowerLetter"/>
      <w:lvlText w:val="%8."/>
      <w:lvlJc w:val="left"/>
      <w:pPr>
        <w:ind w:left="5760" w:hanging="360"/>
      </w:pPr>
    </w:lvl>
    <w:lvl w:ilvl="8" w:tplc="40B82A94">
      <w:start w:val="1"/>
      <w:numFmt w:val="lowerRoman"/>
      <w:lvlText w:val="%9."/>
      <w:lvlJc w:val="right"/>
      <w:pPr>
        <w:ind w:left="6480" w:hanging="180"/>
      </w:p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5FAB755"/>
    <w:multiLevelType w:val="hybridMultilevel"/>
    <w:tmpl w:val="8DD244D6"/>
    <w:lvl w:ilvl="0" w:tplc="123A9F88">
      <w:start w:val="1"/>
      <w:numFmt w:val="bullet"/>
      <w:lvlText w:val=""/>
      <w:lvlJc w:val="left"/>
      <w:pPr>
        <w:ind w:left="720" w:hanging="360"/>
      </w:pPr>
      <w:rPr>
        <w:rFonts w:ascii="Symbol" w:hAnsi="Symbol" w:hint="default"/>
      </w:rPr>
    </w:lvl>
    <w:lvl w:ilvl="1" w:tplc="9B349AE2">
      <w:start w:val="1"/>
      <w:numFmt w:val="bullet"/>
      <w:lvlText w:val="o"/>
      <w:lvlJc w:val="left"/>
      <w:pPr>
        <w:ind w:left="1440" w:hanging="360"/>
      </w:pPr>
      <w:rPr>
        <w:rFonts w:ascii="Courier New" w:hAnsi="Courier New" w:hint="default"/>
      </w:rPr>
    </w:lvl>
    <w:lvl w:ilvl="2" w:tplc="4FEA554A">
      <w:start w:val="1"/>
      <w:numFmt w:val="bullet"/>
      <w:lvlText w:val=""/>
      <w:lvlJc w:val="left"/>
      <w:pPr>
        <w:ind w:left="2160" w:hanging="360"/>
      </w:pPr>
      <w:rPr>
        <w:rFonts w:ascii="Wingdings" w:hAnsi="Wingdings" w:hint="default"/>
      </w:rPr>
    </w:lvl>
    <w:lvl w:ilvl="3" w:tplc="57DC1240">
      <w:start w:val="1"/>
      <w:numFmt w:val="bullet"/>
      <w:lvlText w:val=""/>
      <w:lvlJc w:val="left"/>
      <w:pPr>
        <w:ind w:left="2880" w:hanging="360"/>
      </w:pPr>
      <w:rPr>
        <w:rFonts w:ascii="Symbol" w:hAnsi="Symbol" w:hint="default"/>
      </w:rPr>
    </w:lvl>
    <w:lvl w:ilvl="4" w:tplc="61601026">
      <w:start w:val="1"/>
      <w:numFmt w:val="bullet"/>
      <w:lvlText w:val="o"/>
      <w:lvlJc w:val="left"/>
      <w:pPr>
        <w:ind w:left="3600" w:hanging="360"/>
      </w:pPr>
      <w:rPr>
        <w:rFonts w:ascii="Courier New" w:hAnsi="Courier New" w:hint="default"/>
      </w:rPr>
    </w:lvl>
    <w:lvl w:ilvl="5" w:tplc="BFBE8910">
      <w:start w:val="1"/>
      <w:numFmt w:val="bullet"/>
      <w:lvlText w:val=""/>
      <w:lvlJc w:val="left"/>
      <w:pPr>
        <w:ind w:left="4320" w:hanging="360"/>
      </w:pPr>
      <w:rPr>
        <w:rFonts w:ascii="Wingdings" w:hAnsi="Wingdings" w:hint="default"/>
      </w:rPr>
    </w:lvl>
    <w:lvl w:ilvl="6" w:tplc="9B84B5E8">
      <w:start w:val="1"/>
      <w:numFmt w:val="bullet"/>
      <w:lvlText w:val=""/>
      <w:lvlJc w:val="left"/>
      <w:pPr>
        <w:ind w:left="5040" w:hanging="360"/>
      </w:pPr>
      <w:rPr>
        <w:rFonts w:ascii="Symbol" w:hAnsi="Symbol" w:hint="default"/>
      </w:rPr>
    </w:lvl>
    <w:lvl w:ilvl="7" w:tplc="2022F90E">
      <w:start w:val="1"/>
      <w:numFmt w:val="bullet"/>
      <w:lvlText w:val="o"/>
      <w:lvlJc w:val="left"/>
      <w:pPr>
        <w:ind w:left="5760" w:hanging="360"/>
      </w:pPr>
      <w:rPr>
        <w:rFonts w:ascii="Courier New" w:hAnsi="Courier New" w:hint="default"/>
      </w:rPr>
    </w:lvl>
    <w:lvl w:ilvl="8" w:tplc="328EFA7C">
      <w:start w:val="1"/>
      <w:numFmt w:val="bullet"/>
      <w:lvlText w:val=""/>
      <w:lvlJc w:val="left"/>
      <w:pPr>
        <w:ind w:left="6480" w:hanging="360"/>
      </w:pPr>
      <w:rPr>
        <w:rFonts w:ascii="Wingdings" w:hAnsi="Wingdings" w:hint="default"/>
      </w:rPr>
    </w:lvl>
  </w:abstractNum>
  <w:abstractNum w:abstractNumId="24" w15:restartNumberingAfterBreak="0">
    <w:nsid w:val="4FD3A331"/>
    <w:multiLevelType w:val="hybridMultilevel"/>
    <w:tmpl w:val="6A6A03D0"/>
    <w:lvl w:ilvl="0" w:tplc="959C1E18">
      <w:start w:val="1"/>
      <w:numFmt w:val="bullet"/>
      <w:lvlText w:val=""/>
      <w:lvlJc w:val="left"/>
      <w:pPr>
        <w:ind w:left="720" w:hanging="360"/>
      </w:pPr>
      <w:rPr>
        <w:rFonts w:ascii="Symbol" w:hAnsi="Symbol" w:hint="default"/>
      </w:rPr>
    </w:lvl>
    <w:lvl w:ilvl="1" w:tplc="C7E07550">
      <w:start w:val="1"/>
      <w:numFmt w:val="bullet"/>
      <w:lvlText w:val="o"/>
      <w:lvlJc w:val="left"/>
      <w:pPr>
        <w:ind w:left="1440" w:hanging="360"/>
      </w:pPr>
      <w:rPr>
        <w:rFonts w:ascii="Courier New" w:hAnsi="Courier New" w:hint="default"/>
      </w:rPr>
    </w:lvl>
    <w:lvl w:ilvl="2" w:tplc="F2707A2C">
      <w:start w:val="1"/>
      <w:numFmt w:val="bullet"/>
      <w:lvlText w:val=""/>
      <w:lvlJc w:val="left"/>
      <w:pPr>
        <w:ind w:left="2160" w:hanging="360"/>
      </w:pPr>
      <w:rPr>
        <w:rFonts w:ascii="Wingdings" w:hAnsi="Wingdings" w:hint="default"/>
      </w:rPr>
    </w:lvl>
    <w:lvl w:ilvl="3" w:tplc="847AD6C0">
      <w:start w:val="1"/>
      <w:numFmt w:val="bullet"/>
      <w:lvlText w:val=""/>
      <w:lvlJc w:val="left"/>
      <w:pPr>
        <w:ind w:left="2880" w:hanging="360"/>
      </w:pPr>
      <w:rPr>
        <w:rFonts w:ascii="Symbol" w:hAnsi="Symbol" w:hint="default"/>
      </w:rPr>
    </w:lvl>
    <w:lvl w:ilvl="4" w:tplc="452CFB9C">
      <w:start w:val="1"/>
      <w:numFmt w:val="bullet"/>
      <w:lvlText w:val="o"/>
      <w:lvlJc w:val="left"/>
      <w:pPr>
        <w:ind w:left="3600" w:hanging="360"/>
      </w:pPr>
      <w:rPr>
        <w:rFonts w:ascii="Courier New" w:hAnsi="Courier New" w:hint="default"/>
      </w:rPr>
    </w:lvl>
    <w:lvl w:ilvl="5" w:tplc="3C726AB2">
      <w:start w:val="1"/>
      <w:numFmt w:val="bullet"/>
      <w:lvlText w:val=""/>
      <w:lvlJc w:val="left"/>
      <w:pPr>
        <w:ind w:left="4320" w:hanging="360"/>
      </w:pPr>
      <w:rPr>
        <w:rFonts w:ascii="Wingdings" w:hAnsi="Wingdings" w:hint="default"/>
      </w:rPr>
    </w:lvl>
    <w:lvl w:ilvl="6" w:tplc="C47C61EA">
      <w:start w:val="1"/>
      <w:numFmt w:val="bullet"/>
      <w:lvlText w:val=""/>
      <w:lvlJc w:val="left"/>
      <w:pPr>
        <w:ind w:left="5040" w:hanging="360"/>
      </w:pPr>
      <w:rPr>
        <w:rFonts w:ascii="Symbol" w:hAnsi="Symbol" w:hint="default"/>
      </w:rPr>
    </w:lvl>
    <w:lvl w:ilvl="7" w:tplc="B3C86FE0">
      <w:start w:val="1"/>
      <w:numFmt w:val="bullet"/>
      <w:lvlText w:val="o"/>
      <w:lvlJc w:val="left"/>
      <w:pPr>
        <w:ind w:left="5760" w:hanging="360"/>
      </w:pPr>
      <w:rPr>
        <w:rFonts w:ascii="Courier New" w:hAnsi="Courier New" w:hint="default"/>
      </w:rPr>
    </w:lvl>
    <w:lvl w:ilvl="8" w:tplc="733C42C8">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437AF3"/>
    <w:multiLevelType w:val="hybridMultilevel"/>
    <w:tmpl w:val="8D9AB8D0"/>
    <w:lvl w:ilvl="0" w:tplc="BA38B0F4">
      <w:numFmt w:val="none"/>
      <w:lvlText w:val=""/>
      <w:lvlJc w:val="left"/>
      <w:pPr>
        <w:tabs>
          <w:tab w:val="num" w:pos="360"/>
        </w:tabs>
      </w:pPr>
    </w:lvl>
    <w:lvl w:ilvl="1" w:tplc="16F2B89E">
      <w:start w:val="1"/>
      <w:numFmt w:val="lowerLetter"/>
      <w:lvlText w:val="%2."/>
      <w:lvlJc w:val="left"/>
      <w:pPr>
        <w:ind w:left="1440" w:hanging="360"/>
      </w:pPr>
    </w:lvl>
    <w:lvl w:ilvl="2" w:tplc="FEDE3AE2">
      <w:start w:val="1"/>
      <w:numFmt w:val="lowerRoman"/>
      <w:lvlText w:val="%3."/>
      <w:lvlJc w:val="right"/>
      <w:pPr>
        <w:ind w:left="2160" w:hanging="180"/>
      </w:pPr>
    </w:lvl>
    <w:lvl w:ilvl="3" w:tplc="719851D8">
      <w:start w:val="1"/>
      <w:numFmt w:val="decimal"/>
      <w:lvlText w:val="%4."/>
      <w:lvlJc w:val="left"/>
      <w:pPr>
        <w:ind w:left="2880" w:hanging="360"/>
      </w:pPr>
    </w:lvl>
    <w:lvl w:ilvl="4" w:tplc="59B858D8">
      <w:start w:val="1"/>
      <w:numFmt w:val="lowerLetter"/>
      <w:lvlText w:val="%5."/>
      <w:lvlJc w:val="left"/>
      <w:pPr>
        <w:ind w:left="3600" w:hanging="360"/>
      </w:pPr>
    </w:lvl>
    <w:lvl w:ilvl="5" w:tplc="BD1A40A0">
      <w:start w:val="1"/>
      <w:numFmt w:val="lowerRoman"/>
      <w:lvlText w:val="%6."/>
      <w:lvlJc w:val="right"/>
      <w:pPr>
        <w:ind w:left="4320" w:hanging="180"/>
      </w:pPr>
    </w:lvl>
    <w:lvl w:ilvl="6" w:tplc="91E2F8AC">
      <w:start w:val="1"/>
      <w:numFmt w:val="decimal"/>
      <w:lvlText w:val="%7."/>
      <w:lvlJc w:val="left"/>
      <w:pPr>
        <w:ind w:left="5040" w:hanging="360"/>
      </w:pPr>
    </w:lvl>
    <w:lvl w:ilvl="7" w:tplc="636234D0">
      <w:start w:val="1"/>
      <w:numFmt w:val="lowerLetter"/>
      <w:lvlText w:val="%8."/>
      <w:lvlJc w:val="left"/>
      <w:pPr>
        <w:ind w:left="5760" w:hanging="360"/>
      </w:pPr>
    </w:lvl>
    <w:lvl w:ilvl="8" w:tplc="58400BE4">
      <w:start w:val="1"/>
      <w:numFmt w:val="lowerRoman"/>
      <w:lvlText w:val="%9."/>
      <w:lvlJc w:val="right"/>
      <w:pPr>
        <w:ind w:left="6480" w:hanging="180"/>
      </w:pPr>
    </w:lvl>
  </w:abstractNum>
  <w:abstractNum w:abstractNumId="27" w15:restartNumberingAfterBreak="0">
    <w:nsid w:val="59E86471"/>
    <w:multiLevelType w:val="multilevel"/>
    <w:tmpl w:val="34D657E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szCs w:val="28"/>
      </w:rPr>
    </w:lvl>
    <w:lvl w:ilvl="2">
      <w:start w:val="1"/>
      <w:numFmt w:val="decimal"/>
      <w:pStyle w:val="Heading3"/>
      <w:lvlText w:val="%1.%2.%3"/>
      <w:lvlJc w:val="left"/>
      <w:pPr>
        <w:ind w:left="483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4ED2A06"/>
    <w:multiLevelType w:val="hybridMultilevel"/>
    <w:tmpl w:val="CB88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A2D77"/>
    <w:multiLevelType w:val="hybridMultilevel"/>
    <w:tmpl w:val="B5CC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436C7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6B47F0"/>
    <w:multiLevelType w:val="hybridMultilevel"/>
    <w:tmpl w:val="0534E150"/>
    <w:lvl w:ilvl="0" w:tplc="50B6B3A8">
      <w:numFmt w:val="none"/>
      <w:lvlText w:val=""/>
      <w:lvlJc w:val="left"/>
      <w:pPr>
        <w:tabs>
          <w:tab w:val="num" w:pos="360"/>
        </w:tabs>
      </w:pPr>
    </w:lvl>
    <w:lvl w:ilvl="1" w:tplc="D0FAAE12">
      <w:start w:val="1"/>
      <w:numFmt w:val="lowerLetter"/>
      <w:lvlText w:val="%2."/>
      <w:lvlJc w:val="left"/>
      <w:pPr>
        <w:ind w:left="1440" w:hanging="360"/>
      </w:pPr>
    </w:lvl>
    <w:lvl w:ilvl="2" w:tplc="53960436">
      <w:start w:val="1"/>
      <w:numFmt w:val="lowerRoman"/>
      <w:lvlText w:val="%3."/>
      <w:lvlJc w:val="right"/>
      <w:pPr>
        <w:ind w:left="2160" w:hanging="180"/>
      </w:pPr>
    </w:lvl>
    <w:lvl w:ilvl="3" w:tplc="07D4A2FE">
      <w:start w:val="1"/>
      <w:numFmt w:val="decimal"/>
      <w:lvlText w:val="%4."/>
      <w:lvlJc w:val="left"/>
      <w:pPr>
        <w:ind w:left="2880" w:hanging="360"/>
      </w:pPr>
    </w:lvl>
    <w:lvl w:ilvl="4" w:tplc="6D92F80C">
      <w:start w:val="1"/>
      <w:numFmt w:val="lowerLetter"/>
      <w:lvlText w:val="%5."/>
      <w:lvlJc w:val="left"/>
      <w:pPr>
        <w:ind w:left="3600" w:hanging="360"/>
      </w:pPr>
    </w:lvl>
    <w:lvl w:ilvl="5" w:tplc="935CD650">
      <w:start w:val="1"/>
      <w:numFmt w:val="lowerRoman"/>
      <w:lvlText w:val="%6."/>
      <w:lvlJc w:val="right"/>
      <w:pPr>
        <w:ind w:left="4320" w:hanging="180"/>
      </w:pPr>
    </w:lvl>
    <w:lvl w:ilvl="6" w:tplc="4350C388">
      <w:start w:val="1"/>
      <w:numFmt w:val="decimal"/>
      <w:lvlText w:val="%7."/>
      <w:lvlJc w:val="left"/>
      <w:pPr>
        <w:ind w:left="5040" w:hanging="360"/>
      </w:pPr>
    </w:lvl>
    <w:lvl w:ilvl="7" w:tplc="D69237F8">
      <w:start w:val="1"/>
      <w:numFmt w:val="lowerLetter"/>
      <w:lvlText w:val="%8."/>
      <w:lvlJc w:val="left"/>
      <w:pPr>
        <w:ind w:left="5760" w:hanging="360"/>
      </w:pPr>
    </w:lvl>
    <w:lvl w:ilvl="8" w:tplc="9544E516">
      <w:start w:val="1"/>
      <w:numFmt w:val="lowerRoman"/>
      <w:lvlText w:val="%9."/>
      <w:lvlJc w:val="right"/>
      <w:pPr>
        <w:ind w:left="6480" w:hanging="180"/>
      </w:p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86833918">
    <w:abstractNumId w:val="23"/>
  </w:num>
  <w:num w:numId="2" w16cid:durableId="249388224">
    <w:abstractNumId w:val="26"/>
  </w:num>
  <w:num w:numId="3" w16cid:durableId="1813061941">
    <w:abstractNumId w:val="33"/>
  </w:num>
  <w:num w:numId="4" w16cid:durableId="982739606">
    <w:abstractNumId w:val="17"/>
  </w:num>
  <w:num w:numId="5" w16cid:durableId="2117015423">
    <w:abstractNumId w:val="21"/>
  </w:num>
  <w:num w:numId="6" w16cid:durableId="1087534403">
    <w:abstractNumId w:val="24"/>
  </w:num>
  <w:num w:numId="7" w16cid:durableId="1070620576">
    <w:abstractNumId w:val="7"/>
  </w:num>
  <w:num w:numId="8" w16cid:durableId="1901358508">
    <w:abstractNumId w:val="25"/>
  </w:num>
  <w:num w:numId="9" w16cid:durableId="1893081061">
    <w:abstractNumId w:val="32"/>
  </w:num>
  <w:num w:numId="10" w16cid:durableId="1899047626">
    <w:abstractNumId w:val="9"/>
  </w:num>
  <w:num w:numId="11" w16cid:durableId="11227309">
    <w:abstractNumId w:val="9"/>
    <w:lvlOverride w:ilvl="0">
      <w:startOverride w:val="1"/>
    </w:lvlOverride>
  </w:num>
  <w:num w:numId="12" w16cid:durableId="1437746433">
    <w:abstractNumId w:val="11"/>
  </w:num>
  <w:num w:numId="13" w16cid:durableId="970788205">
    <w:abstractNumId w:val="22"/>
  </w:num>
  <w:num w:numId="14" w16cid:durableId="1983272882">
    <w:abstractNumId w:val="30"/>
  </w:num>
  <w:num w:numId="15" w16cid:durableId="1181623562">
    <w:abstractNumId w:val="5"/>
  </w:num>
  <w:num w:numId="16" w16cid:durableId="1985697516">
    <w:abstractNumId w:val="4"/>
  </w:num>
  <w:num w:numId="17" w16cid:durableId="134370024">
    <w:abstractNumId w:val="3"/>
  </w:num>
  <w:num w:numId="18" w16cid:durableId="1611400693">
    <w:abstractNumId w:val="2"/>
  </w:num>
  <w:num w:numId="19" w16cid:durableId="1108700543">
    <w:abstractNumId w:val="6"/>
  </w:num>
  <w:num w:numId="20" w16cid:durableId="1763718589">
    <w:abstractNumId w:val="1"/>
  </w:num>
  <w:num w:numId="21" w16cid:durableId="1950312170">
    <w:abstractNumId w:val="0"/>
  </w:num>
  <w:num w:numId="22" w16cid:durableId="1202014338">
    <w:abstractNumId w:val="34"/>
  </w:num>
  <w:num w:numId="23" w16cid:durableId="25524878">
    <w:abstractNumId w:val="12"/>
  </w:num>
  <w:num w:numId="24" w16cid:durableId="447048251">
    <w:abstractNumId w:val="13"/>
  </w:num>
  <w:num w:numId="25" w16cid:durableId="1961178869">
    <w:abstractNumId w:val="16"/>
  </w:num>
  <w:num w:numId="26" w16cid:durableId="1318729564">
    <w:abstractNumId w:val="18"/>
  </w:num>
  <w:num w:numId="27" w16cid:durableId="139467154">
    <w:abstractNumId w:val="31"/>
  </w:num>
  <w:num w:numId="28" w16cid:durableId="1811441444">
    <w:abstractNumId w:val="27"/>
  </w:num>
  <w:num w:numId="29" w16cid:durableId="349599644">
    <w:abstractNumId w:val="28"/>
  </w:num>
  <w:num w:numId="30" w16cid:durableId="1499034970">
    <w:abstractNumId w:val="19"/>
  </w:num>
  <w:num w:numId="31" w16cid:durableId="1523667715">
    <w:abstractNumId w:val="15"/>
  </w:num>
  <w:num w:numId="32" w16cid:durableId="803930423">
    <w:abstractNumId w:val="8"/>
  </w:num>
  <w:num w:numId="33" w16cid:durableId="1758936773">
    <w:abstractNumId w:val="20"/>
  </w:num>
  <w:num w:numId="34" w16cid:durableId="753430947">
    <w:abstractNumId w:val="27"/>
  </w:num>
  <w:num w:numId="35" w16cid:durableId="1901288964">
    <w:abstractNumId w:val="27"/>
  </w:num>
  <w:num w:numId="36" w16cid:durableId="1066798049">
    <w:abstractNumId w:val="27"/>
  </w:num>
  <w:num w:numId="37" w16cid:durableId="1731882635">
    <w:abstractNumId w:val="27"/>
  </w:num>
  <w:num w:numId="38" w16cid:durableId="77295704">
    <w:abstractNumId w:val="27"/>
  </w:num>
  <w:num w:numId="39" w16cid:durableId="527111112">
    <w:abstractNumId w:val="27"/>
  </w:num>
  <w:num w:numId="40" w16cid:durableId="1917741833">
    <w:abstractNumId w:val="27"/>
  </w:num>
  <w:num w:numId="41" w16cid:durableId="17242389">
    <w:abstractNumId w:val="27"/>
  </w:num>
  <w:num w:numId="42" w16cid:durableId="1024094025">
    <w:abstractNumId w:val="27"/>
  </w:num>
  <w:num w:numId="43" w16cid:durableId="1327171719">
    <w:abstractNumId w:val="27"/>
  </w:num>
  <w:num w:numId="44" w16cid:durableId="2140953935">
    <w:abstractNumId w:val="27"/>
  </w:num>
  <w:num w:numId="45" w16cid:durableId="2054427739">
    <w:abstractNumId w:val="27"/>
  </w:num>
  <w:num w:numId="46" w16cid:durableId="711032760">
    <w:abstractNumId w:val="27"/>
  </w:num>
  <w:num w:numId="47" w16cid:durableId="1018199049">
    <w:abstractNumId w:val="27"/>
  </w:num>
  <w:num w:numId="48" w16cid:durableId="1350598130">
    <w:abstractNumId w:val="27"/>
  </w:num>
  <w:num w:numId="49" w16cid:durableId="1107845757">
    <w:abstractNumId w:val="27"/>
  </w:num>
  <w:num w:numId="50" w16cid:durableId="739905253">
    <w:abstractNumId w:val="27"/>
  </w:num>
  <w:num w:numId="51" w16cid:durableId="1771850806">
    <w:abstractNumId w:val="27"/>
  </w:num>
  <w:num w:numId="52" w16cid:durableId="1858348784">
    <w:abstractNumId w:val="27"/>
  </w:num>
  <w:num w:numId="53" w16cid:durableId="2066099318">
    <w:abstractNumId w:val="27"/>
  </w:num>
  <w:num w:numId="54" w16cid:durableId="1729298687">
    <w:abstractNumId w:val="27"/>
  </w:num>
  <w:num w:numId="55" w16cid:durableId="1009605117">
    <w:abstractNumId w:val="14"/>
  </w:num>
  <w:num w:numId="56" w16cid:durableId="1425298093">
    <w:abstractNumId w:val="10"/>
  </w:num>
  <w:num w:numId="57" w16cid:durableId="105777989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B8"/>
    <w:rsid w:val="00003735"/>
    <w:rsid w:val="00003743"/>
    <w:rsid w:val="000047B4"/>
    <w:rsid w:val="00005712"/>
    <w:rsid w:val="00007B27"/>
    <w:rsid w:val="00007FD8"/>
    <w:rsid w:val="0001079A"/>
    <w:rsid w:val="000117F8"/>
    <w:rsid w:val="0001460F"/>
    <w:rsid w:val="000206C0"/>
    <w:rsid w:val="00022629"/>
    <w:rsid w:val="000242B8"/>
    <w:rsid w:val="00026139"/>
    <w:rsid w:val="00027601"/>
    <w:rsid w:val="000277FF"/>
    <w:rsid w:val="00033321"/>
    <w:rsid w:val="000338E5"/>
    <w:rsid w:val="00033ECC"/>
    <w:rsid w:val="0003422F"/>
    <w:rsid w:val="00046FF0"/>
    <w:rsid w:val="00050176"/>
    <w:rsid w:val="00050342"/>
    <w:rsid w:val="00056567"/>
    <w:rsid w:val="00061544"/>
    <w:rsid w:val="00063C8C"/>
    <w:rsid w:val="0006543E"/>
    <w:rsid w:val="00067456"/>
    <w:rsid w:val="00071506"/>
    <w:rsid w:val="0007154F"/>
    <w:rsid w:val="000771C6"/>
    <w:rsid w:val="00081AB1"/>
    <w:rsid w:val="0009000B"/>
    <w:rsid w:val="00090316"/>
    <w:rsid w:val="00093981"/>
    <w:rsid w:val="00097C0D"/>
    <w:rsid w:val="000B067A"/>
    <w:rsid w:val="000B1540"/>
    <w:rsid w:val="000B1E53"/>
    <w:rsid w:val="000B33FD"/>
    <w:rsid w:val="000B3F90"/>
    <w:rsid w:val="000B4ABA"/>
    <w:rsid w:val="000B5A78"/>
    <w:rsid w:val="000C31D4"/>
    <w:rsid w:val="000C4B16"/>
    <w:rsid w:val="000C50C3"/>
    <w:rsid w:val="000C5E14"/>
    <w:rsid w:val="000C6314"/>
    <w:rsid w:val="000D21F6"/>
    <w:rsid w:val="000D23CC"/>
    <w:rsid w:val="000D356D"/>
    <w:rsid w:val="000D4500"/>
    <w:rsid w:val="000D6363"/>
    <w:rsid w:val="000D63C0"/>
    <w:rsid w:val="000D7AEA"/>
    <w:rsid w:val="000E20A6"/>
    <w:rsid w:val="000E2C66"/>
    <w:rsid w:val="000E323E"/>
    <w:rsid w:val="000F123C"/>
    <w:rsid w:val="000F2FED"/>
    <w:rsid w:val="000F3A61"/>
    <w:rsid w:val="001022D1"/>
    <w:rsid w:val="00103D5D"/>
    <w:rsid w:val="0010616D"/>
    <w:rsid w:val="00110478"/>
    <w:rsid w:val="0011711B"/>
    <w:rsid w:val="00117F8A"/>
    <w:rsid w:val="00120DA9"/>
    <w:rsid w:val="00121B9B"/>
    <w:rsid w:val="00122ADC"/>
    <w:rsid w:val="00125445"/>
    <w:rsid w:val="00125AA4"/>
    <w:rsid w:val="00130F59"/>
    <w:rsid w:val="00133EC0"/>
    <w:rsid w:val="001349E6"/>
    <w:rsid w:val="00141CE5"/>
    <w:rsid w:val="00144908"/>
    <w:rsid w:val="001511D8"/>
    <w:rsid w:val="001571C7"/>
    <w:rsid w:val="00160FBB"/>
    <w:rsid w:val="00161094"/>
    <w:rsid w:val="001624B8"/>
    <w:rsid w:val="0016600B"/>
    <w:rsid w:val="00167739"/>
    <w:rsid w:val="0017280F"/>
    <w:rsid w:val="0017665C"/>
    <w:rsid w:val="001767BA"/>
    <w:rsid w:val="00177AD2"/>
    <w:rsid w:val="001815A8"/>
    <w:rsid w:val="00182C47"/>
    <w:rsid w:val="001840FA"/>
    <w:rsid w:val="00190079"/>
    <w:rsid w:val="00193F0F"/>
    <w:rsid w:val="00194A72"/>
    <w:rsid w:val="0019622E"/>
    <w:rsid w:val="001966A7"/>
    <w:rsid w:val="00197626"/>
    <w:rsid w:val="001A1788"/>
    <w:rsid w:val="001A19EF"/>
    <w:rsid w:val="001A292C"/>
    <w:rsid w:val="001A4627"/>
    <w:rsid w:val="001A4979"/>
    <w:rsid w:val="001B15D3"/>
    <w:rsid w:val="001B24E8"/>
    <w:rsid w:val="001B3443"/>
    <w:rsid w:val="001B393A"/>
    <w:rsid w:val="001B4160"/>
    <w:rsid w:val="001B552E"/>
    <w:rsid w:val="001B68B6"/>
    <w:rsid w:val="001C0326"/>
    <w:rsid w:val="001C1320"/>
    <w:rsid w:val="001C192F"/>
    <w:rsid w:val="001C3341"/>
    <w:rsid w:val="001C3C42"/>
    <w:rsid w:val="001D5EDB"/>
    <w:rsid w:val="001D73F7"/>
    <w:rsid w:val="001D7869"/>
    <w:rsid w:val="001E1213"/>
    <w:rsid w:val="001E46A6"/>
    <w:rsid w:val="002026CD"/>
    <w:rsid w:val="002033FC"/>
    <w:rsid w:val="002044BB"/>
    <w:rsid w:val="00210B09"/>
    <w:rsid w:val="00210C9E"/>
    <w:rsid w:val="00211840"/>
    <w:rsid w:val="002205CC"/>
    <w:rsid w:val="00220E5F"/>
    <w:rsid w:val="002212B5"/>
    <w:rsid w:val="00222694"/>
    <w:rsid w:val="0022549B"/>
    <w:rsid w:val="00226668"/>
    <w:rsid w:val="00233809"/>
    <w:rsid w:val="00240046"/>
    <w:rsid w:val="00243EDD"/>
    <w:rsid w:val="002446FE"/>
    <w:rsid w:val="002448C8"/>
    <w:rsid w:val="0024797F"/>
    <w:rsid w:val="002500BD"/>
    <w:rsid w:val="0025119E"/>
    <w:rsid w:val="00251269"/>
    <w:rsid w:val="002535C0"/>
    <w:rsid w:val="002556A3"/>
    <w:rsid w:val="002579FE"/>
    <w:rsid w:val="00257EDE"/>
    <w:rsid w:val="0026055D"/>
    <w:rsid w:val="00261854"/>
    <w:rsid w:val="0026311C"/>
    <w:rsid w:val="0026668C"/>
    <w:rsid w:val="00266AC1"/>
    <w:rsid w:val="002713C6"/>
    <w:rsid w:val="0027178C"/>
    <w:rsid w:val="002719FA"/>
    <w:rsid w:val="00272668"/>
    <w:rsid w:val="0027330B"/>
    <w:rsid w:val="002803AD"/>
    <w:rsid w:val="00282052"/>
    <w:rsid w:val="0028519E"/>
    <w:rsid w:val="002856A5"/>
    <w:rsid w:val="002872ED"/>
    <w:rsid w:val="002905C2"/>
    <w:rsid w:val="00294B66"/>
    <w:rsid w:val="00295AF2"/>
    <w:rsid w:val="00295C91"/>
    <w:rsid w:val="00297151"/>
    <w:rsid w:val="002A01FE"/>
    <w:rsid w:val="002A45F8"/>
    <w:rsid w:val="002B090C"/>
    <w:rsid w:val="002B20E6"/>
    <w:rsid w:val="002B4219"/>
    <w:rsid w:val="002B42A3"/>
    <w:rsid w:val="002B7F73"/>
    <w:rsid w:val="002C0734"/>
    <w:rsid w:val="002C0CDD"/>
    <w:rsid w:val="002C38C4"/>
    <w:rsid w:val="002D1AB4"/>
    <w:rsid w:val="002D61B3"/>
    <w:rsid w:val="002E1A1D"/>
    <w:rsid w:val="002E4081"/>
    <w:rsid w:val="002E5B78"/>
    <w:rsid w:val="002F188F"/>
    <w:rsid w:val="002F3AE3"/>
    <w:rsid w:val="002F460B"/>
    <w:rsid w:val="0030299D"/>
    <w:rsid w:val="0030464B"/>
    <w:rsid w:val="0030786C"/>
    <w:rsid w:val="003233DE"/>
    <w:rsid w:val="0032466B"/>
    <w:rsid w:val="003303B5"/>
    <w:rsid w:val="003330EB"/>
    <w:rsid w:val="00333460"/>
    <w:rsid w:val="003415FD"/>
    <w:rsid w:val="003429F0"/>
    <w:rsid w:val="00345A82"/>
    <w:rsid w:val="003467DE"/>
    <w:rsid w:val="0035097A"/>
    <w:rsid w:val="00352149"/>
    <w:rsid w:val="00353703"/>
    <w:rsid w:val="003540A4"/>
    <w:rsid w:val="00357BCC"/>
    <w:rsid w:val="003603D5"/>
    <w:rsid w:val="00360E4E"/>
    <w:rsid w:val="00363439"/>
    <w:rsid w:val="00364BBE"/>
    <w:rsid w:val="00370AAA"/>
    <w:rsid w:val="00375F77"/>
    <w:rsid w:val="003764C8"/>
    <w:rsid w:val="00381BBE"/>
    <w:rsid w:val="00382903"/>
    <w:rsid w:val="003835D8"/>
    <w:rsid w:val="003846FF"/>
    <w:rsid w:val="003857D4"/>
    <w:rsid w:val="00385AD4"/>
    <w:rsid w:val="00387924"/>
    <w:rsid w:val="0039384D"/>
    <w:rsid w:val="00395C23"/>
    <w:rsid w:val="00397A45"/>
    <w:rsid w:val="003A2DB1"/>
    <w:rsid w:val="003A2E4F"/>
    <w:rsid w:val="003A4438"/>
    <w:rsid w:val="003A486A"/>
    <w:rsid w:val="003A5013"/>
    <w:rsid w:val="003A5078"/>
    <w:rsid w:val="003A62DD"/>
    <w:rsid w:val="003A775A"/>
    <w:rsid w:val="003B05B3"/>
    <w:rsid w:val="003B1DAD"/>
    <w:rsid w:val="003B213A"/>
    <w:rsid w:val="003B43AD"/>
    <w:rsid w:val="003B46D6"/>
    <w:rsid w:val="003C0FEC"/>
    <w:rsid w:val="003C2AC8"/>
    <w:rsid w:val="003C6B85"/>
    <w:rsid w:val="003D033A"/>
    <w:rsid w:val="003D17F9"/>
    <w:rsid w:val="003D2D88"/>
    <w:rsid w:val="003D41EA"/>
    <w:rsid w:val="003D4850"/>
    <w:rsid w:val="003D535A"/>
    <w:rsid w:val="003D5971"/>
    <w:rsid w:val="003E0327"/>
    <w:rsid w:val="003E5265"/>
    <w:rsid w:val="003F0955"/>
    <w:rsid w:val="003F5F4D"/>
    <w:rsid w:val="003F646F"/>
    <w:rsid w:val="004002A9"/>
    <w:rsid w:val="00400F00"/>
    <w:rsid w:val="0040111B"/>
    <w:rsid w:val="00404F8B"/>
    <w:rsid w:val="00405256"/>
    <w:rsid w:val="00410031"/>
    <w:rsid w:val="00415C81"/>
    <w:rsid w:val="00421152"/>
    <w:rsid w:val="0042615B"/>
    <w:rsid w:val="00432378"/>
    <w:rsid w:val="00432D2A"/>
    <w:rsid w:val="00440D65"/>
    <w:rsid w:val="00442C9B"/>
    <w:rsid w:val="004435E6"/>
    <w:rsid w:val="00445B95"/>
    <w:rsid w:val="00447E31"/>
    <w:rsid w:val="00453518"/>
    <w:rsid w:val="00453923"/>
    <w:rsid w:val="00454556"/>
    <w:rsid w:val="00454B9B"/>
    <w:rsid w:val="00455317"/>
    <w:rsid w:val="0045551B"/>
    <w:rsid w:val="00455799"/>
    <w:rsid w:val="004574D8"/>
    <w:rsid w:val="00457858"/>
    <w:rsid w:val="00460B0B"/>
    <w:rsid w:val="00461023"/>
    <w:rsid w:val="00462FAC"/>
    <w:rsid w:val="00464631"/>
    <w:rsid w:val="00464B79"/>
    <w:rsid w:val="00467BBF"/>
    <w:rsid w:val="00477E1B"/>
    <w:rsid w:val="0048593C"/>
    <w:rsid w:val="00485DAB"/>
    <w:rsid w:val="004867E2"/>
    <w:rsid w:val="004929A9"/>
    <w:rsid w:val="004A1943"/>
    <w:rsid w:val="004A7503"/>
    <w:rsid w:val="004A78D9"/>
    <w:rsid w:val="004B143F"/>
    <w:rsid w:val="004B229A"/>
    <w:rsid w:val="004B72CB"/>
    <w:rsid w:val="004C5A9B"/>
    <w:rsid w:val="004C6BCF"/>
    <w:rsid w:val="004D58BF"/>
    <w:rsid w:val="004D76E7"/>
    <w:rsid w:val="004E4335"/>
    <w:rsid w:val="004E733C"/>
    <w:rsid w:val="004F13EE"/>
    <w:rsid w:val="004F1BBE"/>
    <w:rsid w:val="004F2022"/>
    <w:rsid w:val="004F7C05"/>
    <w:rsid w:val="00501C94"/>
    <w:rsid w:val="00506432"/>
    <w:rsid w:val="0051002F"/>
    <w:rsid w:val="00511E53"/>
    <w:rsid w:val="00512878"/>
    <w:rsid w:val="00515A50"/>
    <w:rsid w:val="0052051D"/>
    <w:rsid w:val="0052707C"/>
    <w:rsid w:val="005440A3"/>
    <w:rsid w:val="00545B6F"/>
    <w:rsid w:val="00545EE6"/>
    <w:rsid w:val="00546AAF"/>
    <w:rsid w:val="00552B73"/>
    <w:rsid w:val="00552CF9"/>
    <w:rsid w:val="005550E7"/>
    <w:rsid w:val="0055636D"/>
    <w:rsid w:val="005564FB"/>
    <w:rsid w:val="005572C7"/>
    <w:rsid w:val="005650ED"/>
    <w:rsid w:val="00575754"/>
    <w:rsid w:val="00581FBA"/>
    <w:rsid w:val="00591E20"/>
    <w:rsid w:val="00595232"/>
    <w:rsid w:val="00595408"/>
    <w:rsid w:val="00595E84"/>
    <w:rsid w:val="005A0C59"/>
    <w:rsid w:val="005A4055"/>
    <w:rsid w:val="005A42C2"/>
    <w:rsid w:val="005A43CF"/>
    <w:rsid w:val="005A48EB"/>
    <w:rsid w:val="005A4D12"/>
    <w:rsid w:val="005A57B1"/>
    <w:rsid w:val="005A6CFB"/>
    <w:rsid w:val="005B0E08"/>
    <w:rsid w:val="005B2AA2"/>
    <w:rsid w:val="005C0E2E"/>
    <w:rsid w:val="005C4AAB"/>
    <w:rsid w:val="005C5AEB"/>
    <w:rsid w:val="005C6A0A"/>
    <w:rsid w:val="005D22BC"/>
    <w:rsid w:val="005D3C14"/>
    <w:rsid w:val="005D6B0F"/>
    <w:rsid w:val="005D75EA"/>
    <w:rsid w:val="005E0A3F"/>
    <w:rsid w:val="005E3EF5"/>
    <w:rsid w:val="005E43B7"/>
    <w:rsid w:val="005E6883"/>
    <w:rsid w:val="005E7496"/>
    <w:rsid w:val="005E772F"/>
    <w:rsid w:val="005F4ECA"/>
    <w:rsid w:val="005F7B80"/>
    <w:rsid w:val="006041BE"/>
    <w:rsid w:val="006043C7"/>
    <w:rsid w:val="00624B52"/>
    <w:rsid w:val="006275CB"/>
    <w:rsid w:val="00630794"/>
    <w:rsid w:val="00631DF4"/>
    <w:rsid w:val="00634175"/>
    <w:rsid w:val="006408AC"/>
    <w:rsid w:val="00644163"/>
    <w:rsid w:val="00647F9E"/>
    <w:rsid w:val="006511B6"/>
    <w:rsid w:val="00657FF8"/>
    <w:rsid w:val="00663417"/>
    <w:rsid w:val="00670D99"/>
    <w:rsid w:val="00670E2B"/>
    <w:rsid w:val="00671B10"/>
    <w:rsid w:val="006734BB"/>
    <w:rsid w:val="006739CD"/>
    <w:rsid w:val="00676643"/>
    <w:rsid w:val="0067697A"/>
    <w:rsid w:val="006821EB"/>
    <w:rsid w:val="006A0177"/>
    <w:rsid w:val="006A07E5"/>
    <w:rsid w:val="006B2286"/>
    <w:rsid w:val="006B3295"/>
    <w:rsid w:val="006B56BB"/>
    <w:rsid w:val="006C0D9E"/>
    <w:rsid w:val="006C1B96"/>
    <w:rsid w:val="006C565A"/>
    <w:rsid w:val="006C77A8"/>
    <w:rsid w:val="006D4098"/>
    <w:rsid w:val="006D7681"/>
    <w:rsid w:val="006D7B2E"/>
    <w:rsid w:val="006E02EA"/>
    <w:rsid w:val="006E0968"/>
    <w:rsid w:val="006E2AF6"/>
    <w:rsid w:val="006E2BBA"/>
    <w:rsid w:val="006F0A5E"/>
    <w:rsid w:val="00700EE1"/>
    <w:rsid w:val="00701275"/>
    <w:rsid w:val="00703535"/>
    <w:rsid w:val="00704348"/>
    <w:rsid w:val="00707F56"/>
    <w:rsid w:val="007127A8"/>
    <w:rsid w:val="007129C2"/>
    <w:rsid w:val="00712CDA"/>
    <w:rsid w:val="00713558"/>
    <w:rsid w:val="0071485D"/>
    <w:rsid w:val="00720D08"/>
    <w:rsid w:val="007238AA"/>
    <w:rsid w:val="007263B9"/>
    <w:rsid w:val="007334F8"/>
    <w:rsid w:val="007339CD"/>
    <w:rsid w:val="00734059"/>
    <w:rsid w:val="007359D8"/>
    <w:rsid w:val="007362D4"/>
    <w:rsid w:val="0074721A"/>
    <w:rsid w:val="00750121"/>
    <w:rsid w:val="0075056F"/>
    <w:rsid w:val="00752E42"/>
    <w:rsid w:val="00755813"/>
    <w:rsid w:val="0075776A"/>
    <w:rsid w:val="00760EC8"/>
    <w:rsid w:val="0076672A"/>
    <w:rsid w:val="00771E27"/>
    <w:rsid w:val="00775E45"/>
    <w:rsid w:val="00776E74"/>
    <w:rsid w:val="00781471"/>
    <w:rsid w:val="00785169"/>
    <w:rsid w:val="0078771F"/>
    <w:rsid w:val="00795499"/>
    <w:rsid w:val="007954AB"/>
    <w:rsid w:val="007A14C5"/>
    <w:rsid w:val="007A4A10"/>
    <w:rsid w:val="007B1760"/>
    <w:rsid w:val="007B452B"/>
    <w:rsid w:val="007C1E91"/>
    <w:rsid w:val="007C1FDC"/>
    <w:rsid w:val="007C4F59"/>
    <w:rsid w:val="007C6D9C"/>
    <w:rsid w:val="007C7DDB"/>
    <w:rsid w:val="007D2CC7"/>
    <w:rsid w:val="007D673D"/>
    <w:rsid w:val="007E1C49"/>
    <w:rsid w:val="007E4D09"/>
    <w:rsid w:val="007F2220"/>
    <w:rsid w:val="007F2CA1"/>
    <w:rsid w:val="007F4B3E"/>
    <w:rsid w:val="007F75EE"/>
    <w:rsid w:val="00803D55"/>
    <w:rsid w:val="008077B1"/>
    <w:rsid w:val="00811F88"/>
    <w:rsid w:val="008127AF"/>
    <w:rsid w:val="00812B46"/>
    <w:rsid w:val="00815700"/>
    <w:rsid w:val="008264EB"/>
    <w:rsid w:val="00826B8F"/>
    <w:rsid w:val="00831577"/>
    <w:rsid w:val="00831E8A"/>
    <w:rsid w:val="00835C76"/>
    <w:rsid w:val="008376E2"/>
    <w:rsid w:val="00843049"/>
    <w:rsid w:val="00843B38"/>
    <w:rsid w:val="0084A506"/>
    <w:rsid w:val="00851D93"/>
    <w:rsid w:val="0085209B"/>
    <w:rsid w:val="00854F4B"/>
    <w:rsid w:val="00856B66"/>
    <w:rsid w:val="008601AC"/>
    <w:rsid w:val="008608A1"/>
    <w:rsid w:val="00861A5F"/>
    <w:rsid w:val="0086254B"/>
    <w:rsid w:val="008644AD"/>
    <w:rsid w:val="008648B5"/>
    <w:rsid w:val="00865735"/>
    <w:rsid w:val="00865DDB"/>
    <w:rsid w:val="00867538"/>
    <w:rsid w:val="00873D90"/>
    <w:rsid w:val="00873FC8"/>
    <w:rsid w:val="00876879"/>
    <w:rsid w:val="008817D0"/>
    <w:rsid w:val="00884C63"/>
    <w:rsid w:val="00885908"/>
    <w:rsid w:val="008864B7"/>
    <w:rsid w:val="0089065C"/>
    <w:rsid w:val="00891E2E"/>
    <w:rsid w:val="008965B2"/>
    <w:rsid w:val="0089677E"/>
    <w:rsid w:val="008A1338"/>
    <w:rsid w:val="008A22E5"/>
    <w:rsid w:val="008A2BD4"/>
    <w:rsid w:val="008A2D35"/>
    <w:rsid w:val="008A7438"/>
    <w:rsid w:val="008B1334"/>
    <w:rsid w:val="008B25C7"/>
    <w:rsid w:val="008B2E79"/>
    <w:rsid w:val="008B5A69"/>
    <w:rsid w:val="008C0278"/>
    <w:rsid w:val="008C24E9"/>
    <w:rsid w:val="008C3EBE"/>
    <w:rsid w:val="008D0533"/>
    <w:rsid w:val="008D42CB"/>
    <w:rsid w:val="008D48C9"/>
    <w:rsid w:val="008D6381"/>
    <w:rsid w:val="008D6B57"/>
    <w:rsid w:val="008E0C77"/>
    <w:rsid w:val="008E625F"/>
    <w:rsid w:val="008F234F"/>
    <w:rsid w:val="008F264D"/>
    <w:rsid w:val="009040E9"/>
    <w:rsid w:val="009074E1"/>
    <w:rsid w:val="009112F7"/>
    <w:rsid w:val="009122AF"/>
    <w:rsid w:val="00912D54"/>
    <w:rsid w:val="0091389F"/>
    <w:rsid w:val="00913C61"/>
    <w:rsid w:val="0091506E"/>
    <w:rsid w:val="00915E23"/>
    <w:rsid w:val="00916D88"/>
    <w:rsid w:val="00920551"/>
    <w:rsid w:val="009208F7"/>
    <w:rsid w:val="00921649"/>
    <w:rsid w:val="00922517"/>
    <w:rsid w:val="00922722"/>
    <w:rsid w:val="00923775"/>
    <w:rsid w:val="009261E6"/>
    <w:rsid w:val="009268E1"/>
    <w:rsid w:val="00926BEB"/>
    <w:rsid w:val="0093340F"/>
    <w:rsid w:val="009344DE"/>
    <w:rsid w:val="00937FF5"/>
    <w:rsid w:val="00942951"/>
    <w:rsid w:val="00945E7F"/>
    <w:rsid w:val="00951E04"/>
    <w:rsid w:val="009557C1"/>
    <w:rsid w:val="009602A9"/>
    <w:rsid w:val="00960D6E"/>
    <w:rsid w:val="0097056D"/>
    <w:rsid w:val="009715E0"/>
    <w:rsid w:val="00972334"/>
    <w:rsid w:val="00974B59"/>
    <w:rsid w:val="0098340B"/>
    <w:rsid w:val="009836B8"/>
    <w:rsid w:val="009836E1"/>
    <w:rsid w:val="009862A7"/>
    <w:rsid w:val="00986830"/>
    <w:rsid w:val="00987F31"/>
    <w:rsid w:val="009924C3"/>
    <w:rsid w:val="00992D3B"/>
    <w:rsid w:val="00993102"/>
    <w:rsid w:val="00993A35"/>
    <w:rsid w:val="00994C00"/>
    <w:rsid w:val="0099567F"/>
    <w:rsid w:val="009A169F"/>
    <w:rsid w:val="009A2933"/>
    <w:rsid w:val="009B1570"/>
    <w:rsid w:val="009B2286"/>
    <w:rsid w:val="009C5A8F"/>
    <w:rsid w:val="009C688F"/>
    <w:rsid w:val="009C6F10"/>
    <w:rsid w:val="009C7B02"/>
    <w:rsid w:val="009D1482"/>
    <w:rsid w:val="009D148F"/>
    <w:rsid w:val="009D3D70"/>
    <w:rsid w:val="009D47E7"/>
    <w:rsid w:val="009D7164"/>
    <w:rsid w:val="009D7527"/>
    <w:rsid w:val="009E00B0"/>
    <w:rsid w:val="009E0B84"/>
    <w:rsid w:val="009E2677"/>
    <w:rsid w:val="009E3952"/>
    <w:rsid w:val="009E5399"/>
    <w:rsid w:val="009E5783"/>
    <w:rsid w:val="009E6F7E"/>
    <w:rsid w:val="009E7A57"/>
    <w:rsid w:val="009F475F"/>
    <w:rsid w:val="009F4803"/>
    <w:rsid w:val="009F4F6A"/>
    <w:rsid w:val="00A01B5D"/>
    <w:rsid w:val="00A053F2"/>
    <w:rsid w:val="00A102E7"/>
    <w:rsid w:val="00A1328D"/>
    <w:rsid w:val="00A13EB5"/>
    <w:rsid w:val="00A16E36"/>
    <w:rsid w:val="00A24961"/>
    <w:rsid w:val="00A24B10"/>
    <w:rsid w:val="00A277EF"/>
    <w:rsid w:val="00A30E9B"/>
    <w:rsid w:val="00A315FA"/>
    <w:rsid w:val="00A336CC"/>
    <w:rsid w:val="00A4512D"/>
    <w:rsid w:val="00A50244"/>
    <w:rsid w:val="00A621F6"/>
    <w:rsid w:val="00A627D7"/>
    <w:rsid w:val="00A63584"/>
    <w:rsid w:val="00A656C7"/>
    <w:rsid w:val="00A66C78"/>
    <w:rsid w:val="00A705AF"/>
    <w:rsid w:val="00A71B33"/>
    <w:rsid w:val="00A72454"/>
    <w:rsid w:val="00A73C43"/>
    <w:rsid w:val="00A76C6E"/>
    <w:rsid w:val="00A77696"/>
    <w:rsid w:val="00A80557"/>
    <w:rsid w:val="00A81D33"/>
    <w:rsid w:val="00A8341C"/>
    <w:rsid w:val="00A930AE"/>
    <w:rsid w:val="00A9567F"/>
    <w:rsid w:val="00A962ED"/>
    <w:rsid w:val="00AA07AD"/>
    <w:rsid w:val="00AA1026"/>
    <w:rsid w:val="00AA1A95"/>
    <w:rsid w:val="00AA260F"/>
    <w:rsid w:val="00AA6BB9"/>
    <w:rsid w:val="00AA763E"/>
    <w:rsid w:val="00AB1799"/>
    <w:rsid w:val="00AB1EE7"/>
    <w:rsid w:val="00AB4B37"/>
    <w:rsid w:val="00AB5762"/>
    <w:rsid w:val="00AC1772"/>
    <w:rsid w:val="00AC2679"/>
    <w:rsid w:val="00AC3CA9"/>
    <w:rsid w:val="00AC4BE4"/>
    <w:rsid w:val="00AC6DC1"/>
    <w:rsid w:val="00AD05E6"/>
    <w:rsid w:val="00AD0D3F"/>
    <w:rsid w:val="00AD1897"/>
    <w:rsid w:val="00AD1B61"/>
    <w:rsid w:val="00AE14AA"/>
    <w:rsid w:val="00AE17DB"/>
    <w:rsid w:val="00AE1822"/>
    <w:rsid w:val="00AE1D7D"/>
    <w:rsid w:val="00AE2A8B"/>
    <w:rsid w:val="00AE3F64"/>
    <w:rsid w:val="00AE49C4"/>
    <w:rsid w:val="00AF7386"/>
    <w:rsid w:val="00AF7934"/>
    <w:rsid w:val="00B00B5C"/>
    <w:rsid w:val="00B00B81"/>
    <w:rsid w:val="00B04580"/>
    <w:rsid w:val="00B04B09"/>
    <w:rsid w:val="00B07150"/>
    <w:rsid w:val="00B10FAD"/>
    <w:rsid w:val="00B13E8C"/>
    <w:rsid w:val="00B15490"/>
    <w:rsid w:val="00B15DC0"/>
    <w:rsid w:val="00B16A51"/>
    <w:rsid w:val="00B1777B"/>
    <w:rsid w:val="00B2235C"/>
    <w:rsid w:val="00B2583E"/>
    <w:rsid w:val="00B25E1B"/>
    <w:rsid w:val="00B274B2"/>
    <w:rsid w:val="00B312EB"/>
    <w:rsid w:val="00B32222"/>
    <w:rsid w:val="00B32331"/>
    <w:rsid w:val="00B33228"/>
    <w:rsid w:val="00B3618D"/>
    <w:rsid w:val="00B36233"/>
    <w:rsid w:val="00B42851"/>
    <w:rsid w:val="00B45AC7"/>
    <w:rsid w:val="00B52A7E"/>
    <w:rsid w:val="00B52F88"/>
    <w:rsid w:val="00B5372F"/>
    <w:rsid w:val="00B61129"/>
    <w:rsid w:val="00B67E7F"/>
    <w:rsid w:val="00B77E48"/>
    <w:rsid w:val="00B82BF0"/>
    <w:rsid w:val="00B836F7"/>
    <w:rsid w:val="00B839B2"/>
    <w:rsid w:val="00B93D47"/>
    <w:rsid w:val="00B94252"/>
    <w:rsid w:val="00B9715A"/>
    <w:rsid w:val="00BA14BE"/>
    <w:rsid w:val="00BA2732"/>
    <w:rsid w:val="00BA293D"/>
    <w:rsid w:val="00BA49BC"/>
    <w:rsid w:val="00BA56B7"/>
    <w:rsid w:val="00BA61B1"/>
    <w:rsid w:val="00BA680F"/>
    <w:rsid w:val="00BA7A1E"/>
    <w:rsid w:val="00BB2F6C"/>
    <w:rsid w:val="00BB3875"/>
    <w:rsid w:val="00BB5860"/>
    <w:rsid w:val="00BB6AAD"/>
    <w:rsid w:val="00BC05BD"/>
    <w:rsid w:val="00BC3AB2"/>
    <w:rsid w:val="00BC4A19"/>
    <w:rsid w:val="00BC4E6D"/>
    <w:rsid w:val="00BD0617"/>
    <w:rsid w:val="00BD2E9B"/>
    <w:rsid w:val="00BD4839"/>
    <w:rsid w:val="00BD7FB2"/>
    <w:rsid w:val="00BF3E19"/>
    <w:rsid w:val="00BF5454"/>
    <w:rsid w:val="00BF7A1D"/>
    <w:rsid w:val="00C00930"/>
    <w:rsid w:val="00C035A0"/>
    <w:rsid w:val="00C060AD"/>
    <w:rsid w:val="00C065EF"/>
    <w:rsid w:val="00C06983"/>
    <w:rsid w:val="00C07FD8"/>
    <w:rsid w:val="00C113BF"/>
    <w:rsid w:val="00C11600"/>
    <w:rsid w:val="00C172D1"/>
    <w:rsid w:val="00C2176E"/>
    <w:rsid w:val="00C23430"/>
    <w:rsid w:val="00C27D67"/>
    <w:rsid w:val="00C4631F"/>
    <w:rsid w:val="00C47CDE"/>
    <w:rsid w:val="00C50E16"/>
    <w:rsid w:val="00C55258"/>
    <w:rsid w:val="00C64917"/>
    <w:rsid w:val="00C657EB"/>
    <w:rsid w:val="00C66734"/>
    <w:rsid w:val="00C70CE7"/>
    <w:rsid w:val="00C7749D"/>
    <w:rsid w:val="00C82EEB"/>
    <w:rsid w:val="00C93CB8"/>
    <w:rsid w:val="00C96C83"/>
    <w:rsid w:val="00C971DC"/>
    <w:rsid w:val="00CA16B7"/>
    <w:rsid w:val="00CA628D"/>
    <w:rsid w:val="00CA62AE"/>
    <w:rsid w:val="00CB5B1A"/>
    <w:rsid w:val="00CC0D6A"/>
    <w:rsid w:val="00CC1F03"/>
    <w:rsid w:val="00CC220B"/>
    <w:rsid w:val="00CC5C43"/>
    <w:rsid w:val="00CD02AE"/>
    <w:rsid w:val="00CD2A4F"/>
    <w:rsid w:val="00CD317C"/>
    <w:rsid w:val="00CE03CA"/>
    <w:rsid w:val="00CE065E"/>
    <w:rsid w:val="00CE22D5"/>
    <w:rsid w:val="00CE22F1"/>
    <w:rsid w:val="00CE50F2"/>
    <w:rsid w:val="00CE60AF"/>
    <w:rsid w:val="00CE6502"/>
    <w:rsid w:val="00CF20A9"/>
    <w:rsid w:val="00CF2943"/>
    <w:rsid w:val="00CF7D3C"/>
    <w:rsid w:val="00D01F09"/>
    <w:rsid w:val="00D05113"/>
    <w:rsid w:val="00D147EB"/>
    <w:rsid w:val="00D15F04"/>
    <w:rsid w:val="00D16C30"/>
    <w:rsid w:val="00D22CF3"/>
    <w:rsid w:val="00D34667"/>
    <w:rsid w:val="00D401E1"/>
    <w:rsid w:val="00D408B4"/>
    <w:rsid w:val="00D44EC3"/>
    <w:rsid w:val="00D524C8"/>
    <w:rsid w:val="00D5598D"/>
    <w:rsid w:val="00D57CE4"/>
    <w:rsid w:val="00D61A34"/>
    <w:rsid w:val="00D65CC9"/>
    <w:rsid w:val="00D67B8E"/>
    <w:rsid w:val="00D70E24"/>
    <w:rsid w:val="00D72B61"/>
    <w:rsid w:val="00D86900"/>
    <w:rsid w:val="00D91DE8"/>
    <w:rsid w:val="00DA12B9"/>
    <w:rsid w:val="00DA1743"/>
    <w:rsid w:val="00DA2199"/>
    <w:rsid w:val="00DA2EDB"/>
    <w:rsid w:val="00DA3D1D"/>
    <w:rsid w:val="00DA6D0F"/>
    <w:rsid w:val="00DB2E55"/>
    <w:rsid w:val="00DB6286"/>
    <w:rsid w:val="00DB645F"/>
    <w:rsid w:val="00DB76E9"/>
    <w:rsid w:val="00DC0A67"/>
    <w:rsid w:val="00DC1D5E"/>
    <w:rsid w:val="00DC3D11"/>
    <w:rsid w:val="00DC5220"/>
    <w:rsid w:val="00DC7225"/>
    <w:rsid w:val="00DD2061"/>
    <w:rsid w:val="00DD7DAB"/>
    <w:rsid w:val="00DE039C"/>
    <w:rsid w:val="00DE0C1C"/>
    <w:rsid w:val="00DE3355"/>
    <w:rsid w:val="00DF0C60"/>
    <w:rsid w:val="00DF17C1"/>
    <w:rsid w:val="00DF2D46"/>
    <w:rsid w:val="00DF3E83"/>
    <w:rsid w:val="00DF486F"/>
    <w:rsid w:val="00DF5B5B"/>
    <w:rsid w:val="00DF7619"/>
    <w:rsid w:val="00DF7652"/>
    <w:rsid w:val="00E042D8"/>
    <w:rsid w:val="00E06F88"/>
    <w:rsid w:val="00E07CF0"/>
    <w:rsid w:val="00E07EE7"/>
    <w:rsid w:val="00E10D34"/>
    <w:rsid w:val="00E1103B"/>
    <w:rsid w:val="00E12C93"/>
    <w:rsid w:val="00E12D00"/>
    <w:rsid w:val="00E13B68"/>
    <w:rsid w:val="00E17B44"/>
    <w:rsid w:val="00E2035A"/>
    <w:rsid w:val="00E20F27"/>
    <w:rsid w:val="00E215D8"/>
    <w:rsid w:val="00E22443"/>
    <w:rsid w:val="00E23F05"/>
    <w:rsid w:val="00E24D49"/>
    <w:rsid w:val="00E27FEA"/>
    <w:rsid w:val="00E323B6"/>
    <w:rsid w:val="00E333E0"/>
    <w:rsid w:val="00E36A43"/>
    <w:rsid w:val="00E370CA"/>
    <w:rsid w:val="00E4086F"/>
    <w:rsid w:val="00E43B3C"/>
    <w:rsid w:val="00E46AC8"/>
    <w:rsid w:val="00E50188"/>
    <w:rsid w:val="00E50BB3"/>
    <w:rsid w:val="00E515CB"/>
    <w:rsid w:val="00E5166C"/>
    <w:rsid w:val="00E52260"/>
    <w:rsid w:val="00E639B6"/>
    <w:rsid w:val="00E6434B"/>
    <w:rsid w:val="00E6463D"/>
    <w:rsid w:val="00E67A8D"/>
    <w:rsid w:val="00E72E9B"/>
    <w:rsid w:val="00E753CA"/>
    <w:rsid w:val="00E850C3"/>
    <w:rsid w:val="00E87DF2"/>
    <w:rsid w:val="00E90279"/>
    <w:rsid w:val="00E92B1B"/>
    <w:rsid w:val="00E9462E"/>
    <w:rsid w:val="00EA1428"/>
    <w:rsid w:val="00EA470E"/>
    <w:rsid w:val="00EA47A7"/>
    <w:rsid w:val="00EA57EB"/>
    <w:rsid w:val="00EB278F"/>
    <w:rsid w:val="00EB3226"/>
    <w:rsid w:val="00EC1E75"/>
    <w:rsid w:val="00EC213A"/>
    <w:rsid w:val="00EC4B60"/>
    <w:rsid w:val="00EC7744"/>
    <w:rsid w:val="00ED0DAD"/>
    <w:rsid w:val="00ED0F46"/>
    <w:rsid w:val="00ED1CF6"/>
    <w:rsid w:val="00ED2373"/>
    <w:rsid w:val="00EE229A"/>
    <w:rsid w:val="00EE3E8A"/>
    <w:rsid w:val="00EF2494"/>
    <w:rsid w:val="00EF24F4"/>
    <w:rsid w:val="00EF58B8"/>
    <w:rsid w:val="00EF6ECA"/>
    <w:rsid w:val="00F0070A"/>
    <w:rsid w:val="00F024E1"/>
    <w:rsid w:val="00F06C10"/>
    <w:rsid w:val="00F1096F"/>
    <w:rsid w:val="00F12589"/>
    <w:rsid w:val="00F12595"/>
    <w:rsid w:val="00F12DA4"/>
    <w:rsid w:val="00F134D9"/>
    <w:rsid w:val="00F1403D"/>
    <w:rsid w:val="00F1463F"/>
    <w:rsid w:val="00F21302"/>
    <w:rsid w:val="00F2364A"/>
    <w:rsid w:val="00F321DE"/>
    <w:rsid w:val="00F33777"/>
    <w:rsid w:val="00F36FD3"/>
    <w:rsid w:val="00F40648"/>
    <w:rsid w:val="00F47DA2"/>
    <w:rsid w:val="00F519FC"/>
    <w:rsid w:val="00F51F57"/>
    <w:rsid w:val="00F5773C"/>
    <w:rsid w:val="00F6239D"/>
    <w:rsid w:val="00F6284F"/>
    <w:rsid w:val="00F642AA"/>
    <w:rsid w:val="00F66828"/>
    <w:rsid w:val="00F678E2"/>
    <w:rsid w:val="00F715D2"/>
    <w:rsid w:val="00F7274F"/>
    <w:rsid w:val="00F72F68"/>
    <w:rsid w:val="00F73227"/>
    <w:rsid w:val="00F743C2"/>
    <w:rsid w:val="00F74E84"/>
    <w:rsid w:val="00F76FA8"/>
    <w:rsid w:val="00F82319"/>
    <w:rsid w:val="00F85F38"/>
    <w:rsid w:val="00F93F08"/>
    <w:rsid w:val="00F9476F"/>
    <w:rsid w:val="00F94CED"/>
    <w:rsid w:val="00F9613E"/>
    <w:rsid w:val="00FA02BB"/>
    <w:rsid w:val="00FA2CEE"/>
    <w:rsid w:val="00FA318C"/>
    <w:rsid w:val="00FA3845"/>
    <w:rsid w:val="00FB2606"/>
    <w:rsid w:val="00FB6DC4"/>
    <w:rsid w:val="00FB6F92"/>
    <w:rsid w:val="00FC026E"/>
    <w:rsid w:val="00FC0423"/>
    <w:rsid w:val="00FC2173"/>
    <w:rsid w:val="00FC5124"/>
    <w:rsid w:val="00FD0FAD"/>
    <w:rsid w:val="00FD4731"/>
    <w:rsid w:val="00FD6768"/>
    <w:rsid w:val="00FE0972"/>
    <w:rsid w:val="00FE09CC"/>
    <w:rsid w:val="00FE1C35"/>
    <w:rsid w:val="00FF0AB0"/>
    <w:rsid w:val="00FF28AC"/>
    <w:rsid w:val="00FF7F62"/>
    <w:rsid w:val="0148B4A5"/>
    <w:rsid w:val="014EDC2B"/>
    <w:rsid w:val="01550817"/>
    <w:rsid w:val="01DC9F7F"/>
    <w:rsid w:val="02D3367D"/>
    <w:rsid w:val="0336E8B6"/>
    <w:rsid w:val="033BE97F"/>
    <w:rsid w:val="035218F9"/>
    <w:rsid w:val="03D3429F"/>
    <w:rsid w:val="0522C478"/>
    <w:rsid w:val="054668A0"/>
    <w:rsid w:val="06869650"/>
    <w:rsid w:val="06C668FC"/>
    <w:rsid w:val="071BA41D"/>
    <w:rsid w:val="07514041"/>
    <w:rsid w:val="0752C7E2"/>
    <w:rsid w:val="077591AE"/>
    <w:rsid w:val="07D5B4DA"/>
    <w:rsid w:val="07E6D1F1"/>
    <w:rsid w:val="080975C0"/>
    <w:rsid w:val="08163A1C"/>
    <w:rsid w:val="087DB8E4"/>
    <w:rsid w:val="08928751"/>
    <w:rsid w:val="08D08E85"/>
    <w:rsid w:val="09306AEE"/>
    <w:rsid w:val="09548D6A"/>
    <w:rsid w:val="09C11094"/>
    <w:rsid w:val="09E3FCB8"/>
    <w:rsid w:val="0A29C18D"/>
    <w:rsid w:val="0A55E35F"/>
    <w:rsid w:val="0A5AA6EC"/>
    <w:rsid w:val="0A9A6D61"/>
    <w:rsid w:val="0AF24BD5"/>
    <w:rsid w:val="0B054996"/>
    <w:rsid w:val="0B4B8140"/>
    <w:rsid w:val="0B50D3EC"/>
    <w:rsid w:val="0B54E444"/>
    <w:rsid w:val="0C5420AB"/>
    <w:rsid w:val="0C68A994"/>
    <w:rsid w:val="0CAC5C05"/>
    <w:rsid w:val="0CE6BA51"/>
    <w:rsid w:val="0D7221C2"/>
    <w:rsid w:val="0E1A0DDF"/>
    <w:rsid w:val="0FE78D5D"/>
    <w:rsid w:val="100F0756"/>
    <w:rsid w:val="10458A57"/>
    <w:rsid w:val="106F7013"/>
    <w:rsid w:val="107A9ECC"/>
    <w:rsid w:val="109CCD42"/>
    <w:rsid w:val="1173A80F"/>
    <w:rsid w:val="11A9F31D"/>
    <w:rsid w:val="11C7D930"/>
    <w:rsid w:val="12039CE9"/>
    <w:rsid w:val="128F1DCA"/>
    <w:rsid w:val="12912572"/>
    <w:rsid w:val="12A8CB56"/>
    <w:rsid w:val="130E13A6"/>
    <w:rsid w:val="13742645"/>
    <w:rsid w:val="14BAE835"/>
    <w:rsid w:val="14DBF525"/>
    <w:rsid w:val="153EFC51"/>
    <w:rsid w:val="1545D556"/>
    <w:rsid w:val="15FCF05F"/>
    <w:rsid w:val="16022548"/>
    <w:rsid w:val="16320CA8"/>
    <w:rsid w:val="1650B3B8"/>
    <w:rsid w:val="16A9A007"/>
    <w:rsid w:val="16D38807"/>
    <w:rsid w:val="173C8F0D"/>
    <w:rsid w:val="17A56AFA"/>
    <w:rsid w:val="17ABA875"/>
    <w:rsid w:val="1820E7A7"/>
    <w:rsid w:val="182B0264"/>
    <w:rsid w:val="18AE26DA"/>
    <w:rsid w:val="18C9F357"/>
    <w:rsid w:val="18DFA436"/>
    <w:rsid w:val="193D07E5"/>
    <w:rsid w:val="19675C5A"/>
    <w:rsid w:val="19B244A8"/>
    <w:rsid w:val="19B2B277"/>
    <w:rsid w:val="1A8CBEE2"/>
    <w:rsid w:val="1B823545"/>
    <w:rsid w:val="1BBADC71"/>
    <w:rsid w:val="1BDDE13C"/>
    <w:rsid w:val="1BDE07FB"/>
    <w:rsid w:val="1C048BE3"/>
    <w:rsid w:val="1C9A46D0"/>
    <w:rsid w:val="1CAD98FB"/>
    <w:rsid w:val="1CCDA62F"/>
    <w:rsid w:val="1CD67B21"/>
    <w:rsid w:val="1CE909FA"/>
    <w:rsid w:val="1D1D4AC7"/>
    <w:rsid w:val="1D334A59"/>
    <w:rsid w:val="1D675C56"/>
    <w:rsid w:val="1DC4AE0C"/>
    <w:rsid w:val="1DCE009A"/>
    <w:rsid w:val="1E03D817"/>
    <w:rsid w:val="1E0EA08D"/>
    <w:rsid w:val="1E811142"/>
    <w:rsid w:val="1EF43B45"/>
    <w:rsid w:val="1F2E1D20"/>
    <w:rsid w:val="1F69D0FB"/>
    <w:rsid w:val="1FB0F314"/>
    <w:rsid w:val="2011255A"/>
    <w:rsid w:val="20165C87"/>
    <w:rsid w:val="20AE1CB1"/>
    <w:rsid w:val="20B6512C"/>
    <w:rsid w:val="20D18225"/>
    <w:rsid w:val="20EDADCC"/>
    <w:rsid w:val="21E6E6AC"/>
    <w:rsid w:val="2208CFC0"/>
    <w:rsid w:val="225D3BA0"/>
    <w:rsid w:val="229E6175"/>
    <w:rsid w:val="22DBA8C4"/>
    <w:rsid w:val="230EC329"/>
    <w:rsid w:val="2383EF7E"/>
    <w:rsid w:val="2394B8F2"/>
    <w:rsid w:val="23CDC142"/>
    <w:rsid w:val="2403E48F"/>
    <w:rsid w:val="2436319E"/>
    <w:rsid w:val="24B6FB6C"/>
    <w:rsid w:val="24CE7D67"/>
    <w:rsid w:val="24F41461"/>
    <w:rsid w:val="25AEE8B6"/>
    <w:rsid w:val="25E1F45B"/>
    <w:rsid w:val="2611677E"/>
    <w:rsid w:val="2695B20A"/>
    <w:rsid w:val="2709B268"/>
    <w:rsid w:val="27BEBD01"/>
    <w:rsid w:val="27D07068"/>
    <w:rsid w:val="28145D50"/>
    <w:rsid w:val="28159D6B"/>
    <w:rsid w:val="28DBD815"/>
    <w:rsid w:val="29AB5B4F"/>
    <w:rsid w:val="29B4BBF0"/>
    <w:rsid w:val="29CF8754"/>
    <w:rsid w:val="29D6C268"/>
    <w:rsid w:val="2A3583E6"/>
    <w:rsid w:val="2AE6F4B1"/>
    <w:rsid w:val="2B2621D1"/>
    <w:rsid w:val="2B56FB25"/>
    <w:rsid w:val="2C401694"/>
    <w:rsid w:val="2CDDA92A"/>
    <w:rsid w:val="2D1EE13F"/>
    <w:rsid w:val="2EBB4A85"/>
    <w:rsid w:val="2F351DAA"/>
    <w:rsid w:val="305E0D51"/>
    <w:rsid w:val="30F5673C"/>
    <w:rsid w:val="31C6A9D5"/>
    <w:rsid w:val="31F607B0"/>
    <w:rsid w:val="3220B587"/>
    <w:rsid w:val="3228ECCC"/>
    <w:rsid w:val="32F07F71"/>
    <w:rsid w:val="32FE811D"/>
    <w:rsid w:val="3333519B"/>
    <w:rsid w:val="335A4826"/>
    <w:rsid w:val="33842ED4"/>
    <w:rsid w:val="3400E243"/>
    <w:rsid w:val="342BF0E1"/>
    <w:rsid w:val="34385485"/>
    <w:rsid w:val="3530890C"/>
    <w:rsid w:val="35E02FCD"/>
    <w:rsid w:val="36180199"/>
    <w:rsid w:val="3645D2C2"/>
    <w:rsid w:val="373228F2"/>
    <w:rsid w:val="37556740"/>
    <w:rsid w:val="3759133A"/>
    <w:rsid w:val="38067505"/>
    <w:rsid w:val="3817F4D3"/>
    <w:rsid w:val="381ADF7C"/>
    <w:rsid w:val="382A4B83"/>
    <w:rsid w:val="383EEE76"/>
    <w:rsid w:val="3849642A"/>
    <w:rsid w:val="384B999D"/>
    <w:rsid w:val="386D968E"/>
    <w:rsid w:val="390236A8"/>
    <w:rsid w:val="3995B05D"/>
    <w:rsid w:val="39A46F66"/>
    <w:rsid w:val="39A8C72E"/>
    <w:rsid w:val="39B27F19"/>
    <w:rsid w:val="39DA11A1"/>
    <w:rsid w:val="3A0171A1"/>
    <w:rsid w:val="3A43AD2C"/>
    <w:rsid w:val="3A8F2EC3"/>
    <w:rsid w:val="3B5D341F"/>
    <w:rsid w:val="3C22289D"/>
    <w:rsid w:val="3C2B4FDE"/>
    <w:rsid w:val="3C4B3DE6"/>
    <w:rsid w:val="3C84B5C5"/>
    <w:rsid w:val="3CA63457"/>
    <w:rsid w:val="3CB300AE"/>
    <w:rsid w:val="3D2BDD9E"/>
    <w:rsid w:val="3D522951"/>
    <w:rsid w:val="3D559F14"/>
    <w:rsid w:val="3D5F91EA"/>
    <w:rsid w:val="3E51E643"/>
    <w:rsid w:val="3E71577A"/>
    <w:rsid w:val="3E841DC5"/>
    <w:rsid w:val="3EA07512"/>
    <w:rsid w:val="3F123FA2"/>
    <w:rsid w:val="3F43ED66"/>
    <w:rsid w:val="3F61756E"/>
    <w:rsid w:val="400843E9"/>
    <w:rsid w:val="40578AC8"/>
    <w:rsid w:val="40681BBF"/>
    <w:rsid w:val="40A8D4D4"/>
    <w:rsid w:val="40F637D1"/>
    <w:rsid w:val="41027625"/>
    <w:rsid w:val="41514C80"/>
    <w:rsid w:val="41C48D64"/>
    <w:rsid w:val="420B7C2C"/>
    <w:rsid w:val="4272ECB0"/>
    <w:rsid w:val="427FBD5B"/>
    <w:rsid w:val="42BD11FF"/>
    <w:rsid w:val="43679458"/>
    <w:rsid w:val="4367D25A"/>
    <w:rsid w:val="44183210"/>
    <w:rsid w:val="444E0FE5"/>
    <w:rsid w:val="44923319"/>
    <w:rsid w:val="4498359B"/>
    <w:rsid w:val="44B9D16E"/>
    <w:rsid w:val="44E6C635"/>
    <w:rsid w:val="44F8A86C"/>
    <w:rsid w:val="455B992A"/>
    <w:rsid w:val="45795864"/>
    <w:rsid w:val="45C992D2"/>
    <w:rsid w:val="45FA1DCF"/>
    <w:rsid w:val="46095441"/>
    <w:rsid w:val="46174219"/>
    <w:rsid w:val="462EF672"/>
    <w:rsid w:val="46A6AB26"/>
    <w:rsid w:val="46B07853"/>
    <w:rsid w:val="46B7B334"/>
    <w:rsid w:val="474FFF34"/>
    <w:rsid w:val="477B4D6F"/>
    <w:rsid w:val="479DBD65"/>
    <w:rsid w:val="47FB1C9F"/>
    <w:rsid w:val="4821D278"/>
    <w:rsid w:val="484073B7"/>
    <w:rsid w:val="4843D695"/>
    <w:rsid w:val="4850A8A9"/>
    <w:rsid w:val="48629CAD"/>
    <w:rsid w:val="49F82030"/>
    <w:rsid w:val="4A097408"/>
    <w:rsid w:val="4A489BEB"/>
    <w:rsid w:val="4C79B8AF"/>
    <w:rsid w:val="4C8A8A0B"/>
    <w:rsid w:val="4CA2F18E"/>
    <w:rsid w:val="4D80F8D0"/>
    <w:rsid w:val="4E1798C0"/>
    <w:rsid w:val="4EB45E5D"/>
    <w:rsid w:val="4EEAEF41"/>
    <w:rsid w:val="4F29725A"/>
    <w:rsid w:val="4F7533C6"/>
    <w:rsid w:val="50486CFA"/>
    <w:rsid w:val="5076AD53"/>
    <w:rsid w:val="514F17A9"/>
    <w:rsid w:val="515B75B5"/>
    <w:rsid w:val="51BBC1BF"/>
    <w:rsid w:val="522EE975"/>
    <w:rsid w:val="52682FC4"/>
    <w:rsid w:val="52848B75"/>
    <w:rsid w:val="52A631CB"/>
    <w:rsid w:val="52AFC37A"/>
    <w:rsid w:val="52E5025B"/>
    <w:rsid w:val="531306E3"/>
    <w:rsid w:val="53592A7E"/>
    <w:rsid w:val="539DDC77"/>
    <w:rsid w:val="5433FD9E"/>
    <w:rsid w:val="5496051A"/>
    <w:rsid w:val="54DBDD65"/>
    <w:rsid w:val="54FA922A"/>
    <w:rsid w:val="55DFB26B"/>
    <w:rsid w:val="561AB5E2"/>
    <w:rsid w:val="563BA369"/>
    <w:rsid w:val="58025EF1"/>
    <w:rsid w:val="58249159"/>
    <w:rsid w:val="585CB30F"/>
    <w:rsid w:val="586AACCA"/>
    <w:rsid w:val="58BBE288"/>
    <w:rsid w:val="58CD9A3D"/>
    <w:rsid w:val="58ED0821"/>
    <w:rsid w:val="58F99137"/>
    <w:rsid w:val="594D4037"/>
    <w:rsid w:val="599137E1"/>
    <w:rsid w:val="59F42933"/>
    <w:rsid w:val="5A3FE752"/>
    <w:rsid w:val="5A43662D"/>
    <w:rsid w:val="5A60DD61"/>
    <w:rsid w:val="5AD16AA4"/>
    <w:rsid w:val="5AEB324E"/>
    <w:rsid w:val="5BFF7187"/>
    <w:rsid w:val="5C8064DD"/>
    <w:rsid w:val="5C806B23"/>
    <w:rsid w:val="5E35A205"/>
    <w:rsid w:val="5E6C6AD4"/>
    <w:rsid w:val="5E975F85"/>
    <w:rsid w:val="5EA40C93"/>
    <w:rsid w:val="5EC71AFE"/>
    <w:rsid w:val="5F1690D0"/>
    <w:rsid w:val="5F74197D"/>
    <w:rsid w:val="5FE57E30"/>
    <w:rsid w:val="6054E869"/>
    <w:rsid w:val="608E7B37"/>
    <w:rsid w:val="61B628D7"/>
    <w:rsid w:val="62128488"/>
    <w:rsid w:val="62344753"/>
    <w:rsid w:val="6276AAE6"/>
    <w:rsid w:val="62FA7050"/>
    <w:rsid w:val="6391D141"/>
    <w:rsid w:val="63A8B75E"/>
    <w:rsid w:val="63AEFF07"/>
    <w:rsid w:val="6456FFBE"/>
    <w:rsid w:val="65E44E43"/>
    <w:rsid w:val="65E7F8BB"/>
    <w:rsid w:val="665937E5"/>
    <w:rsid w:val="665F8814"/>
    <w:rsid w:val="668EE661"/>
    <w:rsid w:val="66C2ED7A"/>
    <w:rsid w:val="673889A9"/>
    <w:rsid w:val="68485FAD"/>
    <w:rsid w:val="68710202"/>
    <w:rsid w:val="68E9E765"/>
    <w:rsid w:val="68EAFDE0"/>
    <w:rsid w:val="69683447"/>
    <w:rsid w:val="69B86339"/>
    <w:rsid w:val="6A0C23BE"/>
    <w:rsid w:val="6A7A1E69"/>
    <w:rsid w:val="6B2F4E7C"/>
    <w:rsid w:val="6BC31C30"/>
    <w:rsid w:val="6BC4EB81"/>
    <w:rsid w:val="6C3D7A14"/>
    <w:rsid w:val="6D5D7C61"/>
    <w:rsid w:val="6DC922C6"/>
    <w:rsid w:val="6DF14736"/>
    <w:rsid w:val="6DFB92CE"/>
    <w:rsid w:val="707297BC"/>
    <w:rsid w:val="7075EA63"/>
    <w:rsid w:val="713499D0"/>
    <w:rsid w:val="7182508C"/>
    <w:rsid w:val="720BC043"/>
    <w:rsid w:val="721B554D"/>
    <w:rsid w:val="724B3551"/>
    <w:rsid w:val="726B2EA9"/>
    <w:rsid w:val="72A824AD"/>
    <w:rsid w:val="72EB463C"/>
    <w:rsid w:val="731546FA"/>
    <w:rsid w:val="73D4E329"/>
    <w:rsid w:val="741E0E45"/>
    <w:rsid w:val="746E53C4"/>
    <w:rsid w:val="74B8493B"/>
    <w:rsid w:val="74DA0423"/>
    <w:rsid w:val="75037D38"/>
    <w:rsid w:val="75557817"/>
    <w:rsid w:val="755E1094"/>
    <w:rsid w:val="76246685"/>
    <w:rsid w:val="7645A648"/>
    <w:rsid w:val="76A80B80"/>
    <w:rsid w:val="76AA6D03"/>
    <w:rsid w:val="76EE3CA3"/>
    <w:rsid w:val="7725B603"/>
    <w:rsid w:val="77CDFBEA"/>
    <w:rsid w:val="781DA18E"/>
    <w:rsid w:val="788B85B6"/>
    <w:rsid w:val="788D8A97"/>
    <w:rsid w:val="7898F7BD"/>
    <w:rsid w:val="796247B3"/>
    <w:rsid w:val="79AE8E11"/>
    <w:rsid w:val="79BC851E"/>
    <w:rsid w:val="79C81968"/>
    <w:rsid w:val="7A260E4C"/>
    <w:rsid w:val="7A2F6D4B"/>
    <w:rsid w:val="7A837416"/>
    <w:rsid w:val="7A8BDE95"/>
    <w:rsid w:val="7B9BE0BE"/>
    <w:rsid w:val="7C415744"/>
    <w:rsid w:val="7CBD4EE6"/>
    <w:rsid w:val="7CD24E60"/>
    <w:rsid w:val="7CD98E47"/>
    <w:rsid w:val="7D37B11F"/>
    <w:rsid w:val="7D480D17"/>
    <w:rsid w:val="7D5DA70D"/>
    <w:rsid w:val="7DA76583"/>
    <w:rsid w:val="7E865A90"/>
    <w:rsid w:val="7EBFE538"/>
    <w:rsid w:val="7ED7E2D5"/>
    <w:rsid w:val="7EE51AAC"/>
    <w:rsid w:val="7EE64CF1"/>
    <w:rsid w:val="7F160645"/>
    <w:rsid w:val="7F27FA90"/>
    <w:rsid w:val="7FD84D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F94B4"/>
  <w15:docId w15:val="{664BD005-8033-4B19-B65D-05B56375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D6B0F"/>
    <w:pPr>
      <w:spacing w:before="120" w:after="60" w:line="360" w:lineRule="auto"/>
    </w:pPr>
    <w:rPr>
      <w:rFonts w:ascii="Arial" w:eastAsia="Arial" w:hAnsi="Arial" w:cs="Arial"/>
      <w:color w:val="000000" w:themeColor="text1"/>
      <w:sz w:val="22"/>
      <w:szCs w:val="24"/>
      <w:lang w:eastAsia="en-US"/>
    </w:rPr>
  </w:style>
  <w:style w:type="paragraph" w:styleId="Heading1">
    <w:name w:val="heading 1"/>
    <w:basedOn w:val="Normal"/>
    <w:next w:val="Normal"/>
    <w:uiPriority w:val="9"/>
    <w:qFormat/>
    <w:rsid w:val="005D6B0F"/>
    <w:pPr>
      <w:numPr>
        <w:numId w:val="28"/>
      </w:numPr>
      <w:shd w:val="clear" w:color="auto" w:fill="FFFFFF"/>
      <w:spacing w:after="120"/>
      <w:ind w:left="431" w:hanging="431"/>
      <w:outlineLvl w:val="0"/>
    </w:pPr>
    <w:rPr>
      <w:rFonts w:ascii="Open Sans" w:hAnsi="Open Sans" w:cs="Open Sans"/>
      <w:color w:val="000000"/>
      <w:sz w:val="36"/>
      <w:szCs w:val="36"/>
      <w:lang w:eastAsia="en-AU"/>
    </w:rPr>
  </w:style>
  <w:style w:type="paragraph" w:styleId="Heading2">
    <w:name w:val="heading 2"/>
    <w:basedOn w:val="Heading1"/>
    <w:next w:val="Paragraphtext"/>
    <w:link w:val="Heading2Char"/>
    <w:uiPriority w:val="9"/>
    <w:qFormat/>
    <w:rsid w:val="005D6B0F"/>
    <w:pPr>
      <w:numPr>
        <w:ilvl w:val="1"/>
      </w:numPr>
      <w:outlineLvl w:val="1"/>
    </w:pPr>
    <w:rPr>
      <w:sz w:val="28"/>
      <w:szCs w:val="27"/>
    </w:rPr>
  </w:style>
  <w:style w:type="paragraph" w:styleId="Heading3">
    <w:name w:val="heading 3"/>
    <w:basedOn w:val="Heading2"/>
    <w:next w:val="Normal"/>
    <w:link w:val="Heading3Char"/>
    <w:uiPriority w:val="9"/>
    <w:qFormat/>
    <w:rsid w:val="005D6B0F"/>
    <w:pPr>
      <w:keepNext/>
      <w:numPr>
        <w:ilvl w:val="2"/>
      </w:numPr>
      <w:ind w:left="0" w:firstLine="0"/>
      <w:outlineLvl w:val="2"/>
    </w:pPr>
    <w:rPr>
      <w:rFonts w:eastAsia="Helvetica"/>
      <w:sz w:val="24"/>
    </w:rPr>
  </w:style>
  <w:style w:type="paragraph" w:styleId="Heading4">
    <w:name w:val="heading 4"/>
    <w:basedOn w:val="Heading3"/>
    <w:next w:val="Normal"/>
    <w:link w:val="Heading4Char"/>
    <w:uiPriority w:val="9"/>
    <w:qFormat/>
    <w:rsid w:val="008648B5"/>
    <w:pPr>
      <w:numPr>
        <w:ilvl w:val="3"/>
      </w:numPr>
      <w:ind w:left="862" w:hanging="862"/>
      <w:outlineLvl w:val="3"/>
    </w:pPr>
    <w:rPr>
      <w:bCs/>
      <w:color w:val="414141"/>
      <w:szCs w:val="28"/>
    </w:rPr>
  </w:style>
  <w:style w:type="paragraph" w:styleId="Heading5">
    <w:name w:val="heading 5"/>
    <w:basedOn w:val="Normal"/>
    <w:next w:val="Normal"/>
    <w:link w:val="Heading5Char"/>
    <w:uiPriority w:val="9"/>
    <w:qFormat/>
    <w:rsid w:val="00A705AF"/>
    <w:pPr>
      <w:keepNext/>
      <w:numPr>
        <w:ilvl w:val="4"/>
        <w:numId w:val="28"/>
      </w:numPr>
      <w:spacing w:before="240"/>
      <w:outlineLvl w:val="4"/>
    </w:pPr>
    <w:rPr>
      <w:b/>
      <w:bCs/>
      <w:iCs/>
      <w:szCs w:val="26"/>
    </w:rPr>
  </w:style>
  <w:style w:type="paragraph" w:styleId="Heading6">
    <w:name w:val="heading 6"/>
    <w:basedOn w:val="Normal"/>
    <w:next w:val="Normal"/>
    <w:rsid w:val="00A705AF"/>
    <w:pPr>
      <w:keepNext/>
      <w:numPr>
        <w:ilvl w:val="5"/>
        <w:numId w:val="28"/>
      </w:numPr>
      <w:spacing w:before="240"/>
      <w:outlineLvl w:val="5"/>
    </w:pPr>
    <w:rPr>
      <w:b/>
      <w:bCs/>
      <w:i/>
      <w:szCs w:val="22"/>
    </w:rPr>
  </w:style>
  <w:style w:type="paragraph" w:styleId="Heading7">
    <w:name w:val="heading 7"/>
    <w:basedOn w:val="Normal"/>
    <w:next w:val="Normal"/>
    <w:link w:val="Heading7Char"/>
    <w:semiHidden/>
    <w:unhideWhenUsed/>
    <w:rsid w:val="00485DAB"/>
    <w:pPr>
      <w:keepNext/>
      <w:keepLines/>
      <w:numPr>
        <w:ilvl w:val="6"/>
        <w:numId w:val="28"/>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485DAB"/>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85DAB"/>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78771F"/>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Title"/>
    <w:next w:val="Normal"/>
    <w:link w:val="SubtitleChar"/>
    <w:qFormat/>
    <w:rsid w:val="005D6B0F"/>
    <w:pPr>
      <w:numPr>
        <w:ilvl w:val="1"/>
      </w:numPr>
    </w:pPr>
    <w:rPr>
      <w:b w:val="0"/>
      <w:iCs/>
      <w:spacing w:val="15"/>
      <w:sz w:val="40"/>
      <w:szCs w:val="24"/>
    </w:rPr>
  </w:style>
  <w:style w:type="character" w:customStyle="1" w:styleId="SubtitleChar">
    <w:name w:val="Subtitle Char"/>
    <w:basedOn w:val="DefaultParagraphFont"/>
    <w:link w:val="Subtitle"/>
    <w:rsid w:val="005D6B0F"/>
    <w:rPr>
      <w:rFonts w:ascii="Arial" w:eastAsiaTheme="majorEastAsia" w:hAnsi="Arial" w:cs="Arial"/>
      <w:iCs/>
      <w:spacing w:val="15"/>
      <w:kern w:val="28"/>
      <w:sz w:val="40"/>
      <w:szCs w:val="24"/>
      <w:lang w:eastAsia="en-US"/>
    </w:rPr>
  </w:style>
  <w:style w:type="paragraph" w:styleId="Title">
    <w:name w:val="Title"/>
    <w:next w:val="Paragraphtext"/>
    <w:link w:val="TitleChar"/>
    <w:qFormat/>
    <w:rsid w:val="005D6B0F"/>
    <w:pPr>
      <w:spacing w:before="120" w:after="120"/>
    </w:pPr>
    <w:rPr>
      <w:rFonts w:ascii="Arial" w:eastAsiaTheme="majorEastAsia" w:hAnsi="Arial" w:cs="Arial"/>
      <w:b/>
      <w:kern w:val="28"/>
      <w:sz w:val="48"/>
      <w:szCs w:val="52"/>
      <w:lang w:eastAsia="en-US"/>
    </w:rPr>
  </w:style>
  <w:style w:type="character" w:customStyle="1" w:styleId="TitleChar">
    <w:name w:val="Title Char"/>
    <w:basedOn w:val="DefaultParagraphFont"/>
    <w:link w:val="Title"/>
    <w:rsid w:val="005D6B0F"/>
    <w:rPr>
      <w:rFonts w:ascii="Arial" w:eastAsiaTheme="majorEastAsia" w:hAnsi="Arial" w:cs="Arial"/>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2"/>
      </w:numPr>
      <w:ind w:left="568" w:hanging="284"/>
    </w:pPr>
  </w:style>
  <w:style w:type="paragraph" w:styleId="ListNumber2">
    <w:name w:val="List Number 2"/>
    <w:basedOn w:val="ListBullet"/>
    <w:qFormat/>
    <w:rsid w:val="0048593C"/>
    <w:pPr>
      <w:numPr>
        <w:numId w:val="25"/>
      </w:numPr>
    </w:pPr>
  </w:style>
  <w:style w:type="paragraph" w:styleId="ListBullet">
    <w:name w:val="List Bullet"/>
    <w:basedOn w:val="Normal"/>
    <w:qFormat/>
    <w:rsid w:val="0048593C"/>
    <w:pPr>
      <w:numPr>
        <w:numId w:val="23"/>
      </w:numPr>
      <w:spacing w:before="60"/>
    </w:pPr>
    <w:rPr>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8"/>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D6B0F"/>
    <w:pPr>
      <w:spacing w:before="60" w:after="60"/>
    </w:pPr>
    <w:rPr>
      <w:rFonts w:ascii="Arial" w:hAnsi="Arial" w:cs="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b/>
      <w:sz w:val="20"/>
    </w:rPr>
  </w:style>
  <w:style w:type="paragraph" w:customStyle="1" w:styleId="FigureTitle">
    <w:name w:val="Figure Title"/>
    <w:basedOn w:val="Normal"/>
    <w:next w:val="Paragraphtext"/>
    <w:qFormat/>
    <w:rsid w:val="00DA3D1D"/>
    <w:rPr>
      <w:b/>
      <w:bCs/>
      <w:iCs/>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9"/>
      </w:numPr>
      <w:ind w:left="284" w:hanging="284"/>
    </w:pPr>
    <w:rPr>
      <w:szCs w:val="20"/>
    </w:rPr>
  </w:style>
  <w:style w:type="paragraph" w:customStyle="1" w:styleId="Tablelistnumber">
    <w:name w:val="Table list number"/>
    <w:basedOn w:val="TableText"/>
    <w:qFormat/>
    <w:rsid w:val="00DD2061"/>
    <w:pPr>
      <w:numPr>
        <w:numId w:val="10"/>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qFormat/>
    <w:rsid w:val="00485DAB"/>
    <w:pPr>
      <w:spacing w:after="240" w:line="360" w:lineRule="auto"/>
    </w:pPr>
    <w:rPr>
      <w:rFonts w:ascii="Arial" w:eastAsiaTheme="majorEastAsia" w:hAnsi="Arial" w:cstheme="majorBidi"/>
      <w:color w:val="000000" w:themeColor="text1"/>
      <w:kern w:val="28"/>
      <w:sz w:val="28"/>
      <w:szCs w:val="52"/>
      <w:lang w:eastAsia="en-US"/>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pPr>
    <w:rPr>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5D6B0F"/>
    <w:rPr>
      <w:rFonts w:ascii="Open Sans" w:eastAsia="Arial" w:hAnsi="Open Sans" w:cs="Open Sans"/>
      <w:color w:val="000000"/>
      <w:sz w:val="28"/>
      <w:szCs w:val="27"/>
      <w:shd w:val="clear" w:color="auto" w:fill="FFFFFF"/>
    </w:rPr>
  </w:style>
  <w:style w:type="character" w:customStyle="1" w:styleId="Heading3Char">
    <w:name w:val="Heading 3 Char"/>
    <w:basedOn w:val="DefaultParagraphFont"/>
    <w:link w:val="Heading3"/>
    <w:uiPriority w:val="9"/>
    <w:rsid w:val="005D6B0F"/>
    <w:rPr>
      <w:rFonts w:ascii="Open Sans" w:eastAsia="Helvetica" w:hAnsi="Open Sans" w:cs="Open Sans"/>
      <w:color w:val="000000"/>
      <w:sz w:val="24"/>
      <w:szCs w:val="27"/>
      <w:shd w:val="clear" w:color="auto" w:fill="FFFFFF"/>
    </w:rPr>
  </w:style>
  <w:style w:type="character" w:customStyle="1" w:styleId="Heading4Char">
    <w:name w:val="Heading 4 Char"/>
    <w:basedOn w:val="DefaultParagraphFont"/>
    <w:link w:val="Heading4"/>
    <w:uiPriority w:val="9"/>
    <w:rsid w:val="008648B5"/>
    <w:rPr>
      <w:rFonts w:ascii="Open Sans" w:hAnsi="Open Sans" w:cs="Open Sans"/>
      <w:bCs/>
      <w:color w:val="414141"/>
      <w:sz w:val="24"/>
      <w:szCs w:val="28"/>
      <w:shd w:val="clear" w:color="auto" w:fill="FFFFFF"/>
    </w:rPr>
  </w:style>
  <w:style w:type="character" w:customStyle="1" w:styleId="Heading5Char">
    <w:name w:val="Heading 5 Char"/>
    <w:basedOn w:val="DefaultParagraphFont"/>
    <w:link w:val="Heading5"/>
    <w:uiPriority w:val="9"/>
    <w:rsid w:val="009836B8"/>
    <w:rPr>
      <w:rFonts w:ascii="Arial" w:hAnsi="Arial"/>
      <w:b/>
      <w:bCs/>
      <w:iCs/>
      <w:sz w:val="22"/>
      <w:szCs w:val="26"/>
      <w:lang w:eastAsia="en-US"/>
    </w:rPr>
  </w:style>
  <w:style w:type="character" w:styleId="CommentReference">
    <w:name w:val="annotation reference"/>
    <w:basedOn w:val="DefaultParagraphFont"/>
    <w:semiHidden/>
    <w:unhideWhenUsed/>
    <w:rsid w:val="00AC6DC1"/>
    <w:rPr>
      <w:sz w:val="16"/>
      <w:szCs w:val="16"/>
    </w:rPr>
  </w:style>
  <w:style w:type="paragraph" w:styleId="CommentText">
    <w:name w:val="annotation text"/>
    <w:basedOn w:val="Normal"/>
    <w:link w:val="CommentTextChar"/>
    <w:semiHidden/>
    <w:unhideWhenUsed/>
    <w:rsid w:val="00AC6DC1"/>
    <w:rPr>
      <w:sz w:val="20"/>
      <w:szCs w:val="20"/>
    </w:rPr>
  </w:style>
  <w:style w:type="character" w:customStyle="1" w:styleId="CommentTextChar">
    <w:name w:val="Comment Text Char"/>
    <w:basedOn w:val="DefaultParagraphFont"/>
    <w:link w:val="CommentText"/>
    <w:semiHidden/>
    <w:rsid w:val="00AC6DC1"/>
    <w:rPr>
      <w:rFonts w:ascii="Arial" w:hAnsi="Arial"/>
      <w:lang w:eastAsia="en-US"/>
    </w:rPr>
  </w:style>
  <w:style w:type="paragraph" w:styleId="CommentSubject">
    <w:name w:val="annotation subject"/>
    <w:basedOn w:val="CommentText"/>
    <w:next w:val="CommentText"/>
    <w:link w:val="CommentSubjectChar"/>
    <w:semiHidden/>
    <w:unhideWhenUsed/>
    <w:rsid w:val="00AC6DC1"/>
    <w:rPr>
      <w:b/>
      <w:bCs/>
    </w:rPr>
  </w:style>
  <w:style w:type="character" w:customStyle="1" w:styleId="CommentSubjectChar">
    <w:name w:val="Comment Subject Char"/>
    <w:basedOn w:val="CommentTextChar"/>
    <w:link w:val="CommentSubject"/>
    <w:semiHidden/>
    <w:rsid w:val="00AC6DC1"/>
    <w:rPr>
      <w:rFonts w:ascii="Arial" w:hAnsi="Arial"/>
      <w:b/>
      <w:bCs/>
      <w:lang w:eastAsia="en-US"/>
    </w:rPr>
  </w:style>
  <w:style w:type="character" w:styleId="FootnoteReference">
    <w:name w:val="footnote reference"/>
    <w:basedOn w:val="DefaultParagraphFont"/>
    <w:semiHidden/>
    <w:unhideWhenUsed/>
    <w:rsid w:val="005E7496"/>
    <w:rPr>
      <w:vertAlign w:val="superscript"/>
    </w:rPr>
  </w:style>
  <w:style w:type="character" w:styleId="FollowedHyperlink">
    <w:name w:val="FollowedHyperlink"/>
    <w:basedOn w:val="DefaultParagraphFont"/>
    <w:semiHidden/>
    <w:unhideWhenUsed/>
    <w:rsid w:val="001349E6"/>
    <w:rPr>
      <w:color w:val="800080" w:themeColor="followedHyperlink"/>
      <w:u w:val="single"/>
    </w:rPr>
  </w:style>
  <w:style w:type="character" w:customStyle="1" w:styleId="Heading7Char">
    <w:name w:val="Heading 7 Char"/>
    <w:basedOn w:val="DefaultParagraphFont"/>
    <w:link w:val="Heading7"/>
    <w:semiHidden/>
    <w:rsid w:val="00485DAB"/>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485DA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485DAB"/>
    <w:rPr>
      <w:rFonts w:asciiTheme="majorHAnsi" w:eastAsiaTheme="majorEastAsia" w:hAnsiTheme="majorHAnsi" w:cstheme="majorBidi"/>
      <w:i/>
      <w:iCs/>
      <w:color w:val="272727" w:themeColor="text1" w:themeTint="D8"/>
      <w:sz w:val="21"/>
      <w:szCs w:val="21"/>
      <w:lang w:eastAsia="en-US"/>
    </w:rPr>
  </w:style>
  <w:style w:type="paragraph" w:styleId="Revision">
    <w:name w:val="Revision"/>
    <w:hidden/>
    <w:uiPriority w:val="99"/>
    <w:semiHidden/>
    <w:rsid w:val="00546AAF"/>
    <w:rPr>
      <w:rFonts w:ascii="Arial" w:hAnsi="Arial"/>
      <w:sz w:val="22"/>
      <w:szCs w:val="24"/>
      <w:lang w:eastAsia="en-US"/>
    </w:rPr>
  </w:style>
  <w:style w:type="character" w:styleId="PlaceholderText">
    <w:name w:val="Placeholder Text"/>
    <w:basedOn w:val="DefaultParagraphFont"/>
    <w:uiPriority w:val="99"/>
    <w:semiHidden/>
    <w:rsid w:val="006A0177"/>
    <w:rPr>
      <w:color w:val="808080"/>
    </w:rPr>
  </w:style>
  <w:style w:type="table" w:styleId="ListTable3-Accent1">
    <w:name w:val="List Table 3 Accent 1"/>
    <w:basedOn w:val="TableNormal"/>
    <w:uiPriority w:val="48"/>
    <w:rsid w:val="006A0177"/>
    <w:rPr>
      <w:rFonts w:asciiTheme="minorHAnsi" w:eastAsiaTheme="minorHAnsi" w:hAnsiTheme="minorHAnsi" w:cstheme="minorBidi"/>
      <w:sz w:val="22"/>
      <w:szCs w:val="22"/>
      <w:lang w:eastAsia="en-US"/>
    </w:rPr>
    <w:tblPr>
      <w:tblStyleRowBandSize w:val="1"/>
      <w:tblStyleColBandSize w:val="1"/>
      <w:tblBorders>
        <w:top w:val="single" w:sz="4" w:space="0" w:color="3F4A75" w:themeColor="accent1"/>
        <w:left w:val="single" w:sz="4" w:space="0" w:color="3F4A75" w:themeColor="accent1"/>
        <w:bottom w:val="single" w:sz="4" w:space="0" w:color="3F4A75" w:themeColor="accent1"/>
        <w:right w:val="single" w:sz="4" w:space="0" w:color="3F4A75" w:themeColor="accent1"/>
      </w:tblBorders>
    </w:tblPr>
    <w:tblStylePr w:type="firstRow">
      <w:rPr>
        <w:b/>
        <w:bCs/>
        <w:color w:val="FFFFFF" w:themeColor="background1"/>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 w:type="paragraph" w:styleId="NormalWeb">
    <w:name w:val="Normal (Web)"/>
    <w:basedOn w:val="Normal"/>
    <w:uiPriority w:val="99"/>
    <w:unhideWhenUsed/>
    <w:rsid w:val="005D6B0F"/>
    <w:pPr>
      <w:numPr>
        <w:numId w:val="55"/>
      </w:numPr>
      <w:spacing w:before="100" w:beforeAutospacing="1" w:after="100" w:afterAutospacing="1"/>
    </w:pPr>
    <w:rPr>
      <w:rFonts w:asciiTheme="minorBidi" w:hAnsiTheme="minorBidi"/>
      <w:lang w:eastAsia="en-AU"/>
    </w:rPr>
  </w:style>
  <w:style w:type="character" w:styleId="UnresolvedMention">
    <w:name w:val="Unresolved Mention"/>
    <w:basedOn w:val="DefaultParagraphFont"/>
    <w:uiPriority w:val="99"/>
    <w:semiHidden/>
    <w:unhideWhenUsed/>
    <w:rsid w:val="00AD1897"/>
    <w:rPr>
      <w:color w:val="605E5C"/>
      <w:shd w:val="clear" w:color="auto" w:fill="E1DFDD"/>
    </w:rPr>
  </w:style>
  <w:style w:type="table" w:styleId="ListTable3-Accent3">
    <w:name w:val="List Table 3 Accent 3"/>
    <w:basedOn w:val="TableNormal"/>
    <w:uiPriority w:val="48"/>
    <w:rsid w:val="00E67A8D"/>
    <w:tblPr>
      <w:tblStyleRowBandSize w:val="1"/>
      <w:tblStyleColBandSize w:val="1"/>
      <w:tblBorders>
        <w:top w:val="single" w:sz="4" w:space="0" w:color="0078BF" w:themeColor="accent3"/>
        <w:left w:val="single" w:sz="4" w:space="0" w:color="0078BF" w:themeColor="accent3"/>
        <w:bottom w:val="single" w:sz="4" w:space="0" w:color="0078BF" w:themeColor="accent3"/>
        <w:right w:val="single" w:sz="4" w:space="0" w:color="0078BF" w:themeColor="accent3"/>
      </w:tblBorders>
    </w:tblPr>
    <w:tblStylePr w:type="firstRow">
      <w:rPr>
        <w:b/>
        <w:bCs/>
        <w:color w:val="FFFFFF" w:themeColor="background1"/>
      </w:rPr>
      <w:tblPr/>
      <w:tcPr>
        <w:shd w:val="clear" w:color="auto" w:fill="0078BF" w:themeFill="accent3"/>
      </w:tcPr>
    </w:tblStylePr>
    <w:tblStylePr w:type="lastRow">
      <w:rPr>
        <w:b/>
        <w:bCs/>
      </w:rPr>
      <w:tblPr/>
      <w:tcPr>
        <w:tcBorders>
          <w:top w:val="double" w:sz="4" w:space="0" w:color="0078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BF" w:themeColor="accent3"/>
          <w:right w:val="single" w:sz="4" w:space="0" w:color="0078BF" w:themeColor="accent3"/>
        </w:tcBorders>
      </w:tcPr>
    </w:tblStylePr>
    <w:tblStylePr w:type="band1Horz">
      <w:tblPr/>
      <w:tcPr>
        <w:tcBorders>
          <w:top w:val="single" w:sz="4" w:space="0" w:color="0078BF" w:themeColor="accent3"/>
          <w:bottom w:val="single" w:sz="4" w:space="0" w:color="0078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BF" w:themeColor="accent3"/>
          <w:left w:val="nil"/>
        </w:tcBorders>
      </w:tcPr>
    </w:tblStylePr>
    <w:tblStylePr w:type="swCell">
      <w:tblPr/>
      <w:tcPr>
        <w:tcBorders>
          <w:top w:val="double" w:sz="4" w:space="0" w:color="0078BF" w:themeColor="accent3"/>
          <w:right w:val="nil"/>
        </w:tcBorders>
      </w:tcPr>
    </w:tblStyle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4A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4A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4A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4A75" w:themeFill="accent1"/>
      </w:tcPr>
    </w:tblStylePr>
    <w:tblStylePr w:type="band1Vert">
      <w:tblPr/>
      <w:tcPr>
        <w:shd w:val="clear" w:color="auto" w:fill="A9B1D0" w:themeFill="accent1" w:themeFillTint="66"/>
      </w:tcPr>
    </w:tblStylePr>
    <w:tblStylePr w:type="band1Horz">
      <w:tblPr/>
      <w:tcPr>
        <w:shd w:val="clear" w:color="auto" w:fill="A9B1D0" w:themeFill="accent1" w:themeFillTint="66"/>
      </w:tcPr>
    </w:tblStylePr>
  </w:style>
  <w:style w:type="character" w:customStyle="1" w:styleId="hgkelc">
    <w:name w:val="hgkelc"/>
    <w:basedOn w:val="DefaultParagraphFont"/>
    <w:rsid w:val="001A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3245">
      <w:bodyDiv w:val="1"/>
      <w:marLeft w:val="0"/>
      <w:marRight w:val="0"/>
      <w:marTop w:val="0"/>
      <w:marBottom w:val="0"/>
      <w:divBdr>
        <w:top w:val="none" w:sz="0" w:space="0" w:color="auto"/>
        <w:left w:val="none" w:sz="0" w:space="0" w:color="auto"/>
        <w:bottom w:val="none" w:sz="0" w:space="0" w:color="auto"/>
        <w:right w:val="none" w:sz="0" w:space="0" w:color="auto"/>
      </w:divBdr>
    </w:div>
    <w:div w:id="74208600">
      <w:bodyDiv w:val="1"/>
      <w:marLeft w:val="0"/>
      <w:marRight w:val="0"/>
      <w:marTop w:val="0"/>
      <w:marBottom w:val="0"/>
      <w:divBdr>
        <w:top w:val="none" w:sz="0" w:space="0" w:color="auto"/>
        <w:left w:val="none" w:sz="0" w:space="0" w:color="auto"/>
        <w:bottom w:val="none" w:sz="0" w:space="0" w:color="auto"/>
        <w:right w:val="none" w:sz="0" w:space="0" w:color="auto"/>
      </w:divBdr>
    </w:div>
    <w:div w:id="29283619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336113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19625052">
      <w:bodyDiv w:val="1"/>
      <w:marLeft w:val="0"/>
      <w:marRight w:val="0"/>
      <w:marTop w:val="0"/>
      <w:marBottom w:val="0"/>
      <w:divBdr>
        <w:top w:val="none" w:sz="0" w:space="0" w:color="auto"/>
        <w:left w:val="none" w:sz="0" w:space="0" w:color="auto"/>
        <w:bottom w:val="none" w:sz="0" w:space="0" w:color="auto"/>
        <w:right w:val="none" w:sz="0" w:space="0" w:color="auto"/>
      </w:divBdr>
    </w:div>
    <w:div w:id="1795981033">
      <w:bodyDiv w:val="1"/>
      <w:marLeft w:val="0"/>
      <w:marRight w:val="0"/>
      <w:marTop w:val="0"/>
      <w:marBottom w:val="0"/>
      <w:divBdr>
        <w:top w:val="none" w:sz="0" w:space="0" w:color="auto"/>
        <w:left w:val="none" w:sz="0" w:space="0" w:color="auto"/>
        <w:bottom w:val="none" w:sz="0" w:space="0" w:color="auto"/>
        <w:right w:val="none" w:sz="0" w:space="0" w:color="auto"/>
      </w:divBdr>
    </w:div>
    <w:div w:id="1814636757">
      <w:bodyDiv w:val="1"/>
      <w:marLeft w:val="0"/>
      <w:marRight w:val="0"/>
      <w:marTop w:val="0"/>
      <w:marBottom w:val="0"/>
      <w:divBdr>
        <w:top w:val="none" w:sz="0" w:space="0" w:color="auto"/>
        <w:left w:val="none" w:sz="0" w:space="0" w:color="auto"/>
        <w:bottom w:val="none" w:sz="0" w:space="0" w:color="auto"/>
        <w:right w:val="none" w:sz="0" w:space="0" w:color="auto"/>
      </w:divBdr>
    </w:div>
    <w:div w:id="1868447657">
      <w:bodyDiv w:val="1"/>
      <w:marLeft w:val="0"/>
      <w:marRight w:val="0"/>
      <w:marTop w:val="0"/>
      <w:marBottom w:val="0"/>
      <w:divBdr>
        <w:top w:val="none" w:sz="0" w:space="0" w:color="auto"/>
        <w:left w:val="none" w:sz="0" w:space="0" w:color="auto"/>
        <w:bottom w:val="none" w:sz="0" w:space="0" w:color="auto"/>
        <w:right w:val="none" w:sz="0" w:space="0" w:color="auto"/>
      </w:divBdr>
    </w:div>
    <w:div w:id="2011171827">
      <w:bodyDiv w:val="1"/>
      <w:marLeft w:val="0"/>
      <w:marRight w:val="0"/>
      <w:marTop w:val="0"/>
      <w:marBottom w:val="0"/>
      <w:divBdr>
        <w:top w:val="none" w:sz="0" w:space="0" w:color="auto"/>
        <w:left w:val="none" w:sz="0" w:space="0" w:color="auto"/>
        <w:bottom w:val="none" w:sz="0" w:space="0" w:color="auto"/>
        <w:right w:val="none" w:sz="0" w:space="0" w:color="auto"/>
      </w:divBdr>
    </w:div>
    <w:div w:id="20931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indss.health.gov.au/pbi-dashboard/" TargetMode="External"/><Relationship Id="rId26" Type="http://schemas.openxmlformats.org/officeDocument/2006/relationships/hyperlink" Target="https://www.cdc.gov/mmwr/volumes/68/wr/mm6842a2.htm" TargetMode="External"/><Relationship Id="rId3" Type="http://schemas.openxmlformats.org/officeDocument/2006/relationships/customXml" Target="../customXml/item3.xml"/><Relationship Id="rId21" Type="http://schemas.openxmlformats.org/officeDocument/2006/relationships/hyperlink" Target="https://www.biofiredefense.com/products/biofire-filmarray-biosurveillance-system/" TargetMode="External"/><Relationship Id="rId7" Type="http://schemas.openxmlformats.org/officeDocument/2006/relationships/settings" Target="settings.xml"/><Relationship Id="rId12" Type="http://schemas.openxmlformats.org/officeDocument/2006/relationships/hyperlink" Target="https://www.tga.gov.au/resources/artg/407409" TargetMode="External"/><Relationship Id="rId17" Type="http://schemas.openxmlformats.org/officeDocument/2006/relationships/hyperlink" Target="https://www.who.int/emergencies/situations/mpox-outbreak" TargetMode="External"/><Relationship Id="rId25" Type="http://schemas.openxmlformats.org/officeDocument/2006/relationships/hyperlink" Target="https://www.epa.gov/pesticide-registration/selected-epa-registered-disinfectant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wiley.com/en-us/Manual+of+Clinical+Microbiology%2C+2+Volume+Set%2C+12th+Edition-p-9781555819835" TargetMode="External"/><Relationship Id="rId20" Type="http://schemas.openxmlformats.org/officeDocument/2006/relationships/hyperlink" Target="https://www.fda.gov/news-events/press-announcements/fda-approves-first-live-non-replicating-vaccine-prevent-smallpox-and-monkeypox" TargetMode="External"/><Relationship Id="rId29" Type="http://schemas.openxmlformats.org/officeDocument/2006/relationships/hyperlink" Target="https://www.cdc.gov/acip-recs/hcp/vaccine-specific/smallpox-mpox.html?CDC_AAref_Val=https://www.cdc.gov/vaccines/hcp/acip-recs/vacc-specific/smallpo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gov.au/resources/publications/phln-guidance-on-mpox-patient-referral-specimen-collection-and-test-requesting?language=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iley.com/en-us/Manual+of+Clinical+Microbiology%2C+2+Volume+Set%2C+12th+Edition-p-9781555819835" TargetMode="External"/><Relationship Id="rId23" Type="http://schemas.openxmlformats.org/officeDocument/2006/relationships/hyperlink" Target="https://iris.who.int/handle/10665/379547" TargetMode="External"/><Relationship Id="rId28" Type="http://schemas.openxmlformats.org/officeDocument/2006/relationships/hyperlink" Target="https://www.gov.uk/government/publications/smallpox-and-vaccinia-the-green-book-chapter-29" TargetMode="External"/><Relationship Id="rId10" Type="http://schemas.openxmlformats.org/officeDocument/2006/relationships/endnotes" Target="endnotes.xml"/><Relationship Id="rId19" Type="http://schemas.openxmlformats.org/officeDocument/2006/relationships/hyperlink" Target="https://www.ecdc.europa.eu/en/mpo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thelancet.com/journals/lanmic/article/PIIS2666-5247(24)00267-2/fulltext" TargetMode="External"/><Relationship Id="rId27" Type="http://schemas.openxmlformats.org/officeDocument/2006/relationships/hyperlink" Target="https://www.cdc.gov/mmwr/preview/mmwrhtml/mm5715a3.htm" TargetMode="External"/><Relationship Id="rId30" Type="http://schemas.openxmlformats.org/officeDocument/2006/relationships/hyperlink" Target="https://immunisationhandbook.health.gov.au/resources/tables/table-recommended-vaccines-for-laboratory-workers-who-routinely-work-with-specific-organisms"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12" ma:contentTypeDescription="Create a new document." ma:contentTypeScope="" ma:versionID="b2a8f9ac684db06df1095b331ba4c1ee">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8b73592080df88aecb227b550570da"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7A1A1CF6-5757-45B2-8DBC-2FD6C5D85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11073</Words>
  <Characters>63118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Monkeypox – Laboratory case definition</vt:lpstr>
    </vt:vector>
  </TitlesOfParts>
  <Company>Public Health Laboratories Network</Company>
  <LinksUpToDate>false</LinksUpToDate>
  <CharactersWithSpaces>74043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Monkeypox – Laboratory case definition</dc:title>
  <dc:subject>Communicable diseases</dc:subject>
  <dc:creator>Australian Government Department of Health and Aged Care</dc:creator>
  <cp:keywords>Communicable diseases; Monkeypox</cp:keywords>
  <cp:lastModifiedBy>MASCHKE, Elvia</cp:lastModifiedBy>
  <cp:revision>6</cp:revision>
  <dcterms:created xsi:type="dcterms:W3CDTF">2025-03-17T02:15:00Z</dcterms:created>
  <dcterms:modified xsi:type="dcterms:W3CDTF">2025-03-17T05:02:00Z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0x010100DBF22E431BBE12409AFF64C86A6197B7</vt:lpwstr>
  </property>
</Properties>
</file>